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CF" w:rsidRPr="003A56CF" w:rsidRDefault="003A56CF" w:rsidP="007433CF">
      <w:pPr>
        <w:pStyle w:val="TLESHeading1"/>
        <w:rPr>
          <w:sz w:val="20"/>
          <w:szCs w:val="20"/>
        </w:rPr>
        <w:sectPr w:rsidR="003A56CF" w:rsidRPr="003A56CF" w:rsidSect="00AB73E9">
          <w:footerReference w:type="default" r:id="rId7"/>
          <w:headerReference w:type="first" r:id="rId8"/>
          <w:footerReference w:type="first" r:id="rId9"/>
          <w:pgSz w:w="12240" w:h="15840" w:code="1"/>
          <w:pgMar w:top="720" w:right="720" w:bottom="1440" w:left="720" w:header="432" w:footer="144" w:gutter="0"/>
          <w:cols w:space="720"/>
          <w:titlePg/>
          <w:docGrid w:linePitch="360"/>
        </w:sectPr>
      </w:pPr>
    </w:p>
    <w:p w:rsidR="003A56CF" w:rsidRDefault="003A56CF" w:rsidP="005F0E39">
      <w:pPr>
        <w:pStyle w:val="TLESHeading1"/>
        <w:spacing w:before="0"/>
      </w:pPr>
    </w:p>
    <w:p w:rsidR="007433CF" w:rsidRDefault="007433CF" w:rsidP="005F0E39">
      <w:pPr>
        <w:pStyle w:val="TLESHeading1"/>
        <w:spacing w:before="0"/>
      </w:pPr>
      <w:r>
        <w:t xml:space="preserve">Importance and Purpose </w:t>
      </w:r>
      <w:r w:rsidR="00E82AA5">
        <w:br/>
      </w:r>
      <w:r>
        <w:t>of the TLES Study</w:t>
      </w:r>
    </w:p>
    <w:p w:rsidR="005A61D5" w:rsidRDefault="005A61D5" w:rsidP="005A61D5">
      <w:pPr>
        <w:pStyle w:val="TLESParagraph"/>
      </w:pPr>
      <w:r>
        <w:t xml:space="preserve">One of the most influential innovations in the education profession in the last decade is the creation of evaluation systems that inform professional growth. In such systems, educators know the professional practices upon which they are being reviewed, receive evidence-based feedback that encourages them to be reflective about their professional practices, and have access to </w:t>
      </w:r>
      <w:r w:rsidR="006E5F0F">
        <w:t xml:space="preserve">data </w:t>
      </w:r>
      <w:r>
        <w:t>about how their practices are influencing student</w:t>
      </w:r>
      <w:r w:rsidR="006E5F0F">
        <w:t xml:space="preserve"> growth</w:t>
      </w:r>
      <w:r>
        <w:t>. Recent studies suggest that these tools can help educators improve their practices and become more effective</w:t>
      </w:r>
      <w:r w:rsidRPr="00C511BD">
        <w:t xml:space="preserve">. </w:t>
      </w:r>
      <w:r w:rsidR="006E5F0F">
        <w:t>In addition, t</w:t>
      </w:r>
      <w:r w:rsidRPr="00C511BD">
        <w:t>he federal government</w:t>
      </w:r>
      <w:r w:rsidRPr="00C511BD">
        <w:rPr>
          <w:color w:val="1F497D"/>
        </w:rPr>
        <w:t xml:space="preserve"> </w:t>
      </w:r>
      <w:r w:rsidRPr="00C511BD">
        <w:t>has emphasized the importance of teacher and leader evaluation systems</w:t>
      </w:r>
      <w:r>
        <w:t xml:space="preserve">, starting in 2006 with the Teacher Incentive Fund and continuing in Race to the Top and other initiatives in </w:t>
      </w:r>
      <w:r w:rsidRPr="00C511BD">
        <w:t>the American Recovery and Reinvestment Act (ARRA) of 2009</w:t>
      </w:r>
      <w:r>
        <w:t xml:space="preserve">.  </w:t>
      </w:r>
      <w:r w:rsidRPr="00C511BD">
        <w:t xml:space="preserve"> </w:t>
      </w:r>
      <w:r>
        <w:t xml:space="preserve">Most recently, </w:t>
      </w:r>
      <w:r w:rsidR="00811A56">
        <w:t>a</w:t>
      </w:r>
      <w:r w:rsidR="00DA3C12">
        <w:t xml:space="preserve"> large number of </w:t>
      </w:r>
      <w:r>
        <w:t xml:space="preserve">states have expressed an intention to promote new teacher and leader evaluation systems in exchange for flexibility on provisions of the 2002 </w:t>
      </w:r>
      <w:r w:rsidRPr="00C511BD">
        <w:t xml:space="preserve">Elementary and </w:t>
      </w:r>
      <w:r>
        <w:t>S</w:t>
      </w:r>
      <w:r w:rsidRPr="00C511BD">
        <w:t>econdary Education Act (ESEA)</w:t>
      </w:r>
      <w:r>
        <w:t>.</w:t>
      </w:r>
      <w:r w:rsidRPr="00C511BD">
        <w:rPr>
          <w:color w:val="1F497D"/>
        </w:rPr>
        <w:t xml:space="preserve"> </w:t>
      </w:r>
    </w:p>
    <w:p w:rsidR="00AB73E9" w:rsidRDefault="005A61D5" w:rsidP="003A56CF">
      <w:pPr>
        <w:pStyle w:val="TLESParagraph"/>
      </w:pPr>
      <w:r>
        <w:t>The Institute of Education Sciences (IES) of the U.S. Department of Education (ED) has contracted with the American Institutes for Research (AIR) and its partners to conduct a ground-breaking study to investigate how teacher and leader evaluation systems influence educators and students. We have partnered with</w:t>
      </w:r>
      <w:r w:rsidR="001D14EC">
        <w:t xml:space="preserve"> leading</w:t>
      </w:r>
      <w:r>
        <w:t xml:space="preserve"> providers in the areas of teacher and principal evaluation to create a comprehensive system</w:t>
      </w:r>
      <w:r w:rsidR="006E5F0F">
        <w:t>,</w:t>
      </w:r>
      <w:r>
        <w:t xml:space="preserve"> supported by the best available research, which our team can implement in your district. The goal of the system is to improve professional practice and student achievement. Participating in this high-profile, large-scale study </w:t>
      </w:r>
      <w:r w:rsidR="007E0252">
        <w:t xml:space="preserve">would </w:t>
      </w:r>
      <w:r>
        <w:t xml:space="preserve">give your district an opportunity to pilot this system and to help </w:t>
      </w:r>
      <w:r w:rsidR="006E5F0F">
        <w:t xml:space="preserve">inform state and federal </w:t>
      </w:r>
      <w:r>
        <w:t>education policy</w:t>
      </w:r>
      <w:r w:rsidR="006E5F0F">
        <w:t>.</w:t>
      </w:r>
      <w:r>
        <w:rPr>
          <w:color w:val="FF0000"/>
        </w:rPr>
        <w:t xml:space="preserve"> </w:t>
      </w:r>
    </w:p>
    <w:p w:rsidR="00F64BEF" w:rsidRDefault="00F64BEF" w:rsidP="002E61C0">
      <w:pPr>
        <w:pStyle w:val="TLESHeading1"/>
      </w:pPr>
    </w:p>
    <w:p w:rsidR="00F64BEF" w:rsidRDefault="00F64BEF" w:rsidP="002E61C0">
      <w:pPr>
        <w:pStyle w:val="TLESHeading1"/>
      </w:pPr>
    </w:p>
    <w:p w:rsidR="002E61C0" w:rsidRPr="000014A7" w:rsidRDefault="002E61C0" w:rsidP="00F64BEF">
      <w:pPr>
        <w:pStyle w:val="TLESHeading1"/>
        <w:spacing w:before="0" w:after="0"/>
      </w:pPr>
      <w:r>
        <w:t xml:space="preserve">TLES Study Design </w:t>
      </w:r>
    </w:p>
    <w:p w:rsidR="005A61D5" w:rsidRPr="009E3285" w:rsidRDefault="005A61D5" w:rsidP="005A61D5">
      <w:pPr>
        <w:pStyle w:val="TLESParagraph"/>
      </w:pPr>
      <w:r w:rsidRPr="009C5BF6">
        <w:t xml:space="preserve">The </w:t>
      </w:r>
      <w:r>
        <w:t>TLES study</w:t>
      </w:r>
      <w:r w:rsidRPr="009C5BF6">
        <w:t xml:space="preserve"> </w:t>
      </w:r>
      <w:r>
        <w:t>is desig</w:t>
      </w:r>
      <w:r w:rsidR="00844966">
        <w:t xml:space="preserve">ned to help us understand how </w:t>
      </w:r>
      <w:r w:rsidR="00562634">
        <w:t xml:space="preserve">a </w:t>
      </w:r>
      <w:r w:rsidR="009E56A6" w:rsidRPr="00B22ABD">
        <w:rPr>
          <w:color w:val="auto"/>
        </w:rPr>
        <w:t>comprehensive</w:t>
      </w:r>
      <w:r w:rsidRPr="009C5BF6">
        <w:t xml:space="preserve"> teacher and leader evaluation system</w:t>
      </w:r>
      <w:r w:rsidR="00F64BEF">
        <w:t xml:space="preserve"> </w:t>
      </w:r>
      <w:r>
        <w:t>influences</w:t>
      </w:r>
      <w:r w:rsidRPr="009C5BF6">
        <w:t xml:space="preserve"> teacher instructional practice, principal leadership, and student achievement. </w:t>
      </w:r>
      <w:r w:rsidR="00771998">
        <w:t xml:space="preserve">As a corollary to teacher and principal practices, we </w:t>
      </w:r>
      <w:r w:rsidR="00F71B90">
        <w:t>will</w:t>
      </w:r>
      <w:r w:rsidR="00771998">
        <w:t xml:space="preserve"> investigate educator retention and mobility as </w:t>
      </w:r>
      <w:r w:rsidR="00F71B90">
        <w:t>i</w:t>
      </w:r>
      <w:r w:rsidR="00771998">
        <w:t>ntermediate outcome</w:t>
      </w:r>
      <w:r w:rsidR="00F71B90">
        <w:t>s</w:t>
      </w:r>
      <w:r w:rsidR="00771998">
        <w:t xml:space="preserve"> which may influence student achievement. </w:t>
      </w:r>
      <w:r>
        <w:t xml:space="preserve">In addition, we want to know about the </w:t>
      </w:r>
      <w:r w:rsidR="00337762">
        <w:t>experiences and actions of teachers, leaders, and central office personnel as they implement the study’s system</w:t>
      </w:r>
      <w:r>
        <w:t xml:space="preserve">.  The study will include </w:t>
      </w:r>
      <w:r w:rsidR="00204B63">
        <w:t xml:space="preserve">approximately </w:t>
      </w:r>
      <w:r w:rsidR="000F5BE5">
        <w:t>15</w:t>
      </w:r>
      <w:r w:rsidR="00B22ABD">
        <w:t xml:space="preserve"> participating districts, with </w:t>
      </w:r>
      <w:r w:rsidR="00F9761B">
        <w:t>at least</w:t>
      </w:r>
      <w:r>
        <w:t xml:space="preserve"> 10 participating schools per district. Participating schools </w:t>
      </w:r>
      <w:r w:rsidR="007E0252">
        <w:t xml:space="preserve">will </w:t>
      </w:r>
      <w:r>
        <w:t>be assigned</w:t>
      </w:r>
      <w:r w:rsidR="00365A48">
        <w:t xml:space="preserve"> by lottery</w:t>
      </w:r>
      <w:r>
        <w:t xml:space="preserve"> into</w:t>
      </w:r>
      <w:r w:rsidR="00365A48">
        <w:t xml:space="preserve"> one of</w:t>
      </w:r>
      <w:r>
        <w:t xml:space="preserve"> two groups. Both groups </w:t>
      </w:r>
      <w:r w:rsidR="007E0252">
        <w:t xml:space="preserve">will </w:t>
      </w:r>
      <w:r>
        <w:t xml:space="preserve">continue using their districts’ current evaluation systems. One of the groups </w:t>
      </w:r>
      <w:r w:rsidR="007E0252">
        <w:t xml:space="preserve">will </w:t>
      </w:r>
      <w:r>
        <w:t xml:space="preserve">get the added benefit of the study’s system, with implementation training and assistance throughout the </w:t>
      </w:r>
      <w:r w:rsidR="005127F9">
        <w:t xml:space="preserve">two-year period of the </w:t>
      </w:r>
      <w:r>
        <w:t xml:space="preserve">study.  </w:t>
      </w:r>
    </w:p>
    <w:p w:rsidR="002E61C0" w:rsidRDefault="002E61C0" w:rsidP="002E61C0">
      <w:pPr>
        <w:pStyle w:val="TLESHeading1"/>
      </w:pPr>
      <w:r>
        <w:t>Components of the Teach</w:t>
      </w:r>
      <w:r w:rsidR="005744E4">
        <w:t>er and Leader Evaluation System</w:t>
      </w:r>
      <w:r>
        <w:t xml:space="preserve"> </w:t>
      </w:r>
    </w:p>
    <w:p w:rsidR="005A61D5" w:rsidRDefault="005A61D5" w:rsidP="005A61D5">
      <w:pPr>
        <w:pStyle w:val="TLESParagraph"/>
      </w:pPr>
      <w:r>
        <w:t xml:space="preserve">The system provided by </w:t>
      </w:r>
      <w:r w:rsidRPr="002E61C0">
        <w:t xml:space="preserve">the TLES Study </w:t>
      </w:r>
      <w:r>
        <w:t xml:space="preserve">includes three core components that provide feedback using well-established instruments and procedures. </w:t>
      </w:r>
    </w:p>
    <w:p w:rsidR="005A61D5" w:rsidRPr="002E61C0" w:rsidRDefault="005A61D5" w:rsidP="005A61D5">
      <w:pPr>
        <w:pStyle w:val="TLESParagraph"/>
      </w:pPr>
      <w:r w:rsidRPr="005B1730">
        <w:rPr>
          <w:b/>
        </w:rPr>
        <w:t xml:space="preserve">1. Feedback on </w:t>
      </w:r>
      <w:r w:rsidR="00811A56">
        <w:rPr>
          <w:b/>
        </w:rPr>
        <w:t>classroom practice</w:t>
      </w:r>
      <w:r w:rsidR="00DA3C12">
        <w:rPr>
          <w:b/>
        </w:rPr>
        <w:t>s</w:t>
      </w:r>
      <w:r>
        <w:t>.</w:t>
      </w:r>
      <w:r w:rsidRPr="002E61C0">
        <w:t xml:space="preserve"> </w:t>
      </w:r>
      <w:r>
        <w:t>Teachers in s</w:t>
      </w:r>
      <w:r w:rsidRPr="002E61C0">
        <w:t xml:space="preserve">chools piloting the </w:t>
      </w:r>
      <w:r w:rsidR="000D5A97">
        <w:t>study’s</w:t>
      </w:r>
      <w:r w:rsidR="000D5A97" w:rsidRPr="002E61C0">
        <w:t xml:space="preserve"> </w:t>
      </w:r>
      <w:r w:rsidRPr="002E61C0">
        <w:t xml:space="preserve">teacher and leader evaluation system will </w:t>
      </w:r>
      <w:r>
        <w:t xml:space="preserve">receive feedback on instruction </w:t>
      </w:r>
      <w:r w:rsidR="00170FBF">
        <w:t xml:space="preserve">using an observation </w:t>
      </w:r>
      <w:r w:rsidR="00E2144F">
        <w:t>tool</w:t>
      </w:r>
      <w:r w:rsidR="00170FBF">
        <w:t xml:space="preserve"> that specifies expected practices for multiple aspects of instruction and has been shown to </w:t>
      </w:r>
      <w:r w:rsidR="00B35447">
        <w:t xml:space="preserve">be related to </w:t>
      </w:r>
      <w:r w:rsidR="00170FBF">
        <w:t xml:space="preserve">student growth. </w:t>
      </w:r>
      <w:r w:rsidR="00562634">
        <w:t>T</w:t>
      </w:r>
      <w:r w:rsidR="000D5A97">
        <w:t>he pilot schools in</w:t>
      </w:r>
      <w:r w:rsidR="00562634">
        <w:t xml:space="preserve"> </w:t>
      </w:r>
      <w:r w:rsidR="00170FBF">
        <w:t xml:space="preserve">half of the </w:t>
      </w:r>
      <w:r w:rsidR="003363B2">
        <w:t>districts</w:t>
      </w:r>
      <w:r w:rsidR="000D5A97">
        <w:t xml:space="preserve"> will </w:t>
      </w:r>
      <w:r w:rsidR="00562634">
        <w:t xml:space="preserve">use </w:t>
      </w:r>
      <w:r>
        <w:t xml:space="preserve">Danielson’s </w:t>
      </w:r>
      <w:r w:rsidRPr="002E61C0">
        <w:t>Framework for Teaching (FFT)</w:t>
      </w:r>
      <w:r>
        <w:t xml:space="preserve"> </w:t>
      </w:r>
      <w:r w:rsidR="000D5A97">
        <w:t xml:space="preserve">and the other half will </w:t>
      </w:r>
      <w:r w:rsidR="00562634">
        <w:t xml:space="preserve">use </w:t>
      </w:r>
      <w:r w:rsidR="000D5A97">
        <w:t>the</w:t>
      </w:r>
      <w:r w:rsidRPr="002E61C0">
        <w:t xml:space="preserve"> Classroom Assessment and Scoring System (CLASS).  Both </w:t>
      </w:r>
      <w:r w:rsidR="00E2144F">
        <w:t>tools serve as a basis for</w:t>
      </w:r>
      <w:r w:rsidR="000D5A97">
        <w:t xml:space="preserve"> feedback conversations and </w:t>
      </w:r>
      <w:r w:rsidR="00B22ABD">
        <w:t>ongoing professional</w:t>
      </w:r>
      <w:r w:rsidRPr="002E61C0">
        <w:t xml:space="preserve"> dialogue. Teachers</w:t>
      </w:r>
      <w:r w:rsidR="007C2C3A">
        <w:t xml:space="preserve"> in grades 4-8 who ar</w:t>
      </w:r>
      <w:r w:rsidR="00062026">
        <w:t>e responsible for instruction in mathematics and/or reading/English language arts</w:t>
      </w:r>
      <w:r w:rsidR="000F5BE5">
        <w:t xml:space="preserve"> </w:t>
      </w:r>
      <w:r w:rsidRPr="002E61C0">
        <w:t>will be observed four times each year—one time by the school principal</w:t>
      </w:r>
      <w:r>
        <w:t xml:space="preserve"> and </w:t>
      </w:r>
      <w:r w:rsidRPr="002E61C0">
        <w:t>three times by observers</w:t>
      </w:r>
      <w:r>
        <w:t xml:space="preserve"> who will be selected </w:t>
      </w:r>
      <w:r>
        <w:lastRenderedPageBreak/>
        <w:t>by the district</w:t>
      </w:r>
      <w:r w:rsidRPr="002E61C0">
        <w:t xml:space="preserve">. </w:t>
      </w:r>
      <w:r w:rsidR="00BF6C5B">
        <w:t xml:space="preserve"> </w:t>
      </w:r>
      <w:r w:rsidR="000F5BE5">
        <w:t xml:space="preserve">Teachers in </w:t>
      </w:r>
      <w:r w:rsidR="00F9761B">
        <w:t xml:space="preserve">other academic </w:t>
      </w:r>
      <w:r w:rsidR="000F5BE5">
        <w:t>subjects or grades will be observe</w:t>
      </w:r>
      <w:r w:rsidR="007C2C3A">
        <w:t>d</w:t>
      </w:r>
      <w:r w:rsidR="000F5BE5">
        <w:t xml:space="preserve"> twice </w:t>
      </w:r>
      <w:r w:rsidR="007C2C3A">
        <w:t>e</w:t>
      </w:r>
      <w:r w:rsidR="000F5BE5">
        <w:t>a</w:t>
      </w:r>
      <w:r w:rsidR="007C2C3A">
        <w:t>ch</w:t>
      </w:r>
      <w:r w:rsidR="000F5BE5">
        <w:t xml:space="preserve"> year.</w:t>
      </w:r>
    </w:p>
    <w:p w:rsidR="005A61D5" w:rsidRPr="002E61C0" w:rsidRDefault="005A61D5" w:rsidP="005A61D5">
      <w:pPr>
        <w:pStyle w:val="TLESParagraph"/>
      </w:pPr>
      <w:r w:rsidRPr="00C277E5">
        <w:rPr>
          <w:b/>
        </w:rPr>
        <w:t xml:space="preserve">2. Feedback on </w:t>
      </w:r>
      <w:r w:rsidR="00811A56">
        <w:rPr>
          <w:b/>
        </w:rPr>
        <w:t>principal leadership</w:t>
      </w:r>
      <w:r w:rsidRPr="00C277E5">
        <w:rPr>
          <w:b/>
        </w:rPr>
        <w:t>.</w:t>
      </w:r>
      <w:r>
        <w:t xml:space="preserve"> </w:t>
      </w:r>
      <w:r w:rsidR="000D5A97">
        <w:t>Principals</w:t>
      </w:r>
      <w:r w:rsidR="000D5A97" w:rsidRPr="000D5A97">
        <w:t xml:space="preserve"> in schools piloting the study’s teacher and leader evaluation system will receive feedback on </w:t>
      </w:r>
      <w:r w:rsidR="00361EF3">
        <w:t>the</w:t>
      </w:r>
      <w:r w:rsidR="00E2144F">
        <w:t>ir</w:t>
      </w:r>
      <w:r w:rsidR="000D5A97">
        <w:t xml:space="preserve"> leadership</w:t>
      </w:r>
      <w:r w:rsidR="00E2144F">
        <w:t>,</w:t>
      </w:r>
      <w:r w:rsidR="00562634">
        <w:t xml:space="preserve"> </w:t>
      </w:r>
      <w:r w:rsidR="000D5A97">
        <w:t>obtained twice per year</w:t>
      </w:r>
      <w:r w:rsidR="00562634">
        <w:t xml:space="preserve"> </w:t>
      </w:r>
      <w:r w:rsidR="000D5A97">
        <w:t xml:space="preserve">through </w:t>
      </w:r>
      <w:r w:rsidRPr="002E61C0">
        <w:t>the Vanderbilt Assessment of Leadership (VAL-ED)</w:t>
      </w:r>
      <w:r w:rsidR="00562634">
        <w:t xml:space="preserve">. This </w:t>
      </w:r>
      <w:r w:rsidR="00FD3101">
        <w:t xml:space="preserve">tool </w:t>
      </w:r>
      <w:r w:rsidR="000D5A97">
        <w:t xml:space="preserve">is </w:t>
      </w:r>
      <w:r w:rsidR="00FD3101">
        <w:t>among the most</w:t>
      </w:r>
      <w:r w:rsidR="009732F3">
        <w:t xml:space="preserve"> </w:t>
      </w:r>
      <w:r w:rsidR="000D5A97">
        <w:t>widely-used</w:t>
      </w:r>
      <w:r w:rsidR="00FD3101">
        <w:t xml:space="preserve"> and well-researched</w:t>
      </w:r>
      <w:r w:rsidR="000D5A97">
        <w:t xml:space="preserve"> </w:t>
      </w:r>
      <w:r w:rsidR="007F70D4">
        <w:t>tool</w:t>
      </w:r>
      <w:r w:rsidR="00361EF3">
        <w:t xml:space="preserve"> for </w:t>
      </w:r>
      <w:r w:rsidR="00FD3101">
        <w:t xml:space="preserve">providing feedback on </w:t>
      </w:r>
      <w:r w:rsidR="00361EF3">
        <w:t>principal performance</w:t>
      </w:r>
      <w:r w:rsidR="00FD3101">
        <w:t>,</w:t>
      </w:r>
      <w:r w:rsidR="00361EF3">
        <w:t xml:space="preserve"> to help them </w:t>
      </w:r>
      <w:r w:rsidRPr="002E61C0">
        <w:t xml:space="preserve">grow as </w:t>
      </w:r>
      <w:r>
        <w:t xml:space="preserve">school </w:t>
      </w:r>
      <w:r w:rsidRPr="002E61C0">
        <w:t>leaders.</w:t>
      </w:r>
      <w:r w:rsidR="00361EF3">
        <w:t xml:space="preserve"> </w:t>
      </w:r>
      <w:r w:rsidR="00A53369">
        <w:t xml:space="preserve">The VAL-ED is a “360-degree” tool </w:t>
      </w:r>
      <w:r w:rsidR="00E400EB">
        <w:t xml:space="preserve">which uses </w:t>
      </w:r>
      <w:r w:rsidR="00A53369">
        <w:t xml:space="preserve">feedback </w:t>
      </w:r>
      <w:r w:rsidR="00E400EB">
        <w:t xml:space="preserve">on principal leadership </w:t>
      </w:r>
      <w:r w:rsidR="00A53369">
        <w:t xml:space="preserve">obtained through surveys from </w:t>
      </w:r>
      <w:r w:rsidR="00111412">
        <w:t>principals, supervisors, and teachers</w:t>
      </w:r>
      <w:r w:rsidR="0032468C">
        <w:t xml:space="preserve">. </w:t>
      </w:r>
    </w:p>
    <w:p w:rsidR="005A61D5" w:rsidRDefault="005A61D5" w:rsidP="005A61D5">
      <w:pPr>
        <w:pStyle w:val="TLESParagraph"/>
      </w:pPr>
      <w:r w:rsidRPr="00C277E5">
        <w:rPr>
          <w:b/>
        </w:rPr>
        <w:t>3. Feedback on stu</w:t>
      </w:r>
      <w:r w:rsidR="00000A7F">
        <w:rPr>
          <w:b/>
        </w:rPr>
        <w:t>dent growth</w:t>
      </w:r>
      <w:r w:rsidRPr="00C277E5">
        <w:rPr>
          <w:b/>
        </w:rPr>
        <w:t>.</w:t>
      </w:r>
      <w:r>
        <w:t xml:space="preserve"> </w:t>
      </w:r>
      <w:r w:rsidR="00361EF3">
        <w:t>In</w:t>
      </w:r>
      <w:r w:rsidR="00361EF3" w:rsidRPr="00361EF3">
        <w:t xml:space="preserve"> schools piloting the study’s teacher and leader evaluation system</w:t>
      </w:r>
      <w:r w:rsidR="00361EF3">
        <w:t>, both teachers and principals will receive feedback</w:t>
      </w:r>
      <w:r w:rsidR="00361EF3" w:rsidRPr="00361EF3">
        <w:t xml:space="preserve"> on </w:t>
      </w:r>
      <w:r w:rsidR="00361EF3">
        <w:t>student growth</w:t>
      </w:r>
      <w:r w:rsidR="0051721E">
        <w:t xml:space="preserve"> in mathematics and</w:t>
      </w:r>
      <w:r w:rsidR="00B4671B">
        <w:t>/or</w:t>
      </w:r>
      <w:r w:rsidR="00062026" w:rsidRPr="00062026">
        <w:t xml:space="preserve"> </w:t>
      </w:r>
      <w:r w:rsidR="00062026">
        <w:t>reading/English language arts</w:t>
      </w:r>
      <w:r w:rsidR="00361EF3">
        <w:t xml:space="preserve">. The analysis and reporting of student growth data will be conducted by AIR, which </w:t>
      </w:r>
      <w:r w:rsidR="005127F9">
        <w:t>provides similar services in school districts around the U.S., including statewide</w:t>
      </w:r>
      <w:r w:rsidR="009732F3">
        <w:t xml:space="preserve"> services </w:t>
      </w:r>
      <w:r w:rsidR="005127F9">
        <w:t xml:space="preserve">in Florida and </w:t>
      </w:r>
      <w:r w:rsidR="00361EF3">
        <w:t>New York</w:t>
      </w:r>
      <w:r w:rsidR="005127F9">
        <w:t xml:space="preserve">. </w:t>
      </w:r>
      <w:r>
        <w:t>Measures of student growth will inform</w:t>
      </w:r>
      <w:r w:rsidRPr="002E61C0">
        <w:t xml:space="preserve"> educators </w:t>
      </w:r>
      <w:r>
        <w:t>about</w:t>
      </w:r>
      <w:r w:rsidRPr="002E61C0">
        <w:t xml:space="preserve"> how their</w:t>
      </w:r>
      <w:r w:rsidR="005127F9">
        <w:t xml:space="preserve"> </w:t>
      </w:r>
      <w:r w:rsidR="00FD3101">
        <w:t>efforts</w:t>
      </w:r>
      <w:r w:rsidRPr="002E61C0">
        <w:t xml:space="preserve"> </w:t>
      </w:r>
      <w:r>
        <w:t>influence student performance</w:t>
      </w:r>
      <w:r w:rsidR="00111412">
        <w:t>.</w:t>
      </w:r>
      <w:r w:rsidR="005127F9">
        <w:t xml:space="preserve"> </w:t>
      </w:r>
    </w:p>
    <w:p w:rsidR="00367F20" w:rsidRDefault="005127F9" w:rsidP="005A61D5">
      <w:pPr>
        <w:pStyle w:val="TLESParagraph"/>
      </w:pPr>
      <w:r>
        <w:t xml:space="preserve">The three components described above will be the basis for </w:t>
      </w:r>
      <w:r w:rsidR="005A61D5" w:rsidRPr="000E5C53">
        <w:t>an overall effectiveness score for teachers and principals</w:t>
      </w:r>
      <w:r>
        <w:t xml:space="preserve"> each year</w:t>
      </w:r>
      <w:r w:rsidR="001D14EC">
        <w:t xml:space="preserve">. </w:t>
      </w:r>
      <w:r w:rsidR="00111412">
        <w:t xml:space="preserve"> This score </w:t>
      </w:r>
      <w:r w:rsidR="00FD3101">
        <w:t xml:space="preserve">and the component results collected during the school year </w:t>
      </w:r>
      <w:r w:rsidR="00111412">
        <w:t xml:space="preserve">will be </w:t>
      </w:r>
      <w:r w:rsidR="00FD3101">
        <w:t xml:space="preserve">made available </w:t>
      </w:r>
      <w:r w:rsidR="00111412">
        <w:t>to teachers, principals, and central office</w:t>
      </w:r>
      <w:r w:rsidR="00FD3101">
        <w:t xml:space="preserve"> staff</w:t>
      </w:r>
      <w:r w:rsidR="00111412">
        <w:t xml:space="preserve"> </w:t>
      </w:r>
      <w:r w:rsidR="00FD3101">
        <w:t>through AIR’s secure</w:t>
      </w:r>
      <w:r w:rsidR="00367F20">
        <w:t>,</w:t>
      </w:r>
      <w:r w:rsidR="00FD3101">
        <w:t xml:space="preserve"> online </w:t>
      </w:r>
      <w:r w:rsidR="00D03D75">
        <w:t>reporting system</w:t>
      </w:r>
      <w:r w:rsidR="007F70D4">
        <w:t xml:space="preserve">, which provides </w:t>
      </w:r>
      <w:r w:rsidR="00367F20">
        <w:t>reports</w:t>
      </w:r>
      <w:r w:rsidR="007F70D4">
        <w:t xml:space="preserve"> tailored to the needs of the user.</w:t>
      </w:r>
    </w:p>
    <w:p w:rsidR="00A81C1E" w:rsidRPr="009C5BF6" w:rsidRDefault="00A81C1E" w:rsidP="00A81C1E">
      <w:pPr>
        <w:pStyle w:val="TLESHeading1"/>
      </w:pPr>
      <w:r w:rsidRPr="009C5BF6">
        <w:t>Benefits of</w:t>
      </w:r>
      <w:r>
        <w:t xml:space="preserve"> Participation</w:t>
      </w:r>
    </w:p>
    <w:p w:rsidR="00874EDD" w:rsidRDefault="00A81C1E" w:rsidP="00A81C1E">
      <w:pPr>
        <w:pStyle w:val="TLESBullet1"/>
        <w:numPr>
          <w:ilvl w:val="0"/>
          <w:numId w:val="0"/>
        </w:numPr>
      </w:pPr>
      <w:r>
        <w:t>D</w:t>
      </w:r>
      <w:r w:rsidRPr="001360C5">
        <w:t>istricts</w:t>
      </w:r>
      <w:r>
        <w:t xml:space="preserve"> have an opportunity to </w:t>
      </w:r>
      <w:r w:rsidRPr="001360C5">
        <w:t xml:space="preserve">be part of ground-breaking research that may lead to improved </w:t>
      </w:r>
      <w:r>
        <w:t>educator</w:t>
      </w:r>
      <w:r w:rsidRPr="001360C5">
        <w:t xml:space="preserve"> practice</w:t>
      </w:r>
      <w:r>
        <w:t>s</w:t>
      </w:r>
      <w:r w:rsidRPr="001360C5">
        <w:t xml:space="preserve"> and student outcomes</w:t>
      </w:r>
      <w:r>
        <w:t xml:space="preserve">.  </w:t>
      </w:r>
      <w:r w:rsidRPr="00E0332B">
        <w:t xml:space="preserve"> </w:t>
      </w:r>
      <w:r w:rsidR="00DA3C12">
        <w:t>Participating</w:t>
      </w:r>
      <w:r w:rsidR="00C90483">
        <w:t xml:space="preserve"> districts will </w:t>
      </w:r>
      <w:r w:rsidR="00874EDD">
        <w:t xml:space="preserve">receive </w:t>
      </w:r>
      <w:r w:rsidR="00C90483">
        <w:t>the</w:t>
      </w:r>
      <w:r>
        <w:t xml:space="preserve"> state-of-the-art system</w:t>
      </w:r>
      <w:r w:rsidR="00874EDD">
        <w:t xml:space="preserve"> described above</w:t>
      </w:r>
      <w:r w:rsidR="007244FF">
        <w:t xml:space="preserve"> for a two-year period</w:t>
      </w:r>
      <w:r w:rsidR="007C2C3A">
        <w:t xml:space="preserve"> </w:t>
      </w:r>
      <w:r w:rsidR="007C2C3A">
        <w:rPr>
          <w:b/>
          <w:i/>
        </w:rPr>
        <w:t>at no cost</w:t>
      </w:r>
      <w:r w:rsidR="007244FF">
        <w:t xml:space="preserve"> </w:t>
      </w:r>
      <w:r w:rsidR="00874EDD">
        <w:t>including:</w:t>
      </w:r>
    </w:p>
    <w:p w:rsidR="00874EDD" w:rsidRDefault="00874EDD" w:rsidP="00EC0140">
      <w:pPr>
        <w:pStyle w:val="TLESBullet1"/>
        <w:ind w:left="270" w:hanging="270"/>
      </w:pPr>
      <w:r>
        <w:t>Feedback on classroom practice using FFT or CLASS;</w:t>
      </w:r>
    </w:p>
    <w:p w:rsidR="00874EDD" w:rsidRDefault="00874EDD" w:rsidP="00EC0140">
      <w:pPr>
        <w:pStyle w:val="TLESBullet1"/>
        <w:ind w:left="270" w:hanging="270"/>
      </w:pPr>
      <w:r>
        <w:t>Feedback on principal leadership using VAL-ED; and</w:t>
      </w:r>
    </w:p>
    <w:p w:rsidR="00874EDD" w:rsidRDefault="00874EDD" w:rsidP="00EC0140">
      <w:pPr>
        <w:pStyle w:val="TLESBullet1"/>
        <w:ind w:left="270" w:hanging="270"/>
      </w:pPr>
      <w:r>
        <w:t>Feedback on student growth</w:t>
      </w:r>
      <w:r w:rsidR="00EC0140">
        <w:t xml:space="preserve"> using AIR’s services.</w:t>
      </w:r>
    </w:p>
    <w:p w:rsidR="00E166B7" w:rsidRDefault="005E6662" w:rsidP="005E6662">
      <w:pPr>
        <w:pStyle w:val="TLESParagraph"/>
      </w:pPr>
      <w:r>
        <w:t xml:space="preserve">All necessary training will be provided for principals, teachers, and the observers who are selected by the district.  </w:t>
      </w:r>
      <w:r w:rsidR="00A81C1E">
        <w:t>Districts are expected to work closely with the study team to ensure participation and high quality implementation of the study’s evaluation system</w:t>
      </w:r>
      <w:r w:rsidR="00097026">
        <w:t>.</w:t>
      </w:r>
      <w:r w:rsidR="00A81C1E">
        <w:t xml:space="preserve"> </w:t>
      </w:r>
    </w:p>
    <w:p w:rsidR="005E6662" w:rsidRDefault="005E6662" w:rsidP="005E6662">
      <w:pPr>
        <w:pStyle w:val="TLESParagraph"/>
      </w:pPr>
    </w:p>
    <w:p w:rsidR="0032468C" w:rsidRPr="00955A33" w:rsidRDefault="0032468C" w:rsidP="0032468C">
      <w:pPr>
        <w:pStyle w:val="TLESHeading1"/>
      </w:pPr>
      <w:r>
        <w:lastRenderedPageBreak/>
        <w:t>Initial Criteria for P</w:t>
      </w:r>
      <w:r w:rsidRPr="00955A33">
        <w:t>articipation</w:t>
      </w:r>
    </w:p>
    <w:p w:rsidR="0032468C" w:rsidRPr="002E61C0" w:rsidRDefault="0032468C" w:rsidP="0032468C">
      <w:pPr>
        <w:pStyle w:val="TLESParagraph"/>
      </w:pPr>
      <w:r w:rsidRPr="002E61C0">
        <w:t xml:space="preserve">The study will include approximately </w:t>
      </w:r>
      <w:r w:rsidR="000F5BE5">
        <w:t>15</w:t>
      </w:r>
      <w:r w:rsidRPr="002E61C0">
        <w:t xml:space="preserve"> districts, each with at least 10 </w:t>
      </w:r>
      <w:r>
        <w:t xml:space="preserve">participating </w:t>
      </w:r>
      <w:r w:rsidRPr="002E61C0">
        <w:t xml:space="preserve">schools. To </w:t>
      </w:r>
      <w:r>
        <w:t>qualify</w:t>
      </w:r>
      <w:r w:rsidRPr="002E61C0">
        <w:t xml:space="preserve">, </w:t>
      </w:r>
      <w:r w:rsidR="007F70D4">
        <w:t xml:space="preserve">each of the </w:t>
      </w:r>
      <w:r w:rsidRPr="002E61C0">
        <w:t>schools should</w:t>
      </w:r>
      <w:r>
        <w:t xml:space="preserve"> meet the following criteria:</w:t>
      </w:r>
      <w:r w:rsidRPr="002E61C0">
        <w:t xml:space="preserve"> </w:t>
      </w:r>
    </w:p>
    <w:p w:rsidR="0032468C" w:rsidRPr="002E61C0" w:rsidRDefault="0032468C" w:rsidP="0032468C">
      <w:pPr>
        <w:pStyle w:val="TLESBullet1"/>
      </w:pPr>
      <w:r w:rsidRPr="002E61C0">
        <w:t xml:space="preserve">Be </w:t>
      </w:r>
      <w:r>
        <w:t>a</w:t>
      </w:r>
      <w:r w:rsidR="00811A56">
        <w:t>n elementary, middle, or K-8 school</w:t>
      </w:r>
      <w:r w:rsidR="00000A7F">
        <w:t>;</w:t>
      </w:r>
    </w:p>
    <w:p w:rsidR="0032468C" w:rsidRPr="002E61C0" w:rsidRDefault="0032468C" w:rsidP="0032468C">
      <w:pPr>
        <w:pStyle w:val="TLESBullet1"/>
      </w:pPr>
      <w:r w:rsidRPr="002E61C0">
        <w:t xml:space="preserve">Have at least half of </w:t>
      </w:r>
      <w:r>
        <w:t>its</w:t>
      </w:r>
      <w:r w:rsidRPr="002E61C0">
        <w:t xml:space="preserve"> student</w:t>
      </w:r>
      <w:r w:rsidR="00DE69B3">
        <w:t xml:space="preserve"> enrollment</w:t>
      </w:r>
      <w:r w:rsidRPr="002E61C0">
        <w:t xml:space="preserve"> e</w:t>
      </w:r>
      <w:r w:rsidR="007F0372">
        <w:t>ligible</w:t>
      </w:r>
      <w:r w:rsidRPr="002E61C0">
        <w:t xml:space="preserve"> </w:t>
      </w:r>
      <w:r w:rsidR="00DE69B3">
        <w:t>for</w:t>
      </w:r>
      <w:r w:rsidR="00DE69B3" w:rsidRPr="002E61C0">
        <w:t xml:space="preserve"> </w:t>
      </w:r>
      <w:r w:rsidRPr="002E61C0">
        <w:t>the National School Lunch Program</w:t>
      </w:r>
      <w:r>
        <w:t xml:space="preserve">; and </w:t>
      </w:r>
    </w:p>
    <w:p w:rsidR="0032468C" w:rsidRDefault="0032468C" w:rsidP="0032468C">
      <w:pPr>
        <w:pStyle w:val="TLESBullet1"/>
      </w:pPr>
      <w:r>
        <w:t>Is not currently</w:t>
      </w:r>
      <w:r w:rsidRPr="002E61C0">
        <w:t xml:space="preserve"> using </w:t>
      </w:r>
      <w:r>
        <w:t>teacher or leader evaluation</w:t>
      </w:r>
      <w:r w:rsidRPr="002E61C0">
        <w:t xml:space="preserve"> </w:t>
      </w:r>
      <w:r>
        <w:t xml:space="preserve">system components that are similar to those described above. </w:t>
      </w:r>
    </w:p>
    <w:p w:rsidR="00F64BEF" w:rsidRDefault="0032468C" w:rsidP="00A81C1E">
      <w:pPr>
        <w:pStyle w:val="TLESBullet1"/>
        <w:numPr>
          <w:ilvl w:val="0"/>
          <w:numId w:val="0"/>
        </w:numPr>
      </w:pPr>
      <w:r>
        <w:t xml:space="preserve">In addition, districts must have data systems that allow student achievement records to be linked to individual teachers.  </w:t>
      </w:r>
    </w:p>
    <w:p w:rsidR="002E61C0" w:rsidRDefault="002E61C0" w:rsidP="005F0E39">
      <w:pPr>
        <w:pStyle w:val="TLESHeading1"/>
        <w:spacing w:before="0"/>
      </w:pPr>
      <w:r>
        <w:t>Study Timeline</w:t>
      </w:r>
    </w:p>
    <w:p w:rsidR="007F70D4" w:rsidRDefault="005A61D5" w:rsidP="005A61D5">
      <w:pPr>
        <w:pStyle w:val="TLESParagraph"/>
      </w:pPr>
      <w:r>
        <w:t xml:space="preserve">During the 2011-2012 school year, we will engage in conversations with districts that meet the initial criteria above.  By the end of the school year, we will have signed agreements with </w:t>
      </w:r>
      <w:r w:rsidR="00DD1CA3">
        <w:t xml:space="preserve">those </w:t>
      </w:r>
      <w:r>
        <w:t xml:space="preserve">districts that </w:t>
      </w:r>
      <w:r w:rsidR="00DD1CA3">
        <w:t xml:space="preserve">are the strongest fit for the study and </w:t>
      </w:r>
      <w:r>
        <w:t>can commit to full participation</w:t>
      </w:r>
      <w:r w:rsidR="00DD1CA3">
        <w:t>.</w:t>
      </w:r>
      <w:r w:rsidRPr="0007384A">
        <w:t xml:space="preserve"> </w:t>
      </w:r>
    </w:p>
    <w:p w:rsidR="005A61D5" w:rsidRPr="00071254" w:rsidRDefault="005A61D5" w:rsidP="005A61D5">
      <w:pPr>
        <w:pStyle w:val="TLESParagraph"/>
        <w:rPr>
          <w:color w:val="FF0000"/>
        </w:rPr>
      </w:pPr>
      <w:r w:rsidRPr="0007384A">
        <w:t xml:space="preserve">The study </w:t>
      </w:r>
      <w:r w:rsidR="00DD1CA3">
        <w:t xml:space="preserve">activities </w:t>
      </w:r>
      <w:r w:rsidRPr="0007384A">
        <w:t xml:space="preserve">will take place during </w:t>
      </w:r>
      <w:r>
        <w:t>the</w:t>
      </w:r>
      <w:r w:rsidRPr="0007384A">
        <w:t xml:space="preserve"> school years 2012</w:t>
      </w:r>
      <w:r>
        <w:t>–</w:t>
      </w:r>
      <w:r w:rsidRPr="0007384A">
        <w:t>13 and 2013</w:t>
      </w:r>
      <w:r>
        <w:t>–</w:t>
      </w:r>
      <w:r w:rsidRPr="0007384A">
        <w:t xml:space="preserve">14. </w:t>
      </w:r>
      <w:r w:rsidR="00111412">
        <w:t xml:space="preserve">In the summer prior to each of these school years, </w:t>
      </w:r>
      <w:r w:rsidR="00111412" w:rsidRPr="00E400EB">
        <w:rPr>
          <w:color w:val="auto"/>
        </w:rPr>
        <w:t>teachers and p</w:t>
      </w:r>
      <w:r w:rsidR="00A33C61" w:rsidRPr="00E400EB">
        <w:rPr>
          <w:color w:val="auto"/>
        </w:rPr>
        <w:t xml:space="preserve">rincipals will participate in </w:t>
      </w:r>
      <w:r w:rsidR="006D1C6D">
        <w:rPr>
          <w:color w:val="auto"/>
        </w:rPr>
        <w:t>an</w:t>
      </w:r>
      <w:r w:rsidR="00111412" w:rsidRPr="00E400EB">
        <w:rPr>
          <w:color w:val="auto"/>
        </w:rPr>
        <w:t xml:space="preserve"> orientation</w:t>
      </w:r>
      <w:r w:rsidR="006D1C6D">
        <w:rPr>
          <w:color w:val="auto"/>
        </w:rPr>
        <w:t xml:space="preserve"> to the evaluation tools being introduced as part of the study, and </w:t>
      </w:r>
      <w:r w:rsidR="00111412" w:rsidRPr="00E400EB">
        <w:rPr>
          <w:color w:val="auto"/>
        </w:rPr>
        <w:t xml:space="preserve">principals and observers will participate in training </w:t>
      </w:r>
      <w:r w:rsidR="006D1C6D">
        <w:rPr>
          <w:color w:val="auto"/>
        </w:rPr>
        <w:t>sessions around</w:t>
      </w:r>
      <w:r w:rsidR="00111412" w:rsidRPr="00E400EB">
        <w:rPr>
          <w:color w:val="auto"/>
        </w:rPr>
        <w:t xml:space="preserve"> conduct</w:t>
      </w:r>
      <w:r w:rsidR="006D1C6D">
        <w:rPr>
          <w:color w:val="auto"/>
        </w:rPr>
        <w:t>ing</w:t>
      </w:r>
      <w:r w:rsidR="00111412" w:rsidRPr="00E400EB">
        <w:rPr>
          <w:color w:val="auto"/>
        </w:rPr>
        <w:t xml:space="preserve"> teacher observations and related feedback sessions.</w:t>
      </w:r>
      <w:r w:rsidRPr="00E400EB">
        <w:rPr>
          <w:color w:val="auto"/>
        </w:rPr>
        <w:t xml:space="preserve"> </w:t>
      </w:r>
    </w:p>
    <w:p w:rsidR="00381AE3" w:rsidRDefault="00B85DB7" w:rsidP="00381AE3">
      <w:pPr>
        <w:pStyle w:val="TLESHeading1"/>
        <w:spacing w:before="0"/>
      </w:pPr>
      <w:r>
        <w:t>For Additional Information</w:t>
      </w:r>
    </w:p>
    <w:p w:rsidR="00B85DB7" w:rsidRDefault="005A61D5" w:rsidP="005A61D5">
      <w:pPr>
        <w:pStyle w:val="TLESParagraph"/>
      </w:pPr>
      <w:r w:rsidRPr="009C5BF6">
        <w:t xml:space="preserve">The </w:t>
      </w:r>
      <w:r>
        <w:t>study</w:t>
      </w:r>
      <w:r w:rsidRPr="009C5BF6">
        <w:t xml:space="preserve"> </w:t>
      </w:r>
      <w:r w:rsidR="005965F2">
        <w:t xml:space="preserve">has been commissioned </w:t>
      </w:r>
      <w:r w:rsidRPr="009C5BF6">
        <w:t xml:space="preserve"> by the U.S. Department of Education’s Institute of Education Sciences (IES) and is being conducted by the American Institutes for Research (AIR)</w:t>
      </w:r>
      <w:r w:rsidR="00813F1F">
        <w:t>; its</w:t>
      </w:r>
      <w:r>
        <w:t xml:space="preserve"> Project Director</w:t>
      </w:r>
      <w:r w:rsidR="00813F1F">
        <w:t xml:space="preserve"> is</w:t>
      </w:r>
      <w:r>
        <w:t xml:space="preserve"> Dr. Andrew Wayne </w:t>
      </w:r>
      <w:r w:rsidRPr="000E4F26">
        <w:t>(</w:t>
      </w:r>
      <w:r>
        <w:t>awayne</w:t>
      </w:r>
      <w:r w:rsidRPr="000E4F26">
        <w:t>@</w:t>
      </w:r>
      <w:r>
        <w:t>air</w:t>
      </w:r>
      <w:r w:rsidRPr="000E4F26">
        <w:t>.</w:t>
      </w:r>
      <w:r>
        <w:t>org</w:t>
      </w:r>
      <w:r w:rsidRPr="000E4F26">
        <w:t xml:space="preserve"> | </w:t>
      </w:r>
      <w:r>
        <w:t>202</w:t>
      </w:r>
      <w:r w:rsidRPr="000E4F26">
        <w:t>.</w:t>
      </w:r>
      <w:r>
        <w:t>403</w:t>
      </w:r>
      <w:r w:rsidRPr="000E4F26">
        <w:t>.</w:t>
      </w:r>
      <w:r>
        <w:t>5483</w:t>
      </w:r>
      <w:r w:rsidRPr="000E4F26">
        <w:t>)</w:t>
      </w:r>
      <w:r>
        <w:t>. For more information about the study, or to begin a conversation with us about partnering on this project</w:t>
      </w:r>
      <w:r w:rsidRPr="000E4F26">
        <w:t xml:space="preserve">, </w:t>
      </w:r>
      <w:r>
        <w:t>contact Dr. Anja Kurki (</w:t>
      </w:r>
      <w:hyperlink r:id="rId10" w:history="1">
        <w:r w:rsidRPr="002E61C0">
          <w:rPr>
            <w:rStyle w:val="Hyperlink"/>
          </w:rPr>
          <w:t>akurki@air.org</w:t>
        </w:r>
        <w:r w:rsidRPr="0007384A">
          <w:rPr>
            <w:rStyle w:val="Hyperlink"/>
            <w:color w:val="auto"/>
          </w:rPr>
          <w:t>|</w:t>
        </w:r>
      </w:hyperlink>
      <w:r>
        <w:t xml:space="preserve"> 202.403.5153), or Dr. Rebecca Herman </w:t>
      </w:r>
      <w:r w:rsidRPr="000E4F26">
        <w:t>(</w:t>
      </w:r>
      <w:r w:rsidRPr="002E61C0">
        <w:rPr>
          <w:rStyle w:val="Hyperlink"/>
        </w:rPr>
        <w:t>rherman@air.org</w:t>
      </w:r>
      <w:r w:rsidRPr="000E4F26">
        <w:t xml:space="preserve"> | </w:t>
      </w:r>
      <w:r>
        <w:t>202</w:t>
      </w:r>
      <w:r w:rsidRPr="000E4F26">
        <w:t>.</w:t>
      </w:r>
      <w:r>
        <w:t>403</w:t>
      </w:r>
      <w:r w:rsidRPr="000E4F26">
        <w:t>.</w:t>
      </w:r>
      <w:r>
        <w:t>5449</w:t>
      </w:r>
      <w:r w:rsidRPr="000E4F26">
        <w:t>)</w:t>
      </w:r>
      <w:r>
        <w:t>, Co-Directors of Outreach.</w:t>
      </w:r>
    </w:p>
    <w:sectPr w:rsidR="00B85DB7" w:rsidSect="00A21AA4">
      <w:type w:val="continuous"/>
      <w:pgSz w:w="12240" w:h="15840" w:code="1"/>
      <w:pgMar w:top="720" w:right="864" w:bottom="1152" w:left="864" w:header="432" w:footer="144"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68" w:rsidRDefault="00E60768" w:rsidP="00D3566D">
      <w:pPr>
        <w:spacing w:after="0" w:line="240" w:lineRule="auto"/>
      </w:pPr>
      <w:r>
        <w:separator/>
      </w:r>
    </w:p>
  </w:endnote>
  <w:endnote w:type="continuationSeparator" w:id="0">
    <w:p w:rsidR="00E60768" w:rsidRDefault="00E60768" w:rsidP="00D35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14" w:rsidRDefault="000F3B14" w:rsidP="00290A0A">
    <w:pPr>
      <w:pStyle w:val="Footer"/>
      <w:tabs>
        <w:tab w:val="clear" w:pos="4680"/>
        <w:tab w:val="clear" w:pos="9360"/>
        <w:tab w:val="right" w:pos="10440"/>
      </w:tabs>
      <w:rPr>
        <w:color w:val="FFFFFF" w:themeColor="background1"/>
        <w:sz w:val="18"/>
        <w:szCs w:val="18"/>
      </w:rPr>
    </w:pPr>
    <w:r>
      <w:rPr>
        <w:b/>
        <w:noProof/>
        <w:color w:val="005295" w:themeColor="text1"/>
      </w:rPr>
      <w:drawing>
        <wp:anchor distT="0" distB="0" distL="114300" distR="114300" simplePos="0" relativeHeight="251669504" behindDoc="1" locked="1" layoutInCell="1" allowOverlap="1">
          <wp:simplePos x="0" y="0"/>
          <wp:positionH relativeFrom="page">
            <wp:posOffset>10795</wp:posOffset>
          </wp:positionH>
          <wp:positionV relativeFrom="paragraph">
            <wp:posOffset>-152400</wp:posOffset>
          </wp:positionV>
          <wp:extent cx="7753350" cy="628650"/>
          <wp:effectExtent l="19050" t="0" r="0" b="0"/>
          <wp:wrapNone/>
          <wp:docPr id="1" name="Picture 0" descr="1315 TLES Footer 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2.jpg"/>
                  <pic:cNvPicPr/>
                </pic:nvPicPr>
                <pic:blipFill>
                  <a:blip r:embed="rId1"/>
                  <a:stretch>
                    <a:fillRect/>
                  </a:stretch>
                </pic:blipFill>
                <pic:spPr>
                  <a:xfrm>
                    <a:off x="0" y="0"/>
                    <a:ext cx="7753350" cy="628650"/>
                  </a:xfrm>
                  <a:prstGeom prst="rect">
                    <a:avLst/>
                  </a:prstGeom>
                </pic:spPr>
              </pic:pic>
            </a:graphicData>
          </a:graphic>
        </wp:anchor>
      </w:drawing>
    </w:r>
    <w:r>
      <w:rPr>
        <w:color w:val="FFFFFF" w:themeColor="background1"/>
      </w:rPr>
      <w:tab/>
    </w:r>
    <w:r w:rsidRPr="001C1493">
      <w:rPr>
        <w:color w:val="FFFFFF" w:themeColor="background1"/>
        <w:sz w:val="18"/>
        <w:szCs w:val="18"/>
      </w:rPr>
      <w:t xml:space="preserve">Page  |  </w:t>
    </w:r>
    <w:r w:rsidR="0027424A" w:rsidRPr="001C1493">
      <w:rPr>
        <w:color w:val="FFFFFF" w:themeColor="background1"/>
        <w:sz w:val="18"/>
        <w:szCs w:val="18"/>
      </w:rPr>
      <w:fldChar w:fldCharType="begin"/>
    </w:r>
    <w:r w:rsidRPr="001C1493">
      <w:rPr>
        <w:color w:val="FFFFFF" w:themeColor="background1"/>
        <w:sz w:val="18"/>
        <w:szCs w:val="18"/>
      </w:rPr>
      <w:instrText xml:space="preserve"> PAGE   \* MERGEFORMAT </w:instrText>
    </w:r>
    <w:r w:rsidR="0027424A" w:rsidRPr="001C1493">
      <w:rPr>
        <w:color w:val="FFFFFF" w:themeColor="background1"/>
        <w:sz w:val="18"/>
        <w:szCs w:val="18"/>
      </w:rPr>
      <w:fldChar w:fldCharType="separate"/>
    </w:r>
    <w:r w:rsidR="00076B31">
      <w:rPr>
        <w:noProof/>
        <w:color w:val="FFFFFF" w:themeColor="background1"/>
        <w:sz w:val="18"/>
        <w:szCs w:val="18"/>
      </w:rPr>
      <w:t>2</w:t>
    </w:r>
    <w:r w:rsidR="0027424A" w:rsidRPr="001C1493">
      <w:rPr>
        <w:color w:val="FFFFFF" w:themeColor="background1"/>
        <w:sz w:val="18"/>
        <w:szCs w:val="18"/>
      </w:rPr>
      <w:fldChar w:fldCharType="end"/>
    </w:r>
  </w:p>
  <w:p w:rsidR="000F3B14" w:rsidRPr="00290A0A" w:rsidRDefault="000F3B14" w:rsidP="00290A0A">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14" w:rsidRDefault="000F3B14" w:rsidP="00A81C5A">
    <w:pPr>
      <w:pStyle w:val="Footer"/>
      <w:tabs>
        <w:tab w:val="clear" w:pos="4680"/>
        <w:tab w:val="clear" w:pos="9360"/>
        <w:tab w:val="right" w:pos="10440"/>
      </w:tabs>
      <w:rPr>
        <w:color w:val="FFFFFF" w:themeColor="background1"/>
        <w:sz w:val="18"/>
        <w:szCs w:val="18"/>
      </w:rPr>
    </w:pPr>
    <w:r>
      <w:rPr>
        <w:noProof/>
        <w:color w:val="FFFFFF" w:themeColor="background1"/>
      </w:rPr>
      <w:drawing>
        <wp:anchor distT="0" distB="0" distL="114300" distR="114300" simplePos="0" relativeHeight="251670528" behindDoc="1" locked="1" layoutInCell="1" allowOverlap="1">
          <wp:simplePos x="0" y="0"/>
          <wp:positionH relativeFrom="page">
            <wp:posOffset>10795</wp:posOffset>
          </wp:positionH>
          <wp:positionV relativeFrom="paragraph">
            <wp:posOffset>-144780</wp:posOffset>
          </wp:positionV>
          <wp:extent cx="7760970" cy="612140"/>
          <wp:effectExtent l="19050" t="0" r="0" b="0"/>
          <wp:wrapNone/>
          <wp:docPr id="2" name="Picture 1" descr="1315 TLES Footer 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1.jpg"/>
                  <pic:cNvPicPr/>
                </pic:nvPicPr>
                <pic:blipFill>
                  <a:blip r:embed="rId1"/>
                  <a:stretch>
                    <a:fillRect/>
                  </a:stretch>
                </pic:blipFill>
                <pic:spPr>
                  <a:xfrm>
                    <a:off x="0" y="0"/>
                    <a:ext cx="7760970" cy="612140"/>
                  </a:xfrm>
                  <a:prstGeom prst="rect">
                    <a:avLst/>
                  </a:prstGeom>
                </pic:spPr>
              </pic:pic>
            </a:graphicData>
          </a:graphic>
        </wp:anchor>
      </w:drawing>
    </w:r>
    <w:r>
      <w:rPr>
        <w:color w:val="FFFFFF" w:themeColor="background1"/>
      </w:rPr>
      <w:tab/>
    </w:r>
    <w:proofErr w:type="gramStart"/>
    <w:r w:rsidRPr="001C1493">
      <w:rPr>
        <w:color w:val="FFFFFF" w:themeColor="background1"/>
        <w:sz w:val="18"/>
        <w:szCs w:val="18"/>
      </w:rPr>
      <w:t>Page  |</w:t>
    </w:r>
    <w:proofErr w:type="gramEnd"/>
    <w:r w:rsidRPr="001C1493">
      <w:rPr>
        <w:color w:val="FFFFFF" w:themeColor="background1"/>
        <w:sz w:val="18"/>
        <w:szCs w:val="18"/>
      </w:rPr>
      <w:t xml:space="preserve">  </w:t>
    </w:r>
    <w:r w:rsidR="0027424A" w:rsidRPr="001C1493">
      <w:rPr>
        <w:color w:val="FFFFFF" w:themeColor="background1"/>
        <w:sz w:val="18"/>
        <w:szCs w:val="18"/>
      </w:rPr>
      <w:fldChar w:fldCharType="begin"/>
    </w:r>
    <w:r w:rsidRPr="001C1493">
      <w:rPr>
        <w:color w:val="FFFFFF" w:themeColor="background1"/>
        <w:sz w:val="18"/>
        <w:szCs w:val="18"/>
      </w:rPr>
      <w:instrText xml:space="preserve"> PAGE   \* MERGEFORMAT </w:instrText>
    </w:r>
    <w:r w:rsidR="0027424A" w:rsidRPr="001C1493">
      <w:rPr>
        <w:color w:val="FFFFFF" w:themeColor="background1"/>
        <w:sz w:val="18"/>
        <w:szCs w:val="18"/>
      </w:rPr>
      <w:fldChar w:fldCharType="separate"/>
    </w:r>
    <w:r w:rsidR="00076B31">
      <w:rPr>
        <w:noProof/>
        <w:color w:val="FFFFFF" w:themeColor="background1"/>
        <w:sz w:val="18"/>
        <w:szCs w:val="18"/>
      </w:rPr>
      <w:t>1</w:t>
    </w:r>
    <w:r w:rsidR="0027424A" w:rsidRPr="001C1493">
      <w:rPr>
        <w:color w:val="FFFFFF" w:themeColor="background1"/>
        <w:sz w:val="18"/>
        <w:szCs w:val="18"/>
      </w:rPr>
      <w:fldChar w:fldCharType="end"/>
    </w:r>
  </w:p>
  <w:p w:rsidR="000F3B14" w:rsidRPr="00290A0A" w:rsidRDefault="000F3B14" w:rsidP="00290A0A">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68" w:rsidRDefault="00E60768" w:rsidP="00D3566D">
      <w:pPr>
        <w:spacing w:after="0" w:line="240" w:lineRule="auto"/>
      </w:pPr>
      <w:r>
        <w:separator/>
      </w:r>
    </w:p>
  </w:footnote>
  <w:footnote w:type="continuationSeparator" w:id="0">
    <w:p w:rsidR="00E60768" w:rsidRDefault="00E60768" w:rsidP="00D35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14" w:rsidRDefault="000F3B14">
    <w:pPr>
      <w:pStyle w:val="Header"/>
    </w:pPr>
    <w:r>
      <w:rPr>
        <w:noProof/>
      </w:rPr>
      <w:drawing>
        <wp:anchor distT="0" distB="0" distL="114300" distR="114300" simplePos="0" relativeHeight="251671552" behindDoc="0" locked="1" layoutInCell="1" allowOverlap="1">
          <wp:simplePos x="0" y="0"/>
          <wp:positionH relativeFrom="page">
            <wp:posOffset>0</wp:posOffset>
          </wp:positionH>
          <wp:positionV relativeFrom="page">
            <wp:posOffset>0</wp:posOffset>
          </wp:positionV>
          <wp:extent cx="7772400" cy="1619250"/>
          <wp:effectExtent l="19050" t="0" r="0" b="0"/>
          <wp:wrapTopAndBottom/>
          <wp:docPr id="4" name="Picture 3" descr="1315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Vertical Header.jpg"/>
                  <pic:cNvPicPr/>
                </pic:nvPicPr>
                <pic:blipFill>
                  <a:blip r:embed="rId1"/>
                  <a:stretch>
                    <a:fillRect/>
                  </a:stretch>
                </pic:blipFill>
                <pic:spPr>
                  <a:xfrm>
                    <a:off x="0" y="0"/>
                    <a:ext cx="7772400" cy="16192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227E"/>
    <w:multiLevelType w:val="hybridMultilevel"/>
    <w:tmpl w:val="F5507E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8E628CE"/>
    <w:multiLevelType w:val="hybridMultilevel"/>
    <w:tmpl w:val="6992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C4974"/>
    <w:multiLevelType w:val="hybridMultilevel"/>
    <w:tmpl w:val="6C46553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3407280"/>
    <w:multiLevelType w:val="hybridMultilevel"/>
    <w:tmpl w:val="B68A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F421B"/>
    <w:multiLevelType w:val="hybridMultilevel"/>
    <w:tmpl w:val="C1D6C73C"/>
    <w:lvl w:ilvl="0" w:tplc="E076AD26">
      <w:start w:val="1"/>
      <w:numFmt w:val="bullet"/>
      <w:pStyle w:val="TLESBullet1"/>
      <w:lvlText w:val=""/>
      <w:lvlJc w:val="left"/>
      <w:pPr>
        <w:ind w:left="360" w:hanging="360"/>
      </w:pPr>
      <w:rPr>
        <w:rFonts w:ascii="Wingdings" w:hAnsi="Wingdings" w:hint="default"/>
        <w:color w:val="336899" w:themeColor="accent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F04EC3"/>
    <w:multiLevelType w:val="hybridMultilevel"/>
    <w:tmpl w:val="E6282876"/>
    <w:lvl w:ilvl="0" w:tplc="B11AE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9569"/>
  </w:hdrShapeDefaults>
  <w:footnotePr>
    <w:footnote w:id="-1"/>
    <w:footnote w:id="0"/>
  </w:footnotePr>
  <w:endnotePr>
    <w:endnote w:id="-1"/>
    <w:endnote w:id="0"/>
  </w:endnotePr>
  <w:compat/>
  <w:rsids>
    <w:rsidRoot w:val="00D3566D"/>
    <w:rsid w:val="00000A7F"/>
    <w:rsid w:val="000059BF"/>
    <w:rsid w:val="000269A2"/>
    <w:rsid w:val="00062026"/>
    <w:rsid w:val="000645D3"/>
    <w:rsid w:val="00071254"/>
    <w:rsid w:val="00076B31"/>
    <w:rsid w:val="00081AF9"/>
    <w:rsid w:val="000947A2"/>
    <w:rsid w:val="00097026"/>
    <w:rsid w:val="000B0655"/>
    <w:rsid w:val="000C0616"/>
    <w:rsid w:val="000D5A97"/>
    <w:rsid w:val="000E18DA"/>
    <w:rsid w:val="000F1BE1"/>
    <w:rsid w:val="000F3B14"/>
    <w:rsid w:val="000F5BE5"/>
    <w:rsid w:val="00111412"/>
    <w:rsid w:val="001138D4"/>
    <w:rsid w:val="00115AAB"/>
    <w:rsid w:val="00117886"/>
    <w:rsid w:val="00117AE0"/>
    <w:rsid w:val="00170FBF"/>
    <w:rsid w:val="001927A2"/>
    <w:rsid w:val="00197AD5"/>
    <w:rsid w:val="001A4A32"/>
    <w:rsid w:val="001B524B"/>
    <w:rsid w:val="001C1493"/>
    <w:rsid w:val="001C6A48"/>
    <w:rsid w:val="001D0EDA"/>
    <w:rsid w:val="001D14EC"/>
    <w:rsid w:val="001E62A9"/>
    <w:rsid w:val="00203D1C"/>
    <w:rsid w:val="00204B63"/>
    <w:rsid w:val="0027424A"/>
    <w:rsid w:val="002752C0"/>
    <w:rsid w:val="00286C2E"/>
    <w:rsid w:val="00290A0A"/>
    <w:rsid w:val="00291E02"/>
    <w:rsid w:val="002B586A"/>
    <w:rsid w:val="002C600E"/>
    <w:rsid w:val="002E61C0"/>
    <w:rsid w:val="002E793D"/>
    <w:rsid w:val="00307A7B"/>
    <w:rsid w:val="00323D9C"/>
    <w:rsid w:val="0032468C"/>
    <w:rsid w:val="003363B2"/>
    <w:rsid w:val="00337762"/>
    <w:rsid w:val="003377D9"/>
    <w:rsid w:val="00352200"/>
    <w:rsid w:val="00361EF3"/>
    <w:rsid w:val="00365A48"/>
    <w:rsid w:val="00367F20"/>
    <w:rsid w:val="00381AE3"/>
    <w:rsid w:val="003A2057"/>
    <w:rsid w:val="003A56CF"/>
    <w:rsid w:val="003A5F12"/>
    <w:rsid w:val="003B5052"/>
    <w:rsid w:val="003E13A4"/>
    <w:rsid w:val="003E60F9"/>
    <w:rsid w:val="00400E62"/>
    <w:rsid w:val="004045BA"/>
    <w:rsid w:val="00415BAB"/>
    <w:rsid w:val="0042214D"/>
    <w:rsid w:val="0043317F"/>
    <w:rsid w:val="00441C7A"/>
    <w:rsid w:val="00442FD1"/>
    <w:rsid w:val="004454BA"/>
    <w:rsid w:val="00465D5B"/>
    <w:rsid w:val="00493248"/>
    <w:rsid w:val="005127F9"/>
    <w:rsid w:val="00514218"/>
    <w:rsid w:val="0051721E"/>
    <w:rsid w:val="00535957"/>
    <w:rsid w:val="00537568"/>
    <w:rsid w:val="00540EC6"/>
    <w:rsid w:val="00556327"/>
    <w:rsid w:val="00562634"/>
    <w:rsid w:val="00572AA2"/>
    <w:rsid w:val="005744E4"/>
    <w:rsid w:val="00576597"/>
    <w:rsid w:val="005846FD"/>
    <w:rsid w:val="0059298A"/>
    <w:rsid w:val="005965F2"/>
    <w:rsid w:val="005A61D5"/>
    <w:rsid w:val="005B6B75"/>
    <w:rsid w:val="005E6662"/>
    <w:rsid w:val="005F0E39"/>
    <w:rsid w:val="00603547"/>
    <w:rsid w:val="00607A2E"/>
    <w:rsid w:val="00634795"/>
    <w:rsid w:val="006442F9"/>
    <w:rsid w:val="006514D4"/>
    <w:rsid w:val="0066445E"/>
    <w:rsid w:val="006838CE"/>
    <w:rsid w:val="006846A8"/>
    <w:rsid w:val="006871C2"/>
    <w:rsid w:val="0069590A"/>
    <w:rsid w:val="006A2EA1"/>
    <w:rsid w:val="006B47C4"/>
    <w:rsid w:val="006B48A3"/>
    <w:rsid w:val="006D1C6D"/>
    <w:rsid w:val="006E28A3"/>
    <w:rsid w:val="006E5F0F"/>
    <w:rsid w:val="006F0069"/>
    <w:rsid w:val="00723C76"/>
    <w:rsid w:val="007244FF"/>
    <w:rsid w:val="00742BF9"/>
    <w:rsid w:val="007433CF"/>
    <w:rsid w:val="00771998"/>
    <w:rsid w:val="007729D8"/>
    <w:rsid w:val="00782217"/>
    <w:rsid w:val="00794A91"/>
    <w:rsid w:val="007A15E5"/>
    <w:rsid w:val="007B4EEE"/>
    <w:rsid w:val="007C2C3A"/>
    <w:rsid w:val="007E0252"/>
    <w:rsid w:val="007E0B18"/>
    <w:rsid w:val="007E2B01"/>
    <w:rsid w:val="007E62B3"/>
    <w:rsid w:val="007F0372"/>
    <w:rsid w:val="007F70D4"/>
    <w:rsid w:val="008008EC"/>
    <w:rsid w:val="00811A56"/>
    <w:rsid w:val="00813F1F"/>
    <w:rsid w:val="00813F36"/>
    <w:rsid w:val="00844966"/>
    <w:rsid w:val="00845FF3"/>
    <w:rsid w:val="0086465B"/>
    <w:rsid w:val="00866600"/>
    <w:rsid w:val="0086765B"/>
    <w:rsid w:val="00874373"/>
    <w:rsid w:val="00874EDD"/>
    <w:rsid w:val="008973C8"/>
    <w:rsid w:val="00897C35"/>
    <w:rsid w:val="008B1C5C"/>
    <w:rsid w:val="008D164E"/>
    <w:rsid w:val="00931621"/>
    <w:rsid w:val="00951579"/>
    <w:rsid w:val="009732F3"/>
    <w:rsid w:val="009854BA"/>
    <w:rsid w:val="009A0A26"/>
    <w:rsid w:val="009D1F8A"/>
    <w:rsid w:val="009E56A6"/>
    <w:rsid w:val="00A21AA4"/>
    <w:rsid w:val="00A24335"/>
    <w:rsid w:val="00A30AAC"/>
    <w:rsid w:val="00A33C61"/>
    <w:rsid w:val="00A373AF"/>
    <w:rsid w:val="00A53369"/>
    <w:rsid w:val="00A579CA"/>
    <w:rsid w:val="00A62C57"/>
    <w:rsid w:val="00A67AF0"/>
    <w:rsid w:val="00A81C1E"/>
    <w:rsid w:val="00A81C5A"/>
    <w:rsid w:val="00A90F8C"/>
    <w:rsid w:val="00AA11B8"/>
    <w:rsid w:val="00AA5C80"/>
    <w:rsid w:val="00AB2D3E"/>
    <w:rsid w:val="00AB73E9"/>
    <w:rsid w:val="00AC7DA9"/>
    <w:rsid w:val="00AD0F77"/>
    <w:rsid w:val="00AE766C"/>
    <w:rsid w:val="00AF3E73"/>
    <w:rsid w:val="00B22ABD"/>
    <w:rsid w:val="00B35447"/>
    <w:rsid w:val="00B43076"/>
    <w:rsid w:val="00B4671B"/>
    <w:rsid w:val="00B85DB7"/>
    <w:rsid w:val="00BA438B"/>
    <w:rsid w:val="00BA5D33"/>
    <w:rsid w:val="00BE1F32"/>
    <w:rsid w:val="00BE2FA9"/>
    <w:rsid w:val="00BF6C5B"/>
    <w:rsid w:val="00C01A84"/>
    <w:rsid w:val="00C04F8E"/>
    <w:rsid w:val="00C0677A"/>
    <w:rsid w:val="00C12A9E"/>
    <w:rsid w:val="00C269AE"/>
    <w:rsid w:val="00C41A60"/>
    <w:rsid w:val="00C60698"/>
    <w:rsid w:val="00C90483"/>
    <w:rsid w:val="00C953CB"/>
    <w:rsid w:val="00CA349C"/>
    <w:rsid w:val="00CE4675"/>
    <w:rsid w:val="00CF10F1"/>
    <w:rsid w:val="00D03D75"/>
    <w:rsid w:val="00D154B6"/>
    <w:rsid w:val="00D31649"/>
    <w:rsid w:val="00D3566D"/>
    <w:rsid w:val="00D379CD"/>
    <w:rsid w:val="00D528B0"/>
    <w:rsid w:val="00D64711"/>
    <w:rsid w:val="00D651F8"/>
    <w:rsid w:val="00D8040B"/>
    <w:rsid w:val="00D82331"/>
    <w:rsid w:val="00D84DE5"/>
    <w:rsid w:val="00DA3C12"/>
    <w:rsid w:val="00DA4FB8"/>
    <w:rsid w:val="00DB3DAC"/>
    <w:rsid w:val="00DD1CA3"/>
    <w:rsid w:val="00DD745A"/>
    <w:rsid w:val="00DE4532"/>
    <w:rsid w:val="00DE69B3"/>
    <w:rsid w:val="00E0332B"/>
    <w:rsid w:val="00E166B7"/>
    <w:rsid w:val="00E2144F"/>
    <w:rsid w:val="00E26301"/>
    <w:rsid w:val="00E400EB"/>
    <w:rsid w:val="00E42157"/>
    <w:rsid w:val="00E57AD3"/>
    <w:rsid w:val="00E60768"/>
    <w:rsid w:val="00E678B2"/>
    <w:rsid w:val="00E77183"/>
    <w:rsid w:val="00E82AA5"/>
    <w:rsid w:val="00E851D6"/>
    <w:rsid w:val="00E865BE"/>
    <w:rsid w:val="00E95DDB"/>
    <w:rsid w:val="00EC0140"/>
    <w:rsid w:val="00EC0598"/>
    <w:rsid w:val="00EC05C0"/>
    <w:rsid w:val="00ED69D9"/>
    <w:rsid w:val="00F0326B"/>
    <w:rsid w:val="00F16E34"/>
    <w:rsid w:val="00F508F8"/>
    <w:rsid w:val="00F533B0"/>
    <w:rsid w:val="00F64BEF"/>
    <w:rsid w:val="00F71B90"/>
    <w:rsid w:val="00F74F87"/>
    <w:rsid w:val="00F9761B"/>
    <w:rsid w:val="00FA4091"/>
    <w:rsid w:val="00FD3101"/>
    <w:rsid w:val="00FE43BC"/>
    <w:rsid w:val="00FE4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6D"/>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379CD"/>
    <w:pPr>
      <w:spacing w:after="0" w:line="240" w:lineRule="auto"/>
    </w:pPr>
    <w:rPr>
      <w:rFonts w:ascii="Arial" w:eastAsia="Times New Roman" w:hAnsi="Arial" w:cs="Arial"/>
      <w:b/>
      <w:iCs/>
    </w:rPr>
  </w:style>
  <w:style w:type="character" w:styleId="Hyperlink">
    <w:name w:val="Hyperlink"/>
    <w:basedOn w:val="DefaultParagraphFont"/>
    <w:uiPriority w:val="99"/>
    <w:unhideWhenUsed/>
    <w:rsid w:val="00D3566D"/>
    <w:rPr>
      <w:color w:val="711471" w:themeColor="hyperlink"/>
      <w:u w:val="single"/>
    </w:rPr>
  </w:style>
  <w:style w:type="paragraph" w:customStyle="1" w:styleId="TLESParagraph">
    <w:name w:val="TLES Paragraph"/>
    <w:basedOn w:val="Normal"/>
    <w:qFormat/>
    <w:rsid w:val="004045BA"/>
    <w:pPr>
      <w:spacing w:before="120" w:after="120"/>
    </w:pPr>
    <w:rPr>
      <w:rFonts w:cstheme="minorHAnsi"/>
      <w:color w:val="101011" w:themeColor="text2" w:themeShade="BF"/>
      <w:sz w:val="20"/>
      <w:szCs w:val="20"/>
    </w:rPr>
  </w:style>
  <w:style w:type="paragraph" w:customStyle="1" w:styleId="TLESHeading1">
    <w:name w:val="TLES Heading 1"/>
    <w:basedOn w:val="Normal"/>
    <w:qFormat/>
    <w:rsid w:val="00E82AA5"/>
    <w:pPr>
      <w:spacing w:before="240" w:after="120" w:line="360" w:lineRule="exact"/>
    </w:pPr>
    <w:rPr>
      <w:rFonts w:cstheme="minorHAnsi"/>
      <w:b/>
      <w:color w:val="005295" w:themeColor="text1"/>
      <w:sz w:val="32"/>
      <w:szCs w:val="32"/>
    </w:rPr>
  </w:style>
  <w:style w:type="paragraph" w:customStyle="1" w:styleId="TLESBullet1">
    <w:name w:val="TLES Bullet 1"/>
    <w:basedOn w:val="ListParagraph"/>
    <w:qFormat/>
    <w:rsid w:val="00D3566D"/>
    <w:pPr>
      <w:numPr>
        <w:numId w:val="1"/>
      </w:numPr>
      <w:spacing w:after="120"/>
      <w:contextualSpacing w:val="0"/>
    </w:pPr>
    <w:rPr>
      <w:rFonts w:cstheme="minorHAnsi"/>
      <w:color w:val="101011" w:themeColor="text2" w:themeShade="BF"/>
      <w:sz w:val="20"/>
      <w:szCs w:val="20"/>
    </w:rPr>
  </w:style>
  <w:style w:type="paragraph" w:styleId="Header">
    <w:name w:val="header"/>
    <w:basedOn w:val="Normal"/>
    <w:link w:val="HeaderChar"/>
    <w:uiPriority w:val="99"/>
    <w:unhideWhenUsed/>
    <w:rsid w:val="00D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6D"/>
    <w:rPr>
      <w:rFonts w:asciiTheme="minorHAnsi" w:hAnsiTheme="minorHAnsi"/>
      <w:sz w:val="22"/>
      <w:szCs w:val="22"/>
    </w:rPr>
  </w:style>
  <w:style w:type="paragraph" w:customStyle="1" w:styleId="TLESTitle">
    <w:name w:val="TLES Title"/>
    <w:basedOn w:val="Normal"/>
    <w:qFormat/>
    <w:rsid w:val="00EC05C0"/>
    <w:pPr>
      <w:spacing w:before="360"/>
      <w:ind w:left="1440"/>
    </w:pPr>
    <w:rPr>
      <w:rFonts w:cstheme="minorHAnsi"/>
      <w:b/>
      <w:caps/>
      <w:color w:val="005295" w:themeColor="text1"/>
      <w:sz w:val="36"/>
      <w:szCs w:val="40"/>
    </w:rPr>
  </w:style>
  <w:style w:type="paragraph" w:styleId="ListParagraph">
    <w:name w:val="List Paragraph"/>
    <w:basedOn w:val="Normal"/>
    <w:uiPriority w:val="34"/>
    <w:qFormat/>
    <w:rsid w:val="00D3566D"/>
    <w:pPr>
      <w:ind w:left="720"/>
      <w:contextualSpacing/>
    </w:pPr>
  </w:style>
  <w:style w:type="paragraph" w:styleId="Footer">
    <w:name w:val="footer"/>
    <w:basedOn w:val="Normal"/>
    <w:link w:val="FooterChar"/>
    <w:uiPriority w:val="99"/>
    <w:unhideWhenUsed/>
    <w:rsid w:val="00D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6D"/>
    <w:rPr>
      <w:rFonts w:asciiTheme="minorHAnsi" w:hAnsiTheme="minorHAnsi"/>
      <w:sz w:val="22"/>
      <w:szCs w:val="22"/>
    </w:rPr>
  </w:style>
  <w:style w:type="paragraph" w:styleId="BalloonText">
    <w:name w:val="Balloon Text"/>
    <w:basedOn w:val="Normal"/>
    <w:link w:val="BalloonTextChar"/>
    <w:uiPriority w:val="99"/>
    <w:semiHidden/>
    <w:unhideWhenUsed/>
    <w:rsid w:val="00D3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6D"/>
    <w:rPr>
      <w:rFonts w:ascii="Tahoma" w:hAnsi="Tahoma" w:cs="Tahoma"/>
      <w:sz w:val="16"/>
      <w:szCs w:val="16"/>
    </w:rPr>
  </w:style>
  <w:style w:type="character" w:customStyle="1" w:styleId="PCharBold">
    <w:name w:val="P.Char Bold"/>
    <w:rsid w:val="002E61C0"/>
    <w:rPr>
      <w:b/>
    </w:rPr>
  </w:style>
  <w:style w:type="character" w:styleId="Emphasis">
    <w:name w:val="Emphasis"/>
    <w:basedOn w:val="DefaultParagraphFont"/>
    <w:uiPriority w:val="20"/>
    <w:qFormat/>
    <w:rsid w:val="002E61C0"/>
    <w:rPr>
      <w:i/>
      <w:iCs/>
    </w:rPr>
  </w:style>
  <w:style w:type="character" w:styleId="CommentReference">
    <w:name w:val="annotation reference"/>
    <w:basedOn w:val="DefaultParagraphFont"/>
    <w:uiPriority w:val="99"/>
    <w:semiHidden/>
    <w:unhideWhenUsed/>
    <w:rsid w:val="006E5F0F"/>
    <w:rPr>
      <w:sz w:val="16"/>
      <w:szCs w:val="16"/>
    </w:rPr>
  </w:style>
  <w:style w:type="paragraph" w:styleId="CommentText">
    <w:name w:val="annotation text"/>
    <w:basedOn w:val="Normal"/>
    <w:link w:val="CommentTextChar"/>
    <w:uiPriority w:val="99"/>
    <w:semiHidden/>
    <w:unhideWhenUsed/>
    <w:rsid w:val="006E5F0F"/>
    <w:pPr>
      <w:spacing w:line="240" w:lineRule="auto"/>
    </w:pPr>
    <w:rPr>
      <w:sz w:val="20"/>
      <w:szCs w:val="20"/>
    </w:rPr>
  </w:style>
  <w:style w:type="character" w:customStyle="1" w:styleId="CommentTextChar">
    <w:name w:val="Comment Text Char"/>
    <w:basedOn w:val="DefaultParagraphFont"/>
    <w:link w:val="CommentText"/>
    <w:uiPriority w:val="99"/>
    <w:semiHidden/>
    <w:rsid w:val="006E5F0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E5F0F"/>
    <w:rPr>
      <w:b/>
      <w:bCs/>
    </w:rPr>
  </w:style>
  <w:style w:type="character" w:customStyle="1" w:styleId="CommentSubjectChar">
    <w:name w:val="Comment Subject Char"/>
    <w:basedOn w:val="CommentTextChar"/>
    <w:link w:val="CommentSubject"/>
    <w:uiPriority w:val="99"/>
    <w:semiHidden/>
    <w:rsid w:val="006E5F0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4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kurki@air.org|" TargetMode="Externa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IR Dark Bkg">
      <a:dk1>
        <a:srgbClr val="005295"/>
      </a:dk1>
      <a:lt1>
        <a:srgbClr val="FFFFFF"/>
      </a:lt1>
      <a:dk2>
        <a:srgbClr val="161617"/>
      </a:dk2>
      <a:lt2>
        <a:srgbClr val="E4E5E6"/>
      </a:lt2>
      <a:accent1>
        <a:srgbClr val="53ADAB"/>
      </a:accent1>
      <a:accent2>
        <a:srgbClr val="78AF4F"/>
      </a:accent2>
      <a:accent3>
        <a:srgbClr val="D3A01F"/>
      </a:accent3>
      <a:accent4>
        <a:srgbClr val="D06F1A"/>
      </a:accent4>
      <a:accent5>
        <a:srgbClr val="336899"/>
      </a:accent5>
      <a:accent6>
        <a:srgbClr val="5F864A"/>
      </a:accent6>
      <a:hlink>
        <a:srgbClr val="711471"/>
      </a:hlink>
      <a:folHlink>
        <a:srgbClr val="3177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King</dc:creator>
  <cp:lastModifiedBy>kathy.axt</cp:lastModifiedBy>
  <cp:revision>2</cp:revision>
  <dcterms:created xsi:type="dcterms:W3CDTF">2012-02-17T21:11:00Z</dcterms:created>
  <dcterms:modified xsi:type="dcterms:W3CDTF">2012-02-17T21:11:00Z</dcterms:modified>
</cp:coreProperties>
</file>