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1AC" w:rsidRPr="00730E2D" w:rsidRDefault="00C451AC" w:rsidP="00C451AC">
      <w:pPr>
        <w:jc w:val="center"/>
        <w:rPr>
          <w:rFonts w:asciiTheme="minorHAnsi" w:hAnsiTheme="minorHAnsi"/>
          <w:b/>
          <w:sz w:val="28"/>
          <w:szCs w:val="28"/>
        </w:rPr>
      </w:pPr>
      <w:r w:rsidRPr="00730E2D">
        <w:rPr>
          <w:rFonts w:asciiTheme="minorHAnsi" w:hAnsiTheme="minorHAnsi"/>
          <w:b/>
          <w:sz w:val="28"/>
          <w:szCs w:val="28"/>
        </w:rPr>
        <w:t>Supporting Statement</w:t>
      </w:r>
    </w:p>
    <w:p w:rsidR="00C451AC" w:rsidRPr="00730E2D" w:rsidRDefault="00F51433" w:rsidP="00C451AC">
      <w:pPr>
        <w:jc w:val="center"/>
        <w:rPr>
          <w:rFonts w:asciiTheme="minorHAnsi" w:hAnsiTheme="minorHAnsi"/>
          <w:b/>
          <w:sz w:val="28"/>
          <w:szCs w:val="28"/>
        </w:rPr>
      </w:pPr>
      <w:r w:rsidRPr="00730E2D">
        <w:rPr>
          <w:rFonts w:asciiTheme="minorHAnsi" w:hAnsiTheme="minorHAnsi"/>
          <w:b/>
          <w:sz w:val="28"/>
          <w:szCs w:val="28"/>
        </w:rPr>
        <w:t>State Energy</w:t>
      </w:r>
      <w:r w:rsidR="00C451AC" w:rsidRPr="00730E2D">
        <w:rPr>
          <w:rFonts w:asciiTheme="minorHAnsi" w:hAnsiTheme="minorHAnsi"/>
          <w:b/>
          <w:sz w:val="28"/>
          <w:szCs w:val="28"/>
        </w:rPr>
        <w:t xml:space="preserve"> Program Evaluation</w:t>
      </w:r>
    </w:p>
    <w:p w:rsidR="00C451AC" w:rsidRPr="00730E2D" w:rsidRDefault="00C451AC" w:rsidP="00C451AC">
      <w:pPr>
        <w:jc w:val="center"/>
        <w:rPr>
          <w:rFonts w:asciiTheme="minorHAnsi" w:hAnsiTheme="minorHAnsi"/>
          <w:b/>
        </w:rPr>
      </w:pPr>
      <w:r w:rsidRPr="00730E2D">
        <w:rPr>
          <w:rFonts w:asciiTheme="minorHAnsi" w:hAnsiTheme="minorHAnsi"/>
          <w:b/>
          <w:sz w:val="28"/>
          <w:szCs w:val="28"/>
        </w:rPr>
        <w:t xml:space="preserve">OMB Control Number:  </w:t>
      </w:r>
      <w:r w:rsidR="0019319A" w:rsidRPr="00730E2D">
        <w:rPr>
          <w:rFonts w:asciiTheme="minorHAnsi" w:hAnsiTheme="minorHAnsi"/>
          <w:b/>
          <w:sz w:val="28"/>
          <w:szCs w:val="28"/>
        </w:rPr>
        <w:t>XXXX</w:t>
      </w:r>
      <w:r w:rsidR="00BA640C" w:rsidRPr="00730E2D">
        <w:rPr>
          <w:rFonts w:asciiTheme="minorHAnsi" w:hAnsiTheme="minorHAnsi"/>
          <w:b/>
          <w:sz w:val="28"/>
          <w:szCs w:val="28"/>
        </w:rPr>
        <w:t>-</w:t>
      </w:r>
      <w:r w:rsidR="0019319A" w:rsidRPr="00730E2D">
        <w:rPr>
          <w:rFonts w:asciiTheme="minorHAnsi" w:hAnsiTheme="minorHAnsi"/>
          <w:b/>
          <w:sz w:val="28"/>
          <w:szCs w:val="28"/>
        </w:rPr>
        <w:t>XXXX</w:t>
      </w:r>
    </w:p>
    <w:p w:rsidR="00C451AC" w:rsidRPr="00730E2D" w:rsidRDefault="00C451AC" w:rsidP="00C451AC">
      <w:pPr>
        <w:jc w:val="center"/>
        <w:rPr>
          <w:rFonts w:asciiTheme="minorHAnsi" w:hAnsiTheme="minorHAnsi"/>
          <w:b/>
          <w:sz w:val="28"/>
          <w:szCs w:val="28"/>
        </w:rPr>
      </w:pPr>
    </w:p>
    <w:p w:rsidR="00E61E68" w:rsidRPr="00730E2D" w:rsidRDefault="00E61E68" w:rsidP="00E61E68">
      <w:pPr>
        <w:rPr>
          <w:rFonts w:asciiTheme="minorHAnsi" w:hAnsiTheme="minorHAnsi"/>
          <w:sz w:val="28"/>
          <w:szCs w:val="28"/>
          <w:u w:val="single"/>
        </w:rPr>
      </w:pPr>
      <w:r w:rsidRPr="00730E2D">
        <w:rPr>
          <w:rFonts w:asciiTheme="minorHAnsi" w:hAnsiTheme="minorHAnsi"/>
          <w:b/>
          <w:sz w:val="28"/>
          <w:szCs w:val="28"/>
        </w:rPr>
        <w:t xml:space="preserve">B. </w:t>
      </w:r>
      <w:r w:rsidRPr="00730E2D">
        <w:rPr>
          <w:rFonts w:asciiTheme="minorHAnsi" w:hAnsiTheme="minorHAnsi"/>
          <w:b/>
          <w:sz w:val="28"/>
          <w:szCs w:val="28"/>
          <w:u w:val="single"/>
        </w:rPr>
        <w:t>Collections of Information Employing Statistical Methods</w:t>
      </w:r>
    </w:p>
    <w:p w:rsidR="00E61E68" w:rsidRPr="00730E2D" w:rsidRDefault="00E61E68" w:rsidP="00E61E68">
      <w:pPr>
        <w:ind w:left="360"/>
        <w:rPr>
          <w:rFonts w:asciiTheme="minorHAnsi" w:hAnsiTheme="minorHAnsi"/>
          <w:b/>
          <w:i/>
        </w:rPr>
      </w:pPr>
    </w:p>
    <w:p w:rsidR="00AB2240" w:rsidRPr="00730E2D" w:rsidRDefault="00E61E68" w:rsidP="00AB2240">
      <w:pPr>
        <w:numPr>
          <w:ilvl w:val="0"/>
          <w:numId w:val="14"/>
        </w:numPr>
        <w:rPr>
          <w:rFonts w:asciiTheme="minorHAnsi" w:hAnsiTheme="minorHAnsi"/>
          <w:b/>
          <w:bCs/>
          <w:u w:val="single"/>
        </w:rPr>
      </w:pPr>
      <w:r w:rsidRPr="00730E2D">
        <w:rPr>
          <w:rFonts w:asciiTheme="minorHAnsi" w:hAnsiTheme="minorHAnsi"/>
          <w:b/>
          <w:u w:val="single"/>
        </w:rPr>
        <w:t>Describe (including a numerical estimate) the potential respondent universe and any sampling or other respondent selection methods to be used.</w:t>
      </w:r>
    </w:p>
    <w:p w:rsidR="00AB2240" w:rsidRPr="00730E2D" w:rsidRDefault="00AB2240" w:rsidP="00AB2240">
      <w:pPr>
        <w:ind w:left="360"/>
        <w:rPr>
          <w:rFonts w:asciiTheme="minorHAnsi" w:hAnsiTheme="minorHAnsi"/>
          <w:b/>
        </w:rPr>
      </w:pPr>
    </w:p>
    <w:p w:rsidR="00FB3127" w:rsidRPr="00730E2D" w:rsidRDefault="00FB3127" w:rsidP="00FB3127">
      <w:pPr>
        <w:ind w:left="360"/>
        <w:rPr>
          <w:rFonts w:asciiTheme="minorHAnsi" w:hAnsiTheme="minorHAnsi"/>
          <w:b/>
          <w:bCs/>
          <w:u w:val="single"/>
        </w:rPr>
      </w:pPr>
      <w:r w:rsidRPr="00730E2D">
        <w:rPr>
          <w:rFonts w:asciiTheme="minorHAnsi" w:hAnsiTheme="minorHAnsi"/>
          <w:b/>
        </w:rPr>
        <w:t>Overview of SEP Programmatic Activities and Sampling Plan</w:t>
      </w:r>
    </w:p>
    <w:p w:rsidR="00FB3127" w:rsidRPr="00730E2D" w:rsidRDefault="00FB3127" w:rsidP="00AB2240">
      <w:pPr>
        <w:ind w:left="360"/>
        <w:rPr>
          <w:rFonts w:asciiTheme="minorHAnsi" w:hAnsiTheme="minorHAnsi"/>
          <w:b/>
        </w:rPr>
      </w:pPr>
    </w:p>
    <w:p w:rsidR="008761AC" w:rsidRPr="00730E2D" w:rsidRDefault="0039747F" w:rsidP="00730E2D">
      <w:pPr>
        <w:jc w:val="both"/>
        <w:rPr>
          <w:rFonts w:asciiTheme="minorHAnsi" w:hAnsiTheme="minorHAnsi"/>
        </w:rPr>
      </w:pPr>
      <w:r w:rsidRPr="00730E2D">
        <w:rPr>
          <w:rFonts w:asciiTheme="minorHAnsi" w:hAnsiTheme="minorHAnsi"/>
        </w:rPr>
        <w:t>As discussed the overall objecti</w:t>
      </w:r>
      <w:r w:rsidR="008761AC" w:rsidRPr="00730E2D">
        <w:rPr>
          <w:rFonts w:asciiTheme="minorHAnsi" w:hAnsiTheme="minorHAnsi"/>
        </w:rPr>
        <w:t xml:space="preserve">ve </w:t>
      </w:r>
      <w:r w:rsidR="00214CAA" w:rsidRPr="00730E2D">
        <w:rPr>
          <w:rFonts w:asciiTheme="minorHAnsi" w:hAnsiTheme="minorHAnsi"/>
        </w:rPr>
        <w:t xml:space="preserve">of </w:t>
      </w:r>
      <w:r w:rsidR="008761AC" w:rsidRPr="00730E2D">
        <w:rPr>
          <w:rFonts w:asciiTheme="minorHAnsi" w:hAnsiTheme="minorHAnsi"/>
        </w:rPr>
        <w:t xml:space="preserve">this study </w:t>
      </w:r>
      <w:r w:rsidR="00214CAA" w:rsidRPr="00730E2D">
        <w:rPr>
          <w:rFonts w:asciiTheme="minorHAnsi" w:hAnsiTheme="minorHAnsi"/>
        </w:rPr>
        <w:t xml:space="preserve">is </w:t>
      </w:r>
      <w:r w:rsidR="008761AC" w:rsidRPr="00730E2D">
        <w:rPr>
          <w:rFonts w:asciiTheme="minorHAnsi" w:hAnsiTheme="minorHAnsi"/>
        </w:rPr>
        <w:t>to provide quantitative estimates</w:t>
      </w:r>
      <w:r w:rsidR="00087396" w:rsidRPr="00730E2D">
        <w:rPr>
          <w:rFonts w:asciiTheme="minorHAnsi" w:hAnsiTheme="minorHAnsi"/>
        </w:rPr>
        <w:t>,</w:t>
      </w:r>
      <w:r w:rsidR="008761AC" w:rsidRPr="00730E2D">
        <w:rPr>
          <w:rFonts w:asciiTheme="minorHAnsi" w:hAnsiTheme="minorHAnsi"/>
        </w:rPr>
        <w:t xml:space="preserve"> </w:t>
      </w:r>
      <w:r w:rsidR="00087396" w:rsidRPr="00730E2D">
        <w:rPr>
          <w:rFonts w:asciiTheme="minorHAnsi" w:hAnsiTheme="minorHAnsi"/>
        </w:rPr>
        <w:t xml:space="preserve">at the national level, </w:t>
      </w:r>
      <w:r w:rsidR="008761AC" w:rsidRPr="00730E2D">
        <w:rPr>
          <w:rFonts w:asciiTheme="minorHAnsi" w:hAnsiTheme="minorHAnsi"/>
        </w:rPr>
        <w:t>of key program outcomes r</w:t>
      </w:r>
      <w:r w:rsidR="00087396" w:rsidRPr="00730E2D">
        <w:rPr>
          <w:rFonts w:asciiTheme="minorHAnsi" w:hAnsiTheme="minorHAnsi"/>
        </w:rPr>
        <w:t>esulting from the State Energy P</w:t>
      </w:r>
      <w:r w:rsidR="008761AC" w:rsidRPr="00730E2D">
        <w:rPr>
          <w:rFonts w:asciiTheme="minorHAnsi" w:hAnsiTheme="minorHAnsi"/>
        </w:rPr>
        <w:t xml:space="preserve">rogram </w:t>
      </w:r>
      <w:r w:rsidR="00087396" w:rsidRPr="00730E2D">
        <w:rPr>
          <w:rFonts w:asciiTheme="minorHAnsi" w:hAnsiTheme="minorHAnsi"/>
        </w:rPr>
        <w:t xml:space="preserve">(SEP) </w:t>
      </w:r>
      <w:r w:rsidR="0074673F" w:rsidRPr="00730E2D">
        <w:rPr>
          <w:rFonts w:asciiTheme="minorHAnsi" w:hAnsiTheme="minorHAnsi"/>
        </w:rPr>
        <w:t>in 2008 and ARRA periods</w:t>
      </w:r>
      <w:r w:rsidR="00B40ABE" w:rsidRPr="00730E2D">
        <w:rPr>
          <w:rFonts w:asciiTheme="minorHAnsi" w:hAnsiTheme="minorHAnsi"/>
        </w:rPr>
        <w:t xml:space="preserve"> (2009-2011)</w:t>
      </w:r>
      <w:r w:rsidR="0074673F" w:rsidRPr="00730E2D">
        <w:rPr>
          <w:rFonts w:asciiTheme="minorHAnsi" w:hAnsiTheme="minorHAnsi"/>
        </w:rPr>
        <w:t xml:space="preserve">.  </w:t>
      </w:r>
      <w:r w:rsidR="00214CAA" w:rsidRPr="00730E2D">
        <w:rPr>
          <w:rFonts w:asciiTheme="minorHAnsi" w:hAnsiTheme="minorHAnsi"/>
        </w:rPr>
        <w:t>The principal outcomes to be quantified are:</w:t>
      </w:r>
    </w:p>
    <w:p w:rsidR="008761AC" w:rsidRPr="00730E2D" w:rsidRDefault="008761AC" w:rsidP="00730E2D">
      <w:pPr>
        <w:jc w:val="both"/>
        <w:rPr>
          <w:rFonts w:asciiTheme="minorHAnsi" w:hAnsiTheme="minorHAnsi"/>
        </w:rPr>
      </w:pPr>
    </w:p>
    <w:p w:rsidR="008761AC" w:rsidRPr="00730E2D" w:rsidRDefault="008761AC" w:rsidP="00730E2D">
      <w:pPr>
        <w:pStyle w:val="ListParagraph"/>
        <w:numPr>
          <w:ilvl w:val="0"/>
          <w:numId w:val="31"/>
        </w:numPr>
        <w:jc w:val="both"/>
        <w:rPr>
          <w:rFonts w:asciiTheme="minorHAnsi" w:hAnsiTheme="minorHAnsi"/>
        </w:rPr>
      </w:pPr>
      <w:r w:rsidRPr="00730E2D">
        <w:rPr>
          <w:rFonts w:asciiTheme="minorHAnsi" w:hAnsiTheme="minorHAnsi"/>
        </w:rPr>
        <w:t>Energy and demand savings;</w:t>
      </w:r>
    </w:p>
    <w:p w:rsidR="008761AC" w:rsidRPr="00730E2D" w:rsidRDefault="008761AC" w:rsidP="00730E2D">
      <w:pPr>
        <w:pStyle w:val="ListParagraph"/>
        <w:numPr>
          <w:ilvl w:val="0"/>
          <w:numId w:val="31"/>
        </w:numPr>
        <w:jc w:val="both"/>
        <w:rPr>
          <w:rFonts w:asciiTheme="minorHAnsi" w:hAnsiTheme="minorHAnsi"/>
        </w:rPr>
      </w:pPr>
      <w:r w:rsidRPr="00730E2D">
        <w:rPr>
          <w:rFonts w:asciiTheme="minorHAnsi" w:hAnsiTheme="minorHAnsi"/>
        </w:rPr>
        <w:t>Renewable energy generation;</w:t>
      </w:r>
    </w:p>
    <w:p w:rsidR="008761AC" w:rsidRPr="00730E2D" w:rsidRDefault="008761AC" w:rsidP="00730E2D">
      <w:pPr>
        <w:pStyle w:val="ListParagraph"/>
        <w:numPr>
          <w:ilvl w:val="0"/>
          <w:numId w:val="31"/>
        </w:numPr>
        <w:jc w:val="both"/>
        <w:rPr>
          <w:rFonts w:asciiTheme="minorHAnsi" w:hAnsiTheme="minorHAnsi"/>
        </w:rPr>
      </w:pPr>
      <w:r w:rsidRPr="00730E2D">
        <w:rPr>
          <w:rFonts w:asciiTheme="minorHAnsi" w:hAnsiTheme="minorHAnsi"/>
        </w:rPr>
        <w:t xml:space="preserve">Energy cost savings; </w:t>
      </w:r>
    </w:p>
    <w:p w:rsidR="008761AC" w:rsidRPr="00730E2D" w:rsidRDefault="008761AC" w:rsidP="00730E2D">
      <w:pPr>
        <w:pStyle w:val="ListParagraph"/>
        <w:numPr>
          <w:ilvl w:val="0"/>
          <w:numId w:val="31"/>
        </w:numPr>
        <w:jc w:val="both"/>
        <w:rPr>
          <w:rFonts w:asciiTheme="minorHAnsi" w:hAnsiTheme="minorHAnsi"/>
        </w:rPr>
      </w:pPr>
      <w:r w:rsidRPr="00730E2D">
        <w:rPr>
          <w:rFonts w:asciiTheme="minorHAnsi" w:hAnsiTheme="minorHAnsi"/>
        </w:rPr>
        <w:t xml:space="preserve">Carbon emissions reductions; and </w:t>
      </w:r>
    </w:p>
    <w:p w:rsidR="008761AC" w:rsidRPr="00730E2D" w:rsidRDefault="008761AC" w:rsidP="00730E2D">
      <w:pPr>
        <w:pStyle w:val="ListParagraph"/>
        <w:numPr>
          <w:ilvl w:val="0"/>
          <w:numId w:val="31"/>
        </w:numPr>
        <w:jc w:val="both"/>
        <w:rPr>
          <w:rFonts w:asciiTheme="minorHAnsi" w:hAnsiTheme="minorHAnsi"/>
        </w:rPr>
      </w:pPr>
      <w:r w:rsidRPr="00730E2D">
        <w:rPr>
          <w:rFonts w:asciiTheme="minorHAnsi" w:hAnsiTheme="minorHAnsi"/>
        </w:rPr>
        <w:t>Job impacts.</w:t>
      </w:r>
    </w:p>
    <w:p w:rsidR="00542110" w:rsidRPr="00730E2D" w:rsidRDefault="00B244F2" w:rsidP="00730E2D">
      <w:pPr>
        <w:jc w:val="both"/>
        <w:rPr>
          <w:rFonts w:asciiTheme="minorHAnsi" w:hAnsiTheme="minorHAnsi"/>
        </w:rPr>
      </w:pPr>
      <w:r w:rsidRPr="00730E2D">
        <w:rPr>
          <w:rFonts w:asciiTheme="minorHAnsi" w:hAnsiTheme="minorHAnsi"/>
        </w:rPr>
        <w:t xml:space="preserve">Over the </w:t>
      </w:r>
      <w:r w:rsidR="00783FAE" w:rsidRPr="00730E2D">
        <w:rPr>
          <w:rFonts w:asciiTheme="minorHAnsi" w:hAnsiTheme="minorHAnsi"/>
        </w:rPr>
        <w:t xml:space="preserve">course of the </w:t>
      </w:r>
      <w:r w:rsidRPr="00730E2D">
        <w:rPr>
          <w:rFonts w:asciiTheme="minorHAnsi" w:hAnsiTheme="minorHAnsi"/>
        </w:rPr>
        <w:t>study</w:t>
      </w:r>
      <w:r w:rsidR="00783FAE" w:rsidRPr="00730E2D">
        <w:rPr>
          <w:rFonts w:asciiTheme="minorHAnsi" w:hAnsiTheme="minorHAnsi"/>
        </w:rPr>
        <w:t xml:space="preserve"> period</w:t>
      </w:r>
      <w:r w:rsidR="00087396" w:rsidRPr="00730E2D">
        <w:rPr>
          <w:rFonts w:asciiTheme="minorHAnsi" w:hAnsiTheme="minorHAnsi"/>
        </w:rPr>
        <w:t xml:space="preserve">, </w:t>
      </w:r>
      <w:r w:rsidR="00754EA7" w:rsidRPr="00730E2D">
        <w:rPr>
          <w:rFonts w:asciiTheme="minorHAnsi" w:hAnsiTheme="minorHAnsi"/>
        </w:rPr>
        <w:t>S</w:t>
      </w:r>
      <w:r w:rsidR="00087396" w:rsidRPr="00730E2D">
        <w:rPr>
          <w:rFonts w:asciiTheme="minorHAnsi" w:hAnsiTheme="minorHAnsi"/>
        </w:rPr>
        <w:t xml:space="preserve">EP funded thousands of initiatives representing a wide range of strategies to </w:t>
      </w:r>
      <w:r w:rsidRPr="00730E2D">
        <w:rPr>
          <w:rFonts w:asciiTheme="minorHAnsi" w:hAnsiTheme="minorHAnsi"/>
        </w:rPr>
        <w:t xml:space="preserve">reduce </w:t>
      </w:r>
      <w:r w:rsidR="00087396" w:rsidRPr="00730E2D">
        <w:rPr>
          <w:rFonts w:asciiTheme="minorHAnsi" w:hAnsiTheme="minorHAnsi"/>
        </w:rPr>
        <w:t xml:space="preserve">energy </w:t>
      </w:r>
      <w:r w:rsidRPr="00730E2D">
        <w:rPr>
          <w:rFonts w:asciiTheme="minorHAnsi" w:hAnsiTheme="minorHAnsi"/>
        </w:rPr>
        <w:t>consumption including</w:t>
      </w:r>
      <w:r w:rsidR="00542110" w:rsidRPr="00730E2D">
        <w:rPr>
          <w:rFonts w:asciiTheme="minorHAnsi" w:hAnsiTheme="minorHAnsi"/>
        </w:rPr>
        <w:t>:</w:t>
      </w:r>
    </w:p>
    <w:p w:rsidR="00542110" w:rsidRPr="00730E2D" w:rsidRDefault="00542110" w:rsidP="00730E2D">
      <w:pPr>
        <w:jc w:val="both"/>
        <w:rPr>
          <w:rFonts w:asciiTheme="minorHAnsi" w:hAnsiTheme="minorHAnsi"/>
        </w:rPr>
      </w:pPr>
    </w:p>
    <w:p w:rsidR="00542110" w:rsidRPr="00730E2D" w:rsidRDefault="00214CAA" w:rsidP="00730E2D">
      <w:pPr>
        <w:pStyle w:val="ListParagraph"/>
        <w:numPr>
          <w:ilvl w:val="0"/>
          <w:numId w:val="32"/>
        </w:numPr>
        <w:jc w:val="both"/>
        <w:rPr>
          <w:rFonts w:asciiTheme="minorHAnsi" w:hAnsiTheme="minorHAnsi"/>
        </w:rPr>
      </w:pPr>
      <w:r w:rsidRPr="00730E2D">
        <w:rPr>
          <w:rFonts w:asciiTheme="minorHAnsi" w:hAnsiTheme="minorHAnsi"/>
        </w:rPr>
        <w:t xml:space="preserve">Direct </w:t>
      </w:r>
      <w:r w:rsidR="0074673F" w:rsidRPr="00730E2D">
        <w:rPr>
          <w:rFonts w:asciiTheme="minorHAnsi" w:hAnsiTheme="minorHAnsi"/>
        </w:rPr>
        <w:t>s</w:t>
      </w:r>
      <w:r w:rsidRPr="00730E2D">
        <w:rPr>
          <w:rFonts w:asciiTheme="minorHAnsi" w:hAnsiTheme="minorHAnsi"/>
        </w:rPr>
        <w:t xml:space="preserve">ubsidy </w:t>
      </w:r>
      <w:r w:rsidR="00B244F2" w:rsidRPr="00730E2D">
        <w:rPr>
          <w:rFonts w:asciiTheme="minorHAnsi" w:hAnsiTheme="minorHAnsi"/>
        </w:rPr>
        <w:t xml:space="preserve">of </w:t>
      </w:r>
      <w:r w:rsidRPr="00730E2D">
        <w:rPr>
          <w:rFonts w:asciiTheme="minorHAnsi" w:hAnsiTheme="minorHAnsi"/>
        </w:rPr>
        <w:t xml:space="preserve">energy-related </w:t>
      </w:r>
      <w:r w:rsidR="00B244F2" w:rsidRPr="00730E2D">
        <w:rPr>
          <w:rFonts w:asciiTheme="minorHAnsi" w:hAnsiTheme="minorHAnsi"/>
        </w:rPr>
        <w:t>capital improvements</w:t>
      </w:r>
      <w:r w:rsidR="00542110" w:rsidRPr="00730E2D">
        <w:rPr>
          <w:rFonts w:asciiTheme="minorHAnsi" w:hAnsiTheme="minorHAnsi"/>
        </w:rPr>
        <w:t>;</w:t>
      </w:r>
    </w:p>
    <w:p w:rsidR="00542110" w:rsidRPr="00730E2D" w:rsidRDefault="00542110" w:rsidP="00730E2D">
      <w:pPr>
        <w:pStyle w:val="ListParagraph"/>
        <w:numPr>
          <w:ilvl w:val="0"/>
          <w:numId w:val="32"/>
        </w:numPr>
        <w:jc w:val="both"/>
        <w:rPr>
          <w:rFonts w:asciiTheme="minorHAnsi" w:hAnsiTheme="minorHAnsi"/>
        </w:rPr>
      </w:pPr>
      <w:r w:rsidRPr="00730E2D">
        <w:rPr>
          <w:rFonts w:asciiTheme="minorHAnsi" w:hAnsiTheme="minorHAnsi"/>
        </w:rPr>
        <w:t xml:space="preserve">Subsidy </w:t>
      </w:r>
      <w:r w:rsidR="00214CAA" w:rsidRPr="00730E2D">
        <w:rPr>
          <w:rFonts w:asciiTheme="minorHAnsi" w:hAnsiTheme="minorHAnsi"/>
        </w:rPr>
        <w:t xml:space="preserve">of capital improvements </w:t>
      </w:r>
      <w:r w:rsidRPr="00730E2D">
        <w:rPr>
          <w:rFonts w:asciiTheme="minorHAnsi" w:hAnsiTheme="minorHAnsi"/>
        </w:rPr>
        <w:t>via reduced interest loans and guarantees;</w:t>
      </w:r>
    </w:p>
    <w:p w:rsidR="00542110" w:rsidRPr="00730E2D" w:rsidRDefault="00214CAA" w:rsidP="00730E2D">
      <w:pPr>
        <w:pStyle w:val="ListParagraph"/>
        <w:numPr>
          <w:ilvl w:val="0"/>
          <w:numId w:val="32"/>
        </w:numPr>
        <w:jc w:val="both"/>
        <w:rPr>
          <w:rFonts w:asciiTheme="minorHAnsi" w:hAnsiTheme="minorHAnsi"/>
        </w:rPr>
      </w:pPr>
      <w:r w:rsidRPr="00730E2D">
        <w:rPr>
          <w:rFonts w:asciiTheme="minorHAnsi" w:hAnsiTheme="minorHAnsi"/>
        </w:rPr>
        <w:t>Technical training and support for facility managers and equipment vendors</w:t>
      </w:r>
      <w:r w:rsidR="00542110" w:rsidRPr="00730E2D">
        <w:rPr>
          <w:rFonts w:asciiTheme="minorHAnsi" w:hAnsiTheme="minorHAnsi"/>
        </w:rPr>
        <w:t>;</w:t>
      </w:r>
    </w:p>
    <w:p w:rsidR="00214CAA" w:rsidRPr="00730E2D" w:rsidRDefault="00214CAA" w:rsidP="00730E2D">
      <w:pPr>
        <w:pStyle w:val="ListParagraph"/>
        <w:numPr>
          <w:ilvl w:val="0"/>
          <w:numId w:val="32"/>
        </w:numPr>
        <w:jc w:val="both"/>
        <w:rPr>
          <w:rFonts w:asciiTheme="minorHAnsi" w:hAnsiTheme="minorHAnsi"/>
        </w:rPr>
      </w:pPr>
      <w:r w:rsidRPr="00730E2D">
        <w:rPr>
          <w:rFonts w:asciiTheme="minorHAnsi" w:hAnsiTheme="minorHAnsi"/>
        </w:rPr>
        <w:t xml:space="preserve">Support for building code development and enforcement; and, </w:t>
      </w:r>
    </w:p>
    <w:p w:rsidR="00542110" w:rsidRPr="00730E2D" w:rsidRDefault="00542110" w:rsidP="00730E2D">
      <w:pPr>
        <w:pStyle w:val="ListParagraph"/>
        <w:numPr>
          <w:ilvl w:val="0"/>
          <w:numId w:val="32"/>
        </w:numPr>
        <w:jc w:val="both"/>
        <w:rPr>
          <w:rFonts w:asciiTheme="minorHAnsi" w:hAnsiTheme="minorHAnsi"/>
        </w:rPr>
      </w:pPr>
      <w:r w:rsidRPr="00730E2D">
        <w:rPr>
          <w:rFonts w:asciiTheme="minorHAnsi" w:hAnsiTheme="minorHAnsi"/>
        </w:rPr>
        <w:t>Support for broad energy policy development.</w:t>
      </w:r>
    </w:p>
    <w:p w:rsidR="008815B4" w:rsidRPr="00730E2D" w:rsidRDefault="00542110" w:rsidP="00730E2D">
      <w:pPr>
        <w:jc w:val="both"/>
        <w:rPr>
          <w:rFonts w:asciiTheme="minorHAnsi" w:hAnsiTheme="minorHAnsi"/>
        </w:rPr>
      </w:pPr>
      <w:r w:rsidRPr="00730E2D">
        <w:rPr>
          <w:rFonts w:asciiTheme="minorHAnsi" w:hAnsiTheme="minorHAnsi"/>
        </w:rPr>
        <w:t>Give</w:t>
      </w:r>
      <w:r w:rsidR="00783FAE" w:rsidRPr="00730E2D">
        <w:rPr>
          <w:rFonts w:asciiTheme="minorHAnsi" w:hAnsiTheme="minorHAnsi"/>
        </w:rPr>
        <w:t>n</w:t>
      </w:r>
      <w:r w:rsidRPr="00730E2D">
        <w:rPr>
          <w:rFonts w:asciiTheme="minorHAnsi" w:hAnsiTheme="minorHAnsi"/>
        </w:rPr>
        <w:t xml:space="preserve"> the breadth of SEP and ARRA funded </w:t>
      </w:r>
      <w:r w:rsidR="007716DE" w:rsidRPr="00730E2D">
        <w:rPr>
          <w:rFonts w:asciiTheme="minorHAnsi" w:hAnsiTheme="minorHAnsi"/>
        </w:rPr>
        <w:t>initiatives</w:t>
      </w:r>
      <w:r w:rsidRPr="00730E2D">
        <w:rPr>
          <w:rFonts w:asciiTheme="minorHAnsi" w:hAnsiTheme="minorHAnsi"/>
        </w:rPr>
        <w:t>, evaluation</w:t>
      </w:r>
      <w:r w:rsidR="00783FAE" w:rsidRPr="00730E2D">
        <w:rPr>
          <w:rFonts w:asciiTheme="minorHAnsi" w:hAnsiTheme="minorHAnsi"/>
        </w:rPr>
        <w:t xml:space="preserve"> of these activities </w:t>
      </w:r>
      <w:r w:rsidR="00214CAA" w:rsidRPr="00730E2D">
        <w:rPr>
          <w:rFonts w:asciiTheme="minorHAnsi" w:hAnsiTheme="minorHAnsi"/>
        </w:rPr>
        <w:t xml:space="preserve">requires </w:t>
      </w:r>
      <w:r w:rsidRPr="00730E2D">
        <w:rPr>
          <w:rFonts w:asciiTheme="minorHAnsi" w:hAnsiTheme="minorHAnsi"/>
        </w:rPr>
        <w:t>a two</w:t>
      </w:r>
      <w:r w:rsidR="00214CAA" w:rsidRPr="00730E2D">
        <w:rPr>
          <w:rFonts w:asciiTheme="minorHAnsi" w:hAnsiTheme="minorHAnsi"/>
        </w:rPr>
        <w:t>-</w:t>
      </w:r>
      <w:r w:rsidRPr="00730E2D">
        <w:rPr>
          <w:rFonts w:asciiTheme="minorHAnsi" w:hAnsiTheme="minorHAnsi"/>
        </w:rPr>
        <w:t xml:space="preserve">stage sampling approach.  </w:t>
      </w:r>
      <w:r w:rsidR="00783FAE" w:rsidRPr="00730E2D">
        <w:rPr>
          <w:rFonts w:asciiTheme="minorHAnsi" w:hAnsiTheme="minorHAnsi"/>
        </w:rPr>
        <w:t xml:space="preserve">In the first </w:t>
      </w:r>
      <w:r w:rsidR="0047581B" w:rsidRPr="00730E2D">
        <w:rPr>
          <w:rFonts w:asciiTheme="minorHAnsi" w:hAnsiTheme="minorHAnsi"/>
        </w:rPr>
        <w:t>stage</w:t>
      </w:r>
      <w:r w:rsidR="00783FAE" w:rsidRPr="00730E2D">
        <w:rPr>
          <w:rFonts w:asciiTheme="minorHAnsi" w:hAnsiTheme="minorHAnsi"/>
        </w:rPr>
        <w:t xml:space="preserve">, </w:t>
      </w:r>
      <w:r w:rsidR="003A7106" w:rsidRPr="00730E2D">
        <w:rPr>
          <w:rFonts w:asciiTheme="minorHAnsi" w:hAnsiTheme="minorHAnsi"/>
        </w:rPr>
        <w:t>DOE</w:t>
      </w:r>
      <w:r w:rsidR="00783FAE" w:rsidRPr="00730E2D">
        <w:rPr>
          <w:rFonts w:asciiTheme="minorHAnsi" w:hAnsiTheme="minorHAnsi"/>
        </w:rPr>
        <w:t xml:space="preserve"> </w:t>
      </w:r>
      <w:r w:rsidR="00D008F8" w:rsidRPr="00730E2D">
        <w:rPr>
          <w:rFonts w:asciiTheme="minorHAnsi" w:hAnsiTheme="minorHAnsi"/>
        </w:rPr>
        <w:t>selected the individual state-level initiatives</w:t>
      </w:r>
      <w:r w:rsidR="008815B4" w:rsidRPr="00730E2D">
        <w:rPr>
          <w:rFonts w:asciiTheme="minorHAnsi" w:hAnsiTheme="minorHAnsi"/>
        </w:rPr>
        <w:t>, referred to as Programmatic Activities (PAs),</w:t>
      </w:r>
      <w:r w:rsidR="00D008F8" w:rsidRPr="00730E2D">
        <w:rPr>
          <w:rFonts w:asciiTheme="minorHAnsi" w:hAnsiTheme="minorHAnsi"/>
        </w:rPr>
        <w:t xml:space="preserve"> to be assessed.  </w:t>
      </w:r>
      <w:r w:rsidR="008815B4" w:rsidRPr="00730E2D">
        <w:rPr>
          <w:rFonts w:asciiTheme="minorHAnsi" w:hAnsiTheme="minorHAnsi"/>
        </w:rPr>
        <w:t xml:space="preserve">In the second stage, </w:t>
      </w:r>
      <w:r w:rsidR="003A7106" w:rsidRPr="00730E2D">
        <w:rPr>
          <w:rFonts w:asciiTheme="minorHAnsi" w:hAnsiTheme="minorHAnsi"/>
        </w:rPr>
        <w:t>DOE</w:t>
      </w:r>
      <w:r w:rsidR="008815B4" w:rsidRPr="00730E2D">
        <w:rPr>
          <w:rFonts w:asciiTheme="minorHAnsi" w:hAnsiTheme="minorHAnsi"/>
        </w:rPr>
        <w:t xml:space="preserve"> </w:t>
      </w:r>
      <w:r w:rsidR="00CA6E95" w:rsidRPr="00730E2D">
        <w:rPr>
          <w:rFonts w:asciiTheme="minorHAnsi" w:hAnsiTheme="minorHAnsi"/>
        </w:rPr>
        <w:t xml:space="preserve">will </w:t>
      </w:r>
      <w:r w:rsidR="008815B4" w:rsidRPr="00730E2D">
        <w:rPr>
          <w:rFonts w:asciiTheme="minorHAnsi" w:hAnsiTheme="minorHAnsi"/>
        </w:rPr>
        <w:t>select a sample of informants for each of the selected PAs.</w:t>
      </w:r>
    </w:p>
    <w:p w:rsidR="008815B4" w:rsidRPr="00730E2D" w:rsidRDefault="008815B4" w:rsidP="00730E2D">
      <w:pPr>
        <w:jc w:val="both"/>
        <w:rPr>
          <w:rFonts w:asciiTheme="minorHAnsi" w:hAnsiTheme="minorHAnsi"/>
        </w:rPr>
      </w:pPr>
    </w:p>
    <w:p w:rsidR="00332EA5" w:rsidRPr="00730E2D" w:rsidRDefault="008815B4" w:rsidP="00730E2D">
      <w:pPr>
        <w:jc w:val="both"/>
        <w:rPr>
          <w:rFonts w:asciiTheme="minorHAnsi" w:hAnsiTheme="minorHAnsi"/>
        </w:rPr>
      </w:pPr>
      <w:r w:rsidRPr="00730E2D">
        <w:rPr>
          <w:rFonts w:asciiTheme="minorHAnsi" w:hAnsiTheme="minorHAnsi"/>
        </w:rPr>
        <w:t>For the first sampling stage,</w:t>
      </w:r>
      <w:r w:rsidR="00D008F8" w:rsidRPr="00730E2D">
        <w:rPr>
          <w:rFonts w:asciiTheme="minorHAnsi" w:hAnsiTheme="minorHAnsi"/>
        </w:rPr>
        <w:t xml:space="preserve"> </w:t>
      </w:r>
      <w:r w:rsidR="003A7106" w:rsidRPr="00730E2D">
        <w:rPr>
          <w:rFonts w:asciiTheme="minorHAnsi" w:hAnsiTheme="minorHAnsi"/>
        </w:rPr>
        <w:t>DOE</w:t>
      </w:r>
      <w:r w:rsidR="00D008F8" w:rsidRPr="00730E2D">
        <w:rPr>
          <w:rFonts w:asciiTheme="minorHAnsi" w:hAnsiTheme="minorHAnsi"/>
        </w:rPr>
        <w:t xml:space="preserve"> </w:t>
      </w:r>
      <w:r w:rsidR="00783FAE" w:rsidRPr="00730E2D">
        <w:rPr>
          <w:rFonts w:asciiTheme="minorHAnsi" w:hAnsiTheme="minorHAnsi"/>
        </w:rPr>
        <w:t>group</w:t>
      </w:r>
      <w:r w:rsidR="0047581B" w:rsidRPr="00730E2D">
        <w:rPr>
          <w:rFonts w:asciiTheme="minorHAnsi" w:hAnsiTheme="minorHAnsi"/>
        </w:rPr>
        <w:t>ed</w:t>
      </w:r>
      <w:r w:rsidR="00783FAE" w:rsidRPr="00730E2D">
        <w:rPr>
          <w:rFonts w:asciiTheme="minorHAnsi" w:hAnsiTheme="minorHAnsi"/>
        </w:rPr>
        <w:t xml:space="preserve"> </w:t>
      </w:r>
      <w:r w:rsidR="00D008F8" w:rsidRPr="00730E2D">
        <w:rPr>
          <w:rFonts w:asciiTheme="minorHAnsi" w:hAnsiTheme="minorHAnsi"/>
        </w:rPr>
        <w:t xml:space="preserve">the </w:t>
      </w:r>
      <w:r w:rsidRPr="00730E2D">
        <w:rPr>
          <w:rFonts w:asciiTheme="minorHAnsi" w:hAnsiTheme="minorHAnsi"/>
        </w:rPr>
        <w:t>PAs</w:t>
      </w:r>
      <w:r w:rsidR="00783FAE" w:rsidRPr="00730E2D">
        <w:rPr>
          <w:rFonts w:asciiTheme="minorHAnsi" w:hAnsiTheme="minorHAnsi"/>
        </w:rPr>
        <w:t xml:space="preserve"> into </w:t>
      </w:r>
      <w:r w:rsidR="0047581B" w:rsidRPr="00730E2D">
        <w:rPr>
          <w:rFonts w:asciiTheme="minorHAnsi" w:hAnsiTheme="minorHAnsi"/>
        </w:rPr>
        <w:t xml:space="preserve">strata </w:t>
      </w:r>
      <w:r w:rsidR="00783FAE" w:rsidRPr="00730E2D">
        <w:rPr>
          <w:rFonts w:asciiTheme="minorHAnsi" w:hAnsiTheme="minorHAnsi"/>
        </w:rPr>
        <w:t xml:space="preserve">that </w:t>
      </w:r>
      <w:r w:rsidR="001E3761" w:rsidRPr="00730E2D">
        <w:rPr>
          <w:rFonts w:asciiTheme="minorHAnsi" w:hAnsiTheme="minorHAnsi"/>
        </w:rPr>
        <w:t>make up similar types of initiatives</w:t>
      </w:r>
      <w:r w:rsidR="0074673F" w:rsidRPr="00730E2D">
        <w:rPr>
          <w:rFonts w:asciiTheme="minorHAnsi" w:hAnsiTheme="minorHAnsi"/>
        </w:rPr>
        <w:t xml:space="preserve">.  </w:t>
      </w:r>
      <w:r w:rsidR="00CA6E95" w:rsidRPr="00730E2D">
        <w:rPr>
          <w:rFonts w:asciiTheme="minorHAnsi" w:hAnsiTheme="minorHAnsi"/>
        </w:rPr>
        <w:t xml:space="preserve">The first grouping was by </w:t>
      </w:r>
      <w:r w:rsidR="00D856BC" w:rsidRPr="00730E2D">
        <w:rPr>
          <w:rFonts w:asciiTheme="minorHAnsi" w:hAnsiTheme="minorHAnsi"/>
        </w:rPr>
        <w:t>Broad program area categories</w:t>
      </w:r>
      <w:r w:rsidR="00783FAE" w:rsidRPr="00730E2D">
        <w:rPr>
          <w:rFonts w:asciiTheme="minorHAnsi" w:hAnsiTheme="minorHAnsi"/>
        </w:rPr>
        <w:t xml:space="preserve"> </w:t>
      </w:r>
      <w:r w:rsidR="007716DE" w:rsidRPr="00730E2D">
        <w:rPr>
          <w:rFonts w:asciiTheme="minorHAnsi" w:hAnsiTheme="minorHAnsi"/>
        </w:rPr>
        <w:t>(BPAC)</w:t>
      </w:r>
      <w:r w:rsidR="00CA6E95" w:rsidRPr="00730E2D">
        <w:rPr>
          <w:rFonts w:asciiTheme="minorHAnsi" w:hAnsiTheme="minorHAnsi"/>
        </w:rPr>
        <w:t xml:space="preserve">.  Results of this study will be reported by BPAC </w:t>
      </w:r>
      <w:r w:rsidR="00332EA5" w:rsidRPr="00730E2D">
        <w:rPr>
          <w:rFonts w:asciiTheme="minorHAnsi" w:hAnsiTheme="minorHAnsi"/>
        </w:rPr>
        <w:t xml:space="preserve">Each BPAC was further divided into </w:t>
      </w:r>
      <w:r w:rsidR="00783FAE" w:rsidRPr="00730E2D">
        <w:rPr>
          <w:rFonts w:asciiTheme="minorHAnsi" w:hAnsiTheme="minorHAnsi"/>
        </w:rPr>
        <w:t>sub-categories</w:t>
      </w:r>
      <w:r w:rsidR="00332EA5" w:rsidRPr="00730E2D">
        <w:rPr>
          <w:rFonts w:asciiTheme="minorHAnsi" w:hAnsiTheme="minorHAnsi"/>
        </w:rPr>
        <w:t>, which varied by BPAC</w:t>
      </w:r>
      <w:r w:rsidR="00783FAE" w:rsidRPr="00730E2D">
        <w:rPr>
          <w:rFonts w:asciiTheme="minorHAnsi" w:hAnsiTheme="minorHAnsi"/>
        </w:rPr>
        <w:t xml:space="preserve">.  </w:t>
      </w:r>
      <w:r w:rsidR="007716DE" w:rsidRPr="00730E2D">
        <w:rPr>
          <w:rFonts w:asciiTheme="minorHAnsi" w:hAnsiTheme="minorHAnsi"/>
        </w:rPr>
        <w:t xml:space="preserve">For example, </w:t>
      </w:r>
      <w:r w:rsidR="0047581B" w:rsidRPr="00730E2D">
        <w:rPr>
          <w:rFonts w:asciiTheme="minorHAnsi" w:hAnsiTheme="minorHAnsi"/>
        </w:rPr>
        <w:t xml:space="preserve">PAs </w:t>
      </w:r>
      <w:r w:rsidR="007716DE" w:rsidRPr="00730E2D">
        <w:rPr>
          <w:rFonts w:asciiTheme="minorHAnsi" w:hAnsiTheme="minorHAnsi"/>
        </w:rPr>
        <w:t>that provid</w:t>
      </w:r>
      <w:r w:rsidR="0074673F" w:rsidRPr="00730E2D">
        <w:rPr>
          <w:rFonts w:asciiTheme="minorHAnsi" w:hAnsiTheme="minorHAnsi"/>
        </w:rPr>
        <w:t>e</w:t>
      </w:r>
      <w:r w:rsidR="007716DE" w:rsidRPr="00730E2D">
        <w:rPr>
          <w:rFonts w:asciiTheme="minorHAnsi" w:hAnsiTheme="minorHAnsi"/>
        </w:rPr>
        <w:t xml:space="preserve"> loans, grants and incentives for building retrofits </w:t>
      </w:r>
      <w:r w:rsidR="0047581B" w:rsidRPr="00730E2D">
        <w:rPr>
          <w:rFonts w:asciiTheme="minorHAnsi" w:hAnsiTheme="minorHAnsi"/>
        </w:rPr>
        <w:t xml:space="preserve">constitute one </w:t>
      </w:r>
      <w:r w:rsidR="007716DE" w:rsidRPr="00730E2D">
        <w:rPr>
          <w:rFonts w:asciiTheme="minorHAnsi" w:hAnsiTheme="minorHAnsi"/>
        </w:rPr>
        <w:t xml:space="preserve">BPAC, which </w:t>
      </w:r>
      <w:r w:rsidR="005D7DF0" w:rsidRPr="00730E2D">
        <w:rPr>
          <w:rFonts w:asciiTheme="minorHAnsi" w:hAnsiTheme="minorHAnsi"/>
        </w:rPr>
        <w:t>is</w:t>
      </w:r>
      <w:r w:rsidR="007716DE" w:rsidRPr="00730E2D">
        <w:rPr>
          <w:rFonts w:asciiTheme="minorHAnsi" w:hAnsiTheme="minorHAnsi"/>
        </w:rPr>
        <w:t xml:space="preserve"> further divided into residential and non-residential sub-categories.  </w:t>
      </w:r>
    </w:p>
    <w:p w:rsidR="00384822" w:rsidRPr="00730E2D" w:rsidRDefault="00384822" w:rsidP="00730E2D">
      <w:pPr>
        <w:jc w:val="both"/>
        <w:rPr>
          <w:rFonts w:asciiTheme="minorHAnsi" w:hAnsiTheme="minorHAnsi"/>
        </w:rPr>
      </w:pPr>
    </w:p>
    <w:p w:rsidR="00D008F8" w:rsidRPr="00730E2D" w:rsidRDefault="00332EA5" w:rsidP="00730E2D">
      <w:pPr>
        <w:jc w:val="both"/>
        <w:rPr>
          <w:rFonts w:asciiTheme="minorHAnsi" w:hAnsiTheme="minorHAnsi"/>
        </w:rPr>
      </w:pPr>
      <w:r w:rsidRPr="00730E2D">
        <w:rPr>
          <w:rFonts w:asciiTheme="minorHAnsi" w:hAnsiTheme="minorHAnsi"/>
        </w:rPr>
        <w:lastRenderedPageBreak/>
        <w:t xml:space="preserve">The groupings defined by BPAC-subcategory combination served as sampling strata.  </w:t>
      </w:r>
      <w:r w:rsidR="007716DE" w:rsidRPr="00730E2D">
        <w:rPr>
          <w:rFonts w:asciiTheme="minorHAnsi" w:hAnsiTheme="minorHAnsi"/>
        </w:rPr>
        <w:t xml:space="preserve">Once all programmatic activities were classified into BPACs and sub-categories, </w:t>
      </w:r>
      <w:r w:rsidR="003A7106" w:rsidRPr="00730E2D">
        <w:rPr>
          <w:rFonts w:asciiTheme="minorHAnsi" w:hAnsiTheme="minorHAnsi"/>
        </w:rPr>
        <w:t>DOE</w:t>
      </w:r>
      <w:r w:rsidR="007716DE" w:rsidRPr="00730E2D">
        <w:rPr>
          <w:rFonts w:asciiTheme="minorHAnsi" w:hAnsiTheme="minorHAnsi"/>
        </w:rPr>
        <w:t xml:space="preserve"> s</w:t>
      </w:r>
      <w:r w:rsidR="00783FAE" w:rsidRPr="00730E2D">
        <w:rPr>
          <w:rFonts w:asciiTheme="minorHAnsi" w:hAnsiTheme="minorHAnsi"/>
        </w:rPr>
        <w:t>elect</w:t>
      </w:r>
      <w:r w:rsidR="007716DE" w:rsidRPr="00730E2D">
        <w:rPr>
          <w:rFonts w:asciiTheme="minorHAnsi" w:hAnsiTheme="minorHAnsi"/>
        </w:rPr>
        <w:t>ed</w:t>
      </w:r>
      <w:r w:rsidR="00783FAE" w:rsidRPr="00730E2D">
        <w:rPr>
          <w:rFonts w:asciiTheme="minorHAnsi" w:hAnsiTheme="minorHAnsi"/>
        </w:rPr>
        <w:t xml:space="preserve"> a s</w:t>
      </w:r>
      <w:r w:rsidR="00B65AE4" w:rsidRPr="00730E2D">
        <w:rPr>
          <w:rFonts w:asciiTheme="minorHAnsi" w:hAnsiTheme="minorHAnsi"/>
        </w:rPr>
        <w:t xml:space="preserve">ample </w:t>
      </w:r>
      <w:r w:rsidR="00783FAE" w:rsidRPr="00730E2D">
        <w:rPr>
          <w:rFonts w:asciiTheme="minorHAnsi" w:hAnsiTheme="minorHAnsi"/>
        </w:rPr>
        <w:t xml:space="preserve">of </w:t>
      </w:r>
      <w:r w:rsidR="0047581B" w:rsidRPr="00730E2D">
        <w:rPr>
          <w:rFonts w:asciiTheme="minorHAnsi" w:hAnsiTheme="minorHAnsi"/>
        </w:rPr>
        <w:t>PAs</w:t>
      </w:r>
      <w:r w:rsidR="007716DE" w:rsidRPr="00730E2D">
        <w:rPr>
          <w:rFonts w:asciiTheme="minorHAnsi" w:hAnsiTheme="minorHAnsi"/>
        </w:rPr>
        <w:t xml:space="preserve"> </w:t>
      </w:r>
      <w:r w:rsidR="00783FAE" w:rsidRPr="00730E2D">
        <w:rPr>
          <w:rFonts w:asciiTheme="minorHAnsi" w:hAnsiTheme="minorHAnsi"/>
        </w:rPr>
        <w:t xml:space="preserve">for analysis </w:t>
      </w:r>
      <w:r w:rsidR="005D7DF0" w:rsidRPr="00730E2D">
        <w:rPr>
          <w:rFonts w:asciiTheme="minorHAnsi" w:hAnsiTheme="minorHAnsi"/>
        </w:rPr>
        <w:t xml:space="preserve">within each BPAC-subcategory stratum, as described further below.  </w:t>
      </w:r>
      <w:r w:rsidR="0047581B" w:rsidRPr="00730E2D">
        <w:rPr>
          <w:rFonts w:asciiTheme="minorHAnsi" w:hAnsiTheme="minorHAnsi"/>
        </w:rPr>
        <w:t xml:space="preserve">  </w:t>
      </w:r>
    </w:p>
    <w:p w:rsidR="00D008F8" w:rsidRPr="00730E2D" w:rsidRDefault="00D008F8" w:rsidP="00730E2D">
      <w:pPr>
        <w:jc w:val="both"/>
        <w:rPr>
          <w:rFonts w:asciiTheme="minorHAnsi" w:hAnsiTheme="minorHAnsi"/>
        </w:rPr>
      </w:pPr>
    </w:p>
    <w:p w:rsidR="0074673F" w:rsidRPr="00730E2D" w:rsidRDefault="00D008F8" w:rsidP="00730E2D">
      <w:pPr>
        <w:jc w:val="both"/>
        <w:rPr>
          <w:rFonts w:asciiTheme="minorHAnsi" w:hAnsiTheme="minorHAnsi"/>
        </w:rPr>
      </w:pPr>
      <w:r w:rsidRPr="00730E2D">
        <w:rPr>
          <w:rFonts w:asciiTheme="minorHAnsi" w:hAnsiTheme="minorHAnsi"/>
        </w:rPr>
        <w:t xml:space="preserve">The rationale for this approach reflects two methodological considerations.  First, the variation in key outcome indicators will likely be smaller for </w:t>
      </w:r>
      <w:r w:rsidR="006821EF" w:rsidRPr="00730E2D">
        <w:rPr>
          <w:rFonts w:asciiTheme="minorHAnsi" w:hAnsiTheme="minorHAnsi"/>
        </w:rPr>
        <w:t xml:space="preserve">groups of </w:t>
      </w:r>
      <w:r w:rsidRPr="00730E2D">
        <w:rPr>
          <w:rFonts w:asciiTheme="minorHAnsi" w:hAnsiTheme="minorHAnsi"/>
        </w:rPr>
        <w:t xml:space="preserve">PAs that share </w:t>
      </w:r>
      <w:r w:rsidR="001E3761" w:rsidRPr="00730E2D">
        <w:rPr>
          <w:rFonts w:asciiTheme="minorHAnsi" w:hAnsiTheme="minorHAnsi"/>
        </w:rPr>
        <w:t xml:space="preserve">the same types of initiatives </w:t>
      </w:r>
      <w:r w:rsidRPr="00730E2D">
        <w:rPr>
          <w:rFonts w:asciiTheme="minorHAnsi" w:hAnsiTheme="minorHAnsi"/>
        </w:rPr>
        <w:t xml:space="preserve">and </w:t>
      </w:r>
      <w:r w:rsidR="001E3761" w:rsidRPr="00730E2D">
        <w:rPr>
          <w:rFonts w:asciiTheme="minorHAnsi" w:hAnsiTheme="minorHAnsi"/>
        </w:rPr>
        <w:t xml:space="preserve">have similar </w:t>
      </w:r>
      <w:r w:rsidRPr="00730E2D">
        <w:rPr>
          <w:rFonts w:asciiTheme="minorHAnsi" w:hAnsiTheme="minorHAnsi"/>
        </w:rPr>
        <w:t>operat</w:t>
      </w:r>
      <w:r w:rsidR="001E3761" w:rsidRPr="00730E2D">
        <w:rPr>
          <w:rFonts w:asciiTheme="minorHAnsi" w:hAnsiTheme="minorHAnsi"/>
        </w:rPr>
        <w:t>ional systems</w:t>
      </w:r>
      <w:r w:rsidR="00894170" w:rsidRPr="00730E2D">
        <w:rPr>
          <w:rFonts w:asciiTheme="minorHAnsi" w:hAnsiTheme="minorHAnsi"/>
        </w:rPr>
        <w:t xml:space="preserve"> </w:t>
      </w:r>
      <w:r w:rsidR="008815B4" w:rsidRPr="00730E2D">
        <w:rPr>
          <w:rFonts w:asciiTheme="minorHAnsi" w:hAnsiTheme="minorHAnsi"/>
        </w:rPr>
        <w:t xml:space="preserve">than </w:t>
      </w:r>
      <w:r w:rsidRPr="00730E2D">
        <w:rPr>
          <w:rFonts w:asciiTheme="minorHAnsi" w:hAnsiTheme="minorHAnsi"/>
        </w:rPr>
        <w:t xml:space="preserve">it will be for the population of PAs as a whole.  Second, </w:t>
      </w:r>
      <w:r w:rsidR="005D7DF0" w:rsidRPr="00730E2D">
        <w:rPr>
          <w:rFonts w:asciiTheme="minorHAnsi" w:hAnsiTheme="minorHAnsi"/>
        </w:rPr>
        <w:t>the research methods appropriate to</w:t>
      </w:r>
      <w:r w:rsidR="001E3761" w:rsidRPr="00730E2D">
        <w:rPr>
          <w:rFonts w:asciiTheme="minorHAnsi" w:hAnsiTheme="minorHAnsi"/>
        </w:rPr>
        <w:t xml:space="preserve"> the</w:t>
      </w:r>
      <w:r w:rsidR="005D7DF0" w:rsidRPr="00730E2D">
        <w:rPr>
          <w:rFonts w:asciiTheme="minorHAnsi" w:hAnsiTheme="minorHAnsi"/>
        </w:rPr>
        <w:t xml:space="preserve"> evaluation of an individual PA </w:t>
      </w:r>
      <w:r w:rsidR="001E3761" w:rsidRPr="00730E2D">
        <w:rPr>
          <w:rFonts w:asciiTheme="minorHAnsi" w:hAnsiTheme="minorHAnsi"/>
        </w:rPr>
        <w:t xml:space="preserve">can </w:t>
      </w:r>
      <w:r w:rsidR="005D7DF0" w:rsidRPr="00730E2D">
        <w:rPr>
          <w:rFonts w:asciiTheme="minorHAnsi" w:hAnsiTheme="minorHAnsi"/>
        </w:rPr>
        <w:t xml:space="preserve">vary by BPAC and subcategory.  </w:t>
      </w:r>
      <w:r w:rsidR="001E3761" w:rsidRPr="00730E2D">
        <w:rPr>
          <w:rFonts w:asciiTheme="minorHAnsi" w:hAnsiTheme="minorHAnsi"/>
        </w:rPr>
        <w:t xml:space="preserve">However, </w:t>
      </w:r>
      <w:r w:rsidR="003A7106" w:rsidRPr="00730E2D">
        <w:rPr>
          <w:rFonts w:asciiTheme="minorHAnsi" w:hAnsiTheme="minorHAnsi"/>
        </w:rPr>
        <w:t>DOE</w:t>
      </w:r>
      <w:r w:rsidRPr="00730E2D">
        <w:rPr>
          <w:rFonts w:asciiTheme="minorHAnsi" w:hAnsiTheme="minorHAnsi"/>
        </w:rPr>
        <w:t xml:space="preserve"> will be able to apply standardized methods for quantifying key outcomes for PAs within a given BPAC</w:t>
      </w:r>
      <w:r w:rsidR="001E3761" w:rsidRPr="00730E2D">
        <w:rPr>
          <w:rFonts w:asciiTheme="minorHAnsi" w:hAnsiTheme="minorHAnsi"/>
        </w:rPr>
        <w:t>.  This has the added advantage of facilitating project</w:t>
      </w:r>
      <w:r w:rsidRPr="00730E2D">
        <w:rPr>
          <w:rFonts w:asciiTheme="minorHAnsi" w:hAnsiTheme="minorHAnsi"/>
        </w:rPr>
        <w:t xml:space="preserve"> management</w:t>
      </w:r>
      <w:r w:rsidR="001E3761" w:rsidRPr="00730E2D">
        <w:rPr>
          <w:rFonts w:asciiTheme="minorHAnsi" w:hAnsiTheme="minorHAnsi"/>
        </w:rPr>
        <w:t xml:space="preserve"> efforts, improving the efficiency of primary data collection and improving the efficiency of the data analysis</w:t>
      </w:r>
      <w:r w:rsidR="00894170" w:rsidRPr="00730E2D">
        <w:rPr>
          <w:rFonts w:asciiTheme="minorHAnsi" w:hAnsiTheme="minorHAnsi"/>
        </w:rPr>
        <w:t xml:space="preserve"> and reporting efforts</w:t>
      </w:r>
      <w:r w:rsidR="006821EF" w:rsidRPr="00730E2D">
        <w:rPr>
          <w:rFonts w:asciiTheme="minorHAnsi" w:hAnsiTheme="minorHAnsi"/>
        </w:rPr>
        <w:t xml:space="preserve">.  </w:t>
      </w:r>
      <w:r w:rsidR="008815B4" w:rsidRPr="00730E2D">
        <w:rPr>
          <w:rFonts w:asciiTheme="minorHAnsi" w:hAnsiTheme="minorHAnsi"/>
        </w:rPr>
        <w:t xml:space="preserve">That is, the PAs are stratified into homogeneous subgroups both to improve statistical sampling efficiency and to allow efficient execution of the evaluations of individual PAs.  </w:t>
      </w:r>
      <w:r w:rsidR="003A7106" w:rsidRPr="00730E2D">
        <w:rPr>
          <w:rFonts w:asciiTheme="minorHAnsi" w:hAnsiTheme="minorHAnsi"/>
        </w:rPr>
        <w:t>DOE</w:t>
      </w:r>
      <w:r w:rsidR="0047581B" w:rsidRPr="00730E2D">
        <w:rPr>
          <w:rFonts w:asciiTheme="minorHAnsi" w:hAnsiTheme="minorHAnsi"/>
        </w:rPr>
        <w:t xml:space="preserve"> detail</w:t>
      </w:r>
      <w:r w:rsidR="003A7106" w:rsidRPr="00730E2D">
        <w:rPr>
          <w:rFonts w:asciiTheme="minorHAnsi" w:hAnsiTheme="minorHAnsi"/>
        </w:rPr>
        <w:t>s</w:t>
      </w:r>
      <w:r w:rsidR="0047581B" w:rsidRPr="00730E2D">
        <w:rPr>
          <w:rFonts w:asciiTheme="minorHAnsi" w:hAnsiTheme="minorHAnsi"/>
        </w:rPr>
        <w:t xml:space="preserve"> the implementation and results of the Stage 1 sampling below.</w:t>
      </w:r>
    </w:p>
    <w:p w:rsidR="0074673F" w:rsidRPr="00730E2D" w:rsidRDefault="0074673F" w:rsidP="00730E2D">
      <w:pPr>
        <w:jc w:val="both"/>
        <w:rPr>
          <w:rFonts w:asciiTheme="minorHAnsi" w:hAnsiTheme="minorHAnsi"/>
        </w:rPr>
      </w:pPr>
    </w:p>
    <w:p w:rsidR="00142595" w:rsidRPr="00730E2D" w:rsidRDefault="00147472" w:rsidP="00730E2D">
      <w:pPr>
        <w:jc w:val="both"/>
        <w:rPr>
          <w:rFonts w:asciiTheme="minorHAnsi" w:hAnsiTheme="minorHAnsi"/>
        </w:rPr>
      </w:pPr>
      <w:r w:rsidRPr="00730E2D">
        <w:rPr>
          <w:rFonts w:asciiTheme="minorHAnsi" w:hAnsiTheme="minorHAnsi"/>
        </w:rPr>
        <w:t>Quantification of outcome indicators for each sample PA will require collection of data and information from individuals</w:t>
      </w:r>
      <w:r w:rsidR="00993A05" w:rsidRPr="00730E2D">
        <w:rPr>
          <w:rFonts w:asciiTheme="minorHAnsi" w:hAnsiTheme="minorHAnsi"/>
        </w:rPr>
        <w:t xml:space="preserve"> involved in those initiatives, including:  program participants, program administrators and staff, vendors who serve program participants, and observers of the targeted markets and policy organizations.  This study does not include an evaluation of non-SEP Programs. </w:t>
      </w:r>
      <w:r w:rsidR="00221CC6" w:rsidRPr="00730E2D">
        <w:rPr>
          <w:rFonts w:asciiTheme="minorHAnsi" w:hAnsiTheme="minorHAnsi"/>
        </w:rPr>
        <w:t xml:space="preserve">Commonly, SEP-funded programs have other funding sources </w:t>
      </w:r>
      <w:r w:rsidR="001454C8" w:rsidRPr="00730E2D">
        <w:rPr>
          <w:rFonts w:asciiTheme="minorHAnsi" w:hAnsiTheme="minorHAnsi"/>
        </w:rPr>
        <w:t xml:space="preserve">that </w:t>
      </w:r>
      <w:r w:rsidR="00221CC6" w:rsidRPr="00730E2D">
        <w:rPr>
          <w:rFonts w:asciiTheme="minorHAnsi" w:hAnsiTheme="minorHAnsi"/>
        </w:rPr>
        <w:t xml:space="preserve">may be external to the ultimate </w:t>
      </w:r>
      <w:proofErr w:type="spellStart"/>
      <w:r w:rsidR="00221CC6" w:rsidRPr="00730E2D">
        <w:rPr>
          <w:rFonts w:asciiTheme="minorHAnsi" w:hAnsiTheme="minorHAnsi"/>
        </w:rPr>
        <w:t>subgrantee</w:t>
      </w:r>
      <w:proofErr w:type="spellEnd"/>
      <w:r w:rsidR="00221CC6" w:rsidRPr="00730E2D">
        <w:rPr>
          <w:rFonts w:asciiTheme="minorHAnsi" w:hAnsiTheme="minorHAnsi"/>
        </w:rPr>
        <w:t>.  In order to assess the impact of SEP, DO</w:t>
      </w:r>
      <w:r w:rsidR="00993A05" w:rsidRPr="00730E2D">
        <w:rPr>
          <w:rFonts w:asciiTheme="minorHAnsi" w:hAnsiTheme="minorHAnsi"/>
        </w:rPr>
        <w:t xml:space="preserve">E must also understand the relative impact of similar leveraged or cost-shared programs to SEP's funded efforts.  The exact configuration of the study subjects will vary by BPAC and BPAC subcategory.  </w:t>
      </w:r>
    </w:p>
    <w:p w:rsidR="00142595" w:rsidRPr="00730E2D" w:rsidRDefault="00142595" w:rsidP="00730E2D">
      <w:pPr>
        <w:jc w:val="both"/>
        <w:rPr>
          <w:rFonts w:asciiTheme="minorHAnsi" w:hAnsiTheme="minorHAnsi"/>
        </w:rPr>
      </w:pPr>
    </w:p>
    <w:p w:rsidR="00147472" w:rsidRPr="00730E2D" w:rsidRDefault="00142595" w:rsidP="00730E2D">
      <w:pPr>
        <w:jc w:val="both"/>
        <w:rPr>
          <w:rFonts w:asciiTheme="minorHAnsi" w:hAnsiTheme="minorHAnsi"/>
        </w:rPr>
      </w:pPr>
      <w:r w:rsidRPr="00730E2D">
        <w:rPr>
          <w:rFonts w:asciiTheme="minorHAnsi" w:hAnsiTheme="minorHAnsi"/>
        </w:rPr>
        <w:t>For example, f</w:t>
      </w:r>
      <w:r w:rsidR="00147472" w:rsidRPr="00730E2D">
        <w:rPr>
          <w:rFonts w:asciiTheme="minorHAnsi" w:hAnsiTheme="minorHAnsi"/>
        </w:rPr>
        <w:t xml:space="preserve">or PAs that provide financial incentives, technical support, or training to facility owners to encourage energy-efficient capital improvements, </w:t>
      </w:r>
      <w:r w:rsidR="003A7106" w:rsidRPr="00730E2D">
        <w:rPr>
          <w:rFonts w:asciiTheme="minorHAnsi" w:hAnsiTheme="minorHAnsi"/>
        </w:rPr>
        <w:t>DOE</w:t>
      </w:r>
      <w:r w:rsidR="00147472" w:rsidRPr="00730E2D">
        <w:rPr>
          <w:rFonts w:asciiTheme="minorHAnsi" w:hAnsiTheme="minorHAnsi"/>
        </w:rPr>
        <w:t xml:space="preserve"> plan</w:t>
      </w:r>
      <w:r w:rsidR="003A7106" w:rsidRPr="00730E2D">
        <w:rPr>
          <w:rFonts w:asciiTheme="minorHAnsi" w:hAnsiTheme="minorHAnsi"/>
        </w:rPr>
        <w:t>s</w:t>
      </w:r>
      <w:r w:rsidR="00147472" w:rsidRPr="00730E2D">
        <w:rPr>
          <w:rFonts w:asciiTheme="minorHAnsi" w:hAnsiTheme="minorHAnsi"/>
        </w:rPr>
        <w:t xml:space="preserve"> to interview samples of participants to characterize what measures they took and the influence of the program upon their decisions.  </w:t>
      </w:r>
      <w:r w:rsidR="003A7106" w:rsidRPr="00730E2D">
        <w:rPr>
          <w:rFonts w:asciiTheme="minorHAnsi" w:hAnsiTheme="minorHAnsi"/>
        </w:rPr>
        <w:t>DOE</w:t>
      </w:r>
      <w:r w:rsidR="00147472" w:rsidRPr="00730E2D">
        <w:rPr>
          <w:rFonts w:asciiTheme="minorHAnsi" w:hAnsiTheme="minorHAnsi"/>
        </w:rPr>
        <w:t xml:space="preserve"> will apply probability sampling methods </w:t>
      </w:r>
      <w:r w:rsidR="008D2301" w:rsidRPr="00730E2D">
        <w:rPr>
          <w:rFonts w:asciiTheme="minorHAnsi" w:hAnsiTheme="minorHAnsi"/>
        </w:rPr>
        <w:t xml:space="preserve">for </w:t>
      </w:r>
      <w:r w:rsidR="00147472" w:rsidRPr="00730E2D">
        <w:rPr>
          <w:rFonts w:asciiTheme="minorHAnsi" w:hAnsiTheme="minorHAnsi"/>
        </w:rPr>
        <w:t>selecting participants in this Stage 2</w:t>
      </w:r>
      <w:r w:rsidR="00C403C2">
        <w:rPr>
          <w:rFonts w:asciiTheme="minorHAnsi" w:hAnsiTheme="minorHAnsi"/>
        </w:rPr>
        <w:t>.</w:t>
      </w:r>
      <w:r w:rsidR="008D2301" w:rsidRPr="00730E2D">
        <w:rPr>
          <w:rFonts w:asciiTheme="minorHAnsi" w:hAnsiTheme="minorHAnsi"/>
        </w:rPr>
        <w:t xml:space="preserve"> </w:t>
      </w:r>
      <w:r w:rsidR="00C403C2">
        <w:rPr>
          <w:rFonts w:asciiTheme="minorHAnsi" w:hAnsiTheme="minorHAnsi"/>
        </w:rPr>
        <w:t xml:space="preserve"> Those </w:t>
      </w:r>
      <w:r w:rsidR="00DE2A48" w:rsidRPr="00730E2D">
        <w:rPr>
          <w:rFonts w:asciiTheme="minorHAnsi" w:hAnsiTheme="minorHAnsi"/>
        </w:rPr>
        <w:t>sampling m</w:t>
      </w:r>
      <w:r w:rsidR="000D07B2" w:rsidRPr="00730E2D">
        <w:rPr>
          <w:rFonts w:asciiTheme="minorHAnsi" w:hAnsiTheme="minorHAnsi"/>
        </w:rPr>
        <w:t>ethods are descr</w:t>
      </w:r>
      <w:r w:rsidR="00DE2A48" w:rsidRPr="00730E2D">
        <w:rPr>
          <w:rFonts w:asciiTheme="minorHAnsi" w:hAnsiTheme="minorHAnsi"/>
        </w:rPr>
        <w:t>i</w:t>
      </w:r>
      <w:r w:rsidR="000D07B2" w:rsidRPr="00730E2D">
        <w:rPr>
          <w:rFonts w:asciiTheme="minorHAnsi" w:hAnsiTheme="minorHAnsi"/>
        </w:rPr>
        <w:t xml:space="preserve">bed in the section titled "Stage 2 Sampling within PAs" on Page </w:t>
      </w:r>
      <w:r w:rsidR="00730E2D" w:rsidRPr="00730E2D">
        <w:rPr>
          <w:rFonts w:asciiTheme="minorHAnsi" w:hAnsiTheme="minorHAnsi"/>
        </w:rPr>
        <w:t>2</w:t>
      </w:r>
      <w:r w:rsidR="00580575">
        <w:rPr>
          <w:rFonts w:asciiTheme="minorHAnsi" w:hAnsiTheme="minorHAnsi"/>
        </w:rPr>
        <w:t>5</w:t>
      </w:r>
      <w:r w:rsidR="00730E2D" w:rsidRPr="00730E2D">
        <w:rPr>
          <w:rFonts w:asciiTheme="minorHAnsi" w:hAnsiTheme="minorHAnsi"/>
        </w:rPr>
        <w:t xml:space="preserve"> </w:t>
      </w:r>
      <w:r w:rsidR="000D07B2" w:rsidRPr="00730E2D">
        <w:rPr>
          <w:rFonts w:asciiTheme="minorHAnsi" w:hAnsiTheme="minorHAnsi"/>
        </w:rPr>
        <w:t xml:space="preserve">of </w:t>
      </w:r>
      <w:r w:rsidR="002D0607" w:rsidRPr="00730E2D">
        <w:rPr>
          <w:rFonts w:asciiTheme="minorHAnsi" w:hAnsiTheme="minorHAnsi"/>
        </w:rPr>
        <w:t>this document</w:t>
      </w:r>
      <w:r w:rsidR="00147472" w:rsidRPr="00730E2D">
        <w:rPr>
          <w:rFonts w:asciiTheme="minorHAnsi" w:hAnsiTheme="minorHAnsi"/>
        </w:rPr>
        <w:t>. This approach will support proper extrapolation</w:t>
      </w:r>
      <w:r w:rsidR="0074673F" w:rsidRPr="00730E2D">
        <w:rPr>
          <w:rFonts w:asciiTheme="minorHAnsi" w:hAnsiTheme="minorHAnsi"/>
        </w:rPr>
        <w:t xml:space="preserve"> of the results to the PA </w:t>
      </w:r>
      <w:r w:rsidR="00147472" w:rsidRPr="00730E2D">
        <w:rPr>
          <w:rFonts w:asciiTheme="minorHAnsi" w:hAnsiTheme="minorHAnsi"/>
        </w:rPr>
        <w:t xml:space="preserve">level as well as variance calculations.  </w:t>
      </w:r>
    </w:p>
    <w:p w:rsidR="00147472" w:rsidRPr="00730E2D" w:rsidRDefault="00147472" w:rsidP="00730E2D">
      <w:pPr>
        <w:jc w:val="both"/>
        <w:rPr>
          <w:rFonts w:asciiTheme="minorHAnsi" w:hAnsiTheme="minorHAnsi"/>
        </w:rPr>
      </w:pPr>
    </w:p>
    <w:p w:rsidR="00DF7AE6" w:rsidRDefault="00147472" w:rsidP="00730E2D">
      <w:pPr>
        <w:jc w:val="both"/>
        <w:rPr>
          <w:rFonts w:asciiTheme="minorHAnsi" w:hAnsiTheme="minorHAnsi"/>
        </w:rPr>
      </w:pPr>
      <w:r w:rsidRPr="00730E2D">
        <w:rPr>
          <w:rFonts w:asciiTheme="minorHAnsi" w:hAnsiTheme="minorHAnsi"/>
        </w:rPr>
        <w:t xml:space="preserve">Other types of PAs, such as efforts to change state-level building codes or regulations in regard </w:t>
      </w:r>
      <w:r w:rsidR="0074673F" w:rsidRPr="00730E2D">
        <w:rPr>
          <w:rFonts w:asciiTheme="minorHAnsi" w:hAnsiTheme="minorHAnsi"/>
        </w:rPr>
        <w:t xml:space="preserve">to </w:t>
      </w:r>
      <w:r w:rsidRPr="00730E2D">
        <w:rPr>
          <w:rFonts w:asciiTheme="minorHAnsi" w:hAnsiTheme="minorHAnsi"/>
        </w:rPr>
        <w:t xml:space="preserve">renewable energy facilities, do not generate lists of participants.  Moreover, the number of individuals engaged in these efforts is relatively small, and </w:t>
      </w:r>
      <w:r w:rsidR="00DD70FB" w:rsidRPr="00730E2D">
        <w:rPr>
          <w:rFonts w:asciiTheme="minorHAnsi" w:hAnsiTheme="minorHAnsi"/>
        </w:rPr>
        <w:t xml:space="preserve">reliable </w:t>
      </w:r>
      <w:r w:rsidRPr="00730E2D">
        <w:rPr>
          <w:rFonts w:asciiTheme="minorHAnsi" w:hAnsiTheme="minorHAnsi"/>
        </w:rPr>
        <w:t xml:space="preserve">assessment of program outcomes </w:t>
      </w:r>
      <w:r w:rsidR="00DD70FB" w:rsidRPr="00730E2D">
        <w:rPr>
          <w:rFonts w:asciiTheme="minorHAnsi" w:hAnsiTheme="minorHAnsi"/>
        </w:rPr>
        <w:t xml:space="preserve">requires </w:t>
      </w:r>
      <w:r w:rsidR="001E3761" w:rsidRPr="00730E2D">
        <w:rPr>
          <w:rFonts w:asciiTheme="minorHAnsi" w:hAnsiTheme="minorHAnsi"/>
        </w:rPr>
        <w:t xml:space="preserve">opinions from </w:t>
      </w:r>
      <w:r w:rsidR="00CA46C9" w:rsidRPr="00730E2D">
        <w:rPr>
          <w:rFonts w:asciiTheme="minorHAnsi" w:hAnsiTheme="minorHAnsi"/>
        </w:rPr>
        <w:t xml:space="preserve">specific </w:t>
      </w:r>
      <w:r w:rsidR="001E3761" w:rsidRPr="00730E2D">
        <w:rPr>
          <w:rFonts w:asciiTheme="minorHAnsi" w:hAnsiTheme="minorHAnsi"/>
        </w:rPr>
        <w:t xml:space="preserve">experts </w:t>
      </w:r>
      <w:r w:rsidR="00CA46C9" w:rsidRPr="00730E2D">
        <w:rPr>
          <w:rFonts w:asciiTheme="minorHAnsi" w:hAnsiTheme="minorHAnsi"/>
        </w:rPr>
        <w:t>who have</w:t>
      </w:r>
      <w:r w:rsidR="001E3761" w:rsidRPr="00730E2D">
        <w:rPr>
          <w:rFonts w:asciiTheme="minorHAnsi" w:hAnsiTheme="minorHAnsi"/>
        </w:rPr>
        <w:t xml:space="preserve"> a detailed understanding of the associated processes</w:t>
      </w:r>
      <w:r w:rsidR="00DD70FB" w:rsidRPr="00730E2D">
        <w:rPr>
          <w:rFonts w:asciiTheme="minorHAnsi" w:hAnsiTheme="minorHAnsi"/>
        </w:rPr>
        <w:t xml:space="preserve">, rather than random selection.  Quantification of outcomes for these types of PAs will not make use of statistical sampling techniques in </w:t>
      </w:r>
      <w:r w:rsidR="00DF7AE6" w:rsidRPr="00730E2D">
        <w:rPr>
          <w:rFonts w:asciiTheme="minorHAnsi" w:hAnsiTheme="minorHAnsi"/>
        </w:rPr>
        <w:t>Stage 2</w:t>
      </w:r>
      <w:r w:rsidR="00DD70FB" w:rsidRPr="00730E2D">
        <w:rPr>
          <w:rFonts w:asciiTheme="minorHAnsi" w:hAnsiTheme="minorHAnsi"/>
        </w:rPr>
        <w:t>.</w:t>
      </w:r>
      <w:r w:rsidR="00DF7AE6" w:rsidRPr="00730E2D">
        <w:rPr>
          <w:rFonts w:asciiTheme="minorHAnsi" w:hAnsiTheme="minorHAnsi"/>
        </w:rPr>
        <w:t xml:space="preserve"> </w:t>
      </w:r>
      <w:r w:rsidR="0074673F" w:rsidRPr="00730E2D">
        <w:rPr>
          <w:rFonts w:asciiTheme="minorHAnsi" w:hAnsiTheme="minorHAnsi"/>
        </w:rPr>
        <w:t xml:space="preserve"> </w:t>
      </w:r>
      <w:r w:rsidR="00BA3FC6" w:rsidRPr="00730E2D">
        <w:rPr>
          <w:rFonts w:asciiTheme="minorHAnsi" w:hAnsiTheme="minorHAnsi"/>
        </w:rPr>
        <w:t xml:space="preserve">Once </w:t>
      </w:r>
      <w:r w:rsidR="003A7106" w:rsidRPr="00730E2D">
        <w:rPr>
          <w:rFonts w:asciiTheme="minorHAnsi" w:hAnsiTheme="minorHAnsi"/>
        </w:rPr>
        <w:t>DOE</w:t>
      </w:r>
      <w:r w:rsidR="00BA3FC6" w:rsidRPr="00730E2D">
        <w:rPr>
          <w:rFonts w:asciiTheme="minorHAnsi" w:hAnsiTheme="minorHAnsi"/>
        </w:rPr>
        <w:t xml:space="preserve"> estimate</w:t>
      </w:r>
      <w:r w:rsidR="003A7106" w:rsidRPr="00730E2D">
        <w:rPr>
          <w:rFonts w:asciiTheme="minorHAnsi" w:hAnsiTheme="minorHAnsi"/>
        </w:rPr>
        <w:t>s</w:t>
      </w:r>
      <w:r w:rsidR="00BA3FC6" w:rsidRPr="00730E2D">
        <w:rPr>
          <w:rFonts w:asciiTheme="minorHAnsi" w:hAnsiTheme="minorHAnsi"/>
        </w:rPr>
        <w:t xml:space="preserve"> outcomes (i.e. energy and demand savings, emissions reductions</w:t>
      </w:r>
      <w:r w:rsidR="007E1310" w:rsidRPr="00730E2D">
        <w:rPr>
          <w:rFonts w:asciiTheme="minorHAnsi" w:hAnsiTheme="minorHAnsi"/>
        </w:rPr>
        <w:t xml:space="preserve">, jobs) for each PA, </w:t>
      </w:r>
      <w:r w:rsidR="003A7106" w:rsidRPr="00730E2D">
        <w:rPr>
          <w:rFonts w:asciiTheme="minorHAnsi" w:hAnsiTheme="minorHAnsi"/>
        </w:rPr>
        <w:t>DOE</w:t>
      </w:r>
      <w:r w:rsidR="007E1310" w:rsidRPr="00730E2D">
        <w:rPr>
          <w:rFonts w:asciiTheme="minorHAnsi" w:hAnsiTheme="minorHAnsi"/>
        </w:rPr>
        <w:t xml:space="preserve"> </w:t>
      </w:r>
      <w:r w:rsidR="00332EA5" w:rsidRPr="00730E2D">
        <w:rPr>
          <w:rFonts w:asciiTheme="minorHAnsi" w:hAnsiTheme="minorHAnsi"/>
        </w:rPr>
        <w:t xml:space="preserve">will </w:t>
      </w:r>
      <w:r w:rsidR="007E1310" w:rsidRPr="00730E2D">
        <w:rPr>
          <w:rFonts w:asciiTheme="minorHAnsi" w:hAnsiTheme="minorHAnsi"/>
        </w:rPr>
        <w:t>expand PA level outcomes to the full BPAC group using conventional multi-staged sampling techniques</w:t>
      </w:r>
      <w:r w:rsidR="000D07B2" w:rsidRPr="00730E2D">
        <w:rPr>
          <w:rFonts w:asciiTheme="minorHAnsi" w:hAnsiTheme="minorHAnsi"/>
        </w:rPr>
        <w:t xml:space="preserve"> (Stage 2 sample expansion techniques are descr</w:t>
      </w:r>
      <w:r w:rsidR="00DE2A48" w:rsidRPr="00730E2D">
        <w:rPr>
          <w:rFonts w:asciiTheme="minorHAnsi" w:hAnsiTheme="minorHAnsi"/>
        </w:rPr>
        <w:t>i</w:t>
      </w:r>
      <w:r w:rsidR="000D07B2" w:rsidRPr="00730E2D">
        <w:rPr>
          <w:rFonts w:asciiTheme="minorHAnsi" w:hAnsiTheme="minorHAnsi"/>
        </w:rPr>
        <w:t xml:space="preserve">bed in the section titled "Estimation Procedure" on Page </w:t>
      </w:r>
      <w:r w:rsidR="00730E2D" w:rsidRPr="00730E2D">
        <w:rPr>
          <w:rFonts w:asciiTheme="minorHAnsi" w:hAnsiTheme="minorHAnsi"/>
        </w:rPr>
        <w:t>2</w:t>
      </w:r>
      <w:r w:rsidR="00580575">
        <w:rPr>
          <w:rFonts w:asciiTheme="minorHAnsi" w:hAnsiTheme="minorHAnsi"/>
        </w:rPr>
        <w:t>3</w:t>
      </w:r>
      <w:r w:rsidR="00730E2D" w:rsidRPr="00730E2D">
        <w:rPr>
          <w:rFonts w:asciiTheme="minorHAnsi" w:hAnsiTheme="minorHAnsi"/>
        </w:rPr>
        <w:t xml:space="preserve"> </w:t>
      </w:r>
      <w:r w:rsidR="004B0D22" w:rsidRPr="00730E2D">
        <w:rPr>
          <w:rFonts w:asciiTheme="minorHAnsi" w:hAnsiTheme="minorHAnsi"/>
        </w:rPr>
        <w:t xml:space="preserve">of </w:t>
      </w:r>
      <w:r w:rsidR="002D0607" w:rsidRPr="00730E2D">
        <w:rPr>
          <w:rFonts w:asciiTheme="minorHAnsi" w:hAnsiTheme="minorHAnsi"/>
        </w:rPr>
        <w:t>this document</w:t>
      </w:r>
      <w:r w:rsidR="000D07B2" w:rsidRPr="00730E2D">
        <w:rPr>
          <w:rFonts w:asciiTheme="minorHAnsi" w:hAnsiTheme="minorHAnsi"/>
        </w:rPr>
        <w:t>)</w:t>
      </w:r>
      <w:r w:rsidR="007E1310" w:rsidRPr="00730E2D">
        <w:rPr>
          <w:rFonts w:asciiTheme="minorHAnsi" w:hAnsiTheme="minorHAnsi"/>
        </w:rPr>
        <w:t>.</w:t>
      </w:r>
    </w:p>
    <w:p w:rsidR="007E1310" w:rsidRDefault="007E1310" w:rsidP="00730E2D">
      <w:pPr>
        <w:jc w:val="both"/>
        <w:rPr>
          <w:rFonts w:asciiTheme="minorHAnsi" w:hAnsiTheme="minorHAnsi"/>
        </w:rPr>
      </w:pPr>
    </w:p>
    <w:p w:rsidR="00B93B61" w:rsidRDefault="00B93B61" w:rsidP="00730E2D">
      <w:pPr>
        <w:jc w:val="both"/>
        <w:rPr>
          <w:rFonts w:asciiTheme="minorHAnsi" w:hAnsiTheme="minorHAnsi"/>
        </w:rPr>
      </w:pPr>
      <w:r>
        <w:rPr>
          <w:rFonts w:asciiTheme="minorHAnsi" w:hAnsiTheme="minorHAnsi"/>
        </w:rPr>
        <w:lastRenderedPageBreak/>
        <w:t>As stated above, quantification of SEP outcome indicators may require an understanding of the relative impact of similar leveraged or cost-shared programs to SEP</w:t>
      </w:r>
      <w:r w:rsidR="00BF3F36">
        <w:rPr>
          <w:rFonts w:asciiTheme="minorHAnsi" w:hAnsiTheme="minorHAnsi"/>
        </w:rPr>
        <w:t>-</w:t>
      </w:r>
      <w:r>
        <w:rPr>
          <w:rFonts w:asciiTheme="minorHAnsi" w:hAnsiTheme="minorHAnsi"/>
        </w:rPr>
        <w:t xml:space="preserve">funded efforts.  As such, some survey instruments collect data to build a narrative that establishes the veracity of leveraged or cost-shared impacts, </w:t>
      </w:r>
      <w:r w:rsidR="00D93D50">
        <w:rPr>
          <w:rFonts w:asciiTheme="minorHAnsi" w:hAnsiTheme="minorHAnsi"/>
        </w:rPr>
        <w:t xml:space="preserve">leading to the ultimate quantification of the proportion of observed outcomes that are attributable to the SEP effort itself.  In a given sequence of questions, some will establish the roles of the various contributing program efforts and help determine the way in which they interact, without immediately yielding a </w:t>
      </w:r>
      <w:r>
        <w:rPr>
          <w:rFonts w:asciiTheme="minorHAnsi" w:hAnsiTheme="minorHAnsi"/>
        </w:rPr>
        <w:t>quantifiable result.  Examples of such questions include those asked of Program Managers of Non-SEP Programs</w:t>
      </w:r>
      <w:r w:rsidR="005646B9">
        <w:rPr>
          <w:rFonts w:asciiTheme="minorHAnsi" w:hAnsiTheme="minorHAnsi"/>
        </w:rPr>
        <w:t xml:space="preserve"> which run concurrent </w:t>
      </w:r>
      <w:r w:rsidR="00D93D50">
        <w:rPr>
          <w:rFonts w:asciiTheme="minorHAnsi" w:hAnsiTheme="minorHAnsi"/>
        </w:rPr>
        <w:t xml:space="preserve">to SEP that are designed </w:t>
      </w:r>
      <w:r>
        <w:rPr>
          <w:rFonts w:asciiTheme="minorHAnsi" w:hAnsiTheme="minorHAnsi"/>
        </w:rPr>
        <w:t>to clarify the decision-making pro</w:t>
      </w:r>
      <w:r w:rsidR="00D93D50">
        <w:rPr>
          <w:rFonts w:asciiTheme="minorHAnsi" w:hAnsiTheme="minorHAnsi"/>
        </w:rPr>
        <w:t>c</w:t>
      </w:r>
      <w:r>
        <w:rPr>
          <w:rFonts w:asciiTheme="minorHAnsi" w:hAnsiTheme="minorHAnsi"/>
        </w:rPr>
        <w:t xml:space="preserve">ess </w:t>
      </w:r>
      <w:r w:rsidR="00D93D50">
        <w:rPr>
          <w:rFonts w:asciiTheme="minorHAnsi" w:hAnsiTheme="minorHAnsi"/>
        </w:rPr>
        <w:t xml:space="preserve">involved in </w:t>
      </w:r>
      <w:r>
        <w:rPr>
          <w:rFonts w:asciiTheme="minorHAnsi" w:hAnsiTheme="minorHAnsi"/>
        </w:rPr>
        <w:t xml:space="preserve"> designing</w:t>
      </w:r>
      <w:r w:rsidR="005646B9">
        <w:rPr>
          <w:rFonts w:asciiTheme="minorHAnsi" w:hAnsiTheme="minorHAnsi"/>
        </w:rPr>
        <w:t xml:space="preserve"> the Non-SEP</w:t>
      </w:r>
      <w:r>
        <w:rPr>
          <w:rFonts w:asciiTheme="minorHAnsi" w:hAnsiTheme="minorHAnsi"/>
        </w:rPr>
        <w:t xml:space="preserve"> </w:t>
      </w:r>
      <w:r w:rsidR="005646B9">
        <w:rPr>
          <w:rFonts w:asciiTheme="minorHAnsi" w:hAnsiTheme="minorHAnsi"/>
        </w:rPr>
        <w:t>P</w:t>
      </w:r>
      <w:r>
        <w:rPr>
          <w:rFonts w:asciiTheme="minorHAnsi" w:hAnsiTheme="minorHAnsi"/>
        </w:rPr>
        <w:t>rogram</w:t>
      </w:r>
      <w:r w:rsidR="005646B9">
        <w:rPr>
          <w:rFonts w:asciiTheme="minorHAnsi" w:hAnsiTheme="minorHAnsi"/>
        </w:rPr>
        <w:t xml:space="preserve">.  At the heart of estimating the impacts of leveraged funding or cost-sharing </w:t>
      </w:r>
      <w:r w:rsidR="00D93D50">
        <w:rPr>
          <w:rFonts w:asciiTheme="minorHAnsi" w:hAnsiTheme="minorHAnsi"/>
        </w:rPr>
        <w:t>is the determination</w:t>
      </w:r>
      <w:r w:rsidR="005646B9">
        <w:rPr>
          <w:rFonts w:asciiTheme="minorHAnsi" w:hAnsiTheme="minorHAnsi"/>
        </w:rPr>
        <w:t xml:space="preserve"> of whether or not the presence of the sampled SEP program influenced funding decisions and/or program design.  In most surveys, </w:t>
      </w:r>
      <w:r w:rsidR="00D93D50">
        <w:rPr>
          <w:rFonts w:asciiTheme="minorHAnsi" w:hAnsiTheme="minorHAnsi"/>
        </w:rPr>
        <w:t xml:space="preserve">a final question or </w:t>
      </w:r>
      <w:r w:rsidR="005646B9">
        <w:rPr>
          <w:rFonts w:asciiTheme="minorHAnsi" w:hAnsiTheme="minorHAnsi"/>
        </w:rPr>
        <w:t xml:space="preserve">questions </w:t>
      </w:r>
      <w:r w:rsidR="00D93D50">
        <w:rPr>
          <w:rFonts w:asciiTheme="minorHAnsi" w:hAnsiTheme="minorHAnsi"/>
        </w:rPr>
        <w:t xml:space="preserve">in an attribution-related sequence </w:t>
      </w:r>
      <w:r w:rsidR="005646B9">
        <w:rPr>
          <w:rFonts w:asciiTheme="minorHAnsi" w:hAnsiTheme="minorHAnsi"/>
        </w:rPr>
        <w:t xml:space="preserve">were specified to collect a quantitative indicator of fund leveraging or cost-sharing.  </w:t>
      </w:r>
      <w:bookmarkStart w:id="0" w:name="_GoBack"/>
      <w:bookmarkEnd w:id="0"/>
    </w:p>
    <w:p w:rsidR="00B93B61" w:rsidRPr="00730E2D" w:rsidRDefault="00B93B61" w:rsidP="00730E2D">
      <w:pPr>
        <w:jc w:val="both"/>
        <w:rPr>
          <w:rFonts w:asciiTheme="minorHAnsi" w:hAnsiTheme="minorHAnsi"/>
        </w:rPr>
      </w:pPr>
    </w:p>
    <w:p w:rsidR="00340692" w:rsidRPr="00730E2D" w:rsidRDefault="009E2BCF" w:rsidP="00730E2D">
      <w:pPr>
        <w:jc w:val="both"/>
        <w:rPr>
          <w:rFonts w:asciiTheme="minorHAnsi" w:hAnsiTheme="minorHAnsi"/>
        </w:rPr>
      </w:pPr>
      <w:r>
        <w:fldChar w:fldCharType="begin"/>
      </w:r>
      <w:r>
        <w:instrText xml:space="preserve"> REF _Ref309654698 \h  \* MERGEFORMAT </w:instrText>
      </w:r>
      <w:r>
        <w:fldChar w:fldCharType="separate"/>
      </w:r>
      <w:r w:rsidR="00384822" w:rsidRPr="00730E2D">
        <w:rPr>
          <w:rFonts w:asciiTheme="minorHAnsi" w:hAnsiTheme="minorHAnsi"/>
        </w:rPr>
        <w:t>Figure 1</w:t>
      </w:r>
      <w:r>
        <w:fldChar w:fldCharType="end"/>
      </w:r>
      <w:r w:rsidR="00384822" w:rsidRPr="00730E2D">
        <w:rPr>
          <w:rFonts w:asciiTheme="minorHAnsi" w:hAnsiTheme="minorHAnsi"/>
        </w:rPr>
        <w:t xml:space="preserve"> </w:t>
      </w:r>
      <w:r w:rsidR="00D55613" w:rsidRPr="00730E2D">
        <w:rPr>
          <w:rFonts w:asciiTheme="minorHAnsi" w:hAnsiTheme="minorHAnsi"/>
        </w:rPr>
        <w:t xml:space="preserve">below depicts the process used to complete </w:t>
      </w:r>
      <w:r w:rsidR="00A8241B" w:rsidRPr="00730E2D">
        <w:rPr>
          <w:rFonts w:asciiTheme="minorHAnsi" w:hAnsiTheme="minorHAnsi"/>
        </w:rPr>
        <w:t>Stage 1, and our planned approach for Stage 2</w:t>
      </w:r>
      <w:r w:rsidR="00D55613" w:rsidRPr="00730E2D">
        <w:rPr>
          <w:rFonts w:asciiTheme="minorHAnsi" w:hAnsiTheme="minorHAnsi"/>
        </w:rPr>
        <w:t>.  St</w:t>
      </w:r>
      <w:r w:rsidR="00A8241B" w:rsidRPr="00730E2D">
        <w:rPr>
          <w:rFonts w:asciiTheme="minorHAnsi" w:hAnsiTheme="minorHAnsi"/>
        </w:rPr>
        <w:t>age 1 i</w:t>
      </w:r>
      <w:r w:rsidR="00D55613" w:rsidRPr="00730E2D">
        <w:rPr>
          <w:rFonts w:asciiTheme="minorHAnsi" w:hAnsiTheme="minorHAnsi"/>
        </w:rPr>
        <w:t xml:space="preserve">s represented by </w:t>
      </w:r>
      <w:r w:rsidR="00142595" w:rsidRPr="00730E2D">
        <w:rPr>
          <w:rFonts w:asciiTheme="minorHAnsi" w:hAnsiTheme="minorHAnsi"/>
        </w:rPr>
        <w:t xml:space="preserve">the </w:t>
      </w:r>
      <w:r w:rsidR="00D55613" w:rsidRPr="00730E2D">
        <w:rPr>
          <w:rFonts w:asciiTheme="minorHAnsi" w:hAnsiTheme="minorHAnsi"/>
        </w:rPr>
        <w:t xml:space="preserve">upper portion of the diagram, </w:t>
      </w:r>
      <w:r w:rsidR="00BC7FDD" w:rsidRPr="00730E2D">
        <w:rPr>
          <w:rFonts w:asciiTheme="minorHAnsi" w:hAnsiTheme="minorHAnsi"/>
        </w:rPr>
        <w:t>while St</w:t>
      </w:r>
      <w:r w:rsidR="00A8241B" w:rsidRPr="00730E2D">
        <w:rPr>
          <w:rFonts w:asciiTheme="minorHAnsi" w:hAnsiTheme="minorHAnsi"/>
        </w:rPr>
        <w:t>age</w:t>
      </w:r>
      <w:r w:rsidR="00BC7FDD" w:rsidRPr="00730E2D">
        <w:rPr>
          <w:rFonts w:asciiTheme="minorHAnsi" w:hAnsiTheme="minorHAnsi"/>
        </w:rPr>
        <w:t xml:space="preserve"> 2 is depicted by the </w:t>
      </w:r>
      <w:r w:rsidR="00B20B86" w:rsidRPr="00730E2D">
        <w:rPr>
          <w:rFonts w:asciiTheme="minorHAnsi" w:hAnsiTheme="minorHAnsi"/>
        </w:rPr>
        <w:t xml:space="preserve">lower </w:t>
      </w:r>
      <w:r w:rsidR="00BC7FDD" w:rsidRPr="00730E2D">
        <w:rPr>
          <w:rFonts w:asciiTheme="minorHAnsi" w:hAnsiTheme="minorHAnsi"/>
        </w:rPr>
        <w:t>portion of the diagram</w:t>
      </w:r>
      <w:r w:rsidR="0074673F" w:rsidRPr="00730E2D">
        <w:rPr>
          <w:rFonts w:asciiTheme="minorHAnsi" w:hAnsiTheme="minorHAnsi"/>
        </w:rPr>
        <w:t>.</w:t>
      </w:r>
      <w:r w:rsidR="00BC7FDD" w:rsidRPr="00730E2D">
        <w:rPr>
          <w:rFonts w:asciiTheme="minorHAnsi" w:hAnsiTheme="minorHAnsi"/>
        </w:rPr>
        <w:t xml:space="preserve">  Moving from the top of the diagram downward, the following lists the individual steps for each of these two general st</w:t>
      </w:r>
      <w:r w:rsidR="00A8241B" w:rsidRPr="00730E2D">
        <w:rPr>
          <w:rFonts w:asciiTheme="minorHAnsi" w:hAnsiTheme="minorHAnsi"/>
        </w:rPr>
        <w:t>ages</w:t>
      </w:r>
      <w:r w:rsidR="00BC7FDD" w:rsidRPr="00730E2D">
        <w:rPr>
          <w:rFonts w:asciiTheme="minorHAnsi" w:hAnsiTheme="minorHAnsi"/>
        </w:rPr>
        <w:t>:</w:t>
      </w:r>
    </w:p>
    <w:p w:rsidR="00340692" w:rsidRPr="00730E2D" w:rsidRDefault="00340692" w:rsidP="00730E2D">
      <w:pPr>
        <w:jc w:val="both"/>
        <w:rPr>
          <w:rFonts w:asciiTheme="minorHAnsi" w:hAnsiTheme="minorHAnsi"/>
        </w:rPr>
      </w:pPr>
    </w:p>
    <w:p w:rsidR="00A8241B" w:rsidRPr="00730E2D" w:rsidRDefault="00A8241B" w:rsidP="00730E2D">
      <w:pPr>
        <w:spacing w:after="120"/>
        <w:jc w:val="both"/>
        <w:rPr>
          <w:rFonts w:asciiTheme="minorHAnsi" w:hAnsiTheme="minorHAnsi"/>
          <w:b/>
        </w:rPr>
      </w:pPr>
      <w:r w:rsidRPr="00730E2D">
        <w:rPr>
          <w:rFonts w:asciiTheme="minorHAnsi" w:hAnsiTheme="minorHAnsi"/>
          <w:b/>
        </w:rPr>
        <w:t>Stage 1– Selection of Sample of PAs</w:t>
      </w:r>
    </w:p>
    <w:p w:rsidR="005F03E4" w:rsidRDefault="003A7106" w:rsidP="00730E2D">
      <w:pPr>
        <w:pStyle w:val="ListParagraph"/>
        <w:numPr>
          <w:ilvl w:val="0"/>
          <w:numId w:val="28"/>
        </w:numPr>
        <w:spacing w:after="240" w:line="240" w:lineRule="auto"/>
        <w:contextualSpacing w:val="0"/>
        <w:jc w:val="both"/>
        <w:rPr>
          <w:rFonts w:asciiTheme="minorHAnsi" w:hAnsiTheme="minorHAnsi"/>
          <w:sz w:val="24"/>
          <w:szCs w:val="24"/>
        </w:rPr>
      </w:pPr>
      <w:r w:rsidRPr="00730E2D">
        <w:rPr>
          <w:rFonts w:asciiTheme="minorHAnsi" w:hAnsiTheme="minorHAnsi"/>
          <w:sz w:val="24"/>
          <w:szCs w:val="24"/>
        </w:rPr>
        <w:t>DOE</w:t>
      </w:r>
      <w:r w:rsidR="00D04EF1" w:rsidRPr="00730E2D">
        <w:rPr>
          <w:rFonts w:asciiTheme="minorHAnsi" w:hAnsiTheme="minorHAnsi"/>
          <w:sz w:val="24"/>
          <w:szCs w:val="24"/>
        </w:rPr>
        <w:t xml:space="preserve"> develop</w:t>
      </w:r>
      <w:r w:rsidR="00A8241B" w:rsidRPr="00730E2D">
        <w:rPr>
          <w:rFonts w:asciiTheme="minorHAnsi" w:hAnsiTheme="minorHAnsi"/>
          <w:sz w:val="24"/>
          <w:szCs w:val="24"/>
        </w:rPr>
        <w:t>ed</w:t>
      </w:r>
      <w:r w:rsidR="00D04EF1" w:rsidRPr="00730E2D">
        <w:rPr>
          <w:rFonts w:asciiTheme="minorHAnsi" w:hAnsiTheme="minorHAnsi"/>
          <w:sz w:val="24"/>
          <w:szCs w:val="24"/>
        </w:rPr>
        <w:t xml:space="preserve"> the </w:t>
      </w:r>
      <w:r w:rsidR="00D55613" w:rsidRPr="00730E2D">
        <w:rPr>
          <w:rFonts w:asciiTheme="minorHAnsi" w:hAnsiTheme="minorHAnsi"/>
          <w:sz w:val="24"/>
          <w:szCs w:val="24"/>
        </w:rPr>
        <w:t xml:space="preserve">universe of </w:t>
      </w:r>
      <w:r w:rsidR="00D04EF1" w:rsidRPr="00730E2D">
        <w:rPr>
          <w:rFonts w:asciiTheme="minorHAnsi" w:hAnsiTheme="minorHAnsi"/>
          <w:sz w:val="24"/>
          <w:szCs w:val="24"/>
        </w:rPr>
        <w:t>PAs</w:t>
      </w:r>
      <w:r w:rsidR="00D55613" w:rsidRPr="00730E2D">
        <w:rPr>
          <w:rFonts w:asciiTheme="minorHAnsi" w:hAnsiTheme="minorHAnsi"/>
          <w:sz w:val="24"/>
          <w:szCs w:val="24"/>
        </w:rPr>
        <w:t xml:space="preserve"> </w:t>
      </w:r>
      <w:r w:rsidR="00D04EF1" w:rsidRPr="00730E2D">
        <w:rPr>
          <w:rFonts w:asciiTheme="minorHAnsi" w:hAnsiTheme="minorHAnsi"/>
          <w:sz w:val="24"/>
          <w:szCs w:val="24"/>
        </w:rPr>
        <w:t xml:space="preserve">by merging the WINSAGA </w:t>
      </w:r>
      <w:r w:rsidR="00CE1040" w:rsidRPr="00730E2D">
        <w:rPr>
          <w:rFonts w:asciiTheme="minorHAnsi" w:hAnsiTheme="minorHAnsi"/>
          <w:sz w:val="24"/>
          <w:szCs w:val="24"/>
        </w:rPr>
        <w:t>(</w:t>
      </w:r>
      <w:r w:rsidR="00C50107" w:rsidRPr="00730E2D">
        <w:rPr>
          <w:rFonts w:asciiTheme="minorHAnsi" w:hAnsiTheme="minorHAnsi"/>
          <w:sz w:val="24"/>
          <w:szCs w:val="24"/>
        </w:rPr>
        <w:t>A1</w:t>
      </w:r>
      <w:r w:rsidR="00CE1040" w:rsidRPr="00730E2D">
        <w:rPr>
          <w:rFonts w:asciiTheme="minorHAnsi" w:hAnsiTheme="minorHAnsi"/>
          <w:sz w:val="24"/>
          <w:szCs w:val="24"/>
        </w:rPr>
        <w:t>) and PAGE (</w:t>
      </w:r>
      <w:proofErr w:type="spellStart"/>
      <w:r w:rsidR="00C50107" w:rsidRPr="00730E2D">
        <w:rPr>
          <w:rFonts w:asciiTheme="minorHAnsi" w:hAnsiTheme="minorHAnsi"/>
          <w:sz w:val="24"/>
          <w:szCs w:val="24"/>
        </w:rPr>
        <w:t>A2</w:t>
      </w:r>
      <w:proofErr w:type="spellEnd"/>
      <w:r w:rsidR="00CE1040" w:rsidRPr="00730E2D">
        <w:rPr>
          <w:rFonts w:asciiTheme="minorHAnsi" w:hAnsiTheme="minorHAnsi"/>
          <w:sz w:val="24"/>
          <w:szCs w:val="24"/>
        </w:rPr>
        <w:t xml:space="preserve">) databases.  Within each database, SEP/ARRA grants awarded to states </w:t>
      </w:r>
      <w:r w:rsidR="00083FAC" w:rsidRPr="00730E2D">
        <w:rPr>
          <w:rFonts w:asciiTheme="minorHAnsi" w:hAnsiTheme="minorHAnsi"/>
          <w:sz w:val="24"/>
          <w:szCs w:val="24"/>
        </w:rPr>
        <w:t>we</w:t>
      </w:r>
      <w:r w:rsidR="00CE1040" w:rsidRPr="00730E2D">
        <w:rPr>
          <w:rFonts w:asciiTheme="minorHAnsi" w:hAnsiTheme="minorHAnsi"/>
          <w:sz w:val="24"/>
          <w:szCs w:val="24"/>
        </w:rPr>
        <w:t>re listed</w:t>
      </w:r>
      <w:r w:rsidR="00B21FF4" w:rsidRPr="00730E2D">
        <w:rPr>
          <w:rFonts w:asciiTheme="minorHAnsi" w:hAnsiTheme="minorHAnsi"/>
          <w:sz w:val="24"/>
          <w:szCs w:val="24"/>
        </w:rPr>
        <w:t xml:space="preserve"> under se</w:t>
      </w:r>
      <w:r w:rsidR="00083FAC" w:rsidRPr="00730E2D">
        <w:rPr>
          <w:rFonts w:asciiTheme="minorHAnsi" w:hAnsiTheme="minorHAnsi"/>
          <w:sz w:val="24"/>
          <w:szCs w:val="24"/>
        </w:rPr>
        <w:t xml:space="preserve">parate market titles.  </w:t>
      </w:r>
      <w:r w:rsidR="009F3129" w:rsidRPr="00730E2D">
        <w:rPr>
          <w:rFonts w:asciiTheme="minorHAnsi" w:hAnsiTheme="minorHAnsi"/>
          <w:sz w:val="24"/>
          <w:szCs w:val="24"/>
        </w:rPr>
        <w:t xml:space="preserve">Within each database, each record corresponded to an individual grant, or “Market Title.”  A state could have multiple market titles.  </w:t>
      </w:r>
      <w:r w:rsidRPr="00730E2D">
        <w:rPr>
          <w:rFonts w:asciiTheme="minorHAnsi" w:hAnsiTheme="minorHAnsi"/>
          <w:sz w:val="24"/>
          <w:szCs w:val="24"/>
        </w:rPr>
        <w:t>DOE</w:t>
      </w:r>
      <w:r w:rsidR="009F3129" w:rsidRPr="00730E2D">
        <w:rPr>
          <w:rFonts w:asciiTheme="minorHAnsi" w:hAnsiTheme="minorHAnsi"/>
          <w:sz w:val="24"/>
          <w:szCs w:val="24"/>
        </w:rPr>
        <w:t xml:space="preserve"> reviewed the information available for each market title, and determined whether to treat the entire Market Title as a single Programmatic Activity, or as 2 or more distinct Programmatic Activities.  In rare instances, multiple small Market titles within the same state with similar types of activities were combined into a single Programmatic Activity for purposes of the sampling frame.  From the information provided, </w:t>
      </w:r>
      <w:r w:rsidRPr="00730E2D">
        <w:rPr>
          <w:rFonts w:asciiTheme="minorHAnsi" w:hAnsiTheme="minorHAnsi"/>
          <w:sz w:val="24"/>
          <w:szCs w:val="24"/>
        </w:rPr>
        <w:t>DOE</w:t>
      </w:r>
      <w:r w:rsidR="009F3129" w:rsidRPr="00730E2D">
        <w:rPr>
          <w:rFonts w:asciiTheme="minorHAnsi" w:hAnsiTheme="minorHAnsi"/>
          <w:sz w:val="24"/>
          <w:szCs w:val="24"/>
        </w:rPr>
        <w:t xml:space="preserve"> identified the funding amounts associated with each PA in the final sampling frame</w:t>
      </w:r>
      <w:r w:rsidR="00140AFD" w:rsidRPr="00730E2D">
        <w:rPr>
          <w:rFonts w:asciiTheme="minorHAnsi" w:hAnsiTheme="minorHAnsi"/>
          <w:sz w:val="24"/>
          <w:szCs w:val="24"/>
        </w:rPr>
        <w:t xml:space="preserve">, and assigned </w:t>
      </w:r>
      <w:r w:rsidR="001843D4" w:rsidRPr="00730E2D">
        <w:rPr>
          <w:rFonts w:asciiTheme="minorHAnsi" w:hAnsiTheme="minorHAnsi"/>
          <w:sz w:val="24"/>
          <w:szCs w:val="24"/>
        </w:rPr>
        <w:t xml:space="preserve">each one to a </w:t>
      </w:r>
      <w:r w:rsidR="00D856BC" w:rsidRPr="00730E2D">
        <w:rPr>
          <w:rFonts w:asciiTheme="minorHAnsi" w:hAnsiTheme="minorHAnsi"/>
          <w:sz w:val="24"/>
          <w:szCs w:val="24"/>
        </w:rPr>
        <w:t>Broad program area category</w:t>
      </w:r>
      <w:r w:rsidR="00140AFD" w:rsidRPr="00730E2D">
        <w:rPr>
          <w:rFonts w:asciiTheme="minorHAnsi" w:hAnsiTheme="minorHAnsi"/>
          <w:sz w:val="24"/>
          <w:szCs w:val="24"/>
        </w:rPr>
        <w:t xml:space="preserve"> and Subcategory.  Thus the sampling frame (</w:t>
      </w:r>
      <w:proofErr w:type="spellStart"/>
      <w:r w:rsidR="00140AFD" w:rsidRPr="00730E2D">
        <w:rPr>
          <w:rFonts w:asciiTheme="minorHAnsi" w:hAnsiTheme="minorHAnsi"/>
          <w:sz w:val="24"/>
          <w:szCs w:val="24"/>
        </w:rPr>
        <w:t>A3</w:t>
      </w:r>
      <w:proofErr w:type="spellEnd"/>
      <w:r w:rsidR="00140AFD" w:rsidRPr="00730E2D">
        <w:rPr>
          <w:rFonts w:asciiTheme="minorHAnsi" w:hAnsiTheme="minorHAnsi"/>
          <w:sz w:val="24"/>
          <w:szCs w:val="24"/>
        </w:rPr>
        <w:t>) consisted of a set of PAs characterized at a minimum by BPAC and subcategory</w:t>
      </w:r>
      <w:r w:rsidR="00332EA5" w:rsidRPr="00730E2D">
        <w:rPr>
          <w:rFonts w:asciiTheme="minorHAnsi" w:hAnsiTheme="minorHAnsi"/>
          <w:sz w:val="24"/>
          <w:szCs w:val="24"/>
        </w:rPr>
        <w:t xml:space="preserve"> (stratum) as well as by state and funding level</w:t>
      </w:r>
      <w:r w:rsidR="00140AFD" w:rsidRPr="00730E2D">
        <w:rPr>
          <w:rFonts w:asciiTheme="minorHAnsi" w:hAnsiTheme="minorHAnsi"/>
          <w:sz w:val="24"/>
          <w:szCs w:val="24"/>
        </w:rPr>
        <w:t>.</w:t>
      </w:r>
    </w:p>
    <w:p w:rsidR="00B21FF4" w:rsidRPr="00730E2D" w:rsidRDefault="00E058DD" w:rsidP="005F03E4">
      <w:pPr>
        <w:pStyle w:val="ListParagraph"/>
        <w:spacing w:after="240" w:line="240" w:lineRule="auto"/>
        <w:contextualSpacing w:val="0"/>
        <w:jc w:val="both"/>
        <w:rPr>
          <w:rFonts w:asciiTheme="minorHAnsi" w:hAnsiTheme="minorHAnsi"/>
          <w:sz w:val="24"/>
          <w:szCs w:val="24"/>
        </w:rPr>
      </w:pPr>
      <w:r w:rsidRPr="00730E2D">
        <w:rPr>
          <w:rFonts w:asciiTheme="minorHAnsi" w:hAnsiTheme="minorHAnsi"/>
          <w:sz w:val="24"/>
          <w:szCs w:val="24"/>
        </w:rPr>
        <w:t xml:space="preserve">Following guidance from DOE, </w:t>
      </w:r>
      <w:r w:rsidR="003A7106" w:rsidRPr="00730E2D">
        <w:rPr>
          <w:rFonts w:asciiTheme="minorHAnsi" w:hAnsiTheme="minorHAnsi"/>
          <w:sz w:val="24"/>
          <w:szCs w:val="24"/>
        </w:rPr>
        <w:t>DOE</w:t>
      </w:r>
      <w:r w:rsidRPr="00730E2D">
        <w:rPr>
          <w:rFonts w:asciiTheme="minorHAnsi" w:hAnsiTheme="minorHAnsi"/>
          <w:sz w:val="24"/>
          <w:szCs w:val="24"/>
        </w:rPr>
        <w:t xml:space="preserve"> restricted the study universe to a subset of all the BPAC-subcategory strata, together accounting for over 80 percent of each study period’s total budget.  As described further below, the restriction mostly eliminated smaller strata in terms of program budget.  This restriction was imposed to allow more effective use of evaluation resources, by reducing the number of different types of evaluations that needed to be developed and the number of different BPACs for which stand-alone estimates will be produced</w:t>
      </w:r>
    </w:p>
    <w:p w:rsidR="00D05772" w:rsidRPr="00730E2D" w:rsidRDefault="00A00539" w:rsidP="00730E2D">
      <w:pPr>
        <w:pStyle w:val="ListParagraph"/>
        <w:numPr>
          <w:ilvl w:val="0"/>
          <w:numId w:val="28"/>
        </w:numPr>
        <w:spacing w:before="120" w:after="240" w:line="240" w:lineRule="auto"/>
        <w:contextualSpacing w:val="0"/>
        <w:jc w:val="both"/>
        <w:rPr>
          <w:rFonts w:asciiTheme="minorHAnsi" w:hAnsiTheme="minorHAnsi"/>
          <w:sz w:val="24"/>
          <w:szCs w:val="24"/>
        </w:rPr>
      </w:pPr>
      <w:r w:rsidRPr="00730E2D">
        <w:rPr>
          <w:rFonts w:asciiTheme="minorHAnsi" w:hAnsiTheme="minorHAnsi"/>
          <w:sz w:val="24"/>
          <w:szCs w:val="24"/>
        </w:rPr>
        <w:lastRenderedPageBreak/>
        <w:t xml:space="preserve">As indicated, the included programmatic activities for each study period (Program Year 2008 and ARRA period) were stratified by BPAC and subcategory.  As described further below, </w:t>
      </w:r>
      <w:r w:rsidR="003A7106" w:rsidRPr="00730E2D">
        <w:rPr>
          <w:rFonts w:asciiTheme="minorHAnsi" w:hAnsiTheme="minorHAnsi"/>
          <w:sz w:val="24"/>
          <w:szCs w:val="24"/>
        </w:rPr>
        <w:t>DOE</w:t>
      </w:r>
      <w:r w:rsidRPr="00730E2D">
        <w:rPr>
          <w:rFonts w:asciiTheme="minorHAnsi" w:hAnsiTheme="minorHAnsi"/>
          <w:sz w:val="24"/>
          <w:szCs w:val="24"/>
        </w:rPr>
        <w:t xml:space="preserve"> further stratified the included PAs by size (program budget) and by likelihood of successful evaluation.</w:t>
      </w:r>
    </w:p>
    <w:p w:rsidR="00A8241B" w:rsidRPr="00730E2D" w:rsidRDefault="00A00539" w:rsidP="00730E2D">
      <w:pPr>
        <w:pStyle w:val="ListParagraph"/>
        <w:numPr>
          <w:ilvl w:val="0"/>
          <w:numId w:val="28"/>
        </w:numPr>
        <w:spacing w:before="120" w:after="240" w:line="240" w:lineRule="auto"/>
        <w:contextualSpacing w:val="0"/>
        <w:jc w:val="both"/>
        <w:rPr>
          <w:rFonts w:asciiTheme="minorHAnsi" w:hAnsiTheme="minorHAnsi"/>
          <w:sz w:val="24"/>
          <w:szCs w:val="24"/>
        </w:rPr>
      </w:pPr>
      <w:r w:rsidRPr="00730E2D">
        <w:rPr>
          <w:rFonts w:asciiTheme="minorHAnsi" w:hAnsiTheme="minorHAnsi"/>
          <w:sz w:val="24"/>
          <w:szCs w:val="24"/>
        </w:rPr>
        <w:t xml:space="preserve">For each study period, the total number of PAs to be evaluated was specified in consultation with DOE, based on preliminary budgetary assessment, review of the data bases, and DOE direction on the relative effort for the two study periods.   </w:t>
      </w:r>
      <w:r w:rsidR="005765F3" w:rsidRPr="00730E2D">
        <w:rPr>
          <w:rFonts w:asciiTheme="minorHAnsi" w:eastAsia="Times New Roman" w:hAnsiTheme="minorHAnsi"/>
          <w:sz w:val="24"/>
          <w:szCs w:val="24"/>
        </w:rPr>
        <w:t xml:space="preserve">Although funding in PY 2008 was much lower than during the ARRA period, the complexity of the 2008 assessment is actually greater because there is substantially more diversity in the activities funded.  </w:t>
      </w:r>
      <w:r w:rsidRPr="00730E2D">
        <w:rPr>
          <w:rFonts w:asciiTheme="minorHAnsi" w:hAnsiTheme="minorHAnsi"/>
          <w:sz w:val="24"/>
          <w:szCs w:val="24"/>
        </w:rPr>
        <w:t>The Stage 1 targets were set at</w:t>
      </w:r>
      <w:r w:rsidR="001843D4" w:rsidRPr="00730E2D">
        <w:rPr>
          <w:rFonts w:asciiTheme="minorHAnsi" w:hAnsiTheme="minorHAnsi"/>
          <w:sz w:val="24"/>
          <w:szCs w:val="24"/>
        </w:rPr>
        <w:t xml:space="preserve"> </w:t>
      </w:r>
      <w:r w:rsidRPr="00730E2D">
        <w:rPr>
          <w:rFonts w:asciiTheme="minorHAnsi" w:hAnsiTheme="minorHAnsi"/>
          <w:sz w:val="24"/>
          <w:szCs w:val="24"/>
        </w:rPr>
        <w:t xml:space="preserve">53 </w:t>
      </w:r>
      <w:r w:rsidR="001843D4" w:rsidRPr="00730E2D">
        <w:rPr>
          <w:rFonts w:asciiTheme="minorHAnsi" w:hAnsiTheme="minorHAnsi"/>
          <w:sz w:val="24"/>
          <w:szCs w:val="24"/>
        </w:rPr>
        <w:t>PAs for PY 2008 and 29 for ARRA</w:t>
      </w:r>
      <w:r w:rsidR="00D57FF0" w:rsidRPr="00730E2D">
        <w:rPr>
          <w:rFonts w:asciiTheme="minorHAnsi" w:hAnsiTheme="minorHAnsi"/>
          <w:sz w:val="24"/>
          <w:szCs w:val="24"/>
        </w:rPr>
        <w:t xml:space="preserve"> (PY 2009-2011)</w:t>
      </w:r>
      <w:r w:rsidR="001843D4" w:rsidRPr="00730E2D">
        <w:rPr>
          <w:rFonts w:asciiTheme="minorHAnsi" w:hAnsiTheme="minorHAnsi"/>
          <w:sz w:val="24"/>
          <w:szCs w:val="24"/>
        </w:rPr>
        <w:t>.</w:t>
      </w:r>
      <w:r w:rsidRPr="00730E2D">
        <w:rPr>
          <w:rFonts w:asciiTheme="minorHAnsi" w:hAnsiTheme="minorHAnsi"/>
          <w:sz w:val="24"/>
          <w:szCs w:val="24"/>
        </w:rPr>
        <w:t xml:space="preserve">  </w:t>
      </w:r>
      <w:r w:rsidR="003A7106" w:rsidRPr="00730E2D">
        <w:rPr>
          <w:rFonts w:asciiTheme="minorHAnsi" w:hAnsiTheme="minorHAnsi"/>
          <w:sz w:val="24"/>
          <w:szCs w:val="24"/>
        </w:rPr>
        <w:t>DOE</w:t>
      </w:r>
      <w:r w:rsidRPr="00730E2D">
        <w:rPr>
          <w:rFonts w:asciiTheme="minorHAnsi" w:hAnsiTheme="minorHAnsi"/>
          <w:sz w:val="24"/>
          <w:szCs w:val="24"/>
        </w:rPr>
        <w:t xml:space="preserve"> allocated the Stage 1 target total for each study period to fine sampling cells defined by BPAC, subcategory, high-level size category, and </w:t>
      </w:r>
      <w:proofErr w:type="spellStart"/>
      <w:r w:rsidRPr="00730E2D">
        <w:rPr>
          <w:rFonts w:asciiTheme="minorHAnsi" w:hAnsiTheme="minorHAnsi"/>
          <w:sz w:val="24"/>
          <w:szCs w:val="24"/>
        </w:rPr>
        <w:t>evaluability</w:t>
      </w:r>
      <w:proofErr w:type="spellEnd"/>
      <w:r w:rsidRPr="00730E2D">
        <w:rPr>
          <w:rFonts w:asciiTheme="minorHAnsi" w:hAnsiTheme="minorHAnsi"/>
          <w:sz w:val="24"/>
          <w:szCs w:val="24"/>
        </w:rPr>
        <w:t xml:space="preserve"> category, as described further below.  Thus, </w:t>
      </w:r>
      <w:r w:rsidR="003A7106" w:rsidRPr="00730E2D">
        <w:rPr>
          <w:rFonts w:asciiTheme="minorHAnsi" w:hAnsiTheme="minorHAnsi"/>
          <w:sz w:val="24"/>
          <w:szCs w:val="24"/>
        </w:rPr>
        <w:t>DOE</w:t>
      </w:r>
      <w:r w:rsidRPr="00730E2D">
        <w:rPr>
          <w:rFonts w:asciiTheme="minorHAnsi" w:hAnsiTheme="minorHAnsi"/>
          <w:sz w:val="24"/>
          <w:szCs w:val="24"/>
        </w:rPr>
        <w:t xml:space="preserve"> set</w:t>
      </w:r>
      <w:r w:rsidR="003A7106" w:rsidRPr="00730E2D">
        <w:rPr>
          <w:rFonts w:asciiTheme="minorHAnsi" w:hAnsiTheme="minorHAnsi"/>
          <w:sz w:val="24"/>
          <w:szCs w:val="24"/>
        </w:rPr>
        <w:t>s</w:t>
      </w:r>
      <w:r w:rsidRPr="00730E2D">
        <w:rPr>
          <w:rFonts w:asciiTheme="minorHAnsi" w:hAnsiTheme="minorHAnsi"/>
          <w:sz w:val="24"/>
          <w:szCs w:val="24"/>
        </w:rPr>
        <w:t xml:space="preserve"> Stage 1 sample targets for each fine sampling cell.</w:t>
      </w:r>
    </w:p>
    <w:p w:rsidR="004B0D22" w:rsidRPr="00730E2D" w:rsidRDefault="00387869" w:rsidP="00730E2D">
      <w:pPr>
        <w:pStyle w:val="ListParagraph"/>
        <w:numPr>
          <w:ilvl w:val="0"/>
          <w:numId w:val="28"/>
        </w:numPr>
        <w:jc w:val="both"/>
        <w:rPr>
          <w:rFonts w:asciiTheme="minorHAnsi" w:hAnsiTheme="minorHAnsi"/>
          <w:sz w:val="24"/>
          <w:szCs w:val="24"/>
        </w:rPr>
      </w:pPr>
      <w:bookmarkStart w:id="1" w:name="OLE_LINK1"/>
      <w:bookmarkStart w:id="2" w:name="OLE_LINK2"/>
      <w:r w:rsidRPr="00730E2D">
        <w:rPr>
          <w:rFonts w:asciiTheme="minorHAnsi" w:hAnsiTheme="minorHAnsi"/>
          <w:sz w:val="24"/>
          <w:szCs w:val="24"/>
        </w:rPr>
        <w:t>The relative emphasis placed on PY 2008 and the ARRA period was determined by several factors. The mix of project types, total funding available, and amount allocated per programmatic activity in PY 2008 are much more similar to the conditions expected in future years than what occurred during the ARRA period.  Accordingly, the findings from an examination of PY 2008 efforts are expected to be especially helpful in understanding the kinds of activities that are likely to be important to future SEP efforts and to help inform decisions regarding Program operations and the best use of available funds.  Another factor influencing the allocation of evaluation funds among the two study periods is that the large majority of funding was concentrated in a few large program areas during the ARRA years, in contrast to PY 2008 when Program funds were distributed over a wider range of activities.  This means that a greater number of program areas had to be studied in PY 2008 than in the ARRA years to account for the same percentage of total Program expenditures. Within the broad program areas sampled, the number of programmatic activities to be studied per area is only slightly larger for PY 2008 than for the ARRA period</w:t>
      </w:r>
      <w:bookmarkEnd w:id="1"/>
      <w:bookmarkEnd w:id="2"/>
      <w:r w:rsidRPr="00730E2D">
        <w:rPr>
          <w:rFonts w:asciiTheme="minorHAnsi" w:hAnsiTheme="minorHAnsi"/>
          <w:sz w:val="24"/>
          <w:szCs w:val="24"/>
        </w:rPr>
        <w:t>.</w:t>
      </w:r>
    </w:p>
    <w:p w:rsidR="000F5870" w:rsidRPr="00730E2D" w:rsidRDefault="000F5870" w:rsidP="00730E2D">
      <w:pPr>
        <w:spacing w:before="120" w:after="240"/>
        <w:jc w:val="both"/>
        <w:rPr>
          <w:rFonts w:asciiTheme="minorHAnsi" w:hAnsiTheme="minorHAnsi"/>
        </w:rPr>
      </w:pPr>
    </w:p>
    <w:p w:rsidR="00A8241B" w:rsidRPr="00730E2D" w:rsidRDefault="00354B11" w:rsidP="00730E2D">
      <w:pPr>
        <w:pStyle w:val="ListParagraph"/>
        <w:numPr>
          <w:ilvl w:val="0"/>
          <w:numId w:val="28"/>
        </w:numPr>
        <w:spacing w:before="120" w:after="240" w:line="240" w:lineRule="auto"/>
        <w:contextualSpacing w:val="0"/>
        <w:jc w:val="both"/>
        <w:rPr>
          <w:rFonts w:asciiTheme="minorHAnsi" w:hAnsiTheme="minorHAnsi"/>
          <w:sz w:val="24"/>
          <w:szCs w:val="24"/>
        </w:rPr>
      </w:pPr>
      <w:r w:rsidRPr="00730E2D">
        <w:rPr>
          <w:rFonts w:asciiTheme="minorHAnsi" w:hAnsiTheme="minorHAnsi"/>
          <w:sz w:val="24"/>
          <w:szCs w:val="24"/>
        </w:rPr>
        <w:t xml:space="preserve">For each fine sampling cell, </w:t>
      </w:r>
      <w:r w:rsidR="003A7106" w:rsidRPr="00730E2D">
        <w:rPr>
          <w:rFonts w:asciiTheme="minorHAnsi" w:hAnsiTheme="minorHAnsi"/>
          <w:sz w:val="24"/>
          <w:szCs w:val="24"/>
        </w:rPr>
        <w:t>DOE</w:t>
      </w:r>
      <w:r w:rsidR="00083FAC" w:rsidRPr="00730E2D">
        <w:rPr>
          <w:rFonts w:asciiTheme="minorHAnsi" w:hAnsiTheme="minorHAnsi"/>
          <w:sz w:val="24"/>
          <w:szCs w:val="24"/>
        </w:rPr>
        <w:t xml:space="preserve"> randomly selected i</w:t>
      </w:r>
      <w:r w:rsidR="00A8241B" w:rsidRPr="00730E2D">
        <w:rPr>
          <w:rFonts w:asciiTheme="minorHAnsi" w:hAnsiTheme="minorHAnsi"/>
          <w:sz w:val="24"/>
          <w:szCs w:val="24"/>
        </w:rPr>
        <w:t xml:space="preserve">ndividual PAs </w:t>
      </w:r>
      <w:r w:rsidRPr="00730E2D">
        <w:rPr>
          <w:rFonts w:asciiTheme="minorHAnsi" w:hAnsiTheme="minorHAnsi"/>
          <w:sz w:val="24"/>
          <w:szCs w:val="24"/>
        </w:rPr>
        <w:t>to be evaluated from the frame</w:t>
      </w:r>
      <w:r w:rsidR="00140AFD" w:rsidRPr="00730E2D">
        <w:rPr>
          <w:rFonts w:asciiTheme="minorHAnsi" w:hAnsiTheme="minorHAnsi"/>
          <w:sz w:val="24"/>
          <w:szCs w:val="24"/>
        </w:rPr>
        <w:t xml:space="preserve">, according to the </w:t>
      </w:r>
      <w:r w:rsidRPr="00730E2D">
        <w:rPr>
          <w:rFonts w:asciiTheme="minorHAnsi" w:hAnsiTheme="minorHAnsi"/>
          <w:sz w:val="24"/>
          <w:szCs w:val="24"/>
        </w:rPr>
        <w:t xml:space="preserve">Stage 1 targets set for that cell in the </w:t>
      </w:r>
      <w:r w:rsidR="00140AFD" w:rsidRPr="00730E2D">
        <w:rPr>
          <w:rFonts w:asciiTheme="minorHAnsi" w:hAnsiTheme="minorHAnsi"/>
          <w:sz w:val="24"/>
          <w:szCs w:val="24"/>
        </w:rPr>
        <w:t>sample design</w:t>
      </w:r>
      <w:r w:rsidRPr="00730E2D">
        <w:rPr>
          <w:rFonts w:asciiTheme="minorHAnsi" w:hAnsiTheme="minorHAnsi"/>
          <w:sz w:val="24"/>
          <w:szCs w:val="24"/>
        </w:rPr>
        <w:t xml:space="preserve"> and allocation</w:t>
      </w:r>
      <w:r w:rsidR="00083FAC" w:rsidRPr="00730E2D">
        <w:rPr>
          <w:rFonts w:asciiTheme="minorHAnsi" w:hAnsiTheme="minorHAnsi"/>
          <w:sz w:val="24"/>
          <w:szCs w:val="24"/>
        </w:rPr>
        <w:t>.</w:t>
      </w:r>
    </w:p>
    <w:p w:rsidR="00A8241B" w:rsidRPr="00730E2D" w:rsidRDefault="00A8241B" w:rsidP="00730E2D">
      <w:pPr>
        <w:pStyle w:val="ListParagraph"/>
        <w:spacing w:before="120" w:after="120"/>
        <w:contextualSpacing w:val="0"/>
        <w:jc w:val="both"/>
        <w:rPr>
          <w:rFonts w:asciiTheme="minorHAnsi" w:hAnsiTheme="minorHAnsi"/>
        </w:rPr>
      </w:pPr>
    </w:p>
    <w:p w:rsidR="004B061E" w:rsidRPr="00730E2D" w:rsidRDefault="00384822" w:rsidP="00384822">
      <w:pPr>
        <w:pStyle w:val="Caption"/>
        <w:keepNext/>
        <w:jc w:val="left"/>
        <w:rPr>
          <w:rFonts w:asciiTheme="minorHAnsi" w:hAnsiTheme="minorHAnsi"/>
        </w:rPr>
      </w:pPr>
      <w:bookmarkStart w:id="3" w:name="_Ref309654698"/>
      <w:r w:rsidRPr="00730E2D">
        <w:rPr>
          <w:rFonts w:asciiTheme="minorHAnsi" w:hAnsiTheme="minorHAnsi"/>
        </w:rPr>
        <w:lastRenderedPageBreak/>
        <w:t xml:space="preserve">Figure </w:t>
      </w:r>
      <w:r w:rsidR="003260F1" w:rsidRPr="00730E2D">
        <w:rPr>
          <w:rFonts w:asciiTheme="minorHAnsi" w:hAnsiTheme="minorHAnsi"/>
        </w:rPr>
        <w:fldChar w:fldCharType="begin"/>
      </w:r>
      <w:r w:rsidRPr="00730E2D">
        <w:rPr>
          <w:rFonts w:asciiTheme="minorHAnsi" w:hAnsiTheme="minorHAnsi"/>
        </w:rPr>
        <w:instrText xml:space="preserve"> SEQ Figure \* ARABIC </w:instrText>
      </w:r>
      <w:r w:rsidR="003260F1" w:rsidRPr="00730E2D">
        <w:rPr>
          <w:rFonts w:asciiTheme="minorHAnsi" w:hAnsiTheme="minorHAnsi"/>
        </w:rPr>
        <w:fldChar w:fldCharType="separate"/>
      </w:r>
      <w:r w:rsidR="00852B44" w:rsidRPr="00730E2D">
        <w:rPr>
          <w:rFonts w:asciiTheme="minorHAnsi" w:hAnsiTheme="minorHAnsi"/>
          <w:noProof/>
        </w:rPr>
        <w:t>1</w:t>
      </w:r>
      <w:r w:rsidR="003260F1" w:rsidRPr="00730E2D">
        <w:rPr>
          <w:rFonts w:asciiTheme="minorHAnsi" w:hAnsiTheme="minorHAnsi"/>
        </w:rPr>
        <w:fldChar w:fldCharType="end"/>
      </w:r>
      <w:bookmarkEnd w:id="3"/>
      <w:r w:rsidR="004B061E" w:rsidRPr="00730E2D">
        <w:rPr>
          <w:rFonts w:asciiTheme="minorHAnsi" w:hAnsiTheme="minorHAnsi"/>
        </w:rPr>
        <w:t>: Overview of Sampling</w:t>
      </w:r>
      <w:r w:rsidR="005A1172" w:rsidRPr="00730E2D">
        <w:rPr>
          <w:rFonts w:asciiTheme="minorHAnsi" w:hAnsiTheme="minorHAnsi"/>
        </w:rPr>
        <w:t xml:space="preserve"> and Data Collection</w:t>
      </w:r>
    </w:p>
    <w:p w:rsidR="004B061E" w:rsidRPr="00730E2D" w:rsidRDefault="005A1172" w:rsidP="004B061E">
      <w:pPr>
        <w:keepNext/>
        <w:keepLines/>
        <w:rPr>
          <w:rFonts w:asciiTheme="minorHAnsi" w:hAnsiTheme="minorHAnsi"/>
        </w:rPr>
      </w:pPr>
      <w:r w:rsidRPr="00730E2D">
        <w:rPr>
          <w:rFonts w:asciiTheme="minorHAnsi" w:hAnsiTheme="minorHAnsi"/>
          <w:noProof/>
        </w:rPr>
        <w:drawing>
          <wp:inline distT="0" distB="0" distL="0" distR="0" wp14:anchorId="667C4495" wp14:editId="485FEB7C">
            <wp:extent cx="5486400" cy="7391039"/>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486400" cy="7391039"/>
                    </a:xfrm>
                    <a:prstGeom prst="rect">
                      <a:avLst/>
                    </a:prstGeom>
                    <a:noFill/>
                    <a:ln w="9525">
                      <a:noFill/>
                      <a:miter lim="800000"/>
                      <a:headEnd/>
                      <a:tailEnd/>
                    </a:ln>
                  </pic:spPr>
                </pic:pic>
              </a:graphicData>
            </a:graphic>
          </wp:inline>
        </w:drawing>
      </w:r>
    </w:p>
    <w:p w:rsidR="00B21FF4" w:rsidRPr="00730E2D" w:rsidRDefault="00B21FF4" w:rsidP="00B21FF4">
      <w:pPr>
        <w:rPr>
          <w:rFonts w:asciiTheme="minorHAnsi" w:hAnsiTheme="minorHAnsi" w:cs="Arial"/>
        </w:rPr>
      </w:pPr>
    </w:p>
    <w:p w:rsidR="00A8241B" w:rsidRPr="00730E2D" w:rsidRDefault="00A8241B" w:rsidP="00A8241B">
      <w:pPr>
        <w:pStyle w:val="ListParagraph"/>
        <w:spacing w:before="120" w:after="0"/>
        <w:contextualSpacing w:val="0"/>
        <w:rPr>
          <w:rFonts w:asciiTheme="minorHAnsi" w:eastAsia="Times New Roman" w:hAnsiTheme="minorHAnsi" w:cs="Arial"/>
          <w:i/>
          <w:sz w:val="24"/>
          <w:szCs w:val="24"/>
        </w:rPr>
      </w:pPr>
    </w:p>
    <w:p w:rsidR="00A8241B" w:rsidRPr="00730E2D" w:rsidRDefault="00A8241B" w:rsidP="00730E2D">
      <w:pPr>
        <w:pStyle w:val="ListParagraph"/>
        <w:spacing w:before="120" w:after="0"/>
        <w:contextualSpacing w:val="0"/>
        <w:jc w:val="both"/>
        <w:rPr>
          <w:rFonts w:asciiTheme="minorHAnsi" w:hAnsiTheme="minorHAnsi" w:cs="Arial"/>
        </w:rPr>
      </w:pPr>
    </w:p>
    <w:p w:rsidR="00A8241B" w:rsidRPr="00730E2D" w:rsidRDefault="00A8241B" w:rsidP="00730E2D">
      <w:pPr>
        <w:spacing w:after="120"/>
        <w:jc w:val="both"/>
        <w:rPr>
          <w:rFonts w:asciiTheme="minorHAnsi" w:hAnsiTheme="minorHAnsi" w:cs="Arial"/>
          <w:b/>
        </w:rPr>
      </w:pPr>
    </w:p>
    <w:p w:rsidR="000D1598" w:rsidRPr="00730E2D" w:rsidRDefault="000D1598" w:rsidP="00730E2D">
      <w:pPr>
        <w:spacing w:after="120"/>
        <w:jc w:val="both"/>
        <w:rPr>
          <w:rFonts w:asciiTheme="minorHAnsi" w:hAnsiTheme="minorHAnsi"/>
          <w:b/>
        </w:rPr>
      </w:pPr>
      <w:r w:rsidRPr="00730E2D">
        <w:rPr>
          <w:rFonts w:asciiTheme="minorHAnsi" w:hAnsiTheme="minorHAnsi"/>
          <w:b/>
        </w:rPr>
        <w:t>Stage 2 – Selection of Sample Program Participants and Observers</w:t>
      </w:r>
    </w:p>
    <w:p w:rsidR="004E77C7" w:rsidRPr="00730E2D" w:rsidRDefault="004E77C7" w:rsidP="00730E2D">
      <w:pPr>
        <w:spacing w:before="120"/>
        <w:jc w:val="both"/>
        <w:rPr>
          <w:rFonts w:asciiTheme="minorHAnsi" w:hAnsiTheme="minorHAnsi"/>
        </w:rPr>
      </w:pPr>
      <w:r w:rsidRPr="00730E2D">
        <w:rPr>
          <w:rFonts w:asciiTheme="minorHAnsi" w:hAnsiTheme="minorHAnsi"/>
        </w:rPr>
        <w:t xml:space="preserve">In Stage 2, </w:t>
      </w:r>
      <w:r w:rsidR="003A7106" w:rsidRPr="00730E2D">
        <w:rPr>
          <w:rFonts w:asciiTheme="minorHAnsi" w:hAnsiTheme="minorHAnsi"/>
        </w:rPr>
        <w:t>DOE</w:t>
      </w:r>
      <w:r w:rsidRPr="00730E2D">
        <w:rPr>
          <w:rFonts w:asciiTheme="minorHAnsi" w:hAnsiTheme="minorHAnsi"/>
        </w:rPr>
        <w:t xml:space="preserve"> will conduct evaluations for each of the PAs selected in Stage</w:t>
      </w:r>
      <w:r w:rsidR="00DD70FB" w:rsidRPr="00730E2D">
        <w:rPr>
          <w:rFonts w:asciiTheme="minorHAnsi" w:hAnsiTheme="minorHAnsi"/>
        </w:rPr>
        <w:t xml:space="preserve"> 1</w:t>
      </w:r>
      <w:r w:rsidRPr="00730E2D">
        <w:rPr>
          <w:rFonts w:asciiTheme="minorHAnsi" w:hAnsiTheme="minorHAnsi"/>
        </w:rPr>
        <w:t xml:space="preserve">. </w:t>
      </w:r>
      <w:r w:rsidR="004E04FB" w:rsidRPr="00730E2D">
        <w:rPr>
          <w:rFonts w:asciiTheme="minorHAnsi" w:hAnsiTheme="minorHAnsi"/>
        </w:rPr>
        <w:t xml:space="preserve"> Boxes E through H of Figure 1</w:t>
      </w:r>
      <w:r w:rsidRPr="00730E2D">
        <w:rPr>
          <w:rFonts w:asciiTheme="minorHAnsi" w:hAnsiTheme="minorHAnsi"/>
        </w:rPr>
        <w:t xml:space="preserve"> outline the steps used to obtain the necessary data and provide quantitative estimates of program outcomes.</w:t>
      </w:r>
    </w:p>
    <w:p w:rsidR="008D0D99" w:rsidRPr="00730E2D" w:rsidRDefault="003A7106" w:rsidP="00730E2D">
      <w:pPr>
        <w:pStyle w:val="ListParagraph"/>
        <w:numPr>
          <w:ilvl w:val="0"/>
          <w:numId w:val="28"/>
        </w:numPr>
        <w:spacing w:before="120" w:after="0" w:line="240" w:lineRule="auto"/>
        <w:contextualSpacing w:val="0"/>
        <w:jc w:val="both"/>
        <w:rPr>
          <w:rFonts w:asciiTheme="minorHAnsi" w:hAnsiTheme="minorHAnsi"/>
        </w:rPr>
      </w:pPr>
      <w:r w:rsidRPr="00730E2D">
        <w:rPr>
          <w:rFonts w:asciiTheme="minorHAnsi" w:hAnsiTheme="minorHAnsi"/>
        </w:rPr>
        <w:t>DOE</w:t>
      </w:r>
      <w:r w:rsidR="00DD70FB" w:rsidRPr="00730E2D">
        <w:rPr>
          <w:rFonts w:asciiTheme="minorHAnsi" w:hAnsiTheme="minorHAnsi"/>
        </w:rPr>
        <w:t xml:space="preserve"> will initiate primary research at each PA through interviews with PA managers.  These interviews will </w:t>
      </w:r>
      <w:r w:rsidR="00204B43" w:rsidRPr="00730E2D">
        <w:rPr>
          <w:rFonts w:asciiTheme="minorHAnsi" w:hAnsiTheme="minorHAnsi"/>
        </w:rPr>
        <w:t xml:space="preserve">serve as the first step in sampling for the remaining market actor </w:t>
      </w:r>
      <w:r w:rsidR="00DD70FB" w:rsidRPr="00730E2D">
        <w:rPr>
          <w:rFonts w:asciiTheme="minorHAnsi" w:hAnsiTheme="minorHAnsi"/>
        </w:rPr>
        <w:t>groups</w:t>
      </w:r>
      <w:r w:rsidR="0074673F" w:rsidRPr="00730E2D">
        <w:rPr>
          <w:rFonts w:asciiTheme="minorHAnsi" w:hAnsiTheme="minorHAnsi"/>
        </w:rPr>
        <w:t>.</w:t>
      </w:r>
    </w:p>
    <w:p w:rsidR="003B7C2C" w:rsidRPr="00730E2D" w:rsidRDefault="003B7C2C" w:rsidP="00730E2D">
      <w:pPr>
        <w:pStyle w:val="ListParagraph"/>
        <w:numPr>
          <w:ilvl w:val="0"/>
          <w:numId w:val="28"/>
        </w:numPr>
        <w:spacing w:before="120" w:after="0" w:line="240" w:lineRule="auto"/>
        <w:contextualSpacing w:val="0"/>
        <w:jc w:val="both"/>
        <w:rPr>
          <w:rFonts w:asciiTheme="minorHAnsi" w:hAnsiTheme="minorHAnsi"/>
        </w:rPr>
      </w:pPr>
      <w:r w:rsidRPr="00730E2D">
        <w:rPr>
          <w:rFonts w:asciiTheme="minorHAnsi" w:hAnsiTheme="minorHAnsi"/>
        </w:rPr>
        <w:t>One function of the Program Manager</w:t>
      </w:r>
      <w:r w:rsidR="00C50107" w:rsidRPr="00730E2D">
        <w:rPr>
          <w:rFonts w:asciiTheme="minorHAnsi" w:hAnsiTheme="minorHAnsi"/>
        </w:rPr>
        <w:t xml:space="preserve"> interview is to collect program tracking data.  These data will serve as the basis for engineered savings estimates, </w:t>
      </w:r>
      <w:r w:rsidRPr="00730E2D">
        <w:rPr>
          <w:rFonts w:asciiTheme="minorHAnsi" w:hAnsiTheme="minorHAnsi"/>
        </w:rPr>
        <w:t>and also provide the population data from which sample</w:t>
      </w:r>
      <w:r w:rsidR="008D0D99" w:rsidRPr="00730E2D">
        <w:rPr>
          <w:rFonts w:asciiTheme="minorHAnsi" w:hAnsiTheme="minorHAnsi"/>
        </w:rPr>
        <w:t>s</w:t>
      </w:r>
      <w:r w:rsidRPr="00730E2D">
        <w:rPr>
          <w:rFonts w:asciiTheme="minorHAnsi" w:hAnsiTheme="minorHAnsi"/>
        </w:rPr>
        <w:t xml:space="preserve"> of program participants will be drawn.  </w:t>
      </w:r>
      <w:r w:rsidR="003A7106" w:rsidRPr="00730E2D">
        <w:rPr>
          <w:rFonts w:asciiTheme="minorHAnsi" w:hAnsiTheme="minorHAnsi"/>
        </w:rPr>
        <w:t>DOE</w:t>
      </w:r>
      <w:r w:rsidRPr="00730E2D">
        <w:rPr>
          <w:rFonts w:asciiTheme="minorHAnsi" w:hAnsiTheme="minorHAnsi"/>
        </w:rPr>
        <w:t xml:space="preserve"> will also use the program manager interviews to collect lists of the other </w:t>
      </w:r>
      <w:r w:rsidR="004550FA" w:rsidRPr="00730E2D">
        <w:rPr>
          <w:rFonts w:asciiTheme="minorHAnsi" w:hAnsiTheme="minorHAnsi"/>
        </w:rPr>
        <w:t xml:space="preserve">program-related </w:t>
      </w:r>
      <w:r w:rsidRPr="00730E2D">
        <w:rPr>
          <w:rFonts w:asciiTheme="minorHAnsi" w:hAnsiTheme="minorHAnsi"/>
        </w:rPr>
        <w:t>market actors, including program delivery contractors, vendors, and program man</w:t>
      </w:r>
      <w:r w:rsidR="0074673F" w:rsidRPr="00730E2D">
        <w:rPr>
          <w:rFonts w:asciiTheme="minorHAnsi" w:hAnsiTheme="minorHAnsi"/>
        </w:rPr>
        <w:t>a</w:t>
      </w:r>
      <w:r w:rsidRPr="00730E2D">
        <w:rPr>
          <w:rFonts w:asciiTheme="minorHAnsi" w:hAnsiTheme="minorHAnsi"/>
        </w:rPr>
        <w:t>gers of similar, non-SEP funded programs.</w:t>
      </w:r>
      <w:r w:rsidR="00DD70FB" w:rsidRPr="00730E2D">
        <w:rPr>
          <w:rFonts w:asciiTheme="minorHAnsi" w:hAnsiTheme="minorHAnsi"/>
        </w:rPr>
        <w:t xml:space="preserve"> </w:t>
      </w:r>
      <w:r w:rsidR="003A7106" w:rsidRPr="00730E2D">
        <w:rPr>
          <w:rFonts w:asciiTheme="minorHAnsi" w:hAnsiTheme="minorHAnsi"/>
        </w:rPr>
        <w:t>DOE</w:t>
      </w:r>
      <w:r w:rsidR="00DD70FB" w:rsidRPr="00730E2D">
        <w:rPr>
          <w:rFonts w:asciiTheme="minorHAnsi" w:hAnsiTheme="minorHAnsi"/>
        </w:rPr>
        <w:t xml:space="preserve"> </w:t>
      </w:r>
      <w:r w:rsidRPr="00730E2D">
        <w:rPr>
          <w:rFonts w:asciiTheme="minorHAnsi" w:hAnsiTheme="minorHAnsi"/>
        </w:rPr>
        <w:t>will use population data for each group of market actors to select a sample of survey and interview respondents for the respective survey or interview effort</w:t>
      </w:r>
      <w:r w:rsidR="00E01485" w:rsidRPr="00730E2D">
        <w:rPr>
          <w:rFonts w:asciiTheme="minorHAnsi" w:hAnsiTheme="minorHAnsi"/>
        </w:rPr>
        <w:t>s</w:t>
      </w:r>
      <w:r w:rsidRPr="00730E2D">
        <w:rPr>
          <w:rFonts w:asciiTheme="minorHAnsi" w:hAnsiTheme="minorHAnsi"/>
        </w:rPr>
        <w:t>.</w:t>
      </w:r>
      <w:r w:rsidR="008A765F" w:rsidRPr="00730E2D">
        <w:rPr>
          <w:rFonts w:asciiTheme="minorHAnsi" w:hAnsiTheme="minorHAnsi"/>
        </w:rPr>
        <w:t xml:space="preserve">  </w:t>
      </w:r>
      <w:r w:rsidR="004E2AE6" w:rsidRPr="00730E2D">
        <w:rPr>
          <w:rFonts w:asciiTheme="minorHAnsi" w:hAnsiTheme="minorHAnsi"/>
        </w:rPr>
        <w:t xml:space="preserve">For PAs in which </w:t>
      </w:r>
      <w:r w:rsidR="004550FA" w:rsidRPr="00730E2D">
        <w:rPr>
          <w:rFonts w:asciiTheme="minorHAnsi" w:hAnsiTheme="minorHAnsi"/>
        </w:rPr>
        <w:t>end-</w:t>
      </w:r>
      <w:r w:rsidR="008D0D99" w:rsidRPr="00730E2D">
        <w:rPr>
          <w:rFonts w:asciiTheme="minorHAnsi" w:hAnsiTheme="minorHAnsi"/>
        </w:rPr>
        <w:t>use participants will be surveyed, these will be selecte</w:t>
      </w:r>
      <w:r w:rsidR="00796823" w:rsidRPr="00730E2D">
        <w:rPr>
          <w:rFonts w:asciiTheme="minorHAnsi" w:hAnsiTheme="minorHAnsi"/>
        </w:rPr>
        <w:t>d using probability samples.</w:t>
      </w:r>
    </w:p>
    <w:p w:rsidR="008D0D99" w:rsidRPr="00730E2D" w:rsidRDefault="003A7106" w:rsidP="00730E2D">
      <w:pPr>
        <w:pStyle w:val="ListParagraph"/>
        <w:numPr>
          <w:ilvl w:val="0"/>
          <w:numId w:val="28"/>
        </w:numPr>
        <w:spacing w:before="120" w:after="0" w:line="240" w:lineRule="auto"/>
        <w:contextualSpacing w:val="0"/>
        <w:jc w:val="both"/>
        <w:rPr>
          <w:rFonts w:asciiTheme="minorHAnsi" w:hAnsiTheme="minorHAnsi"/>
        </w:rPr>
      </w:pPr>
      <w:r w:rsidRPr="00730E2D">
        <w:rPr>
          <w:rFonts w:asciiTheme="minorHAnsi" w:hAnsiTheme="minorHAnsi"/>
        </w:rPr>
        <w:t>DOE</w:t>
      </w:r>
      <w:r w:rsidR="008D0D99" w:rsidRPr="00730E2D">
        <w:rPr>
          <w:rFonts w:asciiTheme="minorHAnsi" w:hAnsiTheme="minorHAnsi"/>
        </w:rPr>
        <w:t xml:space="preserve"> will collect data from each of the </w:t>
      </w:r>
      <w:r w:rsidR="004550FA" w:rsidRPr="00730E2D">
        <w:rPr>
          <w:rFonts w:asciiTheme="minorHAnsi" w:hAnsiTheme="minorHAnsi"/>
        </w:rPr>
        <w:t xml:space="preserve">program-related </w:t>
      </w:r>
      <w:r w:rsidR="008D0D99" w:rsidRPr="00730E2D">
        <w:rPr>
          <w:rFonts w:asciiTheme="minorHAnsi" w:hAnsiTheme="minorHAnsi"/>
        </w:rPr>
        <w:t>market actors</w:t>
      </w:r>
      <w:r w:rsidR="001B0D54" w:rsidRPr="00730E2D">
        <w:rPr>
          <w:rFonts w:asciiTheme="minorHAnsi" w:hAnsiTheme="minorHAnsi"/>
        </w:rPr>
        <w:t xml:space="preserve"> selected.</w:t>
      </w:r>
    </w:p>
    <w:p w:rsidR="00CD0C06" w:rsidRPr="00730E2D" w:rsidRDefault="00CD0C06" w:rsidP="00730E2D">
      <w:pPr>
        <w:pStyle w:val="ListParagraph"/>
        <w:numPr>
          <w:ilvl w:val="0"/>
          <w:numId w:val="28"/>
        </w:numPr>
        <w:spacing w:before="120" w:after="0" w:line="240" w:lineRule="auto"/>
        <w:contextualSpacing w:val="0"/>
        <w:jc w:val="both"/>
        <w:rPr>
          <w:rFonts w:asciiTheme="minorHAnsi" w:hAnsiTheme="minorHAnsi"/>
        </w:rPr>
      </w:pPr>
      <w:r w:rsidRPr="00730E2D">
        <w:rPr>
          <w:rFonts w:asciiTheme="minorHAnsi" w:hAnsiTheme="minorHAnsi"/>
        </w:rPr>
        <w:t xml:space="preserve">Finally, </w:t>
      </w:r>
      <w:r w:rsidR="003A7106" w:rsidRPr="00730E2D">
        <w:rPr>
          <w:rFonts w:asciiTheme="minorHAnsi" w:hAnsiTheme="minorHAnsi"/>
        </w:rPr>
        <w:t>DOE</w:t>
      </w:r>
      <w:r w:rsidRPr="00730E2D">
        <w:rPr>
          <w:rFonts w:asciiTheme="minorHAnsi" w:hAnsiTheme="minorHAnsi"/>
        </w:rPr>
        <w:t xml:space="preserve"> will use results from each of the research efforts to estimate savings and determine program attribution.  </w:t>
      </w:r>
      <w:r w:rsidR="001B0D54" w:rsidRPr="00730E2D">
        <w:rPr>
          <w:rFonts w:asciiTheme="minorHAnsi" w:hAnsiTheme="minorHAnsi"/>
        </w:rPr>
        <w:t xml:space="preserve">For </w:t>
      </w:r>
      <w:r w:rsidR="00E01485" w:rsidRPr="00730E2D">
        <w:rPr>
          <w:rFonts w:asciiTheme="minorHAnsi" w:hAnsiTheme="minorHAnsi"/>
        </w:rPr>
        <w:t>end-</w:t>
      </w:r>
      <w:r w:rsidR="001B0D54" w:rsidRPr="00730E2D">
        <w:rPr>
          <w:rFonts w:asciiTheme="minorHAnsi" w:hAnsiTheme="minorHAnsi"/>
        </w:rPr>
        <w:t xml:space="preserve">use participant samples, </w:t>
      </w:r>
      <w:r w:rsidR="003A7106" w:rsidRPr="00730E2D">
        <w:rPr>
          <w:rFonts w:asciiTheme="minorHAnsi" w:hAnsiTheme="minorHAnsi"/>
        </w:rPr>
        <w:t>DOE</w:t>
      </w:r>
      <w:r w:rsidR="001B0D54" w:rsidRPr="00730E2D">
        <w:rPr>
          <w:rFonts w:asciiTheme="minorHAnsi" w:hAnsiTheme="minorHAnsi"/>
        </w:rPr>
        <w:t xml:space="preserve"> wil</w:t>
      </w:r>
      <w:r w:rsidR="008A765F" w:rsidRPr="00730E2D">
        <w:rPr>
          <w:rFonts w:asciiTheme="minorHAnsi" w:hAnsiTheme="minorHAnsi"/>
        </w:rPr>
        <w:t>l</w:t>
      </w:r>
      <w:r w:rsidR="001B0D54" w:rsidRPr="00730E2D">
        <w:rPr>
          <w:rFonts w:asciiTheme="minorHAnsi" w:hAnsiTheme="minorHAnsi"/>
        </w:rPr>
        <w:t xml:space="preserve"> produce quantitative estimates such as BPAC-level aggregate program savings using sample weighting methods consistent with the sample design, as described in </w:t>
      </w:r>
      <w:r w:rsidR="00BD6968" w:rsidRPr="00730E2D">
        <w:rPr>
          <w:rFonts w:asciiTheme="minorHAnsi" w:hAnsiTheme="minorHAnsi"/>
        </w:rPr>
        <w:t>Section 2</w:t>
      </w:r>
      <w:r w:rsidR="008A765F" w:rsidRPr="00730E2D">
        <w:rPr>
          <w:rFonts w:asciiTheme="minorHAnsi" w:hAnsiTheme="minorHAnsi"/>
        </w:rPr>
        <w:t>.</w:t>
      </w:r>
      <w:r w:rsidRPr="00730E2D">
        <w:rPr>
          <w:rFonts w:asciiTheme="minorHAnsi" w:hAnsiTheme="minorHAnsi"/>
        </w:rPr>
        <w:t xml:space="preserve">  </w:t>
      </w:r>
      <w:r w:rsidR="003A7106" w:rsidRPr="00730E2D">
        <w:rPr>
          <w:rFonts w:asciiTheme="minorHAnsi" w:hAnsiTheme="minorHAnsi"/>
        </w:rPr>
        <w:t>DOE</w:t>
      </w:r>
      <w:r w:rsidR="00C32A89" w:rsidRPr="00730E2D">
        <w:rPr>
          <w:rFonts w:asciiTheme="minorHAnsi" w:hAnsiTheme="minorHAnsi"/>
        </w:rPr>
        <w:t xml:space="preserve"> will choose respondents for the </w:t>
      </w:r>
      <w:r w:rsidR="004E77C7" w:rsidRPr="00730E2D">
        <w:rPr>
          <w:rFonts w:asciiTheme="minorHAnsi" w:hAnsiTheme="minorHAnsi"/>
        </w:rPr>
        <w:t>in</w:t>
      </w:r>
      <w:r w:rsidR="00C32A89" w:rsidRPr="00730E2D">
        <w:rPr>
          <w:rFonts w:asciiTheme="minorHAnsi" w:hAnsiTheme="minorHAnsi"/>
        </w:rPr>
        <w:t>-</w:t>
      </w:r>
      <w:r w:rsidR="004E77C7" w:rsidRPr="00730E2D">
        <w:rPr>
          <w:rFonts w:asciiTheme="minorHAnsi" w:hAnsiTheme="minorHAnsi"/>
        </w:rPr>
        <w:t xml:space="preserve">depth interviews </w:t>
      </w:r>
      <w:r w:rsidR="00C32A89" w:rsidRPr="00730E2D">
        <w:rPr>
          <w:rFonts w:asciiTheme="minorHAnsi" w:hAnsiTheme="minorHAnsi"/>
        </w:rPr>
        <w:t xml:space="preserve">based on their familiarity with the PA being evaluated.  These responses will </w:t>
      </w:r>
      <w:r w:rsidR="001B0D54" w:rsidRPr="00730E2D">
        <w:rPr>
          <w:rFonts w:asciiTheme="minorHAnsi" w:hAnsiTheme="minorHAnsi"/>
        </w:rPr>
        <w:t>be aggregated qualitatively</w:t>
      </w:r>
      <w:r w:rsidR="008A765F" w:rsidRPr="00730E2D">
        <w:rPr>
          <w:rFonts w:asciiTheme="minorHAnsi" w:hAnsiTheme="minorHAnsi"/>
        </w:rPr>
        <w:t>.</w:t>
      </w:r>
    </w:p>
    <w:p w:rsidR="00CD0C06" w:rsidRPr="00730E2D" w:rsidRDefault="00CD0C06" w:rsidP="00730E2D">
      <w:pPr>
        <w:spacing w:before="120"/>
        <w:jc w:val="both"/>
        <w:rPr>
          <w:rFonts w:asciiTheme="minorHAnsi" w:hAnsiTheme="minorHAnsi"/>
          <w:i/>
        </w:rPr>
      </w:pPr>
    </w:p>
    <w:p w:rsidR="005A0299" w:rsidRPr="00730E2D" w:rsidRDefault="00DD70FB" w:rsidP="00730E2D">
      <w:pPr>
        <w:jc w:val="both"/>
        <w:rPr>
          <w:rFonts w:asciiTheme="minorHAnsi" w:hAnsiTheme="minorHAnsi"/>
          <w:b/>
          <w:bCs/>
          <w:u w:val="single"/>
        </w:rPr>
      </w:pPr>
      <w:r w:rsidRPr="00730E2D">
        <w:rPr>
          <w:rFonts w:asciiTheme="minorHAnsi" w:hAnsiTheme="minorHAnsi"/>
          <w:b/>
        </w:rPr>
        <w:t>Detail on Key Sampling Concepts</w:t>
      </w:r>
    </w:p>
    <w:p w:rsidR="00AB2240" w:rsidRPr="00730E2D" w:rsidRDefault="00AB2240" w:rsidP="00730E2D">
      <w:pPr>
        <w:spacing w:before="120"/>
        <w:jc w:val="both"/>
        <w:rPr>
          <w:rFonts w:asciiTheme="minorHAnsi" w:hAnsiTheme="minorHAnsi"/>
        </w:rPr>
      </w:pPr>
      <w:proofErr w:type="gramStart"/>
      <w:r w:rsidRPr="00730E2D">
        <w:rPr>
          <w:rFonts w:asciiTheme="minorHAnsi" w:hAnsiTheme="minorHAnsi"/>
          <w:i/>
        </w:rPr>
        <w:t>Programmatic Activities (PAs).</w:t>
      </w:r>
      <w:proofErr w:type="gramEnd"/>
      <w:r w:rsidRPr="00730E2D">
        <w:rPr>
          <w:rFonts w:asciiTheme="minorHAnsi" w:hAnsiTheme="minorHAnsi"/>
        </w:rPr>
        <w:t xml:space="preserve"> The State Energy Program (SEP) provides grants and technical support to the states and U.S. territories </w:t>
      </w:r>
      <w:r w:rsidR="008077F0" w:rsidRPr="00730E2D">
        <w:rPr>
          <w:rFonts w:asciiTheme="minorHAnsi" w:hAnsiTheme="minorHAnsi"/>
        </w:rPr>
        <w:t xml:space="preserve">to enable </w:t>
      </w:r>
      <w:r w:rsidRPr="00730E2D">
        <w:rPr>
          <w:rFonts w:asciiTheme="minorHAnsi" w:hAnsiTheme="minorHAnsi"/>
        </w:rPr>
        <w:t>them to carry out a wide variety of cost-shared energy efficiency and renewable energy activities</w:t>
      </w:r>
      <w:r w:rsidR="008077F0" w:rsidRPr="00730E2D">
        <w:rPr>
          <w:rFonts w:asciiTheme="minorHAnsi" w:hAnsiTheme="minorHAnsi"/>
        </w:rPr>
        <w:t xml:space="preserve">. Through a structured planning process, the State Energy Offices and the U. S. Department of Energy work together to ensure that activities are designed to </w:t>
      </w:r>
      <w:r w:rsidRPr="00730E2D">
        <w:rPr>
          <w:rFonts w:asciiTheme="minorHAnsi" w:hAnsiTheme="minorHAnsi"/>
        </w:rPr>
        <w:t>meet each state’s unique energy needs while also addressing national goals, such as energy security.</w:t>
      </w:r>
      <w:r w:rsidR="008077F0" w:rsidRPr="00730E2D">
        <w:rPr>
          <w:rFonts w:asciiTheme="minorHAnsi" w:hAnsiTheme="minorHAnsi"/>
        </w:rPr>
        <w:t xml:space="preserve"> </w:t>
      </w:r>
      <w:r w:rsidRPr="00730E2D">
        <w:rPr>
          <w:rFonts w:asciiTheme="minorHAnsi" w:hAnsiTheme="minorHAnsi"/>
        </w:rPr>
        <w:t xml:space="preserve">SEP provides money to each state and territory according to a formula that accounts for population and energy use. </w:t>
      </w:r>
      <w:bookmarkStart w:id="4" w:name="OLE_LINK3"/>
      <w:r w:rsidR="001E2D19" w:rsidRPr="00730E2D">
        <w:rPr>
          <w:rFonts w:asciiTheme="minorHAnsi" w:hAnsiTheme="minorHAnsi"/>
        </w:rPr>
        <w:t>The formula is available at the following link</w:t>
      </w:r>
      <w:r w:rsidR="001E2D19" w:rsidRPr="00730E2D">
        <w:rPr>
          <w:rFonts w:asciiTheme="minorHAnsi" w:hAnsiTheme="minorHAnsi"/>
          <w:color w:val="1F497D"/>
        </w:rPr>
        <w:t xml:space="preserve"> </w:t>
      </w:r>
      <w:hyperlink r:id="rId13" w:history="1">
        <w:r w:rsidR="001E2D19" w:rsidRPr="00730E2D">
          <w:rPr>
            <w:rStyle w:val="Hyperlink"/>
            <w:rFonts w:asciiTheme="minorHAnsi" w:hAnsiTheme="minorHAnsi"/>
          </w:rPr>
          <w:t>(Click</w:t>
        </w:r>
        <w:r w:rsidR="001E2D19" w:rsidRPr="00730E2D">
          <w:rPr>
            <w:rStyle w:val="Hyperlink"/>
            <w:rFonts w:asciiTheme="minorHAnsi" w:hAnsiTheme="minorHAnsi"/>
          </w:rPr>
          <w:t xml:space="preserve"> </w:t>
        </w:r>
        <w:r w:rsidR="001E2D19" w:rsidRPr="00730E2D">
          <w:rPr>
            <w:rStyle w:val="Hyperlink"/>
            <w:rFonts w:asciiTheme="minorHAnsi" w:hAnsiTheme="minorHAnsi"/>
          </w:rPr>
          <w:t>Here)</w:t>
        </w:r>
      </w:hyperlink>
      <w:r w:rsidR="001E2D19" w:rsidRPr="00730E2D">
        <w:rPr>
          <w:rFonts w:asciiTheme="minorHAnsi" w:hAnsiTheme="minorHAnsi"/>
          <w:color w:val="1F497D"/>
        </w:rPr>
        <w:t xml:space="preserve"> </w:t>
      </w:r>
      <w:r w:rsidR="001E2D19" w:rsidRPr="00730E2D">
        <w:rPr>
          <w:rFonts w:asciiTheme="minorHAnsi" w:hAnsiTheme="minorHAnsi"/>
        </w:rPr>
        <w:t xml:space="preserve">and is also included </w:t>
      </w:r>
      <w:r w:rsidR="00AB45B0" w:rsidRPr="00730E2D">
        <w:rPr>
          <w:rFonts w:asciiTheme="minorHAnsi" w:hAnsiTheme="minorHAnsi"/>
        </w:rPr>
        <w:t xml:space="preserve">as Attachment I </w:t>
      </w:r>
      <w:r w:rsidR="00645B9A" w:rsidRPr="00730E2D">
        <w:rPr>
          <w:rFonts w:asciiTheme="minorHAnsi" w:hAnsiTheme="minorHAnsi"/>
        </w:rPr>
        <w:t>“</w:t>
      </w:r>
      <w:proofErr w:type="spellStart"/>
      <w:r w:rsidR="00F02322" w:rsidRPr="00730E2D">
        <w:rPr>
          <w:rFonts w:asciiTheme="minorHAnsi" w:hAnsiTheme="minorHAnsi"/>
        </w:rPr>
        <w:t>Allocation_SEP_Funds_To_States</w:t>
      </w:r>
      <w:proofErr w:type="spellEnd"/>
      <w:r w:rsidR="001E2D19" w:rsidRPr="00730E2D">
        <w:rPr>
          <w:rFonts w:asciiTheme="minorHAnsi" w:hAnsiTheme="minorHAnsi"/>
        </w:rPr>
        <w:t>.</w:t>
      </w:r>
      <w:r w:rsidR="00F02322" w:rsidRPr="00730E2D">
        <w:rPr>
          <w:rFonts w:asciiTheme="minorHAnsi" w:hAnsiTheme="minorHAnsi"/>
        </w:rPr>
        <w:t>”</w:t>
      </w:r>
      <w:r w:rsidR="001E2D19" w:rsidRPr="00730E2D">
        <w:rPr>
          <w:rFonts w:asciiTheme="minorHAnsi" w:hAnsiTheme="minorHAnsi"/>
        </w:rPr>
        <w:t xml:space="preserve">  </w:t>
      </w:r>
      <w:bookmarkEnd w:id="4"/>
      <w:r w:rsidRPr="00730E2D">
        <w:rPr>
          <w:rFonts w:asciiTheme="minorHAnsi" w:hAnsiTheme="minorHAnsi"/>
        </w:rPr>
        <w:t>In addition to these “Formula Grants,” SEP “Special Project” funds are made available on a competitive basis to carry out specific types of energy efficiency and renewable energy activities. The resources provided by DOE typically are augmented by money and in-kind assistance from a number of sources, including other federal agencies, state and local governments, and the private sector.</w:t>
      </w:r>
    </w:p>
    <w:p w:rsidR="00AB2240" w:rsidRPr="00730E2D" w:rsidRDefault="00AB2240" w:rsidP="00730E2D">
      <w:pPr>
        <w:spacing w:before="120"/>
        <w:jc w:val="both"/>
        <w:rPr>
          <w:rFonts w:asciiTheme="minorHAnsi" w:hAnsiTheme="minorHAnsi"/>
        </w:rPr>
      </w:pPr>
      <w:r w:rsidRPr="00730E2D">
        <w:rPr>
          <w:rFonts w:asciiTheme="minorHAnsi" w:hAnsiTheme="minorHAnsi"/>
        </w:rPr>
        <w:t>For this evaluation, programmatic activities (PAs) conducted by State Energy Offices are the primary sampling unit.</w:t>
      </w:r>
      <w:r w:rsidR="0077088E" w:rsidRPr="00730E2D">
        <w:rPr>
          <w:rFonts w:asciiTheme="minorHAnsi" w:hAnsiTheme="minorHAnsi"/>
        </w:rPr>
        <w:t xml:space="preserve">  </w:t>
      </w:r>
      <w:r w:rsidRPr="00730E2D">
        <w:rPr>
          <w:rFonts w:asciiTheme="minorHAnsi" w:hAnsiTheme="minorHAnsi"/>
        </w:rPr>
        <w:t>To be counted as part of SEP, a</w:t>
      </w:r>
      <w:r w:rsidR="0077088E" w:rsidRPr="00730E2D">
        <w:rPr>
          <w:rFonts w:asciiTheme="minorHAnsi" w:hAnsiTheme="minorHAnsi"/>
        </w:rPr>
        <w:t xml:space="preserve"> </w:t>
      </w:r>
      <w:r w:rsidRPr="00730E2D">
        <w:rPr>
          <w:rFonts w:asciiTheme="minorHAnsi" w:hAnsiTheme="minorHAnsi"/>
        </w:rPr>
        <w:t xml:space="preserve">PA must be included in the State Plan submitted to SEP and supported, in part, by SEP funds. While it is not unusual for evaluators to </w:t>
      </w:r>
      <w:r w:rsidRPr="00730E2D">
        <w:rPr>
          <w:rFonts w:asciiTheme="minorHAnsi" w:hAnsiTheme="minorHAnsi"/>
        </w:rPr>
        <w:lastRenderedPageBreak/>
        <w:t>refer to a related set of activities (e.g., multiple energy audits) performed in a single year under a common administrative framework as a “program,” such efforts are referred to in this document as programmatic activities (PAs).” The term “programmatic activities” is used here to refer to a related set of activities (e.g., multiple energy audits) performed in a single year under a common administrative framework. Typically, the programmatic activities designed and carried out by the states with SEP support involve a number of actions (e.g., multiple retrofits performed or loans given).</w:t>
      </w:r>
    </w:p>
    <w:p w:rsidR="00AB2240" w:rsidRPr="00730E2D" w:rsidRDefault="00AB2240" w:rsidP="00730E2D">
      <w:pPr>
        <w:spacing w:before="120"/>
        <w:jc w:val="both"/>
        <w:rPr>
          <w:rFonts w:asciiTheme="minorHAnsi" w:hAnsiTheme="minorHAnsi"/>
        </w:rPr>
      </w:pPr>
      <w:r w:rsidRPr="00730E2D">
        <w:rPr>
          <w:rFonts w:asciiTheme="minorHAnsi" w:hAnsiTheme="minorHAnsi"/>
        </w:rPr>
        <w:t>For program year (PY) 2008, the states’ SEP efforts included several mandatory activities, such as establishing lighting efficiency standards for public buildings, promoting car and vanpools and public transportation, and establishing policies for energy-efficient government procurement practices. The states and territories also engaged in a broad range of optional activities, including holding workshops and training sessions on a variety of topics related to energy efficiency and renewable energy, providing energy audits and building retrofit services, offering technical assistance, supporting loan and grant programs, and encouraging the adoption of alternative energy technologies.</w:t>
      </w:r>
      <w:r w:rsidR="0077088E" w:rsidRPr="00730E2D">
        <w:rPr>
          <w:rFonts w:asciiTheme="minorHAnsi" w:hAnsiTheme="minorHAnsi"/>
        </w:rPr>
        <w:t xml:space="preserve">  </w:t>
      </w:r>
      <w:r w:rsidRPr="00730E2D">
        <w:rPr>
          <w:rFonts w:asciiTheme="minorHAnsi" w:hAnsiTheme="minorHAnsi"/>
        </w:rPr>
        <w:t>The scope and variety of activities undertaken by the various states and territories in PY 2008 was extremely broad, and this reflects the diversity of conditions and needs found across the country and the efforts of participating states and territories to respond to them.</w:t>
      </w:r>
      <w:r w:rsidR="0077088E" w:rsidRPr="00730E2D">
        <w:rPr>
          <w:rFonts w:asciiTheme="minorHAnsi" w:hAnsiTheme="minorHAnsi"/>
        </w:rPr>
        <w:t xml:space="preserve">  </w:t>
      </w:r>
      <w:r w:rsidRPr="00730E2D">
        <w:rPr>
          <w:rFonts w:asciiTheme="minorHAnsi" w:hAnsiTheme="minorHAnsi"/>
        </w:rPr>
        <w:t>A total of $33 million in SEP funding was made available during PY2008 to the states and territories.</w:t>
      </w:r>
    </w:p>
    <w:p w:rsidR="00D57FF0" w:rsidRPr="00730E2D" w:rsidRDefault="00AB2240" w:rsidP="00730E2D">
      <w:pPr>
        <w:spacing w:before="120"/>
        <w:jc w:val="both"/>
        <w:rPr>
          <w:rFonts w:asciiTheme="minorHAnsi" w:hAnsiTheme="minorHAnsi"/>
        </w:rPr>
      </w:pPr>
      <w:r w:rsidRPr="00730E2D">
        <w:rPr>
          <w:rFonts w:asciiTheme="minorHAnsi" w:hAnsiTheme="minorHAnsi"/>
        </w:rPr>
        <w:t>Under the American Recovery and Reinvestment Act</w:t>
      </w:r>
      <w:r w:rsidR="0077088E" w:rsidRPr="00730E2D">
        <w:rPr>
          <w:rFonts w:asciiTheme="minorHAnsi" w:hAnsiTheme="minorHAnsi"/>
        </w:rPr>
        <w:t xml:space="preserve"> </w:t>
      </w:r>
      <w:r w:rsidRPr="00730E2D">
        <w:rPr>
          <w:rFonts w:asciiTheme="minorHAnsi" w:hAnsiTheme="minorHAnsi"/>
        </w:rPr>
        <w:t>(ARRA) the amount of funding available to support the states’ SEP activities increased dramatically and the mix of programmatic activities funded also changed considerably</w:t>
      </w:r>
      <w:r w:rsidR="00EA3492" w:rsidRPr="00730E2D">
        <w:rPr>
          <w:rFonts w:asciiTheme="minorHAnsi" w:hAnsiTheme="minorHAnsi"/>
        </w:rPr>
        <w:t xml:space="preserve">.  </w:t>
      </w:r>
      <w:r w:rsidRPr="00730E2D">
        <w:rPr>
          <w:rFonts w:asciiTheme="minorHAnsi" w:hAnsiTheme="minorHAnsi"/>
        </w:rPr>
        <w:t xml:space="preserve">A total of $3,069,000,000 in SEP funding was allocated to </w:t>
      </w:r>
      <w:r w:rsidR="00986EF4" w:rsidRPr="00730E2D">
        <w:rPr>
          <w:rFonts w:asciiTheme="minorHAnsi" w:hAnsiTheme="minorHAnsi"/>
        </w:rPr>
        <w:t xml:space="preserve">the </w:t>
      </w:r>
      <w:r w:rsidRPr="00730E2D">
        <w:rPr>
          <w:rFonts w:asciiTheme="minorHAnsi" w:hAnsiTheme="minorHAnsi"/>
        </w:rPr>
        <w:t xml:space="preserve">ARRA funding period (2009-2011). </w:t>
      </w:r>
    </w:p>
    <w:p w:rsidR="00D57FF0" w:rsidRPr="00730E2D" w:rsidRDefault="00D57FF0" w:rsidP="00730E2D">
      <w:pPr>
        <w:spacing w:before="120"/>
        <w:jc w:val="both"/>
        <w:rPr>
          <w:rFonts w:asciiTheme="minorHAnsi" w:hAnsiTheme="minorHAnsi"/>
        </w:rPr>
      </w:pPr>
    </w:p>
    <w:p w:rsidR="00D57FF0" w:rsidRPr="00730E2D" w:rsidRDefault="00AB2240" w:rsidP="00730E2D">
      <w:pPr>
        <w:jc w:val="both"/>
        <w:rPr>
          <w:rFonts w:asciiTheme="minorHAnsi" w:hAnsiTheme="minorHAnsi"/>
        </w:rPr>
      </w:pPr>
      <w:r w:rsidRPr="00730E2D">
        <w:rPr>
          <w:rFonts w:asciiTheme="minorHAnsi" w:hAnsiTheme="minorHAnsi"/>
        </w:rPr>
        <w:t>For the two study periods, a total</w:t>
      </w:r>
      <w:r w:rsidR="001B0D54" w:rsidRPr="00730E2D">
        <w:rPr>
          <w:rFonts w:asciiTheme="minorHAnsi" w:hAnsiTheme="minorHAnsi"/>
        </w:rPr>
        <w:t xml:space="preserve"> of</w:t>
      </w:r>
      <w:r w:rsidRPr="00730E2D">
        <w:rPr>
          <w:rFonts w:asciiTheme="minorHAnsi" w:hAnsiTheme="minorHAnsi"/>
        </w:rPr>
        <w:t xml:space="preserve"> 1,025 PAs were identified across the states participating in SEP–450 PAs were in operation during PY2008 and 575 PAs were in operation during the ARRA funding period</w:t>
      </w:r>
      <w:r w:rsidR="00D57FF0" w:rsidRPr="00730E2D">
        <w:rPr>
          <w:rFonts w:asciiTheme="minorHAnsi" w:hAnsiTheme="minorHAnsi"/>
        </w:rPr>
        <w:t xml:space="preserve"> (PY 2009-2011)</w:t>
      </w:r>
      <w:r w:rsidRPr="00730E2D">
        <w:rPr>
          <w:rFonts w:asciiTheme="minorHAnsi" w:hAnsiTheme="minorHAnsi"/>
        </w:rPr>
        <w:t>.</w:t>
      </w:r>
      <w:r w:rsidR="00D57FF0" w:rsidRPr="00730E2D">
        <w:rPr>
          <w:rFonts w:asciiTheme="minorHAnsi" w:hAnsiTheme="minorHAnsi"/>
        </w:rPr>
        <w:t xml:space="preserve">  </w:t>
      </w:r>
      <w:bookmarkStart w:id="5" w:name="OLE_LINK4"/>
      <w:r w:rsidR="00D57FF0" w:rsidRPr="00730E2D">
        <w:rPr>
          <w:rFonts w:asciiTheme="minorHAnsi" w:hAnsiTheme="minorHAnsi"/>
        </w:rPr>
        <w:t>Because the amount of Program funding was very much greater during the ARRA period than in PY 2008 but the total numbers of programmatic activities were roughly similar, the average amount allocated per PA was nearly 25 times larger during the ARRA years.  In contrast, the magnitude of funding per PA in future years is expected to be much closer to what was observed in PY 2008.  This makes it likely that the findings from the study of PY 2008 activities will be more representative of the Program in future years and more helpful in informing decisions on future operations</w:t>
      </w:r>
      <w:bookmarkEnd w:id="5"/>
      <w:r w:rsidR="00D57FF0" w:rsidRPr="00730E2D">
        <w:rPr>
          <w:rFonts w:asciiTheme="minorHAnsi" w:hAnsiTheme="minorHAnsi"/>
        </w:rPr>
        <w:t>.</w:t>
      </w:r>
    </w:p>
    <w:p w:rsidR="00AB2240" w:rsidRPr="00730E2D" w:rsidRDefault="00AB2240" w:rsidP="00730E2D">
      <w:pPr>
        <w:spacing w:before="120"/>
        <w:jc w:val="both"/>
        <w:rPr>
          <w:rFonts w:asciiTheme="minorHAnsi" w:hAnsiTheme="minorHAnsi"/>
        </w:rPr>
      </w:pPr>
    </w:p>
    <w:p w:rsidR="00384822" w:rsidRPr="00730E2D" w:rsidRDefault="00A22AC4" w:rsidP="00730E2D">
      <w:pPr>
        <w:spacing w:before="120"/>
        <w:jc w:val="both"/>
        <w:rPr>
          <w:rFonts w:asciiTheme="minorHAnsi" w:hAnsiTheme="minorHAnsi"/>
          <w:b/>
          <w:sz w:val="22"/>
          <w:szCs w:val="22"/>
        </w:rPr>
      </w:pPr>
      <w:r w:rsidRPr="00730E2D">
        <w:rPr>
          <w:rFonts w:asciiTheme="minorHAnsi" w:hAnsiTheme="minorHAnsi"/>
          <w:i/>
        </w:rPr>
        <w:t>Broad Program</w:t>
      </w:r>
      <w:r w:rsidR="00AB2240" w:rsidRPr="00730E2D">
        <w:rPr>
          <w:rFonts w:asciiTheme="minorHAnsi" w:hAnsiTheme="minorHAnsi"/>
          <w:i/>
        </w:rPr>
        <w:t xml:space="preserve"> Area Categories (BPACs).</w:t>
      </w:r>
      <w:r w:rsidR="00AB2240" w:rsidRPr="00730E2D">
        <w:rPr>
          <w:rFonts w:asciiTheme="minorHAnsi" w:hAnsiTheme="minorHAnsi"/>
        </w:rPr>
        <w:t xml:space="preserve">For this evaluation, the PAs conducted by the State Energy Offices are the primary </w:t>
      </w:r>
      <w:r w:rsidR="00E01485" w:rsidRPr="00730E2D">
        <w:rPr>
          <w:rFonts w:asciiTheme="minorHAnsi" w:hAnsiTheme="minorHAnsi"/>
        </w:rPr>
        <w:t xml:space="preserve">Stage 1 </w:t>
      </w:r>
      <w:r w:rsidR="00AB2240" w:rsidRPr="00730E2D">
        <w:rPr>
          <w:rFonts w:asciiTheme="minorHAnsi" w:hAnsiTheme="minorHAnsi"/>
        </w:rPr>
        <w:t xml:space="preserve">sampling unit. The PAs are enumerated and </w:t>
      </w:r>
      <w:r w:rsidRPr="00730E2D">
        <w:rPr>
          <w:rFonts w:asciiTheme="minorHAnsi" w:hAnsiTheme="minorHAnsi"/>
        </w:rPr>
        <w:t>classified by Broad Program</w:t>
      </w:r>
      <w:r w:rsidR="00AB2240" w:rsidRPr="00730E2D">
        <w:rPr>
          <w:rFonts w:asciiTheme="minorHAnsi" w:hAnsiTheme="minorHAnsi"/>
        </w:rPr>
        <w:t xml:space="preserve"> Area Categories (BPACs). For this classification scheme, the BPAC </w:t>
      </w:r>
      <w:r w:rsidR="00BD599C" w:rsidRPr="00730E2D">
        <w:rPr>
          <w:rFonts w:asciiTheme="minorHAnsi" w:hAnsiTheme="minorHAnsi"/>
        </w:rPr>
        <w:t xml:space="preserve">provides a high level description of the PA’s objectives and basic operations, for example: Building Retrofits, Renewable Energy Market Development Projects, Codes and Standards. </w:t>
      </w:r>
      <w:r w:rsidR="00332BA0" w:rsidRPr="00730E2D">
        <w:rPr>
          <w:rFonts w:asciiTheme="minorHAnsi" w:hAnsiTheme="minorHAnsi"/>
        </w:rPr>
        <w:t>These BPACs had been developed by DOE for previous administrative and evaluation applications, and it was decided to retain the basic BPAC structure for this study.</w:t>
      </w:r>
      <w:r w:rsidR="00865979" w:rsidRPr="00730E2D">
        <w:rPr>
          <w:rFonts w:asciiTheme="minorHAnsi" w:hAnsiTheme="minorHAnsi"/>
        </w:rPr>
        <w:t xml:space="preserve">  </w:t>
      </w:r>
      <w:r w:rsidR="009E2BCF">
        <w:fldChar w:fldCharType="begin"/>
      </w:r>
      <w:r w:rsidR="009E2BCF">
        <w:instrText xml:space="preserve"> REF _Ref309654797 \h  \* MERGEFORMAT </w:instrText>
      </w:r>
      <w:r w:rsidR="009E2BCF">
        <w:fldChar w:fldCharType="separate"/>
      </w:r>
      <w:r w:rsidR="00384822" w:rsidRPr="00730E2D">
        <w:rPr>
          <w:rFonts w:asciiTheme="minorHAnsi" w:hAnsiTheme="minorHAnsi"/>
        </w:rPr>
        <w:t>Figure 2</w:t>
      </w:r>
      <w:r w:rsidR="009E2BCF">
        <w:fldChar w:fldCharType="end"/>
      </w:r>
      <w:r w:rsidR="00384822" w:rsidRPr="00730E2D">
        <w:rPr>
          <w:rFonts w:asciiTheme="minorHAnsi" w:hAnsiTheme="minorHAnsi"/>
        </w:rPr>
        <w:t xml:space="preserve"> </w:t>
      </w:r>
      <w:r w:rsidR="00865979" w:rsidRPr="00730E2D">
        <w:rPr>
          <w:rFonts w:asciiTheme="minorHAnsi" w:hAnsiTheme="minorHAnsi"/>
        </w:rPr>
        <w:t>shows the list of the BPACs developed by DOE.</w:t>
      </w:r>
      <w:bookmarkStart w:id="6" w:name="_Ref309654797"/>
      <w:r w:rsidR="00384822" w:rsidRPr="00730E2D">
        <w:rPr>
          <w:rFonts w:asciiTheme="minorHAnsi" w:hAnsiTheme="minorHAnsi"/>
        </w:rPr>
        <w:br w:type="page"/>
      </w:r>
    </w:p>
    <w:p w:rsidR="005A0299" w:rsidRPr="00730E2D" w:rsidRDefault="00384822" w:rsidP="00384822">
      <w:pPr>
        <w:pStyle w:val="Caption"/>
        <w:keepNext/>
        <w:jc w:val="left"/>
        <w:rPr>
          <w:rFonts w:asciiTheme="minorHAnsi" w:hAnsiTheme="minorHAnsi"/>
          <w:b w:val="0"/>
        </w:rPr>
      </w:pPr>
      <w:r w:rsidRPr="00730E2D">
        <w:rPr>
          <w:rFonts w:asciiTheme="minorHAnsi" w:hAnsiTheme="minorHAnsi"/>
        </w:rPr>
        <w:lastRenderedPageBreak/>
        <w:t xml:space="preserve">Figure </w:t>
      </w:r>
      <w:r w:rsidR="003260F1" w:rsidRPr="00730E2D">
        <w:rPr>
          <w:rFonts w:asciiTheme="minorHAnsi" w:hAnsiTheme="minorHAnsi"/>
        </w:rPr>
        <w:fldChar w:fldCharType="begin"/>
      </w:r>
      <w:r w:rsidRPr="00730E2D">
        <w:rPr>
          <w:rFonts w:asciiTheme="minorHAnsi" w:hAnsiTheme="minorHAnsi"/>
        </w:rPr>
        <w:instrText xml:space="preserve"> SEQ Figure \* ARABIC </w:instrText>
      </w:r>
      <w:r w:rsidR="003260F1" w:rsidRPr="00730E2D">
        <w:rPr>
          <w:rFonts w:asciiTheme="minorHAnsi" w:hAnsiTheme="minorHAnsi"/>
        </w:rPr>
        <w:fldChar w:fldCharType="separate"/>
      </w:r>
      <w:r w:rsidR="00852B44" w:rsidRPr="00730E2D">
        <w:rPr>
          <w:rFonts w:asciiTheme="minorHAnsi" w:hAnsiTheme="minorHAnsi"/>
          <w:noProof/>
        </w:rPr>
        <w:t>2</w:t>
      </w:r>
      <w:r w:rsidR="003260F1" w:rsidRPr="00730E2D">
        <w:rPr>
          <w:rFonts w:asciiTheme="minorHAnsi" w:hAnsiTheme="minorHAnsi"/>
        </w:rPr>
        <w:fldChar w:fldCharType="end"/>
      </w:r>
      <w:bookmarkEnd w:id="6"/>
      <w:r w:rsidR="00A22AC4" w:rsidRPr="00730E2D">
        <w:rPr>
          <w:rFonts w:asciiTheme="minorHAnsi" w:hAnsiTheme="minorHAnsi"/>
        </w:rPr>
        <w:t xml:space="preserve">:  List of </w:t>
      </w:r>
      <w:r w:rsidR="00D856BC" w:rsidRPr="00730E2D">
        <w:rPr>
          <w:rFonts w:asciiTheme="minorHAnsi" w:hAnsiTheme="minorHAnsi"/>
        </w:rPr>
        <w:t>Broad program area categories</w:t>
      </w:r>
      <w:r w:rsidR="00926DB8" w:rsidRPr="00730E2D">
        <w:rPr>
          <w:rFonts w:asciiTheme="minorHAnsi" w:hAnsiTheme="minorHAnsi"/>
        </w:rPr>
        <w:t xml:space="preserve"> </w:t>
      </w:r>
      <w:r w:rsidR="00115834" w:rsidRPr="00730E2D">
        <w:rPr>
          <w:rFonts w:asciiTheme="minorHAnsi" w:hAnsiTheme="minorHAnsi"/>
        </w:rPr>
        <w:t>Developed by DOE</w:t>
      </w:r>
    </w:p>
    <w:p w:rsidR="00115834" w:rsidRPr="00730E2D" w:rsidRDefault="00115834" w:rsidP="00AB2240">
      <w:pPr>
        <w:spacing w:before="120"/>
        <w:rPr>
          <w:rFonts w:asciiTheme="minorHAnsi" w:hAnsiTheme="minorHAnsi" w:cs="Arial"/>
        </w:rPr>
      </w:pPr>
    </w:p>
    <w:p w:rsidR="00865979" w:rsidRPr="00730E2D" w:rsidRDefault="00115834" w:rsidP="00AB2240">
      <w:pPr>
        <w:spacing w:before="120"/>
        <w:rPr>
          <w:rFonts w:asciiTheme="minorHAnsi" w:hAnsiTheme="minorHAnsi" w:cs="Arial"/>
        </w:rPr>
      </w:pPr>
      <w:r w:rsidRPr="00730E2D">
        <w:rPr>
          <w:rFonts w:asciiTheme="minorHAnsi" w:hAnsiTheme="minorHAnsi" w:cs="Arial"/>
        </w:rPr>
        <w:object w:dxaOrig="9606" w:dyaOrig="4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18.25pt" o:ole="">
            <v:imagedata r:id="rId14" o:title=""/>
          </v:shape>
          <o:OLEObject Type="Embed" ProgID="Word.Document.12" ShapeID="_x0000_i1025" DrawAspect="Content" ObjectID="_1407073907" r:id="rId15"/>
        </w:object>
      </w:r>
    </w:p>
    <w:p w:rsidR="00865979" w:rsidRPr="00730E2D" w:rsidRDefault="00865979" w:rsidP="00AB2240">
      <w:pPr>
        <w:spacing w:before="120"/>
        <w:rPr>
          <w:rFonts w:asciiTheme="minorHAnsi" w:hAnsiTheme="minorHAnsi" w:cs="Arial"/>
        </w:rPr>
      </w:pPr>
    </w:p>
    <w:p w:rsidR="00AB2240" w:rsidRPr="00730E2D" w:rsidRDefault="00BD599C" w:rsidP="00730E2D">
      <w:pPr>
        <w:spacing w:before="120"/>
        <w:jc w:val="both"/>
        <w:rPr>
          <w:rFonts w:asciiTheme="minorHAnsi" w:hAnsiTheme="minorHAnsi"/>
        </w:rPr>
      </w:pPr>
      <w:r w:rsidRPr="00730E2D">
        <w:rPr>
          <w:rFonts w:asciiTheme="minorHAnsi" w:hAnsiTheme="minorHAnsi"/>
        </w:rPr>
        <w:t xml:space="preserve">Based upon review of the SEP and ARRA program databases, </w:t>
      </w:r>
      <w:r w:rsidR="003A7106" w:rsidRPr="00730E2D">
        <w:rPr>
          <w:rFonts w:asciiTheme="minorHAnsi" w:hAnsiTheme="minorHAnsi"/>
        </w:rPr>
        <w:t>DOE</w:t>
      </w:r>
      <w:r w:rsidRPr="00730E2D">
        <w:rPr>
          <w:rFonts w:asciiTheme="minorHAnsi" w:hAnsiTheme="minorHAnsi"/>
        </w:rPr>
        <w:t xml:space="preserve"> found that the BPACs did not provide sufficiently narrow definitions to support the sample stratification goals discussed above.   </w:t>
      </w:r>
      <w:r w:rsidR="003A7106" w:rsidRPr="00730E2D">
        <w:rPr>
          <w:rFonts w:asciiTheme="minorHAnsi" w:hAnsiTheme="minorHAnsi"/>
        </w:rPr>
        <w:t>DOE</w:t>
      </w:r>
      <w:r w:rsidRPr="00730E2D">
        <w:rPr>
          <w:rFonts w:asciiTheme="minorHAnsi" w:hAnsiTheme="minorHAnsi"/>
        </w:rPr>
        <w:t xml:space="preserve"> therefore developed a set of BPAC Subcategories that would </w:t>
      </w:r>
      <w:r w:rsidR="00332BA0" w:rsidRPr="00730E2D">
        <w:rPr>
          <w:rFonts w:asciiTheme="minorHAnsi" w:hAnsiTheme="minorHAnsi"/>
        </w:rPr>
        <w:t xml:space="preserve">support </w:t>
      </w:r>
      <w:r w:rsidRPr="00730E2D">
        <w:rPr>
          <w:rFonts w:asciiTheme="minorHAnsi" w:hAnsiTheme="minorHAnsi"/>
        </w:rPr>
        <w:t xml:space="preserve">effective grouping of PAs by basic objectives and operating procedures.  </w:t>
      </w:r>
    </w:p>
    <w:p w:rsidR="00CA1A50" w:rsidRPr="00730E2D" w:rsidRDefault="00AB2240" w:rsidP="00730E2D">
      <w:pPr>
        <w:spacing w:before="240" w:after="240"/>
        <w:jc w:val="both"/>
        <w:rPr>
          <w:rFonts w:asciiTheme="minorHAnsi" w:hAnsiTheme="minorHAnsi"/>
        </w:rPr>
      </w:pPr>
      <w:r w:rsidRPr="00730E2D">
        <w:rPr>
          <w:rFonts w:asciiTheme="minorHAnsi" w:hAnsiTheme="minorHAnsi"/>
          <w:i/>
        </w:rPr>
        <w:t>BPAC Subcategories.</w:t>
      </w:r>
      <w:r w:rsidRPr="00730E2D">
        <w:rPr>
          <w:rFonts w:asciiTheme="minorHAnsi" w:hAnsiTheme="minorHAnsi"/>
        </w:rPr>
        <w:t xml:space="preserve"> </w:t>
      </w:r>
      <w:r w:rsidR="00332BA0" w:rsidRPr="00730E2D">
        <w:rPr>
          <w:rFonts w:asciiTheme="minorHAnsi" w:hAnsiTheme="minorHAnsi"/>
        </w:rPr>
        <w:t xml:space="preserve">One of the first tasks of this project was to conduct a thorough review of all SEP records for the study period in order to classify funded initiatives into PAs.  </w:t>
      </w:r>
      <w:r w:rsidR="003A7106" w:rsidRPr="00730E2D">
        <w:rPr>
          <w:rFonts w:asciiTheme="minorHAnsi" w:hAnsiTheme="minorHAnsi"/>
        </w:rPr>
        <w:t>DOE</w:t>
      </w:r>
      <w:r w:rsidR="00332BA0" w:rsidRPr="00730E2D">
        <w:rPr>
          <w:rFonts w:asciiTheme="minorHAnsi" w:hAnsiTheme="minorHAnsi"/>
        </w:rPr>
        <w:t xml:space="preserve"> reviewed the database of all funding applications to </w:t>
      </w:r>
      <w:r w:rsidR="00A42875" w:rsidRPr="00730E2D">
        <w:rPr>
          <w:rFonts w:asciiTheme="minorHAnsi" w:hAnsiTheme="minorHAnsi"/>
        </w:rPr>
        <w:t xml:space="preserve">develop workable </w:t>
      </w:r>
      <w:r w:rsidR="00332BA0" w:rsidRPr="00730E2D">
        <w:rPr>
          <w:rFonts w:asciiTheme="minorHAnsi" w:hAnsiTheme="minorHAnsi"/>
        </w:rPr>
        <w:t>definition</w:t>
      </w:r>
      <w:r w:rsidR="00A42875" w:rsidRPr="00730E2D">
        <w:rPr>
          <w:rFonts w:asciiTheme="minorHAnsi" w:hAnsiTheme="minorHAnsi"/>
        </w:rPr>
        <w:t>s</w:t>
      </w:r>
      <w:r w:rsidR="00332BA0" w:rsidRPr="00730E2D">
        <w:rPr>
          <w:rFonts w:asciiTheme="minorHAnsi" w:hAnsiTheme="minorHAnsi"/>
        </w:rPr>
        <w:t xml:space="preserve"> of the BPAC Subcategories and to identify the proper classification of each PA by BPAC and BPAC Subcategory. </w:t>
      </w:r>
      <w:r w:rsidR="00A42875" w:rsidRPr="00730E2D">
        <w:rPr>
          <w:rFonts w:asciiTheme="minorHAnsi" w:hAnsiTheme="minorHAnsi"/>
        </w:rPr>
        <w:t xml:space="preserve">In cases where program descriptions contained in the database were unclear, </w:t>
      </w:r>
      <w:r w:rsidR="003A7106" w:rsidRPr="00730E2D">
        <w:rPr>
          <w:rFonts w:asciiTheme="minorHAnsi" w:hAnsiTheme="minorHAnsi"/>
        </w:rPr>
        <w:t>DOE</w:t>
      </w:r>
      <w:r w:rsidR="00A42875" w:rsidRPr="00730E2D">
        <w:rPr>
          <w:rFonts w:asciiTheme="minorHAnsi" w:hAnsiTheme="minorHAnsi"/>
        </w:rPr>
        <w:t xml:space="preserve"> attempted to validate our understanding of the activities through brief conversations with regional and state-level </w:t>
      </w:r>
      <w:r w:rsidR="007B1B12" w:rsidRPr="00730E2D">
        <w:rPr>
          <w:rFonts w:asciiTheme="minorHAnsi" w:hAnsiTheme="minorHAnsi"/>
        </w:rPr>
        <w:t>officials</w:t>
      </w:r>
      <w:r w:rsidR="00A42875" w:rsidRPr="00730E2D">
        <w:rPr>
          <w:rFonts w:asciiTheme="minorHAnsi" w:hAnsiTheme="minorHAnsi"/>
        </w:rPr>
        <w:t>.</w:t>
      </w:r>
      <w:r w:rsidR="00332BA0" w:rsidRPr="00730E2D">
        <w:rPr>
          <w:rFonts w:asciiTheme="minorHAnsi" w:hAnsiTheme="minorHAnsi"/>
        </w:rPr>
        <w:t xml:space="preserve"> </w:t>
      </w:r>
    </w:p>
    <w:p w:rsidR="00865979" w:rsidRPr="00730E2D" w:rsidRDefault="00865979" w:rsidP="00730E2D">
      <w:pPr>
        <w:spacing w:before="240" w:after="240"/>
        <w:jc w:val="both"/>
        <w:rPr>
          <w:rFonts w:asciiTheme="minorHAnsi" w:hAnsiTheme="minorHAnsi"/>
        </w:rPr>
      </w:pPr>
      <w:r w:rsidRPr="00730E2D">
        <w:rPr>
          <w:rFonts w:asciiTheme="minorHAnsi" w:hAnsiTheme="minorHAnsi"/>
        </w:rPr>
        <w:t>One product of this process was the list of BPAC subcategories and their respective defin</w:t>
      </w:r>
      <w:r w:rsidR="00986EF4" w:rsidRPr="00730E2D">
        <w:rPr>
          <w:rFonts w:asciiTheme="minorHAnsi" w:hAnsiTheme="minorHAnsi"/>
        </w:rPr>
        <w:t>itions.  For example, the BPAC “</w:t>
      </w:r>
      <w:r w:rsidRPr="00730E2D">
        <w:rPr>
          <w:rFonts w:asciiTheme="minorHAnsi" w:hAnsiTheme="minorHAnsi"/>
        </w:rPr>
        <w:t xml:space="preserve">Building Codes and Standards,” was determined to consist of PAs in 3 subcategories: </w:t>
      </w:r>
    </w:p>
    <w:p w:rsidR="00865979" w:rsidRPr="00730E2D" w:rsidRDefault="00865979" w:rsidP="00730E2D">
      <w:pPr>
        <w:numPr>
          <w:ilvl w:val="0"/>
          <w:numId w:val="17"/>
        </w:numPr>
        <w:jc w:val="both"/>
        <w:rPr>
          <w:rFonts w:asciiTheme="minorHAnsi" w:hAnsiTheme="minorHAnsi"/>
          <w:sz w:val="22"/>
          <w:szCs w:val="22"/>
        </w:rPr>
      </w:pPr>
      <w:r w:rsidRPr="00730E2D">
        <w:rPr>
          <w:rFonts w:asciiTheme="minorHAnsi" w:hAnsiTheme="minorHAnsi"/>
          <w:sz w:val="22"/>
          <w:szCs w:val="22"/>
        </w:rPr>
        <w:t>Building Code Development and Support</w:t>
      </w:r>
    </w:p>
    <w:p w:rsidR="00865979" w:rsidRPr="00730E2D" w:rsidRDefault="00865979" w:rsidP="00730E2D">
      <w:pPr>
        <w:numPr>
          <w:ilvl w:val="0"/>
          <w:numId w:val="17"/>
        </w:numPr>
        <w:jc w:val="both"/>
        <w:rPr>
          <w:rFonts w:asciiTheme="minorHAnsi" w:hAnsiTheme="minorHAnsi"/>
          <w:sz w:val="22"/>
          <w:szCs w:val="22"/>
        </w:rPr>
      </w:pPr>
      <w:r w:rsidRPr="00730E2D">
        <w:rPr>
          <w:rFonts w:asciiTheme="minorHAnsi" w:hAnsiTheme="minorHAnsi"/>
          <w:sz w:val="22"/>
          <w:szCs w:val="22"/>
        </w:rPr>
        <w:t xml:space="preserve">Generalized Workshops and Demonstrations </w:t>
      </w:r>
    </w:p>
    <w:p w:rsidR="00865979" w:rsidRPr="00730E2D" w:rsidRDefault="00865979" w:rsidP="00730E2D">
      <w:pPr>
        <w:numPr>
          <w:ilvl w:val="0"/>
          <w:numId w:val="17"/>
        </w:numPr>
        <w:jc w:val="both"/>
        <w:rPr>
          <w:rFonts w:asciiTheme="minorHAnsi" w:hAnsiTheme="minorHAnsi"/>
          <w:sz w:val="22"/>
          <w:szCs w:val="22"/>
        </w:rPr>
      </w:pPr>
      <w:r w:rsidRPr="00730E2D">
        <w:rPr>
          <w:rFonts w:asciiTheme="minorHAnsi" w:hAnsiTheme="minorHAnsi"/>
          <w:sz w:val="22"/>
          <w:szCs w:val="22"/>
        </w:rPr>
        <w:t>Training and Technical Assistance</w:t>
      </w:r>
    </w:p>
    <w:p w:rsidR="00865979" w:rsidRPr="00730E2D" w:rsidRDefault="00865979" w:rsidP="00730E2D">
      <w:pPr>
        <w:spacing w:before="240" w:after="240"/>
        <w:jc w:val="both"/>
        <w:rPr>
          <w:rFonts w:asciiTheme="minorHAnsi" w:hAnsiTheme="minorHAnsi"/>
        </w:rPr>
      </w:pPr>
      <w:r w:rsidRPr="00730E2D">
        <w:rPr>
          <w:rFonts w:asciiTheme="minorHAnsi" w:hAnsiTheme="minorHAnsi"/>
        </w:rPr>
        <w:t xml:space="preserve">Together these three subcategories contain all of the PAs in the Codes and Standards BPAC.  Moreover, based on our review, </w:t>
      </w:r>
      <w:r w:rsidR="003A7106" w:rsidRPr="00730E2D">
        <w:rPr>
          <w:rFonts w:asciiTheme="minorHAnsi" w:hAnsiTheme="minorHAnsi"/>
        </w:rPr>
        <w:t>DOE</w:t>
      </w:r>
      <w:r w:rsidRPr="00730E2D">
        <w:rPr>
          <w:rFonts w:asciiTheme="minorHAnsi" w:hAnsiTheme="minorHAnsi"/>
        </w:rPr>
        <w:t xml:space="preserve"> determined that </w:t>
      </w:r>
      <w:r w:rsidR="00E01485" w:rsidRPr="00730E2D">
        <w:rPr>
          <w:rFonts w:asciiTheme="minorHAnsi" w:hAnsiTheme="minorHAnsi"/>
        </w:rPr>
        <w:t xml:space="preserve">within each of these subcategories, </w:t>
      </w:r>
      <w:r w:rsidRPr="00730E2D">
        <w:rPr>
          <w:rFonts w:asciiTheme="minorHAnsi" w:hAnsiTheme="minorHAnsi"/>
        </w:rPr>
        <w:t xml:space="preserve">all </w:t>
      </w:r>
      <w:r w:rsidR="00E01485" w:rsidRPr="00730E2D">
        <w:rPr>
          <w:rFonts w:asciiTheme="minorHAnsi" w:hAnsiTheme="minorHAnsi"/>
        </w:rPr>
        <w:t xml:space="preserve">the </w:t>
      </w:r>
      <w:r w:rsidRPr="00730E2D">
        <w:rPr>
          <w:rFonts w:asciiTheme="minorHAnsi" w:hAnsiTheme="minorHAnsi"/>
        </w:rPr>
        <w:t xml:space="preserve">PAs subcategories could be evaluated using </w:t>
      </w:r>
      <w:r w:rsidR="00E01485" w:rsidRPr="00730E2D">
        <w:rPr>
          <w:rFonts w:asciiTheme="minorHAnsi" w:hAnsiTheme="minorHAnsi"/>
        </w:rPr>
        <w:t xml:space="preserve">a </w:t>
      </w:r>
      <w:r w:rsidRPr="00730E2D">
        <w:rPr>
          <w:rFonts w:asciiTheme="minorHAnsi" w:hAnsiTheme="minorHAnsi"/>
        </w:rPr>
        <w:t xml:space="preserve">similar </w:t>
      </w:r>
      <w:r w:rsidR="00E01485" w:rsidRPr="00730E2D">
        <w:rPr>
          <w:rFonts w:asciiTheme="minorHAnsi" w:hAnsiTheme="minorHAnsi"/>
        </w:rPr>
        <w:t xml:space="preserve">set of </w:t>
      </w:r>
      <w:r w:rsidRPr="00730E2D">
        <w:rPr>
          <w:rFonts w:asciiTheme="minorHAnsi" w:hAnsiTheme="minorHAnsi"/>
        </w:rPr>
        <w:t>methods</w:t>
      </w:r>
      <w:r w:rsidR="00986EF4" w:rsidRPr="00730E2D">
        <w:rPr>
          <w:rFonts w:asciiTheme="minorHAnsi" w:hAnsiTheme="minorHAnsi"/>
        </w:rPr>
        <w:t>.</w:t>
      </w:r>
    </w:p>
    <w:p w:rsidR="00332BA0" w:rsidRPr="00730E2D" w:rsidRDefault="00865979" w:rsidP="00730E2D">
      <w:pPr>
        <w:spacing w:before="240" w:after="240"/>
        <w:jc w:val="both"/>
        <w:rPr>
          <w:rFonts w:asciiTheme="minorHAnsi" w:hAnsiTheme="minorHAnsi"/>
        </w:rPr>
      </w:pPr>
      <w:r w:rsidRPr="00730E2D">
        <w:rPr>
          <w:rFonts w:asciiTheme="minorHAnsi" w:hAnsiTheme="minorHAnsi"/>
        </w:rPr>
        <w:lastRenderedPageBreak/>
        <w:t xml:space="preserve">The second key product of this classification process was the assignment of each PA and its budget to a unique BPAC Subcategory.  This is a necessary step in the allocation of evaluation resources and sample points to the respective BPACs.  </w:t>
      </w:r>
      <w:r w:rsidR="00E01485" w:rsidRPr="00730E2D">
        <w:rPr>
          <w:rFonts w:asciiTheme="minorHAnsi" w:hAnsiTheme="minorHAnsi"/>
        </w:rPr>
        <w:t>As described above, the BPAC subcategory combinations defined a set of sampling strata for the Stage 1 sample of PAs.</w:t>
      </w:r>
    </w:p>
    <w:p w:rsidR="00E61E68" w:rsidRPr="00730E2D" w:rsidRDefault="00E61E68" w:rsidP="00730E2D">
      <w:pPr>
        <w:ind w:left="360"/>
        <w:jc w:val="both"/>
        <w:rPr>
          <w:rFonts w:asciiTheme="minorHAnsi" w:hAnsiTheme="minorHAnsi"/>
          <w:b/>
          <w:i/>
          <w:u w:val="single"/>
        </w:rPr>
      </w:pPr>
    </w:p>
    <w:p w:rsidR="00E61E68" w:rsidRPr="00730E2D" w:rsidRDefault="00E61E68" w:rsidP="00730E2D">
      <w:pPr>
        <w:jc w:val="both"/>
        <w:rPr>
          <w:rFonts w:asciiTheme="minorHAnsi" w:hAnsiTheme="minorHAnsi"/>
          <w:b/>
          <w:u w:val="single"/>
        </w:rPr>
      </w:pPr>
      <w:r w:rsidRPr="00730E2D">
        <w:rPr>
          <w:rFonts w:asciiTheme="minorHAnsi" w:hAnsiTheme="minorHAnsi"/>
          <w:b/>
        </w:rPr>
        <w:t xml:space="preserve">2.  </w:t>
      </w:r>
      <w:r w:rsidRPr="00730E2D">
        <w:rPr>
          <w:rFonts w:asciiTheme="minorHAnsi" w:hAnsiTheme="minorHAnsi"/>
          <w:b/>
          <w:u w:val="single"/>
        </w:rPr>
        <w:t>Describe the procedures for the collection of information:</w:t>
      </w:r>
    </w:p>
    <w:p w:rsidR="00E61E68" w:rsidRPr="00730E2D" w:rsidRDefault="00E61E68" w:rsidP="00730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 w:lineRule="atLeast"/>
        <w:jc w:val="both"/>
        <w:rPr>
          <w:rFonts w:asciiTheme="minorHAnsi" w:hAnsiTheme="minorHAnsi"/>
          <w:b/>
        </w:rPr>
      </w:pPr>
    </w:p>
    <w:p w:rsidR="00D55570" w:rsidRPr="00730E2D" w:rsidRDefault="00D55570" w:rsidP="00730E2D">
      <w:pPr>
        <w:pStyle w:val="ParaText"/>
        <w:spacing w:line="240" w:lineRule="auto"/>
        <w:jc w:val="both"/>
        <w:rPr>
          <w:rFonts w:asciiTheme="minorHAnsi" w:hAnsiTheme="minorHAnsi"/>
          <w:sz w:val="24"/>
          <w:szCs w:val="24"/>
        </w:rPr>
      </w:pPr>
      <w:r w:rsidRPr="00730E2D">
        <w:rPr>
          <w:rFonts w:asciiTheme="minorHAnsi" w:hAnsiTheme="minorHAnsi"/>
          <w:sz w:val="24"/>
          <w:szCs w:val="24"/>
        </w:rPr>
        <w:t xml:space="preserve">As described above, there are 2 stages of sample selection.  The first stage is a sample of PAs.  Each of the selected PAs is evaluated, meaning that quantitative outcome estimates are produced for each sampled PA.  For certain types of PAs, the evaluation requires a second stage statistical sample of participants.  </w:t>
      </w:r>
    </w:p>
    <w:p w:rsidR="00D55570" w:rsidRPr="00730E2D" w:rsidRDefault="00D55570" w:rsidP="00730E2D">
      <w:pPr>
        <w:pStyle w:val="ParaText"/>
        <w:spacing w:line="240" w:lineRule="auto"/>
        <w:jc w:val="both"/>
        <w:rPr>
          <w:rFonts w:asciiTheme="minorHAnsi" w:hAnsiTheme="minorHAnsi"/>
          <w:sz w:val="24"/>
          <w:szCs w:val="24"/>
        </w:rPr>
      </w:pPr>
      <w:r w:rsidRPr="00730E2D">
        <w:rPr>
          <w:rFonts w:asciiTheme="minorHAnsi" w:hAnsiTheme="minorHAnsi"/>
          <w:sz w:val="24"/>
          <w:szCs w:val="24"/>
        </w:rPr>
        <w:t>The required sampling and expansion elements are addressed first for the Stage 1 sample of PAs.  The Stage 1 sample expansion translates the outcome estimates for the sampled PAs into program-level estimates for the study target, that is, for the universe of PAs included in the Stage 1 sampling frame.</w:t>
      </w:r>
    </w:p>
    <w:p w:rsidR="00843015" w:rsidRPr="00730E2D" w:rsidRDefault="00D55570" w:rsidP="00730E2D">
      <w:pPr>
        <w:pStyle w:val="ParaText"/>
        <w:spacing w:line="240" w:lineRule="auto"/>
        <w:jc w:val="both"/>
        <w:rPr>
          <w:rFonts w:asciiTheme="minorHAnsi" w:hAnsiTheme="minorHAnsi"/>
          <w:sz w:val="24"/>
          <w:szCs w:val="24"/>
        </w:rPr>
      </w:pPr>
      <w:r w:rsidRPr="00730E2D">
        <w:rPr>
          <w:rFonts w:asciiTheme="minorHAnsi" w:hAnsiTheme="minorHAnsi"/>
          <w:sz w:val="24"/>
          <w:szCs w:val="24"/>
        </w:rPr>
        <w:t>The sampling and expansion elements for the Stage 2 statistical sample are then described.  The sample expansion at this stage translates the findings for individual sampled participants within a PA into outcome estimates for that PA.  The PA-level results are expanded to program-level results via the Stage 1 expansion.</w:t>
      </w:r>
      <w:r w:rsidR="00843015" w:rsidRPr="00730E2D">
        <w:rPr>
          <w:rFonts w:asciiTheme="minorHAnsi" w:hAnsiTheme="minorHAnsi"/>
          <w:sz w:val="24"/>
          <w:szCs w:val="24"/>
        </w:rPr>
        <w:t xml:space="preserve"> The combination of Stage 1 and Stage 2 results, and resulting accuracy of the primary estimates, are described at the end</w:t>
      </w:r>
      <w:r w:rsidR="00384822" w:rsidRPr="00730E2D">
        <w:rPr>
          <w:rFonts w:asciiTheme="minorHAnsi" w:hAnsiTheme="minorHAnsi"/>
          <w:sz w:val="24"/>
          <w:szCs w:val="24"/>
        </w:rPr>
        <w:t xml:space="preserve"> </w:t>
      </w:r>
      <w:r w:rsidR="00843015" w:rsidRPr="00730E2D">
        <w:rPr>
          <w:rFonts w:asciiTheme="minorHAnsi" w:hAnsiTheme="minorHAnsi"/>
          <w:sz w:val="24"/>
          <w:szCs w:val="24"/>
        </w:rPr>
        <w:t>of the Stage 2 sampling discussion.</w:t>
      </w:r>
    </w:p>
    <w:p w:rsidR="00D55570" w:rsidRPr="00730E2D" w:rsidRDefault="00D55570" w:rsidP="00730E2D">
      <w:pPr>
        <w:pStyle w:val="ParaText"/>
        <w:spacing w:line="240" w:lineRule="auto"/>
        <w:jc w:val="both"/>
        <w:rPr>
          <w:rFonts w:asciiTheme="minorHAnsi" w:hAnsiTheme="minorHAnsi"/>
          <w:b/>
          <w:sz w:val="24"/>
          <w:szCs w:val="24"/>
        </w:rPr>
      </w:pPr>
      <w:r w:rsidRPr="00730E2D">
        <w:rPr>
          <w:rFonts w:asciiTheme="minorHAnsi" w:hAnsiTheme="minorHAnsi"/>
          <w:b/>
          <w:sz w:val="24"/>
          <w:szCs w:val="24"/>
        </w:rPr>
        <w:t>STAGE 1 SAMPLING AND EXPANSION:  PA SAMPLE</w:t>
      </w:r>
    </w:p>
    <w:p w:rsidR="00D55570" w:rsidRPr="00730E2D" w:rsidRDefault="00D55570" w:rsidP="00730E2D">
      <w:pPr>
        <w:pStyle w:val="Heading2"/>
        <w:numPr>
          <w:ilvl w:val="0"/>
          <w:numId w:val="0"/>
        </w:numPr>
        <w:spacing w:line="240" w:lineRule="auto"/>
        <w:jc w:val="both"/>
        <w:rPr>
          <w:rFonts w:asciiTheme="minorHAnsi" w:hAnsiTheme="minorHAnsi"/>
          <w:b w:val="0"/>
          <w:i/>
          <w:sz w:val="24"/>
          <w:szCs w:val="24"/>
        </w:rPr>
      </w:pPr>
      <w:r w:rsidRPr="00730E2D">
        <w:rPr>
          <w:rFonts w:asciiTheme="minorHAnsi" w:hAnsiTheme="minorHAnsi"/>
          <w:b w:val="0"/>
          <w:i/>
          <w:sz w:val="24"/>
          <w:szCs w:val="24"/>
        </w:rPr>
        <w:t>Statistical methodology for stratification and sample selection</w:t>
      </w:r>
    </w:p>
    <w:p w:rsidR="00D55570" w:rsidRPr="00730E2D" w:rsidRDefault="00D55570" w:rsidP="00730E2D">
      <w:pPr>
        <w:pStyle w:val="Heading3"/>
        <w:numPr>
          <w:ilvl w:val="0"/>
          <w:numId w:val="0"/>
        </w:numPr>
        <w:spacing w:line="240" w:lineRule="auto"/>
        <w:jc w:val="both"/>
        <w:rPr>
          <w:rFonts w:asciiTheme="minorHAnsi" w:hAnsiTheme="minorHAnsi"/>
          <w:sz w:val="24"/>
          <w:szCs w:val="24"/>
        </w:rPr>
      </w:pPr>
      <w:r w:rsidRPr="00730E2D">
        <w:rPr>
          <w:rFonts w:asciiTheme="minorHAnsi" w:hAnsiTheme="minorHAnsi"/>
          <w:sz w:val="24"/>
          <w:szCs w:val="24"/>
        </w:rPr>
        <w:t>Sampling Objectives</w:t>
      </w:r>
    </w:p>
    <w:p w:rsidR="00D55570" w:rsidRPr="00730E2D" w:rsidRDefault="00D55570" w:rsidP="00730E2D">
      <w:pPr>
        <w:spacing w:after="200"/>
        <w:jc w:val="both"/>
        <w:rPr>
          <w:rFonts w:asciiTheme="minorHAnsi" w:hAnsiTheme="minorHAnsi"/>
        </w:rPr>
      </w:pPr>
      <w:r w:rsidRPr="00730E2D">
        <w:rPr>
          <w:rFonts w:asciiTheme="minorHAnsi" w:hAnsiTheme="minorHAnsi"/>
        </w:rPr>
        <w:t xml:space="preserve">The goal of this study, as noted in Section 1, is </w:t>
      </w:r>
      <w:r w:rsidR="00C738EA" w:rsidRPr="00730E2D">
        <w:rPr>
          <w:rFonts w:asciiTheme="minorHAnsi" w:hAnsiTheme="minorHAnsi"/>
        </w:rPr>
        <w:t>to provide quantitative estimates</w:t>
      </w:r>
      <w:r w:rsidR="00981F36" w:rsidRPr="00730E2D">
        <w:rPr>
          <w:rFonts w:asciiTheme="minorHAnsi" w:hAnsiTheme="minorHAnsi"/>
        </w:rPr>
        <w:t xml:space="preserve"> randomly selected from a representative sample</w:t>
      </w:r>
      <w:r w:rsidR="00C738EA" w:rsidRPr="00730E2D">
        <w:rPr>
          <w:rFonts w:asciiTheme="minorHAnsi" w:hAnsiTheme="minorHAnsi"/>
        </w:rPr>
        <w:t>, at the national level, of key program outcomes resulting from SEP in the 2008 and ARRA periods.  This goal has</w:t>
      </w:r>
      <w:r w:rsidRPr="00730E2D">
        <w:rPr>
          <w:rFonts w:asciiTheme="minorHAnsi" w:hAnsiTheme="minorHAnsi"/>
        </w:rPr>
        <w:t xml:space="preserve"> been further specified by a number of policy objectives determined by DOE.  </w:t>
      </w:r>
    </w:p>
    <w:p w:rsidR="00D55570" w:rsidRPr="00730E2D" w:rsidRDefault="00D55570" w:rsidP="00730E2D">
      <w:pPr>
        <w:pStyle w:val="ListParagraph"/>
        <w:numPr>
          <w:ilvl w:val="0"/>
          <w:numId w:val="36"/>
        </w:numPr>
        <w:spacing w:after="120" w:line="240" w:lineRule="auto"/>
        <w:contextualSpacing w:val="0"/>
        <w:jc w:val="both"/>
        <w:rPr>
          <w:rFonts w:asciiTheme="minorHAnsi" w:hAnsiTheme="minorHAnsi"/>
        </w:rPr>
      </w:pPr>
      <w:r w:rsidRPr="00730E2D">
        <w:rPr>
          <w:rFonts w:asciiTheme="minorHAnsi" w:hAnsiTheme="minorHAnsi"/>
        </w:rPr>
        <w:t>Because funding for the study is limited, the study should address those BPACs that account for 80% of the program funding</w:t>
      </w:r>
      <w:r w:rsidR="00981F36" w:rsidRPr="00730E2D">
        <w:rPr>
          <w:rFonts w:asciiTheme="minorHAnsi" w:hAnsiTheme="minorHAnsi"/>
        </w:rPr>
        <w:t xml:space="preserve"> and randomly sample from them</w:t>
      </w:r>
      <w:r w:rsidRPr="00730E2D">
        <w:rPr>
          <w:rFonts w:asciiTheme="minorHAnsi" w:hAnsiTheme="minorHAnsi"/>
        </w:rPr>
        <w:t>.  In general, the smallest BPACs should be excluded.  However, certain BPACs with relatively low funding but potentially high impacts should be included.  Specifically, Codes and Standards, and Clean Energy Policy Support should be included even if not among the top 80% in funding.</w:t>
      </w:r>
      <w:r w:rsidR="00981F36" w:rsidRPr="00730E2D">
        <w:rPr>
          <w:rFonts w:asciiTheme="minorHAnsi" w:hAnsiTheme="minorHAnsi"/>
        </w:rPr>
        <w:t xml:space="preserve">  These small PAs represent 2.7% of funding in 2008 and 3.4% of funding during the ARRA period.</w:t>
      </w:r>
    </w:p>
    <w:p w:rsidR="00D55570" w:rsidRPr="00730E2D" w:rsidRDefault="00D55570" w:rsidP="00730E2D">
      <w:pPr>
        <w:pStyle w:val="ListParagraph"/>
        <w:numPr>
          <w:ilvl w:val="0"/>
          <w:numId w:val="36"/>
        </w:numPr>
        <w:spacing w:after="120" w:line="240" w:lineRule="auto"/>
        <w:contextualSpacing w:val="0"/>
        <w:jc w:val="both"/>
        <w:rPr>
          <w:rFonts w:asciiTheme="minorHAnsi" w:hAnsiTheme="minorHAnsi"/>
        </w:rPr>
      </w:pPr>
      <w:r w:rsidRPr="00730E2D">
        <w:rPr>
          <w:rFonts w:asciiTheme="minorHAnsi" w:hAnsiTheme="minorHAnsi"/>
        </w:rPr>
        <w:t>Because the ARRA period was an abnormal program year, the study should provide separate estimates for the ARRA period and for the 2008 program year.  The 2008 experience is expected to be more indicative of future program performance</w:t>
      </w:r>
      <w:r w:rsidR="00086528" w:rsidRPr="00730E2D">
        <w:rPr>
          <w:rFonts w:asciiTheme="minorHAnsi" w:hAnsiTheme="minorHAnsi"/>
        </w:rPr>
        <w:t xml:space="preserve"> if spending priorities, funding levels and program categories do not change over the coming years</w:t>
      </w:r>
      <w:r w:rsidRPr="00730E2D">
        <w:rPr>
          <w:rFonts w:asciiTheme="minorHAnsi" w:hAnsiTheme="minorHAnsi"/>
        </w:rPr>
        <w:t xml:space="preserve">.  It is recognized that this choice means that the accuracy for each study period will be lower than if only one of the two periods </w:t>
      </w:r>
      <w:r w:rsidRPr="00730E2D">
        <w:rPr>
          <w:rFonts w:asciiTheme="minorHAnsi" w:hAnsiTheme="minorHAnsi"/>
        </w:rPr>
        <w:lastRenderedPageBreak/>
        <w:t>were studied using the same resources.  However, a study that addressed ARRA only would have limited value to future program planning; a study that addressed program year 2008 only would not fulfill the objectives of the study funding source.</w:t>
      </w:r>
    </w:p>
    <w:p w:rsidR="00D55570" w:rsidRPr="00730E2D" w:rsidRDefault="00D55570" w:rsidP="00730E2D">
      <w:pPr>
        <w:pStyle w:val="ListParagraph"/>
        <w:numPr>
          <w:ilvl w:val="0"/>
          <w:numId w:val="36"/>
        </w:numPr>
        <w:spacing w:after="120" w:line="240" w:lineRule="auto"/>
        <w:contextualSpacing w:val="0"/>
        <w:jc w:val="both"/>
        <w:rPr>
          <w:rFonts w:asciiTheme="minorHAnsi" w:hAnsiTheme="minorHAnsi"/>
        </w:rPr>
      </w:pPr>
      <w:r w:rsidRPr="00730E2D">
        <w:rPr>
          <w:rFonts w:asciiTheme="minorHAnsi" w:hAnsiTheme="minorHAnsi"/>
        </w:rPr>
        <w:t xml:space="preserve">More study resources are to be allocated to the 2008 program year, since this </w:t>
      </w:r>
      <w:r w:rsidR="00086528" w:rsidRPr="00730E2D">
        <w:rPr>
          <w:rFonts w:asciiTheme="minorHAnsi" w:hAnsiTheme="minorHAnsi"/>
        </w:rPr>
        <w:t xml:space="preserve">may </w:t>
      </w:r>
      <w:r w:rsidRPr="00730E2D">
        <w:rPr>
          <w:rFonts w:asciiTheme="minorHAnsi" w:hAnsiTheme="minorHAnsi"/>
        </w:rPr>
        <w:t>be more indicative of future</w:t>
      </w:r>
      <w:r w:rsidR="00086528" w:rsidRPr="00730E2D">
        <w:rPr>
          <w:rFonts w:asciiTheme="minorHAnsi" w:hAnsiTheme="minorHAnsi"/>
        </w:rPr>
        <w:t xml:space="preserve"> grant supported efforts</w:t>
      </w:r>
      <w:r w:rsidRPr="00730E2D">
        <w:rPr>
          <w:rFonts w:asciiTheme="minorHAnsi" w:hAnsiTheme="minorHAnsi"/>
        </w:rPr>
        <w:t>.  In addition, there is a greater variety of activity to be addressed in 2008, making a larger sample necessary to cover the range of activities of interest, even among the top 80%.</w:t>
      </w:r>
    </w:p>
    <w:p w:rsidR="00D55570" w:rsidRPr="00730E2D" w:rsidRDefault="00D55570" w:rsidP="00730E2D">
      <w:pPr>
        <w:pStyle w:val="ListParagraph"/>
        <w:numPr>
          <w:ilvl w:val="0"/>
          <w:numId w:val="36"/>
        </w:numPr>
        <w:spacing w:after="120" w:line="240" w:lineRule="auto"/>
        <w:contextualSpacing w:val="0"/>
        <w:jc w:val="both"/>
        <w:rPr>
          <w:rFonts w:asciiTheme="minorHAnsi" w:hAnsiTheme="minorHAnsi"/>
        </w:rPr>
      </w:pPr>
      <w:r w:rsidRPr="00730E2D">
        <w:rPr>
          <w:rFonts w:asciiTheme="minorHAnsi" w:hAnsiTheme="minorHAnsi"/>
        </w:rPr>
        <w:t>The primary objective of the study is to produce outcome estimates that are as accurate as possible for the program study target as a whole, for each study period.  At the same time, the study should produce separate estimates for each BPAC.  It is recognized that the estimates for individual BPACs will not be as accurate as the estimate for the program study target as a whole.</w:t>
      </w:r>
    </w:p>
    <w:p w:rsidR="00D55570" w:rsidRPr="00730E2D" w:rsidRDefault="00D55570" w:rsidP="00730E2D">
      <w:pPr>
        <w:pStyle w:val="ListParagraph"/>
        <w:numPr>
          <w:ilvl w:val="0"/>
          <w:numId w:val="36"/>
        </w:numPr>
        <w:spacing w:after="120" w:line="240" w:lineRule="auto"/>
        <w:contextualSpacing w:val="0"/>
        <w:jc w:val="both"/>
        <w:rPr>
          <w:rFonts w:asciiTheme="minorHAnsi" w:hAnsiTheme="minorHAnsi"/>
        </w:rPr>
      </w:pPr>
      <w:r w:rsidRPr="00730E2D">
        <w:rPr>
          <w:rFonts w:asciiTheme="minorHAnsi" w:hAnsiTheme="minorHAnsi"/>
        </w:rPr>
        <w:t>A policy decision affecting methodology made by DOE from the outset is that this study will be based on detailed evaluation of a sample of individual PAs.    An alternative would be to apply a more generic assessment to all PAs.  However, DOE and its stakeholders have an interest in evaluations based on direct information from participants where relevant, along with information from program managers and affected market actors.  The costs of this approach limit the number of individual PAs that can be studied.</w:t>
      </w:r>
    </w:p>
    <w:p w:rsidR="00D55570" w:rsidRPr="00730E2D" w:rsidRDefault="00D55570" w:rsidP="00730E2D">
      <w:pPr>
        <w:spacing w:after="200"/>
        <w:jc w:val="both"/>
        <w:rPr>
          <w:rFonts w:asciiTheme="minorHAnsi" w:hAnsiTheme="minorHAnsi"/>
        </w:rPr>
      </w:pPr>
      <w:r w:rsidRPr="00730E2D">
        <w:rPr>
          <w:rFonts w:asciiTheme="minorHAnsi" w:hAnsiTheme="minorHAnsi"/>
        </w:rPr>
        <w:t xml:space="preserve">In developing the study plan, </w:t>
      </w:r>
      <w:r w:rsidR="003A7106" w:rsidRPr="00730E2D">
        <w:rPr>
          <w:rFonts w:asciiTheme="minorHAnsi" w:hAnsiTheme="minorHAnsi"/>
        </w:rPr>
        <w:t>DOE</w:t>
      </w:r>
      <w:r w:rsidRPr="00730E2D">
        <w:rPr>
          <w:rFonts w:asciiTheme="minorHAnsi" w:hAnsiTheme="minorHAnsi"/>
        </w:rPr>
        <w:t xml:space="preserve"> attempted initially to explore the optimal balance between sampling more PAs with smaller Stage 2 samples in each, versus selecting fewer PAs with larger Stage 2 samples in each.  However, there are substantial fixed costs associated with preparing evaluation methods for each BPAC.  There are substantial costs also for evaluating each PA at any level of rigor. These PA base costs include understanding the PA structure, actions, and data sources, and interviews with program managers and key market actors.   Moreover, for many Stage 1 sampling cells there are no Stage 2 participant samples.  Thus, the primary determinants of the Stage 1 sample sizes are the base costs for BPAC and PA-level assessment.  The Stage 2 participant sample sizes are set at levels that provide good accuracy for each PA.  As described further in Section </w:t>
      </w:r>
      <w:r w:rsidR="00906FF0" w:rsidRPr="00730E2D">
        <w:rPr>
          <w:rFonts w:asciiTheme="minorHAnsi" w:hAnsiTheme="minorHAnsi"/>
        </w:rPr>
        <w:t>B.2.3</w:t>
      </w:r>
      <w:r w:rsidRPr="00730E2D">
        <w:rPr>
          <w:rFonts w:asciiTheme="minorHAnsi" w:hAnsiTheme="minorHAnsi"/>
        </w:rPr>
        <w:t xml:space="preserve">, the Stage 2 participant samples are large enough that they contribute little uncertainty to the final results.  </w:t>
      </w:r>
    </w:p>
    <w:p w:rsidR="00D55570" w:rsidRPr="00730E2D" w:rsidRDefault="00D55570" w:rsidP="00730E2D">
      <w:pPr>
        <w:jc w:val="both"/>
        <w:rPr>
          <w:rFonts w:asciiTheme="minorHAnsi" w:hAnsiTheme="minorHAnsi"/>
        </w:rPr>
      </w:pPr>
      <w:r w:rsidRPr="00730E2D">
        <w:rPr>
          <w:rFonts w:asciiTheme="minorHAnsi" w:hAnsiTheme="minorHAnsi"/>
        </w:rPr>
        <w:t xml:space="preserve">The Stage 1 samples are as large as the study funding permits.  Section </w:t>
      </w:r>
      <w:r w:rsidR="00906FF0" w:rsidRPr="00730E2D">
        <w:rPr>
          <w:rFonts w:asciiTheme="minorHAnsi" w:hAnsiTheme="minorHAnsi"/>
        </w:rPr>
        <w:t xml:space="preserve">B.2.3 </w:t>
      </w:r>
      <w:r w:rsidR="00793286" w:rsidRPr="00730E2D">
        <w:rPr>
          <w:rFonts w:asciiTheme="minorHAnsi" w:hAnsiTheme="minorHAnsi"/>
        </w:rPr>
        <w:t xml:space="preserve">below </w:t>
      </w:r>
      <w:r w:rsidRPr="00730E2D">
        <w:rPr>
          <w:rFonts w:asciiTheme="minorHAnsi" w:hAnsiTheme="minorHAnsi"/>
        </w:rPr>
        <w:t>shows that these samples are expected to be large enough to provide meaningful results.  Specifically, the total number of PAs to be evaluated was set at 82, including 24 High-rigor</w:t>
      </w:r>
      <w:r w:rsidR="00236DC7" w:rsidRPr="00730E2D">
        <w:rPr>
          <w:rStyle w:val="FootnoteReference"/>
          <w:rFonts w:asciiTheme="minorHAnsi" w:hAnsiTheme="minorHAnsi"/>
        </w:rPr>
        <w:footnoteReference w:id="1"/>
      </w:r>
      <w:r w:rsidRPr="00730E2D">
        <w:rPr>
          <w:rFonts w:asciiTheme="minorHAnsi" w:hAnsiTheme="minorHAnsi"/>
        </w:rPr>
        <w:t xml:space="preserve"> and 58 Medium-High-rigor</w:t>
      </w:r>
      <w:r w:rsidR="00236DC7" w:rsidRPr="00730E2D">
        <w:rPr>
          <w:rStyle w:val="FootnoteReference"/>
          <w:rFonts w:asciiTheme="minorHAnsi" w:hAnsiTheme="minorHAnsi"/>
        </w:rPr>
        <w:footnoteReference w:id="2"/>
      </w:r>
      <w:r w:rsidRPr="00730E2D">
        <w:rPr>
          <w:rFonts w:asciiTheme="minorHAnsi" w:hAnsiTheme="minorHAnsi"/>
        </w:rPr>
        <w:t xml:space="preserve"> PAs, and a total sample size of 53 for PY2008 and 29 for ARRA.  These numbers were </w:t>
      </w:r>
      <w:r w:rsidRPr="00730E2D">
        <w:rPr>
          <w:rFonts w:asciiTheme="minorHAnsi" w:hAnsiTheme="minorHAnsi"/>
        </w:rPr>
        <w:lastRenderedPageBreak/>
        <w:t>determined based on an initial assessment of the distribution of funding by activity types, and the number of different types of evaluations that could be accommodated by the available budget.</w:t>
      </w:r>
    </w:p>
    <w:p w:rsidR="00D55570" w:rsidRPr="00730E2D" w:rsidRDefault="00D55570" w:rsidP="00730E2D">
      <w:pPr>
        <w:jc w:val="both"/>
        <w:rPr>
          <w:rFonts w:asciiTheme="minorHAnsi" w:hAnsiTheme="minorHAnsi"/>
        </w:rPr>
      </w:pPr>
    </w:p>
    <w:p w:rsidR="00D55570" w:rsidRPr="00730E2D" w:rsidRDefault="00D55570" w:rsidP="00730E2D">
      <w:pPr>
        <w:pStyle w:val="Heading3"/>
        <w:numPr>
          <w:ilvl w:val="0"/>
          <w:numId w:val="0"/>
        </w:numPr>
        <w:spacing w:after="120" w:line="240" w:lineRule="auto"/>
        <w:jc w:val="both"/>
        <w:rPr>
          <w:rFonts w:asciiTheme="minorHAnsi" w:hAnsiTheme="minorHAnsi"/>
          <w:sz w:val="24"/>
          <w:szCs w:val="24"/>
        </w:rPr>
      </w:pPr>
      <w:bookmarkStart w:id="7" w:name="_Toc295816843"/>
      <w:bookmarkStart w:id="8" w:name="_Toc297187473"/>
      <w:r w:rsidRPr="00730E2D">
        <w:rPr>
          <w:rFonts w:asciiTheme="minorHAnsi" w:hAnsiTheme="minorHAnsi"/>
          <w:sz w:val="24"/>
          <w:szCs w:val="24"/>
        </w:rPr>
        <w:t>Development of the Sampling Frame</w:t>
      </w:r>
      <w:bookmarkEnd w:id="7"/>
      <w:bookmarkEnd w:id="8"/>
    </w:p>
    <w:p w:rsidR="00D55570" w:rsidRPr="00730E2D" w:rsidRDefault="00D55570" w:rsidP="00730E2D">
      <w:pPr>
        <w:jc w:val="both"/>
        <w:rPr>
          <w:rFonts w:asciiTheme="minorHAnsi" w:hAnsiTheme="minorHAnsi"/>
        </w:rPr>
      </w:pPr>
      <w:r w:rsidRPr="00730E2D">
        <w:rPr>
          <w:rFonts w:asciiTheme="minorHAnsi" w:hAnsiTheme="minorHAnsi"/>
        </w:rPr>
        <w:t xml:space="preserve">The sampling frame for each study period (PY 2008 and ARRA) started as the largest BPAC-subcategory </w:t>
      </w:r>
      <w:r w:rsidR="003000BC" w:rsidRPr="00730E2D">
        <w:rPr>
          <w:rFonts w:asciiTheme="minorHAnsi" w:hAnsiTheme="minorHAnsi"/>
        </w:rPr>
        <w:t xml:space="preserve">strata (in terms of program budget), that together account for at least 80 percent of non-administrative budget. That is, DOE defined a minimum funding size threshold such that the strata above this size total greater than but close to 80 percent of the total program budget. All strata </w:t>
      </w:r>
      <w:r w:rsidR="00585285" w:rsidRPr="00730E2D">
        <w:rPr>
          <w:rFonts w:asciiTheme="minorHAnsi" w:hAnsiTheme="minorHAnsi"/>
        </w:rPr>
        <w:t xml:space="preserve">that represent more than 3% of the total SEP program budget </w:t>
      </w:r>
      <w:r w:rsidRPr="00730E2D">
        <w:rPr>
          <w:rFonts w:asciiTheme="minorHAnsi" w:hAnsiTheme="minorHAnsi"/>
        </w:rPr>
        <w:t xml:space="preserve">are included in the sampling frame.  </w:t>
      </w:r>
      <w:r w:rsidR="00585285" w:rsidRPr="00730E2D">
        <w:rPr>
          <w:rFonts w:asciiTheme="minorHAnsi" w:hAnsiTheme="minorHAnsi"/>
        </w:rPr>
        <w:t xml:space="preserve">These strata alone account for 77.6% of total PY 2008 funding and 83% of SEP ARRA period funding. </w:t>
      </w:r>
      <w:r w:rsidRPr="00730E2D">
        <w:rPr>
          <w:rFonts w:asciiTheme="minorHAnsi" w:hAnsiTheme="minorHAnsi"/>
        </w:rPr>
        <w:t xml:space="preserve">A few additional </w:t>
      </w:r>
      <w:r w:rsidR="00D77E44" w:rsidRPr="00730E2D">
        <w:rPr>
          <w:rFonts w:asciiTheme="minorHAnsi" w:hAnsiTheme="minorHAnsi"/>
        </w:rPr>
        <w:t>strata</w:t>
      </w:r>
      <w:r w:rsidRPr="00730E2D">
        <w:rPr>
          <w:rFonts w:asciiTheme="minorHAnsi" w:hAnsiTheme="minorHAnsi"/>
        </w:rPr>
        <w:t xml:space="preserve"> were then included for policy reasons despite being smaller than the size threshold</w:t>
      </w:r>
      <w:r w:rsidR="00585285" w:rsidRPr="00730E2D">
        <w:rPr>
          <w:rFonts w:asciiTheme="minorHAnsi" w:hAnsiTheme="minorHAnsi"/>
        </w:rPr>
        <w:t xml:space="preserve">.  These additions </w:t>
      </w:r>
      <w:r w:rsidR="001A51E1" w:rsidRPr="00730E2D">
        <w:rPr>
          <w:rFonts w:asciiTheme="minorHAnsi" w:hAnsiTheme="minorHAnsi"/>
        </w:rPr>
        <w:t>increase</w:t>
      </w:r>
      <w:r w:rsidR="00585285" w:rsidRPr="00730E2D">
        <w:rPr>
          <w:rFonts w:asciiTheme="minorHAnsi" w:hAnsiTheme="minorHAnsi"/>
        </w:rPr>
        <w:t xml:space="preserve"> </w:t>
      </w:r>
      <w:r w:rsidR="001A51E1" w:rsidRPr="00730E2D">
        <w:rPr>
          <w:rFonts w:asciiTheme="minorHAnsi" w:hAnsiTheme="minorHAnsi"/>
        </w:rPr>
        <w:t>the</w:t>
      </w:r>
      <w:r w:rsidR="00585285" w:rsidRPr="00730E2D">
        <w:rPr>
          <w:rFonts w:asciiTheme="minorHAnsi" w:hAnsiTheme="minorHAnsi"/>
        </w:rPr>
        <w:t xml:space="preserve"> final sample frame t</w:t>
      </w:r>
      <w:r w:rsidR="001A51E1" w:rsidRPr="00730E2D">
        <w:rPr>
          <w:rFonts w:asciiTheme="minorHAnsi" w:hAnsiTheme="minorHAnsi"/>
        </w:rPr>
        <w:t>o</w:t>
      </w:r>
      <w:r w:rsidR="00585285" w:rsidRPr="00730E2D">
        <w:rPr>
          <w:rFonts w:asciiTheme="minorHAnsi" w:hAnsiTheme="minorHAnsi"/>
        </w:rPr>
        <w:t xml:space="preserve"> represent 80.3% of total funding for PY 2008 and 86.4% of SEP ARRA funding</w:t>
      </w:r>
      <w:r w:rsidRPr="00730E2D">
        <w:rPr>
          <w:rFonts w:asciiTheme="minorHAnsi" w:hAnsiTheme="minorHAnsi"/>
        </w:rPr>
        <w:t xml:space="preserve">.  The included </w:t>
      </w:r>
      <w:r w:rsidR="00D77E44" w:rsidRPr="00730E2D">
        <w:rPr>
          <w:rFonts w:asciiTheme="minorHAnsi" w:hAnsiTheme="minorHAnsi"/>
        </w:rPr>
        <w:t xml:space="preserve">strata </w:t>
      </w:r>
      <w:r w:rsidRPr="00730E2D">
        <w:rPr>
          <w:rFonts w:asciiTheme="minorHAnsi" w:hAnsiTheme="minorHAnsi"/>
        </w:rPr>
        <w:t xml:space="preserve">define the population that will be represented </w:t>
      </w:r>
      <w:r w:rsidR="00D77E44" w:rsidRPr="00730E2D">
        <w:rPr>
          <w:rFonts w:asciiTheme="minorHAnsi" w:hAnsiTheme="minorHAnsi"/>
        </w:rPr>
        <w:t>for each study period</w:t>
      </w:r>
      <w:r w:rsidR="003000BC" w:rsidRPr="00730E2D">
        <w:rPr>
          <w:rFonts w:asciiTheme="minorHAnsi" w:hAnsiTheme="minorHAnsi"/>
        </w:rPr>
        <w:t>.  DOE refers to this population as the study universe</w:t>
      </w:r>
      <w:r w:rsidR="00F508D7">
        <w:rPr>
          <w:rFonts w:asciiTheme="minorHAnsi" w:hAnsiTheme="minorHAnsi"/>
        </w:rPr>
        <w:t>. Within that universe the strata below the 3% funding threshold are as follows</w:t>
      </w:r>
      <w:r w:rsidR="003000BC" w:rsidRPr="00730E2D">
        <w:rPr>
          <w:rFonts w:asciiTheme="minorHAnsi" w:hAnsiTheme="minorHAnsi"/>
        </w:rPr>
        <w:t>.</w:t>
      </w:r>
    </w:p>
    <w:p w:rsidR="00F508D7" w:rsidRPr="00730E2D" w:rsidRDefault="00F508D7" w:rsidP="00730E2D">
      <w:pPr>
        <w:jc w:val="both"/>
        <w:rPr>
          <w:rFonts w:asciiTheme="minorHAnsi" w:hAnsiTheme="minorHAnsi"/>
        </w:rPr>
      </w:pPr>
    </w:p>
    <w:p w:rsidR="00585285" w:rsidRPr="00730E2D" w:rsidRDefault="00585285" w:rsidP="00730E2D">
      <w:pPr>
        <w:ind w:left="360"/>
        <w:jc w:val="both"/>
        <w:rPr>
          <w:rFonts w:asciiTheme="minorHAnsi" w:hAnsiTheme="minorHAnsi"/>
          <w:b/>
          <w:u w:val="single"/>
        </w:rPr>
      </w:pPr>
      <w:r w:rsidRPr="00730E2D">
        <w:rPr>
          <w:rFonts w:asciiTheme="minorHAnsi" w:hAnsiTheme="minorHAnsi"/>
          <w:b/>
          <w:u w:val="single"/>
        </w:rPr>
        <w:t>PY 2008 (2.7% of total funding)</w:t>
      </w:r>
    </w:p>
    <w:p w:rsidR="00585285" w:rsidRPr="00730E2D" w:rsidRDefault="00585285" w:rsidP="00730E2D">
      <w:pPr>
        <w:pStyle w:val="ListParagraph"/>
        <w:numPr>
          <w:ilvl w:val="0"/>
          <w:numId w:val="61"/>
        </w:numPr>
        <w:spacing w:after="0" w:line="240" w:lineRule="auto"/>
        <w:ind w:left="1080"/>
        <w:jc w:val="both"/>
        <w:rPr>
          <w:rFonts w:asciiTheme="minorHAnsi" w:hAnsiTheme="minorHAnsi"/>
          <w:sz w:val="24"/>
          <w:szCs w:val="24"/>
        </w:rPr>
      </w:pPr>
      <w:r w:rsidRPr="00730E2D">
        <w:rPr>
          <w:rFonts w:asciiTheme="minorHAnsi" w:hAnsiTheme="minorHAnsi"/>
          <w:sz w:val="24"/>
          <w:szCs w:val="24"/>
        </w:rPr>
        <w:t>Building Codes and Standards – Development and Support; Targeted Training</w:t>
      </w:r>
    </w:p>
    <w:p w:rsidR="00585285" w:rsidRPr="00730E2D" w:rsidRDefault="00585285" w:rsidP="00730E2D">
      <w:pPr>
        <w:pStyle w:val="ListParagraph"/>
        <w:numPr>
          <w:ilvl w:val="0"/>
          <w:numId w:val="61"/>
        </w:numPr>
        <w:spacing w:after="0" w:line="240" w:lineRule="auto"/>
        <w:ind w:left="1080"/>
        <w:jc w:val="both"/>
        <w:rPr>
          <w:rFonts w:asciiTheme="minorHAnsi" w:hAnsiTheme="minorHAnsi"/>
          <w:sz w:val="24"/>
          <w:szCs w:val="24"/>
        </w:rPr>
      </w:pPr>
      <w:r w:rsidRPr="00730E2D">
        <w:rPr>
          <w:rFonts w:asciiTheme="minorHAnsi" w:hAnsiTheme="minorHAnsi"/>
          <w:sz w:val="24"/>
          <w:szCs w:val="24"/>
        </w:rPr>
        <w:t>Loans Grants and Incentives – Generalized Workshops</w:t>
      </w:r>
    </w:p>
    <w:p w:rsidR="00585285" w:rsidRPr="00730E2D" w:rsidRDefault="00585285" w:rsidP="00730E2D">
      <w:pPr>
        <w:pStyle w:val="ListParagraph"/>
        <w:numPr>
          <w:ilvl w:val="0"/>
          <w:numId w:val="61"/>
        </w:numPr>
        <w:spacing w:after="0" w:line="240" w:lineRule="auto"/>
        <w:ind w:left="1080"/>
        <w:jc w:val="both"/>
        <w:rPr>
          <w:rFonts w:asciiTheme="minorHAnsi" w:hAnsiTheme="minorHAnsi"/>
          <w:sz w:val="24"/>
          <w:szCs w:val="24"/>
        </w:rPr>
      </w:pPr>
      <w:r w:rsidRPr="00730E2D">
        <w:rPr>
          <w:rFonts w:asciiTheme="minorHAnsi" w:hAnsiTheme="minorHAnsi"/>
          <w:sz w:val="24"/>
          <w:szCs w:val="24"/>
        </w:rPr>
        <w:t>Technical Assistance – Generalized Workshops; Targeted Training</w:t>
      </w:r>
    </w:p>
    <w:p w:rsidR="00585285" w:rsidRPr="00730E2D" w:rsidRDefault="00585285" w:rsidP="00730E2D">
      <w:pPr>
        <w:ind w:left="360"/>
        <w:jc w:val="both"/>
        <w:rPr>
          <w:rFonts w:asciiTheme="minorHAnsi" w:hAnsiTheme="minorHAnsi"/>
        </w:rPr>
      </w:pPr>
    </w:p>
    <w:p w:rsidR="00585285" w:rsidRPr="00730E2D" w:rsidRDefault="00585285" w:rsidP="00730E2D">
      <w:pPr>
        <w:ind w:left="360"/>
        <w:jc w:val="both"/>
        <w:rPr>
          <w:rFonts w:asciiTheme="minorHAnsi" w:hAnsiTheme="minorHAnsi"/>
          <w:b/>
          <w:u w:val="single"/>
        </w:rPr>
      </w:pPr>
      <w:r w:rsidRPr="00730E2D">
        <w:rPr>
          <w:rFonts w:asciiTheme="minorHAnsi" w:hAnsiTheme="minorHAnsi"/>
          <w:b/>
          <w:u w:val="single"/>
        </w:rPr>
        <w:t>ARRA Period (3.4% of Total Funding)</w:t>
      </w:r>
    </w:p>
    <w:p w:rsidR="00585285" w:rsidRPr="00730E2D" w:rsidRDefault="00585285" w:rsidP="00730E2D">
      <w:pPr>
        <w:pStyle w:val="ListParagraph"/>
        <w:numPr>
          <w:ilvl w:val="0"/>
          <w:numId w:val="62"/>
        </w:numPr>
        <w:spacing w:after="0" w:line="240" w:lineRule="auto"/>
        <w:ind w:left="1080"/>
        <w:jc w:val="both"/>
        <w:rPr>
          <w:rFonts w:asciiTheme="minorHAnsi" w:hAnsiTheme="minorHAnsi"/>
          <w:sz w:val="24"/>
          <w:szCs w:val="24"/>
        </w:rPr>
      </w:pPr>
      <w:r w:rsidRPr="00730E2D">
        <w:rPr>
          <w:rFonts w:asciiTheme="minorHAnsi" w:hAnsiTheme="minorHAnsi"/>
          <w:sz w:val="24"/>
          <w:szCs w:val="24"/>
        </w:rPr>
        <w:t>Building Codes and Standards – Codes; Generalized Workshops, Targeted Training</w:t>
      </w:r>
    </w:p>
    <w:p w:rsidR="00585285" w:rsidRPr="00730E2D" w:rsidRDefault="00585285" w:rsidP="00730E2D">
      <w:pPr>
        <w:pStyle w:val="ListParagraph"/>
        <w:numPr>
          <w:ilvl w:val="0"/>
          <w:numId w:val="62"/>
        </w:numPr>
        <w:spacing w:after="0" w:line="240" w:lineRule="auto"/>
        <w:ind w:left="1080"/>
        <w:jc w:val="both"/>
        <w:rPr>
          <w:rFonts w:asciiTheme="minorHAnsi" w:hAnsiTheme="minorHAnsi"/>
          <w:sz w:val="24"/>
          <w:szCs w:val="24"/>
        </w:rPr>
      </w:pPr>
      <w:r w:rsidRPr="00730E2D">
        <w:rPr>
          <w:rFonts w:asciiTheme="minorHAnsi" w:hAnsiTheme="minorHAnsi"/>
          <w:sz w:val="24"/>
          <w:szCs w:val="24"/>
        </w:rPr>
        <w:t>Building Retrofits - Generalized Workshops; Targeted Training</w:t>
      </w:r>
    </w:p>
    <w:p w:rsidR="00585285" w:rsidRPr="00730E2D" w:rsidRDefault="00585285" w:rsidP="00730E2D">
      <w:pPr>
        <w:pStyle w:val="ListParagraph"/>
        <w:numPr>
          <w:ilvl w:val="0"/>
          <w:numId w:val="62"/>
        </w:numPr>
        <w:spacing w:after="0" w:line="240" w:lineRule="auto"/>
        <w:ind w:left="1080"/>
        <w:jc w:val="both"/>
        <w:rPr>
          <w:rFonts w:asciiTheme="minorHAnsi" w:hAnsiTheme="minorHAnsi"/>
          <w:sz w:val="24"/>
          <w:szCs w:val="24"/>
        </w:rPr>
      </w:pPr>
      <w:r w:rsidRPr="00730E2D">
        <w:rPr>
          <w:rFonts w:asciiTheme="minorHAnsi" w:hAnsiTheme="minorHAnsi"/>
          <w:sz w:val="24"/>
          <w:szCs w:val="24"/>
        </w:rPr>
        <w:t>Loans Grants and Incentives – Generalized Workshops; Targeted Training</w:t>
      </w:r>
    </w:p>
    <w:p w:rsidR="00585285" w:rsidRPr="00730E2D" w:rsidRDefault="00585285" w:rsidP="00730E2D">
      <w:pPr>
        <w:jc w:val="both"/>
        <w:rPr>
          <w:rFonts w:asciiTheme="minorHAnsi" w:hAnsiTheme="minorHAnsi"/>
        </w:rPr>
      </w:pPr>
    </w:p>
    <w:p w:rsidR="00D55570" w:rsidRPr="00730E2D" w:rsidRDefault="00A00539" w:rsidP="00730E2D">
      <w:pPr>
        <w:pStyle w:val="Heading4"/>
        <w:numPr>
          <w:ilvl w:val="0"/>
          <w:numId w:val="0"/>
        </w:numPr>
        <w:spacing w:line="240" w:lineRule="auto"/>
        <w:jc w:val="both"/>
        <w:rPr>
          <w:rFonts w:asciiTheme="minorHAnsi" w:hAnsiTheme="minorHAnsi"/>
          <w:sz w:val="24"/>
          <w:szCs w:val="24"/>
        </w:rPr>
      </w:pPr>
      <w:bookmarkStart w:id="9" w:name="_Toc295816844"/>
      <w:bookmarkStart w:id="10" w:name="_Toc297187474"/>
      <w:r w:rsidRPr="00730E2D">
        <w:rPr>
          <w:rFonts w:asciiTheme="minorHAnsi" w:hAnsiTheme="minorHAnsi"/>
          <w:sz w:val="24"/>
          <w:szCs w:val="24"/>
        </w:rPr>
        <w:t>Rigor Level</w:t>
      </w:r>
      <w:bookmarkEnd w:id="9"/>
      <w:bookmarkEnd w:id="10"/>
      <w:r w:rsidRPr="00730E2D">
        <w:rPr>
          <w:rFonts w:asciiTheme="minorHAnsi" w:hAnsiTheme="minorHAnsi"/>
          <w:sz w:val="24"/>
          <w:szCs w:val="24"/>
        </w:rPr>
        <w:t xml:space="preserve"> </w:t>
      </w:r>
    </w:p>
    <w:p w:rsidR="00D55570" w:rsidRPr="00730E2D" w:rsidRDefault="00D55570" w:rsidP="00730E2D">
      <w:pPr>
        <w:jc w:val="both"/>
        <w:rPr>
          <w:rFonts w:asciiTheme="minorHAnsi" w:hAnsiTheme="minorHAnsi"/>
        </w:rPr>
      </w:pPr>
      <w:r w:rsidRPr="00730E2D">
        <w:rPr>
          <w:rFonts w:asciiTheme="minorHAnsi" w:hAnsiTheme="minorHAnsi"/>
        </w:rPr>
        <w:t xml:space="preserve">After reviewing the activities in the course of the classification process </w:t>
      </w:r>
      <w:r w:rsidR="003A7106" w:rsidRPr="00730E2D">
        <w:rPr>
          <w:rFonts w:asciiTheme="minorHAnsi" w:hAnsiTheme="minorHAnsi"/>
        </w:rPr>
        <w:t>DOE</w:t>
      </w:r>
      <w:r w:rsidRPr="00730E2D">
        <w:rPr>
          <w:rFonts w:asciiTheme="minorHAnsi" w:hAnsiTheme="minorHAnsi"/>
        </w:rPr>
        <w:t xml:space="preserve"> determined that High-rigor evaluations would be meaningful only for evaluation of building retrofit activities.  These activities fall into two BPACS: (1) Building Retrofit and (2) Loans, Grants and Incentives.  Under each of these 2 BPACS, there are Residential and Nonresidential building retrofit subcategories, for a total of 4 BPAC-subcategory cells.  These 4 cells are assigned to High rigor evaluation.  All other cells are assigned Medium-High rigor.</w:t>
      </w:r>
    </w:p>
    <w:p w:rsidR="00D55570" w:rsidRPr="00730E2D" w:rsidRDefault="00D55570" w:rsidP="00730E2D">
      <w:pPr>
        <w:jc w:val="both"/>
        <w:rPr>
          <w:rFonts w:asciiTheme="minorHAnsi" w:hAnsiTheme="minorHAnsi"/>
        </w:rPr>
      </w:pPr>
    </w:p>
    <w:p w:rsidR="00D55570" w:rsidRPr="00730E2D" w:rsidRDefault="00A00539" w:rsidP="00730E2D">
      <w:pPr>
        <w:pStyle w:val="Heading4"/>
        <w:numPr>
          <w:ilvl w:val="0"/>
          <w:numId w:val="0"/>
        </w:numPr>
        <w:spacing w:line="240" w:lineRule="auto"/>
        <w:jc w:val="both"/>
        <w:rPr>
          <w:rFonts w:asciiTheme="minorHAnsi" w:hAnsiTheme="minorHAnsi"/>
          <w:sz w:val="24"/>
          <w:szCs w:val="24"/>
        </w:rPr>
      </w:pPr>
      <w:r w:rsidRPr="00730E2D">
        <w:rPr>
          <w:rFonts w:asciiTheme="minorHAnsi" w:hAnsiTheme="minorHAnsi"/>
          <w:sz w:val="24"/>
          <w:szCs w:val="24"/>
        </w:rPr>
        <w:lastRenderedPageBreak/>
        <w:t>Evaluability</w:t>
      </w:r>
    </w:p>
    <w:p w:rsidR="00A26DBC" w:rsidRPr="00730E2D" w:rsidRDefault="00D55570" w:rsidP="00730E2D">
      <w:pPr>
        <w:pStyle w:val="ParaText"/>
        <w:spacing w:line="240" w:lineRule="auto"/>
        <w:jc w:val="both"/>
        <w:rPr>
          <w:rFonts w:asciiTheme="minorHAnsi" w:hAnsiTheme="minorHAnsi"/>
          <w:sz w:val="24"/>
          <w:szCs w:val="24"/>
        </w:rPr>
      </w:pPr>
      <w:r w:rsidRPr="00730E2D">
        <w:rPr>
          <w:rFonts w:asciiTheme="minorHAnsi" w:hAnsiTheme="minorHAnsi"/>
          <w:sz w:val="24"/>
          <w:szCs w:val="24"/>
        </w:rPr>
        <w:t xml:space="preserve">Each PA was assigned an evaluability score indicating the chance of successfully completing an evaluation at the targeted rigor if </w:t>
      </w:r>
      <w:r w:rsidR="003A7106" w:rsidRPr="00730E2D">
        <w:rPr>
          <w:rFonts w:asciiTheme="minorHAnsi" w:hAnsiTheme="minorHAnsi"/>
          <w:sz w:val="24"/>
          <w:szCs w:val="24"/>
        </w:rPr>
        <w:t>DOE</w:t>
      </w:r>
      <w:r w:rsidRPr="00730E2D">
        <w:rPr>
          <w:rFonts w:asciiTheme="minorHAnsi" w:hAnsiTheme="minorHAnsi"/>
          <w:sz w:val="24"/>
          <w:szCs w:val="24"/>
        </w:rPr>
        <w:t xml:space="preserve"> select</w:t>
      </w:r>
      <w:r w:rsidR="003A7106" w:rsidRPr="00730E2D">
        <w:rPr>
          <w:rFonts w:asciiTheme="minorHAnsi" w:hAnsiTheme="minorHAnsi"/>
          <w:sz w:val="24"/>
          <w:szCs w:val="24"/>
        </w:rPr>
        <w:t>s</w:t>
      </w:r>
      <w:r w:rsidRPr="00730E2D">
        <w:rPr>
          <w:rFonts w:asciiTheme="minorHAnsi" w:hAnsiTheme="minorHAnsi"/>
          <w:sz w:val="24"/>
          <w:szCs w:val="24"/>
        </w:rPr>
        <w:t xml:space="preserve"> that PA.</w:t>
      </w:r>
      <w:r w:rsidR="00A26DBC" w:rsidRPr="00730E2D">
        <w:rPr>
          <w:rFonts w:asciiTheme="minorHAnsi" w:hAnsiTheme="minorHAnsi"/>
          <w:sz w:val="24"/>
          <w:szCs w:val="24"/>
        </w:rPr>
        <w:t xml:space="preserve">  Evaluability scores were based on the following criteria:</w:t>
      </w:r>
    </w:p>
    <w:p w:rsidR="00A26DBC" w:rsidRPr="00730E2D" w:rsidRDefault="00A26DBC" w:rsidP="00730E2D">
      <w:pPr>
        <w:pStyle w:val="ParaText"/>
        <w:numPr>
          <w:ilvl w:val="5"/>
          <w:numId w:val="56"/>
        </w:numPr>
        <w:tabs>
          <w:tab w:val="clear" w:pos="4320"/>
        </w:tabs>
        <w:spacing w:line="240" w:lineRule="auto"/>
        <w:ind w:left="1080" w:hanging="360"/>
        <w:jc w:val="both"/>
        <w:rPr>
          <w:rFonts w:asciiTheme="minorHAnsi" w:hAnsiTheme="minorHAnsi"/>
        </w:rPr>
      </w:pPr>
      <w:r w:rsidRPr="00730E2D">
        <w:rPr>
          <w:rFonts w:asciiTheme="minorHAnsi" w:hAnsiTheme="minorHAnsi"/>
          <w:i/>
        </w:rPr>
        <w:t>Match of actual program operations to the BPAC definition.</w:t>
      </w:r>
      <w:r w:rsidR="00BF5C15" w:rsidRPr="00730E2D">
        <w:rPr>
          <w:rFonts w:asciiTheme="minorHAnsi" w:hAnsiTheme="minorHAnsi"/>
        </w:rPr>
        <w:t xml:space="preserve"> T</w:t>
      </w:r>
      <w:r w:rsidRPr="00730E2D">
        <w:rPr>
          <w:rFonts w:asciiTheme="minorHAnsi" w:hAnsiTheme="minorHAnsi"/>
        </w:rPr>
        <w:t xml:space="preserve">he </w:t>
      </w:r>
      <w:r w:rsidR="003A7106" w:rsidRPr="00730E2D">
        <w:rPr>
          <w:rFonts w:asciiTheme="minorHAnsi" w:hAnsiTheme="minorHAnsi"/>
        </w:rPr>
        <w:t>DOE</w:t>
      </w:r>
      <w:r w:rsidRPr="00730E2D">
        <w:rPr>
          <w:rFonts w:asciiTheme="minorHAnsi" w:hAnsiTheme="minorHAnsi"/>
        </w:rPr>
        <w:t xml:space="preserve"> team developed detailed working definitions for each BPAC. If, upon selection and detailed review of activities, </w:t>
      </w:r>
      <w:r w:rsidR="003A7106" w:rsidRPr="00730E2D">
        <w:rPr>
          <w:rFonts w:asciiTheme="minorHAnsi" w:hAnsiTheme="minorHAnsi"/>
        </w:rPr>
        <w:t>DOE</w:t>
      </w:r>
      <w:r w:rsidRPr="00730E2D">
        <w:rPr>
          <w:rFonts w:asciiTheme="minorHAnsi" w:hAnsiTheme="minorHAnsi"/>
        </w:rPr>
        <w:t xml:space="preserve"> </w:t>
      </w:r>
      <w:r w:rsidR="00BF5C15" w:rsidRPr="00730E2D">
        <w:rPr>
          <w:rFonts w:asciiTheme="minorHAnsi" w:hAnsiTheme="minorHAnsi"/>
        </w:rPr>
        <w:t>found</w:t>
      </w:r>
      <w:r w:rsidRPr="00730E2D">
        <w:rPr>
          <w:rFonts w:asciiTheme="minorHAnsi" w:hAnsiTheme="minorHAnsi"/>
        </w:rPr>
        <w:t xml:space="preserve"> that a PA </w:t>
      </w:r>
      <w:r w:rsidR="00BF5C15" w:rsidRPr="00730E2D">
        <w:rPr>
          <w:rFonts w:asciiTheme="minorHAnsi" w:hAnsiTheme="minorHAnsi"/>
        </w:rPr>
        <w:t>had been misclassified, it was</w:t>
      </w:r>
      <w:r w:rsidRPr="00730E2D">
        <w:rPr>
          <w:rFonts w:asciiTheme="minorHAnsi" w:hAnsiTheme="minorHAnsi"/>
        </w:rPr>
        <w:t xml:space="preserve"> evaluated consistent with its actual activity.  Its expansion weight </w:t>
      </w:r>
      <w:r w:rsidR="00BF5C15" w:rsidRPr="00730E2D">
        <w:rPr>
          <w:rFonts w:asciiTheme="minorHAnsi" w:hAnsiTheme="minorHAnsi"/>
        </w:rPr>
        <w:t>was</w:t>
      </w:r>
      <w:r w:rsidRPr="00730E2D">
        <w:rPr>
          <w:rFonts w:asciiTheme="minorHAnsi" w:hAnsiTheme="minorHAnsi"/>
        </w:rPr>
        <w:t xml:space="preserve"> based on the BPAC it was selected from.</w:t>
      </w:r>
    </w:p>
    <w:p w:rsidR="00A26DBC" w:rsidRPr="00730E2D" w:rsidRDefault="00A26DBC" w:rsidP="00730E2D">
      <w:pPr>
        <w:pStyle w:val="ParaText"/>
        <w:numPr>
          <w:ilvl w:val="5"/>
          <w:numId w:val="56"/>
        </w:numPr>
        <w:tabs>
          <w:tab w:val="clear" w:pos="4320"/>
        </w:tabs>
        <w:spacing w:line="240" w:lineRule="auto"/>
        <w:ind w:left="1080" w:hanging="360"/>
        <w:jc w:val="both"/>
        <w:rPr>
          <w:rFonts w:asciiTheme="minorHAnsi" w:hAnsiTheme="minorHAnsi"/>
        </w:rPr>
      </w:pPr>
      <w:r w:rsidRPr="00730E2D">
        <w:rPr>
          <w:rFonts w:asciiTheme="minorHAnsi" w:hAnsiTheme="minorHAnsi"/>
          <w:i/>
        </w:rPr>
        <w:t>Progress in implementation.</w:t>
      </w:r>
      <w:r w:rsidRPr="00730E2D">
        <w:rPr>
          <w:rFonts w:asciiTheme="minorHAnsi" w:hAnsiTheme="minorHAnsi"/>
        </w:rPr>
        <w:t xml:space="preserve">  In order to carry out high or medium-high rigo</w:t>
      </w:r>
      <w:r w:rsidR="00BF5C15" w:rsidRPr="00730E2D">
        <w:rPr>
          <w:rFonts w:asciiTheme="minorHAnsi" w:hAnsiTheme="minorHAnsi"/>
        </w:rPr>
        <w:t>r evaluations, the program needed</w:t>
      </w:r>
      <w:r w:rsidRPr="00730E2D">
        <w:rPr>
          <w:rFonts w:asciiTheme="minorHAnsi" w:hAnsiTheme="minorHAnsi"/>
        </w:rPr>
        <w:t xml:space="preserve"> to have resulted in a sufficient number of the targeted actions, such as completion of retrofit projects or installations of renewable energy equipment, for a sample to be d</w:t>
      </w:r>
      <w:r w:rsidR="00BF5C15" w:rsidRPr="00730E2D">
        <w:rPr>
          <w:rFonts w:asciiTheme="minorHAnsi" w:hAnsiTheme="minorHAnsi"/>
        </w:rPr>
        <w:t>rawn and tested</w:t>
      </w:r>
      <w:r w:rsidRPr="00730E2D">
        <w:rPr>
          <w:rFonts w:asciiTheme="minorHAnsi" w:hAnsiTheme="minorHAnsi"/>
        </w:rPr>
        <w:t>.</w:t>
      </w:r>
      <w:r w:rsidR="00555B2A" w:rsidRPr="00730E2D">
        <w:rPr>
          <w:rFonts w:asciiTheme="minorHAnsi" w:hAnsiTheme="minorHAnsi"/>
        </w:rPr>
        <w:t xml:space="preserve">  Prior to planning an evaluation of any sampled PA, DOE has established criteria to assess evaluability and the status of program or project completion will be assessed at that time.  This would only apply to the 29 sampled ARRA-funded PAs (not the 53 PA from 2008) for which current and valid reporting guidance and progress tracking mechanisms exist to ensure accuracy of the program's or project's status.  At this time, all funding has been obligated under ARRA and program or project completion will be considered as one of many variables </w:t>
      </w:r>
      <w:r w:rsidR="00C403C2">
        <w:rPr>
          <w:rFonts w:asciiTheme="minorHAnsi" w:hAnsiTheme="minorHAnsi"/>
        </w:rPr>
        <w:t>in</w:t>
      </w:r>
      <w:r w:rsidR="00C403C2" w:rsidRPr="00730E2D">
        <w:rPr>
          <w:rFonts w:asciiTheme="minorHAnsi" w:hAnsiTheme="minorHAnsi"/>
        </w:rPr>
        <w:t xml:space="preserve"> </w:t>
      </w:r>
      <w:r w:rsidR="00555B2A" w:rsidRPr="00730E2D">
        <w:rPr>
          <w:rFonts w:asciiTheme="minorHAnsi" w:hAnsiTheme="minorHAnsi"/>
        </w:rPr>
        <w:t>the evaluability assessment.</w:t>
      </w:r>
    </w:p>
    <w:p w:rsidR="00A26DBC" w:rsidRPr="00730E2D" w:rsidRDefault="00A26DBC" w:rsidP="00730E2D">
      <w:pPr>
        <w:pStyle w:val="ParaText"/>
        <w:numPr>
          <w:ilvl w:val="5"/>
          <w:numId w:val="56"/>
        </w:numPr>
        <w:tabs>
          <w:tab w:val="clear" w:pos="4320"/>
        </w:tabs>
        <w:spacing w:line="240" w:lineRule="auto"/>
        <w:ind w:left="1080" w:hanging="360"/>
        <w:jc w:val="both"/>
        <w:rPr>
          <w:rFonts w:asciiTheme="minorHAnsi" w:hAnsiTheme="minorHAnsi"/>
        </w:rPr>
      </w:pPr>
      <w:r w:rsidRPr="00730E2D">
        <w:rPr>
          <w:rFonts w:asciiTheme="minorHAnsi" w:hAnsiTheme="minorHAnsi"/>
          <w:i/>
        </w:rPr>
        <w:t>Quality and availability of program records.</w:t>
      </w:r>
      <w:r w:rsidRPr="00730E2D">
        <w:rPr>
          <w:rFonts w:asciiTheme="minorHAnsi" w:hAnsiTheme="minorHAnsi"/>
        </w:rPr>
        <w:t xml:space="preserve"> For high and medium high rigor evaluations, it will be necessary to contact participants in the program.  In most cases </w:t>
      </w:r>
      <w:r w:rsidR="003A7106" w:rsidRPr="00730E2D">
        <w:rPr>
          <w:rFonts w:asciiTheme="minorHAnsi" w:hAnsiTheme="minorHAnsi"/>
        </w:rPr>
        <w:t>DOE</w:t>
      </w:r>
      <w:r w:rsidRPr="00730E2D">
        <w:rPr>
          <w:rFonts w:asciiTheme="minorHAnsi" w:hAnsiTheme="minorHAnsi"/>
        </w:rPr>
        <w:t xml:space="preserve"> will need to be able to characterize the services that participants received from the program at the individual level.  If such records </w:t>
      </w:r>
      <w:r w:rsidR="00BF5C15" w:rsidRPr="00730E2D">
        <w:rPr>
          <w:rFonts w:asciiTheme="minorHAnsi" w:hAnsiTheme="minorHAnsi"/>
        </w:rPr>
        <w:t>were</w:t>
      </w:r>
      <w:r w:rsidRPr="00730E2D">
        <w:rPr>
          <w:rFonts w:asciiTheme="minorHAnsi" w:hAnsiTheme="minorHAnsi"/>
        </w:rPr>
        <w:t xml:space="preserve"> not available at the time of PA selection and </w:t>
      </w:r>
      <w:r w:rsidR="00BF5C15" w:rsidRPr="00730E2D">
        <w:rPr>
          <w:rFonts w:asciiTheme="minorHAnsi" w:hAnsiTheme="minorHAnsi"/>
        </w:rPr>
        <w:t>could not</w:t>
      </w:r>
      <w:r w:rsidRPr="00730E2D">
        <w:rPr>
          <w:rFonts w:asciiTheme="minorHAnsi" w:hAnsiTheme="minorHAnsi"/>
        </w:rPr>
        <w:t xml:space="preserve">, in the evaluator’s judgment, be reconstructed within schedule and budget constraints, then the PA </w:t>
      </w:r>
      <w:r w:rsidR="00BF5C15" w:rsidRPr="00730E2D">
        <w:rPr>
          <w:rFonts w:asciiTheme="minorHAnsi" w:hAnsiTheme="minorHAnsi"/>
        </w:rPr>
        <w:t>was</w:t>
      </w:r>
      <w:r w:rsidRPr="00730E2D">
        <w:rPr>
          <w:rFonts w:asciiTheme="minorHAnsi" w:hAnsiTheme="minorHAnsi"/>
        </w:rPr>
        <w:t xml:space="preserve"> dropped from the sample and a substitute selected</w:t>
      </w:r>
      <w:r w:rsidR="00BF5C15" w:rsidRPr="00730E2D">
        <w:rPr>
          <w:rFonts w:asciiTheme="minorHAnsi" w:hAnsiTheme="minorHAnsi"/>
        </w:rPr>
        <w:t>.</w:t>
      </w:r>
    </w:p>
    <w:p w:rsidR="004B0D22" w:rsidRPr="00730E2D" w:rsidRDefault="00EF4B5D" w:rsidP="00730E2D">
      <w:pPr>
        <w:jc w:val="both"/>
        <w:rPr>
          <w:rFonts w:asciiTheme="minorHAnsi" w:hAnsiTheme="minorHAnsi"/>
        </w:rPr>
      </w:pPr>
      <w:r>
        <w:rPr>
          <w:rFonts w:asciiTheme="minorHAnsi" w:hAnsiTheme="minorHAnsi"/>
        </w:rPr>
        <w:t xml:space="preserve">While excluding a small number of eligible PAs potentially biases the results, the number of PAs and funding proportions they represent would be very small.  </w:t>
      </w:r>
      <w:r w:rsidRPr="00730E2D">
        <w:rPr>
          <w:rFonts w:asciiTheme="minorHAnsi" w:hAnsiTheme="minorHAnsi"/>
        </w:rPr>
        <w:t>Only 23</w:t>
      </w:r>
      <w:r>
        <w:rPr>
          <w:rFonts w:asciiTheme="minorHAnsi" w:hAnsiTheme="minorHAnsi"/>
        </w:rPr>
        <w:t xml:space="preserve"> </w:t>
      </w:r>
      <w:r w:rsidRPr="00730E2D">
        <w:rPr>
          <w:rFonts w:asciiTheme="minorHAnsi" w:hAnsiTheme="minorHAnsi"/>
        </w:rPr>
        <w:t>PAs were removed from the sample frame for this reason; 14 from PY2008 (5.2% of total budget) and 9 from the ARRA period (0.6% of total budget)</w:t>
      </w:r>
      <w:r>
        <w:rPr>
          <w:rFonts w:asciiTheme="minorHAnsi" w:hAnsiTheme="minorHAnsi"/>
        </w:rPr>
        <w:t xml:space="preserve"> and these were excluded from the State 1 sample frame</w:t>
      </w:r>
      <w:r w:rsidRPr="00730E2D">
        <w:rPr>
          <w:rFonts w:asciiTheme="minorHAnsi" w:hAnsiTheme="minorHAnsi"/>
        </w:rPr>
        <w:t xml:space="preserve">. </w:t>
      </w:r>
      <w:r>
        <w:rPr>
          <w:rFonts w:asciiTheme="minorHAnsi" w:hAnsiTheme="minorHAnsi"/>
        </w:rPr>
        <w:t xml:space="preserve"> It is important to note that these e</w:t>
      </w:r>
      <w:r w:rsidR="008801B4" w:rsidRPr="00730E2D">
        <w:rPr>
          <w:rFonts w:asciiTheme="minorHAnsi" w:hAnsiTheme="minorHAnsi"/>
        </w:rPr>
        <w:t xml:space="preserve">ligible </w:t>
      </w:r>
      <w:r w:rsidR="00D55570" w:rsidRPr="00730E2D">
        <w:rPr>
          <w:rFonts w:asciiTheme="minorHAnsi" w:hAnsiTheme="minorHAnsi"/>
        </w:rPr>
        <w:t>PAs</w:t>
      </w:r>
      <w:r>
        <w:rPr>
          <w:rFonts w:asciiTheme="minorHAnsi" w:hAnsiTheme="minorHAnsi"/>
        </w:rPr>
        <w:t xml:space="preserve"> represent those</w:t>
      </w:r>
      <w:r w:rsidR="00D55570" w:rsidRPr="00730E2D">
        <w:rPr>
          <w:rFonts w:asciiTheme="minorHAnsi" w:hAnsiTheme="minorHAnsi"/>
        </w:rPr>
        <w:t xml:space="preserve"> with</w:t>
      </w:r>
      <w:r>
        <w:rPr>
          <w:rFonts w:asciiTheme="minorHAnsi" w:hAnsiTheme="minorHAnsi"/>
        </w:rPr>
        <w:t xml:space="preserve"> a</w:t>
      </w:r>
      <w:r w:rsidR="00D55570" w:rsidRPr="00730E2D">
        <w:rPr>
          <w:rFonts w:asciiTheme="minorHAnsi" w:hAnsiTheme="minorHAnsi"/>
        </w:rPr>
        <w:t xml:space="preserve"> zero or low chance of successful Medium-High- or High-rigor evaluation</w:t>
      </w:r>
      <w:r>
        <w:rPr>
          <w:rFonts w:asciiTheme="minorHAnsi" w:hAnsiTheme="minorHAnsi"/>
        </w:rPr>
        <w:t xml:space="preserve"> due to limitations of available program data—but their exclusion says nothing about the effectiveness of those PAs themselves</w:t>
      </w:r>
      <w:r w:rsidR="00D55570" w:rsidRPr="00730E2D">
        <w:rPr>
          <w:rFonts w:asciiTheme="minorHAnsi" w:hAnsiTheme="minorHAnsi"/>
        </w:rPr>
        <w:t xml:space="preserve">.  </w:t>
      </w:r>
      <w:bookmarkStart w:id="11" w:name="OLE_LINK5"/>
      <w:r>
        <w:rPr>
          <w:rFonts w:asciiTheme="minorHAnsi" w:hAnsiTheme="minorHAnsi"/>
        </w:rPr>
        <w:t xml:space="preserve">Indeed, </w:t>
      </w:r>
      <w:r w:rsidR="00555B2A" w:rsidRPr="00730E2D">
        <w:rPr>
          <w:rFonts w:asciiTheme="minorHAnsi" w:hAnsiTheme="minorHAnsi"/>
        </w:rPr>
        <w:t>DOE will not claim any energy savings due to these programs</w:t>
      </w:r>
      <w:r>
        <w:rPr>
          <w:rFonts w:asciiTheme="minorHAnsi" w:hAnsiTheme="minorHAnsi"/>
        </w:rPr>
        <w:t xml:space="preserve"> and excluding them will result in </w:t>
      </w:r>
      <w:r w:rsidR="0065501A">
        <w:rPr>
          <w:rFonts w:asciiTheme="minorHAnsi" w:hAnsiTheme="minorHAnsi"/>
        </w:rPr>
        <w:t xml:space="preserve">less overall savings for the study universe and </w:t>
      </w:r>
      <w:r>
        <w:rPr>
          <w:rFonts w:asciiTheme="minorHAnsi" w:hAnsiTheme="minorHAnsi"/>
        </w:rPr>
        <w:t>more reliable estimates for those PAs in the sample</w:t>
      </w:r>
      <w:r w:rsidR="008801B4" w:rsidRPr="00730E2D">
        <w:rPr>
          <w:rFonts w:asciiTheme="minorHAnsi" w:hAnsiTheme="minorHAnsi"/>
        </w:rPr>
        <w:t>.</w:t>
      </w:r>
      <w:bookmarkEnd w:id="11"/>
      <w:r>
        <w:rPr>
          <w:rFonts w:asciiTheme="minorHAnsi" w:hAnsiTheme="minorHAnsi"/>
        </w:rPr>
        <w:t xml:space="preserve">  DOE maintains that this is a reasonable approach and the value of accuracy for those included in the sample outweighs any potential bias</w:t>
      </w:r>
      <w:r w:rsidR="0065501A">
        <w:rPr>
          <w:rFonts w:asciiTheme="minorHAnsi" w:hAnsiTheme="minorHAnsi"/>
        </w:rPr>
        <w:t xml:space="preserve"> which would be very small</w:t>
      </w:r>
      <w:r>
        <w:rPr>
          <w:rFonts w:asciiTheme="minorHAnsi" w:hAnsiTheme="minorHAnsi"/>
        </w:rPr>
        <w:t>.</w:t>
      </w:r>
    </w:p>
    <w:p w:rsidR="00D55570" w:rsidRPr="00730E2D" w:rsidRDefault="00D55570" w:rsidP="00730E2D">
      <w:pPr>
        <w:jc w:val="both"/>
        <w:rPr>
          <w:rFonts w:asciiTheme="minorHAnsi" w:hAnsiTheme="minorHAnsi"/>
        </w:rPr>
      </w:pPr>
    </w:p>
    <w:p w:rsidR="00D55570" w:rsidRPr="00730E2D" w:rsidRDefault="00D55570" w:rsidP="00730E2D">
      <w:pPr>
        <w:jc w:val="both"/>
        <w:rPr>
          <w:rFonts w:asciiTheme="minorHAnsi" w:hAnsiTheme="minorHAnsi"/>
        </w:rPr>
      </w:pPr>
    </w:p>
    <w:p w:rsidR="00D55570" w:rsidRPr="00730E2D" w:rsidRDefault="00D55570" w:rsidP="00730E2D">
      <w:pPr>
        <w:pStyle w:val="Heading3"/>
        <w:numPr>
          <w:ilvl w:val="0"/>
          <w:numId w:val="0"/>
        </w:numPr>
        <w:spacing w:line="240" w:lineRule="auto"/>
        <w:jc w:val="both"/>
        <w:rPr>
          <w:rFonts w:asciiTheme="minorHAnsi" w:hAnsiTheme="minorHAnsi"/>
          <w:sz w:val="24"/>
          <w:szCs w:val="24"/>
        </w:rPr>
      </w:pPr>
      <w:bookmarkStart w:id="12" w:name="_Toc295816845"/>
      <w:bookmarkStart w:id="13" w:name="_Toc297187475"/>
      <w:r w:rsidRPr="00730E2D">
        <w:rPr>
          <w:rFonts w:asciiTheme="minorHAnsi" w:hAnsiTheme="minorHAnsi"/>
          <w:sz w:val="24"/>
          <w:szCs w:val="24"/>
        </w:rPr>
        <w:t>First Stage Sample Allocation</w:t>
      </w:r>
      <w:bookmarkEnd w:id="12"/>
      <w:bookmarkEnd w:id="13"/>
    </w:p>
    <w:p w:rsidR="00D55570" w:rsidRPr="00730E2D" w:rsidRDefault="00D55570" w:rsidP="00730E2D">
      <w:pPr>
        <w:jc w:val="both"/>
        <w:rPr>
          <w:rFonts w:asciiTheme="minorHAnsi" w:hAnsiTheme="minorHAnsi"/>
        </w:rPr>
      </w:pPr>
      <w:r w:rsidRPr="00730E2D">
        <w:rPr>
          <w:rFonts w:asciiTheme="minorHAnsi" w:hAnsiTheme="minorHAnsi"/>
        </w:rPr>
        <w:t>First stage sample allocation to BPAC-subcategory cells occurred in a few steps.</w:t>
      </w:r>
    </w:p>
    <w:p w:rsidR="00D55570" w:rsidRPr="00730E2D" w:rsidRDefault="00D55570" w:rsidP="00730E2D">
      <w:pPr>
        <w:jc w:val="both"/>
        <w:rPr>
          <w:rFonts w:asciiTheme="minorHAnsi" w:hAnsiTheme="minorHAnsi"/>
        </w:rPr>
      </w:pPr>
    </w:p>
    <w:p w:rsidR="00D55570" w:rsidRPr="00730E2D" w:rsidRDefault="00D55570" w:rsidP="00730E2D">
      <w:pPr>
        <w:pStyle w:val="ListParagraph"/>
        <w:numPr>
          <w:ilvl w:val="0"/>
          <w:numId w:val="49"/>
        </w:numPr>
        <w:spacing w:after="120" w:line="240" w:lineRule="auto"/>
        <w:contextualSpacing w:val="0"/>
        <w:jc w:val="both"/>
        <w:rPr>
          <w:rFonts w:asciiTheme="minorHAnsi" w:hAnsiTheme="minorHAnsi"/>
          <w:sz w:val="24"/>
          <w:szCs w:val="24"/>
        </w:rPr>
      </w:pPr>
      <w:r w:rsidRPr="00730E2D">
        <w:rPr>
          <w:rFonts w:asciiTheme="minorHAnsi" w:hAnsiTheme="minorHAnsi"/>
          <w:b/>
          <w:sz w:val="24"/>
          <w:szCs w:val="24"/>
        </w:rPr>
        <w:lastRenderedPageBreak/>
        <w:t>Preliminary allocation.</w:t>
      </w:r>
      <w:r w:rsidRPr="00730E2D">
        <w:rPr>
          <w:rFonts w:asciiTheme="minorHAnsi" w:hAnsiTheme="minorHAnsi"/>
          <w:sz w:val="24"/>
          <w:szCs w:val="24"/>
        </w:rPr>
        <w:t xml:space="preserve">  Initially </w:t>
      </w:r>
      <w:r w:rsidR="00594AC6" w:rsidRPr="00730E2D">
        <w:rPr>
          <w:rFonts w:asciiTheme="minorHAnsi" w:hAnsiTheme="minorHAnsi"/>
          <w:sz w:val="24"/>
          <w:szCs w:val="24"/>
        </w:rPr>
        <w:t xml:space="preserve">Stage 1 sample points (number of </w:t>
      </w:r>
      <w:r w:rsidRPr="00730E2D">
        <w:rPr>
          <w:rFonts w:asciiTheme="minorHAnsi" w:hAnsiTheme="minorHAnsi"/>
          <w:sz w:val="24"/>
          <w:szCs w:val="24"/>
        </w:rPr>
        <w:t>PA</w:t>
      </w:r>
      <w:r w:rsidR="00594AC6" w:rsidRPr="00730E2D">
        <w:rPr>
          <w:rFonts w:asciiTheme="minorHAnsi" w:hAnsiTheme="minorHAnsi"/>
          <w:sz w:val="24"/>
          <w:szCs w:val="24"/>
        </w:rPr>
        <w:t>s to be selected)</w:t>
      </w:r>
      <w:r w:rsidRPr="00730E2D">
        <w:rPr>
          <w:rFonts w:asciiTheme="minorHAnsi" w:hAnsiTheme="minorHAnsi"/>
          <w:sz w:val="24"/>
          <w:szCs w:val="24"/>
        </w:rPr>
        <w:t xml:space="preserve"> were allocated to </w:t>
      </w:r>
      <w:r w:rsidR="00594AC6" w:rsidRPr="00730E2D">
        <w:rPr>
          <w:rFonts w:asciiTheme="minorHAnsi" w:hAnsiTheme="minorHAnsi"/>
          <w:sz w:val="24"/>
          <w:szCs w:val="24"/>
        </w:rPr>
        <w:t xml:space="preserve">BPAC-subcategory strata </w:t>
      </w:r>
      <w:r w:rsidRPr="00730E2D">
        <w:rPr>
          <w:rFonts w:asciiTheme="minorHAnsi" w:hAnsiTheme="minorHAnsi"/>
          <w:sz w:val="24"/>
          <w:szCs w:val="24"/>
        </w:rPr>
        <w:t xml:space="preserve">proportional to SEP program budget only.  This process left some </w:t>
      </w:r>
      <w:r w:rsidR="004F385A" w:rsidRPr="00730E2D">
        <w:rPr>
          <w:rFonts w:asciiTheme="minorHAnsi" w:hAnsiTheme="minorHAnsi"/>
          <w:sz w:val="24"/>
          <w:szCs w:val="24"/>
        </w:rPr>
        <w:t>smaller strata</w:t>
      </w:r>
      <w:r w:rsidRPr="00730E2D">
        <w:rPr>
          <w:rFonts w:asciiTheme="minorHAnsi" w:hAnsiTheme="minorHAnsi"/>
          <w:sz w:val="24"/>
          <w:szCs w:val="24"/>
        </w:rPr>
        <w:t>, especially those included despite being below the minimum size threshold</w:t>
      </w:r>
      <w:r w:rsidR="002A1A4D" w:rsidRPr="00730E2D">
        <w:rPr>
          <w:rFonts w:asciiTheme="minorHAnsi" w:hAnsiTheme="minorHAnsi"/>
          <w:sz w:val="24"/>
          <w:szCs w:val="24"/>
        </w:rPr>
        <w:t xml:space="preserve"> (at least 3% of total funding)</w:t>
      </w:r>
      <w:r w:rsidRPr="00730E2D">
        <w:rPr>
          <w:rFonts w:asciiTheme="minorHAnsi" w:hAnsiTheme="minorHAnsi"/>
          <w:sz w:val="24"/>
          <w:szCs w:val="24"/>
        </w:rPr>
        <w:t>, with zero allocation.</w:t>
      </w:r>
    </w:p>
    <w:p w:rsidR="004B0D22" w:rsidRDefault="00387869" w:rsidP="00730E2D">
      <w:pPr>
        <w:pStyle w:val="ListParagraph"/>
        <w:numPr>
          <w:ilvl w:val="0"/>
          <w:numId w:val="49"/>
        </w:numPr>
        <w:spacing w:line="240" w:lineRule="auto"/>
        <w:jc w:val="both"/>
        <w:rPr>
          <w:rFonts w:asciiTheme="minorHAnsi" w:hAnsiTheme="minorHAnsi"/>
          <w:sz w:val="24"/>
          <w:szCs w:val="24"/>
        </w:rPr>
      </w:pPr>
      <w:r w:rsidRPr="00730E2D">
        <w:rPr>
          <w:rFonts w:asciiTheme="minorHAnsi" w:hAnsiTheme="minorHAnsi"/>
          <w:b/>
          <w:sz w:val="24"/>
          <w:szCs w:val="24"/>
        </w:rPr>
        <w:t xml:space="preserve">Forced allocations.  </w:t>
      </w:r>
      <w:r w:rsidRPr="00730E2D">
        <w:rPr>
          <w:rFonts w:asciiTheme="minorHAnsi" w:hAnsiTheme="minorHAnsi"/>
          <w:sz w:val="24"/>
          <w:szCs w:val="24"/>
        </w:rPr>
        <w:t>After reviewing the initial allocation strictly proportional to budget, some forced allocations were specified, to ensure the small strata that need to be covered would have some sample</w:t>
      </w:r>
      <w:r w:rsidR="001341E9" w:rsidRPr="00730E2D">
        <w:rPr>
          <w:rFonts w:asciiTheme="minorHAnsi" w:hAnsiTheme="minorHAnsi"/>
          <w:sz w:val="24"/>
          <w:szCs w:val="24"/>
        </w:rPr>
        <w:t xml:space="preserve"> to allow for analysis</w:t>
      </w:r>
      <w:r w:rsidRPr="00730E2D">
        <w:rPr>
          <w:rFonts w:asciiTheme="minorHAnsi" w:hAnsiTheme="minorHAnsi"/>
          <w:sz w:val="24"/>
          <w:szCs w:val="24"/>
        </w:rPr>
        <w:t>.</w:t>
      </w:r>
      <w:r w:rsidR="004C3B95">
        <w:rPr>
          <w:rFonts w:asciiTheme="minorHAnsi" w:hAnsiTheme="minorHAnsi"/>
          <w:sz w:val="24"/>
          <w:szCs w:val="24"/>
        </w:rPr>
        <w:t xml:space="preserve">  </w:t>
      </w:r>
      <w:r w:rsidR="0065501A">
        <w:rPr>
          <w:rFonts w:asciiTheme="minorHAnsi" w:hAnsiTheme="minorHAnsi"/>
          <w:sz w:val="24"/>
          <w:szCs w:val="24"/>
        </w:rPr>
        <w:t xml:space="preserve">Forced allocations include two PAs in 2008 and four in the ARRA period.  </w:t>
      </w:r>
      <w:r w:rsidR="004C3B95">
        <w:rPr>
          <w:rFonts w:asciiTheme="minorHAnsi" w:hAnsiTheme="minorHAnsi"/>
          <w:sz w:val="24"/>
          <w:szCs w:val="24"/>
        </w:rPr>
        <w:t>After establishing the allocation</w:t>
      </w:r>
      <w:r w:rsidR="0065501A">
        <w:rPr>
          <w:rFonts w:asciiTheme="minorHAnsi" w:hAnsiTheme="minorHAnsi"/>
          <w:sz w:val="24"/>
          <w:szCs w:val="24"/>
        </w:rPr>
        <w:t>s</w:t>
      </w:r>
      <w:r w:rsidR="004C3B95">
        <w:rPr>
          <w:rFonts w:asciiTheme="minorHAnsi" w:hAnsiTheme="minorHAnsi"/>
          <w:sz w:val="24"/>
          <w:szCs w:val="24"/>
        </w:rPr>
        <w:t>,</w:t>
      </w:r>
      <w:r w:rsidR="0065501A">
        <w:rPr>
          <w:rFonts w:asciiTheme="minorHAnsi" w:hAnsiTheme="minorHAnsi"/>
          <w:sz w:val="24"/>
          <w:szCs w:val="24"/>
        </w:rPr>
        <w:t xml:space="preserve"> however,</w:t>
      </w:r>
      <w:r w:rsidR="004C3B95">
        <w:rPr>
          <w:rFonts w:asciiTheme="minorHAnsi" w:hAnsiTheme="minorHAnsi"/>
          <w:sz w:val="24"/>
          <w:szCs w:val="24"/>
        </w:rPr>
        <w:t xml:space="preserve"> the actual sampled PAs were selected randomly.</w:t>
      </w:r>
      <w:r w:rsidR="00662902">
        <w:rPr>
          <w:rFonts w:asciiTheme="minorHAnsi" w:hAnsiTheme="minorHAnsi"/>
          <w:sz w:val="24"/>
          <w:szCs w:val="24"/>
        </w:rPr>
        <w:t xml:space="preserve">  These forced allocations will provide better stand-alone savings estimates for their associated BPACs without appreciably reducing the accuracy </w:t>
      </w:r>
      <w:r w:rsidR="004F1A2D">
        <w:rPr>
          <w:rFonts w:asciiTheme="minorHAnsi" w:hAnsiTheme="minorHAnsi"/>
          <w:sz w:val="24"/>
          <w:szCs w:val="24"/>
        </w:rPr>
        <w:t>of</w:t>
      </w:r>
      <w:r w:rsidR="00662902">
        <w:rPr>
          <w:rFonts w:asciiTheme="minorHAnsi" w:hAnsiTheme="minorHAnsi"/>
          <w:sz w:val="24"/>
          <w:szCs w:val="24"/>
        </w:rPr>
        <w:t xml:space="preserve"> the overall estimate of savings.</w:t>
      </w:r>
    </w:p>
    <w:p w:rsidR="009B21BF" w:rsidRPr="00730E2D" w:rsidRDefault="009B21BF" w:rsidP="009B21BF">
      <w:pPr>
        <w:pStyle w:val="ListParagraph"/>
        <w:spacing w:line="240" w:lineRule="auto"/>
        <w:ind w:left="1080"/>
        <w:jc w:val="both"/>
        <w:rPr>
          <w:rFonts w:asciiTheme="minorHAnsi" w:hAnsiTheme="minorHAnsi"/>
          <w:sz w:val="24"/>
          <w:szCs w:val="24"/>
        </w:rPr>
      </w:pPr>
    </w:p>
    <w:p w:rsidR="00D55570" w:rsidRPr="00730E2D" w:rsidRDefault="00D55570" w:rsidP="00730E2D">
      <w:pPr>
        <w:pStyle w:val="ListParagraph"/>
        <w:numPr>
          <w:ilvl w:val="0"/>
          <w:numId w:val="49"/>
        </w:numPr>
        <w:spacing w:after="120" w:line="240" w:lineRule="auto"/>
        <w:contextualSpacing w:val="0"/>
        <w:jc w:val="both"/>
        <w:rPr>
          <w:rFonts w:asciiTheme="minorHAnsi" w:hAnsiTheme="minorHAnsi"/>
          <w:sz w:val="24"/>
          <w:szCs w:val="24"/>
        </w:rPr>
      </w:pPr>
      <w:r w:rsidRPr="00730E2D">
        <w:rPr>
          <w:rFonts w:asciiTheme="minorHAnsi" w:hAnsiTheme="minorHAnsi"/>
          <w:b/>
          <w:sz w:val="24"/>
          <w:szCs w:val="24"/>
        </w:rPr>
        <w:t xml:space="preserve">Proportional allocation.  </w:t>
      </w:r>
      <w:r w:rsidRPr="00730E2D">
        <w:rPr>
          <w:rFonts w:asciiTheme="minorHAnsi" w:hAnsiTheme="minorHAnsi"/>
          <w:sz w:val="24"/>
          <w:szCs w:val="24"/>
        </w:rPr>
        <w:t xml:space="preserve">The </w:t>
      </w:r>
      <w:r w:rsidR="00594AC6" w:rsidRPr="00730E2D">
        <w:rPr>
          <w:rFonts w:asciiTheme="minorHAnsi" w:hAnsiTheme="minorHAnsi"/>
          <w:sz w:val="24"/>
          <w:szCs w:val="24"/>
        </w:rPr>
        <w:t>strata</w:t>
      </w:r>
      <w:r w:rsidRPr="00730E2D">
        <w:rPr>
          <w:rFonts w:asciiTheme="minorHAnsi" w:hAnsiTheme="minorHAnsi"/>
          <w:sz w:val="24"/>
          <w:szCs w:val="24"/>
        </w:rPr>
        <w:t xml:space="preserve"> that received forced allocations were set aside.  The remainder of the total sample points for each period were allocated to the remaining </w:t>
      </w:r>
      <w:r w:rsidR="00594AC6" w:rsidRPr="00730E2D">
        <w:rPr>
          <w:rFonts w:asciiTheme="minorHAnsi" w:hAnsiTheme="minorHAnsi"/>
          <w:sz w:val="24"/>
          <w:szCs w:val="24"/>
        </w:rPr>
        <w:t>strata</w:t>
      </w:r>
      <w:r w:rsidRPr="00730E2D">
        <w:rPr>
          <w:rFonts w:asciiTheme="minorHAnsi" w:hAnsiTheme="minorHAnsi"/>
          <w:sz w:val="24"/>
          <w:szCs w:val="24"/>
        </w:rPr>
        <w:t xml:space="preserve"> proportional to size (program budget).</w:t>
      </w:r>
    </w:p>
    <w:p w:rsidR="00D55570" w:rsidRPr="00730E2D" w:rsidRDefault="00D55570" w:rsidP="00730E2D">
      <w:pPr>
        <w:pStyle w:val="ListParagraph"/>
        <w:numPr>
          <w:ilvl w:val="0"/>
          <w:numId w:val="49"/>
        </w:numPr>
        <w:spacing w:after="120" w:line="240" w:lineRule="auto"/>
        <w:contextualSpacing w:val="0"/>
        <w:jc w:val="both"/>
        <w:rPr>
          <w:rFonts w:asciiTheme="minorHAnsi" w:hAnsiTheme="minorHAnsi"/>
          <w:sz w:val="24"/>
          <w:szCs w:val="24"/>
        </w:rPr>
      </w:pPr>
      <w:r w:rsidRPr="00730E2D">
        <w:rPr>
          <w:rFonts w:asciiTheme="minorHAnsi" w:hAnsiTheme="minorHAnsi"/>
          <w:b/>
          <w:sz w:val="24"/>
          <w:szCs w:val="24"/>
        </w:rPr>
        <w:t xml:space="preserve">Identification of certainty and non-certainty PAs.  </w:t>
      </w:r>
      <w:r w:rsidRPr="00730E2D">
        <w:rPr>
          <w:rFonts w:asciiTheme="minorHAnsi" w:hAnsiTheme="minorHAnsi"/>
          <w:sz w:val="24"/>
          <w:szCs w:val="24"/>
        </w:rPr>
        <w:t>Allocation proportional to size means that one sample PA is allocated for about every $850,000 of budget for PY2008, and for every $77 million of budget for ARRA.</w:t>
      </w:r>
    </w:p>
    <w:p w:rsidR="00D55570" w:rsidRPr="00730E2D" w:rsidRDefault="00D55570" w:rsidP="00730E2D">
      <w:pPr>
        <w:pStyle w:val="ListParagraph"/>
        <w:numPr>
          <w:ilvl w:val="1"/>
          <w:numId w:val="49"/>
        </w:numPr>
        <w:spacing w:after="120" w:line="240" w:lineRule="auto"/>
        <w:contextualSpacing w:val="0"/>
        <w:jc w:val="both"/>
        <w:rPr>
          <w:rFonts w:asciiTheme="minorHAnsi" w:hAnsiTheme="minorHAnsi"/>
          <w:sz w:val="24"/>
          <w:szCs w:val="24"/>
        </w:rPr>
      </w:pPr>
      <w:r w:rsidRPr="00730E2D">
        <w:rPr>
          <w:rFonts w:asciiTheme="minorHAnsi" w:hAnsiTheme="minorHAnsi"/>
          <w:sz w:val="24"/>
          <w:szCs w:val="24"/>
        </w:rPr>
        <w:t xml:space="preserve">Any individual PA with budget above this amount is included with certainty in the first stage sample.  The PAs so selected are called “first-pass certainty” PAs.  In some cases, the budget for an individual PA would mean an allocation of two or more PAs.  However, </w:t>
      </w:r>
      <w:r w:rsidR="003A7106" w:rsidRPr="00730E2D">
        <w:rPr>
          <w:rFonts w:asciiTheme="minorHAnsi" w:hAnsiTheme="minorHAnsi"/>
          <w:sz w:val="24"/>
          <w:szCs w:val="24"/>
        </w:rPr>
        <w:t>DOE</w:t>
      </w:r>
      <w:r w:rsidRPr="00730E2D">
        <w:rPr>
          <w:rFonts w:asciiTheme="minorHAnsi" w:hAnsiTheme="minorHAnsi"/>
          <w:sz w:val="24"/>
          <w:szCs w:val="24"/>
        </w:rPr>
        <w:t xml:space="preserve"> select</w:t>
      </w:r>
      <w:r w:rsidR="00594AC6" w:rsidRPr="00730E2D">
        <w:rPr>
          <w:rFonts w:asciiTheme="minorHAnsi" w:hAnsiTheme="minorHAnsi"/>
          <w:sz w:val="24"/>
          <w:szCs w:val="24"/>
        </w:rPr>
        <w:t>ed</w:t>
      </w:r>
      <w:r w:rsidRPr="00730E2D">
        <w:rPr>
          <w:rFonts w:asciiTheme="minorHAnsi" w:hAnsiTheme="minorHAnsi"/>
          <w:sz w:val="24"/>
          <w:szCs w:val="24"/>
        </w:rPr>
        <w:t xml:space="preserve"> a given PA only once.</w:t>
      </w:r>
    </w:p>
    <w:p w:rsidR="00D55570" w:rsidRPr="00730E2D" w:rsidRDefault="00D55570" w:rsidP="00730E2D">
      <w:pPr>
        <w:pStyle w:val="ListParagraph"/>
        <w:numPr>
          <w:ilvl w:val="1"/>
          <w:numId w:val="49"/>
        </w:numPr>
        <w:spacing w:after="120" w:line="240" w:lineRule="auto"/>
        <w:contextualSpacing w:val="0"/>
        <w:jc w:val="both"/>
        <w:rPr>
          <w:rFonts w:asciiTheme="minorHAnsi" w:hAnsiTheme="minorHAnsi"/>
          <w:sz w:val="24"/>
          <w:szCs w:val="24"/>
        </w:rPr>
      </w:pPr>
      <w:r w:rsidRPr="00730E2D">
        <w:rPr>
          <w:rFonts w:asciiTheme="minorHAnsi" w:hAnsiTheme="minorHAnsi"/>
          <w:sz w:val="24"/>
          <w:szCs w:val="24"/>
        </w:rPr>
        <w:t xml:space="preserve">Once the large, first-pass certainty PAs have been identified, the remaining sample points are allocated to the remaining </w:t>
      </w:r>
      <w:r w:rsidR="00594AC6" w:rsidRPr="00730E2D">
        <w:rPr>
          <w:rFonts w:asciiTheme="minorHAnsi" w:hAnsiTheme="minorHAnsi"/>
          <w:sz w:val="24"/>
          <w:szCs w:val="24"/>
        </w:rPr>
        <w:t>strata</w:t>
      </w:r>
      <w:r w:rsidRPr="00730E2D">
        <w:rPr>
          <w:rFonts w:asciiTheme="minorHAnsi" w:hAnsiTheme="minorHAnsi"/>
          <w:sz w:val="24"/>
          <w:szCs w:val="24"/>
        </w:rPr>
        <w:t>, proportional to the remaining size.</w:t>
      </w:r>
    </w:p>
    <w:p w:rsidR="00D55570" w:rsidRPr="00730E2D" w:rsidRDefault="003A7106" w:rsidP="00730E2D">
      <w:pPr>
        <w:pStyle w:val="ListParagraph"/>
        <w:numPr>
          <w:ilvl w:val="1"/>
          <w:numId w:val="49"/>
        </w:numPr>
        <w:spacing w:after="120" w:line="240" w:lineRule="auto"/>
        <w:contextualSpacing w:val="0"/>
        <w:jc w:val="both"/>
        <w:rPr>
          <w:rFonts w:asciiTheme="minorHAnsi" w:hAnsiTheme="minorHAnsi"/>
          <w:sz w:val="24"/>
          <w:szCs w:val="24"/>
        </w:rPr>
      </w:pPr>
      <w:r w:rsidRPr="00730E2D">
        <w:rPr>
          <w:rFonts w:asciiTheme="minorHAnsi" w:hAnsiTheme="minorHAnsi"/>
          <w:sz w:val="24"/>
          <w:szCs w:val="24"/>
        </w:rPr>
        <w:t>DOE</w:t>
      </w:r>
      <w:r w:rsidR="00D55570" w:rsidRPr="00730E2D">
        <w:rPr>
          <w:rFonts w:asciiTheme="minorHAnsi" w:hAnsiTheme="minorHAnsi"/>
          <w:sz w:val="24"/>
          <w:szCs w:val="24"/>
        </w:rPr>
        <w:t xml:space="preserve"> </w:t>
      </w:r>
      <w:r w:rsidRPr="00730E2D">
        <w:rPr>
          <w:rFonts w:asciiTheme="minorHAnsi" w:hAnsiTheme="minorHAnsi"/>
          <w:sz w:val="24"/>
          <w:szCs w:val="24"/>
        </w:rPr>
        <w:t xml:space="preserve">identifies </w:t>
      </w:r>
      <w:r w:rsidR="00D55570" w:rsidRPr="00730E2D">
        <w:rPr>
          <w:rFonts w:asciiTheme="minorHAnsi" w:hAnsiTheme="minorHAnsi"/>
          <w:sz w:val="24"/>
          <w:szCs w:val="24"/>
        </w:rPr>
        <w:t>a second set of certainty selections within this remainder sample, using the same approach as for the first pass.  That is, all PAs with budget greater than the ratio of total remaining budget to remaining sample size are included with certainty.  The PAs so selected are called “second-pass certainty” PAs.</w:t>
      </w:r>
    </w:p>
    <w:p w:rsidR="00D55570" w:rsidRPr="00730E2D" w:rsidRDefault="00D55570" w:rsidP="00730E2D">
      <w:pPr>
        <w:pStyle w:val="ListParagraph"/>
        <w:numPr>
          <w:ilvl w:val="1"/>
          <w:numId w:val="49"/>
        </w:numPr>
        <w:spacing w:after="120" w:line="240" w:lineRule="auto"/>
        <w:contextualSpacing w:val="0"/>
        <w:jc w:val="both"/>
        <w:rPr>
          <w:rFonts w:asciiTheme="minorHAnsi" w:hAnsiTheme="minorHAnsi"/>
          <w:sz w:val="24"/>
          <w:szCs w:val="24"/>
        </w:rPr>
      </w:pPr>
      <w:r w:rsidRPr="00730E2D">
        <w:rPr>
          <w:rFonts w:asciiTheme="minorHAnsi" w:hAnsiTheme="minorHAnsi"/>
          <w:sz w:val="24"/>
          <w:szCs w:val="24"/>
        </w:rPr>
        <w:t xml:space="preserve">Once the first- and second-pass certainty PAs have been identified, the remaining </w:t>
      </w:r>
      <w:r w:rsidR="00594AC6" w:rsidRPr="00730E2D">
        <w:rPr>
          <w:rFonts w:asciiTheme="minorHAnsi" w:hAnsiTheme="minorHAnsi"/>
          <w:sz w:val="24"/>
          <w:szCs w:val="24"/>
        </w:rPr>
        <w:t xml:space="preserve">Stage 1 </w:t>
      </w:r>
      <w:r w:rsidRPr="00730E2D">
        <w:rPr>
          <w:rFonts w:asciiTheme="minorHAnsi" w:hAnsiTheme="minorHAnsi"/>
          <w:sz w:val="24"/>
          <w:szCs w:val="24"/>
        </w:rPr>
        <w:t xml:space="preserve">sample points are allocated to the remaining </w:t>
      </w:r>
      <w:r w:rsidR="00594AC6" w:rsidRPr="00730E2D">
        <w:rPr>
          <w:rFonts w:asciiTheme="minorHAnsi" w:hAnsiTheme="minorHAnsi"/>
          <w:sz w:val="24"/>
          <w:szCs w:val="24"/>
        </w:rPr>
        <w:t>strata</w:t>
      </w:r>
      <w:r w:rsidRPr="00730E2D">
        <w:rPr>
          <w:rFonts w:asciiTheme="minorHAnsi" w:hAnsiTheme="minorHAnsi"/>
          <w:sz w:val="24"/>
          <w:szCs w:val="24"/>
        </w:rPr>
        <w:t>, proportional to the remaining size.  These allocations are referred to as the “non-certainty” or “remainder” sample.</w:t>
      </w:r>
    </w:p>
    <w:p w:rsidR="00D55570" w:rsidRPr="00730E2D" w:rsidRDefault="00D55570" w:rsidP="00730E2D">
      <w:pPr>
        <w:pStyle w:val="ListParagraph"/>
        <w:numPr>
          <w:ilvl w:val="0"/>
          <w:numId w:val="49"/>
        </w:numPr>
        <w:spacing w:after="120" w:line="240" w:lineRule="auto"/>
        <w:contextualSpacing w:val="0"/>
        <w:jc w:val="both"/>
        <w:rPr>
          <w:rFonts w:asciiTheme="minorHAnsi" w:hAnsiTheme="minorHAnsi"/>
          <w:sz w:val="24"/>
          <w:szCs w:val="24"/>
        </w:rPr>
      </w:pPr>
      <w:r w:rsidRPr="00730E2D">
        <w:rPr>
          <w:rFonts w:asciiTheme="minorHAnsi" w:hAnsiTheme="minorHAnsi"/>
          <w:b/>
          <w:sz w:val="24"/>
          <w:szCs w:val="24"/>
        </w:rPr>
        <w:t xml:space="preserve">Assessment of achievability.  </w:t>
      </w:r>
      <w:r w:rsidRPr="00730E2D">
        <w:rPr>
          <w:rFonts w:asciiTheme="minorHAnsi" w:hAnsiTheme="minorHAnsi"/>
          <w:sz w:val="24"/>
          <w:szCs w:val="24"/>
        </w:rPr>
        <w:t xml:space="preserve">Once </w:t>
      </w:r>
      <w:r w:rsidR="003A7106" w:rsidRPr="00730E2D">
        <w:rPr>
          <w:rFonts w:asciiTheme="minorHAnsi" w:hAnsiTheme="minorHAnsi"/>
          <w:sz w:val="24"/>
          <w:szCs w:val="24"/>
        </w:rPr>
        <w:t>DOE</w:t>
      </w:r>
      <w:r w:rsidRPr="00730E2D">
        <w:rPr>
          <w:rFonts w:asciiTheme="minorHAnsi" w:hAnsiTheme="minorHAnsi"/>
          <w:sz w:val="24"/>
          <w:szCs w:val="24"/>
        </w:rPr>
        <w:t xml:space="preserve"> identified the target numbers of certainty and non-certainty selections for each cell, </w:t>
      </w:r>
      <w:r w:rsidR="003A7106" w:rsidRPr="00730E2D">
        <w:rPr>
          <w:rFonts w:asciiTheme="minorHAnsi" w:hAnsiTheme="minorHAnsi"/>
          <w:sz w:val="24"/>
          <w:szCs w:val="24"/>
        </w:rPr>
        <w:t>DOE</w:t>
      </w:r>
      <w:r w:rsidRPr="00730E2D">
        <w:rPr>
          <w:rFonts w:asciiTheme="minorHAnsi" w:hAnsiTheme="minorHAnsi"/>
          <w:sz w:val="24"/>
          <w:szCs w:val="24"/>
        </w:rPr>
        <w:t xml:space="preserve"> assessed whether there were cells whose targets were unlikely to be met based on evaluability.</w:t>
      </w:r>
    </w:p>
    <w:p w:rsidR="00D55570" w:rsidRPr="00730E2D" w:rsidRDefault="00D55570" w:rsidP="00730E2D">
      <w:pPr>
        <w:pStyle w:val="ListParagraph"/>
        <w:numPr>
          <w:ilvl w:val="1"/>
          <w:numId w:val="49"/>
        </w:numPr>
        <w:spacing w:after="120" w:line="240" w:lineRule="auto"/>
        <w:contextualSpacing w:val="0"/>
        <w:jc w:val="both"/>
        <w:rPr>
          <w:rFonts w:asciiTheme="minorHAnsi" w:hAnsiTheme="minorHAnsi"/>
          <w:sz w:val="24"/>
          <w:szCs w:val="24"/>
        </w:rPr>
      </w:pPr>
      <w:r w:rsidRPr="00730E2D">
        <w:rPr>
          <w:rFonts w:asciiTheme="minorHAnsi" w:hAnsiTheme="minorHAnsi"/>
          <w:sz w:val="24"/>
          <w:szCs w:val="24"/>
        </w:rPr>
        <w:t>PAs included in the Stage 1 sampling frame all have evaluability scores either “high” or “moderate.” </w:t>
      </w:r>
      <w:r w:rsidR="003A7106" w:rsidRPr="00730E2D">
        <w:rPr>
          <w:rFonts w:asciiTheme="minorHAnsi" w:hAnsiTheme="minorHAnsi"/>
          <w:sz w:val="24"/>
          <w:szCs w:val="24"/>
        </w:rPr>
        <w:t>DOE</w:t>
      </w:r>
      <w:r w:rsidRPr="00730E2D">
        <w:rPr>
          <w:rFonts w:asciiTheme="minorHAnsi" w:hAnsiTheme="minorHAnsi"/>
          <w:sz w:val="24"/>
          <w:szCs w:val="24"/>
        </w:rPr>
        <w:t xml:space="preserve"> assumed that a “likely” evaluable PA has an 80 percent chance of being evaluated at the targeted High or Medium-High rigor </w:t>
      </w:r>
      <w:r w:rsidRPr="00730E2D">
        <w:rPr>
          <w:rFonts w:asciiTheme="minorHAnsi" w:hAnsiTheme="minorHAnsi"/>
          <w:sz w:val="24"/>
          <w:szCs w:val="24"/>
        </w:rPr>
        <w:lastRenderedPageBreak/>
        <w:t>level, while a “possibly” evaluable PA has a 50 percent chance.  Based on discussions with representatives from DOE, ORNL and the states who participated in the May 25</w:t>
      </w:r>
      <w:r w:rsidRPr="00730E2D">
        <w:rPr>
          <w:rFonts w:asciiTheme="minorHAnsi" w:hAnsiTheme="minorHAnsi"/>
          <w:sz w:val="24"/>
          <w:szCs w:val="24"/>
          <w:vertAlign w:val="superscript"/>
        </w:rPr>
        <w:t>th</w:t>
      </w:r>
      <w:r w:rsidRPr="00730E2D">
        <w:rPr>
          <w:rFonts w:asciiTheme="minorHAnsi" w:hAnsiTheme="minorHAnsi"/>
          <w:sz w:val="24"/>
          <w:szCs w:val="24"/>
        </w:rPr>
        <w:t xml:space="preserve"> Network Committee Meeting, </w:t>
      </w:r>
      <w:r w:rsidR="003A7106" w:rsidRPr="00730E2D">
        <w:rPr>
          <w:rFonts w:asciiTheme="minorHAnsi" w:hAnsiTheme="minorHAnsi"/>
          <w:sz w:val="24"/>
          <w:szCs w:val="24"/>
        </w:rPr>
        <w:t>DOE</w:t>
      </w:r>
      <w:r w:rsidRPr="00730E2D">
        <w:rPr>
          <w:rFonts w:asciiTheme="minorHAnsi" w:hAnsiTheme="minorHAnsi"/>
          <w:sz w:val="24"/>
          <w:szCs w:val="24"/>
        </w:rPr>
        <w:t xml:space="preserve"> </w:t>
      </w:r>
      <w:r w:rsidR="003A7106" w:rsidRPr="00730E2D">
        <w:rPr>
          <w:rFonts w:asciiTheme="minorHAnsi" w:hAnsiTheme="minorHAnsi"/>
          <w:sz w:val="24"/>
          <w:szCs w:val="24"/>
        </w:rPr>
        <w:t xml:space="preserve">believes </w:t>
      </w:r>
      <w:r w:rsidRPr="00730E2D">
        <w:rPr>
          <w:rFonts w:asciiTheme="minorHAnsi" w:hAnsiTheme="minorHAnsi"/>
          <w:sz w:val="24"/>
          <w:szCs w:val="24"/>
        </w:rPr>
        <w:t xml:space="preserve">these are conservative estimates.  </w:t>
      </w:r>
    </w:p>
    <w:p w:rsidR="00D55570" w:rsidRPr="00730E2D" w:rsidRDefault="00D55570" w:rsidP="00730E2D">
      <w:pPr>
        <w:pStyle w:val="ListParagraph"/>
        <w:numPr>
          <w:ilvl w:val="1"/>
          <w:numId w:val="49"/>
        </w:numPr>
        <w:spacing w:after="120" w:line="240" w:lineRule="auto"/>
        <w:contextualSpacing w:val="0"/>
        <w:jc w:val="both"/>
        <w:rPr>
          <w:rFonts w:asciiTheme="minorHAnsi" w:hAnsiTheme="minorHAnsi"/>
          <w:sz w:val="24"/>
          <w:szCs w:val="24"/>
        </w:rPr>
      </w:pPr>
      <w:r w:rsidRPr="00730E2D">
        <w:rPr>
          <w:rFonts w:asciiTheme="minorHAnsi" w:hAnsiTheme="minorHAnsi"/>
          <w:sz w:val="24"/>
          <w:szCs w:val="24"/>
        </w:rPr>
        <w:t xml:space="preserve">The assumed success rates should be conservative for certainty PAs.  Certainty PAs are high priority for successful completion because of their size.  If after confirming with ORNL that </w:t>
      </w:r>
      <w:r w:rsidR="001E2D19" w:rsidRPr="00730E2D">
        <w:rPr>
          <w:rFonts w:asciiTheme="minorHAnsi" w:hAnsiTheme="minorHAnsi"/>
          <w:sz w:val="24"/>
          <w:szCs w:val="24"/>
        </w:rPr>
        <w:t>the evaluation team</w:t>
      </w:r>
      <w:r w:rsidR="004B0D22" w:rsidRPr="00730E2D">
        <w:rPr>
          <w:rFonts w:asciiTheme="minorHAnsi" w:hAnsiTheme="minorHAnsi"/>
          <w:sz w:val="24"/>
          <w:szCs w:val="24"/>
        </w:rPr>
        <w:t xml:space="preserve"> </w:t>
      </w:r>
      <w:r w:rsidR="003A7106" w:rsidRPr="00730E2D">
        <w:rPr>
          <w:rFonts w:asciiTheme="minorHAnsi" w:hAnsiTheme="minorHAnsi"/>
          <w:sz w:val="24"/>
          <w:szCs w:val="24"/>
        </w:rPr>
        <w:t xml:space="preserve">is </w:t>
      </w:r>
      <w:r w:rsidRPr="00730E2D">
        <w:rPr>
          <w:rFonts w:asciiTheme="minorHAnsi" w:hAnsiTheme="minorHAnsi"/>
          <w:sz w:val="24"/>
          <w:szCs w:val="24"/>
        </w:rPr>
        <w:t xml:space="preserve">unable to complete evaluation of one of these PAs, </w:t>
      </w:r>
      <w:r w:rsidR="003A7106" w:rsidRPr="00730E2D">
        <w:rPr>
          <w:rFonts w:asciiTheme="minorHAnsi" w:hAnsiTheme="minorHAnsi"/>
          <w:sz w:val="24"/>
          <w:szCs w:val="24"/>
        </w:rPr>
        <w:t>DOE</w:t>
      </w:r>
      <w:r w:rsidRPr="00730E2D">
        <w:rPr>
          <w:rFonts w:asciiTheme="minorHAnsi" w:hAnsiTheme="minorHAnsi"/>
          <w:sz w:val="24"/>
          <w:szCs w:val="24"/>
        </w:rPr>
        <w:t xml:space="preserve"> will substitute a smaller PA.  However, this substitution will be a last resort.  </w:t>
      </w:r>
    </w:p>
    <w:p w:rsidR="00D55570" w:rsidRPr="00730E2D" w:rsidRDefault="00D55570" w:rsidP="00730E2D">
      <w:pPr>
        <w:pStyle w:val="ListParagraph"/>
        <w:numPr>
          <w:ilvl w:val="1"/>
          <w:numId w:val="49"/>
        </w:numPr>
        <w:spacing w:after="120" w:line="240" w:lineRule="auto"/>
        <w:contextualSpacing w:val="0"/>
        <w:jc w:val="both"/>
        <w:rPr>
          <w:rFonts w:asciiTheme="minorHAnsi" w:hAnsiTheme="minorHAnsi"/>
          <w:sz w:val="24"/>
          <w:szCs w:val="24"/>
        </w:rPr>
      </w:pPr>
      <w:r w:rsidRPr="00730E2D">
        <w:rPr>
          <w:rFonts w:asciiTheme="minorHAnsi" w:hAnsiTheme="minorHAnsi"/>
          <w:sz w:val="24"/>
          <w:szCs w:val="24"/>
        </w:rPr>
        <w:t xml:space="preserve">The remainder sample was allocated to “likely evaluable” PAs at a higher rate than to “possibly evaluable” PAs. Specifically, the measure of size used to allocate the remainder sample was 2x the program budget for “likely evaluable” PAs, and 1x the program budget for “possibly evaluable” PAs.  This procedure ensures that both levels of evaluability are covered by the sample, but that evaluation resources are devoted more heavily to the PAs that have </w:t>
      </w:r>
      <w:r w:rsidR="008A3FD7" w:rsidRPr="00730E2D">
        <w:rPr>
          <w:rFonts w:asciiTheme="minorHAnsi" w:hAnsiTheme="minorHAnsi"/>
          <w:sz w:val="24"/>
          <w:szCs w:val="24"/>
        </w:rPr>
        <w:t xml:space="preserve">a </w:t>
      </w:r>
      <w:r w:rsidRPr="00730E2D">
        <w:rPr>
          <w:rFonts w:asciiTheme="minorHAnsi" w:hAnsiTheme="minorHAnsi"/>
          <w:sz w:val="24"/>
          <w:szCs w:val="24"/>
        </w:rPr>
        <w:t>better chance of being evaluable.</w:t>
      </w:r>
    </w:p>
    <w:p w:rsidR="00D55570" w:rsidRPr="00730E2D" w:rsidRDefault="00D55570" w:rsidP="00730E2D">
      <w:pPr>
        <w:pStyle w:val="ListParagraph"/>
        <w:numPr>
          <w:ilvl w:val="1"/>
          <w:numId w:val="49"/>
        </w:numPr>
        <w:spacing w:after="120" w:line="240" w:lineRule="auto"/>
        <w:contextualSpacing w:val="0"/>
        <w:jc w:val="both"/>
        <w:rPr>
          <w:rFonts w:asciiTheme="minorHAnsi" w:hAnsiTheme="minorHAnsi"/>
          <w:sz w:val="24"/>
          <w:szCs w:val="24"/>
        </w:rPr>
      </w:pPr>
      <w:r w:rsidRPr="00730E2D">
        <w:rPr>
          <w:rFonts w:asciiTheme="minorHAnsi" w:hAnsiTheme="minorHAnsi"/>
          <w:sz w:val="24"/>
          <w:szCs w:val="24"/>
        </w:rPr>
        <w:t xml:space="preserve">Based on the assumed probabilities of successful evaluation at targeted rigor for likely and possible, </w:t>
      </w:r>
      <w:r w:rsidR="003A7106" w:rsidRPr="00730E2D">
        <w:rPr>
          <w:rFonts w:asciiTheme="minorHAnsi" w:hAnsiTheme="minorHAnsi"/>
          <w:sz w:val="24"/>
          <w:szCs w:val="24"/>
        </w:rPr>
        <w:t>DOE</w:t>
      </w:r>
      <w:r w:rsidRPr="00730E2D">
        <w:rPr>
          <w:rFonts w:asciiTheme="minorHAnsi" w:hAnsiTheme="minorHAnsi"/>
          <w:sz w:val="24"/>
          <w:szCs w:val="24"/>
        </w:rPr>
        <w:t xml:space="preserve"> calculate</w:t>
      </w:r>
      <w:r w:rsidR="001E2D19" w:rsidRPr="00730E2D">
        <w:rPr>
          <w:rFonts w:asciiTheme="minorHAnsi" w:hAnsiTheme="minorHAnsi"/>
          <w:sz w:val="24"/>
          <w:szCs w:val="24"/>
        </w:rPr>
        <w:t>s</w:t>
      </w:r>
      <w:r w:rsidRPr="00730E2D">
        <w:rPr>
          <w:rFonts w:asciiTheme="minorHAnsi" w:hAnsiTheme="minorHAnsi"/>
          <w:sz w:val="24"/>
          <w:szCs w:val="24"/>
        </w:rPr>
        <w:t xml:space="preserve"> the size of the oversample required to achieve the targeted sample sizes.  With the assumed success probabilities, </w:t>
      </w:r>
      <w:r w:rsidR="003A7106" w:rsidRPr="00730E2D">
        <w:rPr>
          <w:rFonts w:asciiTheme="minorHAnsi" w:hAnsiTheme="minorHAnsi"/>
          <w:sz w:val="24"/>
          <w:szCs w:val="24"/>
        </w:rPr>
        <w:t>DOE</w:t>
      </w:r>
      <w:r w:rsidRPr="00730E2D">
        <w:rPr>
          <w:rFonts w:asciiTheme="minorHAnsi" w:hAnsiTheme="minorHAnsi"/>
          <w:sz w:val="24"/>
          <w:szCs w:val="24"/>
        </w:rPr>
        <w:t xml:space="preserve"> need</w:t>
      </w:r>
      <w:r w:rsidR="001E2D19" w:rsidRPr="00730E2D">
        <w:rPr>
          <w:rFonts w:asciiTheme="minorHAnsi" w:hAnsiTheme="minorHAnsi"/>
          <w:sz w:val="24"/>
          <w:szCs w:val="24"/>
        </w:rPr>
        <w:t>s</w:t>
      </w:r>
      <w:r w:rsidRPr="00730E2D">
        <w:rPr>
          <w:rFonts w:asciiTheme="minorHAnsi" w:hAnsiTheme="minorHAnsi"/>
          <w:sz w:val="24"/>
          <w:szCs w:val="24"/>
        </w:rPr>
        <w:t xml:space="preserve"> a sample of five “likely” PAs to complete four evaluations successfully.  </w:t>
      </w:r>
      <w:r w:rsidR="003A7106" w:rsidRPr="00730E2D">
        <w:rPr>
          <w:rFonts w:asciiTheme="minorHAnsi" w:hAnsiTheme="minorHAnsi"/>
          <w:sz w:val="24"/>
          <w:szCs w:val="24"/>
        </w:rPr>
        <w:t>DOE</w:t>
      </w:r>
      <w:r w:rsidRPr="00730E2D">
        <w:rPr>
          <w:rFonts w:asciiTheme="minorHAnsi" w:hAnsiTheme="minorHAnsi"/>
          <w:sz w:val="24"/>
          <w:szCs w:val="24"/>
        </w:rPr>
        <w:t xml:space="preserve"> need</w:t>
      </w:r>
      <w:r w:rsidR="001E2D19" w:rsidRPr="00730E2D">
        <w:rPr>
          <w:rFonts w:asciiTheme="minorHAnsi" w:hAnsiTheme="minorHAnsi"/>
          <w:sz w:val="24"/>
          <w:szCs w:val="24"/>
        </w:rPr>
        <w:t>s</w:t>
      </w:r>
      <w:r w:rsidRPr="00730E2D">
        <w:rPr>
          <w:rFonts w:asciiTheme="minorHAnsi" w:hAnsiTheme="minorHAnsi"/>
          <w:sz w:val="24"/>
          <w:szCs w:val="24"/>
        </w:rPr>
        <w:t xml:space="preserve"> a sample of two “possible” PAs to complete one evaluation successfully.</w:t>
      </w:r>
    </w:p>
    <w:p w:rsidR="00D55570" w:rsidRPr="00730E2D" w:rsidRDefault="00D55570" w:rsidP="00730E2D">
      <w:pPr>
        <w:pStyle w:val="ListParagraph"/>
        <w:numPr>
          <w:ilvl w:val="1"/>
          <w:numId w:val="49"/>
        </w:numPr>
        <w:spacing w:after="120" w:line="240" w:lineRule="auto"/>
        <w:contextualSpacing w:val="0"/>
        <w:jc w:val="both"/>
        <w:rPr>
          <w:rFonts w:asciiTheme="minorHAnsi" w:hAnsiTheme="minorHAnsi"/>
          <w:sz w:val="24"/>
          <w:szCs w:val="24"/>
        </w:rPr>
      </w:pPr>
      <w:r w:rsidRPr="00730E2D">
        <w:rPr>
          <w:rFonts w:asciiTheme="minorHAnsi" w:hAnsiTheme="minorHAnsi"/>
          <w:sz w:val="24"/>
          <w:szCs w:val="24"/>
        </w:rPr>
        <w:t xml:space="preserve">If the total oversample required based on this calculation exceeds the number of PAs in the sample, </w:t>
      </w:r>
      <w:r w:rsidR="003A7106" w:rsidRPr="00730E2D">
        <w:rPr>
          <w:rFonts w:asciiTheme="minorHAnsi" w:hAnsiTheme="minorHAnsi"/>
          <w:sz w:val="24"/>
          <w:szCs w:val="24"/>
        </w:rPr>
        <w:t>DOE</w:t>
      </w:r>
      <w:r w:rsidRPr="00730E2D">
        <w:rPr>
          <w:rFonts w:asciiTheme="minorHAnsi" w:hAnsiTheme="minorHAnsi"/>
          <w:sz w:val="24"/>
          <w:szCs w:val="24"/>
        </w:rPr>
        <w:t xml:space="preserve"> flag</w:t>
      </w:r>
      <w:r w:rsidR="001E2D19" w:rsidRPr="00730E2D">
        <w:rPr>
          <w:rFonts w:asciiTheme="minorHAnsi" w:hAnsiTheme="minorHAnsi"/>
          <w:sz w:val="24"/>
          <w:szCs w:val="24"/>
        </w:rPr>
        <w:t>s</w:t>
      </w:r>
      <w:r w:rsidRPr="00730E2D">
        <w:rPr>
          <w:rFonts w:asciiTheme="minorHAnsi" w:hAnsiTheme="minorHAnsi"/>
          <w:sz w:val="24"/>
          <w:szCs w:val="24"/>
        </w:rPr>
        <w:t xml:space="preserve"> a potential shortfall.  For most cells, the sample design does not have an anticipated shortfall.  For these cases, unless the frequency of inadequate data availability is worse than projected in some cell, </w:t>
      </w:r>
      <w:r w:rsidR="003A7106" w:rsidRPr="00730E2D">
        <w:rPr>
          <w:rFonts w:asciiTheme="minorHAnsi" w:hAnsiTheme="minorHAnsi"/>
          <w:sz w:val="24"/>
          <w:szCs w:val="24"/>
        </w:rPr>
        <w:t>DOE</w:t>
      </w:r>
      <w:r w:rsidRPr="00730E2D">
        <w:rPr>
          <w:rFonts w:asciiTheme="minorHAnsi" w:hAnsiTheme="minorHAnsi"/>
          <w:sz w:val="24"/>
          <w:szCs w:val="24"/>
        </w:rPr>
        <w:t xml:space="preserve"> expect</w:t>
      </w:r>
      <w:r w:rsidR="001E2D19" w:rsidRPr="00730E2D">
        <w:rPr>
          <w:rFonts w:asciiTheme="minorHAnsi" w:hAnsiTheme="minorHAnsi"/>
          <w:sz w:val="24"/>
          <w:szCs w:val="24"/>
        </w:rPr>
        <w:t>s</w:t>
      </w:r>
      <w:r w:rsidRPr="00730E2D">
        <w:rPr>
          <w:rFonts w:asciiTheme="minorHAnsi" w:hAnsiTheme="minorHAnsi"/>
          <w:sz w:val="24"/>
          <w:szCs w:val="24"/>
        </w:rPr>
        <w:t xml:space="preserve"> to achieve these targeted sample sizes at the targeted rigor levels.  There were three cells with some potential shortfall and they are discussed in the next section.</w:t>
      </w:r>
    </w:p>
    <w:p w:rsidR="00D55570" w:rsidRPr="00730E2D" w:rsidRDefault="00D55570" w:rsidP="00730E2D">
      <w:pPr>
        <w:pStyle w:val="ListParagraph"/>
        <w:numPr>
          <w:ilvl w:val="0"/>
          <w:numId w:val="49"/>
        </w:numPr>
        <w:spacing w:after="120" w:line="240" w:lineRule="auto"/>
        <w:contextualSpacing w:val="0"/>
        <w:jc w:val="both"/>
        <w:rPr>
          <w:rFonts w:asciiTheme="minorHAnsi" w:hAnsiTheme="minorHAnsi"/>
          <w:b/>
          <w:sz w:val="24"/>
          <w:szCs w:val="24"/>
        </w:rPr>
      </w:pPr>
      <w:r w:rsidRPr="00730E2D">
        <w:rPr>
          <w:rFonts w:asciiTheme="minorHAnsi" w:hAnsiTheme="minorHAnsi"/>
          <w:b/>
          <w:sz w:val="24"/>
          <w:szCs w:val="24"/>
        </w:rPr>
        <w:t>Final targets.</w:t>
      </w:r>
      <w:r w:rsidRPr="00730E2D">
        <w:rPr>
          <w:rFonts w:asciiTheme="minorHAnsi" w:hAnsiTheme="minorHAnsi"/>
          <w:sz w:val="24"/>
          <w:szCs w:val="24"/>
        </w:rPr>
        <w:t xml:space="preserve">  After the iterative reallocation in steps 1-4, </w:t>
      </w:r>
      <w:r w:rsidR="003A7106" w:rsidRPr="00730E2D">
        <w:rPr>
          <w:rFonts w:asciiTheme="minorHAnsi" w:hAnsiTheme="minorHAnsi"/>
          <w:sz w:val="24"/>
          <w:szCs w:val="24"/>
        </w:rPr>
        <w:t>DOE</w:t>
      </w:r>
      <w:r w:rsidRPr="00730E2D">
        <w:rPr>
          <w:rFonts w:asciiTheme="minorHAnsi" w:hAnsiTheme="minorHAnsi"/>
          <w:sz w:val="24"/>
          <w:szCs w:val="24"/>
        </w:rPr>
        <w:t xml:space="preserve"> reviewed the sample allocations and made some slight adjustments to be sure:</w:t>
      </w:r>
    </w:p>
    <w:p w:rsidR="00B44D7E" w:rsidRPr="00730E2D" w:rsidRDefault="00D55570" w:rsidP="00730E2D">
      <w:pPr>
        <w:pStyle w:val="ListParagraph"/>
        <w:numPr>
          <w:ilvl w:val="1"/>
          <w:numId w:val="49"/>
        </w:numPr>
        <w:spacing w:after="120" w:line="240" w:lineRule="auto"/>
        <w:contextualSpacing w:val="0"/>
        <w:jc w:val="both"/>
        <w:rPr>
          <w:rFonts w:asciiTheme="minorHAnsi" w:hAnsiTheme="minorHAnsi"/>
          <w:sz w:val="24"/>
          <w:szCs w:val="24"/>
        </w:rPr>
      </w:pPr>
      <w:r w:rsidRPr="00730E2D">
        <w:rPr>
          <w:rFonts w:asciiTheme="minorHAnsi" w:hAnsiTheme="minorHAnsi"/>
          <w:sz w:val="24"/>
          <w:szCs w:val="24"/>
        </w:rPr>
        <w:t>Total samples after rounding still matched the targeted number by time period and by rigor level, and</w:t>
      </w:r>
      <w:r w:rsidR="00B44D7E" w:rsidRPr="00730E2D">
        <w:rPr>
          <w:rFonts w:asciiTheme="minorHAnsi" w:hAnsiTheme="minorHAnsi"/>
          <w:sz w:val="24"/>
          <w:szCs w:val="24"/>
        </w:rPr>
        <w:t xml:space="preserve"> </w:t>
      </w:r>
    </w:p>
    <w:p w:rsidR="00D55570" w:rsidRPr="00730E2D" w:rsidRDefault="00B44D7E" w:rsidP="00730E2D">
      <w:pPr>
        <w:pStyle w:val="ListParagraph"/>
        <w:numPr>
          <w:ilvl w:val="1"/>
          <w:numId w:val="49"/>
        </w:numPr>
        <w:spacing w:after="120" w:line="240" w:lineRule="auto"/>
        <w:contextualSpacing w:val="0"/>
        <w:jc w:val="both"/>
        <w:rPr>
          <w:rFonts w:asciiTheme="minorHAnsi" w:hAnsiTheme="minorHAnsi"/>
          <w:sz w:val="24"/>
          <w:szCs w:val="24"/>
        </w:rPr>
      </w:pPr>
      <w:r w:rsidRPr="00730E2D">
        <w:rPr>
          <w:rFonts w:asciiTheme="minorHAnsi" w:hAnsiTheme="minorHAnsi"/>
          <w:sz w:val="24"/>
          <w:szCs w:val="24"/>
        </w:rPr>
        <w:t xml:space="preserve">The iterative re-allocation of the remainder did not result in severe over- or under-allocation to any one stratum.  </w:t>
      </w:r>
    </w:p>
    <w:p w:rsidR="003E4890" w:rsidRPr="00730E2D" w:rsidRDefault="003E4890" w:rsidP="00730E2D">
      <w:pPr>
        <w:pStyle w:val="ListParagraph"/>
        <w:spacing w:after="120" w:line="240" w:lineRule="auto"/>
        <w:ind w:left="1440"/>
        <w:contextualSpacing w:val="0"/>
        <w:jc w:val="both"/>
        <w:rPr>
          <w:rFonts w:asciiTheme="minorHAnsi" w:hAnsiTheme="minorHAnsi"/>
        </w:rPr>
      </w:pPr>
    </w:p>
    <w:p w:rsidR="00E015ED" w:rsidRPr="00730E2D" w:rsidRDefault="00387869" w:rsidP="00730E2D">
      <w:pPr>
        <w:spacing w:after="120"/>
        <w:jc w:val="both"/>
        <w:rPr>
          <w:rFonts w:asciiTheme="minorHAnsi" w:hAnsiTheme="minorHAnsi"/>
        </w:rPr>
      </w:pPr>
      <w:r w:rsidRPr="00730E2D">
        <w:rPr>
          <w:rFonts w:asciiTheme="minorHAnsi" w:hAnsiTheme="minorHAnsi"/>
        </w:rPr>
        <w:t xml:space="preserve">Because there was a large enough allocation to certain BPACs, </w:t>
      </w:r>
      <w:r w:rsidR="003A7106" w:rsidRPr="00730E2D">
        <w:rPr>
          <w:rFonts w:asciiTheme="minorHAnsi" w:hAnsiTheme="minorHAnsi"/>
        </w:rPr>
        <w:t>DOE</w:t>
      </w:r>
      <w:r w:rsidRPr="00730E2D">
        <w:rPr>
          <w:rFonts w:asciiTheme="minorHAnsi" w:hAnsiTheme="minorHAnsi"/>
        </w:rPr>
        <w:t xml:space="preserve"> could afford to shift a few sample points to another BPAC to get a better stand-alone estimate for that BPAC, without appreciably reducing the accuracy </w:t>
      </w:r>
      <w:r w:rsidR="00B44D7E" w:rsidRPr="00730E2D">
        <w:rPr>
          <w:rFonts w:asciiTheme="minorHAnsi" w:hAnsiTheme="minorHAnsi"/>
        </w:rPr>
        <w:t>o</w:t>
      </w:r>
      <w:r w:rsidRPr="00730E2D">
        <w:rPr>
          <w:rFonts w:asciiTheme="minorHAnsi" w:hAnsiTheme="minorHAnsi"/>
        </w:rPr>
        <w:t>f the overall estimate.</w:t>
      </w:r>
    </w:p>
    <w:p w:rsidR="00D55570" w:rsidRPr="00730E2D" w:rsidRDefault="00D55570" w:rsidP="00730E2D">
      <w:pPr>
        <w:jc w:val="both"/>
        <w:rPr>
          <w:rFonts w:asciiTheme="minorHAnsi" w:hAnsiTheme="minorHAnsi"/>
        </w:rPr>
      </w:pPr>
    </w:p>
    <w:p w:rsidR="004B0D22" w:rsidRPr="00730E2D" w:rsidRDefault="00DF53D7" w:rsidP="00730E2D">
      <w:pPr>
        <w:jc w:val="both"/>
        <w:rPr>
          <w:rFonts w:asciiTheme="minorHAnsi" w:hAnsiTheme="minorHAnsi"/>
        </w:rPr>
      </w:pPr>
      <w:r w:rsidRPr="00730E2D">
        <w:rPr>
          <w:rFonts w:asciiTheme="minorHAnsi" w:hAnsiTheme="minorHAnsi"/>
        </w:rPr>
        <w:lastRenderedPageBreak/>
        <w:t>It is important to emphasize that</w:t>
      </w:r>
      <w:r w:rsidR="00387869" w:rsidRPr="00730E2D">
        <w:rPr>
          <w:rFonts w:asciiTheme="minorHAnsi" w:hAnsiTheme="minorHAnsi"/>
        </w:rPr>
        <w:t xml:space="preserve"> </w:t>
      </w:r>
      <w:r w:rsidR="003E4890" w:rsidRPr="00730E2D">
        <w:rPr>
          <w:rFonts w:asciiTheme="minorHAnsi" w:hAnsiTheme="minorHAnsi"/>
        </w:rPr>
        <w:t>the sampling objectives were maintained</w:t>
      </w:r>
      <w:r w:rsidRPr="00730E2D">
        <w:rPr>
          <w:rFonts w:asciiTheme="minorHAnsi" w:hAnsiTheme="minorHAnsi"/>
        </w:rPr>
        <w:t xml:space="preserve"> for </w:t>
      </w:r>
      <w:r w:rsidR="003E4890" w:rsidRPr="00730E2D">
        <w:rPr>
          <w:rFonts w:asciiTheme="minorHAnsi" w:hAnsiTheme="minorHAnsi"/>
        </w:rPr>
        <w:t xml:space="preserve">sampling target </w:t>
      </w:r>
      <w:r w:rsidR="00387869" w:rsidRPr="00730E2D">
        <w:rPr>
          <w:rFonts w:asciiTheme="minorHAnsi" w:hAnsiTheme="minorHAnsi"/>
        </w:rPr>
        <w:t>estimates</w:t>
      </w:r>
      <w:r w:rsidRPr="00730E2D">
        <w:rPr>
          <w:rFonts w:asciiTheme="minorHAnsi" w:hAnsiTheme="minorHAnsi"/>
        </w:rPr>
        <w:t xml:space="preserve"> that were as fair as possible</w:t>
      </w:r>
      <w:r w:rsidR="00387869" w:rsidRPr="00730E2D">
        <w:rPr>
          <w:rFonts w:asciiTheme="minorHAnsi" w:hAnsiTheme="minorHAnsi"/>
        </w:rPr>
        <w:t xml:space="preserve">, </w:t>
      </w:r>
      <w:r w:rsidRPr="00730E2D">
        <w:rPr>
          <w:rFonts w:asciiTheme="minorHAnsi" w:hAnsiTheme="minorHAnsi"/>
        </w:rPr>
        <w:t xml:space="preserve">and </w:t>
      </w:r>
      <w:r w:rsidR="00387869" w:rsidRPr="00730E2D">
        <w:rPr>
          <w:rFonts w:asciiTheme="minorHAnsi" w:hAnsiTheme="minorHAnsi"/>
        </w:rPr>
        <w:t>not slanted toward high saving</w:t>
      </w:r>
      <w:r w:rsidRPr="00730E2D">
        <w:rPr>
          <w:rFonts w:asciiTheme="minorHAnsi" w:hAnsiTheme="minorHAnsi"/>
        </w:rPr>
        <w:t>s</w:t>
      </w:r>
      <w:r w:rsidR="00387869" w:rsidRPr="00730E2D">
        <w:rPr>
          <w:rFonts w:asciiTheme="minorHAnsi" w:hAnsiTheme="minorHAnsi"/>
        </w:rPr>
        <w:t xml:space="preserve"> </w:t>
      </w:r>
      <w:r w:rsidR="003E4890" w:rsidRPr="00730E2D">
        <w:rPr>
          <w:rFonts w:asciiTheme="minorHAnsi" w:hAnsiTheme="minorHAnsi"/>
        </w:rPr>
        <w:t>PAs.</w:t>
      </w:r>
      <w:r w:rsidRPr="00730E2D">
        <w:rPr>
          <w:rFonts w:asciiTheme="minorHAnsi" w:hAnsiTheme="minorHAnsi"/>
        </w:rPr>
        <w:t xml:space="preserve">  </w:t>
      </w:r>
      <w:r w:rsidR="003E4890" w:rsidRPr="00730E2D">
        <w:rPr>
          <w:rFonts w:asciiTheme="minorHAnsi" w:hAnsiTheme="minorHAnsi"/>
        </w:rPr>
        <w:t>The sample design did not include savings</w:t>
      </w:r>
      <w:r w:rsidRPr="00730E2D">
        <w:rPr>
          <w:rFonts w:asciiTheme="minorHAnsi" w:hAnsiTheme="minorHAnsi"/>
        </w:rPr>
        <w:t xml:space="preserve"> estimate</w:t>
      </w:r>
      <w:r w:rsidR="003E4890" w:rsidRPr="00730E2D">
        <w:rPr>
          <w:rFonts w:asciiTheme="minorHAnsi" w:hAnsiTheme="minorHAnsi"/>
        </w:rPr>
        <w:t>s</w:t>
      </w:r>
      <w:r w:rsidR="00387869" w:rsidRPr="00730E2D">
        <w:rPr>
          <w:rFonts w:asciiTheme="minorHAnsi" w:hAnsiTheme="minorHAnsi"/>
        </w:rPr>
        <w:t xml:space="preserve"> for the </w:t>
      </w:r>
      <w:r w:rsidR="003E4890" w:rsidRPr="00730E2D">
        <w:rPr>
          <w:rFonts w:asciiTheme="minorHAnsi" w:hAnsiTheme="minorHAnsi"/>
        </w:rPr>
        <w:t>pro</w:t>
      </w:r>
      <w:r w:rsidR="00387869" w:rsidRPr="00730E2D">
        <w:rPr>
          <w:rFonts w:asciiTheme="minorHAnsi" w:hAnsiTheme="minorHAnsi"/>
        </w:rPr>
        <w:t>portion of the population excluded</w:t>
      </w:r>
      <w:r w:rsidRPr="00730E2D">
        <w:rPr>
          <w:rFonts w:asciiTheme="minorHAnsi" w:hAnsiTheme="minorHAnsi"/>
        </w:rPr>
        <w:t xml:space="preserve"> from the study universe</w:t>
      </w:r>
      <w:r w:rsidR="003E4890" w:rsidRPr="00730E2D">
        <w:rPr>
          <w:rFonts w:asciiTheme="minorHAnsi" w:hAnsiTheme="minorHAnsi"/>
        </w:rPr>
        <w:t xml:space="preserve"> and the study will make no claims of savings </w:t>
      </w:r>
      <w:r w:rsidR="00387869" w:rsidRPr="00730E2D">
        <w:rPr>
          <w:rFonts w:asciiTheme="minorHAnsi" w:hAnsiTheme="minorHAnsi"/>
        </w:rPr>
        <w:t xml:space="preserve">for the excluded </w:t>
      </w:r>
      <w:r w:rsidR="003E4890" w:rsidRPr="00730E2D">
        <w:rPr>
          <w:rFonts w:asciiTheme="minorHAnsi" w:hAnsiTheme="minorHAnsi"/>
        </w:rPr>
        <w:t>20% of spending omitted from the study plan</w:t>
      </w:r>
      <w:r w:rsidR="00387869" w:rsidRPr="00730E2D">
        <w:rPr>
          <w:rFonts w:asciiTheme="minorHAnsi" w:hAnsiTheme="minorHAnsi"/>
        </w:rPr>
        <w:t>.</w:t>
      </w:r>
    </w:p>
    <w:p w:rsidR="004B0D22" w:rsidRPr="00730E2D" w:rsidRDefault="004B0D22" w:rsidP="00730E2D">
      <w:pPr>
        <w:jc w:val="both"/>
        <w:rPr>
          <w:rFonts w:asciiTheme="minorHAnsi" w:hAnsiTheme="minorHAnsi"/>
        </w:rPr>
      </w:pPr>
    </w:p>
    <w:p w:rsidR="004B0D22" w:rsidRPr="00730E2D" w:rsidRDefault="00DF53D7" w:rsidP="00730E2D">
      <w:pPr>
        <w:jc w:val="both"/>
        <w:rPr>
          <w:rFonts w:asciiTheme="minorHAnsi" w:hAnsiTheme="minorHAnsi"/>
        </w:rPr>
      </w:pPr>
      <w:r w:rsidRPr="00730E2D">
        <w:rPr>
          <w:rFonts w:asciiTheme="minorHAnsi" w:hAnsiTheme="minorHAnsi"/>
        </w:rPr>
        <w:t>Furthermore, r</w:t>
      </w:r>
      <w:r w:rsidR="00387869" w:rsidRPr="00730E2D">
        <w:rPr>
          <w:rFonts w:asciiTheme="minorHAnsi" w:hAnsiTheme="minorHAnsi"/>
        </w:rPr>
        <w:t xml:space="preserve">egardless of how the allocations were set, selections </w:t>
      </w:r>
      <w:r w:rsidRPr="00730E2D">
        <w:rPr>
          <w:rFonts w:asciiTheme="minorHAnsi" w:hAnsiTheme="minorHAnsi"/>
        </w:rPr>
        <w:t>were</w:t>
      </w:r>
      <w:r w:rsidR="00387869" w:rsidRPr="00730E2D">
        <w:rPr>
          <w:rFonts w:asciiTheme="minorHAnsi" w:hAnsiTheme="minorHAnsi"/>
        </w:rPr>
        <w:t xml:space="preserve"> random, except for large PAs selected with certainty. </w:t>
      </w:r>
      <w:r w:rsidRPr="00730E2D">
        <w:rPr>
          <w:rFonts w:asciiTheme="minorHAnsi" w:hAnsiTheme="minorHAnsi"/>
        </w:rPr>
        <w:t xml:space="preserve"> These c</w:t>
      </w:r>
      <w:r w:rsidR="00387869" w:rsidRPr="00730E2D">
        <w:rPr>
          <w:rFonts w:asciiTheme="minorHAnsi" w:hAnsiTheme="minorHAnsi"/>
        </w:rPr>
        <w:t>ertainty selections represent only themselves.</w:t>
      </w:r>
      <w:r w:rsidRPr="00730E2D">
        <w:rPr>
          <w:rFonts w:asciiTheme="minorHAnsi" w:hAnsiTheme="minorHAnsi"/>
        </w:rPr>
        <w:t xml:space="preserve">  </w:t>
      </w:r>
      <w:r w:rsidR="00387869" w:rsidRPr="00730E2D">
        <w:rPr>
          <w:rFonts w:asciiTheme="minorHAnsi" w:hAnsiTheme="minorHAnsi"/>
        </w:rPr>
        <w:t>Random selections from a particular BPAC/subcat</w:t>
      </w:r>
      <w:r w:rsidRPr="00730E2D">
        <w:rPr>
          <w:rFonts w:asciiTheme="minorHAnsi" w:hAnsiTheme="minorHAnsi"/>
        </w:rPr>
        <w:t>egory</w:t>
      </w:r>
      <w:r w:rsidR="00387869" w:rsidRPr="00730E2D">
        <w:rPr>
          <w:rFonts w:asciiTheme="minorHAnsi" w:hAnsiTheme="minorHAnsi"/>
        </w:rPr>
        <w:t xml:space="preserve"> </w:t>
      </w:r>
      <w:r w:rsidR="003E4890" w:rsidRPr="00730E2D">
        <w:rPr>
          <w:rFonts w:asciiTheme="minorHAnsi" w:hAnsiTheme="minorHAnsi"/>
        </w:rPr>
        <w:t xml:space="preserve">combination </w:t>
      </w:r>
      <w:r w:rsidR="00387869" w:rsidRPr="00730E2D">
        <w:rPr>
          <w:rFonts w:asciiTheme="minorHAnsi" w:hAnsiTheme="minorHAnsi"/>
        </w:rPr>
        <w:t>represent only (the noncertainty portion of) that BPAC/subcat</w:t>
      </w:r>
      <w:r w:rsidRPr="00730E2D">
        <w:rPr>
          <w:rFonts w:asciiTheme="minorHAnsi" w:hAnsiTheme="minorHAnsi"/>
        </w:rPr>
        <w:t>egory</w:t>
      </w:r>
      <w:r w:rsidR="003E4890" w:rsidRPr="00730E2D">
        <w:rPr>
          <w:rFonts w:asciiTheme="minorHAnsi" w:hAnsiTheme="minorHAnsi"/>
        </w:rPr>
        <w:t>.</w:t>
      </w:r>
    </w:p>
    <w:p w:rsidR="00F67216" w:rsidRPr="00730E2D" w:rsidRDefault="00F67216" w:rsidP="00730E2D">
      <w:pPr>
        <w:jc w:val="both"/>
        <w:rPr>
          <w:rFonts w:asciiTheme="minorHAnsi" w:hAnsiTheme="minorHAnsi"/>
        </w:rPr>
      </w:pPr>
    </w:p>
    <w:p w:rsidR="00D55570" w:rsidRPr="00730E2D" w:rsidRDefault="00D55570" w:rsidP="00730E2D">
      <w:pPr>
        <w:jc w:val="both"/>
        <w:rPr>
          <w:rFonts w:asciiTheme="minorHAnsi" w:hAnsiTheme="minorHAnsi"/>
        </w:rPr>
      </w:pPr>
      <w:r w:rsidRPr="00730E2D">
        <w:rPr>
          <w:rFonts w:asciiTheme="minorHAnsi" w:hAnsiTheme="minorHAnsi"/>
        </w:rPr>
        <w:t>The remainder of this section presents the results of each of the steps</w:t>
      </w:r>
      <w:r w:rsidR="00E83E7F" w:rsidRPr="00730E2D">
        <w:rPr>
          <w:rFonts w:asciiTheme="minorHAnsi" w:hAnsiTheme="minorHAnsi"/>
        </w:rPr>
        <w:t xml:space="preserve"> listed above</w:t>
      </w:r>
      <w:r w:rsidRPr="00730E2D">
        <w:rPr>
          <w:rFonts w:asciiTheme="minorHAnsi" w:hAnsiTheme="minorHAnsi"/>
        </w:rPr>
        <w:t>.</w:t>
      </w:r>
    </w:p>
    <w:p w:rsidR="00D55570" w:rsidRPr="00730E2D" w:rsidRDefault="00D55570" w:rsidP="00730E2D">
      <w:pPr>
        <w:jc w:val="both"/>
        <w:rPr>
          <w:rFonts w:asciiTheme="minorHAnsi" w:hAnsiTheme="minorHAnsi"/>
        </w:rPr>
      </w:pPr>
    </w:p>
    <w:p w:rsidR="00D55570" w:rsidRPr="00730E2D" w:rsidRDefault="00387869" w:rsidP="00730E2D">
      <w:pPr>
        <w:pStyle w:val="Heading3"/>
        <w:numPr>
          <w:ilvl w:val="0"/>
          <w:numId w:val="0"/>
        </w:numPr>
        <w:spacing w:line="240" w:lineRule="auto"/>
        <w:jc w:val="both"/>
        <w:rPr>
          <w:rFonts w:asciiTheme="minorHAnsi" w:hAnsiTheme="minorHAnsi"/>
          <w:sz w:val="24"/>
          <w:szCs w:val="24"/>
        </w:rPr>
      </w:pPr>
      <w:bookmarkStart w:id="14" w:name="_Toc295816846"/>
      <w:bookmarkStart w:id="15" w:name="_Toc297187476"/>
      <w:r w:rsidRPr="00730E2D">
        <w:rPr>
          <w:rFonts w:asciiTheme="minorHAnsi" w:eastAsia="Calibri" w:hAnsiTheme="minorHAnsi"/>
          <w:sz w:val="24"/>
          <w:szCs w:val="24"/>
        </w:rPr>
        <w:t>Completed Sample Frame</w:t>
      </w:r>
      <w:bookmarkEnd w:id="14"/>
      <w:bookmarkEnd w:id="15"/>
    </w:p>
    <w:p w:rsidR="00D55570" w:rsidRPr="00730E2D" w:rsidRDefault="00387869" w:rsidP="00730E2D">
      <w:pPr>
        <w:pStyle w:val="ParaText"/>
        <w:spacing w:line="240" w:lineRule="auto"/>
        <w:jc w:val="both"/>
        <w:rPr>
          <w:rFonts w:asciiTheme="minorHAnsi" w:hAnsiTheme="minorHAnsi"/>
          <w:sz w:val="24"/>
          <w:szCs w:val="24"/>
        </w:rPr>
      </w:pPr>
      <w:r w:rsidRPr="00730E2D">
        <w:rPr>
          <w:rFonts w:asciiTheme="minorHAnsi" w:eastAsia="Calibri" w:hAnsiTheme="minorHAnsi"/>
          <w:sz w:val="24"/>
          <w:szCs w:val="24"/>
        </w:rPr>
        <w:t>As noted, our starting point for frame definition was to select the largest BPAC/Subcategory strata that sum to at least 80 percent of funding.  To meet this condition, the minimum funding percentage for a BPAC/Subcategory stratum turned out to be 3 percent for each period.  In addition, as noted, certain BPAC/Subcategory strata that are below the minimum size criterion were included for policy reasons to ensure adequate inclusion of important BPACs.  The additional included strata are the following:</w:t>
      </w:r>
    </w:p>
    <w:p w:rsidR="004B0D22" w:rsidRPr="00730E2D" w:rsidRDefault="00387869" w:rsidP="00730E2D">
      <w:pPr>
        <w:pStyle w:val="ListParagraph"/>
        <w:numPr>
          <w:ilvl w:val="0"/>
          <w:numId w:val="58"/>
        </w:numPr>
        <w:jc w:val="both"/>
        <w:rPr>
          <w:rFonts w:asciiTheme="minorHAnsi" w:hAnsiTheme="minorHAnsi"/>
        </w:rPr>
      </w:pPr>
      <w:r w:rsidRPr="00730E2D">
        <w:rPr>
          <w:rFonts w:asciiTheme="minorHAnsi" w:hAnsiTheme="minorHAnsi"/>
        </w:rPr>
        <w:t>Building Codes and Standards—this BPAC is anticipated to produce savings disproportionate to spending.  Ideally, the evaluation team would include cells and allocate sample to them proportional to savings as opposed to spending, however, there is no general and consistent indicator of savings available to rely on.</w:t>
      </w:r>
    </w:p>
    <w:p w:rsidR="00D55570" w:rsidRPr="00730E2D" w:rsidRDefault="00387869" w:rsidP="00730E2D">
      <w:pPr>
        <w:pStyle w:val="ParaText"/>
        <w:numPr>
          <w:ilvl w:val="0"/>
          <w:numId w:val="50"/>
        </w:numPr>
        <w:spacing w:line="240" w:lineRule="auto"/>
        <w:jc w:val="both"/>
        <w:rPr>
          <w:rFonts w:asciiTheme="minorHAnsi" w:hAnsiTheme="minorHAnsi"/>
        </w:rPr>
      </w:pPr>
      <w:r w:rsidRPr="00730E2D">
        <w:rPr>
          <w:rFonts w:asciiTheme="minorHAnsi" w:hAnsiTheme="minorHAnsi"/>
        </w:rPr>
        <w:t>Subcategories of Workshops/Demonstrations and Training/Certification that are likely to be evaluable, if the other subcategories of the associated BPAC are included.</w:t>
      </w:r>
    </w:p>
    <w:p w:rsidR="00D55570" w:rsidRPr="00730E2D" w:rsidRDefault="00387869" w:rsidP="00730E2D">
      <w:pPr>
        <w:pStyle w:val="ParaText"/>
        <w:numPr>
          <w:ilvl w:val="0"/>
          <w:numId w:val="50"/>
        </w:numPr>
        <w:spacing w:line="240" w:lineRule="auto"/>
        <w:jc w:val="both"/>
        <w:rPr>
          <w:rFonts w:asciiTheme="minorHAnsi" w:hAnsiTheme="minorHAnsi"/>
        </w:rPr>
      </w:pPr>
      <w:r w:rsidRPr="00730E2D">
        <w:rPr>
          <w:rFonts w:asciiTheme="minorHAnsi" w:hAnsiTheme="minorHAnsi"/>
        </w:rPr>
        <w:t xml:space="preserve">Building Retrofit subcategories if not already included based on size. </w:t>
      </w:r>
    </w:p>
    <w:p w:rsidR="00D55570" w:rsidRPr="00730E2D" w:rsidRDefault="00FA480F" w:rsidP="00730E2D">
      <w:pPr>
        <w:pStyle w:val="ParaText"/>
        <w:spacing w:line="240" w:lineRule="auto"/>
        <w:jc w:val="both"/>
        <w:rPr>
          <w:rFonts w:asciiTheme="minorHAnsi" w:hAnsiTheme="minorHAnsi"/>
          <w:sz w:val="24"/>
          <w:szCs w:val="24"/>
        </w:rPr>
      </w:pPr>
      <w:r w:rsidRPr="00730E2D">
        <w:rPr>
          <w:rFonts w:asciiTheme="minorHAnsi" w:hAnsiTheme="minorHAnsi"/>
          <w:sz w:val="24"/>
          <w:szCs w:val="24"/>
        </w:rPr>
        <w:t>T</w:t>
      </w:r>
      <w:r w:rsidR="00D55570" w:rsidRPr="00730E2D">
        <w:rPr>
          <w:rFonts w:asciiTheme="minorHAnsi" w:hAnsiTheme="minorHAnsi"/>
          <w:sz w:val="24"/>
          <w:szCs w:val="24"/>
        </w:rPr>
        <w:t xml:space="preserve">he Stage 1 sampling frame represents 80.3 percent of SEP funding for PY2008, and 86.4 percent for the ARRA period. </w:t>
      </w:r>
      <w:r w:rsidR="00384822" w:rsidRPr="00730E2D">
        <w:rPr>
          <w:rFonts w:asciiTheme="minorHAnsi" w:hAnsiTheme="minorHAnsi"/>
          <w:sz w:val="24"/>
          <w:szCs w:val="24"/>
        </w:rPr>
        <w:t xml:space="preserve"> Figure 3</w:t>
      </w:r>
      <w:r w:rsidR="00D55570" w:rsidRPr="00730E2D">
        <w:rPr>
          <w:rFonts w:asciiTheme="minorHAnsi" w:hAnsiTheme="minorHAnsi"/>
          <w:sz w:val="24"/>
          <w:szCs w:val="24"/>
        </w:rPr>
        <w:t xml:space="preserve"> and</w:t>
      </w:r>
      <w:r w:rsidR="00384822" w:rsidRPr="00730E2D">
        <w:rPr>
          <w:rFonts w:asciiTheme="minorHAnsi" w:hAnsiTheme="minorHAnsi"/>
          <w:sz w:val="24"/>
          <w:szCs w:val="24"/>
        </w:rPr>
        <w:t xml:space="preserve"> Figure 4</w:t>
      </w:r>
      <w:r w:rsidR="00B4189C" w:rsidRPr="00730E2D">
        <w:rPr>
          <w:rFonts w:asciiTheme="minorHAnsi" w:hAnsiTheme="minorHAnsi"/>
          <w:sz w:val="24"/>
          <w:szCs w:val="24"/>
        </w:rPr>
        <w:t>, respectively,</w:t>
      </w:r>
      <w:r w:rsidR="00D55570" w:rsidRPr="00730E2D">
        <w:rPr>
          <w:rFonts w:asciiTheme="minorHAnsi" w:hAnsiTheme="minorHAnsi"/>
          <w:sz w:val="24"/>
          <w:szCs w:val="24"/>
        </w:rPr>
        <w:t xml:space="preserve"> display the </w:t>
      </w:r>
      <w:r w:rsidR="00B4189C" w:rsidRPr="00730E2D">
        <w:rPr>
          <w:rFonts w:asciiTheme="minorHAnsi" w:hAnsiTheme="minorHAnsi"/>
          <w:sz w:val="24"/>
          <w:szCs w:val="24"/>
        </w:rPr>
        <w:t>included BPAC-subcategory strata for the two study periods, along with their program budgets,</w:t>
      </w:r>
      <w:r w:rsidR="00384822" w:rsidRPr="00730E2D">
        <w:rPr>
          <w:rFonts w:asciiTheme="minorHAnsi" w:hAnsiTheme="minorHAnsi"/>
          <w:sz w:val="24"/>
          <w:szCs w:val="24"/>
        </w:rPr>
        <w:t xml:space="preserve"> </w:t>
      </w:r>
      <w:r w:rsidR="00796823" w:rsidRPr="00730E2D">
        <w:rPr>
          <w:rFonts w:asciiTheme="minorHAnsi" w:hAnsiTheme="minorHAnsi"/>
          <w:sz w:val="24"/>
          <w:szCs w:val="24"/>
        </w:rPr>
        <w:t>and</w:t>
      </w:r>
      <w:r w:rsidR="00D55570" w:rsidRPr="00730E2D">
        <w:rPr>
          <w:rFonts w:asciiTheme="minorHAnsi" w:hAnsiTheme="minorHAnsi"/>
          <w:sz w:val="24"/>
          <w:szCs w:val="24"/>
        </w:rPr>
        <w:t xml:space="preserve"> number of available PAs </w:t>
      </w:r>
      <w:r w:rsidR="007334C5" w:rsidRPr="00730E2D">
        <w:rPr>
          <w:rFonts w:asciiTheme="minorHAnsi" w:hAnsiTheme="minorHAnsi"/>
          <w:sz w:val="24"/>
          <w:szCs w:val="24"/>
        </w:rPr>
        <w:t>(</w:t>
      </w:r>
      <w:r w:rsidR="00B4189C" w:rsidRPr="00730E2D">
        <w:rPr>
          <w:rFonts w:asciiTheme="minorHAnsi" w:hAnsiTheme="minorHAnsi"/>
          <w:sz w:val="24"/>
          <w:szCs w:val="24"/>
        </w:rPr>
        <w:t xml:space="preserve">Stage 1 </w:t>
      </w:r>
      <w:r w:rsidR="007334C5" w:rsidRPr="00730E2D">
        <w:rPr>
          <w:rFonts w:asciiTheme="minorHAnsi" w:hAnsiTheme="minorHAnsi"/>
          <w:sz w:val="24"/>
          <w:szCs w:val="24"/>
        </w:rPr>
        <w:t>population counts)</w:t>
      </w:r>
      <w:r w:rsidR="00B4189C" w:rsidRPr="00730E2D">
        <w:rPr>
          <w:rFonts w:asciiTheme="minorHAnsi" w:hAnsiTheme="minorHAnsi"/>
          <w:sz w:val="24"/>
          <w:szCs w:val="24"/>
        </w:rPr>
        <w:t>.  Also indicated in these tables is the program budget as a percentage of the total program</w:t>
      </w:r>
      <w:r w:rsidR="00796823" w:rsidRPr="00730E2D">
        <w:rPr>
          <w:rFonts w:asciiTheme="minorHAnsi" w:hAnsiTheme="minorHAnsi"/>
          <w:sz w:val="24"/>
          <w:szCs w:val="24"/>
        </w:rPr>
        <w:t xml:space="preserve"> budget in the study universe</w:t>
      </w:r>
      <w:r w:rsidR="00D55570" w:rsidRPr="00730E2D">
        <w:rPr>
          <w:rFonts w:asciiTheme="minorHAnsi" w:hAnsiTheme="minorHAnsi"/>
          <w:sz w:val="24"/>
          <w:szCs w:val="24"/>
        </w:rPr>
        <w:t xml:space="preserve">. </w:t>
      </w:r>
      <w:r w:rsidR="00B4189C" w:rsidRPr="00730E2D">
        <w:rPr>
          <w:rFonts w:asciiTheme="minorHAnsi" w:hAnsiTheme="minorHAnsi"/>
          <w:sz w:val="24"/>
          <w:szCs w:val="24"/>
        </w:rPr>
        <w:t>Y</w:t>
      </w:r>
      <w:r w:rsidR="00D55570" w:rsidRPr="00730E2D">
        <w:rPr>
          <w:rFonts w:asciiTheme="minorHAnsi" w:hAnsiTheme="minorHAnsi"/>
          <w:sz w:val="24"/>
          <w:szCs w:val="24"/>
        </w:rPr>
        <w:t xml:space="preserve">ellow </w:t>
      </w:r>
      <w:r w:rsidR="00B4189C" w:rsidRPr="00730E2D">
        <w:rPr>
          <w:rFonts w:asciiTheme="minorHAnsi" w:hAnsiTheme="minorHAnsi"/>
          <w:sz w:val="24"/>
          <w:szCs w:val="24"/>
        </w:rPr>
        <w:t>highlighted rows</w:t>
      </w:r>
      <w:r w:rsidR="00D55570" w:rsidRPr="00730E2D">
        <w:rPr>
          <w:rFonts w:asciiTheme="minorHAnsi" w:hAnsiTheme="minorHAnsi"/>
          <w:sz w:val="24"/>
          <w:szCs w:val="24"/>
        </w:rPr>
        <w:t xml:space="preserve"> are those BPAC/subcategory </w:t>
      </w:r>
      <w:r w:rsidR="00B4189C" w:rsidRPr="00730E2D">
        <w:rPr>
          <w:rFonts w:asciiTheme="minorHAnsi" w:hAnsiTheme="minorHAnsi"/>
          <w:sz w:val="24"/>
          <w:szCs w:val="24"/>
        </w:rPr>
        <w:t>s</w:t>
      </w:r>
      <w:r w:rsidR="007334C5" w:rsidRPr="00730E2D">
        <w:rPr>
          <w:rFonts w:asciiTheme="minorHAnsi" w:hAnsiTheme="minorHAnsi"/>
          <w:sz w:val="24"/>
          <w:szCs w:val="24"/>
        </w:rPr>
        <w:t>trata that</w:t>
      </w:r>
      <w:r w:rsidR="00D55570" w:rsidRPr="00730E2D">
        <w:rPr>
          <w:rFonts w:asciiTheme="minorHAnsi" w:hAnsiTheme="minorHAnsi"/>
          <w:sz w:val="24"/>
          <w:szCs w:val="24"/>
        </w:rPr>
        <w:t xml:space="preserve"> are included for </w:t>
      </w:r>
      <w:r w:rsidR="00B4189C" w:rsidRPr="00730E2D">
        <w:rPr>
          <w:rFonts w:asciiTheme="minorHAnsi" w:hAnsiTheme="minorHAnsi"/>
          <w:sz w:val="24"/>
          <w:szCs w:val="24"/>
        </w:rPr>
        <w:t xml:space="preserve">one of the three </w:t>
      </w:r>
      <w:r w:rsidR="00D55570" w:rsidRPr="00730E2D">
        <w:rPr>
          <w:rFonts w:asciiTheme="minorHAnsi" w:hAnsiTheme="minorHAnsi"/>
          <w:sz w:val="24"/>
          <w:szCs w:val="24"/>
        </w:rPr>
        <w:t>policy reasons</w:t>
      </w:r>
      <w:r w:rsidR="00B4189C" w:rsidRPr="00730E2D">
        <w:rPr>
          <w:rFonts w:asciiTheme="minorHAnsi" w:hAnsiTheme="minorHAnsi"/>
          <w:sz w:val="24"/>
          <w:szCs w:val="24"/>
        </w:rPr>
        <w:t xml:space="preserve"> noted above</w:t>
      </w:r>
      <w:r w:rsidR="00D55570" w:rsidRPr="00730E2D">
        <w:rPr>
          <w:rFonts w:asciiTheme="minorHAnsi" w:hAnsiTheme="minorHAnsi"/>
          <w:sz w:val="24"/>
          <w:szCs w:val="24"/>
        </w:rPr>
        <w:t xml:space="preserve">.  As shown, </w:t>
      </w:r>
      <w:r w:rsidR="00B4189C" w:rsidRPr="00730E2D">
        <w:rPr>
          <w:rFonts w:asciiTheme="minorHAnsi" w:hAnsiTheme="minorHAnsi"/>
          <w:sz w:val="24"/>
          <w:szCs w:val="24"/>
        </w:rPr>
        <w:t xml:space="preserve">140 </w:t>
      </w:r>
      <w:r w:rsidR="00D55570" w:rsidRPr="00730E2D">
        <w:rPr>
          <w:rFonts w:asciiTheme="minorHAnsi" w:hAnsiTheme="minorHAnsi"/>
          <w:sz w:val="24"/>
          <w:szCs w:val="24"/>
        </w:rPr>
        <w:t xml:space="preserve">PAs are included in the Stage 1 sampling frame for PY2008 and </w:t>
      </w:r>
      <w:r w:rsidR="00B4189C" w:rsidRPr="00730E2D">
        <w:rPr>
          <w:rFonts w:asciiTheme="minorHAnsi" w:hAnsiTheme="minorHAnsi"/>
          <w:sz w:val="24"/>
          <w:szCs w:val="24"/>
        </w:rPr>
        <w:t xml:space="preserve">306 </w:t>
      </w:r>
      <w:r w:rsidR="00D55570" w:rsidRPr="00730E2D">
        <w:rPr>
          <w:rFonts w:asciiTheme="minorHAnsi" w:hAnsiTheme="minorHAnsi"/>
          <w:sz w:val="24"/>
          <w:szCs w:val="24"/>
        </w:rPr>
        <w:t>for the ARRA period.</w:t>
      </w:r>
    </w:p>
    <w:p w:rsidR="00D55570" w:rsidRPr="00730E2D" w:rsidRDefault="00D55570" w:rsidP="00730E2D">
      <w:pPr>
        <w:tabs>
          <w:tab w:val="left" w:pos="360"/>
          <w:tab w:val="left" w:pos="720"/>
          <w:tab w:val="left" w:pos="1080"/>
          <w:tab w:val="left" w:pos="1440"/>
          <w:tab w:val="left" w:pos="1800"/>
        </w:tabs>
        <w:jc w:val="both"/>
        <w:rPr>
          <w:rFonts w:asciiTheme="minorHAnsi" w:hAnsiTheme="minorHAnsi"/>
        </w:rPr>
      </w:pPr>
    </w:p>
    <w:p w:rsidR="006C761E" w:rsidRPr="00730E2D" w:rsidRDefault="006C761E" w:rsidP="00D55570">
      <w:pPr>
        <w:tabs>
          <w:tab w:val="left" w:pos="360"/>
          <w:tab w:val="left" w:pos="720"/>
          <w:tab w:val="left" w:pos="1080"/>
          <w:tab w:val="left" w:pos="1440"/>
          <w:tab w:val="left" w:pos="1800"/>
        </w:tabs>
        <w:rPr>
          <w:rFonts w:asciiTheme="minorHAnsi" w:hAnsiTheme="minorHAnsi"/>
        </w:rPr>
        <w:sectPr w:rsidR="006C761E" w:rsidRPr="00730E2D" w:rsidSect="006C761E">
          <w:footerReference w:type="even" r:id="rId16"/>
          <w:footerReference w:type="default" r:id="rId17"/>
          <w:pgSz w:w="12240" w:h="15840" w:code="1"/>
          <w:pgMar w:top="1440" w:right="1440" w:bottom="1440" w:left="1440" w:header="720" w:footer="720" w:gutter="0"/>
          <w:cols w:space="720"/>
          <w:docGrid w:linePitch="360"/>
        </w:sectPr>
      </w:pPr>
    </w:p>
    <w:p w:rsidR="00D55570" w:rsidRPr="00730E2D" w:rsidRDefault="00384822" w:rsidP="00384822">
      <w:pPr>
        <w:pStyle w:val="Caption"/>
        <w:rPr>
          <w:rFonts w:asciiTheme="minorHAnsi" w:hAnsiTheme="minorHAnsi"/>
        </w:rPr>
      </w:pPr>
      <w:r w:rsidRPr="00730E2D">
        <w:rPr>
          <w:rFonts w:asciiTheme="minorHAnsi" w:hAnsiTheme="minorHAnsi"/>
        </w:rPr>
        <w:lastRenderedPageBreak/>
        <w:t xml:space="preserve">Figure </w:t>
      </w:r>
      <w:r w:rsidR="003260F1" w:rsidRPr="00730E2D">
        <w:rPr>
          <w:rFonts w:asciiTheme="minorHAnsi" w:hAnsiTheme="minorHAnsi"/>
        </w:rPr>
        <w:fldChar w:fldCharType="begin"/>
      </w:r>
      <w:r w:rsidRPr="00730E2D">
        <w:rPr>
          <w:rFonts w:asciiTheme="minorHAnsi" w:hAnsiTheme="minorHAnsi"/>
        </w:rPr>
        <w:instrText xml:space="preserve"> SEQ Figure \* ARABIC </w:instrText>
      </w:r>
      <w:r w:rsidR="003260F1" w:rsidRPr="00730E2D">
        <w:rPr>
          <w:rFonts w:asciiTheme="minorHAnsi" w:hAnsiTheme="minorHAnsi"/>
        </w:rPr>
        <w:fldChar w:fldCharType="separate"/>
      </w:r>
      <w:r w:rsidR="00852B44" w:rsidRPr="00730E2D">
        <w:rPr>
          <w:rFonts w:asciiTheme="minorHAnsi" w:hAnsiTheme="minorHAnsi"/>
          <w:noProof/>
        </w:rPr>
        <w:t>3</w:t>
      </w:r>
      <w:r w:rsidR="003260F1" w:rsidRPr="00730E2D">
        <w:rPr>
          <w:rFonts w:asciiTheme="minorHAnsi" w:hAnsiTheme="minorHAnsi"/>
        </w:rPr>
        <w:fldChar w:fldCharType="end"/>
      </w:r>
      <w:r w:rsidR="00A00539" w:rsidRPr="00730E2D">
        <w:rPr>
          <w:rFonts w:asciiTheme="minorHAnsi" w:hAnsiTheme="minorHAnsi"/>
        </w:rPr>
        <w:t>:</w:t>
      </w:r>
      <w:r w:rsidR="00D55570" w:rsidRPr="00730E2D">
        <w:rPr>
          <w:rFonts w:asciiTheme="minorHAnsi" w:hAnsiTheme="minorHAnsi"/>
        </w:rPr>
        <w:t xml:space="preserve"> </w:t>
      </w:r>
      <w:r w:rsidR="00B4189C" w:rsidRPr="00730E2D">
        <w:rPr>
          <w:rFonts w:asciiTheme="minorHAnsi" w:hAnsiTheme="minorHAnsi"/>
        </w:rPr>
        <w:t>Stage 1 Sampling Strata Included in the Covered Study Universe</w:t>
      </w:r>
      <w:r w:rsidR="00D55570" w:rsidRPr="00730E2D">
        <w:rPr>
          <w:rFonts w:asciiTheme="minorHAnsi" w:hAnsiTheme="minorHAnsi"/>
        </w:rPr>
        <w:t xml:space="preserve"> (PY2008)</w:t>
      </w:r>
    </w:p>
    <w:tbl>
      <w:tblPr>
        <w:tblW w:w="9180" w:type="dxa"/>
        <w:jc w:val="center"/>
        <w:tblInd w:w="-360" w:type="dxa"/>
        <w:tblLook w:val="04A0" w:firstRow="1" w:lastRow="0" w:firstColumn="1" w:lastColumn="0" w:noHBand="0" w:noVBand="1"/>
      </w:tblPr>
      <w:tblGrid>
        <w:gridCol w:w="2320"/>
        <w:gridCol w:w="2920"/>
        <w:gridCol w:w="960"/>
        <w:gridCol w:w="1240"/>
        <w:gridCol w:w="960"/>
        <w:gridCol w:w="780"/>
      </w:tblGrid>
      <w:tr w:rsidR="00D55570" w:rsidRPr="00730E2D" w:rsidTr="009B21BF">
        <w:trPr>
          <w:cantSplit/>
          <w:trHeight w:val="1134"/>
          <w:tblHeader/>
          <w:jc w:val="center"/>
        </w:trPr>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b/>
                <w:bCs/>
                <w:color w:val="000000"/>
                <w:sz w:val="20"/>
                <w:szCs w:val="20"/>
              </w:rPr>
            </w:pPr>
            <w:r w:rsidRPr="00730E2D">
              <w:rPr>
                <w:rFonts w:asciiTheme="minorHAnsi" w:hAnsiTheme="minorHAnsi"/>
                <w:b/>
                <w:bCs/>
                <w:color w:val="000000"/>
                <w:sz w:val="20"/>
                <w:szCs w:val="20"/>
              </w:rPr>
              <w:t>BPAC</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b/>
                <w:bCs/>
                <w:color w:val="000000"/>
                <w:sz w:val="20"/>
                <w:szCs w:val="20"/>
              </w:rPr>
            </w:pPr>
            <w:r w:rsidRPr="00730E2D">
              <w:rPr>
                <w:rFonts w:asciiTheme="minorHAnsi" w:hAnsiTheme="minorHAnsi"/>
                <w:b/>
                <w:bCs/>
                <w:color w:val="000000"/>
                <w:sz w:val="20"/>
                <w:szCs w:val="20"/>
              </w:rPr>
              <w:t>Subcat</w:t>
            </w:r>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rsidR="00D55570" w:rsidRPr="00730E2D" w:rsidRDefault="00D55570" w:rsidP="00384822">
            <w:pPr>
              <w:ind w:left="115" w:right="115"/>
              <w:jc w:val="center"/>
              <w:rPr>
                <w:rFonts w:asciiTheme="minorHAnsi" w:hAnsiTheme="minorHAnsi"/>
                <w:b/>
                <w:bCs/>
                <w:color w:val="000000"/>
                <w:sz w:val="20"/>
                <w:szCs w:val="20"/>
              </w:rPr>
            </w:pPr>
            <w:r w:rsidRPr="00730E2D">
              <w:rPr>
                <w:rFonts w:asciiTheme="minorHAnsi" w:hAnsiTheme="minorHAnsi"/>
                <w:b/>
                <w:bCs/>
                <w:color w:val="000000"/>
                <w:sz w:val="20"/>
                <w:szCs w:val="20"/>
              </w:rPr>
              <w:t>Target Rigor</w:t>
            </w:r>
          </w:p>
        </w:tc>
        <w:tc>
          <w:tcPr>
            <w:tcW w:w="1240" w:type="dxa"/>
            <w:tcBorders>
              <w:top w:val="single" w:sz="4" w:space="0" w:color="auto"/>
              <w:left w:val="nil"/>
              <w:bottom w:val="single" w:sz="4" w:space="0" w:color="auto"/>
              <w:right w:val="single" w:sz="4" w:space="0" w:color="auto"/>
            </w:tcBorders>
            <w:shd w:val="clear" w:color="auto" w:fill="auto"/>
            <w:textDirection w:val="btLr"/>
            <w:vAlign w:val="center"/>
            <w:hideMark/>
          </w:tcPr>
          <w:p w:rsidR="00D55570" w:rsidRPr="00730E2D" w:rsidRDefault="00D55570" w:rsidP="00384822">
            <w:pPr>
              <w:ind w:left="115" w:right="115"/>
              <w:jc w:val="center"/>
              <w:rPr>
                <w:rFonts w:asciiTheme="minorHAnsi" w:hAnsiTheme="minorHAnsi"/>
                <w:b/>
                <w:bCs/>
                <w:color w:val="000000"/>
                <w:sz w:val="20"/>
                <w:szCs w:val="20"/>
              </w:rPr>
            </w:pPr>
            <w:r w:rsidRPr="00730E2D">
              <w:rPr>
                <w:rFonts w:asciiTheme="minorHAnsi" w:hAnsiTheme="minorHAnsi"/>
                <w:b/>
                <w:bCs/>
                <w:color w:val="000000"/>
                <w:sz w:val="20"/>
                <w:szCs w:val="20"/>
              </w:rPr>
              <w:t>SEP Budget</w:t>
            </w:r>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rsidR="00D55570" w:rsidRPr="00730E2D" w:rsidRDefault="00D55570" w:rsidP="00384822">
            <w:pPr>
              <w:ind w:left="115" w:right="115"/>
              <w:jc w:val="center"/>
              <w:rPr>
                <w:rFonts w:asciiTheme="minorHAnsi" w:hAnsiTheme="minorHAnsi"/>
                <w:b/>
                <w:bCs/>
                <w:color w:val="000000"/>
                <w:sz w:val="20"/>
                <w:szCs w:val="20"/>
              </w:rPr>
            </w:pPr>
            <w:r w:rsidRPr="00730E2D">
              <w:rPr>
                <w:rFonts w:asciiTheme="minorHAnsi" w:hAnsiTheme="minorHAnsi"/>
                <w:b/>
                <w:bCs/>
                <w:color w:val="000000"/>
                <w:sz w:val="20"/>
                <w:szCs w:val="20"/>
              </w:rPr>
              <w:t xml:space="preserve">Percent of </w:t>
            </w:r>
            <w:r w:rsidR="00B4189C" w:rsidRPr="00730E2D">
              <w:rPr>
                <w:rFonts w:asciiTheme="minorHAnsi" w:hAnsiTheme="minorHAnsi"/>
                <w:b/>
                <w:bCs/>
                <w:color w:val="000000"/>
                <w:sz w:val="20"/>
                <w:szCs w:val="20"/>
              </w:rPr>
              <w:t xml:space="preserve">Covered </w:t>
            </w:r>
            <w:r w:rsidRPr="00730E2D">
              <w:rPr>
                <w:rFonts w:asciiTheme="minorHAnsi" w:hAnsiTheme="minorHAnsi"/>
                <w:b/>
                <w:bCs/>
                <w:color w:val="000000"/>
                <w:sz w:val="20"/>
                <w:szCs w:val="20"/>
              </w:rPr>
              <w:t>SEP Budget</w:t>
            </w:r>
          </w:p>
        </w:tc>
        <w:tc>
          <w:tcPr>
            <w:tcW w:w="780" w:type="dxa"/>
            <w:tcBorders>
              <w:top w:val="single" w:sz="4" w:space="0" w:color="auto"/>
              <w:left w:val="nil"/>
              <w:bottom w:val="single" w:sz="4" w:space="0" w:color="auto"/>
              <w:right w:val="single" w:sz="4" w:space="0" w:color="auto"/>
            </w:tcBorders>
            <w:shd w:val="clear" w:color="auto" w:fill="auto"/>
            <w:textDirection w:val="btLr"/>
            <w:vAlign w:val="center"/>
            <w:hideMark/>
          </w:tcPr>
          <w:p w:rsidR="00D55570" w:rsidRPr="00730E2D" w:rsidRDefault="00D55570" w:rsidP="00384822">
            <w:pPr>
              <w:ind w:left="115" w:right="115"/>
              <w:jc w:val="center"/>
              <w:rPr>
                <w:rFonts w:asciiTheme="minorHAnsi" w:hAnsiTheme="minorHAnsi"/>
                <w:b/>
                <w:bCs/>
                <w:color w:val="000000"/>
                <w:sz w:val="20"/>
                <w:szCs w:val="20"/>
              </w:rPr>
            </w:pPr>
            <w:r w:rsidRPr="00730E2D">
              <w:rPr>
                <w:rFonts w:asciiTheme="minorHAnsi" w:hAnsiTheme="minorHAnsi"/>
                <w:b/>
                <w:bCs/>
                <w:color w:val="000000"/>
                <w:sz w:val="20"/>
                <w:szCs w:val="20"/>
              </w:rPr>
              <w:t>Number of PAs</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Building Codes and Standards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Building Code Development and Support</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MH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right"/>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393,875</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1%</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5</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Building Codes and Standards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Generalized Workshops and Demonstrations (Participants maybe traceable)</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MH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20"/>
                <w:szCs w:val="20"/>
              </w:rPr>
            </w:pPr>
            <w:r w:rsidRPr="00730E2D">
              <w:rPr>
                <w:rFonts w:asciiTheme="minorHAnsi" w:hAnsiTheme="minorHAnsi"/>
                <w:color w:val="000000"/>
                <w:sz w:val="20"/>
                <w:szCs w:val="20"/>
              </w:rPr>
              <w:t>1,617,449</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4%</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6</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Building Codes and Standards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Targeted Training and/or Certification (participants are traceable)</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MH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right"/>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677,485</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2%</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5</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Building Codes and Standards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Technical Assistance to Building Owners</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MH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20"/>
                <w:szCs w:val="20"/>
              </w:rPr>
            </w:pPr>
            <w:r w:rsidRPr="00730E2D">
              <w:rPr>
                <w:rFonts w:asciiTheme="minorHAnsi" w:hAnsiTheme="minorHAnsi"/>
                <w:color w:val="000000"/>
                <w:sz w:val="20"/>
                <w:szCs w:val="20"/>
              </w:rPr>
              <w:t>2,972,522</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7%</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3</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Building Retrofits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Building Retrofits: Nonresidential</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right"/>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903,728</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2%</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4</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Building Retrofits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Building Retrofits: Residential</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right"/>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576,183</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1%</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4</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Building Retrofits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Generalized Workshops and Demonstrations (Participants maybe traceable)</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MH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20"/>
                <w:szCs w:val="20"/>
              </w:rPr>
            </w:pPr>
            <w:r w:rsidRPr="00730E2D">
              <w:rPr>
                <w:rFonts w:asciiTheme="minorHAnsi" w:hAnsiTheme="minorHAnsi"/>
                <w:color w:val="000000"/>
                <w:sz w:val="20"/>
                <w:szCs w:val="20"/>
              </w:rPr>
              <w:t>2,589,997</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6%</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21</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Building Retrofits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Targeted Training and/or Certification (participants are traceable)</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MH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right"/>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181,447</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0%</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5</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Building Retrofits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Technical Assistance to Building Owners</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MH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20"/>
                <w:szCs w:val="20"/>
              </w:rPr>
            </w:pPr>
            <w:r w:rsidRPr="00730E2D">
              <w:rPr>
                <w:rFonts w:asciiTheme="minorHAnsi" w:hAnsiTheme="minorHAnsi"/>
                <w:color w:val="000000"/>
                <w:sz w:val="20"/>
                <w:szCs w:val="20"/>
              </w:rPr>
              <w:t>4,060,411</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9%</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11</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Clean Energy Policy Support</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Policy and Market Studies; Legislative Support</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MH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20"/>
                <w:szCs w:val="20"/>
              </w:rPr>
            </w:pPr>
            <w:r w:rsidRPr="00730E2D">
              <w:rPr>
                <w:rFonts w:asciiTheme="minorHAnsi" w:hAnsiTheme="minorHAnsi"/>
                <w:color w:val="000000"/>
                <w:sz w:val="20"/>
                <w:szCs w:val="20"/>
              </w:rPr>
              <w:t>5,539,183</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13%</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31</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Loans, Grants and Incentives (Excl Retro)</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Alternative Fuels, Ride Share and Traffic Optimization</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MH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20"/>
                <w:szCs w:val="20"/>
              </w:rPr>
            </w:pPr>
            <w:r w:rsidRPr="00730E2D">
              <w:rPr>
                <w:rFonts w:asciiTheme="minorHAnsi" w:hAnsiTheme="minorHAnsi"/>
                <w:color w:val="000000"/>
                <w:sz w:val="20"/>
                <w:szCs w:val="20"/>
              </w:rPr>
              <w:t>2,932,203</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7%</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10</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Loans, Grants and Incentives (Excl Retro)</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Generalized Workshops and Demonstrations (Participants maybe traceable)</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MH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right"/>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94,722</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0%</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2</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Loans, Grants and Incentives (Excl Retro)</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Technical Assistance to Building Owners</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MH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20"/>
                <w:szCs w:val="20"/>
              </w:rPr>
            </w:pPr>
            <w:r w:rsidRPr="00730E2D">
              <w:rPr>
                <w:rFonts w:asciiTheme="minorHAnsi" w:hAnsiTheme="minorHAnsi"/>
                <w:color w:val="000000"/>
                <w:sz w:val="20"/>
                <w:szCs w:val="20"/>
              </w:rPr>
              <w:t>5,062,979</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12%</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4</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Loans, Grants and Incentives (Retro Only)</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Building Retrofits: Nonresidential</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20"/>
                <w:szCs w:val="20"/>
              </w:rPr>
            </w:pPr>
            <w:r w:rsidRPr="00730E2D">
              <w:rPr>
                <w:rFonts w:asciiTheme="minorHAnsi" w:hAnsiTheme="minorHAnsi"/>
                <w:color w:val="000000"/>
                <w:sz w:val="20"/>
                <w:szCs w:val="20"/>
              </w:rPr>
              <w:t>9,392,550</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21%</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8</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Loans, Grants and Incentives (Retro Only)</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Building Retrofits: Residential</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20"/>
                <w:szCs w:val="20"/>
              </w:rPr>
            </w:pPr>
            <w:r w:rsidRPr="00730E2D">
              <w:rPr>
                <w:rFonts w:asciiTheme="minorHAnsi" w:hAnsiTheme="minorHAnsi"/>
                <w:color w:val="000000"/>
                <w:sz w:val="20"/>
                <w:szCs w:val="20"/>
              </w:rPr>
              <w:t>2,332,255</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5%</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2</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Renewable Energy Market Development</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Generalized Workshops and Demonstrations (Participants maybe traceable)</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MH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20"/>
                <w:szCs w:val="20"/>
              </w:rPr>
            </w:pPr>
            <w:r w:rsidRPr="00730E2D">
              <w:rPr>
                <w:rFonts w:asciiTheme="minorHAnsi" w:hAnsiTheme="minorHAnsi"/>
                <w:color w:val="000000"/>
                <w:sz w:val="20"/>
                <w:szCs w:val="20"/>
              </w:rPr>
              <w:t>2,704,155</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6%</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11</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Technical Assistance</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Generalized Workshops and Demonstrations (Participants maybe traceable)</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MH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right"/>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30,425</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0%</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1</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Technical Assistance</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Targeted Training and/or Certification (participants are traceable)</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MH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right"/>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95,880</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0%</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20"/>
                <w:szCs w:val="20"/>
                <w:highlight w:val="yellow"/>
              </w:rPr>
            </w:pPr>
            <w:r w:rsidRPr="00730E2D">
              <w:rPr>
                <w:rFonts w:asciiTheme="minorHAnsi" w:hAnsiTheme="minorHAnsi"/>
                <w:color w:val="000000"/>
                <w:sz w:val="20"/>
                <w:szCs w:val="20"/>
                <w:highlight w:val="yellow"/>
              </w:rPr>
              <w:t>1</w:t>
            </w:r>
          </w:p>
        </w:tc>
      </w:tr>
      <w:tr w:rsidR="00D55570" w:rsidRPr="00730E2D" w:rsidTr="009B21BF">
        <w:trPr>
          <w:trHeight w:val="2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Technical Assistance</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20"/>
                <w:szCs w:val="20"/>
              </w:rPr>
            </w:pPr>
            <w:r w:rsidRPr="00730E2D">
              <w:rPr>
                <w:rFonts w:asciiTheme="minorHAnsi" w:hAnsiTheme="minorHAnsi"/>
                <w:color w:val="000000"/>
                <w:sz w:val="20"/>
                <w:szCs w:val="20"/>
              </w:rPr>
              <w:t>Technical Assistance to Building Owners</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MH</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20"/>
                <w:szCs w:val="20"/>
              </w:rPr>
            </w:pPr>
            <w:r w:rsidRPr="00730E2D">
              <w:rPr>
                <w:rFonts w:asciiTheme="minorHAnsi" w:hAnsiTheme="minorHAnsi"/>
                <w:color w:val="000000"/>
                <w:sz w:val="20"/>
                <w:szCs w:val="20"/>
              </w:rPr>
              <w:t>1,800,693</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4%</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6</w:t>
            </w:r>
          </w:p>
        </w:tc>
      </w:tr>
      <w:tr w:rsidR="00D55570" w:rsidRPr="00730E2D" w:rsidTr="009B21BF">
        <w:trPr>
          <w:trHeight w:val="20"/>
          <w:jc w:val="center"/>
        </w:trPr>
        <w:tc>
          <w:tcPr>
            <w:tcW w:w="62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20"/>
                <w:szCs w:val="20"/>
              </w:rPr>
            </w:pPr>
            <w:r w:rsidRPr="00730E2D">
              <w:rPr>
                <w:rFonts w:asciiTheme="minorHAnsi" w:hAnsiTheme="minorHAnsi"/>
                <w:color w:val="000000"/>
                <w:sz w:val="20"/>
                <w:szCs w:val="20"/>
              </w:rPr>
              <w:t>43,958,143</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20"/>
                <w:szCs w:val="20"/>
              </w:rPr>
            </w:pPr>
            <w:r w:rsidRPr="00730E2D">
              <w:rPr>
                <w:rFonts w:asciiTheme="minorHAnsi" w:hAnsiTheme="minorHAnsi"/>
                <w:color w:val="000000"/>
                <w:sz w:val="20"/>
                <w:szCs w:val="20"/>
              </w:rPr>
              <w:t>140</w:t>
            </w:r>
          </w:p>
        </w:tc>
      </w:tr>
    </w:tbl>
    <w:p w:rsidR="00D55570" w:rsidRPr="00730E2D" w:rsidRDefault="00D55570" w:rsidP="00730E2D">
      <w:pPr>
        <w:spacing w:after="200" w:line="276" w:lineRule="auto"/>
        <w:rPr>
          <w:rFonts w:asciiTheme="minorHAnsi" w:hAnsiTheme="minorHAnsi"/>
        </w:rPr>
      </w:pPr>
      <w:r w:rsidRPr="00730E2D">
        <w:rPr>
          <w:rFonts w:asciiTheme="minorHAnsi" w:hAnsiTheme="minorHAnsi"/>
        </w:rPr>
        <w:br w:type="page"/>
      </w:r>
      <w:r w:rsidR="00384822" w:rsidRPr="00730E2D">
        <w:rPr>
          <w:rFonts w:asciiTheme="minorHAnsi" w:hAnsiTheme="minorHAnsi"/>
        </w:rPr>
        <w:lastRenderedPageBreak/>
        <w:t xml:space="preserve">Figure </w:t>
      </w:r>
      <w:r w:rsidR="003260F1" w:rsidRPr="00730E2D">
        <w:rPr>
          <w:rFonts w:asciiTheme="minorHAnsi" w:hAnsiTheme="minorHAnsi"/>
        </w:rPr>
        <w:fldChar w:fldCharType="begin"/>
      </w:r>
      <w:r w:rsidR="00384822" w:rsidRPr="00730E2D">
        <w:rPr>
          <w:rFonts w:asciiTheme="minorHAnsi" w:hAnsiTheme="minorHAnsi"/>
        </w:rPr>
        <w:instrText xml:space="preserve"> SEQ Figure \* ARABIC </w:instrText>
      </w:r>
      <w:r w:rsidR="003260F1" w:rsidRPr="00730E2D">
        <w:rPr>
          <w:rFonts w:asciiTheme="minorHAnsi" w:hAnsiTheme="minorHAnsi"/>
        </w:rPr>
        <w:fldChar w:fldCharType="separate"/>
      </w:r>
      <w:r w:rsidR="00852B44" w:rsidRPr="00730E2D">
        <w:rPr>
          <w:rFonts w:asciiTheme="minorHAnsi" w:hAnsiTheme="minorHAnsi"/>
          <w:noProof/>
        </w:rPr>
        <w:t>4</w:t>
      </w:r>
      <w:r w:rsidR="003260F1" w:rsidRPr="00730E2D">
        <w:rPr>
          <w:rFonts w:asciiTheme="minorHAnsi" w:hAnsiTheme="minorHAnsi"/>
        </w:rPr>
        <w:fldChar w:fldCharType="end"/>
      </w:r>
      <w:r w:rsidRPr="00730E2D">
        <w:rPr>
          <w:rFonts w:asciiTheme="minorHAnsi" w:hAnsiTheme="minorHAnsi"/>
        </w:rPr>
        <w:t xml:space="preserve">: </w:t>
      </w:r>
      <w:r w:rsidR="00B4189C" w:rsidRPr="00730E2D">
        <w:rPr>
          <w:rFonts w:asciiTheme="minorHAnsi" w:hAnsiTheme="minorHAnsi"/>
        </w:rPr>
        <w:t>Stage 1 Sampling Strata Included in the Covered Study Universe</w:t>
      </w:r>
      <w:r w:rsidR="00B4189C" w:rsidRPr="00730E2D" w:rsidDel="00B4189C">
        <w:rPr>
          <w:rFonts w:asciiTheme="minorHAnsi" w:hAnsiTheme="minorHAnsi"/>
        </w:rPr>
        <w:t xml:space="preserve"> </w:t>
      </w:r>
      <w:r w:rsidRPr="00730E2D">
        <w:rPr>
          <w:rFonts w:asciiTheme="minorHAnsi" w:hAnsiTheme="minorHAnsi"/>
        </w:rPr>
        <w:t>(ARRA)</w:t>
      </w:r>
    </w:p>
    <w:tbl>
      <w:tblPr>
        <w:tblW w:w="9284" w:type="dxa"/>
        <w:tblInd w:w="94" w:type="dxa"/>
        <w:tblLook w:val="04A0" w:firstRow="1" w:lastRow="0" w:firstColumn="1" w:lastColumn="0" w:noHBand="0" w:noVBand="1"/>
      </w:tblPr>
      <w:tblGrid>
        <w:gridCol w:w="1960"/>
        <w:gridCol w:w="2920"/>
        <w:gridCol w:w="960"/>
        <w:gridCol w:w="1374"/>
        <w:gridCol w:w="1080"/>
        <w:gridCol w:w="990"/>
      </w:tblGrid>
      <w:tr w:rsidR="00D55570" w:rsidRPr="00730E2D" w:rsidTr="009B21BF">
        <w:trPr>
          <w:cantSplit/>
          <w:trHeight w:val="1134"/>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b/>
                <w:bCs/>
                <w:color w:val="000000"/>
                <w:sz w:val="19"/>
                <w:szCs w:val="19"/>
              </w:rPr>
            </w:pPr>
            <w:r w:rsidRPr="00730E2D">
              <w:rPr>
                <w:rFonts w:asciiTheme="minorHAnsi" w:hAnsiTheme="minorHAnsi"/>
                <w:b/>
                <w:bCs/>
                <w:color w:val="000000"/>
                <w:sz w:val="19"/>
                <w:szCs w:val="19"/>
              </w:rPr>
              <w:t>BPAC</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b/>
                <w:bCs/>
                <w:color w:val="000000"/>
                <w:sz w:val="19"/>
                <w:szCs w:val="19"/>
              </w:rPr>
            </w:pPr>
            <w:r w:rsidRPr="00730E2D">
              <w:rPr>
                <w:rFonts w:asciiTheme="minorHAnsi" w:hAnsiTheme="minorHAnsi"/>
                <w:b/>
                <w:bCs/>
                <w:color w:val="000000"/>
                <w:sz w:val="19"/>
                <w:szCs w:val="19"/>
              </w:rPr>
              <w:t>Subcat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b/>
                <w:bCs/>
                <w:color w:val="000000"/>
                <w:sz w:val="19"/>
                <w:szCs w:val="19"/>
              </w:rPr>
            </w:pPr>
            <w:r w:rsidRPr="00730E2D">
              <w:rPr>
                <w:rFonts w:asciiTheme="minorHAnsi" w:hAnsiTheme="minorHAnsi"/>
                <w:b/>
                <w:bCs/>
                <w:color w:val="000000"/>
                <w:sz w:val="19"/>
                <w:szCs w:val="19"/>
              </w:rPr>
              <w:t>Target Rigor</w:t>
            </w:r>
          </w:p>
        </w:tc>
        <w:tc>
          <w:tcPr>
            <w:tcW w:w="1374" w:type="dxa"/>
            <w:tcBorders>
              <w:top w:val="single" w:sz="4" w:space="0" w:color="auto"/>
              <w:left w:val="nil"/>
              <w:bottom w:val="single" w:sz="4" w:space="0" w:color="auto"/>
              <w:right w:val="single" w:sz="4" w:space="0" w:color="auto"/>
            </w:tcBorders>
            <w:shd w:val="clear" w:color="auto" w:fill="auto"/>
            <w:textDirection w:val="btLr"/>
            <w:vAlign w:val="center"/>
            <w:hideMark/>
          </w:tcPr>
          <w:p w:rsidR="00D55570" w:rsidRPr="00730E2D" w:rsidRDefault="00D55570" w:rsidP="00384822">
            <w:pPr>
              <w:ind w:left="113" w:right="113"/>
              <w:jc w:val="center"/>
              <w:rPr>
                <w:rFonts w:asciiTheme="minorHAnsi" w:hAnsiTheme="minorHAnsi"/>
                <w:b/>
                <w:bCs/>
                <w:color w:val="000000"/>
                <w:sz w:val="19"/>
                <w:szCs w:val="19"/>
              </w:rPr>
            </w:pPr>
            <w:r w:rsidRPr="00730E2D">
              <w:rPr>
                <w:rFonts w:asciiTheme="minorHAnsi" w:hAnsiTheme="minorHAnsi"/>
                <w:b/>
                <w:bCs/>
                <w:color w:val="000000"/>
                <w:sz w:val="19"/>
                <w:szCs w:val="19"/>
              </w:rPr>
              <w:t>SEP Budget</w:t>
            </w:r>
          </w:p>
        </w:tc>
        <w:tc>
          <w:tcPr>
            <w:tcW w:w="1080" w:type="dxa"/>
            <w:tcBorders>
              <w:top w:val="single" w:sz="4" w:space="0" w:color="auto"/>
              <w:left w:val="nil"/>
              <w:bottom w:val="single" w:sz="4" w:space="0" w:color="auto"/>
              <w:right w:val="single" w:sz="4" w:space="0" w:color="auto"/>
            </w:tcBorders>
            <w:shd w:val="clear" w:color="auto" w:fill="auto"/>
            <w:textDirection w:val="btLr"/>
            <w:vAlign w:val="center"/>
            <w:hideMark/>
          </w:tcPr>
          <w:p w:rsidR="00D55570" w:rsidRPr="00730E2D" w:rsidRDefault="00D55570" w:rsidP="00384822">
            <w:pPr>
              <w:ind w:left="113" w:right="113"/>
              <w:jc w:val="center"/>
              <w:rPr>
                <w:rFonts w:asciiTheme="minorHAnsi" w:hAnsiTheme="minorHAnsi"/>
                <w:b/>
                <w:bCs/>
                <w:color w:val="000000"/>
                <w:sz w:val="19"/>
                <w:szCs w:val="19"/>
              </w:rPr>
            </w:pPr>
            <w:r w:rsidRPr="00730E2D">
              <w:rPr>
                <w:rFonts w:asciiTheme="minorHAnsi" w:hAnsiTheme="minorHAnsi"/>
                <w:b/>
                <w:bCs/>
                <w:color w:val="000000"/>
                <w:sz w:val="19"/>
                <w:szCs w:val="19"/>
              </w:rPr>
              <w:t xml:space="preserve">Percent of </w:t>
            </w:r>
            <w:r w:rsidR="00B4189C" w:rsidRPr="00730E2D">
              <w:rPr>
                <w:rFonts w:asciiTheme="minorHAnsi" w:hAnsiTheme="minorHAnsi"/>
                <w:b/>
                <w:bCs/>
                <w:color w:val="000000"/>
                <w:sz w:val="19"/>
                <w:szCs w:val="19"/>
              </w:rPr>
              <w:t xml:space="preserve">Covered </w:t>
            </w:r>
            <w:r w:rsidRPr="00730E2D">
              <w:rPr>
                <w:rFonts w:asciiTheme="minorHAnsi" w:hAnsiTheme="minorHAnsi"/>
                <w:b/>
                <w:bCs/>
                <w:color w:val="000000"/>
                <w:sz w:val="19"/>
                <w:szCs w:val="19"/>
              </w:rPr>
              <w:t>SEP Budget</w:t>
            </w:r>
          </w:p>
        </w:tc>
        <w:tc>
          <w:tcPr>
            <w:tcW w:w="990" w:type="dxa"/>
            <w:tcBorders>
              <w:top w:val="single" w:sz="4" w:space="0" w:color="auto"/>
              <w:left w:val="nil"/>
              <w:bottom w:val="single" w:sz="4" w:space="0" w:color="auto"/>
              <w:right w:val="single" w:sz="4" w:space="0" w:color="auto"/>
            </w:tcBorders>
            <w:shd w:val="clear" w:color="auto" w:fill="auto"/>
            <w:textDirection w:val="btLr"/>
            <w:vAlign w:val="center"/>
            <w:hideMark/>
          </w:tcPr>
          <w:p w:rsidR="00D55570" w:rsidRPr="00730E2D" w:rsidRDefault="00D55570" w:rsidP="00384822">
            <w:pPr>
              <w:ind w:left="113" w:right="113"/>
              <w:jc w:val="center"/>
              <w:rPr>
                <w:rFonts w:asciiTheme="minorHAnsi" w:hAnsiTheme="minorHAnsi"/>
                <w:b/>
                <w:bCs/>
                <w:color w:val="000000"/>
                <w:sz w:val="19"/>
                <w:szCs w:val="19"/>
              </w:rPr>
            </w:pPr>
            <w:r w:rsidRPr="00730E2D">
              <w:rPr>
                <w:rFonts w:asciiTheme="minorHAnsi" w:hAnsiTheme="minorHAnsi"/>
                <w:b/>
                <w:bCs/>
                <w:color w:val="000000"/>
                <w:sz w:val="19"/>
                <w:szCs w:val="19"/>
              </w:rPr>
              <w:t>Number of PAs</w:t>
            </w:r>
          </w:p>
        </w:tc>
      </w:tr>
      <w:tr w:rsidR="00D55570" w:rsidRPr="00730E2D" w:rsidTr="009B21BF">
        <w:trPr>
          <w:trHeight w:val="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Building Codes and Standards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Building Codes and Standards: Codes</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MH</w:t>
            </w:r>
          </w:p>
        </w:tc>
        <w:tc>
          <w:tcPr>
            <w:tcW w:w="1374"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right"/>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10,381,043</w:t>
            </w:r>
          </w:p>
        </w:tc>
        <w:tc>
          <w:tcPr>
            <w:tcW w:w="108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0%</w:t>
            </w:r>
          </w:p>
        </w:tc>
        <w:tc>
          <w:tcPr>
            <w:tcW w:w="99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10</w:t>
            </w:r>
          </w:p>
        </w:tc>
      </w:tr>
      <w:tr w:rsidR="00D55570" w:rsidRPr="00730E2D" w:rsidTr="009B21BF">
        <w:trPr>
          <w:trHeight w:val="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Building Codes and Standards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Generalized Workshops and Demonstrations (Participants maybe traceable)</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MH</w:t>
            </w:r>
          </w:p>
        </w:tc>
        <w:tc>
          <w:tcPr>
            <w:tcW w:w="1374"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right"/>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19,223,610</w:t>
            </w:r>
          </w:p>
        </w:tc>
        <w:tc>
          <w:tcPr>
            <w:tcW w:w="108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1%</w:t>
            </w:r>
          </w:p>
        </w:tc>
        <w:tc>
          <w:tcPr>
            <w:tcW w:w="99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2</w:t>
            </w:r>
          </w:p>
        </w:tc>
      </w:tr>
      <w:tr w:rsidR="00D55570" w:rsidRPr="00730E2D" w:rsidTr="009B21BF">
        <w:trPr>
          <w:trHeight w:val="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Building Codes and Standards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Targeted Training and/or Certification (participants are traceable)</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MH</w:t>
            </w:r>
          </w:p>
        </w:tc>
        <w:tc>
          <w:tcPr>
            <w:tcW w:w="1374"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right"/>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3,075,498</w:t>
            </w:r>
          </w:p>
        </w:tc>
        <w:tc>
          <w:tcPr>
            <w:tcW w:w="108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0%</w:t>
            </w:r>
          </w:p>
        </w:tc>
        <w:tc>
          <w:tcPr>
            <w:tcW w:w="99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7</w:t>
            </w:r>
          </w:p>
        </w:tc>
      </w:tr>
      <w:tr w:rsidR="00D55570" w:rsidRPr="00730E2D" w:rsidTr="009B21BF">
        <w:trPr>
          <w:trHeight w:val="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19"/>
                <w:szCs w:val="19"/>
              </w:rPr>
            </w:pPr>
            <w:r w:rsidRPr="00730E2D">
              <w:rPr>
                <w:rFonts w:asciiTheme="minorHAnsi" w:hAnsiTheme="minorHAnsi"/>
                <w:color w:val="000000"/>
                <w:sz w:val="19"/>
                <w:szCs w:val="19"/>
              </w:rPr>
              <w:t>Building Retrofits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19"/>
                <w:szCs w:val="19"/>
              </w:rPr>
            </w:pPr>
            <w:r w:rsidRPr="00730E2D">
              <w:rPr>
                <w:rFonts w:asciiTheme="minorHAnsi" w:hAnsiTheme="minorHAnsi"/>
                <w:color w:val="000000"/>
                <w:sz w:val="19"/>
                <w:szCs w:val="19"/>
              </w:rPr>
              <w:t>Building Retrofits: Nonresidential</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H</w:t>
            </w:r>
          </w:p>
        </w:tc>
        <w:tc>
          <w:tcPr>
            <w:tcW w:w="1374"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19"/>
                <w:szCs w:val="19"/>
              </w:rPr>
            </w:pPr>
            <w:r w:rsidRPr="00730E2D">
              <w:rPr>
                <w:rFonts w:asciiTheme="minorHAnsi" w:hAnsiTheme="minorHAnsi"/>
                <w:color w:val="000000"/>
                <w:sz w:val="19"/>
                <w:szCs w:val="19"/>
              </w:rPr>
              <w:t>507,614,260</w:t>
            </w:r>
          </w:p>
        </w:tc>
        <w:tc>
          <w:tcPr>
            <w:tcW w:w="10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22%</w:t>
            </w:r>
          </w:p>
        </w:tc>
        <w:tc>
          <w:tcPr>
            <w:tcW w:w="99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70</w:t>
            </w:r>
          </w:p>
        </w:tc>
      </w:tr>
      <w:tr w:rsidR="00D55570" w:rsidRPr="00730E2D" w:rsidTr="009B21BF">
        <w:trPr>
          <w:trHeight w:val="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Building Retrofits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Building Retrofits: Residential</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H</w:t>
            </w:r>
          </w:p>
        </w:tc>
        <w:tc>
          <w:tcPr>
            <w:tcW w:w="1374"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right"/>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91,550,234</w:t>
            </w:r>
          </w:p>
        </w:tc>
        <w:tc>
          <w:tcPr>
            <w:tcW w:w="108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4%</w:t>
            </w:r>
          </w:p>
        </w:tc>
        <w:tc>
          <w:tcPr>
            <w:tcW w:w="99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11</w:t>
            </w:r>
          </w:p>
        </w:tc>
      </w:tr>
      <w:tr w:rsidR="00D55570" w:rsidRPr="00730E2D" w:rsidTr="009B21BF">
        <w:trPr>
          <w:trHeight w:val="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Building Retrofits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Generalized Workshops and Demonstrations (Participants maybe traceable)</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MH</w:t>
            </w:r>
          </w:p>
        </w:tc>
        <w:tc>
          <w:tcPr>
            <w:tcW w:w="1374"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right"/>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667,990</w:t>
            </w:r>
          </w:p>
        </w:tc>
        <w:tc>
          <w:tcPr>
            <w:tcW w:w="108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0%</w:t>
            </w:r>
          </w:p>
        </w:tc>
        <w:tc>
          <w:tcPr>
            <w:tcW w:w="99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1</w:t>
            </w:r>
          </w:p>
        </w:tc>
      </w:tr>
      <w:tr w:rsidR="00D55570" w:rsidRPr="00730E2D" w:rsidTr="009B21BF">
        <w:trPr>
          <w:trHeight w:val="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Building Retrofits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Targeted Training and/or Certification (participants are traceable)</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MH</w:t>
            </w:r>
          </w:p>
        </w:tc>
        <w:tc>
          <w:tcPr>
            <w:tcW w:w="1374"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right"/>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25,637,692</w:t>
            </w:r>
          </w:p>
        </w:tc>
        <w:tc>
          <w:tcPr>
            <w:tcW w:w="108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1%</w:t>
            </w:r>
          </w:p>
        </w:tc>
        <w:tc>
          <w:tcPr>
            <w:tcW w:w="99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7</w:t>
            </w:r>
          </w:p>
        </w:tc>
      </w:tr>
      <w:tr w:rsidR="00D55570" w:rsidRPr="00730E2D" w:rsidTr="009B21BF">
        <w:trPr>
          <w:trHeight w:val="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Loans, Grants and Incentives (Excl Retrofits and Projects)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Generalized Workshops and Demonstrations (Participants maybe traceable)</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MH</w:t>
            </w:r>
          </w:p>
        </w:tc>
        <w:tc>
          <w:tcPr>
            <w:tcW w:w="1374"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right"/>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4,247,962</w:t>
            </w:r>
          </w:p>
        </w:tc>
        <w:tc>
          <w:tcPr>
            <w:tcW w:w="108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0%</w:t>
            </w:r>
          </w:p>
        </w:tc>
        <w:tc>
          <w:tcPr>
            <w:tcW w:w="99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4</w:t>
            </w:r>
          </w:p>
        </w:tc>
      </w:tr>
      <w:tr w:rsidR="00D55570" w:rsidRPr="00730E2D" w:rsidTr="009B21BF">
        <w:trPr>
          <w:trHeight w:val="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19"/>
                <w:szCs w:val="19"/>
              </w:rPr>
            </w:pPr>
            <w:r w:rsidRPr="00730E2D">
              <w:rPr>
                <w:rFonts w:asciiTheme="minorHAnsi" w:hAnsiTheme="minorHAnsi"/>
                <w:color w:val="000000"/>
                <w:sz w:val="19"/>
                <w:szCs w:val="19"/>
              </w:rPr>
              <w:t>Loans, Grants and Incentives (Excl Retrofits and Projects)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19"/>
                <w:szCs w:val="19"/>
              </w:rPr>
            </w:pPr>
            <w:r w:rsidRPr="00730E2D">
              <w:rPr>
                <w:rFonts w:asciiTheme="minorHAnsi" w:hAnsiTheme="minorHAnsi"/>
                <w:color w:val="000000"/>
                <w:sz w:val="19"/>
                <w:szCs w:val="19"/>
              </w:rPr>
              <w:t>Renewable Energy Market Development: Manufacturing</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MH</w:t>
            </w:r>
          </w:p>
        </w:tc>
        <w:tc>
          <w:tcPr>
            <w:tcW w:w="1374"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19"/>
                <w:szCs w:val="19"/>
              </w:rPr>
            </w:pPr>
            <w:r w:rsidRPr="00730E2D">
              <w:rPr>
                <w:rFonts w:asciiTheme="minorHAnsi" w:hAnsiTheme="minorHAnsi"/>
                <w:color w:val="000000"/>
                <w:sz w:val="19"/>
                <w:szCs w:val="19"/>
              </w:rPr>
              <w:t>251,957,503</w:t>
            </w:r>
          </w:p>
        </w:tc>
        <w:tc>
          <w:tcPr>
            <w:tcW w:w="10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11%</w:t>
            </w:r>
          </w:p>
        </w:tc>
        <w:tc>
          <w:tcPr>
            <w:tcW w:w="99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12</w:t>
            </w:r>
          </w:p>
        </w:tc>
      </w:tr>
      <w:tr w:rsidR="00D55570" w:rsidRPr="00730E2D" w:rsidTr="009B21BF">
        <w:trPr>
          <w:trHeight w:val="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Loans, Grants and Incentives (Excl Retrofits and Projects)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Targeted Training and/or Certification (participants are traceable)</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MH</w:t>
            </w:r>
          </w:p>
        </w:tc>
        <w:tc>
          <w:tcPr>
            <w:tcW w:w="1374"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right"/>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9,548,163</w:t>
            </w:r>
          </w:p>
        </w:tc>
        <w:tc>
          <w:tcPr>
            <w:tcW w:w="108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0%</w:t>
            </w:r>
          </w:p>
        </w:tc>
        <w:tc>
          <w:tcPr>
            <w:tcW w:w="99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2</w:t>
            </w:r>
          </w:p>
        </w:tc>
      </w:tr>
      <w:tr w:rsidR="00D55570" w:rsidRPr="00730E2D" w:rsidTr="009B21BF">
        <w:trPr>
          <w:trHeight w:val="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19"/>
                <w:szCs w:val="19"/>
              </w:rPr>
            </w:pPr>
            <w:r w:rsidRPr="00730E2D">
              <w:rPr>
                <w:rFonts w:asciiTheme="minorHAnsi" w:hAnsiTheme="minorHAnsi"/>
                <w:color w:val="000000"/>
                <w:sz w:val="19"/>
                <w:szCs w:val="19"/>
              </w:rPr>
              <w:t>Loans, Grants and Incentives (Retrofits and Projects)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19"/>
                <w:szCs w:val="19"/>
              </w:rPr>
            </w:pPr>
            <w:r w:rsidRPr="00730E2D">
              <w:rPr>
                <w:rFonts w:asciiTheme="minorHAnsi" w:hAnsiTheme="minorHAnsi"/>
                <w:color w:val="000000"/>
                <w:sz w:val="19"/>
                <w:szCs w:val="19"/>
              </w:rPr>
              <w:t>Building Retrofits: Nonresidential</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H</w:t>
            </w:r>
          </w:p>
        </w:tc>
        <w:tc>
          <w:tcPr>
            <w:tcW w:w="1374"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19"/>
                <w:szCs w:val="19"/>
              </w:rPr>
            </w:pPr>
            <w:r w:rsidRPr="00730E2D">
              <w:rPr>
                <w:rFonts w:asciiTheme="minorHAnsi" w:hAnsiTheme="minorHAnsi"/>
                <w:color w:val="000000"/>
                <w:sz w:val="19"/>
                <w:szCs w:val="19"/>
              </w:rPr>
              <w:t>488,804,472</w:t>
            </w:r>
          </w:p>
        </w:tc>
        <w:tc>
          <w:tcPr>
            <w:tcW w:w="10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22%</w:t>
            </w:r>
          </w:p>
        </w:tc>
        <w:tc>
          <w:tcPr>
            <w:tcW w:w="99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43</w:t>
            </w:r>
          </w:p>
        </w:tc>
      </w:tr>
      <w:tr w:rsidR="00D55570" w:rsidRPr="00730E2D" w:rsidTr="009B21BF">
        <w:trPr>
          <w:trHeight w:val="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19"/>
                <w:szCs w:val="19"/>
              </w:rPr>
            </w:pPr>
            <w:r w:rsidRPr="00730E2D">
              <w:rPr>
                <w:rFonts w:asciiTheme="minorHAnsi" w:hAnsiTheme="minorHAnsi"/>
                <w:color w:val="000000"/>
                <w:sz w:val="19"/>
                <w:szCs w:val="19"/>
              </w:rPr>
              <w:t>Loans, Grants and Incentives (Retrofits and Projects)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19"/>
                <w:szCs w:val="19"/>
              </w:rPr>
            </w:pPr>
            <w:r w:rsidRPr="00730E2D">
              <w:rPr>
                <w:rFonts w:asciiTheme="minorHAnsi" w:hAnsiTheme="minorHAnsi"/>
                <w:color w:val="000000"/>
                <w:sz w:val="19"/>
                <w:szCs w:val="19"/>
              </w:rPr>
              <w:t>Building Retrofits: Residential</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H</w:t>
            </w:r>
          </w:p>
        </w:tc>
        <w:tc>
          <w:tcPr>
            <w:tcW w:w="1374"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19"/>
                <w:szCs w:val="19"/>
              </w:rPr>
            </w:pPr>
            <w:r w:rsidRPr="00730E2D">
              <w:rPr>
                <w:rFonts w:asciiTheme="minorHAnsi" w:hAnsiTheme="minorHAnsi"/>
                <w:color w:val="000000"/>
                <w:sz w:val="19"/>
                <w:szCs w:val="19"/>
              </w:rPr>
              <w:t>135,599,983</w:t>
            </w:r>
          </w:p>
        </w:tc>
        <w:tc>
          <w:tcPr>
            <w:tcW w:w="10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6%</w:t>
            </w:r>
          </w:p>
        </w:tc>
        <w:tc>
          <w:tcPr>
            <w:tcW w:w="99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13</w:t>
            </w:r>
          </w:p>
        </w:tc>
      </w:tr>
      <w:tr w:rsidR="00D55570" w:rsidRPr="00730E2D" w:rsidTr="009B21BF">
        <w:trPr>
          <w:trHeight w:val="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19"/>
                <w:szCs w:val="19"/>
              </w:rPr>
            </w:pPr>
            <w:r w:rsidRPr="00730E2D">
              <w:rPr>
                <w:rFonts w:asciiTheme="minorHAnsi" w:hAnsiTheme="minorHAnsi"/>
                <w:color w:val="000000"/>
                <w:sz w:val="19"/>
                <w:szCs w:val="19"/>
              </w:rPr>
              <w:t>Loans, Grants and Incentives (Retrofits and Projects)</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19"/>
                <w:szCs w:val="19"/>
              </w:rPr>
            </w:pPr>
            <w:r w:rsidRPr="00730E2D">
              <w:rPr>
                <w:rFonts w:asciiTheme="minorHAnsi" w:hAnsiTheme="minorHAnsi"/>
                <w:color w:val="000000"/>
                <w:sz w:val="19"/>
                <w:szCs w:val="19"/>
              </w:rPr>
              <w:t>Renewable Energy Market Development: Projects</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MH</w:t>
            </w:r>
          </w:p>
        </w:tc>
        <w:tc>
          <w:tcPr>
            <w:tcW w:w="1374"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19"/>
                <w:szCs w:val="19"/>
              </w:rPr>
            </w:pPr>
            <w:r w:rsidRPr="00730E2D">
              <w:rPr>
                <w:rFonts w:asciiTheme="minorHAnsi" w:hAnsiTheme="minorHAnsi"/>
                <w:color w:val="000000"/>
                <w:sz w:val="19"/>
                <w:szCs w:val="19"/>
              </w:rPr>
              <w:t>298,047,959</w:t>
            </w:r>
          </w:p>
        </w:tc>
        <w:tc>
          <w:tcPr>
            <w:tcW w:w="10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13%</w:t>
            </w:r>
          </w:p>
        </w:tc>
        <w:tc>
          <w:tcPr>
            <w:tcW w:w="99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55</w:t>
            </w:r>
          </w:p>
        </w:tc>
      </w:tr>
      <w:tr w:rsidR="00D55570" w:rsidRPr="00730E2D" w:rsidTr="009B21BF">
        <w:trPr>
          <w:trHeight w:val="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Renewable Energy Market Development</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Generalized Workshops and Demonstrations (Participants maybe traceable)</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MH</w:t>
            </w:r>
          </w:p>
        </w:tc>
        <w:tc>
          <w:tcPr>
            <w:tcW w:w="1374"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right"/>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2,072,750</w:t>
            </w:r>
          </w:p>
        </w:tc>
        <w:tc>
          <w:tcPr>
            <w:tcW w:w="108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0%</w:t>
            </w:r>
          </w:p>
        </w:tc>
        <w:tc>
          <w:tcPr>
            <w:tcW w:w="99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5</w:t>
            </w:r>
          </w:p>
        </w:tc>
      </w:tr>
      <w:tr w:rsidR="00D55570" w:rsidRPr="00730E2D" w:rsidTr="009B21BF">
        <w:trPr>
          <w:trHeight w:val="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19"/>
                <w:szCs w:val="19"/>
              </w:rPr>
            </w:pPr>
            <w:r w:rsidRPr="00730E2D">
              <w:rPr>
                <w:rFonts w:asciiTheme="minorHAnsi" w:hAnsiTheme="minorHAnsi"/>
                <w:color w:val="000000"/>
                <w:sz w:val="19"/>
                <w:szCs w:val="19"/>
              </w:rPr>
              <w:t>Renewable Energy Market Development</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19"/>
                <w:szCs w:val="19"/>
              </w:rPr>
            </w:pPr>
            <w:r w:rsidRPr="00730E2D">
              <w:rPr>
                <w:rFonts w:asciiTheme="minorHAnsi" w:hAnsiTheme="minorHAnsi"/>
                <w:color w:val="000000"/>
                <w:sz w:val="19"/>
                <w:szCs w:val="19"/>
              </w:rPr>
              <w:t>Renewable Energy Market Development: Manufacturing</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MH</w:t>
            </w:r>
          </w:p>
        </w:tc>
        <w:tc>
          <w:tcPr>
            <w:tcW w:w="1374"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19"/>
                <w:szCs w:val="19"/>
              </w:rPr>
            </w:pPr>
            <w:r w:rsidRPr="00730E2D">
              <w:rPr>
                <w:rFonts w:asciiTheme="minorHAnsi" w:hAnsiTheme="minorHAnsi"/>
                <w:color w:val="000000"/>
                <w:sz w:val="19"/>
                <w:szCs w:val="19"/>
              </w:rPr>
              <w:t>118,323,694</w:t>
            </w:r>
          </w:p>
        </w:tc>
        <w:tc>
          <w:tcPr>
            <w:tcW w:w="10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5%</w:t>
            </w:r>
          </w:p>
        </w:tc>
        <w:tc>
          <w:tcPr>
            <w:tcW w:w="99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9</w:t>
            </w:r>
          </w:p>
        </w:tc>
      </w:tr>
      <w:tr w:rsidR="00D55570" w:rsidRPr="00730E2D" w:rsidTr="009B21BF">
        <w:trPr>
          <w:trHeight w:val="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19"/>
                <w:szCs w:val="19"/>
              </w:rPr>
            </w:pPr>
            <w:r w:rsidRPr="00730E2D">
              <w:rPr>
                <w:rFonts w:asciiTheme="minorHAnsi" w:hAnsiTheme="minorHAnsi"/>
                <w:color w:val="000000"/>
                <w:sz w:val="19"/>
                <w:szCs w:val="19"/>
              </w:rPr>
              <w:t>Renewable Energy Market Development</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rPr>
                <w:rFonts w:asciiTheme="minorHAnsi" w:hAnsiTheme="minorHAnsi"/>
                <w:color w:val="000000"/>
                <w:sz w:val="19"/>
                <w:szCs w:val="19"/>
              </w:rPr>
            </w:pPr>
            <w:r w:rsidRPr="00730E2D">
              <w:rPr>
                <w:rFonts w:asciiTheme="minorHAnsi" w:hAnsiTheme="minorHAnsi"/>
                <w:color w:val="000000"/>
                <w:sz w:val="19"/>
                <w:szCs w:val="19"/>
              </w:rPr>
              <w:t>Renewable Energy Market Development: Projects</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MH</w:t>
            </w:r>
          </w:p>
        </w:tc>
        <w:tc>
          <w:tcPr>
            <w:tcW w:w="1374"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19"/>
                <w:szCs w:val="19"/>
              </w:rPr>
            </w:pPr>
            <w:r w:rsidRPr="00730E2D">
              <w:rPr>
                <w:rFonts w:asciiTheme="minorHAnsi" w:hAnsiTheme="minorHAnsi"/>
                <w:color w:val="000000"/>
                <w:sz w:val="19"/>
                <w:szCs w:val="19"/>
              </w:rPr>
              <w:t>289,487,818</w:t>
            </w:r>
          </w:p>
        </w:tc>
        <w:tc>
          <w:tcPr>
            <w:tcW w:w="10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13%</w:t>
            </w:r>
          </w:p>
        </w:tc>
        <w:tc>
          <w:tcPr>
            <w:tcW w:w="99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51</w:t>
            </w:r>
          </w:p>
        </w:tc>
      </w:tr>
      <w:tr w:rsidR="00D55570" w:rsidRPr="00730E2D" w:rsidTr="009B21BF">
        <w:trPr>
          <w:trHeight w:val="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Renewable Energy Market Development</w:t>
            </w:r>
          </w:p>
        </w:tc>
        <w:tc>
          <w:tcPr>
            <w:tcW w:w="292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Targeted Training and/or Certification (participants are traceable)</w:t>
            </w:r>
          </w:p>
        </w:tc>
        <w:tc>
          <w:tcPr>
            <w:tcW w:w="96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MH</w:t>
            </w:r>
          </w:p>
        </w:tc>
        <w:tc>
          <w:tcPr>
            <w:tcW w:w="1374"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right"/>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14,718,684</w:t>
            </w:r>
          </w:p>
        </w:tc>
        <w:tc>
          <w:tcPr>
            <w:tcW w:w="108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1%</w:t>
            </w:r>
          </w:p>
        </w:tc>
        <w:tc>
          <w:tcPr>
            <w:tcW w:w="990" w:type="dxa"/>
            <w:tcBorders>
              <w:top w:val="nil"/>
              <w:left w:val="nil"/>
              <w:bottom w:val="single" w:sz="4" w:space="0" w:color="auto"/>
              <w:right w:val="single" w:sz="4" w:space="0" w:color="auto"/>
            </w:tcBorders>
            <w:shd w:val="clear" w:color="auto" w:fill="auto"/>
            <w:vAlign w:val="center"/>
            <w:hideMark/>
          </w:tcPr>
          <w:p w:rsidR="00D55570" w:rsidRPr="00730E2D" w:rsidRDefault="00A00539" w:rsidP="00384822">
            <w:pPr>
              <w:tabs>
                <w:tab w:val="center" w:pos="4320"/>
                <w:tab w:val="right" w:pos="8640"/>
              </w:tabs>
              <w:jc w:val="center"/>
              <w:rPr>
                <w:rFonts w:asciiTheme="minorHAnsi" w:hAnsiTheme="minorHAnsi"/>
                <w:color w:val="000000"/>
                <w:sz w:val="19"/>
                <w:szCs w:val="19"/>
                <w:highlight w:val="yellow"/>
              </w:rPr>
            </w:pPr>
            <w:r w:rsidRPr="00730E2D">
              <w:rPr>
                <w:rFonts w:asciiTheme="minorHAnsi" w:hAnsiTheme="minorHAnsi"/>
                <w:color w:val="000000"/>
                <w:sz w:val="19"/>
                <w:szCs w:val="19"/>
                <w:highlight w:val="yellow"/>
              </w:rPr>
              <w:t>4</w:t>
            </w:r>
          </w:p>
        </w:tc>
      </w:tr>
      <w:tr w:rsidR="00D55570" w:rsidRPr="00730E2D" w:rsidTr="009B21BF">
        <w:trPr>
          <w:trHeight w:val="20"/>
        </w:trPr>
        <w:tc>
          <w:tcPr>
            <w:tcW w:w="58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 </w:t>
            </w:r>
          </w:p>
        </w:tc>
        <w:tc>
          <w:tcPr>
            <w:tcW w:w="1374"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right"/>
              <w:rPr>
                <w:rFonts w:asciiTheme="minorHAnsi" w:hAnsiTheme="minorHAnsi"/>
                <w:color w:val="000000"/>
                <w:sz w:val="19"/>
                <w:szCs w:val="19"/>
              </w:rPr>
            </w:pPr>
            <w:r w:rsidRPr="00730E2D">
              <w:rPr>
                <w:rFonts w:asciiTheme="minorHAnsi" w:hAnsiTheme="minorHAnsi"/>
                <w:color w:val="000000"/>
                <w:sz w:val="19"/>
                <w:szCs w:val="19"/>
              </w:rPr>
              <w:t>2,270,959,315</w:t>
            </w:r>
          </w:p>
        </w:tc>
        <w:tc>
          <w:tcPr>
            <w:tcW w:w="108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100%</w:t>
            </w:r>
          </w:p>
        </w:tc>
        <w:tc>
          <w:tcPr>
            <w:tcW w:w="990"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384822">
            <w:pPr>
              <w:jc w:val="center"/>
              <w:rPr>
                <w:rFonts w:asciiTheme="minorHAnsi" w:hAnsiTheme="minorHAnsi"/>
                <w:color w:val="000000"/>
                <w:sz w:val="19"/>
                <w:szCs w:val="19"/>
              </w:rPr>
            </w:pPr>
            <w:r w:rsidRPr="00730E2D">
              <w:rPr>
                <w:rFonts w:asciiTheme="minorHAnsi" w:hAnsiTheme="minorHAnsi"/>
                <w:color w:val="000000"/>
                <w:sz w:val="19"/>
                <w:szCs w:val="19"/>
              </w:rPr>
              <w:t>306</w:t>
            </w:r>
          </w:p>
        </w:tc>
      </w:tr>
    </w:tbl>
    <w:p w:rsidR="00D55570" w:rsidRPr="00730E2D" w:rsidRDefault="00D55570" w:rsidP="00D55570">
      <w:pPr>
        <w:rPr>
          <w:rFonts w:asciiTheme="minorHAnsi" w:hAnsiTheme="minorHAnsi"/>
          <w:b/>
        </w:rPr>
      </w:pPr>
      <w:r w:rsidRPr="00730E2D">
        <w:rPr>
          <w:rFonts w:asciiTheme="minorHAnsi" w:hAnsiTheme="minorHAnsi"/>
          <w:b/>
        </w:rPr>
        <w:br w:type="page"/>
      </w:r>
    </w:p>
    <w:p w:rsidR="00D55570" w:rsidRPr="00730E2D" w:rsidRDefault="00D55570" w:rsidP="00730E2D">
      <w:pPr>
        <w:pStyle w:val="Heading3"/>
        <w:numPr>
          <w:ilvl w:val="0"/>
          <w:numId w:val="0"/>
        </w:numPr>
        <w:spacing w:line="240" w:lineRule="auto"/>
        <w:jc w:val="both"/>
        <w:rPr>
          <w:rFonts w:asciiTheme="minorHAnsi" w:hAnsiTheme="minorHAnsi"/>
          <w:sz w:val="24"/>
          <w:szCs w:val="24"/>
        </w:rPr>
      </w:pPr>
      <w:bookmarkStart w:id="16" w:name="_Toc295816847"/>
      <w:bookmarkStart w:id="17" w:name="_Toc297187477"/>
      <w:r w:rsidRPr="00730E2D">
        <w:rPr>
          <w:rFonts w:asciiTheme="minorHAnsi" w:hAnsiTheme="minorHAnsi"/>
          <w:sz w:val="24"/>
          <w:szCs w:val="24"/>
        </w:rPr>
        <w:lastRenderedPageBreak/>
        <w:t>Stage 1 Sample Targets</w:t>
      </w:r>
      <w:bookmarkEnd w:id="16"/>
      <w:bookmarkEnd w:id="17"/>
    </w:p>
    <w:p w:rsidR="00D55570" w:rsidRPr="00730E2D" w:rsidRDefault="00D55570" w:rsidP="00730E2D">
      <w:pPr>
        <w:pStyle w:val="ParaText"/>
        <w:spacing w:after="120" w:line="240" w:lineRule="auto"/>
        <w:jc w:val="both"/>
        <w:rPr>
          <w:rFonts w:asciiTheme="minorHAnsi" w:hAnsiTheme="minorHAnsi"/>
          <w:sz w:val="24"/>
          <w:szCs w:val="24"/>
        </w:rPr>
      </w:pPr>
      <w:r w:rsidRPr="00730E2D">
        <w:rPr>
          <w:rFonts w:asciiTheme="minorHAnsi" w:hAnsiTheme="minorHAnsi"/>
          <w:sz w:val="24"/>
          <w:szCs w:val="24"/>
        </w:rPr>
        <w:t xml:space="preserve">The allocation procedure outlined above resulted in the sampling targets shown in </w:t>
      </w:r>
      <w:r w:rsidR="004F385A" w:rsidRPr="00730E2D">
        <w:rPr>
          <w:rFonts w:asciiTheme="minorHAnsi" w:hAnsiTheme="minorHAnsi"/>
          <w:sz w:val="24"/>
          <w:szCs w:val="24"/>
        </w:rPr>
        <w:t xml:space="preserve">Figure 5 and Figure 6 </w:t>
      </w:r>
      <w:r w:rsidRPr="00730E2D">
        <w:rPr>
          <w:rFonts w:asciiTheme="minorHAnsi" w:hAnsiTheme="minorHAnsi"/>
          <w:sz w:val="24"/>
          <w:szCs w:val="24"/>
        </w:rPr>
        <w:t xml:space="preserve">for the PY2008 and ARRA periods, respectively. </w:t>
      </w:r>
    </w:p>
    <w:p w:rsidR="00D55570" w:rsidRPr="00730E2D" w:rsidRDefault="00D55570" w:rsidP="00730E2D">
      <w:pPr>
        <w:pStyle w:val="ParaText"/>
        <w:spacing w:after="120" w:line="240" w:lineRule="auto"/>
        <w:jc w:val="both"/>
        <w:rPr>
          <w:rFonts w:asciiTheme="minorHAnsi" w:hAnsiTheme="minorHAnsi"/>
          <w:sz w:val="24"/>
          <w:szCs w:val="24"/>
        </w:rPr>
      </w:pPr>
      <w:r w:rsidRPr="00730E2D">
        <w:rPr>
          <w:rFonts w:asciiTheme="minorHAnsi" w:hAnsiTheme="minorHAnsi"/>
          <w:sz w:val="24"/>
          <w:szCs w:val="24"/>
        </w:rPr>
        <w:t>For reference, the figures show the allocation that would be assigned based strictly by allocating proportional to total budget (green highlighted columns), and also the allocations that would result from allocating strictly proportional to the number of PAs in the cell (red highlighted cells).  Also shown is the total number allocated through the iterative process described above</w:t>
      </w:r>
      <w:r w:rsidR="00B4189C" w:rsidRPr="00730E2D">
        <w:rPr>
          <w:rFonts w:asciiTheme="minorHAnsi" w:hAnsiTheme="minorHAnsi"/>
          <w:sz w:val="24"/>
          <w:szCs w:val="24"/>
        </w:rPr>
        <w:t>,</w:t>
      </w:r>
      <w:r w:rsidRPr="00730E2D">
        <w:rPr>
          <w:rFonts w:asciiTheme="minorHAnsi" w:hAnsiTheme="minorHAnsi"/>
          <w:sz w:val="24"/>
          <w:szCs w:val="24"/>
        </w:rPr>
        <w:t xml:space="preserve"> in the blue highlighted cells, combining the certainty and non-certainty PAs.</w:t>
      </w:r>
    </w:p>
    <w:p w:rsidR="00D55570" w:rsidRPr="00730E2D" w:rsidRDefault="00D55570" w:rsidP="00730E2D">
      <w:pPr>
        <w:pStyle w:val="ParaText"/>
        <w:spacing w:after="120" w:line="240" w:lineRule="auto"/>
        <w:jc w:val="both"/>
        <w:rPr>
          <w:rFonts w:asciiTheme="minorHAnsi" w:hAnsiTheme="minorHAnsi"/>
          <w:sz w:val="24"/>
          <w:szCs w:val="24"/>
        </w:rPr>
      </w:pPr>
      <w:r w:rsidRPr="00730E2D">
        <w:rPr>
          <w:rFonts w:asciiTheme="minorHAnsi" w:hAnsiTheme="minorHAnsi"/>
          <w:sz w:val="24"/>
          <w:szCs w:val="24"/>
        </w:rPr>
        <w:t xml:space="preserve">The figures show a few cells with allocations of zero.  These are cells initially included in the frame, but that were too small to receive an allocation with proportional allocation.  These were all cells that were included in the frame to ensure some coverage of evaluable Workshops/Demonstrations and Training/Certification (subcategory) activities.  </w:t>
      </w:r>
      <w:r w:rsidR="003A7106" w:rsidRPr="00730E2D">
        <w:rPr>
          <w:rFonts w:asciiTheme="minorHAnsi" w:hAnsiTheme="minorHAnsi"/>
          <w:sz w:val="24"/>
          <w:szCs w:val="24"/>
        </w:rPr>
        <w:t>DOE</w:t>
      </w:r>
      <w:r w:rsidRPr="00730E2D">
        <w:rPr>
          <w:rFonts w:asciiTheme="minorHAnsi" w:hAnsiTheme="minorHAnsi"/>
          <w:sz w:val="24"/>
          <w:szCs w:val="24"/>
        </w:rPr>
        <w:t xml:space="preserve"> did not force allocations to these cells, because enough other activities in these subcategories were included.</w:t>
      </w:r>
    </w:p>
    <w:p w:rsidR="00D55570" w:rsidRPr="00730E2D" w:rsidRDefault="00D55570" w:rsidP="00730E2D">
      <w:pPr>
        <w:pStyle w:val="ParaText"/>
        <w:spacing w:after="120" w:line="240" w:lineRule="auto"/>
        <w:jc w:val="both"/>
        <w:rPr>
          <w:rFonts w:asciiTheme="minorHAnsi" w:hAnsiTheme="minorHAnsi"/>
          <w:sz w:val="24"/>
          <w:szCs w:val="24"/>
        </w:rPr>
      </w:pPr>
      <w:r w:rsidRPr="00730E2D">
        <w:rPr>
          <w:rFonts w:asciiTheme="minorHAnsi" w:hAnsiTheme="minorHAnsi"/>
          <w:sz w:val="24"/>
          <w:szCs w:val="24"/>
        </w:rPr>
        <w:t xml:space="preserve">There are a few cells (highlighted in yellow) where the final proposed allocation differs from the iteratively allocated targets (in blue).  </w:t>
      </w:r>
    </w:p>
    <w:p w:rsidR="00D55570" w:rsidRPr="00730E2D" w:rsidRDefault="00D55570" w:rsidP="00730E2D">
      <w:pPr>
        <w:pStyle w:val="ParaText"/>
        <w:numPr>
          <w:ilvl w:val="0"/>
          <w:numId w:val="51"/>
        </w:numPr>
        <w:spacing w:line="240" w:lineRule="auto"/>
        <w:jc w:val="both"/>
        <w:rPr>
          <w:rFonts w:asciiTheme="minorHAnsi" w:hAnsiTheme="minorHAnsi"/>
        </w:rPr>
      </w:pPr>
      <w:r w:rsidRPr="00730E2D">
        <w:rPr>
          <w:rFonts w:asciiTheme="minorHAnsi" w:hAnsiTheme="minorHAnsi"/>
        </w:rPr>
        <w:t xml:space="preserve">For PY2008, the iterative allocation </w:t>
      </w:r>
      <w:r w:rsidR="00A00539" w:rsidRPr="00730E2D">
        <w:rPr>
          <w:rFonts w:asciiTheme="minorHAnsi" w:hAnsiTheme="minorHAnsi"/>
        </w:rPr>
        <w:t>(Steps 1-4 above)</w:t>
      </w:r>
      <w:r w:rsidRPr="00730E2D">
        <w:rPr>
          <w:rFonts w:asciiTheme="minorHAnsi" w:hAnsiTheme="minorHAnsi"/>
        </w:rPr>
        <w:t xml:space="preserve"> results in a target of 11 for Clean Energy Policy Support.  This allocation would be 20 percent of the sample, for 13 percent of the budget and 22 percent of the number of PAs.  </w:t>
      </w:r>
      <w:r w:rsidR="00A00539" w:rsidRPr="00730E2D">
        <w:rPr>
          <w:rFonts w:asciiTheme="minorHAnsi" w:hAnsiTheme="minorHAnsi"/>
        </w:rPr>
        <w:t>In Step 6</w:t>
      </w:r>
      <w:r w:rsidRPr="00730E2D">
        <w:rPr>
          <w:rFonts w:asciiTheme="minorHAnsi" w:hAnsiTheme="minorHAnsi"/>
        </w:rPr>
        <w:t xml:space="preserve">, </w:t>
      </w:r>
      <w:r w:rsidR="003A7106" w:rsidRPr="00730E2D">
        <w:rPr>
          <w:rFonts w:asciiTheme="minorHAnsi" w:hAnsiTheme="minorHAnsi"/>
        </w:rPr>
        <w:t>DOE</w:t>
      </w:r>
      <w:r w:rsidRPr="00730E2D">
        <w:rPr>
          <w:rFonts w:asciiTheme="minorHAnsi" w:hAnsiTheme="minorHAnsi"/>
        </w:rPr>
        <w:t xml:space="preserve"> reduced this allocation to eight, and added one to “Building Codes and Standards/Targeted Training and/or Certification”, one to “Loans, Grants and Incentives/Building Retrofits: Residential”, and one to “Renewable Energy Market Development/Generalized Workshops and Demonstrations” (yellow highlighted cells).  </w:t>
      </w:r>
    </w:p>
    <w:p w:rsidR="00D55570" w:rsidRPr="00730E2D" w:rsidRDefault="00D55570" w:rsidP="00730E2D">
      <w:pPr>
        <w:pStyle w:val="ParaText"/>
        <w:numPr>
          <w:ilvl w:val="0"/>
          <w:numId w:val="51"/>
        </w:numPr>
        <w:spacing w:line="240" w:lineRule="auto"/>
        <w:jc w:val="both"/>
        <w:rPr>
          <w:rFonts w:asciiTheme="minorHAnsi" w:hAnsiTheme="minorHAnsi"/>
        </w:rPr>
      </w:pPr>
      <w:r w:rsidRPr="00730E2D">
        <w:rPr>
          <w:rFonts w:asciiTheme="minorHAnsi" w:hAnsiTheme="minorHAnsi"/>
        </w:rPr>
        <w:t xml:space="preserve">For ARRA, the rounding of cell targets </w:t>
      </w:r>
      <w:r w:rsidR="00A00539" w:rsidRPr="00730E2D">
        <w:rPr>
          <w:rFonts w:asciiTheme="minorHAnsi" w:hAnsiTheme="minorHAnsi"/>
        </w:rPr>
        <w:t>from Steps 1-4 above</w:t>
      </w:r>
      <w:r w:rsidRPr="00730E2D">
        <w:rPr>
          <w:rFonts w:asciiTheme="minorHAnsi" w:hAnsiTheme="minorHAnsi"/>
        </w:rPr>
        <w:t xml:space="preserve"> resulted in a total of 28 selections instead of the targeted 29.  </w:t>
      </w:r>
      <w:r w:rsidR="00A00539" w:rsidRPr="00730E2D">
        <w:rPr>
          <w:rFonts w:asciiTheme="minorHAnsi" w:hAnsiTheme="minorHAnsi"/>
        </w:rPr>
        <w:t>In Step 6</w:t>
      </w:r>
      <w:r w:rsidRPr="00730E2D">
        <w:rPr>
          <w:rFonts w:asciiTheme="minorHAnsi" w:hAnsiTheme="minorHAnsi"/>
        </w:rPr>
        <w:t xml:space="preserve">, </w:t>
      </w:r>
      <w:r w:rsidR="003A7106" w:rsidRPr="00730E2D">
        <w:rPr>
          <w:rFonts w:asciiTheme="minorHAnsi" w:hAnsiTheme="minorHAnsi"/>
        </w:rPr>
        <w:t>DOE</w:t>
      </w:r>
      <w:r w:rsidRPr="00730E2D">
        <w:rPr>
          <w:rFonts w:asciiTheme="minorHAnsi" w:hAnsiTheme="minorHAnsi"/>
        </w:rPr>
        <w:t xml:space="preserve"> rounded down the allocation to “Loans, Grants, and Incentives/Renewable Energy Market Development: Manufacturing”, and </w:t>
      </w:r>
      <w:r w:rsidR="003A7106" w:rsidRPr="00730E2D">
        <w:rPr>
          <w:rFonts w:asciiTheme="minorHAnsi" w:hAnsiTheme="minorHAnsi"/>
        </w:rPr>
        <w:t>DOE</w:t>
      </w:r>
      <w:r w:rsidRPr="00730E2D">
        <w:rPr>
          <w:rFonts w:asciiTheme="minorHAnsi" w:hAnsiTheme="minorHAnsi"/>
        </w:rPr>
        <w:t xml:space="preserve"> added one each to “Loans, Grants and Incentives/Renewable Energy Market Development: Projects”, and to “Renewable Energy Market Development/Renewable Energy Market Development: Projects” (yellow highlighted cells).</w:t>
      </w:r>
    </w:p>
    <w:p w:rsidR="00D55570" w:rsidRPr="00730E2D" w:rsidRDefault="00D55570" w:rsidP="00730E2D">
      <w:pPr>
        <w:pStyle w:val="ParaText"/>
        <w:spacing w:line="240" w:lineRule="auto"/>
        <w:jc w:val="both"/>
        <w:rPr>
          <w:rFonts w:asciiTheme="minorHAnsi" w:hAnsiTheme="minorHAnsi"/>
          <w:sz w:val="24"/>
          <w:szCs w:val="24"/>
        </w:rPr>
      </w:pPr>
      <w:r w:rsidRPr="00730E2D">
        <w:rPr>
          <w:rFonts w:asciiTheme="minorHAnsi" w:hAnsiTheme="minorHAnsi"/>
          <w:sz w:val="24"/>
          <w:szCs w:val="24"/>
        </w:rPr>
        <w:t xml:space="preserve">The figures also show that in most cases the proposed targets are within the range bracketed by allocation proportional to size and allocation proportional to number of PAs.  Allocations less than proportional to size are mostly associated with large numbers of certainty selections. </w:t>
      </w:r>
    </w:p>
    <w:p w:rsidR="00D55570" w:rsidRPr="00730E2D" w:rsidRDefault="00D55570" w:rsidP="00730E2D">
      <w:pPr>
        <w:spacing w:after="200"/>
        <w:jc w:val="both"/>
        <w:rPr>
          <w:rFonts w:asciiTheme="minorHAnsi" w:hAnsiTheme="minorHAnsi"/>
        </w:rPr>
      </w:pPr>
      <w:r w:rsidRPr="00730E2D">
        <w:rPr>
          <w:rFonts w:asciiTheme="minorHAnsi" w:hAnsiTheme="minorHAnsi"/>
        </w:rPr>
        <w:t xml:space="preserve">Finally, the figures indicate that most of the targets are expected to be achievable based on the numbers available in each cell and the assumed </w:t>
      </w:r>
      <w:r w:rsidR="009D16EB" w:rsidRPr="00730E2D">
        <w:rPr>
          <w:rFonts w:asciiTheme="minorHAnsi" w:hAnsiTheme="minorHAnsi"/>
        </w:rPr>
        <w:t xml:space="preserve">evaluation </w:t>
      </w:r>
      <w:r w:rsidRPr="00730E2D">
        <w:rPr>
          <w:rFonts w:asciiTheme="minorHAnsi" w:hAnsiTheme="minorHAnsi"/>
        </w:rPr>
        <w:t>success rates.  That is, the likely shortfall is zero except for “Loans, Grants and Incentives/Technical Assistance to Building Owners”, “Loans, Grants and Incentives/Building Retrofits: Nonresidential”,</w:t>
      </w:r>
      <w:r w:rsidR="00DC4FCD" w:rsidRPr="00730E2D">
        <w:rPr>
          <w:rFonts w:asciiTheme="minorHAnsi" w:hAnsiTheme="minorHAnsi"/>
        </w:rPr>
        <w:t xml:space="preserve"> and</w:t>
      </w:r>
      <w:r w:rsidRPr="00730E2D">
        <w:rPr>
          <w:rFonts w:asciiTheme="minorHAnsi" w:hAnsiTheme="minorHAnsi"/>
        </w:rPr>
        <w:t xml:space="preserve"> “Loans, Grants and Incentives/Building Retrofits: Residential” in PY2008.</w:t>
      </w:r>
      <w:r w:rsidR="009D16EB" w:rsidRPr="00730E2D">
        <w:rPr>
          <w:rFonts w:asciiTheme="minorHAnsi" w:hAnsiTheme="minorHAnsi"/>
        </w:rPr>
        <w:t xml:space="preserve">  If it does turn out that some of the target sample sizes cannot be achieved for these or other strata, </w:t>
      </w:r>
      <w:r w:rsidR="003A7106" w:rsidRPr="00730E2D">
        <w:rPr>
          <w:rFonts w:asciiTheme="minorHAnsi" w:hAnsiTheme="minorHAnsi"/>
        </w:rPr>
        <w:t>DOE</w:t>
      </w:r>
      <w:r w:rsidR="009D16EB" w:rsidRPr="00730E2D">
        <w:rPr>
          <w:rFonts w:asciiTheme="minorHAnsi" w:hAnsiTheme="minorHAnsi"/>
        </w:rPr>
        <w:t xml:space="preserve"> will re-allocate sample to other strata as needed.</w:t>
      </w:r>
    </w:p>
    <w:p w:rsidR="00D55570" w:rsidRPr="00730E2D" w:rsidRDefault="00D55570" w:rsidP="00D55570">
      <w:pPr>
        <w:spacing w:after="200" w:line="276" w:lineRule="auto"/>
        <w:rPr>
          <w:rFonts w:asciiTheme="minorHAnsi" w:hAnsiTheme="minorHAnsi"/>
          <w:b/>
        </w:rPr>
      </w:pPr>
      <w:r w:rsidRPr="00730E2D">
        <w:rPr>
          <w:rFonts w:asciiTheme="minorHAnsi" w:hAnsiTheme="minorHAnsi"/>
          <w:b/>
        </w:rPr>
        <w:br w:type="page"/>
      </w:r>
    </w:p>
    <w:p w:rsidR="00D55570" w:rsidRPr="00730E2D" w:rsidRDefault="00D55570" w:rsidP="00D55570">
      <w:pPr>
        <w:tabs>
          <w:tab w:val="left" w:pos="360"/>
          <w:tab w:val="left" w:pos="720"/>
          <w:tab w:val="left" w:pos="1080"/>
          <w:tab w:val="left" w:pos="1440"/>
          <w:tab w:val="left" w:pos="1800"/>
        </w:tabs>
        <w:jc w:val="center"/>
        <w:rPr>
          <w:rFonts w:asciiTheme="minorHAnsi" w:hAnsiTheme="minorHAnsi"/>
          <w:b/>
        </w:rPr>
        <w:sectPr w:rsidR="00D55570" w:rsidRPr="00730E2D" w:rsidSect="00E6574E">
          <w:pgSz w:w="12240" w:h="15840" w:orient="landscape" w:code="1"/>
          <w:pgMar w:top="1440" w:right="1440" w:bottom="1440" w:left="1440" w:header="720" w:footer="720" w:gutter="0"/>
          <w:cols w:space="720"/>
          <w:docGrid w:linePitch="360"/>
        </w:sectPr>
      </w:pPr>
    </w:p>
    <w:p w:rsidR="00D55570" w:rsidRPr="00730E2D" w:rsidRDefault="00D55570" w:rsidP="00D55570">
      <w:pPr>
        <w:tabs>
          <w:tab w:val="left" w:pos="360"/>
          <w:tab w:val="left" w:pos="720"/>
          <w:tab w:val="left" w:pos="1080"/>
          <w:tab w:val="left" w:pos="1440"/>
          <w:tab w:val="left" w:pos="1800"/>
        </w:tabs>
        <w:jc w:val="center"/>
        <w:rPr>
          <w:rFonts w:asciiTheme="minorHAnsi" w:hAnsiTheme="minorHAnsi"/>
          <w:b/>
        </w:rPr>
      </w:pPr>
    </w:p>
    <w:p w:rsidR="00D55570" w:rsidRPr="00730E2D" w:rsidRDefault="00384822" w:rsidP="00384822">
      <w:pPr>
        <w:pStyle w:val="Caption"/>
        <w:jc w:val="left"/>
        <w:rPr>
          <w:rFonts w:asciiTheme="minorHAnsi" w:hAnsiTheme="minorHAnsi"/>
          <w:b w:val="0"/>
        </w:rPr>
      </w:pPr>
      <w:r w:rsidRPr="00730E2D">
        <w:rPr>
          <w:rFonts w:asciiTheme="minorHAnsi" w:hAnsiTheme="minorHAnsi"/>
        </w:rPr>
        <w:t xml:space="preserve">Figure </w:t>
      </w:r>
      <w:r w:rsidR="003260F1" w:rsidRPr="00730E2D">
        <w:rPr>
          <w:rFonts w:asciiTheme="minorHAnsi" w:hAnsiTheme="minorHAnsi"/>
        </w:rPr>
        <w:fldChar w:fldCharType="begin"/>
      </w:r>
      <w:r w:rsidRPr="00730E2D">
        <w:rPr>
          <w:rFonts w:asciiTheme="minorHAnsi" w:hAnsiTheme="minorHAnsi"/>
        </w:rPr>
        <w:instrText xml:space="preserve"> SEQ Figure \* ARABIC </w:instrText>
      </w:r>
      <w:r w:rsidR="003260F1" w:rsidRPr="00730E2D">
        <w:rPr>
          <w:rFonts w:asciiTheme="minorHAnsi" w:hAnsiTheme="minorHAnsi"/>
        </w:rPr>
        <w:fldChar w:fldCharType="separate"/>
      </w:r>
      <w:r w:rsidR="00852B44" w:rsidRPr="00730E2D">
        <w:rPr>
          <w:rFonts w:asciiTheme="minorHAnsi" w:hAnsiTheme="minorHAnsi"/>
          <w:noProof/>
        </w:rPr>
        <w:t>5</w:t>
      </w:r>
      <w:r w:rsidR="003260F1" w:rsidRPr="00730E2D">
        <w:rPr>
          <w:rFonts w:asciiTheme="minorHAnsi" w:hAnsiTheme="minorHAnsi"/>
        </w:rPr>
        <w:fldChar w:fldCharType="end"/>
      </w:r>
      <w:r w:rsidR="00D55570" w:rsidRPr="00730E2D">
        <w:rPr>
          <w:rFonts w:asciiTheme="minorHAnsi" w:hAnsiTheme="minorHAnsi"/>
        </w:rPr>
        <w:t>: Stage 1 Sample Targets by BPAC/Subcategory (PY2008)</w:t>
      </w:r>
    </w:p>
    <w:tbl>
      <w:tblPr>
        <w:tblW w:w="12820" w:type="dxa"/>
        <w:tblInd w:w="93" w:type="dxa"/>
        <w:tblLook w:val="04A0" w:firstRow="1" w:lastRow="0" w:firstColumn="1" w:lastColumn="0" w:noHBand="0" w:noVBand="1"/>
      </w:tblPr>
      <w:tblGrid>
        <w:gridCol w:w="1285"/>
        <w:gridCol w:w="1488"/>
        <w:gridCol w:w="553"/>
        <w:gridCol w:w="1240"/>
        <w:gridCol w:w="639"/>
        <w:gridCol w:w="767"/>
        <w:gridCol w:w="692"/>
        <w:gridCol w:w="692"/>
        <w:gridCol w:w="767"/>
        <w:gridCol w:w="942"/>
        <w:gridCol w:w="1172"/>
        <w:gridCol w:w="610"/>
        <w:gridCol w:w="642"/>
        <w:gridCol w:w="659"/>
        <w:gridCol w:w="672"/>
      </w:tblGrid>
      <w:tr w:rsidR="00D55570" w:rsidRPr="00730E2D" w:rsidTr="00852B44">
        <w:trPr>
          <w:trHeight w:val="180"/>
          <w:tblHeader/>
        </w:trPr>
        <w:tc>
          <w:tcPr>
            <w:tcW w:w="12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jc w:val="center"/>
              <w:rPr>
                <w:rFonts w:asciiTheme="minorHAnsi" w:hAnsiTheme="minorHAnsi"/>
                <w:b/>
                <w:bCs/>
                <w:sz w:val="14"/>
                <w:szCs w:val="14"/>
              </w:rPr>
            </w:pPr>
            <w:r w:rsidRPr="00730E2D">
              <w:rPr>
                <w:rFonts w:asciiTheme="minorHAnsi" w:hAnsiTheme="minorHAnsi"/>
                <w:b/>
                <w:bCs/>
                <w:sz w:val="14"/>
                <w:szCs w:val="14"/>
              </w:rPr>
              <w:t>BPAC</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jc w:val="center"/>
              <w:rPr>
                <w:rFonts w:asciiTheme="minorHAnsi" w:hAnsiTheme="minorHAnsi"/>
                <w:b/>
                <w:bCs/>
                <w:sz w:val="14"/>
                <w:szCs w:val="14"/>
              </w:rPr>
            </w:pPr>
            <w:r w:rsidRPr="00730E2D">
              <w:rPr>
                <w:rFonts w:asciiTheme="minorHAnsi" w:hAnsiTheme="minorHAnsi"/>
                <w:b/>
                <w:bCs/>
                <w:sz w:val="14"/>
                <w:szCs w:val="14"/>
              </w:rPr>
              <w:t>Subcat</w:t>
            </w:r>
          </w:p>
        </w:tc>
        <w:tc>
          <w:tcPr>
            <w:tcW w:w="55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Target Rigor</w:t>
            </w:r>
          </w:p>
        </w:tc>
        <w:tc>
          <w:tcPr>
            <w:tcW w:w="2646" w:type="dxa"/>
            <w:gridSpan w:val="3"/>
            <w:tcBorders>
              <w:top w:val="single" w:sz="4" w:space="0" w:color="auto"/>
              <w:left w:val="nil"/>
              <w:bottom w:val="single" w:sz="4" w:space="0" w:color="auto"/>
              <w:right w:val="single" w:sz="4" w:space="0" w:color="auto"/>
            </w:tcBorders>
            <w:shd w:val="clear" w:color="auto" w:fill="auto"/>
            <w:vAlign w:val="center"/>
            <w:hideMark/>
          </w:tcPr>
          <w:p w:rsidR="00D55570" w:rsidRPr="00730E2D" w:rsidRDefault="00D55570" w:rsidP="00E6574E">
            <w:pPr>
              <w:jc w:val="center"/>
              <w:rPr>
                <w:rFonts w:asciiTheme="minorHAnsi" w:hAnsiTheme="minorHAnsi"/>
                <w:b/>
                <w:bCs/>
                <w:sz w:val="14"/>
                <w:szCs w:val="14"/>
              </w:rPr>
            </w:pPr>
            <w:r w:rsidRPr="00730E2D">
              <w:rPr>
                <w:rFonts w:asciiTheme="minorHAnsi" w:hAnsiTheme="minorHAnsi"/>
                <w:b/>
                <w:bCs/>
                <w:sz w:val="14"/>
                <w:szCs w:val="14"/>
              </w:rPr>
              <w:t>Budget</w:t>
            </w:r>
          </w:p>
        </w:tc>
        <w:tc>
          <w:tcPr>
            <w:tcW w:w="2151" w:type="dxa"/>
            <w:gridSpan w:val="3"/>
            <w:tcBorders>
              <w:top w:val="single" w:sz="4" w:space="0" w:color="auto"/>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sz w:val="14"/>
                <w:szCs w:val="14"/>
              </w:rPr>
            </w:pPr>
            <w:r w:rsidRPr="00730E2D">
              <w:rPr>
                <w:rFonts w:asciiTheme="minorHAnsi" w:hAnsiTheme="minorHAnsi"/>
                <w:b/>
                <w:bCs/>
                <w:sz w:val="14"/>
                <w:szCs w:val="14"/>
              </w:rPr>
              <w:t>Population # PAs</w:t>
            </w:r>
          </w:p>
        </w:tc>
        <w:tc>
          <w:tcPr>
            <w:tcW w:w="3366" w:type="dxa"/>
            <w:gridSpan w:val="4"/>
            <w:tcBorders>
              <w:top w:val="single" w:sz="4" w:space="0" w:color="auto"/>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sz w:val="14"/>
                <w:szCs w:val="14"/>
              </w:rPr>
            </w:pPr>
            <w:r w:rsidRPr="00730E2D">
              <w:rPr>
                <w:rFonts w:asciiTheme="minorHAnsi" w:hAnsiTheme="minorHAnsi"/>
                <w:b/>
                <w:bCs/>
                <w:sz w:val="14"/>
                <w:szCs w:val="14"/>
              </w:rPr>
              <w:t>Iteratively Allocated Sample Size</w:t>
            </w:r>
          </w:p>
        </w:tc>
        <w:tc>
          <w:tcPr>
            <w:tcW w:w="6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Likely Shortfall</w:t>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Final Target</w:t>
            </w:r>
          </w:p>
        </w:tc>
      </w:tr>
      <w:tr w:rsidR="00D55570" w:rsidRPr="00730E2D" w:rsidTr="00852B44">
        <w:trPr>
          <w:cantSplit/>
          <w:trHeight w:val="1457"/>
          <w:tblHeader/>
        </w:trPr>
        <w:tc>
          <w:tcPr>
            <w:tcW w:w="1285" w:type="dxa"/>
            <w:vMerge/>
            <w:tcBorders>
              <w:top w:val="single" w:sz="4" w:space="0" w:color="auto"/>
              <w:left w:val="single" w:sz="4" w:space="0" w:color="auto"/>
              <w:bottom w:val="single" w:sz="4" w:space="0" w:color="auto"/>
              <w:right w:val="single" w:sz="4" w:space="0" w:color="auto"/>
            </w:tcBorders>
            <w:vAlign w:val="center"/>
            <w:hideMark/>
          </w:tcPr>
          <w:p w:rsidR="00D55570" w:rsidRPr="00730E2D" w:rsidRDefault="00D55570" w:rsidP="00E6574E">
            <w:pPr>
              <w:rPr>
                <w:rFonts w:asciiTheme="minorHAnsi" w:hAnsiTheme="minorHAnsi"/>
                <w:b/>
                <w:bCs/>
                <w:sz w:val="14"/>
                <w:szCs w:val="14"/>
              </w:rPr>
            </w:pP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D55570" w:rsidRPr="00730E2D" w:rsidRDefault="00D55570" w:rsidP="00E6574E">
            <w:pPr>
              <w:rPr>
                <w:rFonts w:asciiTheme="minorHAnsi" w:hAnsiTheme="minorHAnsi"/>
                <w:b/>
                <w:bCs/>
                <w:sz w:val="14"/>
                <w:szCs w:val="14"/>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rsidR="00D55570" w:rsidRPr="00730E2D" w:rsidRDefault="00D55570" w:rsidP="00E6574E">
            <w:pPr>
              <w:rPr>
                <w:rFonts w:asciiTheme="minorHAnsi" w:hAnsiTheme="minorHAnsi"/>
                <w:b/>
                <w:bCs/>
                <w:sz w:val="14"/>
                <w:szCs w:val="14"/>
              </w:rPr>
            </w:pPr>
          </w:p>
        </w:tc>
        <w:tc>
          <w:tcPr>
            <w:tcW w:w="1240" w:type="dxa"/>
            <w:tcBorders>
              <w:top w:val="nil"/>
              <w:left w:val="nil"/>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Budget</w:t>
            </w:r>
          </w:p>
        </w:tc>
        <w:tc>
          <w:tcPr>
            <w:tcW w:w="639" w:type="dxa"/>
            <w:tcBorders>
              <w:top w:val="nil"/>
              <w:left w:val="nil"/>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 Budget</w:t>
            </w:r>
          </w:p>
        </w:tc>
        <w:tc>
          <w:tcPr>
            <w:tcW w:w="767" w:type="dxa"/>
            <w:tcBorders>
              <w:top w:val="nil"/>
              <w:left w:val="nil"/>
              <w:bottom w:val="single" w:sz="4" w:space="0" w:color="auto"/>
              <w:right w:val="single" w:sz="4" w:space="0" w:color="auto"/>
            </w:tcBorders>
            <w:shd w:val="clear" w:color="000000" w:fill="9BBB59"/>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Sample Proportional to Budget</w:t>
            </w:r>
          </w:p>
        </w:tc>
        <w:tc>
          <w:tcPr>
            <w:tcW w:w="692" w:type="dxa"/>
            <w:tcBorders>
              <w:top w:val="nil"/>
              <w:left w:val="nil"/>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Population # PAs</w:t>
            </w:r>
          </w:p>
        </w:tc>
        <w:tc>
          <w:tcPr>
            <w:tcW w:w="692" w:type="dxa"/>
            <w:tcBorders>
              <w:top w:val="nil"/>
              <w:left w:val="nil"/>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 Population # PAs</w:t>
            </w:r>
          </w:p>
        </w:tc>
        <w:tc>
          <w:tcPr>
            <w:tcW w:w="767" w:type="dxa"/>
            <w:tcBorders>
              <w:top w:val="nil"/>
              <w:left w:val="nil"/>
              <w:bottom w:val="single" w:sz="4" w:space="0" w:color="auto"/>
              <w:right w:val="single" w:sz="4" w:space="0" w:color="auto"/>
            </w:tcBorders>
            <w:shd w:val="clear" w:color="000000" w:fill="D99795"/>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Sample Proportional to # PAs</w:t>
            </w:r>
          </w:p>
        </w:tc>
        <w:tc>
          <w:tcPr>
            <w:tcW w:w="942" w:type="dxa"/>
            <w:tcBorders>
              <w:top w:val="nil"/>
              <w:left w:val="nil"/>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Large/Certainty</w:t>
            </w:r>
          </w:p>
        </w:tc>
        <w:tc>
          <w:tcPr>
            <w:tcW w:w="1172" w:type="dxa"/>
            <w:tcBorders>
              <w:top w:val="nil"/>
              <w:left w:val="nil"/>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Small/Noncertainty</w:t>
            </w:r>
          </w:p>
        </w:tc>
        <w:tc>
          <w:tcPr>
            <w:tcW w:w="610" w:type="dxa"/>
            <w:tcBorders>
              <w:top w:val="nil"/>
              <w:left w:val="nil"/>
              <w:bottom w:val="single" w:sz="4" w:space="0" w:color="auto"/>
              <w:right w:val="single" w:sz="4" w:space="0" w:color="auto"/>
            </w:tcBorders>
            <w:shd w:val="clear" w:color="000000" w:fill="C5D9F1"/>
            <w:vAlign w:val="center"/>
            <w:hideMark/>
          </w:tcPr>
          <w:p w:rsidR="00D55570" w:rsidRPr="00730E2D" w:rsidRDefault="00D55570" w:rsidP="00E6574E">
            <w:pPr>
              <w:jc w:val="center"/>
              <w:rPr>
                <w:rFonts w:asciiTheme="minorHAnsi" w:hAnsiTheme="minorHAnsi"/>
                <w:b/>
                <w:bCs/>
                <w:sz w:val="14"/>
                <w:szCs w:val="14"/>
              </w:rPr>
            </w:pPr>
            <w:r w:rsidRPr="00730E2D">
              <w:rPr>
                <w:rFonts w:asciiTheme="minorHAnsi" w:hAnsiTheme="minorHAnsi"/>
                <w:b/>
                <w:bCs/>
                <w:sz w:val="14"/>
                <w:szCs w:val="14"/>
              </w:rPr>
              <w:t>Total</w:t>
            </w:r>
          </w:p>
        </w:tc>
        <w:tc>
          <w:tcPr>
            <w:tcW w:w="642" w:type="dxa"/>
            <w:tcBorders>
              <w:top w:val="nil"/>
              <w:left w:val="nil"/>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 Sample Total</w:t>
            </w:r>
          </w:p>
        </w:tc>
        <w:tc>
          <w:tcPr>
            <w:tcW w:w="659" w:type="dxa"/>
            <w:vMerge/>
            <w:tcBorders>
              <w:top w:val="single" w:sz="4" w:space="0" w:color="auto"/>
              <w:left w:val="single" w:sz="4" w:space="0" w:color="auto"/>
              <w:bottom w:val="single" w:sz="4" w:space="0" w:color="auto"/>
              <w:right w:val="single" w:sz="4" w:space="0" w:color="auto"/>
            </w:tcBorders>
            <w:vAlign w:val="center"/>
            <w:hideMark/>
          </w:tcPr>
          <w:p w:rsidR="00D55570" w:rsidRPr="00730E2D" w:rsidRDefault="00D55570" w:rsidP="00E6574E">
            <w:pPr>
              <w:rPr>
                <w:rFonts w:asciiTheme="minorHAnsi" w:hAnsiTheme="minorHAnsi"/>
                <w:b/>
                <w:bCs/>
                <w:sz w:val="14"/>
                <w:szCs w:val="14"/>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D55570" w:rsidRPr="00730E2D" w:rsidRDefault="00D55570" w:rsidP="00E6574E">
            <w:pPr>
              <w:rPr>
                <w:rFonts w:asciiTheme="minorHAnsi" w:hAnsiTheme="minorHAnsi"/>
                <w:b/>
                <w:bCs/>
                <w:sz w:val="14"/>
                <w:szCs w:val="14"/>
              </w:rPr>
            </w:pPr>
          </w:p>
        </w:tc>
      </w:tr>
      <w:tr w:rsidR="00D55570" w:rsidRPr="00730E2D" w:rsidTr="00E6574E">
        <w:trPr>
          <w:trHeight w:val="54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Codes and Standards</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w:t>
            </w:r>
            <w:r w:rsidR="00DC4FCD" w:rsidRPr="00730E2D">
              <w:rPr>
                <w:rFonts w:asciiTheme="minorHAnsi" w:hAnsiTheme="minorHAnsi"/>
                <w:color w:val="000000"/>
                <w:sz w:val="14"/>
                <w:szCs w:val="14"/>
              </w:rPr>
              <w:t>l</w:t>
            </w:r>
            <w:r w:rsidRPr="00730E2D">
              <w:rPr>
                <w:rFonts w:asciiTheme="minorHAnsi" w:hAnsiTheme="minorHAnsi"/>
                <w:color w:val="000000"/>
                <w:sz w:val="14"/>
                <w:szCs w:val="14"/>
              </w:rPr>
              <w:t>ding Code Development and Support</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393,875</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5</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1</w:t>
            </w:r>
          </w:p>
        </w:tc>
      </w:tr>
      <w:tr w:rsidR="00D55570" w:rsidRPr="00730E2D" w:rsidTr="00E6574E">
        <w:trPr>
          <w:trHeight w:val="72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Codes and Standards</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Generalized Workshops and Demonstrations (Participants maybe traceable)</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1,617,449</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6</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3</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6%</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3</w:t>
            </w:r>
          </w:p>
        </w:tc>
      </w:tr>
      <w:tr w:rsidR="00D55570" w:rsidRPr="00730E2D" w:rsidTr="00E6574E">
        <w:trPr>
          <w:trHeight w:val="72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Codes and Standards</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Targeted Training and/or Certification (Participants are traceable)</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677,485</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5</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3%</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72" w:type="dxa"/>
            <w:tcBorders>
              <w:top w:val="nil"/>
              <w:left w:val="nil"/>
              <w:bottom w:val="single" w:sz="4" w:space="0" w:color="auto"/>
              <w:right w:val="single" w:sz="4" w:space="0" w:color="auto"/>
            </w:tcBorders>
            <w:shd w:val="clear" w:color="000000" w:fill="FFFF00"/>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2</w:t>
            </w:r>
          </w:p>
        </w:tc>
      </w:tr>
      <w:tr w:rsidR="00D55570" w:rsidRPr="00730E2D" w:rsidTr="00E6574E">
        <w:trPr>
          <w:trHeight w:val="36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Codes and Standards</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Technical Assistance to Building Owners</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2,972,522</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7%</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3</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1</w:t>
            </w:r>
          </w:p>
        </w:tc>
      </w:tr>
      <w:tr w:rsidR="00D55570" w:rsidRPr="00730E2D" w:rsidTr="00E6574E">
        <w:trPr>
          <w:trHeight w:val="36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Retrofits</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Retrofits: Nonresidential</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903,728</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3%</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2</w:t>
            </w:r>
          </w:p>
        </w:tc>
      </w:tr>
      <w:tr w:rsidR="00D55570" w:rsidRPr="00730E2D" w:rsidTr="00E6574E">
        <w:trPr>
          <w:trHeight w:val="36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Retrofits</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Retrofits: Residential</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576,183</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3%</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2</w:t>
            </w:r>
          </w:p>
        </w:tc>
      </w:tr>
      <w:tr w:rsidR="00D55570" w:rsidRPr="00730E2D" w:rsidTr="00E6574E">
        <w:trPr>
          <w:trHeight w:val="72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Retrofits</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Generalized Workshops and Demonstrations (Participants maybe traceable)</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2,589,997</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6%</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3</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21</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15%</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8</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5</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9%</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5</w:t>
            </w:r>
          </w:p>
        </w:tc>
      </w:tr>
      <w:tr w:rsidR="00D55570" w:rsidRPr="00730E2D" w:rsidTr="00E6574E">
        <w:trPr>
          <w:trHeight w:val="72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Retrofits</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Targeted Training and/or Certification (Participants are traceable)</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181,447</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5</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0</w:t>
            </w:r>
          </w:p>
        </w:tc>
      </w:tr>
      <w:tr w:rsidR="00D55570" w:rsidRPr="00730E2D" w:rsidTr="00E6574E">
        <w:trPr>
          <w:trHeight w:val="36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Retrofits</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Technical Assistance to Building Owners</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4,060,411</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9%</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5</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11</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8%</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5</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6</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11%</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6</w:t>
            </w:r>
          </w:p>
        </w:tc>
      </w:tr>
      <w:tr w:rsidR="00D55570" w:rsidRPr="00730E2D" w:rsidTr="00E6574E">
        <w:trPr>
          <w:trHeight w:val="54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Clean Energy Policy Support</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Policy and Market Studies; Legislative Support</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5,539,183</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13%</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7</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31</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22%</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12</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9</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11</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20%</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72" w:type="dxa"/>
            <w:tcBorders>
              <w:top w:val="nil"/>
              <w:left w:val="nil"/>
              <w:bottom w:val="single" w:sz="4" w:space="0" w:color="auto"/>
              <w:right w:val="single" w:sz="4" w:space="0" w:color="auto"/>
            </w:tcBorders>
            <w:shd w:val="clear" w:color="000000" w:fill="FFFF00"/>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8</w:t>
            </w:r>
          </w:p>
        </w:tc>
      </w:tr>
      <w:tr w:rsidR="00D55570" w:rsidRPr="00730E2D" w:rsidTr="00E6574E">
        <w:trPr>
          <w:trHeight w:val="54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Loans, Grants and Incentives (Excl Retro)</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Alternative Fuels, Ride Share and Traffic Optimization</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2,932,203</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7%</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10</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7%</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5</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10%</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5</w:t>
            </w:r>
          </w:p>
        </w:tc>
      </w:tr>
      <w:tr w:rsidR="00D55570" w:rsidRPr="00730E2D" w:rsidTr="00E6574E">
        <w:trPr>
          <w:trHeight w:val="72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lastRenderedPageBreak/>
              <w:t>Loans, Grants and Incentives (Excl Retro)</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Generalized Workshops and Demonstrations (Participants maybe traceable)</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94,722</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0</w:t>
            </w:r>
          </w:p>
        </w:tc>
      </w:tr>
      <w:tr w:rsidR="00D55570" w:rsidRPr="00730E2D" w:rsidTr="00E6574E">
        <w:trPr>
          <w:trHeight w:val="54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Loans, Grants and Incentives (Excl Retro)</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Technical Assistance to Building Owners</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5,062,979</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12%</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6</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3%</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3</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5%</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3</w:t>
            </w:r>
          </w:p>
        </w:tc>
        <w:tc>
          <w:tcPr>
            <w:tcW w:w="6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3</w:t>
            </w:r>
          </w:p>
        </w:tc>
      </w:tr>
      <w:tr w:rsidR="00D55570" w:rsidRPr="00730E2D" w:rsidTr="00E6574E">
        <w:trPr>
          <w:trHeight w:val="54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Loans, Grants and Incentives (Retro Only)</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Retrofits: Nonresidential</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9,392,550</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21%</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11</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8</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6%</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3</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3</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8%</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6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4</w:t>
            </w:r>
          </w:p>
        </w:tc>
      </w:tr>
      <w:tr w:rsidR="00D55570" w:rsidRPr="00730E2D" w:rsidTr="00E6574E">
        <w:trPr>
          <w:trHeight w:val="54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Loans, Grants and Incentives (Retro Only)</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Retrofits: Residential</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2,332,255</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5%</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3</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3</w:t>
            </w:r>
          </w:p>
        </w:tc>
        <w:tc>
          <w:tcPr>
            <w:tcW w:w="672" w:type="dxa"/>
            <w:tcBorders>
              <w:top w:val="nil"/>
              <w:left w:val="nil"/>
              <w:bottom w:val="single" w:sz="4" w:space="0" w:color="auto"/>
              <w:right w:val="single" w:sz="4" w:space="0" w:color="auto"/>
            </w:tcBorders>
            <w:shd w:val="clear" w:color="000000" w:fill="FFFF00"/>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2</w:t>
            </w:r>
          </w:p>
        </w:tc>
      </w:tr>
      <w:tr w:rsidR="00D55570" w:rsidRPr="00730E2D" w:rsidTr="00E6574E">
        <w:trPr>
          <w:trHeight w:val="72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Renewable Energy Market Development</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Generalized Workshops and Demonstrations (Participants maybe traceable)</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2,704,155</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6%</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3</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11</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8%</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3</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5</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9%</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72" w:type="dxa"/>
            <w:tcBorders>
              <w:top w:val="nil"/>
              <w:left w:val="nil"/>
              <w:bottom w:val="single" w:sz="4" w:space="0" w:color="auto"/>
              <w:right w:val="single" w:sz="4" w:space="0" w:color="auto"/>
            </w:tcBorders>
            <w:shd w:val="clear" w:color="000000" w:fill="FFFF00"/>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6</w:t>
            </w:r>
          </w:p>
        </w:tc>
      </w:tr>
      <w:tr w:rsidR="00D55570" w:rsidRPr="00730E2D" w:rsidTr="00E6574E">
        <w:trPr>
          <w:trHeight w:val="72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Technical Assistance</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Generalized Workshops and Demonstrations (Participants maybe traceable)</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30,425</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0</w:t>
            </w:r>
          </w:p>
        </w:tc>
      </w:tr>
      <w:tr w:rsidR="00D55570" w:rsidRPr="00730E2D" w:rsidTr="00E6574E">
        <w:trPr>
          <w:trHeight w:val="72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Technical Assistance</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Targeted Training and/or Certification (Participants are traceable)</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95,880</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0</w:t>
            </w:r>
          </w:p>
        </w:tc>
      </w:tr>
      <w:tr w:rsidR="00D55570" w:rsidRPr="00730E2D" w:rsidTr="00E6574E">
        <w:trPr>
          <w:trHeight w:val="360"/>
        </w:trPr>
        <w:tc>
          <w:tcPr>
            <w:tcW w:w="1285"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Technical Assistance</w:t>
            </w:r>
          </w:p>
        </w:tc>
        <w:tc>
          <w:tcPr>
            <w:tcW w:w="1488"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Technical Assistance to Building Owners</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6"/>
                <w:szCs w:val="16"/>
              </w:rPr>
            </w:pPr>
            <w:r w:rsidRPr="00730E2D">
              <w:rPr>
                <w:rFonts w:asciiTheme="minorHAnsi" w:hAnsiTheme="minorHAnsi"/>
                <w:color w:val="000000"/>
                <w:sz w:val="16"/>
                <w:szCs w:val="16"/>
              </w:rPr>
              <w:t>1,800,693</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6</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4%</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2</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1</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3</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5%</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6"/>
                <w:szCs w:val="16"/>
              </w:rPr>
            </w:pPr>
            <w:r w:rsidRPr="00730E2D">
              <w:rPr>
                <w:rFonts w:asciiTheme="minorHAnsi" w:hAnsiTheme="minorHAnsi"/>
                <w:color w:val="000000"/>
                <w:sz w:val="16"/>
                <w:szCs w:val="16"/>
              </w:rPr>
              <w:t>0</w:t>
            </w:r>
          </w:p>
        </w:tc>
        <w:tc>
          <w:tcPr>
            <w:tcW w:w="6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3</w:t>
            </w:r>
          </w:p>
        </w:tc>
      </w:tr>
      <w:tr w:rsidR="00D55570" w:rsidRPr="00730E2D" w:rsidTr="00E6574E">
        <w:trPr>
          <w:trHeight w:val="180"/>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 </w:t>
            </w:r>
          </w:p>
        </w:tc>
        <w:tc>
          <w:tcPr>
            <w:tcW w:w="148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 </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Total</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b/>
                <w:bCs/>
                <w:color w:val="000000"/>
                <w:sz w:val="16"/>
                <w:szCs w:val="16"/>
              </w:rPr>
            </w:pPr>
            <w:r w:rsidRPr="00730E2D">
              <w:rPr>
                <w:rFonts w:asciiTheme="minorHAnsi" w:hAnsiTheme="minorHAnsi"/>
                <w:b/>
                <w:bCs/>
                <w:color w:val="000000"/>
                <w:sz w:val="16"/>
                <w:szCs w:val="16"/>
              </w:rPr>
              <w:t>43,958,143</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100%</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53</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140</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100%</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53</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17</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36</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53</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100%</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6</w:t>
            </w:r>
          </w:p>
        </w:tc>
        <w:tc>
          <w:tcPr>
            <w:tcW w:w="6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53</w:t>
            </w:r>
          </w:p>
        </w:tc>
      </w:tr>
      <w:tr w:rsidR="00D55570" w:rsidRPr="00730E2D" w:rsidTr="00E6574E">
        <w:trPr>
          <w:trHeight w:val="180"/>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 </w:t>
            </w:r>
          </w:p>
        </w:tc>
        <w:tc>
          <w:tcPr>
            <w:tcW w:w="148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 </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MH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b/>
                <w:bCs/>
                <w:color w:val="000000"/>
                <w:sz w:val="16"/>
                <w:szCs w:val="16"/>
              </w:rPr>
            </w:pPr>
            <w:r w:rsidRPr="00730E2D">
              <w:rPr>
                <w:rFonts w:asciiTheme="minorHAnsi" w:hAnsiTheme="minorHAnsi"/>
                <w:b/>
                <w:bCs/>
                <w:color w:val="000000"/>
                <w:sz w:val="16"/>
                <w:szCs w:val="16"/>
              </w:rPr>
              <w:t>30,753,427</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70%</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37</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122</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87%</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46</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13</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31</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44</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82%</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3</w:t>
            </w:r>
          </w:p>
        </w:tc>
        <w:tc>
          <w:tcPr>
            <w:tcW w:w="6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43</w:t>
            </w:r>
          </w:p>
        </w:tc>
      </w:tr>
      <w:tr w:rsidR="00D55570" w:rsidRPr="00730E2D" w:rsidTr="00E6574E">
        <w:trPr>
          <w:trHeight w:val="180"/>
        </w:trPr>
        <w:tc>
          <w:tcPr>
            <w:tcW w:w="1285" w:type="dxa"/>
            <w:tcBorders>
              <w:top w:val="nil"/>
              <w:left w:val="single" w:sz="4" w:space="0" w:color="auto"/>
              <w:bottom w:val="single" w:sz="4" w:space="0" w:color="auto"/>
              <w:right w:val="single" w:sz="4" w:space="0" w:color="auto"/>
            </w:tcBorders>
            <w:shd w:val="clear" w:color="auto" w:fill="auto"/>
            <w:noWrap/>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 </w:t>
            </w:r>
          </w:p>
        </w:tc>
        <w:tc>
          <w:tcPr>
            <w:tcW w:w="148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 </w:t>
            </w:r>
          </w:p>
        </w:tc>
        <w:tc>
          <w:tcPr>
            <w:tcW w:w="553"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H</w:t>
            </w:r>
          </w:p>
        </w:tc>
        <w:tc>
          <w:tcPr>
            <w:tcW w:w="1240"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b/>
                <w:bCs/>
                <w:color w:val="000000"/>
                <w:sz w:val="16"/>
                <w:szCs w:val="16"/>
              </w:rPr>
            </w:pPr>
            <w:r w:rsidRPr="00730E2D">
              <w:rPr>
                <w:rFonts w:asciiTheme="minorHAnsi" w:hAnsiTheme="minorHAnsi"/>
                <w:b/>
                <w:bCs/>
                <w:color w:val="000000"/>
                <w:sz w:val="16"/>
                <w:szCs w:val="16"/>
              </w:rPr>
              <w:t>13,204,716</w:t>
            </w:r>
          </w:p>
        </w:tc>
        <w:tc>
          <w:tcPr>
            <w:tcW w:w="63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30%</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16</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18</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13%</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7</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4</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5</w:t>
            </w:r>
          </w:p>
        </w:tc>
        <w:tc>
          <w:tcPr>
            <w:tcW w:w="610"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9</w:t>
            </w:r>
          </w:p>
        </w:tc>
        <w:tc>
          <w:tcPr>
            <w:tcW w:w="6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18%</w:t>
            </w:r>
          </w:p>
        </w:tc>
        <w:tc>
          <w:tcPr>
            <w:tcW w:w="659"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3</w:t>
            </w:r>
          </w:p>
        </w:tc>
        <w:tc>
          <w:tcPr>
            <w:tcW w:w="6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6"/>
                <w:szCs w:val="16"/>
              </w:rPr>
            </w:pPr>
            <w:r w:rsidRPr="00730E2D">
              <w:rPr>
                <w:rFonts w:asciiTheme="minorHAnsi" w:hAnsiTheme="minorHAnsi"/>
                <w:b/>
                <w:bCs/>
                <w:color w:val="000000"/>
                <w:sz w:val="16"/>
                <w:szCs w:val="16"/>
              </w:rPr>
              <w:t>10</w:t>
            </w:r>
          </w:p>
        </w:tc>
      </w:tr>
    </w:tbl>
    <w:p w:rsidR="00D55570" w:rsidRPr="00730E2D" w:rsidRDefault="00D55570" w:rsidP="00D55570">
      <w:pPr>
        <w:spacing w:after="200" w:line="276" w:lineRule="auto"/>
        <w:rPr>
          <w:rFonts w:asciiTheme="minorHAnsi" w:hAnsiTheme="minorHAnsi"/>
        </w:rPr>
      </w:pPr>
    </w:p>
    <w:p w:rsidR="00D55570" w:rsidRPr="00730E2D" w:rsidRDefault="00D55570" w:rsidP="00D55570">
      <w:pPr>
        <w:spacing w:after="200" w:line="276" w:lineRule="auto"/>
        <w:rPr>
          <w:rFonts w:asciiTheme="minorHAnsi" w:hAnsiTheme="minorHAnsi"/>
        </w:rPr>
      </w:pPr>
    </w:p>
    <w:p w:rsidR="00D55570" w:rsidRPr="00730E2D" w:rsidRDefault="00D55570" w:rsidP="00D55570">
      <w:pPr>
        <w:tabs>
          <w:tab w:val="left" w:pos="360"/>
          <w:tab w:val="left" w:pos="720"/>
          <w:tab w:val="left" w:pos="1080"/>
          <w:tab w:val="left" w:pos="1440"/>
          <w:tab w:val="left" w:pos="1800"/>
        </w:tabs>
        <w:rPr>
          <w:rFonts w:asciiTheme="minorHAnsi" w:hAnsiTheme="minorHAnsi"/>
        </w:rPr>
      </w:pPr>
    </w:p>
    <w:p w:rsidR="00D55570" w:rsidRPr="00730E2D" w:rsidRDefault="00D55570" w:rsidP="00D55570">
      <w:pPr>
        <w:spacing w:after="200" w:line="276" w:lineRule="auto"/>
        <w:rPr>
          <w:rFonts w:asciiTheme="minorHAnsi" w:hAnsiTheme="minorHAnsi"/>
        </w:rPr>
      </w:pPr>
      <w:r w:rsidRPr="00730E2D">
        <w:rPr>
          <w:rFonts w:asciiTheme="minorHAnsi" w:hAnsiTheme="minorHAnsi"/>
        </w:rPr>
        <w:br w:type="page"/>
      </w:r>
    </w:p>
    <w:p w:rsidR="00D55570" w:rsidRPr="00730E2D" w:rsidRDefault="00852B44" w:rsidP="00852B44">
      <w:pPr>
        <w:pStyle w:val="Caption"/>
        <w:keepNext/>
        <w:jc w:val="left"/>
        <w:rPr>
          <w:rFonts w:asciiTheme="minorHAnsi" w:hAnsiTheme="minorHAnsi"/>
        </w:rPr>
      </w:pPr>
      <w:r w:rsidRPr="00730E2D">
        <w:rPr>
          <w:rFonts w:asciiTheme="minorHAnsi" w:hAnsiTheme="minorHAnsi"/>
        </w:rPr>
        <w:lastRenderedPageBreak/>
        <w:t xml:space="preserve">Figure </w:t>
      </w:r>
      <w:r w:rsidR="003260F1" w:rsidRPr="00730E2D">
        <w:rPr>
          <w:rFonts w:asciiTheme="minorHAnsi" w:hAnsiTheme="minorHAnsi"/>
        </w:rPr>
        <w:fldChar w:fldCharType="begin"/>
      </w:r>
      <w:r w:rsidRPr="00730E2D">
        <w:rPr>
          <w:rFonts w:asciiTheme="minorHAnsi" w:hAnsiTheme="minorHAnsi"/>
        </w:rPr>
        <w:instrText xml:space="preserve"> SEQ Figure \* ARABIC </w:instrText>
      </w:r>
      <w:r w:rsidR="003260F1" w:rsidRPr="00730E2D">
        <w:rPr>
          <w:rFonts w:asciiTheme="minorHAnsi" w:hAnsiTheme="minorHAnsi"/>
        </w:rPr>
        <w:fldChar w:fldCharType="separate"/>
      </w:r>
      <w:r w:rsidRPr="00730E2D">
        <w:rPr>
          <w:rFonts w:asciiTheme="minorHAnsi" w:hAnsiTheme="minorHAnsi"/>
          <w:noProof/>
        </w:rPr>
        <w:t>6</w:t>
      </w:r>
      <w:r w:rsidR="003260F1" w:rsidRPr="00730E2D">
        <w:rPr>
          <w:rFonts w:asciiTheme="minorHAnsi" w:hAnsiTheme="minorHAnsi"/>
        </w:rPr>
        <w:fldChar w:fldCharType="end"/>
      </w:r>
      <w:r w:rsidR="00D55570" w:rsidRPr="00730E2D">
        <w:rPr>
          <w:rFonts w:asciiTheme="minorHAnsi" w:hAnsiTheme="minorHAnsi"/>
        </w:rPr>
        <w:t>: Stage 1 Sample Targets by BPAC/Subcategory (ARRA)</w:t>
      </w:r>
    </w:p>
    <w:tbl>
      <w:tblPr>
        <w:tblW w:w="12940" w:type="dxa"/>
        <w:tblInd w:w="93" w:type="dxa"/>
        <w:tblLook w:val="04A0" w:firstRow="1" w:lastRow="0" w:firstColumn="1" w:lastColumn="0" w:noHBand="0" w:noVBand="1"/>
      </w:tblPr>
      <w:tblGrid>
        <w:gridCol w:w="1283"/>
        <w:gridCol w:w="1485"/>
        <w:gridCol w:w="552"/>
        <w:gridCol w:w="1371"/>
        <w:gridCol w:w="638"/>
        <w:gridCol w:w="767"/>
        <w:gridCol w:w="692"/>
        <w:gridCol w:w="692"/>
        <w:gridCol w:w="767"/>
        <w:gridCol w:w="942"/>
        <w:gridCol w:w="1172"/>
        <w:gridCol w:w="609"/>
        <w:gridCol w:w="641"/>
        <w:gridCol w:w="658"/>
        <w:gridCol w:w="671"/>
      </w:tblGrid>
      <w:tr w:rsidR="00D55570" w:rsidRPr="00730E2D" w:rsidTr="00852B44">
        <w:trPr>
          <w:trHeight w:val="180"/>
          <w:tblHeader/>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jc w:val="center"/>
              <w:rPr>
                <w:rFonts w:asciiTheme="minorHAnsi" w:hAnsiTheme="minorHAnsi"/>
                <w:b/>
                <w:bCs/>
                <w:sz w:val="14"/>
                <w:szCs w:val="14"/>
              </w:rPr>
            </w:pPr>
            <w:r w:rsidRPr="00730E2D">
              <w:rPr>
                <w:rFonts w:asciiTheme="minorHAnsi" w:hAnsiTheme="minorHAnsi"/>
                <w:b/>
                <w:bCs/>
                <w:sz w:val="14"/>
                <w:szCs w:val="14"/>
              </w:rPr>
              <w:t>BPAC</w:t>
            </w:r>
          </w:p>
        </w:tc>
        <w:tc>
          <w:tcPr>
            <w:tcW w:w="1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jc w:val="center"/>
              <w:rPr>
                <w:rFonts w:asciiTheme="minorHAnsi" w:hAnsiTheme="minorHAnsi"/>
                <w:b/>
                <w:bCs/>
                <w:sz w:val="14"/>
                <w:szCs w:val="14"/>
              </w:rPr>
            </w:pPr>
            <w:r w:rsidRPr="00730E2D">
              <w:rPr>
                <w:rFonts w:asciiTheme="minorHAnsi" w:hAnsiTheme="minorHAnsi"/>
                <w:b/>
                <w:bCs/>
                <w:sz w:val="14"/>
                <w:szCs w:val="14"/>
              </w:rPr>
              <w:t>Subcat</w:t>
            </w:r>
          </w:p>
        </w:tc>
        <w:tc>
          <w:tcPr>
            <w:tcW w:w="5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Target Rigor</w:t>
            </w:r>
          </w:p>
        </w:tc>
        <w:tc>
          <w:tcPr>
            <w:tcW w:w="2776" w:type="dxa"/>
            <w:gridSpan w:val="3"/>
            <w:tcBorders>
              <w:top w:val="single" w:sz="4" w:space="0" w:color="auto"/>
              <w:left w:val="nil"/>
              <w:bottom w:val="single" w:sz="4" w:space="0" w:color="auto"/>
              <w:right w:val="single" w:sz="4" w:space="0" w:color="auto"/>
            </w:tcBorders>
            <w:shd w:val="clear" w:color="auto" w:fill="auto"/>
            <w:vAlign w:val="center"/>
            <w:hideMark/>
          </w:tcPr>
          <w:p w:rsidR="00D55570" w:rsidRPr="00730E2D" w:rsidRDefault="00D55570" w:rsidP="00E6574E">
            <w:pPr>
              <w:jc w:val="center"/>
              <w:rPr>
                <w:rFonts w:asciiTheme="minorHAnsi" w:hAnsiTheme="minorHAnsi"/>
                <w:b/>
                <w:bCs/>
                <w:sz w:val="14"/>
                <w:szCs w:val="14"/>
              </w:rPr>
            </w:pPr>
            <w:r w:rsidRPr="00730E2D">
              <w:rPr>
                <w:rFonts w:asciiTheme="minorHAnsi" w:hAnsiTheme="minorHAnsi"/>
                <w:b/>
                <w:bCs/>
                <w:sz w:val="14"/>
                <w:szCs w:val="14"/>
              </w:rPr>
              <w:t>Budget</w:t>
            </w:r>
          </w:p>
        </w:tc>
        <w:tc>
          <w:tcPr>
            <w:tcW w:w="2151" w:type="dxa"/>
            <w:gridSpan w:val="3"/>
            <w:tcBorders>
              <w:top w:val="single" w:sz="4" w:space="0" w:color="auto"/>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sz w:val="14"/>
                <w:szCs w:val="14"/>
              </w:rPr>
            </w:pPr>
            <w:r w:rsidRPr="00730E2D">
              <w:rPr>
                <w:rFonts w:asciiTheme="minorHAnsi" w:hAnsiTheme="minorHAnsi"/>
                <w:b/>
                <w:bCs/>
                <w:sz w:val="14"/>
                <w:szCs w:val="14"/>
              </w:rPr>
              <w:t>Population # PAs</w:t>
            </w:r>
          </w:p>
        </w:tc>
        <w:tc>
          <w:tcPr>
            <w:tcW w:w="3364" w:type="dxa"/>
            <w:gridSpan w:val="4"/>
            <w:tcBorders>
              <w:top w:val="single" w:sz="4" w:space="0" w:color="auto"/>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sz w:val="14"/>
                <w:szCs w:val="14"/>
              </w:rPr>
            </w:pPr>
            <w:r w:rsidRPr="00730E2D">
              <w:rPr>
                <w:rFonts w:asciiTheme="minorHAnsi" w:hAnsiTheme="minorHAnsi"/>
                <w:b/>
                <w:bCs/>
                <w:sz w:val="14"/>
                <w:szCs w:val="14"/>
              </w:rPr>
              <w:t>Iteratively Allocated Sample Size</w:t>
            </w:r>
          </w:p>
        </w:tc>
        <w:tc>
          <w:tcPr>
            <w:tcW w:w="6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Likely Shortfall</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Final Target</w:t>
            </w:r>
          </w:p>
        </w:tc>
      </w:tr>
      <w:tr w:rsidR="00D55570" w:rsidRPr="00730E2D" w:rsidTr="00852B44">
        <w:trPr>
          <w:cantSplit/>
          <w:trHeight w:val="1592"/>
          <w:tblHeader/>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D55570" w:rsidRPr="00730E2D" w:rsidRDefault="00D55570" w:rsidP="00E6574E">
            <w:pPr>
              <w:rPr>
                <w:rFonts w:asciiTheme="minorHAnsi" w:hAnsiTheme="minorHAnsi"/>
                <w:b/>
                <w:bCs/>
                <w:sz w:val="14"/>
                <w:szCs w:val="1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D55570" w:rsidRPr="00730E2D" w:rsidRDefault="00D55570" w:rsidP="00E6574E">
            <w:pPr>
              <w:rPr>
                <w:rFonts w:asciiTheme="minorHAnsi" w:hAnsiTheme="minorHAnsi"/>
                <w:b/>
                <w:bCs/>
                <w:sz w:val="14"/>
                <w:szCs w:val="14"/>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D55570" w:rsidRPr="00730E2D" w:rsidRDefault="00D55570" w:rsidP="00E6574E">
            <w:pPr>
              <w:rPr>
                <w:rFonts w:asciiTheme="minorHAnsi" w:hAnsiTheme="minorHAnsi"/>
                <w:b/>
                <w:bCs/>
                <w:sz w:val="14"/>
                <w:szCs w:val="14"/>
              </w:rPr>
            </w:pPr>
          </w:p>
        </w:tc>
        <w:tc>
          <w:tcPr>
            <w:tcW w:w="1371" w:type="dxa"/>
            <w:tcBorders>
              <w:top w:val="nil"/>
              <w:left w:val="nil"/>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Budget</w:t>
            </w:r>
          </w:p>
        </w:tc>
        <w:tc>
          <w:tcPr>
            <w:tcW w:w="638" w:type="dxa"/>
            <w:tcBorders>
              <w:top w:val="nil"/>
              <w:left w:val="nil"/>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 Budget</w:t>
            </w:r>
          </w:p>
        </w:tc>
        <w:tc>
          <w:tcPr>
            <w:tcW w:w="767" w:type="dxa"/>
            <w:tcBorders>
              <w:top w:val="nil"/>
              <w:left w:val="nil"/>
              <w:bottom w:val="single" w:sz="4" w:space="0" w:color="auto"/>
              <w:right w:val="single" w:sz="4" w:space="0" w:color="auto"/>
            </w:tcBorders>
            <w:shd w:val="clear" w:color="000000" w:fill="9BBB59"/>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Sample Proportional to Budget</w:t>
            </w:r>
          </w:p>
        </w:tc>
        <w:tc>
          <w:tcPr>
            <w:tcW w:w="692" w:type="dxa"/>
            <w:tcBorders>
              <w:top w:val="nil"/>
              <w:left w:val="nil"/>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Population # PAs</w:t>
            </w:r>
          </w:p>
        </w:tc>
        <w:tc>
          <w:tcPr>
            <w:tcW w:w="692" w:type="dxa"/>
            <w:tcBorders>
              <w:top w:val="nil"/>
              <w:left w:val="nil"/>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 Population # PAs</w:t>
            </w:r>
          </w:p>
        </w:tc>
        <w:tc>
          <w:tcPr>
            <w:tcW w:w="767" w:type="dxa"/>
            <w:tcBorders>
              <w:top w:val="nil"/>
              <w:left w:val="nil"/>
              <w:bottom w:val="single" w:sz="4" w:space="0" w:color="auto"/>
              <w:right w:val="single" w:sz="4" w:space="0" w:color="auto"/>
            </w:tcBorders>
            <w:shd w:val="clear" w:color="000000" w:fill="D99795"/>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Sample Proportional to # PAs</w:t>
            </w:r>
          </w:p>
        </w:tc>
        <w:tc>
          <w:tcPr>
            <w:tcW w:w="942" w:type="dxa"/>
            <w:tcBorders>
              <w:top w:val="nil"/>
              <w:left w:val="nil"/>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Large/Certainty</w:t>
            </w:r>
          </w:p>
        </w:tc>
        <w:tc>
          <w:tcPr>
            <w:tcW w:w="1172" w:type="dxa"/>
            <w:tcBorders>
              <w:top w:val="nil"/>
              <w:left w:val="nil"/>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Small/Noncertainty</w:t>
            </w:r>
          </w:p>
        </w:tc>
        <w:tc>
          <w:tcPr>
            <w:tcW w:w="609" w:type="dxa"/>
            <w:tcBorders>
              <w:top w:val="nil"/>
              <w:left w:val="nil"/>
              <w:bottom w:val="single" w:sz="4" w:space="0" w:color="auto"/>
              <w:right w:val="single" w:sz="4" w:space="0" w:color="auto"/>
            </w:tcBorders>
            <w:shd w:val="clear" w:color="000000" w:fill="C5D9F1"/>
            <w:vAlign w:val="center"/>
            <w:hideMark/>
          </w:tcPr>
          <w:p w:rsidR="00D55570" w:rsidRPr="00730E2D" w:rsidRDefault="00D55570" w:rsidP="00E6574E">
            <w:pPr>
              <w:jc w:val="center"/>
              <w:rPr>
                <w:rFonts w:asciiTheme="minorHAnsi" w:hAnsiTheme="minorHAnsi"/>
                <w:b/>
                <w:bCs/>
                <w:sz w:val="14"/>
                <w:szCs w:val="14"/>
              </w:rPr>
            </w:pPr>
            <w:r w:rsidRPr="00730E2D">
              <w:rPr>
                <w:rFonts w:asciiTheme="minorHAnsi" w:hAnsiTheme="minorHAnsi"/>
                <w:b/>
                <w:bCs/>
                <w:sz w:val="14"/>
                <w:szCs w:val="14"/>
              </w:rPr>
              <w:t>Total</w:t>
            </w:r>
          </w:p>
        </w:tc>
        <w:tc>
          <w:tcPr>
            <w:tcW w:w="641" w:type="dxa"/>
            <w:tcBorders>
              <w:top w:val="nil"/>
              <w:left w:val="nil"/>
              <w:bottom w:val="single" w:sz="4" w:space="0" w:color="auto"/>
              <w:right w:val="single" w:sz="4" w:space="0" w:color="auto"/>
            </w:tcBorders>
            <w:shd w:val="clear" w:color="auto" w:fill="auto"/>
            <w:textDirection w:val="btLr"/>
            <w:vAlign w:val="center"/>
            <w:hideMark/>
          </w:tcPr>
          <w:p w:rsidR="00D55570" w:rsidRPr="00730E2D" w:rsidRDefault="00D55570" w:rsidP="00852B44">
            <w:pPr>
              <w:ind w:left="113" w:right="113"/>
              <w:jc w:val="center"/>
              <w:rPr>
                <w:rFonts w:asciiTheme="minorHAnsi" w:hAnsiTheme="minorHAnsi"/>
                <w:b/>
                <w:bCs/>
                <w:sz w:val="14"/>
                <w:szCs w:val="14"/>
              </w:rPr>
            </w:pPr>
            <w:r w:rsidRPr="00730E2D">
              <w:rPr>
                <w:rFonts w:asciiTheme="minorHAnsi" w:hAnsiTheme="minorHAnsi"/>
                <w:b/>
                <w:bCs/>
                <w:sz w:val="14"/>
                <w:szCs w:val="14"/>
              </w:rPr>
              <w:t>% Sample Total</w:t>
            </w:r>
          </w:p>
        </w:tc>
        <w:tc>
          <w:tcPr>
            <w:tcW w:w="658" w:type="dxa"/>
            <w:vMerge/>
            <w:tcBorders>
              <w:top w:val="single" w:sz="4" w:space="0" w:color="auto"/>
              <w:left w:val="single" w:sz="4" w:space="0" w:color="auto"/>
              <w:bottom w:val="single" w:sz="4" w:space="0" w:color="auto"/>
              <w:right w:val="single" w:sz="4" w:space="0" w:color="auto"/>
            </w:tcBorders>
            <w:textDirection w:val="btLr"/>
            <w:vAlign w:val="center"/>
            <w:hideMark/>
          </w:tcPr>
          <w:p w:rsidR="00D55570" w:rsidRPr="00730E2D" w:rsidRDefault="00D55570" w:rsidP="00852B44">
            <w:pPr>
              <w:ind w:left="113" w:right="113"/>
              <w:rPr>
                <w:rFonts w:asciiTheme="minorHAnsi" w:hAnsiTheme="minorHAnsi"/>
                <w:b/>
                <w:bCs/>
                <w:sz w:val="14"/>
                <w:szCs w:val="14"/>
              </w:rPr>
            </w:pPr>
          </w:p>
        </w:tc>
        <w:tc>
          <w:tcPr>
            <w:tcW w:w="671" w:type="dxa"/>
            <w:vMerge/>
            <w:tcBorders>
              <w:top w:val="single" w:sz="4" w:space="0" w:color="auto"/>
              <w:left w:val="single" w:sz="4" w:space="0" w:color="auto"/>
              <w:bottom w:val="single" w:sz="4" w:space="0" w:color="auto"/>
              <w:right w:val="single" w:sz="4" w:space="0" w:color="auto"/>
            </w:tcBorders>
            <w:textDirection w:val="btLr"/>
            <w:vAlign w:val="center"/>
            <w:hideMark/>
          </w:tcPr>
          <w:p w:rsidR="00D55570" w:rsidRPr="00730E2D" w:rsidRDefault="00D55570" w:rsidP="00852B44">
            <w:pPr>
              <w:ind w:left="113" w:right="113"/>
              <w:rPr>
                <w:rFonts w:asciiTheme="minorHAnsi" w:hAnsiTheme="minorHAnsi"/>
                <w:b/>
                <w:bCs/>
                <w:sz w:val="14"/>
                <w:szCs w:val="14"/>
              </w:rPr>
            </w:pPr>
          </w:p>
        </w:tc>
      </w:tr>
      <w:tr w:rsidR="00D55570" w:rsidRPr="00730E2D" w:rsidTr="00E6574E">
        <w:trPr>
          <w:trHeight w:val="36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Codes and Standards</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w:t>
            </w:r>
            <w:r w:rsidR="00DC4FCD" w:rsidRPr="00730E2D">
              <w:rPr>
                <w:rFonts w:asciiTheme="minorHAnsi" w:hAnsiTheme="minorHAnsi"/>
                <w:color w:val="000000"/>
                <w:sz w:val="14"/>
                <w:szCs w:val="14"/>
              </w:rPr>
              <w:t>l</w:t>
            </w:r>
            <w:r w:rsidRPr="00730E2D">
              <w:rPr>
                <w:rFonts w:asciiTheme="minorHAnsi" w:hAnsiTheme="minorHAnsi"/>
                <w:color w:val="000000"/>
                <w:sz w:val="14"/>
                <w:szCs w:val="14"/>
              </w:rPr>
              <w:t>ding Codes and Standards: Codes</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4"/>
                <w:szCs w:val="14"/>
              </w:rPr>
            </w:pPr>
            <w:r w:rsidRPr="00730E2D">
              <w:rPr>
                <w:rFonts w:asciiTheme="minorHAnsi" w:hAnsiTheme="minorHAnsi"/>
                <w:color w:val="000000"/>
                <w:sz w:val="14"/>
                <w:szCs w:val="14"/>
              </w:rPr>
              <w:t>10,381,043</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10</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3%</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2</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2.0</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7%</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2</w:t>
            </w:r>
          </w:p>
        </w:tc>
      </w:tr>
      <w:tr w:rsidR="00D55570" w:rsidRPr="00730E2D" w:rsidTr="00E6574E">
        <w:trPr>
          <w:trHeight w:val="72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Codes and Standards</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Generalized Workshops and Demonstrations (Participants maybe traceable)</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4"/>
                <w:szCs w:val="14"/>
              </w:rPr>
            </w:pPr>
            <w:r w:rsidRPr="00730E2D">
              <w:rPr>
                <w:rFonts w:asciiTheme="minorHAnsi" w:hAnsiTheme="minorHAnsi"/>
                <w:color w:val="000000"/>
                <w:sz w:val="14"/>
                <w:szCs w:val="14"/>
              </w:rPr>
              <w:t>19,223,610</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2</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1.0</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3%</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w:t>
            </w:r>
          </w:p>
        </w:tc>
      </w:tr>
      <w:tr w:rsidR="00D55570" w:rsidRPr="00730E2D" w:rsidTr="00E6574E">
        <w:trPr>
          <w:trHeight w:val="72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Codes and Standards</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Targeted Training and/or Certification (participants are traceable)</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4"/>
                <w:szCs w:val="14"/>
              </w:rPr>
            </w:pPr>
            <w:r w:rsidRPr="00730E2D">
              <w:rPr>
                <w:rFonts w:asciiTheme="minorHAnsi" w:hAnsiTheme="minorHAnsi"/>
                <w:color w:val="000000"/>
                <w:sz w:val="14"/>
                <w:szCs w:val="14"/>
              </w:rPr>
              <w:t>3,075,498</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7</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2%</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1.0</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3%</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w:t>
            </w:r>
          </w:p>
        </w:tc>
      </w:tr>
      <w:tr w:rsidR="00D55570" w:rsidRPr="00730E2D" w:rsidTr="00E6574E">
        <w:trPr>
          <w:trHeight w:val="36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Retrofits</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Retrofits: Nonresidential</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4"/>
                <w:szCs w:val="14"/>
              </w:rPr>
            </w:pPr>
            <w:r w:rsidRPr="00730E2D">
              <w:rPr>
                <w:rFonts w:asciiTheme="minorHAnsi" w:hAnsiTheme="minorHAnsi"/>
                <w:color w:val="000000"/>
                <w:sz w:val="14"/>
                <w:szCs w:val="14"/>
              </w:rPr>
              <w:t>507,614,260</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22%</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6</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70</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23%</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7</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6</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5.6</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19%</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6</w:t>
            </w:r>
          </w:p>
        </w:tc>
      </w:tr>
      <w:tr w:rsidR="00D55570" w:rsidRPr="00730E2D" w:rsidTr="00E6574E">
        <w:trPr>
          <w:trHeight w:val="36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Retrofits</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Retrofits: Residential</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4"/>
                <w:szCs w:val="14"/>
              </w:rPr>
            </w:pPr>
            <w:r w:rsidRPr="00730E2D">
              <w:rPr>
                <w:rFonts w:asciiTheme="minorHAnsi" w:hAnsiTheme="minorHAnsi"/>
                <w:color w:val="000000"/>
                <w:sz w:val="14"/>
                <w:szCs w:val="14"/>
              </w:rPr>
              <w:t>91,550,234</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4%</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11</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4%</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2</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2.0</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7%</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2</w:t>
            </w:r>
          </w:p>
        </w:tc>
      </w:tr>
      <w:tr w:rsidR="00D55570" w:rsidRPr="00730E2D" w:rsidTr="00E6574E">
        <w:trPr>
          <w:trHeight w:val="72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Retrofits</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Generalized Workshops and Demonstrations (Participants maybe traceable)</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4"/>
                <w:szCs w:val="14"/>
              </w:rPr>
            </w:pPr>
            <w:r w:rsidRPr="00730E2D">
              <w:rPr>
                <w:rFonts w:asciiTheme="minorHAnsi" w:hAnsiTheme="minorHAnsi"/>
                <w:color w:val="000000"/>
                <w:sz w:val="14"/>
                <w:szCs w:val="14"/>
              </w:rPr>
              <w:t>667,990</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0.0</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0</w:t>
            </w:r>
          </w:p>
        </w:tc>
      </w:tr>
      <w:tr w:rsidR="00D55570" w:rsidRPr="00730E2D" w:rsidTr="00E6574E">
        <w:trPr>
          <w:trHeight w:val="72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Retrofits</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Targeted Training and/or Certification (participants are traceable)</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4"/>
                <w:szCs w:val="14"/>
              </w:rPr>
            </w:pPr>
            <w:r w:rsidRPr="00730E2D">
              <w:rPr>
                <w:rFonts w:asciiTheme="minorHAnsi" w:hAnsiTheme="minorHAnsi"/>
                <w:color w:val="000000"/>
                <w:sz w:val="14"/>
                <w:szCs w:val="14"/>
              </w:rPr>
              <w:t>25,637,692</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7</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2%</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0.3</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0</w:t>
            </w:r>
          </w:p>
        </w:tc>
      </w:tr>
      <w:tr w:rsidR="00D55570" w:rsidRPr="00730E2D" w:rsidTr="00E6574E">
        <w:trPr>
          <w:trHeight w:val="72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Loans, Grants and Incentives (Excl Retrofits and Projects)</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Generalized Workshops and Demonstrations (Participants maybe traceable)</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4"/>
                <w:szCs w:val="14"/>
              </w:rPr>
            </w:pPr>
            <w:r w:rsidRPr="00730E2D">
              <w:rPr>
                <w:rFonts w:asciiTheme="minorHAnsi" w:hAnsiTheme="minorHAnsi"/>
                <w:color w:val="000000"/>
                <w:sz w:val="14"/>
                <w:szCs w:val="14"/>
              </w:rPr>
              <w:t>4,247,962</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4</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0.0</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0</w:t>
            </w:r>
          </w:p>
        </w:tc>
      </w:tr>
      <w:tr w:rsidR="00D55570" w:rsidRPr="00730E2D" w:rsidTr="00E6574E">
        <w:trPr>
          <w:trHeight w:val="72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Loans, Grants and Incentives (Excl Retrofits and Projects)</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Renewable Energy Market Development: Manufacturing</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4"/>
                <w:szCs w:val="14"/>
              </w:rPr>
            </w:pPr>
            <w:r w:rsidRPr="00730E2D">
              <w:rPr>
                <w:rFonts w:asciiTheme="minorHAnsi" w:hAnsiTheme="minorHAnsi"/>
                <w:color w:val="000000"/>
                <w:sz w:val="14"/>
                <w:szCs w:val="14"/>
              </w:rPr>
              <w:t>251,957,503</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11%</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3</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12</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4%</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3</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2.8</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10%</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71" w:type="dxa"/>
            <w:tcBorders>
              <w:top w:val="nil"/>
              <w:left w:val="nil"/>
              <w:bottom w:val="single" w:sz="4" w:space="0" w:color="auto"/>
              <w:right w:val="single" w:sz="4" w:space="0" w:color="auto"/>
            </w:tcBorders>
            <w:shd w:val="clear" w:color="000000" w:fill="FFFF00"/>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2</w:t>
            </w:r>
          </w:p>
        </w:tc>
      </w:tr>
      <w:tr w:rsidR="00D55570" w:rsidRPr="00730E2D" w:rsidTr="00E6574E">
        <w:trPr>
          <w:trHeight w:val="72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Loans, Grants and Incentives (Excl Retrofits and Projects)</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Targeted Training and/or Certification (participants are traceable)</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4"/>
                <w:szCs w:val="14"/>
              </w:rPr>
            </w:pPr>
            <w:r w:rsidRPr="00730E2D">
              <w:rPr>
                <w:rFonts w:asciiTheme="minorHAnsi" w:hAnsiTheme="minorHAnsi"/>
                <w:color w:val="000000"/>
                <w:sz w:val="14"/>
                <w:szCs w:val="14"/>
              </w:rPr>
              <w:t>9,548,163</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2</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0.1</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0</w:t>
            </w:r>
          </w:p>
        </w:tc>
      </w:tr>
      <w:tr w:rsidR="00D55570" w:rsidRPr="00730E2D" w:rsidTr="00E6574E">
        <w:trPr>
          <w:trHeight w:val="54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lastRenderedPageBreak/>
              <w:t>Loans, Grants and Incentives (Retrofits and Projects)</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Retrofits: Nonresidential</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4"/>
                <w:szCs w:val="14"/>
              </w:rPr>
            </w:pPr>
            <w:r w:rsidRPr="00730E2D">
              <w:rPr>
                <w:rFonts w:asciiTheme="minorHAnsi" w:hAnsiTheme="minorHAnsi"/>
                <w:color w:val="000000"/>
                <w:sz w:val="14"/>
                <w:szCs w:val="14"/>
              </w:rPr>
              <w:t>488,804,472</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22%</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6</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43</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14%</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4</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4</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4.9</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17%</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5</w:t>
            </w:r>
          </w:p>
        </w:tc>
      </w:tr>
      <w:tr w:rsidR="00D55570" w:rsidRPr="00730E2D" w:rsidTr="00E6574E">
        <w:trPr>
          <w:trHeight w:val="54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Loans, Grants and Incentives (Retrofits and Projects)</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Building Retrofits: Residential</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4"/>
                <w:szCs w:val="14"/>
              </w:rPr>
            </w:pPr>
            <w:r w:rsidRPr="00730E2D">
              <w:rPr>
                <w:rFonts w:asciiTheme="minorHAnsi" w:hAnsiTheme="minorHAnsi"/>
                <w:color w:val="000000"/>
                <w:sz w:val="14"/>
                <w:szCs w:val="14"/>
              </w:rPr>
              <w:t>135,599,983</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6%</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2</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13</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4%</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1.5</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5%</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w:t>
            </w:r>
          </w:p>
        </w:tc>
      </w:tr>
      <w:tr w:rsidR="00D55570" w:rsidRPr="00730E2D" w:rsidTr="00E6574E">
        <w:trPr>
          <w:trHeight w:val="54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Loans, Grants and Incentives (Retrofits and Projects)</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Renewable Energy Market Development: Projects</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4"/>
                <w:szCs w:val="14"/>
              </w:rPr>
            </w:pPr>
            <w:r w:rsidRPr="00730E2D">
              <w:rPr>
                <w:rFonts w:asciiTheme="minorHAnsi" w:hAnsiTheme="minorHAnsi"/>
                <w:color w:val="000000"/>
                <w:sz w:val="14"/>
                <w:szCs w:val="14"/>
              </w:rPr>
              <w:t>298,047,959</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13%</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4</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55</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18%</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5</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3</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3.3</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11%</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71" w:type="dxa"/>
            <w:tcBorders>
              <w:top w:val="nil"/>
              <w:left w:val="nil"/>
              <w:bottom w:val="single" w:sz="4" w:space="0" w:color="auto"/>
              <w:right w:val="single" w:sz="4" w:space="0" w:color="auto"/>
            </w:tcBorders>
            <w:shd w:val="clear" w:color="000000" w:fill="FFFF00"/>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4</w:t>
            </w:r>
          </w:p>
        </w:tc>
      </w:tr>
      <w:tr w:rsidR="00D55570" w:rsidRPr="00730E2D" w:rsidTr="00E6574E">
        <w:trPr>
          <w:trHeight w:val="72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Renewable Energy Market Development</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Generalized Workshops and Demonstrations (Participants maybe traceable)</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4"/>
                <w:szCs w:val="14"/>
              </w:rPr>
            </w:pPr>
            <w:r w:rsidRPr="00730E2D">
              <w:rPr>
                <w:rFonts w:asciiTheme="minorHAnsi" w:hAnsiTheme="minorHAnsi"/>
                <w:color w:val="000000"/>
                <w:sz w:val="14"/>
                <w:szCs w:val="14"/>
              </w:rPr>
              <w:t>2,072,750</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5</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2%</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0.0</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0</w:t>
            </w:r>
          </w:p>
        </w:tc>
      </w:tr>
      <w:tr w:rsidR="00D55570" w:rsidRPr="00730E2D" w:rsidTr="00E6574E">
        <w:trPr>
          <w:trHeight w:val="54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Renewable Energy Market Development</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Renewable Energy Market Development: Manufacturing</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4"/>
                <w:szCs w:val="14"/>
              </w:rPr>
            </w:pPr>
            <w:r w:rsidRPr="00730E2D">
              <w:rPr>
                <w:rFonts w:asciiTheme="minorHAnsi" w:hAnsiTheme="minorHAnsi"/>
                <w:color w:val="000000"/>
                <w:sz w:val="14"/>
                <w:szCs w:val="14"/>
              </w:rPr>
              <w:t>118,323,694</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5%</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2</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9</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3%</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1.3</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4%</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w:t>
            </w:r>
          </w:p>
        </w:tc>
      </w:tr>
      <w:tr w:rsidR="00D55570" w:rsidRPr="00730E2D" w:rsidTr="00E6574E">
        <w:trPr>
          <w:trHeight w:val="54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Renewable Energy Market Development</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Renewable Energy Market Development: Projects</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4"/>
                <w:szCs w:val="14"/>
              </w:rPr>
            </w:pPr>
            <w:r w:rsidRPr="00730E2D">
              <w:rPr>
                <w:rFonts w:asciiTheme="minorHAnsi" w:hAnsiTheme="minorHAnsi"/>
                <w:color w:val="000000"/>
                <w:sz w:val="14"/>
                <w:szCs w:val="14"/>
              </w:rPr>
              <w:t>289,487,818</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13%</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4</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51</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17%</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5</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3</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3.2</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11%</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71" w:type="dxa"/>
            <w:tcBorders>
              <w:top w:val="nil"/>
              <w:left w:val="nil"/>
              <w:bottom w:val="single" w:sz="4" w:space="0" w:color="auto"/>
              <w:right w:val="single" w:sz="4" w:space="0" w:color="auto"/>
            </w:tcBorders>
            <w:shd w:val="clear" w:color="000000" w:fill="FFFF00"/>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4</w:t>
            </w:r>
          </w:p>
        </w:tc>
      </w:tr>
      <w:tr w:rsidR="00D55570" w:rsidRPr="00730E2D" w:rsidTr="00E6574E">
        <w:trPr>
          <w:trHeight w:val="72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Renewable Energy Market Development</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Targeted Training and/or Certification (participants are traceable)</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MH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color w:val="000000"/>
                <w:sz w:val="14"/>
                <w:szCs w:val="14"/>
              </w:rPr>
            </w:pPr>
            <w:r w:rsidRPr="00730E2D">
              <w:rPr>
                <w:rFonts w:asciiTheme="minorHAnsi" w:hAnsiTheme="minorHAnsi"/>
                <w:color w:val="000000"/>
                <w:sz w:val="14"/>
                <w:szCs w:val="14"/>
              </w:rPr>
              <w:t>14,718,684</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4</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0.2</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1%</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color w:val="000000"/>
                <w:sz w:val="14"/>
                <w:szCs w:val="14"/>
              </w:rPr>
            </w:pPr>
            <w:r w:rsidRPr="00730E2D">
              <w:rPr>
                <w:rFonts w:asciiTheme="minorHAnsi" w:hAnsiTheme="minorHAnsi"/>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0</w:t>
            </w:r>
          </w:p>
        </w:tc>
      </w:tr>
      <w:tr w:rsidR="00D55570" w:rsidRPr="00730E2D" w:rsidTr="00E6574E">
        <w:trPr>
          <w:trHeight w:val="18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 </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 </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Total</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b/>
                <w:bCs/>
                <w:color w:val="000000"/>
                <w:sz w:val="14"/>
                <w:szCs w:val="14"/>
              </w:rPr>
            </w:pPr>
            <w:r w:rsidRPr="00730E2D">
              <w:rPr>
                <w:rFonts w:asciiTheme="minorHAnsi" w:hAnsiTheme="minorHAnsi"/>
                <w:b/>
                <w:bCs/>
                <w:color w:val="000000"/>
                <w:sz w:val="14"/>
                <w:szCs w:val="14"/>
              </w:rPr>
              <w:t>2,270,959,315</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100%</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29</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306</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100%</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29</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28</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29</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100%</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29</w:t>
            </w:r>
          </w:p>
        </w:tc>
      </w:tr>
      <w:tr w:rsidR="00D55570" w:rsidRPr="00730E2D" w:rsidTr="00E6574E">
        <w:trPr>
          <w:trHeight w:val="18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 </w:t>
            </w:r>
          </w:p>
        </w:tc>
        <w:tc>
          <w:tcPr>
            <w:tcW w:w="1485" w:type="dxa"/>
            <w:tcBorders>
              <w:top w:val="nil"/>
              <w:left w:val="nil"/>
              <w:bottom w:val="single" w:sz="4" w:space="0" w:color="auto"/>
              <w:right w:val="single" w:sz="4" w:space="0" w:color="auto"/>
            </w:tcBorders>
            <w:shd w:val="clear" w:color="auto" w:fill="auto"/>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 </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MH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b/>
                <w:bCs/>
                <w:color w:val="000000"/>
                <w:sz w:val="14"/>
                <w:szCs w:val="14"/>
              </w:rPr>
            </w:pPr>
            <w:r w:rsidRPr="00730E2D">
              <w:rPr>
                <w:rFonts w:asciiTheme="minorHAnsi" w:hAnsiTheme="minorHAnsi"/>
                <w:b/>
                <w:bCs/>
                <w:color w:val="000000"/>
                <w:sz w:val="14"/>
                <w:szCs w:val="14"/>
              </w:rPr>
              <w:t>1,047,390,366</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46%</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13</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169</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55%</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16</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0</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15</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15</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52%</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15</w:t>
            </w:r>
          </w:p>
        </w:tc>
      </w:tr>
      <w:tr w:rsidR="00D55570" w:rsidRPr="00730E2D" w:rsidTr="00E6574E">
        <w:trPr>
          <w:trHeight w:val="180"/>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 </w:t>
            </w:r>
          </w:p>
        </w:tc>
        <w:tc>
          <w:tcPr>
            <w:tcW w:w="1485"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rPr>
                <w:rFonts w:asciiTheme="minorHAnsi" w:hAnsiTheme="minorHAnsi"/>
                <w:color w:val="000000"/>
                <w:sz w:val="14"/>
                <w:szCs w:val="14"/>
              </w:rPr>
            </w:pPr>
            <w:r w:rsidRPr="00730E2D">
              <w:rPr>
                <w:rFonts w:asciiTheme="minorHAnsi" w:hAnsiTheme="minorHAnsi"/>
                <w:color w:val="000000"/>
                <w:sz w:val="14"/>
                <w:szCs w:val="14"/>
              </w:rPr>
              <w:t> </w:t>
            </w:r>
          </w:p>
        </w:tc>
        <w:tc>
          <w:tcPr>
            <w:tcW w:w="55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H</w:t>
            </w:r>
          </w:p>
        </w:tc>
        <w:tc>
          <w:tcPr>
            <w:tcW w:w="13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right"/>
              <w:rPr>
                <w:rFonts w:asciiTheme="minorHAnsi" w:hAnsiTheme="minorHAnsi"/>
                <w:b/>
                <w:bCs/>
                <w:color w:val="000000"/>
                <w:sz w:val="14"/>
                <w:szCs w:val="14"/>
              </w:rPr>
            </w:pPr>
            <w:r w:rsidRPr="00730E2D">
              <w:rPr>
                <w:rFonts w:asciiTheme="minorHAnsi" w:hAnsiTheme="minorHAnsi"/>
                <w:b/>
                <w:bCs/>
                <w:color w:val="000000"/>
                <w:sz w:val="14"/>
                <w:szCs w:val="14"/>
              </w:rPr>
              <w:t>1,223,568,949</w:t>
            </w:r>
          </w:p>
        </w:tc>
        <w:tc>
          <w:tcPr>
            <w:tcW w:w="63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54%</w:t>
            </w:r>
          </w:p>
        </w:tc>
        <w:tc>
          <w:tcPr>
            <w:tcW w:w="767" w:type="dxa"/>
            <w:tcBorders>
              <w:top w:val="nil"/>
              <w:left w:val="nil"/>
              <w:bottom w:val="single" w:sz="4" w:space="0" w:color="auto"/>
              <w:right w:val="single" w:sz="4" w:space="0" w:color="auto"/>
            </w:tcBorders>
            <w:shd w:val="clear" w:color="000000" w:fill="9BBB59"/>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16</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137</w:t>
            </w:r>
          </w:p>
        </w:tc>
        <w:tc>
          <w:tcPr>
            <w:tcW w:w="69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45%</w:t>
            </w:r>
          </w:p>
        </w:tc>
        <w:tc>
          <w:tcPr>
            <w:tcW w:w="767" w:type="dxa"/>
            <w:tcBorders>
              <w:top w:val="nil"/>
              <w:left w:val="nil"/>
              <w:bottom w:val="single" w:sz="4" w:space="0" w:color="auto"/>
              <w:right w:val="single" w:sz="4" w:space="0" w:color="auto"/>
            </w:tcBorders>
            <w:shd w:val="clear" w:color="000000" w:fill="D99795"/>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13</w:t>
            </w:r>
          </w:p>
        </w:tc>
        <w:tc>
          <w:tcPr>
            <w:tcW w:w="94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w:t>
            </w:r>
          </w:p>
        </w:tc>
        <w:tc>
          <w:tcPr>
            <w:tcW w:w="1172"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13</w:t>
            </w:r>
          </w:p>
        </w:tc>
        <w:tc>
          <w:tcPr>
            <w:tcW w:w="609" w:type="dxa"/>
            <w:tcBorders>
              <w:top w:val="nil"/>
              <w:left w:val="nil"/>
              <w:bottom w:val="single" w:sz="4" w:space="0" w:color="auto"/>
              <w:right w:val="single" w:sz="4" w:space="0" w:color="auto"/>
            </w:tcBorders>
            <w:shd w:val="clear" w:color="000000" w:fill="C5D9F1"/>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14</w:t>
            </w:r>
          </w:p>
        </w:tc>
        <w:tc>
          <w:tcPr>
            <w:tcW w:w="64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48%</w:t>
            </w:r>
          </w:p>
        </w:tc>
        <w:tc>
          <w:tcPr>
            <w:tcW w:w="658"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center"/>
            <w:hideMark/>
          </w:tcPr>
          <w:p w:rsidR="00D55570" w:rsidRPr="00730E2D" w:rsidRDefault="00D55570" w:rsidP="00E6574E">
            <w:pPr>
              <w:jc w:val="center"/>
              <w:rPr>
                <w:rFonts w:asciiTheme="minorHAnsi" w:hAnsiTheme="minorHAnsi"/>
                <w:b/>
                <w:bCs/>
                <w:color w:val="000000"/>
                <w:sz w:val="14"/>
                <w:szCs w:val="14"/>
              </w:rPr>
            </w:pPr>
            <w:r w:rsidRPr="00730E2D">
              <w:rPr>
                <w:rFonts w:asciiTheme="minorHAnsi" w:hAnsiTheme="minorHAnsi"/>
                <w:b/>
                <w:bCs/>
                <w:color w:val="000000"/>
                <w:sz w:val="14"/>
                <w:szCs w:val="14"/>
              </w:rPr>
              <w:t>14</w:t>
            </w:r>
          </w:p>
        </w:tc>
      </w:tr>
    </w:tbl>
    <w:p w:rsidR="00D55570" w:rsidRPr="00730E2D" w:rsidRDefault="00D55570" w:rsidP="00D55570">
      <w:pPr>
        <w:tabs>
          <w:tab w:val="left" w:pos="360"/>
          <w:tab w:val="left" w:pos="720"/>
          <w:tab w:val="left" w:pos="1080"/>
          <w:tab w:val="left" w:pos="1440"/>
          <w:tab w:val="left" w:pos="1800"/>
        </w:tabs>
        <w:rPr>
          <w:rFonts w:asciiTheme="minorHAnsi" w:hAnsiTheme="minorHAnsi" w:cs="Arial"/>
        </w:rPr>
      </w:pPr>
    </w:p>
    <w:p w:rsidR="00D55570" w:rsidRPr="00730E2D" w:rsidRDefault="00D55570" w:rsidP="00D55570">
      <w:pPr>
        <w:tabs>
          <w:tab w:val="left" w:pos="360"/>
          <w:tab w:val="left" w:pos="720"/>
          <w:tab w:val="left" w:pos="1080"/>
          <w:tab w:val="left" w:pos="1440"/>
          <w:tab w:val="left" w:pos="1800"/>
        </w:tabs>
        <w:rPr>
          <w:rFonts w:asciiTheme="minorHAnsi" w:hAnsiTheme="minorHAnsi"/>
        </w:rPr>
      </w:pPr>
    </w:p>
    <w:p w:rsidR="00D55570" w:rsidRPr="00730E2D" w:rsidRDefault="00D55570" w:rsidP="00D55570">
      <w:pPr>
        <w:tabs>
          <w:tab w:val="left" w:pos="360"/>
          <w:tab w:val="left" w:pos="720"/>
          <w:tab w:val="left" w:pos="1080"/>
          <w:tab w:val="left" w:pos="1440"/>
          <w:tab w:val="left" w:pos="1800"/>
        </w:tabs>
        <w:rPr>
          <w:rFonts w:asciiTheme="minorHAnsi" w:hAnsiTheme="minorHAnsi"/>
        </w:rPr>
        <w:sectPr w:rsidR="00D55570" w:rsidRPr="00730E2D" w:rsidSect="00E6574E">
          <w:pgSz w:w="15840" w:h="12240" w:code="1"/>
          <w:pgMar w:top="1440" w:right="1440" w:bottom="1440" w:left="1440" w:header="720" w:footer="720" w:gutter="0"/>
          <w:cols w:space="720"/>
          <w:docGrid w:linePitch="360"/>
        </w:sectPr>
      </w:pPr>
    </w:p>
    <w:p w:rsidR="00D55570" w:rsidRPr="00730E2D" w:rsidRDefault="00D55570" w:rsidP="00852B44">
      <w:pPr>
        <w:pStyle w:val="Heading3"/>
        <w:numPr>
          <w:ilvl w:val="0"/>
          <w:numId w:val="0"/>
        </w:numPr>
        <w:rPr>
          <w:rFonts w:asciiTheme="minorHAnsi" w:hAnsiTheme="minorHAnsi"/>
          <w:sz w:val="24"/>
          <w:szCs w:val="24"/>
        </w:rPr>
      </w:pPr>
      <w:bookmarkStart w:id="18" w:name="_Toc286756678"/>
      <w:bookmarkStart w:id="19" w:name="_Toc295816848"/>
      <w:bookmarkStart w:id="20" w:name="_Toc297187478"/>
      <w:r w:rsidRPr="00730E2D">
        <w:rPr>
          <w:rFonts w:asciiTheme="minorHAnsi" w:hAnsiTheme="minorHAnsi"/>
          <w:sz w:val="24"/>
          <w:szCs w:val="24"/>
        </w:rPr>
        <w:lastRenderedPageBreak/>
        <w:t>Implementing the PA Sample Design</w:t>
      </w:r>
      <w:bookmarkEnd w:id="18"/>
      <w:bookmarkEnd w:id="19"/>
      <w:bookmarkEnd w:id="20"/>
    </w:p>
    <w:p w:rsidR="00D55570" w:rsidRPr="00730E2D" w:rsidRDefault="00D55570" w:rsidP="00730E2D">
      <w:pPr>
        <w:pStyle w:val="ParaText"/>
        <w:spacing w:line="240" w:lineRule="auto"/>
        <w:jc w:val="both"/>
        <w:rPr>
          <w:rFonts w:asciiTheme="minorHAnsi" w:hAnsiTheme="minorHAnsi"/>
          <w:sz w:val="24"/>
          <w:szCs w:val="24"/>
        </w:rPr>
      </w:pPr>
      <w:r w:rsidRPr="00730E2D">
        <w:rPr>
          <w:rFonts w:asciiTheme="minorHAnsi" w:hAnsiTheme="minorHAnsi"/>
          <w:sz w:val="24"/>
          <w:szCs w:val="24"/>
        </w:rPr>
        <w:t xml:space="preserve">Drawing the Stage 1 sample of PAs means selecting a simple random sample from each Stage 1 sampling cell, with the cell sample size specified by the design.  For each selected PA, an evaluation will be conducted at the Rigor level specified by the design.  </w:t>
      </w:r>
    </w:p>
    <w:p w:rsidR="00D55570" w:rsidRPr="00730E2D" w:rsidRDefault="00D55570" w:rsidP="00730E2D">
      <w:pPr>
        <w:pStyle w:val="Heading3"/>
        <w:numPr>
          <w:ilvl w:val="0"/>
          <w:numId w:val="0"/>
        </w:numPr>
        <w:jc w:val="both"/>
        <w:rPr>
          <w:rFonts w:asciiTheme="minorHAnsi" w:hAnsiTheme="minorHAnsi"/>
          <w:sz w:val="24"/>
          <w:szCs w:val="24"/>
        </w:rPr>
      </w:pPr>
      <w:bookmarkStart w:id="21" w:name="_Toc295816849"/>
      <w:bookmarkStart w:id="22" w:name="_Toc297187479"/>
      <w:r w:rsidRPr="00730E2D">
        <w:rPr>
          <w:rFonts w:asciiTheme="minorHAnsi" w:hAnsiTheme="minorHAnsi"/>
          <w:sz w:val="24"/>
          <w:szCs w:val="24"/>
        </w:rPr>
        <w:t>Misclassification and Multiple Classifications</w:t>
      </w:r>
      <w:bookmarkEnd w:id="21"/>
      <w:bookmarkEnd w:id="22"/>
    </w:p>
    <w:p w:rsidR="00D55570" w:rsidRPr="00730E2D" w:rsidRDefault="00D55570" w:rsidP="00730E2D">
      <w:pPr>
        <w:pStyle w:val="ParaText"/>
        <w:spacing w:line="240" w:lineRule="auto"/>
        <w:jc w:val="both"/>
        <w:rPr>
          <w:rFonts w:asciiTheme="minorHAnsi" w:hAnsiTheme="minorHAnsi"/>
          <w:sz w:val="24"/>
          <w:szCs w:val="24"/>
        </w:rPr>
      </w:pPr>
      <w:r w:rsidRPr="00730E2D">
        <w:rPr>
          <w:rFonts w:asciiTheme="minorHAnsi" w:hAnsiTheme="minorHAnsi"/>
          <w:sz w:val="24"/>
          <w:szCs w:val="24"/>
        </w:rPr>
        <w:t>In the course of evaluating a selected PA, the investigation may reveal that the PA was incorrectly classified at the frame development stage.  In addition, many PAs are known even from the currently available data to include multiple categories of activity.</w:t>
      </w:r>
    </w:p>
    <w:p w:rsidR="00D55570" w:rsidRPr="00730E2D" w:rsidRDefault="00D55570" w:rsidP="00730E2D">
      <w:pPr>
        <w:pStyle w:val="ParaText"/>
        <w:spacing w:line="240" w:lineRule="auto"/>
        <w:jc w:val="both"/>
        <w:rPr>
          <w:rFonts w:asciiTheme="minorHAnsi" w:hAnsiTheme="minorHAnsi"/>
          <w:sz w:val="24"/>
          <w:szCs w:val="24"/>
        </w:rPr>
      </w:pPr>
      <w:r w:rsidRPr="00730E2D">
        <w:rPr>
          <w:rFonts w:asciiTheme="minorHAnsi" w:hAnsiTheme="minorHAnsi"/>
          <w:sz w:val="24"/>
          <w:szCs w:val="24"/>
        </w:rPr>
        <w:t xml:space="preserve">To deal with both misclassification and multiple categories, </w:t>
      </w:r>
      <w:r w:rsidR="003A7106" w:rsidRPr="00730E2D">
        <w:rPr>
          <w:rFonts w:asciiTheme="minorHAnsi" w:hAnsiTheme="minorHAnsi"/>
          <w:sz w:val="24"/>
          <w:szCs w:val="24"/>
        </w:rPr>
        <w:t>DOE</w:t>
      </w:r>
      <w:r w:rsidRPr="00730E2D">
        <w:rPr>
          <w:rFonts w:asciiTheme="minorHAnsi" w:hAnsiTheme="minorHAnsi"/>
          <w:sz w:val="24"/>
          <w:szCs w:val="24"/>
        </w:rPr>
        <w:t xml:space="preserve"> distinguish</w:t>
      </w:r>
      <w:r w:rsidR="001E2D19" w:rsidRPr="00730E2D">
        <w:rPr>
          <w:rFonts w:asciiTheme="minorHAnsi" w:hAnsiTheme="minorHAnsi"/>
          <w:sz w:val="24"/>
          <w:szCs w:val="24"/>
        </w:rPr>
        <w:t>es</w:t>
      </w:r>
      <w:r w:rsidRPr="00730E2D">
        <w:rPr>
          <w:rFonts w:asciiTheme="minorHAnsi" w:hAnsiTheme="minorHAnsi"/>
          <w:sz w:val="24"/>
          <w:szCs w:val="24"/>
        </w:rPr>
        <w:t xml:space="preserve"> between the </w:t>
      </w:r>
      <w:r w:rsidRPr="00730E2D">
        <w:rPr>
          <w:rFonts w:asciiTheme="minorHAnsi" w:hAnsiTheme="minorHAnsi"/>
          <w:i/>
          <w:sz w:val="24"/>
          <w:szCs w:val="24"/>
        </w:rPr>
        <w:t>sampling</w:t>
      </w:r>
      <w:r w:rsidRPr="00730E2D">
        <w:rPr>
          <w:rFonts w:asciiTheme="minorHAnsi" w:hAnsiTheme="minorHAnsi"/>
          <w:sz w:val="24"/>
          <w:szCs w:val="24"/>
        </w:rPr>
        <w:t xml:space="preserve"> category and the </w:t>
      </w:r>
      <w:r w:rsidRPr="00730E2D">
        <w:rPr>
          <w:rFonts w:asciiTheme="minorHAnsi" w:hAnsiTheme="minorHAnsi"/>
          <w:i/>
          <w:sz w:val="24"/>
          <w:szCs w:val="24"/>
        </w:rPr>
        <w:t>analytic</w:t>
      </w:r>
      <w:r w:rsidRPr="00730E2D">
        <w:rPr>
          <w:rFonts w:asciiTheme="minorHAnsi" w:hAnsiTheme="minorHAnsi"/>
          <w:sz w:val="24"/>
          <w:szCs w:val="24"/>
        </w:rPr>
        <w:t xml:space="preserve"> category or reporting domain.  PAs are assigned to BPACs and subcategories at the sample design and frame development stage based on the information available at that time.  This assignment and the sample allocation determine each PA’s probability of being included in the sample.  That probability determines its sample expansion weight, and its stratum assignment for the calculation of ratio estimates and standard errors, described below.</w:t>
      </w:r>
    </w:p>
    <w:p w:rsidR="00894170" w:rsidRPr="00730E2D" w:rsidRDefault="00D55570" w:rsidP="00730E2D">
      <w:pPr>
        <w:jc w:val="both"/>
        <w:rPr>
          <w:rFonts w:asciiTheme="minorHAnsi" w:hAnsiTheme="minorHAnsi"/>
        </w:rPr>
      </w:pPr>
      <w:r w:rsidRPr="00730E2D">
        <w:rPr>
          <w:rFonts w:asciiTheme="minorHAnsi" w:hAnsiTheme="minorHAnsi"/>
        </w:rPr>
        <w:t xml:space="preserve">For purposes of </w:t>
      </w:r>
      <w:r w:rsidRPr="00730E2D">
        <w:rPr>
          <w:rFonts w:asciiTheme="minorHAnsi" w:hAnsiTheme="minorHAnsi"/>
          <w:i/>
        </w:rPr>
        <w:t>analysis,</w:t>
      </w:r>
      <w:r w:rsidRPr="00730E2D">
        <w:rPr>
          <w:rFonts w:asciiTheme="minorHAnsi" w:hAnsiTheme="minorHAnsi"/>
        </w:rPr>
        <w:t xml:space="preserve"> activities may be classified by information available at the design stage, or by information available only after collecting more information from the selected PAs.  Information can be reported for all components of all PAs that include a certain type of activity, not just for the PAs assigned to a particular category for sampling.  Thus, for example, to determine the total savings from all residential retrofits, as identified post-sampling, </w:t>
      </w:r>
      <w:r w:rsidR="003A7106" w:rsidRPr="00730E2D">
        <w:rPr>
          <w:rFonts w:asciiTheme="minorHAnsi" w:hAnsiTheme="minorHAnsi"/>
        </w:rPr>
        <w:t>DOE</w:t>
      </w:r>
      <w:r w:rsidRPr="00730E2D">
        <w:rPr>
          <w:rFonts w:asciiTheme="minorHAnsi" w:hAnsiTheme="minorHAnsi"/>
        </w:rPr>
        <w:t xml:space="preserve"> would sum up the residential retrofit components in all sampling strata, each weighted by that stratum’s expansion weight.  This situation is analogous to stratifying buildings based on imperfect building type information.  Each building may have multiple types of activities.  A sample is stratified based on the best information available at the sampling stage to classify buildings by predominant activity type.  During data collection, information may be obtained about the portions of the building corresponding to each activity type.  Information can then be reported by domains corresponding to observed activity types.  The weighting and stratification are based on the sampling information.  </w:t>
      </w:r>
    </w:p>
    <w:p w:rsidR="00894170" w:rsidRPr="00730E2D" w:rsidRDefault="00894170" w:rsidP="00730E2D">
      <w:pPr>
        <w:jc w:val="both"/>
        <w:rPr>
          <w:rFonts w:asciiTheme="minorHAnsi" w:hAnsiTheme="minorHAnsi"/>
        </w:rPr>
      </w:pPr>
    </w:p>
    <w:p w:rsidR="00D55570" w:rsidRPr="00730E2D" w:rsidRDefault="00D55570" w:rsidP="00730E2D">
      <w:pPr>
        <w:pStyle w:val="Heading2"/>
        <w:numPr>
          <w:ilvl w:val="0"/>
          <w:numId w:val="0"/>
        </w:numPr>
        <w:jc w:val="both"/>
        <w:rPr>
          <w:rFonts w:asciiTheme="minorHAnsi" w:hAnsiTheme="minorHAnsi"/>
          <w:sz w:val="24"/>
          <w:szCs w:val="24"/>
        </w:rPr>
      </w:pPr>
      <w:bookmarkStart w:id="23" w:name="_Toc258005603"/>
      <w:bookmarkStart w:id="24" w:name="_Toc258014157"/>
      <w:bookmarkStart w:id="25" w:name="_Toc286756679"/>
      <w:bookmarkStart w:id="26" w:name="_Toc295816851"/>
      <w:bookmarkStart w:id="27" w:name="_Toc297187481"/>
      <w:r w:rsidRPr="00730E2D">
        <w:rPr>
          <w:rFonts w:asciiTheme="minorHAnsi" w:hAnsiTheme="minorHAnsi"/>
          <w:sz w:val="24"/>
          <w:szCs w:val="24"/>
        </w:rPr>
        <w:t>Estimation Procedures</w:t>
      </w:r>
    </w:p>
    <w:p w:rsidR="00D55570" w:rsidRPr="00730E2D" w:rsidRDefault="00D55570" w:rsidP="00730E2D">
      <w:pPr>
        <w:pStyle w:val="Heading3"/>
        <w:numPr>
          <w:ilvl w:val="0"/>
          <w:numId w:val="0"/>
        </w:numPr>
        <w:jc w:val="both"/>
        <w:rPr>
          <w:rFonts w:asciiTheme="minorHAnsi" w:hAnsiTheme="minorHAnsi"/>
          <w:sz w:val="24"/>
          <w:szCs w:val="24"/>
        </w:rPr>
      </w:pPr>
      <w:r w:rsidRPr="00730E2D">
        <w:rPr>
          <w:rFonts w:asciiTheme="minorHAnsi" w:hAnsiTheme="minorHAnsi"/>
          <w:sz w:val="24"/>
          <w:szCs w:val="24"/>
        </w:rPr>
        <w:t>BPAC-Specific Impact Calculations</w:t>
      </w:r>
      <w:bookmarkEnd w:id="23"/>
      <w:bookmarkEnd w:id="24"/>
      <w:bookmarkEnd w:id="25"/>
      <w:bookmarkEnd w:id="26"/>
      <w:bookmarkEnd w:id="27"/>
    </w:p>
    <w:p w:rsidR="00D55570" w:rsidRPr="00730E2D" w:rsidRDefault="00D55570" w:rsidP="00730E2D">
      <w:pPr>
        <w:pStyle w:val="ParaText"/>
        <w:spacing w:before="100" w:beforeAutospacing="1" w:after="100" w:afterAutospacing="1" w:line="240" w:lineRule="auto"/>
        <w:jc w:val="both"/>
        <w:rPr>
          <w:rFonts w:asciiTheme="minorHAnsi" w:hAnsiTheme="minorHAnsi"/>
          <w:sz w:val="24"/>
          <w:szCs w:val="24"/>
        </w:rPr>
      </w:pPr>
      <w:r w:rsidRPr="00730E2D">
        <w:rPr>
          <w:rFonts w:asciiTheme="minorHAnsi" w:hAnsiTheme="minorHAnsi"/>
          <w:sz w:val="24"/>
          <w:szCs w:val="24"/>
        </w:rPr>
        <w:t xml:space="preserve">For each selected PA, our evaluation will produce calculated impacts and error bounds.  </w:t>
      </w:r>
      <w:r w:rsidR="003A7106" w:rsidRPr="00730E2D">
        <w:rPr>
          <w:rFonts w:asciiTheme="minorHAnsi" w:hAnsiTheme="minorHAnsi"/>
          <w:sz w:val="24"/>
          <w:szCs w:val="24"/>
        </w:rPr>
        <w:t>DOE</w:t>
      </w:r>
      <w:r w:rsidRPr="00730E2D">
        <w:rPr>
          <w:rFonts w:asciiTheme="minorHAnsi" w:hAnsiTheme="minorHAnsi"/>
          <w:sz w:val="24"/>
          <w:szCs w:val="24"/>
        </w:rPr>
        <w:t xml:space="preserve"> will also have one or more measure of size (MOS) for each PA.  At a minimum </w:t>
      </w:r>
      <w:r w:rsidR="003A7106" w:rsidRPr="00730E2D">
        <w:rPr>
          <w:rFonts w:asciiTheme="minorHAnsi" w:hAnsiTheme="minorHAnsi"/>
          <w:sz w:val="24"/>
          <w:szCs w:val="24"/>
        </w:rPr>
        <w:t>DOE</w:t>
      </w:r>
      <w:r w:rsidRPr="00730E2D">
        <w:rPr>
          <w:rFonts w:asciiTheme="minorHAnsi" w:hAnsiTheme="minorHAnsi"/>
          <w:sz w:val="24"/>
          <w:szCs w:val="24"/>
        </w:rPr>
        <w:t xml:space="preserve"> will have the spending amount.  </w:t>
      </w:r>
      <w:r w:rsidR="003A7106" w:rsidRPr="00730E2D">
        <w:rPr>
          <w:rFonts w:asciiTheme="minorHAnsi" w:hAnsiTheme="minorHAnsi"/>
          <w:sz w:val="24"/>
          <w:szCs w:val="24"/>
        </w:rPr>
        <w:t>DOE</w:t>
      </w:r>
      <w:r w:rsidRPr="00730E2D">
        <w:rPr>
          <w:rFonts w:asciiTheme="minorHAnsi" w:hAnsiTheme="minorHAnsi"/>
          <w:sz w:val="24"/>
          <w:szCs w:val="24"/>
        </w:rPr>
        <w:t xml:space="preserve"> also may have more informative correlates of savings such as program-estimated impacts, or other activity measure</w:t>
      </w:r>
      <w:r w:rsidR="00DC4FCD" w:rsidRPr="00730E2D">
        <w:rPr>
          <w:rFonts w:asciiTheme="minorHAnsi" w:hAnsiTheme="minorHAnsi"/>
          <w:sz w:val="24"/>
          <w:szCs w:val="24"/>
        </w:rPr>
        <w:t>s</w:t>
      </w:r>
      <w:r w:rsidRPr="00730E2D">
        <w:rPr>
          <w:rFonts w:asciiTheme="minorHAnsi" w:hAnsiTheme="minorHAnsi"/>
          <w:sz w:val="24"/>
          <w:szCs w:val="24"/>
        </w:rPr>
        <w:t xml:space="preserve"> such as number </w:t>
      </w:r>
      <w:r w:rsidRPr="00730E2D">
        <w:rPr>
          <w:rFonts w:asciiTheme="minorHAnsi" w:hAnsiTheme="minorHAnsi"/>
          <w:sz w:val="24"/>
          <w:szCs w:val="24"/>
        </w:rPr>
        <w:lastRenderedPageBreak/>
        <w:t>of units or square feet affected. These other measures of size will vary by BPAC and subcategory.</w:t>
      </w:r>
    </w:p>
    <w:p w:rsidR="00D55570" w:rsidRPr="00730E2D" w:rsidRDefault="00D55570" w:rsidP="00730E2D">
      <w:pPr>
        <w:pStyle w:val="ParaText"/>
        <w:spacing w:after="100" w:afterAutospacing="1" w:line="240" w:lineRule="auto"/>
        <w:jc w:val="both"/>
        <w:rPr>
          <w:rFonts w:asciiTheme="minorHAnsi" w:hAnsiTheme="minorHAnsi"/>
          <w:sz w:val="24"/>
          <w:szCs w:val="24"/>
        </w:rPr>
      </w:pPr>
      <w:r w:rsidRPr="00730E2D">
        <w:rPr>
          <w:rFonts w:asciiTheme="minorHAnsi" w:hAnsiTheme="minorHAnsi"/>
          <w:sz w:val="24"/>
          <w:szCs w:val="24"/>
        </w:rPr>
        <w:t xml:space="preserve">From these results </w:t>
      </w:r>
      <w:r w:rsidR="003A7106" w:rsidRPr="00730E2D">
        <w:rPr>
          <w:rFonts w:asciiTheme="minorHAnsi" w:hAnsiTheme="minorHAnsi"/>
          <w:sz w:val="24"/>
          <w:szCs w:val="24"/>
        </w:rPr>
        <w:t>DOE</w:t>
      </w:r>
      <w:r w:rsidRPr="00730E2D">
        <w:rPr>
          <w:rFonts w:asciiTheme="minorHAnsi" w:hAnsiTheme="minorHAnsi"/>
          <w:sz w:val="24"/>
          <w:szCs w:val="24"/>
        </w:rPr>
        <w:t xml:space="preserve"> will calculate a statistical ratio estimate for the BPAC for each of the key outcome metrics estimated from the PA sample.  </w:t>
      </w:r>
      <w:r w:rsidR="003A7106" w:rsidRPr="00730E2D">
        <w:rPr>
          <w:rFonts w:asciiTheme="minorHAnsi" w:hAnsiTheme="minorHAnsi"/>
          <w:sz w:val="24"/>
          <w:szCs w:val="24"/>
        </w:rPr>
        <w:t>DOE</w:t>
      </w:r>
      <w:r w:rsidRPr="00730E2D">
        <w:rPr>
          <w:rFonts w:asciiTheme="minorHAnsi" w:hAnsiTheme="minorHAnsi"/>
          <w:sz w:val="24"/>
          <w:szCs w:val="24"/>
        </w:rPr>
        <w:t xml:space="preserve"> will use the Combined rather than Stratified form of the ratio estimator, because the latter form has more bias when cell sample sizes are small as in this study.  Specifically, </w:t>
      </w:r>
      <w:r w:rsidR="003A7106" w:rsidRPr="00730E2D">
        <w:rPr>
          <w:rFonts w:asciiTheme="minorHAnsi" w:hAnsiTheme="minorHAnsi"/>
          <w:sz w:val="24"/>
          <w:szCs w:val="24"/>
        </w:rPr>
        <w:t>DOE</w:t>
      </w:r>
      <w:r w:rsidRPr="00730E2D">
        <w:rPr>
          <w:rFonts w:asciiTheme="minorHAnsi" w:hAnsiTheme="minorHAnsi"/>
          <w:sz w:val="24"/>
          <w:szCs w:val="24"/>
        </w:rPr>
        <w:t xml:space="preserve"> calculate</w:t>
      </w:r>
      <w:r w:rsidR="001E2D19" w:rsidRPr="00730E2D">
        <w:rPr>
          <w:rFonts w:asciiTheme="minorHAnsi" w:hAnsiTheme="minorHAnsi"/>
          <w:sz w:val="24"/>
          <w:szCs w:val="24"/>
        </w:rPr>
        <w:t>s</w:t>
      </w:r>
      <w:r w:rsidRPr="00730E2D">
        <w:rPr>
          <w:rFonts w:asciiTheme="minorHAnsi" w:hAnsiTheme="minorHAnsi"/>
          <w:sz w:val="24"/>
          <w:szCs w:val="24"/>
        </w:rPr>
        <w:t xml:space="preserve"> the ratio R</w:t>
      </w:r>
      <w:r w:rsidRPr="00730E2D">
        <w:rPr>
          <w:rFonts w:asciiTheme="minorHAnsi" w:hAnsiTheme="minorHAnsi"/>
          <w:sz w:val="24"/>
          <w:szCs w:val="24"/>
          <w:vertAlign w:val="superscript"/>
        </w:rPr>
        <w:t>^</w:t>
      </w:r>
      <w:r w:rsidRPr="00730E2D">
        <w:rPr>
          <w:rFonts w:asciiTheme="minorHAnsi" w:hAnsiTheme="minorHAnsi"/>
          <w:sz w:val="24"/>
          <w:szCs w:val="24"/>
        </w:rPr>
        <w:t xml:space="preserve"> of the stratified estimate of population savings (or other metric) to the corresponding estimate of population measure of size from the same sample:</w:t>
      </w:r>
    </w:p>
    <w:p w:rsidR="00D55570" w:rsidRPr="00730E2D" w:rsidRDefault="00D55570" w:rsidP="00730E2D">
      <w:pPr>
        <w:spacing w:line="276" w:lineRule="auto"/>
        <w:ind w:left="720"/>
        <w:jc w:val="both"/>
        <w:rPr>
          <w:rFonts w:asciiTheme="minorHAnsi" w:hAnsiTheme="minorHAnsi" w:cs="Arial"/>
        </w:rPr>
      </w:pPr>
      <w:r w:rsidRPr="00730E2D">
        <w:rPr>
          <w:rFonts w:asciiTheme="minorHAnsi" w:hAnsiTheme="minorHAnsi" w:cs="Arial"/>
        </w:rPr>
        <w:t>R</w:t>
      </w:r>
      <w:r w:rsidRPr="00730E2D">
        <w:rPr>
          <w:rFonts w:asciiTheme="minorHAnsi" w:hAnsiTheme="minorHAnsi" w:cs="Arial"/>
          <w:vertAlign w:val="superscript"/>
        </w:rPr>
        <w:t>^</w:t>
      </w:r>
      <w:r w:rsidRPr="00730E2D">
        <w:rPr>
          <w:rFonts w:asciiTheme="minorHAnsi" w:hAnsiTheme="minorHAnsi" w:cs="Arial"/>
        </w:rPr>
        <w:t xml:space="preserve"> = </w:t>
      </w:r>
      <w:r w:rsidRPr="00730E2D">
        <w:rPr>
          <w:rFonts w:asciiTheme="minorHAnsi" w:hAnsiTheme="minorHAnsi" w:cs="Arial"/>
        </w:rPr>
        <w:sym w:font="Symbol" w:char="F0E5"/>
      </w:r>
      <w:r w:rsidRPr="00730E2D">
        <w:rPr>
          <w:rFonts w:asciiTheme="minorHAnsi" w:hAnsiTheme="minorHAnsi" w:cs="Arial"/>
          <w:vertAlign w:val="subscript"/>
        </w:rPr>
        <w:t>k</w:t>
      </w:r>
      <w:r w:rsidRPr="00730E2D">
        <w:rPr>
          <w:rFonts w:asciiTheme="minorHAnsi" w:hAnsiTheme="minorHAnsi" w:cs="Arial"/>
        </w:rPr>
        <w:t xml:space="preserve"> N</w:t>
      </w:r>
      <w:r w:rsidRPr="00730E2D">
        <w:rPr>
          <w:rFonts w:asciiTheme="minorHAnsi" w:hAnsiTheme="minorHAnsi" w:cs="Arial"/>
          <w:vertAlign w:val="subscript"/>
        </w:rPr>
        <w:t>k</w:t>
      </w:r>
      <w:r w:rsidRPr="00730E2D">
        <w:rPr>
          <w:rFonts w:asciiTheme="minorHAnsi" w:hAnsiTheme="minorHAnsi" w:cs="Arial"/>
        </w:rPr>
        <w:t xml:space="preserve">  y</w:t>
      </w:r>
      <w:r w:rsidRPr="00730E2D">
        <w:rPr>
          <w:rFonts w:asciiTheme="minorHAnsi" w:hAnsiTheme="minorHAnsi" w:cs="Arial"/>
          <w:vertAlign w:val="subscript"/>
        </w:rPr>
        <w:t>_k</w:t>
      </w:r>
      <w:r w:rsidRPr="00730E2D">
        <w:rPr>
          <w:rFonts w:asciiTheme="minorHAnsi" w:hAnsiTheme="minorHAnsi" w:cs="Arial"/>
        </w:rPr>
        <w:t xml:space="preserve"> /</w:t>
      </w:r>
      <w:r w:rsidRPr="00730E2D">
        <w:rPr>
          <w:rFonts w:asciiTheme="minorHAnsi" w:hAnsiTheme="minorHAnsi" w:cs="Arial"/>
        </w:rPr>
        <w:sym w:font="Symbol" w:char="F0E5"/>
      </w:r>
      <w:r w:rsidRPr="00730E2D">
        <w:rPr>
          <w:rFonts w:asciiTheme="minorHAnsi" w:hAnsiTheme="minorHAnsi" w:cs="Arial"/>
          <w:vertAlign w:val="subscript"/>
        </w:rPr>
        <w:t>k</w:t>
      </w:r>
      <w:r w:rsidRPr="00730E2D">
        <w:rPr>
          <w:rFonts w:asciiTheme="minorHAnsi" w:hAnsiTheme="minorHAnsi" w:cs="Arial"/>
        </w:rPr>
        <w:t xml:space="preserve"> N</w:t>
      </w:r>
      <w:r w:rsidRPr="00730E2D">
        <w:rPr>
          <w:rFonts w:asciiTheme="minorHAnsi" w:hAnsiTheme="minorHAnsi" w:cs="Arial"/>
          <w:vertAlign w:val="subscript"/>
        </w:rPr>
        <w:t>k</w:t>
      </w:r>
      <w:r w:rsidRPr="00730E2D">
        <w:rPr>
          <w:rFonts w:asciiTheme="minorHAnsi" w:hAnsiTheme="minorHAnsi" w:cs="Arial"/>
        </w:rPr>
        <w:t xml:space="preserve"> x</w:t>
      </w:r>
      <w:r w:rsidRPr="00730E2D">
        <w:rPr>
          <w:rFonts w:asciiTheme="minorHAnsi" w:hAnsiTheme="minorHAnsi" w:cs="Arial"/>
          <w:vertAlign w:val="subscript"/>
        </w:rPr>
        <w:t>_k</w:t>
      </w:r>
    </w:p>
    <w:p w:rsidR="00D55570" w:rsidRPr="00730E2D" w:rsidRDefault="00D55570" w:rsidP="00730E2D">
      <w:pPr>
        <w:spacing w:line="276" w:lineRule="auto"/>
        <w:jc w:val="both"/>
        <w:rPr>
          <w:rFonts w:asciiTheme="minorHAnsi" w:hAnsiTheme="minorHAnsi" w:cs="Arial"/>
        </w:rPr>
      </w:pPr>
      <w:r w:rsidRPr="00730E2D">
        <w:rPr>
          <w:rFonts w:asciiTheme="minorHAnsi" w:hAnsiTheme="minorHAnsi" w:cs="Arial"/>
        </w:rPr>
        <w:t xml:space="preserve">Where </w:t>
      </w:r>
    </w:p>
    <w:p w:rsidR="00D55570" w:rsidRPr="00730E2D" w:rsidRDefault="00D55570" w:rsidP="00730E2D">
      <w:pPr>
        <w:spacing w:line="276" w:lineRule="auto"/>
        <w:ind w:left="720"/>
        <w:jc w:val="both"/>
        <w:rPr>
          <w:rFonts w:asciiTheme="minorHAnsi" w:hAnsiTheme="minorHAnsi" w:cs="Arial"/>
        </w:rPr>
      </w:pPr>
      <w:r w:rsidRPr="00730E2D">
        <w:rPr>
          <w:rFonts w:asciiTheme="minorHAnsi" w:hAnsiTheme="minorHAnsi" w:cs="Arial"/>
        </w:rPr>
        <w:t>N</w:t>
      </w:r>
      <w:r w:rsidRPr="00730E2D">
        <w:rPr>
          <w:rFonts w:asciiTheme="minorHAnsi" w:hAnsiTheme="minorHAnsi" w:cs="Arial"/>
          <w:vertAlign w:val="subscript"/>
        </w:rPr>
        <w:t>k</w:t>
      </w:r>
      <w:r w:rsidRPr="00730E2D">
        <w:rPr>
          <w:rFonts w:asciiTheme="minorHAnsi" w:hAnsiTheme="minorHAnsi" w:cs="Arial"/>
        </w:rPr>
        <w:t xml:space="preserve"> = population number of individual PAs in cell k</w:t>
      </w:r>
    </w:p>
    <w:p w:rsidR="00D55570" w:rsidRPr="00730E2D" w:rsidRDefault="00D55570" w:rsidP="00730E2D">
      <w:pPr>
        <w:spacing w:line="276" w:lineRule="auto"/>
        <w:ind w:left="720"/>
        <w:jc w:val="both"/>
        <w:rPr>
          <w:rFonts w:asciiTheme="minorHAnsi" w:hAnsiTheme="minorHAnsi" w:cs="Arial"/>
        </w:rPr>
      </w:pPr>
      <w:r w:rsidRPr="00730E2D">
        <w:rPr>
          <w:rFonts w:asciiTheme="minorHAnsi" w:hAnsiTheme="minorHAnsi" w:cs="Arial"/>
        </w:rPr>
        <w:t>y</w:t>
      </w:r>
      <w:r w:rsidRPr="00730E2D">
        <w:rPr>
          <w:rFonts w:asciiTheme="minorHAnsi" w:hAnsiTheme="minorHAnsi" w:cs="Arial"/>
          <w:vertAlign w:val="subscript"/>
        </w:rPr>
        <w:t>_k</w:t>
      </w:r>
      <w:r w:rsidRPr="00730E2D">
        <w:rPr>
          <w:rFonts w:asciiTheme="minorHAnsi" w:hAnsiTheme="minorHAnsi" w:cs="Arial"/>
        </w:rPr>
        <w:t xml:space="preserve"> = sample mean outcome (e</w:t>
      </w:r>
      <w:r w:rsidR="00DC4FCD" w:rsidRPr="00730E2D">
        <w:rPr>
          <w:rFonts w:asciiTheme="minorHAnsi" w:hAnsiTheme="minorHAnsi" w:cs="Arial"/>
        </w:rPr>
        <w:t>.</w:t>
      </w:r>
      <w:r w:rsidRPr="00730E2D">
        <w:rPr>
          <w:rFonts w:asciiTheme="minorHAnsi" w:hAnsiTheme="minorHAnsi" w:cs="Arial"/>
        </w:rPr>
        <w:t>g., energy savings) for cell k</w:t>
      </w:r>
    </w:p>
    <w:p w:rsidR="00D55570" w:rsidRPr="00730E2D" w:rsidRDefault="00D55570" w:rsidP="00730E2D">
      <w:pPr>
        <w:spacing w:line="276" w:lineRule="auto"/>
        <w:ind w:left="720"/>
        <w:jc w:val="both"/>
        <w:rPr>
          <w:rFonts w:asciiTheme="minorHAnsi" w:hAnsiTheme="minorHAnsi" w:cs="Arial"/>
        </w:rPr>
      </w:pPr>
      <w:r w:rsidRPr="00730E2D">
        <w:rPr>
          <w:rFonts w:asciiTheme="minorHAnsi" w:hAnsiTheme="minorHAnsi" w:cs="Arial"/>
        </w:rPr>
        <w:t>x</w:t>
      </w:r>
      <w:r w:rsidRPr="00730E2D">
        <w:rPr>
          <w:rFonts w:asciiTheme="minorHAnsi" w:hAnsiTheme="minorHAnsi" w:cs="Arial"/>
          <w:vertAlign w:val="subscript"/>
        </w:rPr>
        <w:t xml:space="preserve">_k </w:t>
      </w:r>
      <w:r w:rsidRPr="00730E2D">
        <w:rPr>
          <w:rFonts w:asciiTheme="minorHAnsi" w:hAnsiTheme="minorHAnsi" w:cs="Arial"/>
        </w:rPr>
        <w:t>= sample mean MOS for cell k.</w:t>
      </w:r>
    </w:p>
    <w:p w:rsidR="002A3A21" w:rsidRPr="00730E2D" w:rsidRDefault="00D55570" w:rsidP="00D93D50">
      <w:pPr>
        <w:spacing w:beforeLines="120" w:before="288" w:afterLines="120" w:after="288"/>
        <w:jc w:val="both"/>
        <w:rPr>
          <w:rFonts w:asciiTheme="minorHAnsi" w:hAnsiTheme="minorHAnsi" w:cs="Arial"/>
        </w:rPr>
      </w:pPr>
      <w:r w:rsidRPr="00730E2D">
        <w:rPr>
          <w:rFonts w:asciiTheme="minorHAnsi" w:hAnsiTheme="minorHAnsi" w:cs="Arial"/>
        </w:rPr>
        <w:t>In applying this formula, sampling cells k are defined by BPAC, subcategory, certainty or remainder, and evaluability level.</w:t>
      </w:r>
    </w:p>
    <w:p w:rsidR="00D10CD7" w:rsidRDefault="00D55570">
      <w:pPr>
        <w:spacing w:beforeLines="120" w:before="288" w:afterLines="120" w:after="288"/>
        <w:jc w:val="both"/>
        <w:rPr>
          <w:rFonts w:asciiTheme="minorHAnsi" w:hAnsiTheme="minorHAnsi" w:cs="Arial"/>
        </w:rPr>
      </w:pPr>
      <w:r w:rsidRPr="00730E2D">
        <w:rPr>
          <w:rFonts w:asciiTheme="minorHAnsi" w:hAnsiTheme="minorHAnsi" w:cs="Arial"/>
        </w:rPr>
        <w:t>This ratio is a form of unit savings estimate.  For example, if the measure of size x is the number of square feet audited, and the outcome is savings, the ratio R</w:t>
      </w:r>
      <w:r w:rsidRPr="00730E2D">
        <w:rPr>
          <w:rFonts w:asciiTheme="minorHAnsi" w:hAnsiTheme="minorHAnsi" w:cs="Arial"/>
          <w:vertAlign w:val="superscript"/>
        </w:rPr>
        <w:t>^</w:t>
      </w:r>
      <w:r w:rsidRPr="00730E2D">
        <w:rPr>
          <w:rFonts w:asciiTheme="minorHAnsi" w:hAnsiTheme="minorHAnsi" w:cs="Arial"/>
        </w:rPr>
        <w:t xml:space="preserve"> is savings per square foot audited. </w:t>
      </w:r>
      <w:r w:rsidR="003A7106" w:rsidRPr="00730E2D">
        <w:rPr>
          <w:rFonts w:asciiTheme="minorHAnsi" w:hAnsiTheme="minorHAnsi" w:cs="Arial"/>
        </w:rPr>
        <w:t>DOE</w:t>
      </w:r>
      <w:r w:rsidRPr="00730E2D">
        <w:rPr>
          <w:rFonts w:asciiTheme="minorHAnsi" w:hAnsiTheme="minorHAnsi" w:cs="Arial"/>
        </w:rPr>
        <w:t xml:space="preserve"> then calculate</w:t>
      </w:r>
      <w:r w:rsidR="001E2D19" w:rsidRPr="00730E2D">
        <w:rPr>
          <w:rFonts w:asciiTheme="minorHAnsi" w:hAnsiTheme="minorHAnsi" w:cs="Arial"/>
        </w:rPr>
        <w:t>s</w:t>
      </w:r>
      <w:r w:rsidRPr="00730E2D">
        <w:rPr>
          <w:rFonts w:asciiTheme="minorHAnsi" w:hAnsiTheme="minorHAnsi" w:cs="Arial"/>
        </w:rPr>
        <w:t xml:space="preserve"> the population total savings (or other outcome) Y</w:t>
      </w:r>
      <w:r w:rsidRPr="00730E2D">
        <w:rPr>
          <w:rFonts w:asciiTheme="minorHAnsi" w:hAnsiTheme="minorHAnsi" w:cs="Arial"/>
          <w:vertAlign w:val="subscript"/>
        </w:rPr>
        <w:t xml:space="preserve">TOT </w:t>
      </w:r>
      <w:r w:rsidRPr="00730E2D">
        <w:rPr>
          <w:rFonts w:asciiTheme="minorHAnsi" w:hAnsiTheme="minorHAnsi" w:cs="Arial"/>
        </w:rPr>
        <w:t>by multiplying the total measure of size X</w:t>
      </w:r>
      <w:r w:rsidRPr="00730E2D">
        <w:rPr>
          <w:rFonts w:asciiTheme="minorHAnsi" w:hAnsiTheme="minorHAnsi" w:cs="Arial"/>
          <w:vertAlign w:val="subscript"/>
        </w:rPr>
        <w:t xml:space="preserve">TOT </w:t>
      </w:r>
      <w:r w:rsidR="00DC4FCD" w:rsidRPr="00730E2D">
        <w:rPr>
          <w:rFonts w:asciiTheme="minorHAnsi" w:hAnsiTheme="minorHAnsi" w:cs="Arial"/>
        </w:rPr>
        <w:t>known from the data</w:t>
      </w:r>
      <w:r w:rsidRPr="00730E2D">
        <w:rPr>
          <w:rFonts w:asciiTheme="minorHAnsi" w:hAnsiTheme="minorHAnsi" w:cs="Arial"/>
        </w:rPr>
        <w:t>base by this ratio (e.g., multiply savings per square foot by total square feet audited):</w:t>
      </w:r>
    </w:p>
    <w:p w:rsidR="00D10CD7" w:rsidRDefault="00D55570">
      <w:pPr>
        <w:spacing w:beforeLines="120" w:before="288" w:afterLines="120" w:after="288" w:line="276" w:lineRule="auto"/>
        <w:ind w:left="720"/>
        <w:jc w:val="both"/>
        <w:rPr>
          <w:rFonts w:asciiTheme="minorHAnsi" w:hAnsiTheme="minorHAnsi" w:cs="Arial"/>
        </w:rPr>
      </w:pPr>
      <w:r w:rsidRPr="00730E2D">
        <w:rPr>
          <w:rFonts w:asciiTheme="minorHAnsi" w:hAnsiTheme="minorHAnsi" w:cs="Arial"/>
        </w:rPr>
        <w:t>Y</w:t>
      </w:r>
      <w:r w:rsidRPr="00730E2D">
        <w:rPr>
          <w:rFonts w:asciiTheme="minorHAnsi" w:hAnsiTheme="minorHAnsi" w:cs="Arial"/>
          <w:vertAlign w:val="subscript"/>
        </w:rPr>
        <w:t xml:space="preserve">TOT </w:t>
      </w:r>
      <w:r w:rsidRPr="00730E2D">
        <w:rPr>
          <w:rFonts w:asciiTheme="minorHAnsi" w:hAnsiTheme="minorHAnsi" w:cs="Arial"/>
        </w:rPr>
        <w:t>= R</w:t>
      </w:r>
      <w:r w:rsidRPr="00730E2D">
        <w:rPr>
          <w:rFonts w:asciiTheme="minorHAnsi" w:hAnsiTheme="minorHAnsi" w:cs="Arial"/>
          <w:vertAlign w:val="superscript"/>
        </w:rPr>
        <w:t>^</w:t>
      </w:r>
      <w:r w:rsidRPr="00730E2D">
        <w:rPr>
          <w:rFonts w:asciiTheme="minorHAnsi" w:hAnsiTheme="minorHAnsi" w:cs="Arial"/>
        </w:rPr>
        <w:t xml:space="preserve"> X</w:t>
      </w:r>
      <w:r w:rsidRPr="00730E2D">
        <w:rPr>
          <w:rFonts w:asciiTheme="minorHAnsi" w:hAnsiTheme="minorHAnsi" w:cs="Arial"/>
          <w:vertAlign w:val="subscript"/>
        </w:rPr>
        <w:t>TOT</w:t>
      </w:r>
      <w:r w:rsidRPr="00730E2D">
        <w:rPr>
          <w:rFonts w:asciiTheme="minorHAnsi" w:hAnsiTheme="minorHAnsi" w:cs="Arial"/>
        </w:rPr>
        <w:t>.</w:t>
      </w:r>
    </w:p>
    <w:p w:rsidR="002A3A21" w:rsidRPr="00730E2D" w:rsidRDefault="003A7106" w:rsidP="00730E2D">
      <w:pPr>
        <w:pStyle w:val="ParaText"/>
        <w:spacing w:before="100" w:beforeAutospacing="1" w:after="100" w:afterAutospacing="1" w:line="240" w:lineRule="auto"/>
        <w:jc w:val="both"/>
        <w:rPr>
          <w:rFonts w:asciiTheme="minorHAnsi" w:hAnsiTheme="minorHAnsi"/>
          <w:sz w:val="24"/>
          <w:szCs w:val="24"/>
        </w:rPr>
      </w:pPr>
      <w:r w:rsidRPr="00730E2D">
        <w:rPr>
          <w:rFonts w:asciiTheme="minorHAnsi" w:hAnsiTheme="minorHAnsi"/>
          <w:sz w:val="24"/>
          <w:szCs w:val="24"/>
        </w:rPr>
        <w:t>DOE</w:t>
      </w:r>
      <w:r w:rsidR="00D55570" w:rsidRPr="00730E2D">
        <w:rPr>
          <w:rFonts w:asciiTheme="minorHAnsi" w:hAnsiTheme="minorHAnsi"/>
          <w:sz w:val="24"/>
          <w:szCs w:val="24"/>
        </w:rPr>
        <w:t xml:space="preserve"> will calculate the standard error of the ratio and the corresponding total savings estimate via statistical formulas for stratified ratio estimation, e.g. from Cochran (197</w:t>
      </w:r>
      <w:r w:rsidR="00BA2886" w:rsidRPr="00730E2D">
        <w:rPr>
          <w:rFonts w:asciiTheme="minorHAnsi" w:hAnsiTheme="minorHAnsi"/>
          <w:sz w:val="24"/>
          <w:szCs w:val="24"/>
        </w:rPr>
        <w:t>7</w:t>
      </w:r>
      <w:r w:rsidR="00D55570" w:rsidRPr="00730E2D">
        <w:rPr>
          <w:rFonts w:asciiTheme="minorHAnsi" w:hAnsiTheme="minorHAnsi"/>
          <w:sz w:val="24"/>
          <w:szCs w:val="24"/>
        </w:rPr>
        <w:t>)</w:t>
      </w:r>
      <w:r w:rsidR="007F3FC6" w:rsidRPr="00730E2D">
        <w:rPr>
          <w:rStyle w:val="FootnoteReference"/>
          <w:rFonts w:asciiTheme="minorHAnsi" w:hAnsiTheme="minorHAnsi"/>
          <w:sz w:val="24"/>
          <w:szCs w:val="24"/>
        </w:rPr>
        <w:footnoteReference w:id="3"/>
      </w:r>
      <w:r w:rsidR="00D55570" w:rsidRPr="00730E2D">
        <w:rPr>
          <w:rFonts w:asciiTheme="minorHAnsi" w:hAnsiTheme="minorHAnsi"/>
          <w:sz w:val="24"/>
          <w:szCs w:val="24"/>
        </w:rPr>
        <w:t xml:space="preserve">.  </w:t>
      </w:r>
    </w:p>
    <w:p w:rsidR="00D55570" w:rsidRPr="00730E2D" w:rsidRDefault="00D55570" w:rsidP="00730E2D">
      <w:pPr>
        <w:pStyle w:val="Heading3"/>
        <w:numPr>
          <w:ilvl w:val="0"/>
          <w:numId w:val="0"/>
        </w:numPr>
        <w:spacing w:before="288" w:after="288" w:line="240" w:lineRule="auto"/>
        <w:jc w:val="both"/>
        <w:rPr>
          <w:rFonts w:asciiTheme="minorHAnsi" w:hAnsiTheme="minorHAnsi"/>
          <w:sz w:val="24"/>
          <w:szCs w:val="24"/>
        </w:rPr>
      </w:pPr>
      <w:bookmarkStart w:id="28" w:name="_Toc258005604"/>
      <w:bookmarkStart w:id="29" w:name="_Toc258014158"/>
      <w:bookmarkStart w:id="30" w:name="_Toc286756680"/>
      <w:bookmarkStart w:id="31" w:name="_Toc295816852"/>
      <w:bookmarkStart w:id="32" w:name="_Toc297187482"/>
      <w:r w:rsidRPr="00730E2D">
        <w:rPr>
          <w:rFonts w:asciiTheme="minorHAnsi" w:hAnsiTheme="minorHAnsi"/>
          <w:sz w:val="24"/>
          <w:szCs w:val="24"/>
        </w:rPr>
        <w:t>Portfolio-Level Impact Calculations</w:t>
      </w:r>
      <w:bookmarkEnd w:id="28"/>
      <w:bookmarkEnd w:id="29"/>
      <w:bookmarkEnd w:id="30"/>
      <w:bookmarkEnd w:id="31"/>
      <w:bookmarkEnd w:id="32"/>
    </w:p>
    <w:p w:rsidR="00D55570" w:rsidRPr="00730E2D" w:rsidRDefault="00D55570" w:rsidP="00730E2D">
      <w:pPr>
        <w:pStyle w:val="ParaText"/>
        <w:spacing w:before="288" w:after="288" w:line="240" w:lineRule="auto"/>
        <w:jc w:val="both"/>
        <w:rPr>
          <w:rFonts w:asciiTheme="minorHAnsi" w:hAnsiTheme="minorHAnsi"/>
          <w:sz w:val="24"/>
          <w:szCs w:val="24"/>
        </w:rPr>
      </w:pPr>
      <w:r w:rsidRPr="00730E2D">
        <w:rPr>
          <w:rFonts w:asciiTheme="minorHAnsi" w:hAnsiTheme="minorHAnsi"/>
          <w:sz w:val="24"/>
          <w:szCs w:val="24"/>
        </w:rPr>
        <w:t>The procedures described above will provide estimates of savings and other impacts for each BPAC.  Total impacts for the study target—i</w:t>
      </w:r>
      <w:r w:rsidR="000A22D8" w:rsidRPr="00730E2D">
        <w:rPr>
          <w:rFonts w:asciiTheme="minorHAnsi" w:hAnsiTheme="minorHAnsi"/>
          <w:sz w:val="24"/>
          <w:szCs w:val="24"/>
        </w:rPr>
        <w:t>.</w:t>
      </w:r>
      <w:r w:rsidRPr="00730E2D">
        <w:rPr>
          <w:rFonts w:asciiTheme="minorHAnsi" w:hAnsiTheme="minorHAnsi"/>
          <w:sz w:val="24"/>
          <w:szCs w:val="24"/>
        </w:rPr>
        <w:t>e</w:t>
      </w:r>
      <w:r w:rsidR="000A22D8" w:rsidRPr="00730E2D">
        <w:rPr>
          <w:rFonts w:asciiTheme="minorHAnsi" w:hAnsiTheme="minorHAnsi"/>
          <w:sz w:val="24"/>
          <w:szCs w:val="24"/>
        </w:rPr>
        <w:t>.,</w:t>
      </w:r>
      <w:r w:rsidRPr="00730E2D">
        <w:rPr>
          <w:rFonts w:asciiTheme="minorHAnsi" w:hAnsiTheme="minorHAnsi"/>
          <w:sz w:val="24"/>
          <w:szCs w:val="24"/>
        </w:rPr>
        <w:t xml:space="preserve"> for the PAs covered by the Stage 1 sample frames-- will be calculated as the sum of the impacts by BPAC for each program year.  However, as </w:t>
      </w:r>
      <w:r w:rsidR="00843015" w:rsidRPr="00730E2D">
        <w:rPr>
          <w:rFonts w:asciiTheme="minorHAnsi" w:hAnsiTheme="minorHAnsi"/>
          <w:sz w:val="24"/>
          <w:szCs w:val="24"/>
        </w:rPr>
        <w:t>described further below,</w:t>
      </w:r>
      <w:r w:rsidRPr="00730E2D">
        <w:rPr>
          <w:rFonts w:asciiTheme="minorHAnsi" w:hAnsiTheme="minorHAnsi"/>
          <w:sz w:val="24"/>
          <w:szCs w:val="24"/>
        </w:rPr>
        <w:t xml:space="preserve"> some </w:t>
      </w:r>
      <w:r w:rsidR="00843015" w:rsidRPr="00730E2D">
        <w:rPr>
          <w:rFonts w:asciiTheme="minorHAnsi" w:hAnsiTheme="minorHAnsi"/>
          <w:sz w:val="24"/>
          <w:szCs w:val="24"/>
        </w:rPr>
        <w:t xml:space="preserve">adjustment </w:t>
      </w:r>
      <w:r w:rsidRPr="00730E2D">
        <w:rPr>
          <w:rFonts w:asciiTheme="minorHAnsi" w:hAnsiTheme="minorHAnsi"/>
          <w:sz w:val="24"/>
          <w:szCs w:val="24"/>
        </w:rPr>
        <w:t xml:space="preserve">parameters determined from </w:t>
      </w:r>
      <w:r w:rsidR="00843015" w:rsidRPr="00730E2D">
        <w:rPr>
          <w:rFonts w:asciiTheme="minorHAnsi" w:hAnsiTheme="minorHAnsi"/>
          <w:sz w:val="24"/>
          <w:szCs w:val="24"/>
        </w:rPr>
        <w:t xml:space="preserve">high-rigor information collected only for 2008 </w:t>
      </w:r>
      <w:r w:rsidRPr="00730E2D">
        <w:rPr>
          <w:rFonts w:asciiTheme="minorHAnsi" w:hAnsiTheme="minorHAnsi"/>
          <w:sz w:val="24"/>
          <w:szCs w:val="24"/>
        </w:rPr>
        <w:t xml:space="preserve">may be used in calculations for </w:t>
      </w:r>
      <w:r w:rsidR="00843015" w:rsidRPr="00730E2D">
        <w:rPr>
          <w:rFonts w:asciiTheme="minorHAnsi" w:hAnsiTheme="minorHAnsi"/>
          <w:sz w:val="24"/>
          <w:szCs w:val="24"/>
        </w:rPr>
        <w:t>ARRA as well</w:t>
      </w:r>
      <w:r w:rsidRPr="00730E2D">
        <w:rPr>
          <w:rFonts w:asciiTheme="minorHAnsi" w:hAnsiTheme="minorHAnsi"/>
          <w:sz w:val="24"/>
          <w:szCs w:val="24"/>
        </w:rPr>
        <w:t>.</w:t>
      </w:r>
    </w:p>
    <w:p w:rsidR="00730E2D" w:rsidRPr="00730E2D" w:rsidRDefault="00730E2D" w:rsidP="00730E2D">
      <w:pPr>
        <w:pStyle w:val="ParaText"/>
        <w:spacing w:before="288" w:after="288" w:line="240" w:lineRule="auto"/>
        <w:jc w:val="both"/>
        <w:rPr>
          <w:rFonts w:asciiTheme="minorHAnsi" w:hAnsiTheme="minorHAnsi"/>
          <w:sz w:val="24"/>
          <w:szCs w:val="24"/>
        </w:rPr>
      </w:pPr>
    </w:p>
    <w:p w:rsidR="00C14217" w:rsidRPr="00730E2D" w:rsidRDefault="00C14217" w:rsidP="00730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mallCaps/>
        </w:rPr>
      </w:pPr>
      <w:r w:rsidRPr="00730E2D">
        <w:rPr>
          <w:rFonts w:asciiTheme="minorHAnsi" w:hAnsiTheme="minorHAnsi"/>
          <w:b/>
          <w:smallCaps/>
        </w:rPr>
        <w:lastRenderedPageBreak/>
        <w:t>Stage 2 Sampling within PAs</w:t>
      </w:r>
    </w:p>
    <w:p w:rsidR="00C14217" w:rsidRPr="00730E2D" w:rsidRDefault="00C14217" w:rsidP="00730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mallCaps/>
        </w:rPr>
      </w:pPr>
    </w:p>
    <w:p w:rsidR="00C14217" w:rsidRPr="00730E2D" w:rsidRDefault="00C14217" w:rsidP="00730E2D">
      <w:pPr>
        <w:jc w:val="both"/>
        <w:rPr>
          <w:rFonts w:asciiTheme="minorHAnsi" w:hAnsiTheme="minorHAnsi"/>
          <w:b/>
          <w:i/>
        </w:rPr>
      </w:pPr>
      <w:r w:rsidRPr="00730E2D">
        <w:rPr>
          <w:rFonts w:asciiTheme="minorHAnsi" w:hAnsiTheme="minorHAnsi"/>
          <w:b/>
          <w:i/>
        </w:rPr>
        <w:t>Statistical methodology for stratification and sample selection</w:t>
      </w:r>
    </w:p>
    <w:p w:rsidR="00C14217" w:rsidRPr="00730E2D" w:rsidRDefault="00C14217" w:rsidP="00730E2D">
      <w:pPr>
        <w:jc w:val="both"/>
        <w:rPr>
          <w:rFonts w:asciiTheme="minorHAnsi" w:hAnsiTheme="minorHAnsi"/>
        </w:rPr>
      </w:pPr>
    </w:p>
    <w:p w:rsidR="00C14217" w:rsidRPr="00730E2D" w:rsidRDefault="00C14217" w:rsidP="00730E2D">
      <w:pPr>
        <w:pStyle w:val="ParaText"/>
        <w:spacing w:line="240" w:lineRule="auto"/>
        <w:jc w:val="both"/>
        <w:rPr>
          <w:rFonts w:asciiTheme="minorHAnsi" w:hAnsiTheme="minorHAnsi"/>
          <w:sz w:val="24"/>
          <w:szCs w:val="24"/>
        </w:rPr>
      </w:pPr>
      <w:r w:rsidRPr="00730E2D">
        <w:rPr>
          <w:rFonts w:asciiTheme="minorHAnsi" w:hAnsiTheme="minorHAnsi"/>
          <w:sz w:val="24"/>
          <w:szCs w:val="24"/>
        </w:rPr>
        <w:t xml:space="preserve">As discussed in Section </w:t>
      </w:r>
      <w:r w:rsidR="00926DB8" w:rsidRPr="00730E2D">
        <w:rPr>
          <w:rFonts w:asciiTheme="minorHAnsi" w:hAnsiTheme="minorHAnsi"/>
          <w:sz w:val="24"/>
          <w:szCs w:val="24"/>
        </w:rPr>
        <w:t>1</w:t>
      </w:r>
      <w:r w:rsidRPr="00730E2D">
        <w:rPr>
          <w:rFonts w:asciiTheme="minorHAnsi" w:hAnsiTheme="minorHAnsi"/>
          <w:sz w:val="24"/>
          <w:szCs w:val="24"/>
        </w:rPr>
        <w:t xml:space="preserve">, for BPAC-Subcategories involving end-user projects, particularly the Building Retrofit Subcategories, </w:t>
      </w:r>
      <w:r w:rsidR="003A7106" w:rsidRPr="00730E2D">
        <w:rPr>
          <w:rFonts w:asciiTheme="minorHAnsi" w:hAnsiTheme="minorHAnsi"/>
          <w:sz w:val="24"/>
          <w:szCs w:val="24"/>
        </w:rPr>
        <w:t>DOE</w:t>
      </w:r>
      <w:r w:rsidRPr="00730E2D">
        <w:rPr>
          <w:rFonts w:asciiTheme="minorHAnsi" w:hAnsiTheme="minorHAnsi"/>
          <w:sz w:val="24"/>
          <w:szCs w:val="24"/>
        </w:rPr>
        <w:t xml:space="preserve"> will select a second stage sample of individual projects or participants</w:t>
      </w:r>
      <w:r w:rsidR="00843015" w:rsidRPr="00730E2D">
        <w:rPr>
          <w:rFonts w:asciiTheme="minorHAnsi" w:hAnsiTheme="minorHAnsi"/>
          <w:sz w:val="24"/>
          <w:szCs w:val="24"/>
        </w:rPr>
        <w:t xml:space="preserve"> within each selected PA</w:t>
      </w:r>
      <w:r w:rsidRPr="00730E2D">
        <w:rPr>
          <w:rFonts w:asciiTheme="minorHAnsi" w:hAnsiTheme="minorHAnsi"/>
          <w:sz w:val="24"/>
          <w:szCs w:val="24"/>
        </w:rPr>
        <w:t xml:space="preserve">.  For each selected project </w:t>
      </w:r>
      <w:r w:rsidR="003A7106" w:rsidRPr="00730E2D">
        <w:rPr>
          <w:rFonts w:asciiTheme="minorHAnsi" w:hAnsiTheme="minorHAnsi"/>
          <w:sz w:val="24"/>
          <w:szCs w:val="24"/>
        </w:rPr>
        <w:t>DOE</w:t>
      </w:r>
      <w:r w:rsidRPr="00730E2D">
        <w:rPr>
          <w:rFonts w:asciiTheme="minorHAnsi" w:hAnsiTheme="minorHAnsi"/>
          <w:sz w:val="24"/>
          <w:szCs w:val="24"/>
        </w:rPr>
        <w:t xml:space="preserve"> will collect information via telephone survey.</w:t>
      </w:r>
      <w:r w:rsidR="00A06269" w:rsidRPr="00730E2D">
        <w:rPr>
          <w:rFonts w:asciiTheme="minorHAnsi" w:hAnsiTheme="minorHAnsi"/>
          <w:sz w:val="24"/>
          <w:szCs w:val="24"/>
        </w:rPr>
        <w:t xml:space="preserve">  In addition, a subset of projects selected for telephone surveys will also be </w:t>
      </w:r>
      <w:r w:rsidR="000C47D9" w:rsidRPr="00730E2D">
        <w:rPr>
          <w:rFonts w:asciiTheme="minorHAnsi" w:hAnsiTheme="minorHAnsi"/>
          <w:sz w:val="24"/>
          <w:szCs w:val="24"/>
        </w:rPr>
        <w:t xml:space="preserve">selected </w:t>
      </w:r>
      <w:r w:rsidR="00A06269" w:rsidRPr="00730E2D">
        <w:rPr>
          <w:rFonts w:asciiTheme="minorHAnsi" w:hAnsiTheme="minorHAnsi"/>
          <w:sz w:val="24"/>
          <w:szCs w:val="24"/>
        </w:rPr>
        <w:t>for onsite data collection.</w:t>
      </w:r>
      <w:r w:rsidRPr="00730E2D">
        <w:rPr>
          <w:rFonts w:asciiTheme="minorHAnsi" w:hAnsiTheme="minorHAnsi"/>
          <w:sz w:val="24"/>
          <w:szCs w:val="24"/>
        </w:rPr>
        <w:t xml:space="preserve">  </w:t>
      </w:r>
      <w:r w:rsidR="003A7106" w:rsidRPr="00730E2D">
        <w:rPr>
          <w:rFonts w:asciiTheme="minorHAnsi" w:hAnsiTheme="minorHAnsi"/>
          <w:sz w:val="24"/>
          <w:szCs w:val="24"/>
        </w:rPr>
        <w:t>DOE</w:t>
      </w:r>
      <w:r w:rsidRPr="00730E2D">
        <w:rPr>
          <w:rFonts w:asciiTheme="minorHAnsi" w:hAnsiTheme="minorHAnsi"/>
          <w:sz w:val="24"/>
          <w:szCs w:val="24"/>
        </w:rPr>
        <w:t xml:space="preserve"> will use this information to develop estimated energy savings and other outcomes for the selected project.</w:t>
      </w:r>
    </w:p>
    <w:p w:rsidR="00C14217" w:rsidRPr="00730E2D" w:rsidRDefault="00C14217" w:rsidP="00730E2D">
      <w:pPr>
        <w:pStyle w:val="ParaText"/>
        <w:spacing w:line="240" w:lineRule="auto"/>
        <w:jc w:val="both"/>
        <w:rPr>
          <w:rFonts w:asciiTheme="minorHAnsi" w:hAnsiTheme="minorHAnsi"/>
          <w:sz w:val="24"/>
          <w:szCs w:val="24"/>
        </w:rPr>
      </w:pPr>
      <w:r w:rsidRPr="00730E2D">
        <w:rPr>
          <w:rFonts w:asciiTheme="minorHAnsi" w:hAnsiTheme="minorHAnsi"/>
          <w:sz w:val="24"/>
          <w:szCs w:val="24"/>
        </w:rPr>
        <w:t xml:space="preserve">To design these second stage samples, the evaluation team will follow standard sampling procedures laid out in guidelines such as California’s </w:t>
      </w:r>
      <w:r w:rsidRPr="00730E2D">
        <w:rPr>
          <w:rFonts w:asciiTheme="minorHAnsi" w:hAnsiTheme="minorHAnsi"/>
          <w:i/>
          <w:sz w:val="24"/>
          <w:szCs w:val="24"/>
        </w:rPr>
        <w:t>Evaluation Framework</w:t>
      </w:r>
      <w:r w:rsidRPr="00730E2D">
        <w:rPr>
          <w:rStyle w:val="FootnoteReference"/>
          <w:rFonts w:asciiTheme="minorHAnsi" w:hAnsiTheme="minorHAnsi"/>
          <w:i/>
          <w:sz w:val="24"/>
          <w:szCs w:val="24"/>
        </w:rPr>
        <w:footnoteReference w:id="4"/>
      </w:r>
      <w:r w:rsidRPr="00730E2D">
        <w:rPr>
          <w:rFonts w:asciiTheme="minorHAnsi" w:hAnsiTheme="minorHAnsi"/>
          <w:sz w:val="24"/>
          <w:szCs w:val="24"/>
        </w:rPr>
        <w:t xml:space="preserve"> for designing stratified samples to support ratio estimation.  </w:t>
      </w:r>
      <w:r w:rsidR="003A7106" w:rsidRPr="00730E2D">
        <w:rPr>
          <w:rFonts w:asciiTheme="minorHAnsi" w:hAnsiTheme="minorHAnsi"/>
          <w:sz w:val="24"/>
          <w:szCs w:val="24"/>
        </w:rPr>
        <w:t>DOE</w:t>
      </w:r>
      <w:r w:rsidRPr="00730E2D">
        <w:rPr>
          <w:rFonts w:asciiTheme="minorHAnsi" w:hAnsiTheme="minorHAnsi"/>
          <w:sz w:val="24"/>
          <w:szCs w:val="24"/>
        </w:rPr>
        <w:t xml:space="preserve"> will use the distribution of projects by tracking system savings and measure type as the basic guides to stratification.  </w:t>
      </w:r>
    </w:p>
    <w:p w:rsidR="00C14217" w:rsidRPr="00730E2D" w:rsidRDefault="00C14217" w:rsidP="00730E2D">
      <w:pPr>
        <w:pStyle w:val="ParaText"/>
        <w:numPr>
          <w:ilvl w:val="0"/>
          <w:numId w:val="37"/>
        </w:numPr>
        <w:tabs>
          <w:tab w:val="clear" w:pos="1440"/>
          <w:tab w:val="left" w:pos="360"/>
          <w:tab w:val="num" w:pos="720"/>
        </w:tabs>
        <w:spacing w:after="120" w:line="240" w:lineRule="auto"/>
        <w:ind w:left="720"/>
        <w:jc w:val="both"/>
        <w:rPr>
          <w:rFonts w:asciiTheme="minorHAnsi" w:hAnsiTheme="minorHAnsi"/>
          <w:b/>
        </w:rPr>
      </w:pPr>
      <w:r w:rsidRPr="00730E2D">
        <w:rPr>
          <w:rFonts w:asciiTheme="minorHAnsi" w:hAnsiTheme="minorHAnsi"/>
          <w:b/>
        </w:rPr>
        <w:t xml:space="preserve">Choice of </w:t>
      </w:r>
      <w:r w:rsidR="00843015" w:rsidRPr="00730E2D">
        <w:rPr>
          <w:rFonts w:asciiTheme="minorHAnsi" w:hAnsiTheme="minorHAnsi"/>
          <w:b/>
        </w:rPr>
        <w:t xml:space="preserve">Stage 2 </w:t>
      </w:r>
      <w:r w:rsidRPr="00730E2D">
        <w:rPr>
          <w:rFonts w:asciiTheme="minorHAnsi" w:hAnsiTheme="minorHAnsi"/>
          <w:b/>
        </w:rPr>
        <w:t>sampling unit.</w:t>
      </w:r>
      <w:r w:rsidRPr="00730E2D">
        <w:rPr>
          <w:rFonts w:asciiTheme="minorHAnsi" w:hAnsiTheme="minorHAnsi"/>
        </w:rPr>
        <w:t xml:space="preserve">  Generally, </w:t>
      </w:r>
      <w:r w:rsidR="003A7106" w:rsidRPr="00730E2D">
        <w:rPr>
          <w:rFonts w:asciiTheme="minorHAnsi" w:hAnsiTheme="minorHAnsi"/>
        </w:rPr>
        <w:t>DOE</w:t>
      </w:r>
      <w:r w:rsidRPr="00730E2D">
        <w:rPr>
          <w:rFonts w:asciiTheme="minorHAnsi" w:hAnsiTheme="minorHAnsi"/>
        </w:rPr>
        <w:t xml:space="preserve"> will attempt to match the sampling unit to the purchase decision-making unit in order to capture and make best use of information on attribution of program influence on the quantity of measures, timing, and efficiency levels of equipment installed in direct relationship to the savings estimate.  However, this is not always possible due to logistical, schedule, and tracking system problems.  </w:t>
      </w:r>
      <w:r w:rsidR="003A7106" w:rsidRPr="00730E2D">
        <w:rPr>
          <w:rFonts w:asciiTheme="minorHAnsi" w:hAnsiTheme="minorHAnsi"/>
        </w:rPr>
        <w:t>DOE</w:t>
      </w:r>
      <w:r w:rsidRPr="00730E2D">
        <w:rPr>
          <w:rFonts w:asciiTheme="minorHAnsi" w:hAnsiTheme="minorHAnsi"/>
        </w:rPr>
        <w:t xml:space="preserve"> developed a variety of methods to deal with this problem.  For example, </w:t>
      </w:r>
      <w:r w:rsidR="003A7106" w:rsidRPr="00730E2D">
        <w:rPr>
          <w:rFonts w:asciiTheme="minorHAnsi" w:hAnsiTheme="minorHAnsi"/>
        </w:rPr>
        <w:t>DOE</w:t>
      </w:r>
      <w:r w:rsidRPr="00730E2D">
        <w:rPr>
          <w:rFonts w:asciiTheme="minorHAnsi" w:hAnsiTheme="minorHAnsi"/>
        </w:rPr>
        <w:t xml:space="preserve"> often assess</w:t>
      </w:r>
      <w:r w:rsidR="001E2D19" w:rsidRPr="00730E2D">
        <w:rPr>
          <w:rFonts w:asciiTheme="minorHAnsi" w:hAnsiTheme="minorHAnsi"/>
        </w:rPr>
        <w:t>es</w:t>
      </w:r>
      <w:r w:rsidRPr="00730E2D">
        <w:rPr>
          <w:rFonts w:asciiTheme="minorHAnsi" w:hAnsiTheme="minorHAnsi"/>
        </w:rPr>
        <w:t xml:space="preserve"> attribution at the program level through large sample surveys of participants, surveys of vendors, sales and shipment data analysis, or combinations of the above.</w:t>
      </w:r>
    </w:p>
    <w:p w:rsidR="00C14217" w:rsidRPr="00730E2D" w:rsidRDefault="00843015" w:rsidP="00730E2D">
      <w:pPr>
        <w:pStyle w:val="ParaText"/>
        <w:numPr>
          <w:ilvl w:val="0"/>
          <w:numId w:val="37"/>
        </w:numPr>
        <w:tabs>
          <w:tab w:val="clear" w:pos="1440"/>
          <w:tab w:val="left" w:pos="360"/>
          <w:tab w:val="num" w:pos="720"/>
        </w:tabs>
        <w:spacing w:line="240" w:lineRule="auto"/>
        <w:ind w:left="720"/>
        <w:jc w:val="both"/>
        <w:rPr>
          <w:rFonts w:asciiTheme="minorHAnsi" w:hAnsiTheme="minorHAnsi"/>
          <w:b/>
        </w:rPr>
      </w:pPr>
      <w:r w:rsidRPr="00730E2D">
        <w:rPr>
          <w:rFonts w:asciiTheme="minorHAnsi" w:hAnsiTheme="minorHAnsi"/>
          <w:b/>
        </w:rPr>
        <w:t xml:space="preserve">Stage 2 </w:t>
      </w:r>
      <w:r w:rsidR="00C14217" w:rsidRPr="00730E2D">
        <w:rPr>
          <w:rFonts w:asciiTheme="minorHAnsi" w:hAnsiTheme="minorHAnsi"/>
          <w:b/>
        </w:rPr>
        <w:t>Sample Frame.</w:t>
      </w:r>
      <w:r w:rsidR="00C14217" w:rsidRPr="00730E2D">
        <w:rPr>
          <w:rFonts w:asciiTheme="minorHAnsi" w:hAnsiTheme="minorHAnsi"/>
        </w:rPr>
        <w:t xml:space="preserve">  The </w:t>
      </w:r>
      <w:r w:rsidRPr="00730E2D">
        <w:rPr>
          <w:rFonts w:asciiTheme="minorHAnsi" w:hAnsiTheme="minorHAnsi"/>
        </w:rPr>
        <w:t xml:space="preserve">Stage 2 </w:t>
      </w:r>
      <w:r w:rsidR="00C14217" w:rsidRPr="00730E2D">
        <w:rPr>
          <w:rFonts w:asciiTheme="minorHAnsi" w:hAnsiTheme="minorHAnsi"/>
        </w:rPr>
        <w:t xml:space="preserve">sample frame for each PA will consist of the database of facility owners or projects that have received support from the PA.  </w:t>
      </w:r>
      <w:r w:rsidR="003A7106" w:rsidRPr="00730E2D">
        <w:rPr>
          <w:rFonts w:asciiTheme="minorHAnsi" w:hAnsiTheme="minorHAnsi"/>
        </w:rPr>
        <w:t>DOE</w:t>
      </w:r>
      <w:r w:rsidR="00C14217" w:rsidRPr="00730E2D">
        <w:rPr>
          <w:rFonts w:asciiTheme="minorHAnsi" w:hAnsiTheme="minorHAnsi"/>
        </w:rPr>
        <w:t xml:space="preserve"> assume</w:t>
      </w:r>
      <w:r w:rsidR="001E2D19" w:rsidRPr="00730E2D">
        <w:rPr>
          <w:rFonts w:asciiTheme="minorHAnsi" w:hAnsiTheme="minorHAnsi"/>
        </w:rPr>
        <w:t>s</w:t>
      </w:r>
      <w:r w:rsidR="00C14217" w:rsidRPr="00730E2D">
        <w:rPr>
          <w:rFonts w:asciiTheme="minorHAnsi" w:hAnsiTheme="minorHAnsi"/>
        </w:rPr>
        <w:t xml:space="preserve"> for the purposes of this submittal that each project or participant record will contain some information that will be useful in sample stratification or selection.  This information may consist of measures of size, such as project costs, estimates of energy savings based on engineering calculations, or more qualitative characterizations.</w:t>
      </w:r>
    </w:p>
    <w:p w:rsidR="00C14217" w:rsidRPr="00730E2D" w:rsidRDefault="00843015" w:rsidP="00730E2D">
      <w:pPr>
        <w:pStyle w:val="ParaText"/>
        <w:spacing w:line="240" w:lineRule="auto"/>
        <w:jc w:val="both"/>
        <w:rPr>
          <w:rFonts w:asciiTheme="minorHAnsi" w:hAnsiTheme="minorHAnsi"/>
          <w:sz w:val="24"/>
          <w:szCs w:val="24"/>
        </w:rPr>
      </w:pPr>
      <w:r w:rsidRPr="00730E2D">
        <w:rPr>
          <w:rFonts w:asciiTheme="minorHAnsi" w:hAnsiTheme="minorHAnsi"/>
          <w:sz w:val="24"/>
          <w:szCs w:val="24"/>
        </w:rPr>
        <w:t>For strata design</w:t>
      </w:r>
      <w:r w:rsidR="00796823" w:rsidRPr="00730E2D">
        <w:rPr>
          <w:rFonts w:asciiTheme="minorHAnsi" w:hAnsiTheme="minorHAnsi"/>
          <w:sz w:val="24"/>
          <w:szCs w:val="24"/>
        </w:rPr>
        <w:t>ated for High Rigor evaluation,</w:t>
      </w:r>
      <w:r w:rsidR="00C14217" w:rsidRPr="00730E2D">
        <w:rPr>
          <w:rFonts w:asciiTheme="minorHAnsi" w:hAnsiTheme="minorHAnsi"/>
          <w:sz w:val="24"/>
          <w:szCs w:val="24"/>
        </w:rPr>
        <w:t xml:space="preserve"> </w:t>
      </w:r>
      <w:r w:rsidR="003A7106" w:rsidRPr="00730E2D">
        <w:rPr>
          <w:rFonts w:asciiTheme="minorHAnsi" w:hAnsiTheme="minorHAnsi"/>
          <w:sz w:val="24"/>
          <w:szCs w:val="24"/>
        </w:rPr>
        <w:t>DOE</w:t>
      </w:r>
      <w:r w:rsidR="00C14217" w:rsidRPr="00730E2D">
        <w:rPr>
          <w:rFonts w:asciiTheme="minorHAnsi" w:hAnsiTheme="minorHAnsi"/>
          <w:sz w:val="24"/>
          <w:szCs w:val="24"/>
        </w:rPr>
        <w:t xml:space="preserve"> will select a random subsample </w:t>
      </w:r>
      <w:r w:rsidRPr="00730E2D">
        <w:rPr>
          <w:rFonts w:asciiTheme="minorHAnsi" w:hAnsiTheme="minorHAnsi"/>
          <w:sz w:val="24"/>
          <w:szCs w:val="24"/>
        </w:rPr>
        <w:t xml:space="preserve">of telephone survey respondents </w:t>
      </w:r>
      <w:r w:rsidR="00C14217" w:rsidRPr="00730E2D">
        <w:rPr>
          <w:rFonts w:asciiTheme="minorHAnsi" w:hAnsiTheme="minorHAnsi"/>
          <w:sz w:val="24"/>
          <w:szCs w:val="24"/>
        </w:rPr>
        <w:t xml:space="preserve">to receive onsite visits.  The onsite visits will verify by direct observation some of the physical information collected by phone, particularly for energy savings.  For each project in the onsite subsample, </w:t>
      </w:r>
      <w:r w:rsidR="003A7106" w:rsidRPr="00730E2D">
        <w:rPr>
          <w:rFonts w:asciiTheme="minorHAnsi" w:hAnsiTheme="minorHAnsi"/>
          <w:sz w:val="24"/>
          <w:szCs w:val="24"/>
        </w:rPr>
        <w:t>DOE</w:t>
      </w:r>
      <w:r w:rsidR="00C14217" w:rsidRPr="00730E2D">
        <w:rPr>
          <w:rFonts w:asciiTheme="minorHAnsi" w:hAnsiTheme="minorHAnsi"/>
          <w:sz w:val="24"/>
          <w:szCs w:val="24"/>
        </w:rPr>
        <w:t xml:space="preserve"> will produce verified values of savings estimates and other key parameters or outcomes based on this improved data.</w:t>
      </w:r>
    </w:p>
    <w:p w:rsidR="00C14217" w:rsidRPr="00730E2D" w:rsidRDefault="00C14217" w:rsidP="00730E2D">
      <w:pPr>
        <w:jc w:val="both"/>
        <w:rPr>
          <w:rFonts w:asciiTheme="minorHAnsi" w:hAnsiTheme="minorHAnsi"/>
          <w:b/>
          <w:i/>
        </w:rPr>
      </w:pPr>
      <w:r w:rsidRPr="00730E2D">
        <w:rPr>
          <w:rFonts w:asciiTheme="minorHAnsi" w:hAnsiTheme="minorHAnsi"/>
          <w:b/>
          <w:i/>
        </w:rPr>
        <w:t>Estimation procedure</w:t>
      </w:r>
    </w:p>
    <w:p w:rsidR="00C14217" w:rsidRPr="00730E2D" w:rsidRDefault="00C14217" w:rsidP="00730E2D">
      <w:pPr>
        <w:jc w:val="both"/>
        <w:rPr>
          <w:rFonts w:asciiTheme="minorHAnsi" w:hAnsiTheme="minorHAnsi"/>
          <w:b/>
        </w:rPr>
      </w:pPr>
    </w:p>
    <w:p w:rsidR="00C14217" w:rsidRPr="00730E2D" w:rsidRDefault="00C14217" w:rsidP="00730E2D">
      <w:pPr>
        <w:spacing w:after="240"/>
        <w:jc w:val="both"/>
        <w:rPr>
          <w:rFonts w:asciiTheme="minorHAnsi" w:hAnsiTheme="minorHAnsi"/>
          <w:b/>
          <w:i/>
        </w:rPr>
      </w:pPr>
      <w:r w:rsidRPr="00730E2D">
        <w:rPr>
          <w:rFonts w:asciiTheme="minorHAnsi" w:hAnsiTheme="minorHAnsi"/>
          <w:b/>
        </w:rPr>
        <w:lastRenderedPageBreak/>
        <w:t>Telephone Survey Results</w:t>
      </w:r>
    </w:p>
    <w:p w:rsidR="00C14217" w:rsidRPr="00730E2D" w:rsidRDefault="00C14217" w:rsidP="00730E2D">
      <w:pPr>
        <w:jc w:val="both"/>
        <w:rPr>
          <w:rFonts w:asciiTheme="minorHAnsi" w:hAnsiTheme="minorHAnsi"/>
        </w:rPr>
      </w:pPr>
      <w:r w:rsidRPr="00730E2D">
        <w:rPr>
          <w:rFonts w:asciiTheme="minorHAnsi" w:hAnsiTheme="minorHAnsi"/>
        </w:rPr>
        <w:t xml:space="preserve">The analyses of individual projects from the full Stage 2 sample yield a set of phone-based savings estimates that reflect findings concerning the actual quantity, efficiency features, operating environment, and operating patterns of the program measures installed for each project.   </w:t>
      </w:r>
      <w:r w:rsidR="003A7106" w:rsidRPr="00730E2D">
        <w:rPr>
          <w:rFonts w:asciiTheme="minorHAnsi" w:hAnsiTheme="minorHAnsi"/>
        </w:rPr>
        <w:t>DOE</w:t>
      </w:r>
      <w:r w:rsidRPr="00730E2D">
        <w:rPr>
          <w:rFonts w:asciiTheme="minorHAnsi" w:hAnsiTheme="minorHAnsi"/>
        </w:rPr>
        <w:t xml:space="preserve"> will use ratio estimation techniques for these project-level estimates of savings, along with a corresponding Measure of Size known for all units in the Stage 2 sample frames.  Where available, the Measure of Size will typically be a p</w:t>
      </w:r>
      <w:r w:rsidR="009B59CB" w:rsidRPr="00730E2D">
        <w:rPr>
          <w:rFonts w:asciiTheme="minorHAnsi" w:hAnsiTheme="minorHAnsi"/>
        </w:rPr>
        <w:t>rogram tracking system estimate</w:t>
      </w:r>
      <w:r w:rsidRPr="00730E2D">
        <w:rPr>
          <w:rFonts w:asciiTheme="minorHAnsi" w:hAnsiTheme="minorHAnsi"/>
        </w:rPr>
        <w:t xml:space="preserve"> of savings for the individual projects.  </w:t>
      </w:r>
    </w:p>
    <w:p w:rsidR="00C14217" w:rsidRPr="00730E2D" w:rsidRDefault="00C14217" w:rsidP="00730E2D">
      <w:pPr>
        <w:jc w:val="both"/>
        <w:rPr>
          <w:rFonts w:asciiTheme="minorHAnsi" w:hAnsiTheme="minorHAnsi"/>
        </w:rPr>
      </w:pPr>
    </w:p>
    <w:p w:rsidR="00C14217" w:rsidRPr="00730E2D" w:rsidRDefault="009B59CB" w:rsidP="00730E2D">
      <w:pPr>
        <w:jc w:val="both"/>
        <w:rPr>
          <w:rFonts w:asciiTheme="minorHAnsi" w:hAnsiTheme="minorHAnsi"/>
        </w:rPr>
      </w:pPr>
      <w:r w:rsidRPr="00730E2D">
        <w:rPr>
          <w:rFonts w:asciiTheme="minorHAnsi" w:hAnsiTheme="minorHAnsi"/>
        </w:rPr>
        <w:t>That is, similar</w:t>
      </w:r>
      <w:r w:rsidR="00C14217" w:rsidRPr="00730E2D">
        <w:rPr>
          <w:rFonts w:asciiTheme="minorHAnsi" w:hAnsiTheme="minorHAnsi"/>
        </w:rPr>
        <w:t xml:space="preserve"> to the Stage 1 expansion, </w:t>
      </w:r>
      <w:r w:rsidR="003A7106" w:rsidRPr="00730E2D">
        <w:rPr>
          <w:rFonts w:asciiTheme="minorHAnsi" w:hAnsiTheme="minorHAnsi"/>
        </w:rPr>
        <w:t>DOE</w:t>
      </w:r>
      <w:r w:rsidR="00C14217" w:rsidRPr="00730E2D">
        <w:rPr>
          <w:rFonts w:asciiTheme="minorHAnsi" w:hAnsiTheme="minorHAnsi"/>
        </w:rPr>
        <w:t xml:space="preserve"> </w:t>
      </w:r>
      <w:r w:rsidR="00843015" w:rsidRPr="00730E2D">
        <w:rPr>
          <w:rFonts w:asciiTheme="minorHAnsi" w:hAnsiTheme="minorHAnsi"/>
        </w:rPr>
        <w:t xml:space="preserve">will </w:t>
      </w:r>
      <w:r w:rsidR="00C14217" w:rsidRPr="00730E2D">
        <w:rPr>
          <w:rFonts w:asciiTheme="minorHAnsi" w:hAnsiTheme="minorHAnsi"/>
        </w:rPr>
        <w:t xml:space="preserve">calculate a ratio for each PA </w:t>
      </w:r>
      <w:r w:rsidR="00C14217" w:rsidRPr="00730E2D">
        <w:rPr>
          <w:rFonts w:asciiTheme="minorHAnsi" w:hAnsiTheme="minorHAnsi"/>
          <w:i/>
        </w:rPr>
        <w:t>a</w:t>
      </w:r>
      <w:r w:rsidR="00C14217" w:rsidRPr="00730E2D">
        <w:rPr>
          <w:rFonts w:asciiTheme="minorHAnsi" w:hAnsiTheme="minorHAnsi"/>
        </w:rPr>
        <w:t xml:space="preserve"> as</w:t>
      </w:r>
    </w:p>
    <w:p w:rsidR="00C14217" w:rsidRPr="00730E2D" w:rsidRDefault="00C14217" w:rsidP="00730E2D">
      <w:pPr>
        <w:jc w:val="both"/>
        <w:rPr>
          <w:rFonts w:asciiTheme="minorHAnsi" w:hAnsiTheme="minorHAnsi"/>
        </w:rPr>
      </w:pPr>
    </w:p>
    <w:p w:rsidR="00C14217" w:rsidRPr="00730E2D" w:rsidRDefault="00C14217" w:rsidP="00730E2D">
      <w:pPr>
        <w:jc w:val="both"/>
        <w:rPr>
          <w:rFonts w:asciiTheme="minorHAnsi" w:hAnsiTheme="minorHAnsi"/>
        </w:rPr>
      </w:pPr>
    </w:p>
    <w:p w:rsidR="00C14217" w:rsidRPr="00730E2D" w:rsidRDefault="00C14217" w:rsidP="00730E2D">
      <w:pPr>
        <w:spacing w:line="276" w:lineRule="auto"/>
        <w:ind w:left="720"/>
        <w:jc w:val="both"/>
        <w:rPr>
          <w:rFonts w:asciiTheme="minorHAnsi" w:hAnsiTheme="minorHAnsi" w:cs="Arial"/>
          <w:vertAlign w:val="subscript"/>
        </w:rPr>
      </w:pPr>
      <w:r w:rsidRPr="00730E2D">
        <w:rPr>
          <w:rFonts w:asciiTheme="minorHAnsi" w:hAnsiTheme="minorHAnsi" w:cs="Arial"/>
        </w:rPr>
        <w:t>R</w:t>
      </w:r>
      <w:r w:rsidRPr="00730E2D">
        <w:rPr>
          <w:rFonts w:asciiTheme="minorHAnsi" w:hAnsiTheme="minorHAnsi" w:cs="Arial"/>
          <w:vertAlign w:val="subscript"/>
        </w:rPr>
        <w:t>a</w:t>
      </w:r>
      <w:r w:rsidRPr="00730E2D">
        <w:rPr>
          <w:rFonts w:asciiTheme="minorHAnsi" w:hAnsiTheme="minorHAnsi" w:cs="Arial"/>
          <w:vertAlign w:val="superscript"/>
        </w:rPr>
        <w:t>^</w:t>
      </w:r>
      <w:r w:rsidRPr="00730E2D">
        <w:rPr>
          <w:rFonts w:asciiTheme="minorHAnsi" w:hAnsiTheme="minorHAnsi" w:cs="Arial"/>
        </w:rPr>
        <w:t xml:space="preserve"> = </w:t>
      </w:r>
      <w:r w:rsidRPr="00730E2D">
        <w:rPr>
          <w:rFonts w:asciiTheme="minorHAnsi" w:hAnsiTheme="minorHAnsi" w:cs="Arial"/>
        </w:rPr>
        <w:sym w:font="Symbol" w:char="F0E5"/>
      </w:r>
      <w:r w:rsidR="004C223A" w:rsidRPr="00730E2D">
        <w:rPr>
          <w:rFonts w:asciiTheme="minorHAnsi" w:hAnsiTheme="minorHAnsi" w:cs="Arial"/>
          <w:vertAlign w:val="subscript"/>
        </w:rPr>
        <w:t>j</w:t>
      </w:r>
      <w:r w:rsidRPr="00730E2D">
        <w:rPr>
          <w:rFonts w:asciiTheme="minorHAnsi" w:hAnsiTheme="minorHAnsi" w:cs="Arial"/>
        </w:rPr>
        <w:t xml:space="preserve"> N</w:t>
      </w:r>
      <w:r w:rsidR="004C223A" w:rsidRPr="00730E2D">
        <w:rPr>
          <w:rFonts w:asciiTheme="minorHAnsi" w:hAnsiTheme="minorHAnsi" w:cs="Arial"/>
          <w:vertAlign w:val="subscript"/>
        </w:rPr>
        <w:t>j</w:t>
      </w:r>
      <w:r w:rsidRPr="00730E2D">
        <w:rPr>
          <w:rFonts w:asciiTheme="minorHAnsi" w:hAnsiTheme="minorHAnsi" w:cs="Arial"/>
        </w:rPr>
        <w:t xml:space="preserve">  y</w:t>
      </w:r>
      <w:r w:rsidRPr="00730E2D">
        <w:rPr>
          <w:rFonts w:asciiTheme="minorHAnsi" w:hAnsiTheme="minorHAnsi" w:cs="Arial"/>
          <w:vertAlign w:val="subscript"/>
        </w:rPr>
        <w:t>_</w:t>
      </w:r>
      <w:r w:rsidR="004C223A" w:rsidRPr="00730E2D">
        <w:rPr>
          <w:rFonts w:asciiTheme="minorHAnsi" w:hAnsiTheme="minorHAnsi" w:cs="Arial"/>
          <w:vertAlign w:val="subscript"/>
        </w:rPr>
        <w:t>j</w:t>
      </w:r>
      <w:r w:rsidRPr="00730E2D">
        <w:rPr>
          <w:rFonts w:asciiTheme="minorHAnsi" w:hAnsiTheme="minorHAnsi" w:cs="Arial"/>
        </w:rPr>
        <w:t xml:space="preserve"> /</w:t>
      </w:r>
      <w:r w:rsidRPr="00730E2D">
        <w:rPr>
          <w:rFonts w:asciiTheme="minorHAnsi" w:hAnsiTheme="minorHAnsi" w:cs="Arial"/>
        </w:rPr>
        <w:sym w:font="Symbol" w:char="F0E5"/>
      </w:r>
      <w:r w:rsidR="004C223A" w:rsidRPr="00730E2D">
        <w:rPr>
          <w:rFonts w:asciiTheme="minorHAnsi" w:hAnsiTheme="minorHAnsi" w:cs="Arial"/>
          <w:vertAlign w:val="subscript"/>
        </w:rPr>
        <w:t>j</w:t>
      </w:r>
      <w:r w:rsidRPr="00730E2D">
        <w:rPr>
          <w:rFonts w:asciiTheme="minorHAnsi" w:hAnsiTheme="minorHAnsi" w:cs="Arial"/>
        </w:rPr>
        <w:t xml:space="preserve"> N</w:t>
      </w:r>
      <w:r w:rsidR="004C223A" w:rsidRPr="00730E2D">
        <w:rPr>
          <w:rFonts w:asciiTheme="minorHAnsi" w:hAnsiTheme="minorHAnsi" w:cs="Arial"/>
          <w:vertAlign w:val="subscript"/>
        </w:rPr>
        <w:t>j</w:t>
      </w:r>
      <w:r w:rsidRPr="00730E2D">
        <w:rPr>
          <w:rFonts w:asciiTheme="minorHAnsi" w:hAnsiTheme="minorHAnsi" w:cs="Arial"/>
        </w:rPr>
        <w:t xml:space="preserve"> x</w:t>
      </w:r>
      <w:r w:rsidRPr="00730E2D">
        <w:rPr>
          <w:rFonts w:asciiTheme="minorHAnsi" w:hAnsiTheme="minorHAnsi" w:cs="Arial"/>
          <w:vertAlign w:val="subscript"/>
        </w:rPr>
        <w:t>_</w:t>
      </w:r>
      <w:r w:rsidR="004C223A" w:rsidRPr="00730E2D">
        <w:rPr>
          <w:rFonts w:asciiTheme="minorHAnsi" w:hAnsiTheme="minorHAnsi" w:cs="Arial"/>
          <w:vertAlign w:val="subscript"/>
        </w:rPr>
        <w:t>j</w:t>
      </w:r>
    </w:p>
    <w:p w:rsidR="00C14217" w:rsidRPr="00730E2D" w:rsidRDefault="00C14217" w:rsidP="00730E2D">
      <w:pPr>
        <w:spacing w:line="276" w:lineRule="auto"/>
        <w:jc w:val="both"/>
        <w:rPr>
          <w:rFonts w:asciiTheme="minorHAnsi" w:hAnsiTheme="minorHAnsi" w:cs="Arial"/>
        </w:rPr>
      </w:pPr>
    </w:p>
    <w:p w:rsidR="00C14217" w:rsidRPr="00730E2D" w:rsidRDefault="00C14217" w:rsidP="00730E2D">
      <w:pPr>
        <w:jc w:val="both"/>
        <w:rPr>
          <w:rFonts w:asciiTheme="minorHAnsi" w:hAnsiTheme="minorHAnsi" w:cs="Arial"/>
        </w:rPr>
      </w:pPr>
      <w:r w:rsidRPr="00730E2D">
        <w:rPr>
          <w:rFonts w:asciiTheme="minorHAnsi" w:hAnsiTheme="minorHAnsi" w:cs="Arial"/>
        </w:rPr>
        <w:t xml:space="preserve">where </w:t>
      </w:r>
    </w:p>
    <w:p w:rsidR="00C14217" w:rsidRPr="00730E2D" w:rsidRDefault="00C14217" w:rsidP="00730E2D">
      <w:pPr>
        <w:ind w:left="720"/>
        <w:jc w:val="both"/>
        <w:rPr>
          <w:rFonts w:asciiTheme="minorHAnsi" w:hAnsiTheme="minorHAnsi" w:cs="Arial"/>
        </w:rPr>
      </w:pPr>
      <w:r w:rsidRPr="00730E2D">
        <w:rPr>
          <w:rFonts w:asciiTheme="minorHAnsi" w:hAnsiTheme="minorHAnsi" w:cs="Arial"/>
        </w:rPr>
        <w:t>N</w:t>
      </w:r>
      <w:r w:rsidR="004C223A" w:rsidRPr="00730E2D">
        <w:rPr>
          <w:rFonts w:asciiTheme="minorHAnsi" w:hAnsiTheme="minorHAnsi" w:cs="Arial"/>
          <w:vertAlign w:val="subscript"/>
        </w:rPr>
        <w:t>j</w:t>
      </w:r>
      <w:r w:rsidRPr="00730E2D">
        <w:rPr>
          <w:rFonts w:asciiTheme="minorHAnsi" w:hAnsiTheme="minorHAnsi" w:cs="Arial"/>
        </w:rPr>
        <w:t xml:space="preserve"> = population number of individual projects in cell </w:t>
      </w:r>
      <w:r w:rsidR="004C223A" w:rsidRPr="00730E2D">
        <w:rPr>
          <w:rFonts w:asciiTheme="minorHAnsi" w:hAnsiTheme="minorHAnsi" w:cs="Arial"/>
        </w:rPr>
        <w:t>j</w:t>
      </w:r>
      <w:r w:rsidRPr="00730E2D">
        <w:rPr>
          <w:rFonts w:asciiTheme="minorHAnsi" w:hAnsiTheme="minorHAnsi" w:cs="Arial"/>
        </w:rPr>
        <w:t xml:space="preserve"> of the PA</w:t>
      </w:r>
    </w:p>
    <w:p w:rsidR="00C14217" w:rsidRPr="00730E2D" w:rsidRDefault="00C14217" w:rsidP="00730E2D">
      <w:pPr>
        <w:ind w:left="720"/>
        <w:jc w:val="both"/>
        <w:rPr>
          <w:rFonts w:asciiTheme="minorHAnsi" w:hAnsiTheme="minorHAnsi" w:cs="Arial"/>
        </w:rPr>
      </w:pPr>
      <w:r w:rsidRPr="00730E2D">
        <w:rPr>
          <w:rFonts w:asciiTheme="minorHAnsi" w:hAnsiTheme="minorHAnsi" w:cs="Arial"/>
        </w:rPr>
        <w:t>y</w:t>
      </w:r>
      <w:r w:rsidRPr="00730E2D">
        <w:rPr>
          <w:rFonts w:asciiTheme="minorHAnsi" w:hAnsiTheme="minorHAnsi" w:cs="Arial"/>
          <w:vertAlign w:val="subscript"/>
        </w:rPr>
        <w:t>_</w:t>
      </w:r>
      <w:r w:rsidR="004C223A" w:rsidRPr="00730E2D">
        <w:rPr>
          <w:rFonts w:asciiTheme="minorHAnsi" w:hAnsiTheme="minorHAnsi" w:cs="Arial"/>
          <w:vertAlign w:val="subscript"/>
        </w:rPr>
        <w:t>j</w:t>
      </w:r>
      <w:r w:rsidRPr="00730E2D">
        <w:rPr>
          <w:rFonts w:asciiTheme="minorHAnsi" w:hAnsiTheme="minorHAnsi" w:cs="Arial"/>
        </w:rPr>
        <w:t xml:space="preserve"> = sample mean phone-based outcome (e.g., energy savings) for cell </w:t>
      </w:r>
      <w:r w:rsidR="004C223A" w:rsidRPr="00730E2D">
        <w:rPr>
          <w:rFonts w:asciiTheme="minorHAnsi" w:hAnsiTheme="minorHAnsi" w:cs="Arial"/>
        </w:rPr>
        <w:t>j</w:t>
      </w:r>
      <w:r w:rsidRPr="00730E2D">
        <w:rPr>
          <w:rFonts w:asciiTheme="minorHAnsi" w:hAnsiTheme="minorHAnsi" w:cs="Arial"/>
        </w:rPr>
        <w:t xml:space="preserve"> of the PA</w:t>
      </w:r>
    </w:p>
    <w:p w:rsidR="00C14217" w:rsidRPr="00730E2D" w:rsidRDefault="00C14217" w:rsidP="00730E2D">
      <w:pPr>
        <w:ind w:left="720"/>
        <w:jc w:val="both"/>
        <w:rPr>
          <w:rFonts w:asciiTheme="minorHAnsi" w:hAnsiTheme="minorHAnsi" w:cs="Arial"/>
        </w:rPr>
      </w:pPr>
      <w:r w:rsidRPr="00730E2D">
        <w:rPr>
          <w:rFonts w:asciiTheme="minorHAnsi" w:hAnsiTheme="minorHAnsi" w:cs="Arial"/>
        </w:rPr>
        <w:t>x</w:t>
      </w:r>
      <w:r w:rsidRPr="00730E2D">
        <w:rPr>
          <w:rFonts w:asciiTheme="minorHAnsi" w:hAnsiTheme="minorHAnsi" w:cs="Arial"/>
          <w:vertAlign w:val="subscript"/>
        </w:rPr>
        <w:t>_</w:t>
      </w:r>
      <w:r w:rsidR="004C223A" w:rsidRPr="00730E2D">
        <w:rPr>
          <w:rFonts w:asciiTheme="minorHAnsi" w:hAnsiTheme="minorHAnsi" w:cs="Arial"/>
          <w:vertAlign w:val="subscript"/>
        </w:rPr>
        <w:t>j</w:t>
      </w:r>
      <w:r w:rsidRPr="00730E2D">
        <w:rPr>
          <w:rFonts w:asciiTheme="minorHAnsi" w:hAnsiTheme="minorHAnsi" w:cs="Arial"/>
          <w:vertAlign w:val="subscript"/>
        </w:rPr>
        <w:t xml:space="preserve"> </w:t>
      </w:r>
      <w:r w:rsidRPr="00730E2D">
        <w:rPr>
          <w:rFonts w:asciiTheme="minorHAnsi" w:hAnsiTheme="minorHAnsi" w:cs="Arial"/>
        </w:rPr>
        <w:t xml:space="preserve">= sample mean MOS for cell </w:t>
      </w:r>
      <w:r w:rsidR="004C223A" w:rsidRPr="00730E2D">
        <w:rPr>
          <w:rFonts w:asciiTheme="minorHAnsi" w:hAnsiTheme="minorHAnsi" w:cs="Arial"/>
        </w:rPr>
        <w:t>j</w:t>
      </w:r>
      <w:r w:rsidRPr="00730E2D">
        <w:rPr>
          <w:rFonts w:asciiTheme="minorHAnsi" w:hAnsiTheme="minorHAnsi" w:cs="Arial"/>
        </w:rPr>
        <w:t xml:space="preserve"> of the PA.</w:t>
      </w:r>
    </w:p>
    <w:p w:rsidR="00C14217" w:rsidRPr="00730E2D" w:rsidRDefault="00C14217" w:rsidP="00730E2D">
      <w:pPr>
        <w:ind w:left="720"/>
        <w:jc w:val="both"/>
        <w:rPr>
          <w:rFonts w:asciiTheme="minorHAnsi" w:hAnsiTheme="minorHAnsi" w:cs="Arial"/>
        </w:rPr>
      </w:pPr>
    </w:p>
    <w:p w:rsidR="00C14217" w:rsidRPr="00730E2D" w:rsidRDefault="00843015" w:rsidP="00730E2D">
      <w:pPr>
        <w:jc w:val="both"/>
        <w:rPr>
          <w:rFonts w:asciiTheme="minorHAnsi" w:hAnsiTheme="minorHAnsi" w:cs="Arial"/>
        </w:rPr>
      </w:pPr>
      <w:r w:rsidRPr="00730E2D">
        <w:rPr>
          <w:rFonts w:asciiTheme="minorHAnsi" w:hAnsiTheme="minorHAnsi" w:cs="Arial"/>
        </w:rPr>
        <w:t xml:space="preserve">The sampling cell </w:t>
      </w:r>
      <w:r w:rsidR="004C223A" w:rsidRPr="00730E2D">
        <w:rPr>
          <w:rFonts w:asciiTheme="minorHAnsi" w:hAnsiTheme="minorHAnsi" w:cs="Arial"/>
        </w:rPr>
        <w:t>j</w:t>
      </w:r>
      <w:r w:rsidRPr="00730E2D">
        <w:rPr>
          <w:rFonts w:asciiTheme="minorHAnsi" w:hAnsiTheme="minorHAnsi" w:cs="Arial"/>
        </w:rPr>
        <w:t xml:space="preserve"> in this formula refers to whatever stratification cells are used for the particular PA, based on information available for the PA.</w:t>
      </w:r>
    </w:p>
    <w:p w:rsidR="00C14217" w:rsidRPr="00730E2D" w:rsidRDefault="00C14217" w:rsidP="00730E2D">
      <w:pPr>
        <w:jc w:val="both"/>
        <w:rPr>
          <w:rFonts w:asciiTheme="minorHAnsi" w:hAnsiTheme="minorHAnsi"/>
        </w:rPr>
      </w:pPr>
    </w:p>
    <w:p w:rsidR="00C14217" w:rsidRPr="00730E2D" w:rsidRDefault="00C14217" w:rsidP="00730E2D">
      <w:pPr>
        <w:jc w:val="both"/>
        <w:rPr>
          <w:rFonts w:asciiTheme="minorHAnsi" w:hAnsiTheme="minorHAnsi"/>
        </w:rPr>
      </w:pPr>
      <w:r w:rsidRPr="00730E2D">
        <w:rPr>
          <w:rFonts w:asciiTheme="minorHAnsi" w:hAnsiTheme="minorHAnsi"/>
        </w:rPr>
        <w:t xml:space="preserve">The total outcome </w:t>
      </w:r>
      <w:r w:rsidRPr="00730E2D">
        <w:rPr>
          <w:rFonts w:asciiTheme="minorHAnsi" w:hAnsiTheme="minorHAnsi" w:cs="Arial"/>
        </w:rPr>
        <w:t>y</w:t>
      </w:r>
      <w:r w:rsidRPr="00730E2D">
        <w:rPr>
          <w:rFonts w:asciiTheme="minorHAnsi" w:hAnsiTheme="minorHAnsi" w:cs="Arial"/>
          <w:vertAlign w:val="subscript"/>
        </w:rPr>
        <w:t>Ta</w:t>
      </w:r>
      <w:r w:rsidRPr="00730E2D">
        <w:rPr>
          <w:rFonts w:asciiTheme="minorHAnsi" w:hAnsiTheme="minorHAnsi"/>
        </w:rPr>
        <w:t xml:space="preserve"> for the PA is then calculated as</w:t>
      </w:r>
    </w:p>
    <w:p w:rsidR="00D10CD7" w:rsidRDefault="00C14217" w:rsidP="00EC17D9">
      <w:pPr>
        <w:spacing w:beforeLines="120" w:before="288" w:afterLines="120" w:after="288" w:line="276" w:lineRule="auto"/>
        <w:ind w:left="720"/>
        <w:jc w:val="both"/>
        <w:rPr>
          <w:rFonts w:asciiTheme="minorHAnsi" w:hAnsiTheme="minorHAnsi" w:cs="Arial"/>
        </w:rPr>
      </w:pPr>
      <w:r w:rsidRPr="00730E2D">
        <w:rPr>
          <w:rFonts w:asciiTheme="minorHAnsi" w:hAnsiTheme="minorHAnsi" w:cs="Arial"/>
        </w:rPr>
        <w:t>y</w:t>
      </w:r>
      <w:r w:rsidRPr="00730E2D">
        <w:rPr>
          <w:rFonts w:asciiTheme="minorHAnsi" w:hAnsiTheme="minorHAnsi" w:cs="Arial"/>
          <w:vertAlign w:val="subscript"/>
        </w:rPr>
        <w:t xml:space="preserve">Ta </w:t>
      </w:r>
      <w:r w:rsidRPr="00730E2D">
        <w:rPr>
          <w:rFonts w:asciiTheme="minorHAnsi" w:hAnsiTheme="minorHAnsi" w:cs="Arial"/>
        </w:rPr>
        <w:t>= R</w:t>
      </w:r>
      <w:r w:rsidRPr="00730E2D">
        <w:rPr>
          <w:rFonts w:asciiTheme="minorHAnsi" w:hAnsiTheme="minorHAnsi" w:cs="Arial"/>
          <w:vertAlign w:val="subscript"/>
        </w:rPr>
        <w:t>a</w:t>
      </w:r>
      <w:r w:rsidRPr="00730E2D">
        <w:rPr>
          <w:rFonts w:asciiTheme="minorHAnsi" w:hAnsiTheme="minorHAnsi" w:cs="Arial"/>
          <w:vertAlign w:val="superscript"/>
        </w:rPr>
        <w:t>^</w:t>
      </w:r>
      <w:r w:rsidRPr="00730E2D">
        <w:rPr>
          <w:rFonts w:asciiTheme="minorHAnsi" w:hAnsiTheme="minorHAnsi" w:cs="Arial"/>
        </w:rPr>
        <w:t xml:space="preserve"> x</w:t>
      </w:r>
      <w:r w:rsidRPr="00730E2D">
        <w:rPr>
          <w:rFonts w:asciiTheme="minorHAnsi" w:hAnsiTheme="minorHAnsi" w:cs="Arial"/>
          <w:vertAlign w:val="subscript"/>
        </w:rPr>
        <w:t>Ta</w:t>
      </w:r>
    </w:p>
    <w:p w:rsidR="004C223A" w:rsidRPr="00730E2D" w:rsidRDefault="00C14217" w:rsidP="00730E2D">
      <w:pPr>
        <w:jc w:val="both"/>
        <w:rPr>
          <w:rFonts w:asciiTheme="minorHAnsi" w:hAnsiTheme="minorHAnsi"/>
        </w:rPr>
      </w:pPr>
      <w:r w:rsidRPr="00730E2D">
        <w:rPr>
          <w:rFonts w:asciiTheme="minorHAnsi" w:hAnsiTheme="minorHAnsi"/>
        </w:rPr>
        <w:t xml:space="preserve">where </w:t>
      </w:r>
      <w:r w:rsidRPr="00730E2D">
        <w:rPr>
          <w:rFonts w:asciiTheme="minorHAnsi" w:hAnsiTheme="minorHAnsi" w:cs="Arial"/>
        </w:rPr>
        <w:t>x</w:t>
      </w:r>
      <w:r w:rsidRPr="00730E2D">
        <w:rPr>
          <w:rFonts w:asciiTheme="minorHAnsi" w:hAnsiTheme="minorHAnsi" w:cs="Arial"/>
          <w:vertAlign w:val="subscript"/>
        </w:rPr>
        <w:t>Ta</w:t>
      </w:r>
      <w:r w:rsidRPr="00730E2D">
        <w:rPr>
          <w:rFonts w:asciiTheme="minorHAnsi" w:hAnsiTheme="minorHAnsi"/>
        </w:rPr>
        <w:t xml:space="preserve"> is the total of the measure of size x for the PA.  </w:t>
      </w:r>
    </w:p>
    <w:p w:rsidR="004C223A" w:rsidRPr="00730E2D" w:rsidRDefault="004C223A" w:rsidP="00730E2D">
      <w:pPr>
        <w:jc w:val="both"/>
        <w:rPr>
          <w:rFonts w:asciiTheme="minorHAnsi" w:hAnsiTheme="minorHAnsi"/>
        </w:rPr>
      </w:pPr>
    </w:p>
    <w:p w:rsidR="00C14217" w:rsidRPr="00730E2D" w:rsidRDefault="00C14217" w:rsidP="00730E2D">
      <w:pPr>
        <w:spacing w:after="120"/>
        <w:jc w:val="both"/>
        <w:rPr>
          <w:rFonts w:asciiTheme="minorHAnsi" w:hAnsiTheme="minorHAnsi"/>
        </w:rPr>
      </w:pPr>
      <w:r w:rsidRPr="00730E2D">
        <w:rPr>
          <w:rFonts w:asciiTheme="minorHAnsi" w:hAnsiTheme="minorHAnsi"/>
        </w:rPr>
        <w:t>A separate ratio expansion of this form is conducted for each PA, for several reasons.</w:t>
      </w:r>
    </w:p>
    <w:p w:rsidR="00C14217" w:rsidRPr="00730E2D" w:rsidRDefault="00C14217" w:rsidP="00730E2D">
      <w:pPr>
        <w:pStyle w:val="ListParagraph"/>
        <w:numPr>
          <w:ilvl w:val="0"/>
          <w:numId w:val="52"/>
        </w:numPr>
        <w:spacing w:after="120" w:line="240" w:lineRule="auto"/>
        <w:contextualSpacing w:val="0"/>
        <w:jc w:val="both"/>
        <w:rPr>
          <w:rFonts w:asciiTheme="minorHAnsi" w:hAnsiTheme="minorHAnsi"/>
        </w:rPr>
      </w:pPr>
      <w:r w:rsidRPr="00730E2D">
        <w:rPr>
          <w:rFonts w:asciiTheme="minorHAnsi" w:hAnsiTheme="minorHAnsi"/>
        </w:rPr>
        <w:t xml:space="preserve">The measures of size x available will vary quite a bit across PAs, even within a BPAC.  </w:t>
      </w:r>
    </w:p>
    <w:p w:rsidR="00C14217" w:rsidRPr="00730E2D" w:rsidRDefault="00C14217" w:rsidP="00730E2D">
      <w:pPr>
        <w:pStyle w:val="ListParagraph"/>
        <w:numPr>
          <w:ilvl w:val="0"/>
          <w:numId w:val="52"/>
        </w:numPr>
        <w:spacing w:after="120" w:line="240" w:lineRule="auto"/>
        <w:contextualSpacing w:val="0"/>
        <w:jc w:val="both"/>
        <w:rPr>
          <w:rFonts w:asciiTheme="minorHAnsi" w:hAnsiTheme="minorHAnsi"/>
        </w:rPr>
      </w:pPr>
      <w:r w:rsidRPr="00730E2D">
        <w:rPr>
          <w:rFonts w:asciiTheme="minorHAnsi" w:hAnsiTheme="minorHAnsi"/>
        </w:rPr>
        <w:t>Even where PAs have a similar nominal Measure of Size, such as a tracking system estimate of energy savings, that nominal MOS is likely to be calculated inconsistently across different PAs.</w:t>
      </w:r>
      <w:r w:rsidR="004C223A" w:rsidRPr="00730E2D">
        <w:rPr>
          <w:rFonts w:asciiTheme="minorHAnsi" w:hAnsiTheme="minorHAnsi"/>
        </w:rPr>
        <w:t xml:space="preserve">  As a result, the relationship between the tracking energy savings x and the phone-survey-based estimate y will be different for each PA.  At the same time, </w:t>
      </w:r>
      <w:r w:rsidR="003A7106" w:rsidRPr="00730E2D">
        <w:rPr>
          <w:rFonts w:asciiTheme="minorHAnsi" w:hAnsiTheme="minorHAnsi"/>
        </w:rPr>
        <w:t>DOE</w:t>
      </w:r>
      <w:r w:rsidR="004C223A" w:rsidRPr="00730E2D">
        <w:rPr>
          <w:rFonts w:asciiTheme="minorHAnsi" w:hAnsiTheme="minorHAnsi"/>
        </w:rPr>
        <w:t xml:space="preserve"> </w:t>
      </w:r>
      <w:r w:rsidR="001E2D19" w:rsidRPr="00730E2D">
        <w:rPr>
          <w:rFonts w:asciiTheme="minorHAnsi" w:hAnsiTheme="minorHAnsi"/>
        </w:rPr>
        <w:t xml:space="preserve">has </w:t>
      </w:r>
      <w:r w:rsidR="004C223A" w:rsidRPr="00730E2D">
        <w:rPr>
          <w:rFonts w:asciiTheme="minorHAnsi" w:hAnsiTheme="minorHAnsi"/>
        </w:rPr>
        <w:t>a large enough sample within each PA that PA-specific ratios can be estimated meaningfully.</w:t>
      </w:r>
    </w:p>
    <w:p w:rsidR="00C14217" w:rsidRPr="00730E2D" w:rsidRDefault="00C14217" w:rsidP="00730E2D">
      <w:pPr>
        <w:pStyle w:val="ListParagraph"/>
        <w:numPr>
          <w:ilvl w:val="0"/>
          <w:numId w:val="52"/>
        </w:numPr>
        <w:spacing w:after="120" w:line="240" w:lineRule="auto"/>
        <w:contextualSpacing w:val="0"/>
        <w:jc w:val="both"/>
        <w:rPr>
          <w:rFonts w:asciiTheme="minorHAnsi" w:hAnsiTheme="minorHAnsi"/>
        </w:rPr>
      </w:pPr>
      <w:r w:rsidRPr="00730E2D">
        <w:rPr>
          <w:rFonts w:asciiTheme="minorHAnsi" w:hAnsiTheme="minorHAnsi"/>
        </w:rPr>
        <w:t>The PA-level total x</w:t>
      </w:r>
      <w:r w:rsidRPr="00730E2D">
        <w:rPr>
          <w:rFonts w:asciiTheme="minorHAnsi" w:hAnsiTheme="minorHAnsi"/>
          <w:vertAlign w:val="subscript"/>
        </w:rPr>
        <w:t>TOTa</w:t>
      </w:r>
      <w:r w:rsidRPr="00730E2D">
        <w:rPr>
          <w:rFonts w:asciiTheme="minorHAnsi" w:hAnsiTheme="minorHAnsi"/>
        </w:rPr>
        <w:t xml:space="preserve"> is available only for the PAs in the Stage 1 sample.  As a result, even if </w:t>
      </w:r>
      <w:r w:rsidR="003A7106" w:rsidRPr="00730E2D">
        <w:rPr>
          <w:rFonts w:asciiTheme="minorHAnsi" w:hAnsiTheme="minorHAnsi"/>
        </w:rPr>
        <w:t>DOE</w:t>
      </w:r>
      <w:r w:rsidRPr="00730E2D">
        <w:rPr>
          <w:rFonts w:asciiTheme="minorHAnsi" w:hAnsiTheme="minorHAnsi"/>
        </w:rPr>
        <w:t xml:space="preserve"> produced a single ratio across all the sampled PAs for a given BPAC Subcategory, it could only be applied to the sampled PAs, not to the full population of PAs. </w:t>
      </w:r>
    </w:p>
    <w:p w:rsidR="00C14217" w:rsidRPr="00730E2D" w:rsidRDefault="00C14217" w:rsidP="00730E2D">
      <w:pPr>
        <w:jc w:val="both"/>
        <w:rPr>
          <w:rFonts w:asciiTheme="minorHAnsi" w:hAnsiTheme="minorHAnsi"/>
        </w:rPr>
      </w:pPr>
    </w:p>
    <w:p w:rsidR="00730E2D" w:rsidRDefault="00730E2D" w:rsidP="00730E2D">
      <w:pPr>
        <w:jc w:val="both"/>
        <w:rPr>
          <w:rFonts w:asciiTheme="minorHAnsi" w:hAnsiTheme="minorHAnsi"/>
          <w:b/>
        </w:rPr>
      </w:pPr>
    </w:p>
    <w:p w:rsidR="00C14217" w:rsidRPr="00730E2D" w:rsidRDefault="00C14217" w:rsidP="00730E2D">
      <w:pPr>
        <w:jc w:val="both"/>
        <w:rPr>
          <w:rFonts w:asciiTheme="minorHAnsi" w:hAnsiTheme="minorHAnsi"/>
          <w:b/>
          <w:i/>
        </w:rPr>
      </w:pPr>
      <w:r w:rsidRPr="00730E2D">
        <w:rPr>
          <w:rFonts w:asciiTheme="minorHAnsi" w:hAnsiTheme="minorHAnsi"/>
          <w:b/>
        </w:rPr>
        <w:lastRenderedPageBreak/>
        <w:t>Onsite Data Collection</w:t>
      </w:r>
    </w:p>
    <w:p w:rsidR="00C14217" w:rsidRPr="00730E2D" w:rsidRDefault="00C14217" w:rsidP="00C14217">
      <w:pPr>
        <w:rPr>
          <w:rFonts w:asciiTheme="minorHAnsi" w:hAnsiTheme="minorHAnsi"/>
        </w:rPr>
      </w:pPr>
    </w:p>
    <w:p w:rsidR="00C14217" w:rsidRPr="00730E2D" w:rsidRDefault="00534695" w:rsidP="00730E2D">
      <w:pPr>
        <w:jc w:val="both"/>
        <w:rPr>
          <w:rFonts w:asciiTheme="minorHAnsi" w:hAnsiTheme="minorHAnsi"/>
        </w:rPr>
      </w:pPr>
      <w:r w:rsidRPr="00730E2D">
        <w:rPr>
          <w:rFonts w:asciiTheme="minorHAnsi" w:hAnsiTheme="minorHAnsi"/>
        </w:rPr>
        <w:t>A</w:t>
      </w:r>
      <w:r w:rsidR="0088231A" w:rsidRPr="00730E2D">
        <w:rPr>
          <w:rFonts w:asciiTheme="minorHAnsi" w:hAnsiTheme="minorHAnsi"/>
        </w:rPr>
        <w:t xml:space="preserve"> subsample of the telephone sample will be drawn in order to conduct additional onsite data collection.  This </w:t>
      </w:r>
      <w:r w:rsidR="00C14217" w:rsidRPr="00730E2D">
        <w:rPr>
          <w:rFonts w:asciiTheme="minorHAnsi" w:hAnsiTheme="minorHAnsi"/>
        </w:rPr>
        <w:t>onsite subsample</w:t>
      </w:r>
      <w:r w:rsidR="0088231A" w:rsidRPr="00730E2D">
        <w:rPr>
          <w:rFonts w:asciiTheme="minorHAnsi" w:hAnsiTheme="minorHAnsi"/>
        </w:rPr>
        <w:t xml:space="preserve"> presents a different situation relative to the larger telephone sample, in that</w:t>
      </w:r>
      <w:r w:rsidR="00C14217" w:rsidRPr="00730E2D">
        <w:rPr>
          <w:rFonts w:asciiTheme="minorHAnsi" w:hAnsiTheme="minorHAnsi"/>
        </w:rPr>
        <w:t xml:space="preserve"> </w:t>
      </w:r>
      <w:r w:rsidR="003A7106" w:rsidRPr="00730E2D">
        <w:rPr>
          <w:rFonts w:asciiTheme="minorHAnsi" w:hAnsiTheme="minorHAnsi"/>
        </w:rPr>
        <w:t>DOE</w:t>
      </w:r>
      <w:r w:rsidR="00C14217" w:rsidRPr="00730E2D">
        <w:rPr>
          <w:rFonts w:asciiTheme="minorHAnsi" w:hAnsiTheme="minorHAnsi"/>
        </w:rPr>
        <w:t xml:space="preserve"> will </w:t>
      </w:r>
      <w:r w:rsidR="0088231A" w:rsidRPr="00730E2D">
        <w:rPr>
          <w:rFonts w:asciiTheme="minorHAnsi" w:hAnsiTheme="minorHAnsi"/>
        </w:rPr>
        <w:t xml:space="preserve">use the subsample to </w:t>
      </w:r>
      <w:r w:rsidR="00C14217" w:rsidRPr="00730E2D">
        <w:rPr>
          <w:rFonts w:asciiTheme="minorHAnsi" w:hAnsiTheme="minorHAnsi"/>
        </w:rPr>
        <w:t xml:space="preserve">calculate a verification ratio not at the PA level, but at the BPAC-Subcategory level.  That is, for each BPAC-Subcategory </w:t>
      </w:r>
      <w:r w:rsidR="004C223A" w:rsidRPr="00730E2D">
        <w:rPr>
          <w:rFonts w:asciiTheme="minorHAnsi" w:hAnsiTheme="minorHAnsi"/>
        </w:rPr>
        <w:t>stratum that has an onsite sample</w:t>
      </w:r>
      <w:r w:rsidR="00C14217" w:rsidRPr="00730E2D">
        <w:rPr>
          <w:rFonts w:asciiTheme="minorHAnsi" w:hAnsiTheme="minorHAnsi"/>
        </w:rPr>
        <w:t xml:space="preserve">, </w:t>
      </w:r>
      <w:r w:rsidR="003A7106" w:rsidRPr="00730E2D">
        <w:rPr>
          <w:rFonts w:asciiTheme="minorHAnsi" w:hAnsiTheme="minorHAnsi"/>
        </w:rPr>
        <w:t>DOE</w:t>
      </w:r>
      <w:r w:rsidR="00C14217" w:rsidRPr="00730E2D">
        <w:rPr>
          <w:rFonts w:asciiTheme="minorHAnsi" w:hAnsiTheme="minorHAnsi"/>
        </w:rPr>
        <w:t xml:space="preserve"> will calculate a verification ratio:</w:t>
      </w:r>
    </w:p>
    <w:p w:rsidR="00C14217" w:rsidRPr="00730E2D" w:rsidRDefault="00C14217" w:rsidP="00730E2D">
      <w:pPr>
        <w:jc w:val="both"/>
        <w:rPr>
          <w:rFonts w:asciiTheme="minorHAnsi" w:hAnsiTheme="minorHAnsi"/>
        </w:rPr>
      </w:pPr>
    </w:p>
    <w:p w:rsidR="00C14217" w:rsidRPr="00730E2D" w:rsidRDefault="00C14217" w:rsidP="00730E2D">
      <w:pPr>
        <w:spacing w:line="276" w:lineRule="auto"/>
        <w:ind w:left="720"/>
        <w:jc w:val="both"/>
        <w:rPr>
          <w:rFonts w:asciiTheme="minorHAnsi" w:hAnsiTheme="minorHAnsi" w:cs="Arial"/>
          <w:vertAlign w:val="subscript"/>
        </w:rPr>
      </w:pPr>
      <w:r w:rsidRPr="00730E2D">
        <w:rPr>
          <w:rFonts w:asciiTheme="minorHAnsi" w:hAnsiTheme="minorHAnsi" w:cs="Arial"/>
        </w:rPr>
        <w:t>R</w:t>
      </w:r>
      <w:r w:rsidRPr="00730E2D">
        <w:rPr>
          <w:rFonts w:asciiTheme="minorHAnsi" w:hAnsiTheme="minorHAnsi" w:cs="Arial"/>
          <w:vertAlign w:val="subscript"/>
        </w:rPr>
        <w:t>v</w:t>
      </w:r>
      <w:r w:rsidRPr="00730E2D">
        <w:rPr>
          <w:rFonts w:asciiTheme="minorHAnsi" w:hAnsiTheme="minorHAnsi" w:cs="Arial"/>
          <w:vertAlign w:val="superscript"/>
        </w:rPr>
        <w:t>^</w:t>
      </w:r>
      <w:r w:rsidRPr="00730E2D">
        <w:rPr>
          <w:rFonts w:asciiTheme="minorHAnsi" w:hAnsiTheme="minorHAnsi" w:cs="Arial"/>
        </w:rPr>
        <w:t xml:space="preserve"> = </w:t>
      </w:r>
      <w:r w:rsidRPr="00730E2D">
        <w:rPr>
          <w:rFonts w:asciiTheme="minorHAnsi" w:hAnsiTheme="minorHAnsi" w:cs="Arial"/>
        </w:rPr>
        <w:sym w:font="Symbol" w:char="F0E5"/>
      </w:r>
      <w:r w:rsidRPr="00730E2D">
        <w:rPr>
          <w:rFonts w:asciiTheme="minorHAnsi" w:hAnsiTheme="minorHAnsi" w:cs="Arial"/>
          <w:vertAlign w:val="subscript"/>
        </w:rPr>
        <w:t>a</w:t>
      </w:r>
      <w:r w:rsidRPr="00730E2D">
        <w:rPr>
          <w:rFonts w:asciiTheme="minorHAnsi" w:hAnsiTheme="minorHAnsi" w:cs="Arial"/>
        </w:rPr>
        <w:t xml:space="preserve"> </w:t>
      </w:r>
      <w:r w:rsidRPr="00730E2D">
        <w:rPr>
          <w:rFonts w:asciiTheme="minorHAnsi" w:hAnsiTheme="minorHAnsi" w:cs="Arial"/>
        </w:rPr>
        <w:sym w:font="Symbol" w:char="F0E5"/>
      </w:r>
      <w:r w:rsidRPr="00730E2D">
        <w:rPr>
          <w:rFonts w:asciiTheme="minorHAnsi" w:hAnsiTheme="minorHAnsi" w:cs="Arial"/>
          <w:vertAlign w:val="subscript"/>
        </w:rPr>
        <w:t>j</w:t>
      </w:r>
      <w:r w:rsidRPr="00730E2D">
        <w:rPr>
          <w:rFonts w:asciiTheme="minorHAnsi" w:hAnsiTheme="minorHAnsi" w:cs="Arial"/>
        </w:rPr>
        <w:t xml:space="preserve"> N</w:t>
      </w:r>
      <w:r w:rsidRPr="00730E2D">
        <w:rPr>
          <w:rFonts w:asciiTheme="minorHAnsi" w:hAnsiTheme="minorHAnsi" w:cs="Arial"/>
          <w:vertAlign w:val="subscript"/>
        </w:rPr>
        <w:t>ja</w:t>
      </w:r>
      <w:r w:rsidRPr="00730E2D">
        <w:rPr>
          <w:rFonts w:asciiTheme="minorHAnsi" w:hAnsiTheme="minorHAnsi" w:cs="Arial"/>
        </w:rPr>
        <w:t xml:space="preserve">  v</w:t>
      </w:r>
      <w:r w:rsidRPr="00730E2D">
        <w:rPr>
          <w:rFonts w:asciiTheme="minorHAnsi" w:hAnsiTheme="minorHAnsi" w:cs="Arial"/>
          <w:vertAlign w:val="subscript"/>
        </w:rPr>
        <w:t>_ja</w:t>
      </w:r>
      <w:r w:rsidRPr="00730E2D">
        <w:rPr>
          <w:rFonts w:asciiTheme="minorHAnsi" w:hAnsiTheme="minorHAnsi" w:cs="Arial"/>
        </w:rPr>
        <w:t xml:space="preserve"> /</w:t>
      </w:r>
      <w:r w:rsidRPr="00730E2D">
        <w:rPr>
          <w:rFonts w:asciiTheme="minorHAnsi" w:hAnsiTheme="minorHAnsi" w:cs="Arial"/>
        </w:rPr>
        <w:sym w:font="Symbol" w:char="F0E5"/>
      </w:r>
      <w:r w:rsidRPr="00730E2D">
        <w:rPr>
          <w:rFonts w:asciiTheme="minorHAnsi" w:hAnsiTheme="minorHAnsi" w:cs="Arial"/>
          <w:vertAlign w:val="subscript"/>
        </w:rPr>
        <w:t>j</w:t>
      </w:r>
      <w:r w:rsidRPr="00730E2D">
        <w:rPr>
          <w:rFonts w:asciiTheme="minorHAnsi" w:hAnsiTheme="minorHAnsi" w:cs="Arial"/>
        </w:rPr>
        <w:t xml:space="preserve"> N</w:t>
      </w:r>
      <w:r w:rsidRPr="00730E2D">
        <w:rPr>
          <w:rFonts w:asciiTheme="minorHAnsi" w:hAnsiTheme="minorHAnsi" w:cs="Arial"/>
          <w:vertAlign w:val="subscript"/>
        </w:rPr>
        <w:t>ja</w:t>
      </w:r>
      <w:r w:rsidRPr="00730E2D">
        <w:rPr>
          <w:rFonts w:asciiTheme="minorHAnsi" w:hAnsiTheme="minorHAnsi" w:cs="Arial"/>
        </w:rPr>
        <w:t xml:space="preserve"> y</w:t>
      </w:r>
      <w:r w:rsidRPr="00730E2D">
        <w:rPr>
          <w:rFonts w:asciiTheme="minorHAnsi" w:hAnsiTheme="minorHAnsi" w:cs="Arial"/>
          <w:vertAlign w:val="subscript"/>
        </w:rPr>
        <w:t>_ja</w:t>
      </w:r>
    </w:p>
    <w:p w:rsidR="00C14217" w:rsidRPr="00730E2D" w:rsidRDefault="00C14217" w:rsidP="00730E2D">
      <w:pPr>
        <w:spacing w:line="276" w:lineRule="auto"/>
        <w:ind w:left="720"/>
        <w:jc w:val="both"/>
        <w:rPr>
          <w:rFonts w:asciiTheme="minorHAnsi" w:hAnsiTheme="minorHAnsi" w:cs="Arial"/>
        </w:rPr>
      </w:pPr>
    </w:p>
    <w:p w:rsidR="00C14217" w:rsidRPr="00730E2D" w:rsidRDefault="00C14217" w:rsidP="00730E2D">
      <w:pPr>
        <w:spacing w:line="276" w:lineRule="auto"/>
        <w:jc w:val="both"/>
        <w:rPr>
          <w:rFonts w:asciiTheme="minorHAnsi" w:hAnsiTheme="minorHAnsi" w:cs="Arial"/>
        </w:rPr>
      </w:pPr>
      <w:r w:rsidRPr="00730E2D">
        <w:rPr>
          <w:rFonts w:asciiTheme="minorHAnsi" w:hAnsiTheme="minorHAnsi" w:cs="Arial"/>
        </w:rPr>
        <w:t xml:space="preserve">where </w:t>
      </w:r>
    </w:p>
    <w:p w:rsidR="00C14217" w:rsidRPr="00730E2D" w:rsidRDefault="00C14217" w:rsidP="00730E2D">
      <w:pPr>
        <w:spacing w:line="276" w:lineRule="auto"/>
        <w:ind w:left="720"/>
        <w:jc w:val="both"/>
        <w:rPr>
          <w:rFonts w:asciiTheme="minorHAnsi" w:hAnsiTheme="minorHAnsi" w:cs="Arial"/>
        </w:rPr>
      </w:pPr>
      <w:r w:rsidRPr="00730E2D">
        <w:rPr>
          <w:rFonts w:asciiTheme="minorHAnsi" w:hAnsiTheme="minorHAnsi" w:cs="Arial"/>
        </w:rPr>
        <w:t>N</w:t>
      </w:r>
      <w:r w:rsidRPr="00730E2D">
        <w:rPr>
          <w:rFonts w:asciiTheme="minorHAnsi" w:hAnsiTheme="minorHAnsi" w:cs="Arial"/>
          <w:vertAlign w:val="subscript"/>
        </w:rPr>
        <w:t>ja</w:t>
      </w:r>
      <w:r w:rsidRPr="00730E2D">
        <w:rPr>
          <w:rFonts w:asciiTheme="minorHAnsi" w:hAnsiTheme="minorHAnsi" w:cs="Arial"/>
        </w:rPr>
        <w:t xml:space="preserve"> = population number of individual projects in cell j of PA a</w:t>
      </w:r>
    </w:p>
    <w:p w:rsidR="00C14217" w:rsidRPr="00730E2D" w:rsidRDefault="00C14217" w:rsidP="00730E2D">
      <w:pPr>
        <w:spacing w:line="276" w:lineRule="auto"/>
        <w:ind w:left="720"/>
        <w:jc w:val="both"/>
        <w:rPr>
          <w:rFonts w:asciiTheme="minorHAnsi" w:hAnsiTheme="minorHAnsi" w:cs="Arial"/>
        </w:rPr>
      </w:pPr>
      <w:r w:rsidRPr="00730E2D">
        <w:rPr>
          <w:rFonts w:asciiTheme="minorHAnsi" w:hAnsiTheme="minorHAnsi" w:cs="Arial"/>
        </w:rPr>
        <w:t>v</w:t>
      </w:r>
      <w:r w:rsidRPr="00730E2D">
        <w:rPr>
          <w:rFonts w:asciiTheme="minorHAnsi" w:hAnsiTheme="minorHAnsi" w:cs="Arial"/>
          <w:vertAlign w:val="subscript"/>
        </w:rPr>
        <w:t xml:space="preserve">_ja </w:t>
      </w:r>
      <w:r w:rsidRPr="00730E2D">
        <w:rPr>
          <w:rFonts w:asciiTheme="minorHAnsi" w:hAnsiTheme="minorHAnsi" w:cs="Arial"/>
        </w:rPr>
        <w:t>= sample mean onsite-based outcome for cell j of PA a</w:t>
      </w:r>
    </w:p>
    <w:p w:rsidR="00C14217" w:rsidRPr="00730E2D" w:rsidRDefault="00C14217" w:rsidP="00730E2D">
      <w:pPr>
        <w:spacing w:line="276" w:lineRule="auto"/>
        <w:ind w:left="720"/>
        <w:jc w:val="both"/>
        <w:rPr>
          <w:rFonts w:asciiTheme="minorHAnsi" w:hAnsiTheme="minorHAnsi" w:cs="Arial"/>
        </w:rPr>
      </w:pPr>
      <w:r w:rsidRPr="00730E2D">
        <w:rPr>
          <w:rFonts w:asciiTheme="minorHAnsi" w:hAnsiTheme="minorHAnsi" w:cs="Arial"/>
        </w:rPr>
        <w:t>y</w:t>
      </w:r>
      <w:r w:rsidRPr="00730E2D">
        <w:rPr>
          <w:rFonts w:asciiTheme="minorHAnsi" w:hAnsiTheme="minorHAnsi" w:cs="Arial"/>
          <w:vertAlign w:val="subscript"/>
        </w:rPr>
        <w:t>_ja</w:t>
      </w:r>
      <w:r w:rsidRPr="00730E2D">
        <w:rPr>
          <w:rFonts w:asciiTheme="minorHAnsi" w:hAnsiTheme="minorHAnsi" w:cs="Arial"/>
        </w:rPr>
        <w:t xml:space="preserve"> = sample mean phone-based outcome (e.g., energy savings) for cell j of PA a</w:t>
      </w:r>
    </w:p>
    <w:p w:rsidR="00C14217" w:rsidRPr="00730E2D" w:rsidRDefault="00C14217" w:rsidP="00730E2D">
      <w:pPr>
        <w:jc w:val="both"/>
        <w:rPr>
          <w:rFonts w:asciiTheme="minorHAnsi" w:hAnsiTheme="minorHAnsi"/>
        </w:rPr>
      </w:pPr>
    </w:p>
    <w:p w:rsidR="00C14217" w:rsidRPr="00730E2D" w:rsidRDefault="00C14217" w:rsidP="00730E2D">
      <w:pPr>
        <w:jc w:val="both"/>
        <w:rPr>
          <w:rFonts w:asciiTheme="minorHAnsi" w:hAnsiTheme="minorHAnsi"/>
        </w:rPr>
      </w:pPr>
      <w:r w:rsidRPr="00730E2D">
        <w:rPr>
          <w:rFonts w:asciiTheme="minorHAnsi" w:hAnsiTheme="minorHAnsi"/>
        </w:rPr>
        <w:t xml:space="preserve">Again, the cell j in this case </w:t>
      </w:r>
      <w:r w:rsidR="004C223A" w:rsidRPr="00730E2D">
        <w:rPr>
          <w:rFonts w:asciiTheme="minorHAnsi" w:hAnsiTheme="minorHAnsi"/>
        </w:rPr>
        <w:t xml:space="preserve">refers to </w:t>
      </w:r>
      <w:r w:rsidRPr="00730E2D">
        <w:rPr>
          <w:rFonts w:asciiTheme="minorHAnsi" w:hAnsiTheme="minorHAnsi"/>
        </w:rPr>
        <w:t>the stratification variables</w:t>
      </w:r>
      <w:r w:rsidR="004C223A" w:rsidRPr="00730E2D">
        <w:rPr>
          <w:rFonts w:asciiTheme="minorHAnsi" w:hAnsiTheme="minorHAnsi"/>
        </w:rPr>
        <w:t xml:space="preserve"> used within each PA a, and may vary by PA within the BPAC-subcategory stratum</w:t>
      </w:r>
      <w:r w:rsidRPr="00730E2D">
        <w:rPr>
          <w:rFonts w:asciiTheme="minorHAnsi" w:hAnsiTheme="minorHAnsi"/>
        </w:rPr>
        <w:t>.</w:t>
      </w:r>
    </w:p>
    <w:p w:rsidR="00C14217" w:rsidRPr="00730E2D" w:rsidRDefault="00C14217" w:rsidP="00730E2D">
      <w:pPr>
        <w:jc w:val="both"/>
        <w:rPr>
          <w:rFonts w:asciiTheme="minorHAnsi" w:hAnsiTheme="minorHAnsi"/>
        </w:rPr>
      </w:pPr>
    </w:p>
    <w:p w:rsidR="00C14217" w:rsidRPr="00730E2D" w:rsidRDefault="00C14217" w:rsidP="00730E2D">
      <w:pPr>
        <w:jc w:val="both"/>
        <w:rPr>
          <w:rFonts w:asciiTheme="minorHAnsi" w:hAnsiTheme="minorHAnsi"/>
        </w:rPr>
      </w:pPr>
      <w:r w:rsidRPr="00730E2D">
        <w:rPr>
          <w:rFonts w:asciiTheme="minorHAnsi" w:hAnsiTheme="minorHAnsi"/>
        </w:rPr>
        <w:t>This verification ratio is calculated at the BPAC-Subcategory level rather than for individual PAs because the onsite sample size for individual PAs will be small.  Moreover, for the verification ratio, the onsite outcome v and the phone-based outcome y are both calculated consistently across PAs.  It is therefore reasonable to produce a single ratio across PAs.</w:t>
      </w:r>
    </w:p>
    <w:p w:rsidR="00C14217" w:rsidRPr="00730E2D" w:rsidRDefault="00C14217" w:rsidP="00730E2D">
      <w:pPr>
        <w:ind w:firstLine="720"/>
        <w:jc w:val="both"/>
        <w:rPr>
          <w:rFonts w:asciiTheme="minorHAnsi" w:hAnsiTheme="minorHAnsi"/>
          <w:b/>
        </w:rPr>
      </w:pPr>
    </w:p>
    <w:p w:rsidR="00C14217" w:rsidRPr="00730E2D" w:rsidRDefault="00C14217" w:rsidP="00730E2D">
      <w:pPr>
        <w:spacing w:after="240"/>
        <w:jc w:val="both"/>
        <w:rPr>
          <w:rFonts w:asciiTheme="minorHAnsi" w:hAnsiTheme="minorHAnsi"/>
          <w:b/>
        </w:rPr>
      </w:pPr>
      <w:r w:rsidRPr="00730E2D">
        <w:rPr>
          <w:rFonts w:asciiTheme="minorHAnsi" w:hAnsiTheme="minorHAnsi"/>
          <w:b/>
        </w:rPr>
        <w:t>Applying the Onsite Verification Factor</w:t>
      </w:r>
    </w:p>
    <w:p w:rsidR="004C223A" w:rsidRPr="00730E2D" w:rsidRDefault="00C14217" w:rsidP="00730E2D">
      <w:pPr>
        <w:jc w:val="both"/>
        <w:rPr>
          <w:rFonts w:asciiTheme="minorHAnsi" w:hAnsiTheme="minorHAnsi"/>
        </w:rPr>
      </w:pPr>
      <w:r w:rsidRPr="00730E2D">
        <w:rPr>
          <w:rFonts w:asciiTheme="minorHAnsi" w:hAnsiTheme="minorHAnsi"/>
        </w:rPr>
        <w:t>For each PA a, the PA-specific phone-based ratio R</w:t>
      </w:r>
      <w:r w:rsidRPr="00730E2D">
        <w:rPr>
          <w:rFonts w:asciiTheme="minorHAnsi" w:hAnsiTheme="minorHAnsi"/>
          <w:vertAlign w:val="subscript"/>
        </w:rPr>
        <w:t>a</w:t>
      </w:r>
      <w:r w:rsidRPr="00730E2D">
        <w:rPr>
          <w:rFonts w:asciiTheme="minorHAnsi" w:hAnsiTheme="minorHAnsi"/>
          <w:vertAlign w:val="superscript"/>
        </w:rPr>
        <w:t>^</w:t>
      </w:r>
      <w:r w:rsidRPr="00730E2D">
        <w:rPr>
          <w:rFonts w:asciiTheme="minorHAnsi" w:hAnsiTheme="minorHAnsi"/>
        </w:rPr>
        <w:t xml:space="preserve"> </w:t>
      </w:r>
      <w:r w:rsidR="004C223A" w:rsidRPr="00730E2D">
        <w:rPr>
          <w:rFonts w:asciiTheme="minorHAnsi" w:hAnsiTheme="minorHAnsi"/>
        </w:rPr>
        <w:t>together with the known denominator total x</w:t>
      </w:r>
      <w:r w:rsidR="004C223A" w:rsidRPr="00730E2D">
        <w:rPr>
          <w:rFonts w:asciiTheme="minorHAnsi" w:hAnsiTheme="minorHAnsi"/>
          <w:vertAlign w:val="subscript"/>
        </w:rPr>
        <w:t>Ta</w:t>
      </w:r>
      <w:r w:rsidR="004C223A" w:rsidRPr="00730E2D">
        <w:rPr>
          <w:rFonts w:asciiTheme="minorHAnsi" w:hAnsiTheme="minorHAnsi"/>
        </w:rPr>
        <w:t xml:space="preserve"> </w:t>
      </w:r>
      <w:r w:rsidRPr="00730E2D">
        <w:rPr>
          <w:rFonts w:asciiTheme="minorHAnsi" w:hAnsiTheme="minorHAnsi"/>
        </w:rPr>
        <w:t>provides an estimate of the outcome of interest y</w:t>
      </w:r>
      <w:r w:rsidRPr="00730E2D">
        <w:rPr>
          <w:rFonts w:asciiTheme="minorHAnsi" w:hAnsiTheme="minorHAnsi"/>
          <w:vertAlign w:val="subscript"/>
        </w:rPr>
        <w:t>Ta</w:t>
      </w:r>
      <w:r w:rsidRPr="00730E2D">
        <w:rPr>
          <w:rFonts w:asciiTheme="minorHAnsi" w:hAnsiTheme="minorHAnsi"/>
        </w:rPr>
        <w:t xml:space="preserve"> for that PA, as indicated above.  These PA-level estimates are combined into </w:t>
      </w:r>
      <w:r w:rsidR="009E3ABD" w:rsidRPr="00730E2D">
        <w:rPr>
          <w:rFonts w:asciiTheme="minorHAnsi" w:hAnsiTheme="minorHAnsi"/>
        </w:rPr>
        <w:t xml:space="preserve">stratum- or </w:t>
      </w:r>
      <w:r w:rsidRPr="00730E2D">
        <w:rPr>
          <w:rFonts w:asciiTheme="minorHAnsi" w:hAnsiTheme="minorHAnsi"/>
        </w:rPr>
        <w:t>BPAC-level estimates using the Stage 1 ratio expansion</w:t>
      </w:r>
      <w:r w:rsidR="004C223A" w:rsidRPr="00730E2D">
        <w:rPr>
          <w:rFonts w:asciiTheme="minorHAnsi" w:hAnsiTheme="minorHAnsi"/>
        </w:rPr>
        <w:t xml:space="preserve"> described above</w:t>
      </w:r>
      <w:r w:rsidRPr="00730E2D">
        <w:rPr>
          <w:rFonts w:asciiTheme="minorHAnsi" w:hAnsiTheme="minorHAnsi"/>
        </w:rPr>
        <w:t xml:space="preserve">, to produce </w:t>
      </w:r>
      <w:r w:rsidR="009E3ABD" w:rsidRPr="00730E2D">
        <w:rPr>
          <w:rFonts w:asciiTheme="minorHAnsi" w:hAnsiTheme="minorHAnsi"/>
        </w:rPr>
        <w:t xml:space="preserve">stratum- or </w:t>
      </w:r>
      <w:r w:rsidRPr="00730E2D">
        <w:rPr>
          <w:rFonts w:asciiTheme="minorHAnsi" w:hAnsiTheme="minorHAnsi"/>
        </w:rPr>
        <w:t>BPAC-level phone-based totals Y</w:t>
      </w:r>
      <w:r w:rsidRPr="00730E2D">
        <w:rPr>
          <w:rFonts w:asciiTheme="minorHAnsi" w:hAnsiTheme="minorHAnsi"/>
          <w:vertAlign w:val="subscript"/>
        </w:rPr>
        <w:t>TOTp</w:t>
      </w:r>
      <w:r w:rsidRPr="00730E2D">
        <w:rPr>
          <w:rFonts w:asciiTheme="minorHAnsi" w:hAnsiTheme="minorHAnsi"/>
        </w:rPr>
        <w:t xml:space="preserve">.  </w:t>
      </w:r>
    </w:p>
    <w:p w:rsidR="004C223A" w:rsidRPr="00730E2D" w:rsidRDefault="004C223A" w:rsidP="00730E2D">
      <w:pPr>
        <w:jc w:val="both"/>
        <w:rPr>
          <w:rFonts w:asciiTheme="minorHAnsi" w:hAnsiTheme="minorHAnsi"/>
        </w:rPr>
      </w:pPr>
    </w:p>
    <w:p w:rsidR="00C14217" w:rsidRPr="00730E2D" w:rsidRDefault="004C223A" w:rsidP="00730E2D">
      <w:pPr>
        <w:jc w:val="both"/>
        <w:rPr>
          <w:rFonts w:asciiTheme="minorHAnsi" w:hAnsiTheme="minorHAnsi"/>
        </w:rPr>
      </w:pPr>
      <w:r w:rsidRPr="00730E2D">
        <w:rPr>
          <w:rFonts w:asciiTheme="minorHAnsi" w:hAnsiTheme="minorHAnsi"/>
        </w:rPr>
        <w:t xml:space="preserve">For strata that have onsite subsamples, the Stage 1 aggregation is conducted at the stratum level, to produce stratum totals </w:t>
      </w:r>
      <w:r w:rsidR="00A00539" w:rsidRPr="00730E2D">
        <w:rPr>
          <w:rFonts w:asciiTheme="minorHAnsi" w:hAnsiTheme="minorHAnsi"/>
        </w:rPr>
        <w:t>Y</w:t>
      </w:r>
      <w:r w:rsidRPr="00730E2D">
        <w:rPr>
          <w:rFonts w:asciiTheme="minorHAnsi" w:hAnsiTheme="minorHAnsi"/>
          <w:vertAlign w:val="subscript"/>
        </w:rPr>
        <w:t>TOTp</w:t>
      </w:r>
      <w:r w:rsidRPr="00730E2D">
        <w:rPr>
          <w:rFonts w:asciiTheme="minorHAnsi" w:hAnsiTheme="minorHAnsi"/>
        </w:rPr>
        <w:t xml:space="preserve">.  Each such </w:t>
      </w:r>
      <w:r w:rsidR="00C14217" w:rsidRPr="00730E2D">
        <w:rPr>
          <w:rFonts w:asciiTheme="minorHAnsi" w:hAnsiTheme="minorHAnsi"/>
        </w:rPr>
        <w:t xml:space="preserve">total is then multiplied by the </w:t>
      </w:r>
      <w:r w:rsidR="009E3ABD" w:rsidRPr="00730E2D">
        <w:rPr>
          <w:rFonts w:asciiTheme="minorHAnsi" w:hAnsiTheme="minorHAnsi"/>
        </w:rPr>
        <w:t xml:space="preserve">corresponding </w:t>
      </w:r>
      <w:r w:rsidR="00C14217" w:rsidRPr="00730E2D">
        <w:rPr>
          <w:rFonts w:asciiTheme="minorHAnsi" w:hAnsiTheme="minorHAnsi"/>
        </w:rPr>
        <w:t>verification ratio based on the onsite subsample</w:t>
      </w:r>
      <w:r w:rsidRPr="00730E2D">
        <w:rPr>
          <w:rFonts w:asciiTheme="minorHAnsi" w:hAnsiTheme="minorHAnsi"/>
        </w:rPr>
        <w:t>,</w:t>
      </w:r>
      <w:r w:rsidR="00C14217" w:rsidRPr="00730E2D">
        <w:rPr>
          <w:rFonts w:asciiTheme="minorHAnsi" w:hAnsiTheme="minorHAnsi"/>
        </w:rPr>
        <w:t xml:space="preserve"> to produce the final adjusted estimate:</w:t>
      </w:r>
    </w:p>
    <w:p w:rsidR="00C14217" w:rsidRPr="00730E2D" w:rsidRDefault="00C14217" w:rsidP="00730E2D">
      <w:pPr>
        <w:ind w:firstLine="720"/>
        <w:jc w:val="both"/>
        <w:rPr>
          <w:rFonts w:asciiTheme="minorHAnsi" w:hAnsiTheme="minorHAnsi"/>
        </w:rPr>
      </w:pPr>
    </w:p>
    <w:p w:rsidR="00C14217" w:rsidRPr="00730E2D" w:rsidRDefault="00C14217" w:rsidP="00730E2D">
      <w:pPr>
        <w:ind w:firstLine="720"/>
        <w:jc w:val="both"/>
        <w:rPr>
          <w:rFonts w:asciiTheme="minorHAnsi" w:hAnsiTheme="minorHAnsi"/>
          <w:vertAlign w:val="subscript"/>
        </w:rPr>
      </w:pPr>
      <w:r w:rsidRPr="00730E2D">
        <w:rPr>
          <w:rFonts w:asciiTheme="minorHAnsi" w:hAnsiTheme="minorHAnsi"/>
        </w:rPr>
        <w:t>Y</w:t>
      </w:r>
      <w:r w:rsidRPr="00730E2D">
        <w:rPr>
          <w:rFonts w:asciiTheme="minorHAnsi" w:hAnsiTheme="minorHAnsi"/>
          <w:vertAlign w:val="subscript"/>
        </w:rPr>
        <w:t>TOTv</w:t>
      </w:r>
      <w:r w:rsidRPr="00730E2D">
        <w:rPr>
          <w:rFonts w:asciiTheme="minorHAnsi" w:hAnsiTheme="minorHAnsi"/>
        </w:rPr>
        <w:t xml:space="preserve"> = R</w:t>
      </w:r>
      <w:r w:rsidRPr="00730E2D">
        <w:rPr>
          <w:rFonts w:asciiTheme="minorHAnsi" w:hAnsiTheme="minorHAnsi"/>
          <w:vertAlign w:val="superscript"/>
        </w:rPr>
        <w:t>^</w:t>
      </w:r>
      <w:r w:rsidRPr="00730E2D">
        <w:rPr>
          <w:rFonts w:asciiTheme="minorHAnsi" w:hAnsiTheme="minorHAnsi"/>
          <w:vertAlign w:val="subscript"/>
        </w:rPr>
        <w:t>v</w:t>
      </w:r>
      <w:r w:rsidRPr="00730E2D">
        <w:rPr>
          <w:rFonts w:asciiTheme="minorHAnsi" w:hAnsiTheme="minorHAnsi"/>
        </w:rPr>
        <w:t xml:space="preserve"> Y</w:t>
      </w:r>
      <w:r w:rsidRPr="00730E2D">
        <w:rPr>
          <w:rFonts w:asciiTheme="minorHAnsi" w:hAnsiTheme="minorHAnsi"/>
          <w:vertAlign w:val="subscript"/>
        </w:rPr>
        <w:t>TOTp.</w:t>
      </w:r>
    </w:p>
    <w:p w:rsidR="00C14217" w:rsidRPr="00730E2D" w:rsidRDefault="00C14217" w:rsidP="00730E2D">
      <w:pPr>
        <w:ind w:firstLine="720"/>
        <w:jc w:val="both"/>
        <w:rPr>
          <w:rFonts w:asciiTheme="minorHAnsi" w:hAnsiTheme="minorHAnsi"/>
          <w:vertAlign w:val="subscript"/>
        </w:rPr>
      </w:pPr>
    </w:p>
    <w:p w:rsidR="00C14217" w:rsidRPr="00730E2D" w:rsidRDefault="009E3ABD" w:rsidP="00730E2D">
      <w:pPr>
        <w:jc w:val="both"/>
        <w:rPr>
          <w:rFonts w:asciiTheme="minorHAnsi" w:hAnsiTheme="minorHAnsi"/>
        </w:rPr>
      </w:pPr>
      <w:r w:rsidRPr="00730E2D">
        <w:rPr>
          <w:rFonts w:asciiTheme="minorHAnsi" w:hAnsiTheme="minorHAnsi"/>
        </w:rPr>
        <w:t>BPAC totals are then calculated as the sum of the Subcategory totals for each BPAC.</w:t>
      </w:r>
      <w:r w:rsidR="00730E2D">
        <w:rPr>
          <w:rFonts w:asciiTheme="minorHAnsi" w:hAnsiTheme="minorHAnsi"/>
        </w:rPr>
        <w:t xml:space="preserve">  </w:t>
      </w:r>
      <w:r w:rsidR="00C14217" w:rsidRPr="00730E2D">
        <w:rPr>
          <w:rFonts w:asciiTheme="minorHAnsi" w:hAnsiTheme="minorHAnsi"/>
        </w:rPr>
        <w:t>For those outcomes for which the onsite subsample does not provide a verification adjustment, the phone-based estimate will be the final estimate.</w:t>
      </w:r>
    </w:p>
    <w:p w:rsidR="009E3ABD" w:rsidRPr="00730E2D" w:rsidRDefault="009E3ABD" w:rsidP="00730E2D">
      <w:pPr>
        <w:jc w:val="both"/>
        <w:rPr>
          <w:rFonts w:asciiTheme="minorHAnsi" w:hAnsiTheme="minorHAnsi"/>
        </w:rPr>
      </w:pPr>
    </w:p>
    <w:p w:rsidR="00C14217" w:rsidRPr="00730E2D" w:rsidRDefault="00C14217" w:rsidP="00730E2D">
      <w:pPr>
        <w:spacing w:after="240"/>
        <w:jc w:val="both"/>
        <w:rPr>
          <w:rFonts w:asciiTheme="minorHAnsi" w:hAnsiTheme="minorHAnsi"/>
          <w:b/>
          <w:i/>
        </w:rPr>
      </w:pPr>
      <w:r w:rsidRPr="00730E2D">
        <w:rPr>
          <w:rFonts w:asciiTheme="minorHAnsi" w:hAnsiTheme="minorHAnsi"/>
          <w:b/>
          <w:i/>
        </w:rPr>
        <w:t>Degree of accuracy and sample sizes needed for the purpose described in the justification</w:t>
      </w:r>
    </w:p>
    <w:p w:rsidR="009E3ABD" w:rsidRPr="00730E2D" w:rsidRDefault="009E3ABD" w:rsidP="009E3ABD">
      <w:pPr>
        <w:rPr>
          <w:rFonts w:asciiTheme="minorHAnsi" w:hAnsiTheme="minorHAnsi"/>
          <w:b/>
          <w:i/>
        </w:rPr>
      </w:pPr>
      <w:r w:rsidRPr="00730E2D">
        <w:rPr>
          <w:rFonts w:asciiTheme="minorHAnsi" w:hAnsiTheme="minorHAnsi"/>
          <w:b/>
        </w:rPr>
        <w:t xml:space="preserve">STAGE 1 AND STAGE 2 ACCURACY </w:t>
      </w:r>
    </w:p>
    <w:p w:rsidR="00C14217" w:rsidRPr="00730E2D" w:rsidRDefault="00C14217" w:rsidP="00C14217">
      <w:pPr>
        <w:rPr>
          <w:rFonts w:asciiTheme="minorHAnsi" w:hAnsiTheme="minorHAnsi"/>
          <w:b/>
        </w:rPr>
      </w:pPr>
    </w:p>
    <w:p w:rsidR="00C14217" w:rsidRPr="00730E2D" w:rsidRDefault="009E3ABD" w:rsidP="00580575">
      <w:pPr>
        <w:jc w:val="both"/>
        <w:rPr>
          <w:rFonts w:asciiTheme="minorHAnsi" w:hAnsiTheme="minorHAnsi"/>
        </w:rPr>
      </w:pPr>
      <w:r w:rsidRPr="00730E2D">
        <w:rPr>
          <w:rFonts w:asciiTheme="minorHAnsi" w:hAnsiTheme="minorHAnsi"/>
        </w:rPr>
        <w:t xml:space="preserve">Both the Stage 1 and Stage 2 sample expansions rely on ratio estimation.  </w:t>
      </w:r>
      <w:r w:rsidR="00C14217" w:rsidRPr="00730E2D">
        <w:rPr>
          <w:rFonts w:asciiTheme="minorHAnsi" w:hAnsiTheme="minorHAnsi"/>
        </w:rPr>
        <w:t xml:space="preserve">The relative precision of a ratio estimator is determined by the </w:t>
      </w:r>
      <w:r w:rsidR="00C14217" w:rsidRPr="00730E2D">
        <w:rPr>
          <w:rFonts w:asciiTheme="minorHAnsi" w:hAnsiTheme="minorHAnsi"/>
          <w:i/>
        </w:rPr>
        <w:t xml:space="preserve">error ratio.  </w:t>
      </w:r>
      <w:r w:rsidR="00C14217" w:rsidRPr="00730E2D">
        <w:rPr>
          <w:rFonts w:asciiTheme="minorHAnsi" w:hAnsiTheme="minorHAnsi"/>
        </w:rPr>
        <w:t xml:space="preserve"> The error ratio is the ratio-based equivalent of a coefficient of variation (CV).  The CV measures the variability (standard deviation, or root-mean-square difference) of individual y values around their mean value, as a fraction of that mean value.  Similarly, the error ratio measures the variability (root mean square difference) of individual y values from the ratio line y = Rx, as a fraction of the mean y value.  Thus, to estimate the precision that can be achieved by the planned sample sizes, or conversely the sample sizes necessary to achieve a given precision level, it is necessary to know the error ratios for the sample components.  </w:t>
      </w:r>
    </w:p>
    <w:p w:rsidR="00C14217" w:rsidRPr="00730E2D" w:rsidRDefault="00C14217" w:rsidP="00580575">
      <w:pPr>
        <w:jc w:val="both"/>
        <w:rPr>
          <w:rFonts w:asciiTheme="minorHAnsi" w:hAnsiTheme="minorHAnsi"/>
        </w:rPr>
      </w:pPr>
    </w:p>
    <w:p w:rsidR="00C14217" w:rsidRPr="00730E2D" w:rsidRDefault="00C14217" w:rsidP="00580575">
      <w:pPr>
        <w:jc w:val="both"/>
        <w:rPr>
          <w:rFonts w:asciiTheme="minorHAnsi" w:hAnsiTheme="minorHAnsi"/>
        </w:rPr>
      </w:pPr>
      <w:r w:rsidRPr="00730E2D">
        <w:rPr>
          <w:rFonts w:asciiTheme="minorHAnsi" w:hAnsiTheme="minorHAnsi"/>
        </w:rPr>
        <w:t>In practice, error ratios cannot be determined until after the data are collected.  The sample design and projected precision are therefore based on error ratios assumed based on past experience with similar work.</w:t>
      </w:r>
    </w:p>
    <w:p w:rsidR="00C14217" w:rsidRPr="00730E2D" w:rsidRDefault="00C14217" w:rsidP="00580575">
      <w:pPr>
        <w:jc w:val="both"/>
        <w:rPr>
          <w:rFonts w:asciiTheme="minorHAnsi" w:hAnsiTheme="minorHAnsi"/>
        </w:rPr>
      </w:pPr>
    </w:p>
    <w:p w:rsidR="00C14217" w:rsidRPr="00730E2D" w:rsidRDefault="00C14217" w:rsidP="00580575">
      <w:pPr>
        <w:jc w:val="both"/>
        <w:rPr>
          <w:rFonts w:asciiTheme="minorHAnsi" w:hAnsiTheme="minorHAnsi"/>
        </w:rPr>
      </w:pPr>
      <w:r w:rsidRPr="00730E2D">
        <w:rPr>
          <w:rFonts w:asciiTheme="minorHAnsi" w:hAnsiTheme="minorHAnsi"/>
        </w:rPr>
        <w:t xml:space="preserve">The Evaluation Team has extensive experience in applying this kind of analysis to all of the types of measures and delivery mechanisms encompassed by SEP PAs.  Based on this experience, </w:t>
      </w:r>
      <w:r w:rsidR="003A7106" w:rsidRPr="00730E2D">
        <w:rPr>
          <w:rFonts w:asciiTheme="minorHAnsi" w:hAnsiTheme="minorHAnsi"/>
        </w:rPr>
        <w:t>DOE</w:t>
      </w:r>
      <w:r w:rsidRPr="00730E2D">
        <w:rPr>
          <w:rFonts w:asciiTheme="minorHAnsi" w:hAnsiTheme="minorHAnsi"/>
        </w:rPr>
        <w:t xml:space="preserve"> make</w:t>
      </w:r>
      <w:r w:rsidR="001E2D19" w:rsidRPr="00730E2D">
        <w:rPr>
          <w:rFonts w:asciiTheme="minorHAnsi" w:hAnsiTheme="minorHAnsi"/>
        </w:rPr>
        <w:t>s</w:t>
      </w:r>
      <w:r w:rsidRPr="00730E2D">
        <w:rPr>
          <w:rFonts w:asciiTheme="minorHAnsi" w:hAnsiTheme="minorHAnsi"/>
        </w:rPr>
        <w:t xml:space="preserve"> the following assumptions.  </w:t>
      </w:r>
      <w:r w:rsidR="003A7106" w:rsidRPr="00730E2D">
        <w:rPr>
          <w:rFonts w:asciiTheme="minorHAnsi" w:hAnsiTheme="minorHAnsi"/>
        </w:rPr>
        <w:t>DOE</w:t>
      </w:r>
      <w:r w:rsidRPr="00730E2D">
        <w:rPr>
          <w:rFonts w:asciiTheme="minorHAnsi" w:hAnsiTheme="minorHAnsi"/>
        </w:rPr>
        <w:t xml:space="preserve"> expect</w:t>
      </w:r>
      <w:r w:rsidR="001E2D19" w:rsidRPr="00730E2D">
        <w:rPr>
          <w:rFonts w:asciiTheme="minorHAnsi" w:hAnsiTheme="minorHAnsi"/>
        </w:rPr>
        <w:t>s</w:t>
      </w:r>
      <w:r w:rsidRPr="00730E2D">
        <w:rPr>
          <w:rFonts w:asciiTheme="minorHAnsi" w:hAnsiTheme="minorHAnsi"/>
        </w:rPr>
        <w:t xml:space="preserve"> these assumptions to be on the conservative side in general.</w:t>
      </w:r>
    </w:p>
    <w:p w:rsidR="00C14217" w:rsidRPr="00730E2D" w:rsidRDefault="00C14217" w:rsidP="00580575">
      <w:pPr>
        <w:jc w:val="both"/>
        <w:rPr>
          <w:rFonts w:asciiTheme="minorHAnsi" w:hAnsiTheme="minorHAnsi"/>
        </w:rPr>
      </w:pPr>
    </w:p>
    <w:p w:rsidR="00C14217" w:rsidRPr="00730E2D" w:rsidRDefault="00C14217" w:rsidP="00580575">
      <w:pPr>
        <w:ind w:left="720"/>
        <w:jc w:val="both"/>
        <w:rPr>
          <w:rFonts w:asciiTheme="minorHAnsi" w:hAnsiTheme="minorHAnsi"/>
        </w:rPr>
      </w:pPr>
      <w:r w:rsidRPr="00730E2D">
        <w:rPr>
          <w:rFonts w:asciiTheme="minorHAnsi" w:hAnsiTheme="minorHAnsi"/>
        </w:rPr>
        <w:t>Stage 1 error ratios, all BPACs:  1.0</w:t>
      </w:r>
    </w:p>
    <w:p w:rsidR="00C14217" w:rsidRPr="00730E2D" w:rsidRDefault="00C14217" w:rsidP="00580575">
      <w:pPr>
        <w:ind w:left="720"/>
        <w:jc w:val="both"/>
        <w:rPr>
          <w:rFonts w:asciiTheme="minorHAnsi" w:hAnsiTheme="minorHAnsi"/>
        </w:rPr>
      </w:pPr>
      <w:r w:rsidRPr="00730E2D">
        <w:rPr>
          <w:rFonts w:asciiTheme="minorHAnsi" w:hAnsiTheme="minorHAnsi"/>
        </w:rPr>
        <w:t>Stage 2 error ratios, all Stage 2 CATI samples: 0.8</w:t>
      </w:r>
    </w:p>
    <w:p w:rsidR="00C14217" w:rsidRPr="00730E2D" w:rsidRDefault="00C14217" w:rsidP="00580575">
      <w:pPr>
        <w:ind w:left="720"/>
        <w:jc w:val="both"/>
        <w:rPr>
          <w:rFonts w:asciiTheme="minorHAnsi" w:hAnsiTheme="minorHAnsi"/>
        </w:rPr>
      </w:pPr>
      <w:r w:rsidRPr="00730E2D">
        <w:rPr>
          <w:rFonts w:asciiTheme="minorHAnsi" w:hAnsiTheme="minorHAnsi"/>
        </w:rPr>
        <w:t>Stage 2 error ratios, onsite vs CATI: 0.8</w:t>
      </w:r>
    </w:p>
    <w:p w:rsidR="00C14217" w:rsidRPr="00730E2D" w:rsidRDefault="00C14217" w:rsidP="00580575">
      <w:pPr>
        <w:ind w:left="720"/>
        <w:jc w:val="both"/>
        <w:rPr>
          <w:rFonts w:asciiTheme="minorHAnsi" w:hAnsiTheme="minorHAnsi"/>
        </w:rPr>
      </w:pPr>
    </w:p>
    <w:p w:rsidR="009E3ABD" w:rsidRPr="00730E2D" w:rsidRDefault="009E3ABD" w:rsidP="00580575">
      <w:pPr>
        <w:jc w:val="both"/>
        <w:rPr>
          <w:rFonts w:asciiTheme="minorHAnsi" w:hAnsiTheme="minorHAnsi"/>
        </w:rPr>
      </w:pPr>
      <w:r w:rsidRPr="00730E2D">
        <w:rPr>
          <w:rFonts w:asciiTheme="minorHAnsi" w:hAnsiTheme="minorHAnsi"/>
        </w:rPr>
        <w:t>For purposes of projecting the accuracy that will be achieved, the Stage 1 error ratio assumed is the variability of true PA-level savings within the BPAC or stratum.  The observed variability will be higher, since it will include estimation error for each PA.</w:t>
      </w:r>
    </w:p>
    <w:p w:rsidR="009E3ABD" w:rsidRPr="00730E2D" w:rsidRDefault="009E3ABD" w:rsidP="00580575">
      <w:pPr>
        <w:jc w:val="both"/>
        <w:rPr>
          <w:rFonts w:asciiTheme="minorHAnsi" w:hAnsiTheme="minorHAnsi"/>
        </w:rPr>
      </w:pPr>
    </w:p>
    <w:p w:rsidR="00C14217" w:rsidRPr="00730E2D" w:rsidRDefault="00C14217" w:rsidP="00580575">
      <w:pPr>
        <w:jc w:val="both"/>
        <w:rPr>
          <w:rFonts w:asciiTheme="minorHAnsi" w:hAnsiTheme="minorHAnsi"/>
        </w:rPr>
      </w:pPr>
      <w:r w:rsidRPr="00730E2D">
        <w:rPr>
          <w:rFonts w:asciiTheme="minorHAnsi" w:hAnsiTheme="minorHAnsi"/>
        </w:rPr>
        <w:t xml:space="preserve">The Stage 1 error ratios reflect the variability across PAs in a given BPAC of the </w:t>
      </w:r>
      <w:r w:rsidR="009E3ABD" w:rsidRPr="00730E2D">
        <w:rPr>
          <w:rFonts w:asciiTheme="minorHAnsi" w:hAnsiTheme="minorHAnsi"/>
        </w:rPr>
        <w:t xml:space="preserve">(true) </w:t>
      </w:r>
      <w:r w:rsidRPr="00730E2D">
        <w:rPr>
          <w:rFonts w:asciiTheme="minorHAnsi" w:hAnsiTheme="minorHAnsi"/>
        </w:rPr>
        <w:t xml:space="preserve">savings per program dollar.  </w:t>
      </w:r>
      <w:r w:rsidR="003A7106" w:rsidRPr="00730E2D">
        <w:rPr>
          <w:rFonts w:asciiTheme="minorHAnsi" w:hAnsiTheme="minorHAnsi"/>
        </w:rPr>
        <w:t>DOE</w:t>
      </w:r>
      <w:r w:rsidRPr="00730E2D">
        <w:rPr>
          <w:rFonts w:asciiTheme="minorHAnsi" w:hAnsiTheme="minorHAnsi"/>
        </w:rPr>
        <w:t xml:space="preserve"> anticipate</w:t>
      </w:r>
      <w:r w:rsidR="001E2D19" w:rsidRPr="00730E2D">
        <w:rPr>
          <w:rFonts w:asciiTheme="minorHAnsi" w:hAnsiTheme="minorHAnsi"/>
        </w:rPr>
        <w:t>s</w:t>
      </w:r>
      <w:r w:rsidRPr="00730E2D">
        <w:rPr>
          <w:rFonts w:asciiTheme="minorHAnsi" w:hAnsiTheme="minorHAnsi"/>
        </w:rPr>
        <w:t xml:space="preserve"> a fair amount of variability in the amount of leveraging of funds, and in the effectiveness of program structures and operations across the different PAs in the different states.  </w:t>
      </w:r>
      <w:r w:rsidR="003A7106" w:rsidRPr="00730E2D">
        <w:rPr>
          <w:rFonts w:asciiTheme="minorHAnsi" w:hAnsiTheme="minorHAnsi"/>
        </w:rPr>
        <w:t>DOE</w:t>
      </w:r>
      <w:r w:rsidRPr="00730E2D">
        <w:rPr>
          <w:rFonts w:asciiTheme="minorHAnsi" w:hAnsiTheme="minorHAnsi"/>
        </w:rPr>
        <w:t xml:space="preserve"> therefore assume</w:t>
      </w:r>
      <w:r w:rsidR="001E2D19" w:rsidRPr="00730E2D">
        <w:rPr>
          <w:rFonts w:asciiTheme="minorHAnsi" w:hAnsiTheme="minorHAnsi"/>
        </w:rPr>
        <w:t>s</w:t>
      </w:r>
      <w:r w:rsidRPr="00730E2D">
        <w:rPr>
          <w:rFonts w:asciiTheme="minorHAnsi" w:hAnsiTheme="minorHAnsi"/>
        </w:rPr>
        <w:t xml:space="preserve"> a relatively high value for the Stage 1 error ratio.</w:t>
      </w:r>
      <w:r w:rsidR="009E3ABD" w:rsidRPr="00730E2D">
        <w:rPr>
          <w:rFonts w:asciiTheme="minorHAnsi" w:hAnsiTheme="minorHAnsi"/>
        </w:rPr>
        <w:t xml:space="preserve">  </w:t>
      </w:r>
    </w:p>
    <w:p w:rsidR="00C14217" w:rsidRPr="00730E2D" w:rsidRDefault="00C14217" w:rsidP="00580575">
      <w:pPr>
        <w:jc w:val="both"/>
        <w:rPr>
          <w:rFonts w:asciiTheme="minorHAnsi" w:hAnsiTheme="minorHAnsi"/>
        </w:rPr>
      </w:pPr>
    </w:p>
    <w:p w:rsidR="009E3ABD" w:rsidRPr="00730E2D" w:rsidRDefault="00C14217" w:rsidP="00580575">
      <w:pPr>
        <w:jc w:val="both"/>
        <w:rPr>
          <w:rFonts w:asciiTheme="minorHAnsi" w:hAnsiTheme="minorHAnsi"/>
        </w:rPr>
      </w:pPr>
      <w:r w:rsidRPr="00730E2D">
        <w:rPr>
          <w:rFonts w:asciiTheme="minorHAnsi" w:hAnsiTheme="minorHAnsi"/>
        </w:rPr>
        <w:t xml:space="preserve">The Stage 2 CATI error ratios are based on experience from prior work with evaluations of individual programs.  The assumption of an error ratio of 0.8 typically provides reasonable and adequate sample sizes for situations where the “y” variable is savings based on confirmed installation and operations, and the “x” variable is a tracking estimate of savings.  </w:t>
      </w:r>
    </w:p>
    <w:p w:rsidR="009E3ABD" w:rsidRPr="00730E2D" w:rsidRDefault="009E3ABD" w:rsidP="00580575">
      <w:pPr>
        <w:jc w:val="both"/>
        <w:rPr>
          <w:rFonts w:asciiTheme="minorHAnsi" w:hAnsiTheme="minorHAnsi"/>
        </w:rPr>
      </w:pPr>
    </w:p>
    <w:p w:rsidR="00C14217" w:rsidRPr="00730E2D" w:rsidRDefault="009E3ABD" w:rsidP="00580575">
      <w:pPr>
        <w:jc w:val="both"/>
        <w:rPr>
          <w:rFonts w:asciiTheme="minorHAnsi" w:hAnsiTheme="minorHAnsi"/>
        </w:rPr>
      </w:pPr>
      <w:r w:rsidRPr="00730E2D">
        <w:rPr>
          <w:rFonts w:asciiTheme="minorHAnsi" w:hAnsiTheme="minorHAnsi"/>
        </w:rPr>
        <w:t xml:space="preserve">For the Stage 2 onsite vs CATI ratios, </w:t>
      </w:r>
      <w:r w:rsidR="003A7106" w:rsidRPr="00730E2D">
        <w:rPr>
          <w:rFonts w:asciiTheme="minorHAnsi" w:hAnsiTheme="minorHAnsi"/>
        </w:rPr>
        <w:t>DOE</w:t>
      </w:r>
      <w:r w:rsidRPr="00730E2D">
        <w:rPr>
          <w:rFonts w:asciiTheme="minorHAnsi" w:hAnsiTheme="minorHAnsi"/>
        </w:rPr>
        <w:t xml:space="preserve"> assume</w:t>
      </w:r>
      <w:r w:rsidR="001E2D19" w:rsidRPr="00730E2D">
        <w:rPr>
          <w:rFonts w:asciiTheme="minorHAnsi" w:hAnsiTheme="minorHAnsi"/>
        </w:rPr>
        <w:t>s</w:t>
      </w:r>
      <w:r w:rsidRPr="00730E2D">
        <w:rPr>
          <w:rFonts w:asciiTheme="minorHAnsi" w:hAnsiTheme="minorHAnsi"/>
        </w:rPr>
        <w:t xml:space="preserve"> the onsite to CATI relationship has the same level of variability as that for</w:t>
      </w:r>
      <w:r w:rsidR="00C14217" w:rsidRPr="00730E2D">
        <w:rPr>
          <w:rFonts w:asciiTheme="minorHAnsi" w:hAnsiTheme="minorHAnsi"/>
        </w:rPr>
        <w:t xml:space="preserve"> the relationship between the phone outcome and PA-specific Measure of Size within each PA</w:t>
      </w:r>
      <w:r w:rsidRPr="00730E2D">
        <w:rPr>
          <w:rFonts w:asciiTheme="minorHAnsi" w:hAnsiTheme="minorHAnsi"/>
        </w:rPr>
        <w:t>.</w:t>
      </w:r>
      <w:r w:rsidR="00C14217" w:rsidRPr="00730E2D">
        <w:rPr>
          <w:rFonts w:asciiTheme="minorHAnsi" w:hAnsiTheme="minorHAnsi"/>
        </w:rPr>
        <w:t xml:space="preserve">  On the one hand, </w:t>
      </w:r>
      <w:r w:rsidR="003A7106" w:rsidRPr="00730E2D">
        <w:rPr>
          <w:rFonts w:asciiTheme="minorHAnsi" w:hAnsiTheme="minorHAnsi"/>
        </w:rPr>
        <w:t>DOE</w:t>
      </w:r>
      <w:r w:rsidR="00C14217" w:rsidRPr="00730E2D">
        <w:rPr>
          <w:rFonts w:asciiTheme="minorHAnsi" w:hAnsiTheme="minorHAnsi"/>
        </w:rPr>
        <w:t xml:space="preserve"> generally expect</w:t>
      </w:r>
      <w:r w:rsidR="001E2D19" w:rsidRPr="00730E2D">
        <w:rPr>
          <w:rFonts w:asciiTheme="minorHAnsi" w:hAnsiTheme="minorHAnsi"/>
        </w:rPr>
        <w:t>s</w:t>
      </w:r>
      <w:r w:rsidR="00C14217" w:rsidRPr="00730E2D">
        <w:rPr>
          <w:rFonts w:asciiTheme="minorHAnsi" w:hAnsiTheme="minorHAnsi"/>
        </w:rPr>
        <w:t xml:space="preserve"> fairly close agreement between the outcomes based on the</w:t>
      </w:r>
      <w:r w:rsidRPr="00730E2D">
        <w:rPr>
          <w:rFonts w:asciiTheme="minorHAnsi" w:hAnsiTheme="minorHAnsi"/>
        </w:rPr>
        <w:t xml:space="preserve"> onsite and phone</w:t>
      </w:r>
      <w:r w:rsidR="00C14217" w:rsidRPr="00730E2D">
        <w:rPr>
          <w:rFonts w:asciiTheme="minorHAnsi" w:hAnsiTheme="minorHAnsi"/>
        </w:rPr>
        <w:t xml:space="preserve"> sources.  On the other hand, the onsite:phone verification ratio will be estimated across all PAs for a particular BPAC-Subcategory cell.  Thus, the variability around the overall ratio line for that cell may be greater than it would be within a single PA.</w:t>
      </w:r>
    </w:p>
    <w:p w:rsidR="00C14217" w:rsidRPr="00730E2D" w:rsidRDefault="00C14217" w:rsidP="00580575">
      <w:pPr>
        <w:jc w:val="both"/>
        <w:rPr>
          <w:rFonts w:asciiTheme="minorHAnsi" w:hAnsiTheme="minorHAnsi"/>
        </w:rPr>
      </w:pPr>
    </w:p>
    <w:p w:rsidR="00C14217" w:rsidRPr="00730E2D" w:rsidRDefault="00C14217" w:rsidP="00580575">
      <w:pPr>
        <w:jc w:val="both"/>
        <w:rPr>
          <w:rFonts w:asciiTheme="minorHAnsi" w:hAnsiTheme="minorHAnsi"/>
        </w:rPr>
      </w:pPr>
      <w:r w:rsidRPr="00730E2D">
        <w:rPr>
          <w:rFonts w:asciiTheme="minorHAnsi" w:hAnsiTheme="minorHAnsi"/>
        </w:rPr>
        <w:t xml:space="preserve">The relative standard error (RSE) of the estimate (standard error divided by the estimate) is related to the error ratio </w:t>
      </w:r>
      <w:r w:rsidRPr="00730E2D">
        <w:rPr>
          <w:rFonts w:asciiTheme="minorHAnsi" w:hAnsiTheme="minorHAnsi"/>
          <w:i/>
        </w:rPr>
        <w:t xml:space="preserve">er </w:t>
      </w:r>
      <w:r w:rsidRPr="00730E2D">
        <w:rPr>
          <w:rFonts w:asciiTheme="minorHAnsi" w:hAnsiTheme="minorHAnsi"/>
        </w:rPr>
        <w:t>by</w:t>
      </w:r>
    </w:p>
    <w:p w:rsidR="00C14217" w:rsidRPr="00730E2D" w:rsidRDefault="00C14217" w:rsidP="00580575">
      <w:pPr>
        <w:jc w:val="both"/>
        <w:rPr>
          <w:rFonts w:asciiTheme="minorHAnsi" w:hAnsiTheme="minorHAnsi"/>
        </w:rPr>
      </w:pPr>
    </w:p>
    <w:p w:rsidR="00C14217" w:rsidRPr="00730E2D" w:rsidRDefault="00C14217" w:rsidP="00580575">
      <w:pPr>
        <w:ind w:left="720"/>
        <w:jc w:val="both"/>
        <w:rPr>
          <w:rFonts w:asciiTheme="minorHAnsi" w:hAnsiTheme="minorHAnsi"/>
        </w:rPr>
      </w:pPr>
      <w:r w:rsidRPr="00730E2D">
        <w:rPr>
          <w:rFonts w:asciiTheme="minorHAnsi" w:hAnsiTheme="minorHAnsi"/>
        </w:rPr>
        <w:t>RSE</w:t>
      </w:r>
      <w:r w:rsidRPr="00730E2D">
        <w:rPr>
          <w:rFonts w:asciiTheme="minorHAnsi" w:hAnsiTheme="minorHAnsi"/>
          <w:vertAlign w:val="superscript"/>
        </w:rPr>
        <w:t>2</w:t>
      </w:r>
      <w:r w:rsidRPr="00730E2D">
        <w:rPr>
          <w:rFonts w:asciiTheme="minorHAnsi" w:hAnsiTheme="minorHAnsi"/>
        </w:rPr>
        <w:t xml:space="preserve"> = (1-n/N)</w:t>
      </w:r>
      <w:r w:rsidRPr="00730E2D">
        <w:rPr>
          <w:rFonts w:asciiTheme="minorHAnsi" w:hAnsiTheme="minorHAnsi"/>
          <w:i/>
        </w:rPr>
        <w:t>er</w:t>
      </w:r>
      <w:r w:rsidRPr="00730E2D">
        <w:rPr>
          <w:rFonts w:asciiTheme="minorHAnsi" w:hAnsiTheme="minorHAnsi"/>
          <w:i/>
          <w:vertAlign w:val="superscript"/>
        </w:rPr>
        <w:t>2</w:t>
      </w:r>
      <w:r w:rsidRPr="00730E2D">
        <w:rPr>
          <w:rFonts w:asciiTheme="minorHAnsi" w:hAnsiTheme="minorHAnsi"/>
          <w:i/>
        </w:rPr>
        <w:t>/</w:t>
      </w:r>
      <w:r w:rsidRPr="00730E2D">
        <w:rPr>
          <w:rFonts w:asciiTheme="minorHAnsi" w:hAnsiTheme="minorHAnsi"/>
        </w:rPr>
        <w:t>n</w:t>
      </w:r>
    </w:p>
    <w:p w:rsidR="00C14217" w:rsidRPr="00730E2D" w:rsidRDefault="00C14217" w:rsidP="00580575">
      <w:pPr>
        <w:jc w:val="both"/>
        <w:rPr>
          <w:rFonts w:asciiTheme="minorHAnsi" w:hAnsiTheme="minorHAnsi"/>
        </w:rPr>
      </w:pPr>
    </w:p>
    <w:p w:rsidR="00C14217" w:rsidRPr="00730E2D" w:rsidRDefault="00C14217" w:rsidP="00580575">
      <w:pPr>
        <w:jc w:val="both"/>
        <w:rPr>
          <w:rFonts w:asciiTheme="minorHAnsi" w:hAnsiTheme="minorHAnsi"/>
        </w:rPr>
      </w:pPr>
      <w:r w:rsidRPr="00730E2D">
        <w:rPr>
          <w:rFonts w:asciiTheme="minorHAnsi" w:hAnsiTheme="minorHAnsi"/>
        </w:rPr>
        <w:t>where n is the sample size and N is the population size.</w:t>
      </w:r>
    </w:p>
    <w:p w:rsidR="00C14217" w:rsidRPr="00730E2D" w:rsidRDefault="00C14217" w:rsidP="00580575">
      <w:pPr>
        <w:jc w:val="both"/>
        <w:rPr>
          <w:rFonts w:asciiTheme="minorHAnsi" w:hAnsiTheme="minorHAnsi"/>
        </w:rPr>
      </w:pPr>
    </w:p>
    <w:p w:rsidR="00C14217" w:rsidRPr="00730E2D" w:rsidRDefault="00C14217" w:rsidP="00580575">
      <w:pPr>
        <w:jc w:val="both"/>
        <w:rPr>
          <w:rFonts w:asciiTheme="minorHAnsi" w:hAnsiTheme="minorHAnsi"/>
        </w:rPr>
      </w:pPr>
      <w:r w:rsidRPr="00730E2D">
        <w:rPr>
          <w:rFonts w:asciiTheme="minorHAnsi" w:hAnsiTheme="minorHAnsi"/>
        </w:rPr>
        <w:t xml:space="preserve">In the context of the 2-stage sampling used here, the total variance is the sum of the between-PA and within-PA contributions to variance.  Since the within-PA population sizes are unknown, </w:t>
      </w:r>
      <w:r w:rsidR="003A7106" w:rsidRPr="00730E2D">
        <w:rPr>
          <w:rFonts w:asciiTheme="minorHAnsi" w:hAnsiTheme="minorHAnsi"/>
        </w:rPr>
        <w:t>DOE</w:t>
      </w:r>
      <w:r w:rsidRPr="00730E2D">
        <w:rPr>
          <w:rFonts w:asciiTheme="minorHAnsi" w:hAnsiTheme="minorHAnsi"/>
        </w:rPr>
        <w:t xml:space="preserve"> assume</w:t>
      </w:r>
      <w:r w:rsidR="003A7106" w:rsidRPr="00730E2D">
        <w:rPr>
          <w:rFonts w:asciiTheme="minorHAnsi" w:hAnsiTheme="minorHAnsi"/>
        </w:rPr>
        <w:t>s</w:t>
      </w:r>
      <w:r w:rsidRPr="00730E2D">
        <w:rPr>
          <w:rFonts w:asciiTheme="minorHAnsi" w:hAnsiTheme="minorHAnsi"/>
        </w:rPr>
        <w:t xml:space="preserve"> they are large enough to ignore the finite population correction factor (1-n/N)</w:t>
      </w:r>
      <w:r w:rsidR="00E0539E" w:rsidRPr="00730E2D">
        <w:rPr>
          <w:rFonts w:asciiTheme="minorHAnsi" w:hAnsiTheme="minorHAnsi"/>
        </w:rPr>
        <w:t xml:space="preserve"> for the Stage 2 samples</w:t>
      </w:r>
      <w:r w:rsidRPr="00730E2D">
        <w:rPr>
          <w:rFonts w:asciiTheme="minorHAnsi" w:hAnsiTheme="minorHAnsi"/>
        </w:rPr>
        <w:t>.  This is a conservative assumption.  For many of the PAs evaluated, the Stage 2 CATI sample will be a near census of the completed projects, and there will be minimal contribution to variance from this source.</w:t>
      </w:r>
    </w:p>
    <w:p w:rsidR="00C14217" w:rsidRPr="00730E2D" w:rsidRDefault="00C14217" w:rsidP="00580575">
      <w:pPr>
        <w:jc w:val="both"/>
        <w:rPr>
          <w:rFonts w:asciiTheme="minorHAnsi" w:hAnsiTheme="minorHAnsi"/>
        </w:rPr>
      </w:pPr>
    </w:p>
    <w:p w:rsidR="00C14217" w:rsidRPr="00730E2D" w:rsidRDefault="00C14217" w:rsidP="00580575">
      <w:pPr>
        <w:jc w:val="both"/>
        <w:rPr>
          <w:rFonts w:asciiTheme="minorHAnsi" w:hAnsiTheme="minorHAnsi"/>
        </w:rPr>
      </w:pPr>
      <w:r w:rsidRPr="00730E2D">
        <w:rPr>
          <w:rFonts w:asciiTheme="minorHAnsi" w:hAnsiTheme="minorHAnsi"/>
        </w:rPr>
        <w:t>The onsite sample is a subsample of the Stage 2 phone sample.  As a result, the onsite:phone verification ratio R</w:t>
      </w:r>
      <w:r w:rsidRPr="00730E2D">
        <w:rPr>
          <w:rFonts w:asciiTheme="minorHAnsi" w:hAnsiTheme="minorHAnsi"/>
          <w:vertAlign w:val="subscript"/>
        </w:rPr>
        <w:t>v</w:t>
      </w:r>
      <w:r w:rsidRPr="00730E2D">
        <w:rPr>
          <w:rFonts w:asciiTheme="minorHAnsi" w:hAnsiTheme="minorHAnsi"/>
          <w:vertAlign w:val="superscript"/>
        </w:rPr>
        <w:t>^</w:t>
      </w:r>
      <w:r w:rsidRPr="00730E2D">
        <w:rPr>
          <w:rFonts w:asciiTheme="minorHAnsi" w:hAnsiTheme="minorHAnsi"/>
        </w:rPr>
        <w:t xml:space="preserve"> based on the onsite sample alone and the phone-based outcome to MOS ratios R</w:t>
      </w:r>
      <w:r w:rsidRPr="00730E2D">
        <w:rPr>
          <w:rFonts w:asciiTheme="minorHAnsi" w:hAnsiTheme="minorHAnsi"/>
          <w:vertAlign w:val="superscript"/>
        </w:rPr>
        <w:t>^</w:t>
      </w:r>
      <w:r w:rsidRPr="00730E2D">
        <w:rPr>
          <w:rFonts w:asciiTheme="minorHAnsi" w:hAnsiTheme="minorHAnsi"/>
          <w:vertAlign w:val="subscript"/>
        </w:rPr>
        <w:t>a</w:t>
      </w:r>
      <w:r w:rsidRPr="00730E2D">
        <w:rPr>
          <w:rFonts w:asciiTheme="minorHAnsi" w:hAnsiTheme="minorHAnsi"/>
        </w:rPr>
        <w:t xml:space="preserve"> are not strictly speaking independent.  However, </w:t>
      </w:r>
      <w:r w:rsidR="003A7106" w:rsidRPr="00730E2D">
        <w:rPr>
          <w:rFonts w:asciiTheme="minorHAnsi" w:hAnsiTheme="minorHAnsi"/>
        </w:rPr>
        <w:t>DOE</w:t>
      </w:r>
      <w:r w:rsidRPr="00730E2D">
        <w:rPr>
          <w:rFonts w:asciiTheme="minorHAnsi" w:hAnsiTheme="minorHAnsi"/>
        </w:rPr>
        <w:t xml:space="preserve"> assume</w:t>
      </w:r>
      <w:r w:rsidR="003A7106" w:rsidRPr="00730E2D">
        <w:rPr>
          <w:rFonts w:asciiTheme="minorHAnsi" w:hAnsiTheme="minorHAnsi"/>
        </w:rPr>
        <w:t>s</w:t>
      </w:r>
      <w:r w:rsidRPr="00730E2D">
        <w:rPr>
          <w:rFonts w:asciiTheme="minorHAnsi" w:hAnsiTheme="minorHAnsi"/>
        </w:rPr>
        <w:t xml:space="preserve"> that the relationship between onsite- and phone-based outcomes is essentially independent of the relationship between phone-based outcomes and the MOS.  </w:t>
      </w:r>
      <w:r w:rsidR="003A7106" w:rsidRPr="00730E2D">
        <w:rPr>
          <w:rFonts w:asciiTheme="minorHAnsi" w:hAnsiTheme="minorHAnsi"/>
        </w:rPr>
        <w:t>DOE</w:t>
      </w:r>
      <w:r w:rsidRPr="00730E2D">
        <w:rPr>
          <w:rFonts w:asciiTheme="minorHAnsi" w:hAnsiTheme="minorHAnsi"/>
        </w:rPr>
        <w:t xml:space="preserve"> therefore treat</w:t>
      </w:r>
      <w:r w:rsidR="001E2D19" w:rsidRPr="00730E2D">
        <w:rPr>
          <w:rFonts w:asciiTheme="minorHAnsi" w:hAnsiTheme="minorHAnsi"/>
        </w:rPr>
        <w:t>s</w:t>
      </w:r>
      <w:r w:rsidRPr="00730E2D">
        <w:rPr>
          <w:rFonts w:asciiTheme="minorHAnsi" w:hAnsiTheme="minorHAnsi"/>
        </w:rPr>
        <w:t xml:space="preserve"> the 3 sets of ratios—Stage 1 outcome per program dollar</w:t>
      </w:r>
      <w:r w:rsidR="00E0539E" w:rsidRPr="00730E2D">
        <w:rPr>
          <w:rFonts w:asciiTheme="minorHAnsi" w:hAnsiTheme="minorHAnsi"/>
        </w:rPr>
        <w:t xml:space="preserve"> (R</w:t>
      </w:r>
      <w:r w:rsidR="00E0539E" w:rsidRPr="00730E2D">
        <w:rPr>
          <w:rFonts w:asciiTheme="minorHAnsi" w:hAnsiTheme="minorHAnsi"/>
          <w:vertAlign w:val="subscript"/>
        </w:rPr>
        <w:t>1</w:t>
      </w:r>
      <w:r w:rsidR="00E0539E" w:rsidRPr="00730E2D">
        <w:rPr>
          <w:rFonts w:asciiTheme="minorHAnsi" w:hAnsiTheme="minorHAnsi"/>
        </w:rPr>
        <w:t>)</w:t>
      </w:r>
      <w:r w:rsidRPr="00730E2D">
        <w:rPr>
          <w:rFonts w:asciiTheme="minorHAnsi" w:hAnsiTheme="minorHAnsi"/>
        </w:rPr>
        <w:t>, Stage 2 phone-based outcome per PA MOS</w:t>
      </w:r>
      <w:r w:rsidR="00E0539E" w:rsidRPr="00730E2D">
        <w:rPr>
          <w:rFonts w:asciiTheme="minorHAnsi" w:hAnsiTheme="minorHAnsi"/>
        </w:rPr>
        <w:t xml:space="preserve"> (R</w:t>
      </w:r>
      <w:r w:rsidR="00E0539E" w:rsidRPr="00730E2D">
        <w:rPr>
          <w:rFonts w:asciiTheme="minorHAnsi" w:hAnsiTheme="minorHAnsi"/>
          <w:vertAlign w:val="subscript"/>
        </w:rPr>
        <w:t>a</w:t>
      </w:r>
      <w:r w:rsidR="00E0539E" w:rsidRPr="00730E2D">
        <w:rPr>
          <w:rFonts w:asciiTheme="minorHAnsi" w:hAnsiTheme="minorHAnsi"/>
        </w:rPr>
        <w:t>)</w:t>
      </w:r>
      <w:r w:rsidRPr="00730E2D">
        <w:rPr>
          <w:rFonts w:asciiTheme="minorHAnsi" w:hAnsiTheme="minorHAnsi"/>
        </w:rPr>
        <w:t>, and Stage 2 onsite:</w:t>
      </w:r>
      <w:r w:rsidR="00B9584F" w:rsidRPr="00730E2D">
        <w:rPr>
          <w:rFonts w:asciiTheme="minorHAnsi" w:hAnsiTheme="minorHAnsi"/>
        </w:rPr>
        <w:t xml:space="preserve"> </w:t>
      </w:r>
      <w:r w:rsidRPr="00730E2D">
        <w:rPr>
          <w:rFonts w:asciiTheme="minorHAnsi" w:hAnsiTheme="minorHAnsi"/>
        </w:rPr>
        <w:t>phone verification ratio</w:t>
      </w:r>
      <w:r w:rsidR="00E0539E" w:rsidRPr="00730E2D">
        <w:rPr>
          <w:rFonts w:asciiTheme="minorHAnsi" w:hAnsiTheme="minorHAnsi"/>
        </w:rPr>
        <w:t xml:space="preserve"> (R</w:t>
      </w:r>
      <w:r w:rsidR="00E0539E" w:rsidRPr="00730E2D">
        <w:rPr>
          <w:rFonts w:asciiTheme="minorHAnsi" w:hAnsiTheme="minorHAnsi"/>
          <w:vertAlign w:val="subscript"/>
        </w:rPr>
        <w:t>v</w:t>
      </w:r>
      <w:r w:rsidR="00E0539E" w:rsidRPr="00730E2D">
        <w:rPr>
          <w:rFonts w:asciiTheme="minorHAnsi" w:hAnsiTheme="minorHAnsi"/>
        </w:rPr>
        <w:t>)</w:t>
      </w:r>
      <w:r w:rsidRPr="00730E2D">
        <w:rPr>
          <w:rFonts w:asciiTheme="minorHAnsi" w:hAnsiTheme="minorHAnsi"/>
        </w:rPr>
        <w:t xml:space="preserve">—as being independent.  </w:t>
      </w:r>
      <w:r w:rsidR="00EB70F8" w:rsidRPr="00730E2D">
        <w:rPr>
          <w:rFonts w:asciiTheme="minorHAnsi" w:hAnsiTheme="minorHAnsi"/>
        </w:rPr>
        <w:t xml:space="preserve">The combined </w:t>
      </w:r>
      <w:r w:rsidR="00E0539E" w:rsidRPr="00730E2D">
        <w:rPr>
          <w:rFonts w:asciiTheme="minorHAnsi" w:hAnsiTheme="minorHAnsi"/>
        </w:rPr>
        <w:t>effect of these errors</w:t>
      </w:r>
      <w:r w:rsidR="00EB70F8" w:rsidRPr="00730E2D">
        <w:rPr>
          <w:rFonts w:asciiTheme="minorHAnsi" w:hAnsiTheme="minorHAnsi"/>
        </w:rPr>
        <w:t xml:space="preserve"> is therefore the sum of these three terms’ contributions to variance. </w:t>
      </w:r>
      <w:r w:rsidR="003A7106" w:rsidRPr="00730E2D">
        <w:rPr>
          <w:rFonts w:asciiTheme="minorHAnsi" w:hAnsiTheme="minorHAnsi"/>
        </w:rPr>
        <w:t>DOE</w:t>
      </w:r>
      <w:r w:rsidRPr="00730E2D">
        <w:rPr>
          <w:rFonts w:asciiTheme="minorHAnsi" w:hAnsiTheme="minorHAnsi"/>
        </w:rPr>
        <w:t xml:space="preserve"> combine</w:t>
      </w:r>
      <w:r w:rsidR="003A7106" w:rsidRPr="00730E2D">
        <w:rPr>
          <w:rFonts w:asciiTheme="minorHAnsi" w:hAnsiTheme="minorHAnsi"/>
        </w:rPr>
        <w:t>s</w:t>
      </w:r>
      <w:r w:rsidRPr="00730E2D">
        <w:rPr>
          <w:rFonts w:asciiTheme="minorHAnsi" w:hAnsiTheme="minorHAnsi"/>
        </w:rPr>
        <w:t xml:space="preserve"> them using the approximation</w:t>
      </w:r>
    </w:p>
    <w:p w:rsidR="00C14217" w:rsidRPr="00730E2D" w:rsidRDefault="00C14217" w:rsidP="00580575">
      <w:pPr>
        <w:jc w:val="both"/>
        <w:rPr>
          <w:rFonts w:asciiTheme="minorHAnsi" w:hAnsiTheme="minorHAnsi"/>
        </w:rPr>
      </w:pPr>
    </w:p>
    <w:p w:rsidR="00C14217" w:rsidRPr="00730E2D" w:rsidRDefault="00C14217" w:rsidP="00C14217">
      <w:pPr>
        <w:ind w:left="720"/>
        <w:rPr>
          <w:rFonts w:asciiTheme="minorHAnsi" w:hAnsiTheme="minorHAnsi"/>
        </w:rPr>
      </w:pPr>
      <w:r w:rsidRPr="00730E2D">
        <w:rPr>
          <w:rFonts w:asciiTheme="minorHAnsi" w:hAnsiTheme="minorHAnsi"/>
        </w:rPr>
        <w:t>RSE(</w:t>
      </w:r>
      <w:r w:rsidR="00EB70F8" w:rsidRPr="00730E2D">
        <w:rPr>
          <w:rFonts w:asciiTheme="minorHAnsi" w:hAnsiTheme="minorHAnsi"/>
        </w:rPr>
        <w:t>Y</w:t>
      </w:r>
      <w:r w:rsidR="00EB70F8" w:rsidRPr="00730E2D">
        <w:rPr>
          <w:rFonts w:asciiTheme="minorHAnsi" w:hAnsiTheme="minorHAnsi"/>
          <w:vertAlign w:val="subscript"/>
        </w:rPr>
        <w:t>TOT</w:t>
      </w:r>
      <w:r w:rsidRPr="00730E2D">
        <w:rPr>
          <w:rFonts w:asciiTheme="minorHAnsi" w:hAnsiTheme="minorHAnsi"/>
        </w:rPr>
        <w:t xml:space="preserve">) </w:t>
      </w:r>
      <w:r w:rsidRPr="00730E2D">
        <w:rPr>
          <w:rFonts w:asciiTheme="minorHAnsi" w:hAnsiTheme="minorHAnsi"/>
          <w:u w:val="single"/>
        </w:rPr>
        <w:t>~</w:t>
      </w:r>
      <w:r w:rsidRPr="00730E2D">
        <w:rPr>
          <w:rFonts w:asciiTheme="minorHAnsi" w:hAnsiTheme="minorHAnsi"/>
        </w:rPr>
        <w:t xml:space="preserve"> [RSE(R</w:t>
      </w:r>
      <w:r w:rsidRPr="00730E2D">
        <w:rPr>
          <w:rFonts w:asciiTheme="minorHAnsi" w:hAnsiTheme="minorHAnsi"/>
          <w:vertAlign w:val="subscript"/>
        </w:rPr>
        <w:t>1</w:t>
      </w:r>
      <w:r w:rsidRPr="00730E2D">
        <w:rPr>
          <w:rFonts w:asciiTheme="minorHAnsi" w:hAnsiTheme="minorHAnsi"/>
        </w:rPr>
        <w:t>)</w:t>
      </w:r>
      <w:r w:rsidRPr="00730E2D">
        <w:rPr>
          <w:rFonts w:asciiTheme="minorHAnsi" w:hAnsiTheme="minorHAnsi"/>
          <w:vertAlign w:val="superscript"/>
        </w:rPr>
        <w:t>2</w:t>
      </w:r>
      <w:r w:rsidRPr="00730E2D">
        <w:rPr>
          <w:rFonts w:asciiTheme="minorHAnsi" w:hAnsiTheme="minorHAnsi"/>
        </w:rPr>
        <w:t>+ RSE(R</w:t>
      </w:r>
      <w:r w:rsidRPr="00730E2D">
        <w:rPr>
          <w:rFonts w:asciiTheme="minorHAnsi" w:hAnsiTheme="minorHAnsi"/>
          <w:vertAlign w:val="subscript"/>
        </w:rPr>
        <w:t>a</w:t>
      </w:r>
      <w:r w:rsidRPr="00730E2D">
        <w:rPr>
          <w:rFonts w:asciiTheme="minorHAnsi" w:hAnsiTheme="minorHAnsi"/>
        </w:rPr>
        <w:t>)</w:t>
      </w:r>
      <w:r w:rsidRPr="00730E2D">
        <w:rPr>
          <w:rFonts w:asciiTheme="minorHAnsi" w:hAnsiTheme="minorHAnsi"/>
          <w:vertAlign w:val="superscript"/>
        </w:rPr>
        <w:t>2</w:t>
      </w:r>
      <w:r w:rsidRPr="00730E2D">
        <w:rPr>
          <w:rFonts w:asciiTheme="minorHAnsi" w:hAnsiTheme="minorHAnsi"/>
        </w:rPr>
        <w:t>+ RSE(R</w:t>
      </w:r>
      <w:r w:rsidRPr="00730E2D">
        <w:rPr>
          <w:rFonts w:asciiTheme="minorHAnsi" w:hAnsiTheme="minorHAnsi"/>
          <w:vertAlign w:val="subscript"/>
        </w:rPr>
        <w:t>v</w:t>
      </w:r>
      <w:r w:rsidRPr="00730E2D">
        <w:rPr>
          <w:rFonts w:asciiTheme="minorHAnsi" w:hAnsiTheme="minorHAnsi"/>
        </w:rPr>
        <w:t>)</w:t>
      </w:r>
      <w:r w:rsidRPr="00730E2D">
        <w:rPr>
          <w:rFonts w:asciiTheme="minorHAnsi" w:hAnsiTheme="minorHAnsi"/>
          <w:vertAlign w:val="superscript"/>
        </w:rPr>
        <w:t>2</w:t>
      </w:r>
      <w:r w:rsidRPr="00730E2D">
        <w:rPr>
          <w:rFonts w:asciiTheme="minorHAnsi" w:hAnsiTheme="minorHAnsi"/>
        </w:rPr>
        <w:t>]</w:t>
      </w:r>
      <w:r w:rsidRPr="00730E2D">
        <w:rPr>
          <w:rFonts w:asciiTheme="minorHAnsi" w:hAnsiTheme="minorHAnsi"/>
          <w:vertAlign w:val="superscript"/>
        </w:rPr>
        <w:t>1/2</w:t>
      </w:r>
      <w:r w:rsidRPr="00730E2D">
        <w:rPr>
          <w:rFonts w:asciiTheme="minorHAnsi" w:hAnsiTheme="minorHAnsi"/>
        </w:rPr>
        <w:t>.</w:t>
      </w:r>
    </w:p>
    <w:p w:rsidR="00C14217" w:rsidRPr="00730E2D" w:rsidRDefault="00C14217" w:rsidP="00C14217">
      <w:pPr>
        <w:rPr>
          <w:rFonts w:asciiTheme="minorHAnsi" w:hAnsiTheme="minorHAnsi"/>
        </w:rPr>
      </w:pPr>
    </w:p>
    <w:p w:rsidR="00C14217" w:rsidRPr="00730E2D" w:rsidRDefault="00C14217" w:rsidP="00C14217">
      <w:pPr>
        <w:rPr>
          <w:rFonts w:asciiTheme="minorHAnsi" w:hAnsiTheme="minorHAnsi"/>
        </w:rPr>
      </w:pPr>
      <w:r w:rsidRPr="00730E2D">
        <w:rPr>
          <w:rFonts w:asciiTheme="minorHAnsi" w:hAnsiTheme="minorHAnsi"/>
        </w:rPr>
        <w:t xml:space="preserve">Thus, for those BPAC-Subcategory cells that have no Stage 2 statistical sample, the </w:t>
      </w:r>
      <w:r w:rsidR="00EB70F8" w:rsidRPr="00730E2D">
        <w:rPr>
          <w:rFonts w:asciiTheme="minorHAnsi" w:hAnsiTheme="minorHAnsi"/>
        </w:rPr>
        <w:t xml:space="preserve">relative </w:t>
      </w:r>
      <w:r w:rsidRPr="00730E2D">
        <w:rPr>
          <w:rFonts w:asciiTheme="minorHAnsi" w:hAnsiTheme="minorHAnsi"/>
        </w:rPr>
        <w:t xml:space="preserve">precision of the estimate is given by </w:t>
      </w:r>
    </w:p>
    <w:p w:rsidR="00C14217" w:rsidRPr="00730E2D" w:rsidRDefault="00C14217" w:rsidP="00C14217">
      <w:pPr>
        <w:rPr>
          <w:rFonts w:asciiTheme="minorHAnsi" w:hAnsiTheme="minorHAnsi"/>
        </w:rPr>
      </w:pPr>
    </w:p>
    <w:p w:rsidR="00C14217" w:rsidRPr="00730E2D" w:rsidRDefault="00C14217" w:rsidP="00C14217">
      <w:pPr>
        <w:ind w:left="720"/>
        <w:rPr>
          <w:rFonts w:asciiTheme="minorHAnsi" w:hAnsiTheme="minorHAnsi"/>
          <w:i/>
          <w:vertAlign w:val="superscript"/>
        </w:rPr>
      </w:pPr>
      <w:r w:rsidRPr="00730E2D">
        <w:rPr>
          <w:rFonts w:asciiTheme="minorHAnsi" w:hAnsiTheme="minorHAnsi"/>
        </w:rPr>
        <w:t>RSE(Y</w:t>
      </w:r>
      <w:r w:rsidRPr="00730E2D">
        <w:rPr>
          <w:rFonts w:asciiTheme="minorHAnsi" w:hAnsiTheme="minorHAnsi"/>
          <w:vertAlign w:val="subscript"/>
        </w:rPr>
        <w:t>TOT</w:t>
      </w:r>
      <w:r w:rsidRPr="00730E2D">
        <w:rPr>
          <w:rFonts w:asciiTheme="minorHAnsi" w:hAnsiTheme="minorHAnsi"/>
        </w:rPr>
        <w:t>) = RSE(R</w:t>
      </w:r>
      <w:r w:rsidRPr="00730E2D">
        <w:rPr>
          <w:rFonts w:asciiTheme="minorHAnsi" w:hAnsiTheme="minorHAnsi"/>
          <w:vertAlign w:val="subscript"/>
        </w:rPr>
        <w:t>1</w:t>
      </w:r>
      <w:r w:rsidRPr="00730E2D">
        <w:rPr>
          <w:rFonts w:asciiTheme="minorHAnsi" w:hAnsiTheme="minorHAnsi"/>
        </w:rPr>
        <w:t xml:space="preserve">) = </w:t>
      </w:r>
      <w:r w:rsidRPr="00730E2D">
        <w:rPr>
          <w:rFonts w:asciiTheme="minorHAnsi" w:hAnsiTheme="minorHAnsi"/>
          <w:i/>
        </w:rPr>
        <w:t>er</w:t>
      </w:r>
      <w:r w:rsidRPr="00730E2D">
        <w:rPr>
          <w:rFonts w:asciiTheme="minorHAnsi" w:hAnsiTheme="minorHAnsi"/>
          <w:i/>
          <w:vertAlign w:val="subscript"/>
        </w:rPr>
        <w:t>1</w:t>
      </w:r>
      <w:r w:rsidRPr="00730E2D">
        <w:rPr>
          <w:rFonts w:asciiTheme="minorHAnsi" w:hAnsiTheme="minorHAnsi"/>
        </w:rPr>
        <w:t>[(1-n</w:t>
      </w:r>
      <w:r w:rsidRPr="00730E2D">
        <w:rPr>
          <w:rFonts w:asciiTheme="minorHAnsi" w:hAnsiTheme="minorHAnsi"/>
          <w:vertAlign w:val="subscript"/>
        </w:rPr>
        <w:t>1</w:t>
      </w:r>
      <w:r w:rsidRPr="00730E2D">
        <w:rPr>
          <w:rFonts w:asciiTheme="minorHAnsi" w:hAnsiTheme="minorHAnsi"/>
        </w:rPr>
        <w:t>/N</w:t>
      </w:r>
      <w:r w:rsidRPr="00730E2D">
        <w:rPr>
          <w:rFonts w:asciiTheme="minorHAnsi" w:hAnsiTheme="minorHAnsi"/>
          <w:vertAlign w:val="subscript"/>
        </w:rPr>
        <w:t>1</w:t>
      </w:r>
      <w:r w:rsidRPr="00730E2D">
        <w:rPr>
          <w:rFonts w:asciiTheme="minorHAnsi" w:hAnsiTheme="minorHAnsi"/>
        </w:rPr>
        <w:t>)</w:t>
      </w:r>
      <w:r w:rsidRPr="00730E2D">
        <w:rPr>
          <w:rFonts w:asciiTheme="minorHAnsi" w:hAnsiTheme="minorHAnsi"/>
          <w:i/>
        </w:rPr>
        <w:t>/</w:t>
      </w:r>
      <w:r w:rsidRPr="00730E2D">
        <w:rPr>
          <w:rFonts w:asciiTheme="minorHAnsi" w:hAnsiTheme="minorHAnsi"/>
        </w:rPr>
        <w:t>n</w:t>
      </w:r>
      <w:r w:rsidRPr="00730E2D">
        <w:rPr>
          <w:rFonts w:asciiTheme="minorHAnsi" w:hAnsiTheme="minorHAnsi"/>
          <w:vertAlign w:val="subscript"/>
        </w:rPr>
        <w:t>1</w:t>
      </w:r>
      <w:r w:rsidRPr="00730E2D">
        <w:rPr>
          <w:rFonts w:asciiTheme="minorHAnsi" w:hAnsiTheme="minorHAnsi"/>
        </w:rPr>
        <w:t>]</w:t>
      </w:r>
      <w:r w:rsidRPr="00730E2D">
        <w:rPr>
          <w:rFonts w:asciiTheme="minorHAnsi" w:hAnsiTheme="minorHAnsi"/>
          <w:vertAlign w:val="superscript"/>
        </w:rPr>
        <w:t>1/2</w:t>
      </w:r>
    </w:p>
    <w:p w:rsidR="00C14217" w:rsidRPr="00730E2D" w:rsidRDefault="00C14217" w:rsidP="00C14217">
      <w:pPr>
        <w:rPr>
          <w:rFonts w:asciiTheme="minorHAnsi" w:hAnsiTheme="minorHAnsi"/>
        </w:rPr>
      </w:pPr>
    </w:p>
    <w:p w:rsidR="00C14217" w:rsidRPr="00730E2D" w:rsidRDefault="00C14217" w:rsidP="00C14217">
      <w:pPr>
        <w:rPr>
          <w:rFonts w:asciiTheme="minorHAnsi" w:hAnsiTheme="minorHAnsi"/>
        </w:rPr>
      </w:pPr>
      <w:r w:rsidRPr="00730E2D">
        <w:rPr>
          <w:rFonts w:asciiTheme="minorHAnsi" w:hAnsiTheme="minorHAnsi"/>
        </w:rPr>
        <w:t xml:space="preserve">where </w:t>
      </w:r>
      <w:r w:rsidRPr="00730E2D">
        <w:rPr>
          <w:rFonts w:asciiTheme="minorHAnsi" w:hAnsiTheme="minorHAnsi"/>
          <w:i/>
        </w:rPr>
        <w:t>er</w:t>
      </w:r>
      <w:r w:rsidRPr="00730E2D">
        <w:rPr>
          <w:rFonts w:asciiTheme="minorHAnsi" w:hAnsiTheme="minorHAnsi"/>
          <w:i/>
          <w:vertAlign w:val="subscript"/>
        </w:rPr>
        <w:t>1</w:t>
      </w:r>
      <w:r w:rsidRPr="00730E2D">
        <w:rPr>
          <w:rFonts w:asciiTheme="minorHAnsi" w:hAnsiTheme="minorHAnsi"/>
          <w:i/>
        </w:rPr>
        <w:t xml:space="preserve">, </w:t>
      </w:r>
      <w:r w:rsidRPr="00730E2D">
        <w:rPr>
          <w:rFonts w:asciiTheme="minorHAnsi" w:hAnsiTheme="minorHAnsi"/>
        </w:rPr>
        <w:t>n</w:t>
      </w:r>
      <w:r w:rsidRPr="00730E2D">
        <w:rPr>
          <w:rFonts w:asciiTheme="minorHAnsi" w:hAnsiTheme="minorHAnsi"/>
          <w:vertAlign w:val="subscript"/>
        </w:rPr>
        <w:t>1</w:t>
      </w:r>
      <w:r w:rsidRPr="00730E2D">
        <w:rPr>
          <w:rFonts w:asciiTheme="minorHAnsi" w:hAnsiTheme="minorHAnsi"/>
        </w:rPr>
        <w:t>, and N</w:t>
      </w:r>
      <w:r w:rsidRPr="00730E2D">
        <w:rPr>
          <w:rFonts w:asciiTheme="minorHAnsi" w:hAnsiTheme="minorHAnsi"/>
          <w:vertAlign w:val="subscript"/>
        </w:rPr>
        <w:t>1</w:t>
      </w:r>
      <w:r w:rsidRPr="00730E2D">
        <w:rPr>
          <w:rFonts w:asciiTheme="minorHAnsi" w:hAnsiTheme="minorHAnsi"/>
        </w:rPr>
        <w:t xml:space="preserve"> denote the Stage 1 error ratio, sample size, and population count, respectively.</w:t>
      </w:r>
    </w:p>
    <w:p w:rsidR="00C14217" w:rsidRPr="00730E2D" w:rsidRDefault="00C14217" w:rsidP="00C14217">
      <w:pPr>
        <w:ind w:left="720"/>
        <w:rPr>
          <w:rFonts w:asciiTheme="minorHAnsi" w:hAnsiTheme="minorHAnsi"/>
        </w:rPr>
      </w:pPr>
    </w:p>
    <w:p w:rsidR="00C14217" w:rsidRPr="00730E2D" w:rsidRDefault="00C14217" w:rsidP="00580575">
      <w:pPr>
        <w:jc w:val="both"/>
        <w:rPr>
          <w:rFonts w:asciiTheme="minorHAnsi" w:hAnsiTheme="minorHAnsi"/>
        </w:rPr>
      </w:pPr>
      <w:r w:rsidRPr="00730E2D">
        <w:rPr>
          <w:rFonts w:asciiTheme="minorHAnsi" w:hAnsiTheme="minorHAnsi"/>
        </w:rPr>
        <w:lastRenderedPageBreak/>
        <w:t xml:space="preserve">For those </w:t>
      </w:r>
      <w:r w:rsidR="00E0539E" w:rsidRPr="00730E2D">
        <w:rPr>
          <w:rFonts w:asciiTheme="minorHAnsi" w:hAnsiTheme="minorHAnsi"/>
        </w:rPr>
        <w:t>Stage 1strata</w:t>
      </w:r>
      <w:r w:rsidRPr="00730E2D">
        <w:rPr>
          <w:rFonts w:asciiTheme="minorHAnsi" w:hAnsiTheme="minorHAnsi"/>
        </w:rPr>
        <w:t xml:space="preserve"> that have a Stage 2 CATI sample but no onsite subsample, the </w:t>
      </w:r>
      <w:r w:rsidR="00EB70F8" w:rsidRPr="00730E2D">
        <w:rPr>
          <w:rFonts w:asciiTheme="minorHAnsi" w:hAnsiTheme="minorHAnsi"/>
        </w:rPr>
        <w:t xml:space="preserve">relative </w:t>
      </w:r>
      <w:r w:rsidRPr="00730E2D">
        <w:rPr>
          <w:rFonts w:asciiTheme="minorHAnsi" w:hAnsiTheme="minorHAnsi"/>
        </w:rPr>
        <w:t>precision of the estimate is given by</w:t>
      </w:r>
    </w:p>
    <w:p w:rsidR="00C14217" w:rsidRPr="00730E2D" w:rsidRDefault="00C14217" w:rsidP="00580575">
      <w:pPr>
        <w:jc w:val="both"/>
        <w:rPr>
          <w:rFonts w:asciiTheme="minorHAnsi" w:hAnsiTheme="minorHAnsi"/>
        </w:rPr>
      </w:pPr>
    </w:p>
    <w:p w:rsidR="00C14217" w:rsidRPr="00730E2D" w:rsidRDefault="00C14217" w:rsidP="00580575">
      <w:pPr>
        <w:ind w:left="720"/>
        <w:jc w:val="both"/>
        <w:rPr>
          <w:rFonts w:asciiTheme="minorHAnsi" w:hAnsiTheme="minorHAnsi"/>
        </w:rPr>
      </w:pPr>
      <w:r w:rsidRPr="00730E2D">
        <w:rPr>
          <w:rFonts w:asciiTheme="minorHAnsi" w:hAnsiTheme="minorHAnsi"/>
        </w:rPr>
        <w:t>RSE(</w:t>
      </w:r>
      <w:r w:rsidR="00EB70F8" w:rsidRPr="00730E2D">
        <w:rPr>
          <w:rFonts w:asciiTheme="minorHAnsi" w:hAnsiTheme="minorHAnsi"/>
        </w:rPr>
        <w:t>Y</w:t>
      </w:r>
      <w:r w:rsidR="00EB70F8" w:rsidRPr="00730E2D">
        <w:rPr>
          <w:rFonts w:asciiTheme="minorHAnsi" w:hAnsiTheme="minorHAnsi"/>
          <w:vertAlign w:val="subscript"/>
        </w:rPr>
        <w:t>TOT</w:t>
      </w:r>
      <w:r w:rsidRPr="00730E2D">
        <w:rPr>
          <w:rFonts w:asciiTheme="minorHAnsi" w:hAnsiTheme="minorHAnsi"/>
        </w:rPr>
        <w:t xml:space="preserve">) </w:t>
      </w:r>
      <w:r w:rsidRPr="00730E2D">
        <w:rPr>
          <w:rFonts w:asciiTheme="minorHAnsi" w:hAnsiTheme="minorHAnsi"/>
          <w:u w:val="single"/>
        </w:rPr>
        <w:t>~</w:t>
      </w:r>
      <w:r w:rsidRPr="00730E2D">
        <w:rPr>
          <w:rFonts w:asciiTheme="minorHAnsi" w:hAnsiTheme="minorHAnsi"/>
        </w:rPr>
        <w:t xml:space="preserve"> [RSE(R</w:t>
      </w:r>
      <w:r w:rsidRPr="00730E2D">
        <w:rPr>
          <w:rFonts w:asciiTheme="minorHAnsi" w:hAnsiTheme="minorHAnsi"/>
          <w:vertAlign w:val="subscript"/>
        </w:rPr>
        <w:t>1</w:t>
      </w:r>
      <w:r w:rsidRPr="00730E2D">
        <w:rPr>
          <w:rFonts w:asciiTheme="minorHAnsi" w:hAnsiTheme="minorHAnsi"/>
        </w:rPr>
        <w:t>)</w:t>
      </w:r>
      <w:r w:rsidRPr="00730E2D">
        <w:rPr>
          <w:rFonts w:asciiTheme="minorHAnsi" w:hAnsiTheme="minorHAnsi"/>
          <w:vertAlign w:val="superscript"/>
        </w:rPr>
        <w:t>2</w:t>
      </w:r>
      <w:r w:rsidRPr="00730E2D">
        <w:rPr>
          <w:rFonts w:asciiTheme="minorHAnsi" w:hAnsiTheme="minorHAnsi"/>
        </w:rPr>
        <w:t>+ RSE(R</w:t>
      </w:r>
      <w:r w:rsidRPr="00730E2D">
        <w:rPr>
          <w:rFonts w:asciiTheme="minorHAnsi" w:hAnsiTheme="minorHAnsi"/>
          <w:vertAlign w:val="subscript"/>
        </w:rPr>
        <w:t>2</w:t>
      </w:r>
      <w:r w:rsidRPr="00730E2D">
        <w:rPr>
          <w:rFonts w:asciiTheme="minorHAnsi" w:hAnsiTheme="minorHAnsi"/>
        </w:rPr>
        <w:t>)</w:t>
      </w:r>
      <w:r w:rsidRPr="00730E2D">
        <w:rPr>
          <w:rFonts w:asciiTheme="minorHAnsi" w:hAnsiTheme="minorHAnsi"/>
          <w:vertAlign w:val="superscript"/>
        </w:rPr>
        <w:t>2</w:t>
      </w:r>
      <w:r w:rsidRPr="00730E2D">
        <w:rPr>
          <w:rFonts w:asciiTheme="minorHAnsi" w:hAnsiTheme="minorHAnsi"/>
        </w:rPr>
        <w:t>]</w:t>
      </w:r>
      <w:r w:rsidRPr="00730E2D">
        <w:rPr>
          <w:rFonts w:asciiTheme="minorHAnsi" w:hAnsiTheme="minorHAnsi"/>
          <w:vertAlign w:val="superscript"/>
        </w:rPr>
        <w:t>1/2</w:t>
      </w:r>
    </w:p>
    <w:p w:rsidR="00C14217" w:rsidRPr="00730E2D" w:rsidRDefault="00C14217" w:rsidP="00580575">
      <w:pPr>
        <w:ind w:left="2160"/>
        <w:jc w:val="both"/>
        <w:rPr>
          <w:rFonts w:asciiTheme="minorHAnsi" w:hAnsiTheme="minorHAnsi"/>
          <w:vertAlign w:val="superscript"/>
        </w:rPr>
      </w:pPr>
      <w:r w:rsidRPr="00730E2D">
        <w:rPr>
          <w:rFonts w:asciiTheme="minorHAnsi" w:hAnsiTheme="minorHAnsi"/>
          <w:u w:val="single"/>
        </w:rPr>
        <w:t>~</w:t>
      </w:r>
      <w:r w:rsidRPr="00730E2D">
        <w:rPr>
          <w:rFonts w:asciiTheme="minorHAnsi" w:hAnsiTheme="minorHAnsi"/>
        </w:rPr>
        <w:t xml:space="preserve"> [(1-n</w:t>
      </w:r>
      <w:r w:rsidRPr="00730E2D">
        <w:rPr>
          <w:rFonts w:asciiTheme="minorHAnsi" w:hAnsiTheme="minorHAnsi"/>
          <w:vertAlign w:val="subscript"/>
        </w:rPr>
        <w:t>1</w:t>
      </w:r>
      <w:r w:rsidRPr="00730E2D">
        <w:rPr>
          <w:rFonts w:asciiTheme="minorHAnsi" w:hAnsiTheme="minorHAnsi"/>
        </w:rPr>
        <w:t>/N</w:t>
      </w:r>
      <w:r w:rsidRPr="00730E2D">
        <w:rPr>
          <w:rFonts w:asciiTheme="minorHAnsi" w:hAnsiTheme="minorHAnsi"/>
          <w:vertAlign w:val="subscript"/>
        </w:rPr>
        <w:t>1</w:t>
      </w:r>
      <w:r w:rsidRPr="00730E2D">
        <w:rPr>
          <w:rFonts w:asciiTheme="minorHAnsi" w:hAnsiTheme="minorHAnsi"/>
        </w:rPr>
        <w:t>)</w:t>
      </w:r>
      <w:r w:rsidRPr="00730E2D">
        <w:rPr>
          <w:rFonts w:asciiTheme="minorHAnsi" w:hAnsiTheme="minorHAnsi"/>
          <w:i/>
        </w:rPr>
        <w:t>er</w:t>
      </w:r>
      <w:r w:rsidRPr="00730E2D">
        <w:rPr>
          <w:rFonts w:asciiTheme="minorHAnsi" w:hAnsiTheme="minorHAnsi"/>
          <w:i/>
          <w:vertAlign w:val="subscript"/>
        </w:rPr>
        <w:t>1</w:t>
      </w:r>
      <w:r w:rsidRPr="00730E2D">
        <w:rPr>
          <w:rFonts w:asciiTheme="minorHAnsi" w:hAnsiTheme="minorHAnsi"/>
          <w:i/>
          <w:vertAlign w:val="superscript"/>
        </w:rPr>
        <w:t>2</w:t>
      </w:r>
      <w:r w:rsidRPr="00730E2D">
        <w:rPr>
          <w:rFonts w:asciiTheme="minorHAnsi" w:hAnsiTheme="minorHAnsi"/>
          <w:i/>
          <w:vertAlign w:val="subscript"/>
        </w:rPr>
        <w:t xml:space="preserve"> </w:t>
      </w:r>
      <w:r w:rsidRPr="00730E2D">
        <w:rPr>
          <w:rFonts w:asciiTheme="minorHAnsi" w:hAnsiTheme="minorHAnsi"/>
          <w:i/>
        </w:rPr>
        <w:t>/n</w:t>
      </w:r>
      <w:r w:rsidRPr="00730E2D">
        <w:rPr>
          <w:rFonts w:asciiTheme="minorHAnsi" w:hAnsiTheme="minorHAnsi"/>
          <w:i/>
          <w:vertAlign w:val="subscript"/>
        </w:rPr>
        <w:t>1</w:t>
      </w:r>
      <w:r w:rsidRPr="00730E2D">
        <w:rPr>
          <w:rFonts w:asciiTheme="minorHAnsi" w:hAnsiTheme="minorHAnsi"/>
        </w:rPr>
        <w:t xml:space="preserve"> + </w:t>
      </w:r>
      <w:r w:rsidRPr="00730E2D">
        <w:rPr>
          <w:rFonts w:asciiTheme="minorHAnsi" w:hAnsiTheme="minorHAnsi"/>
          <w:i/>
        </w:rPr>
        <w:t>er</w:t>
      </w:r>
      <w:r w:rsidRPr="00730E2D">
        <w:rPr>
          <w:rFonts w:asciiTheme="minorHAnsi" w:hAnsiTheme="minorHAnsi"/>
          <w:i/>
          <w:vertAlign w:val="subscript"/>
        </w:rPr>
        <w:t>2</w:t>
      </w:r>
      <w:r w:rsidRPr="00730E2D">
        <w:rPr>
          <w:rFonts w:asciiTheme="minorHAnsi" w:hAnsiTheme="minorHAnsi"/>
          <w:i/>
          <w:vertAlign w:val="superscript"/>
        </w:rPr>
        <w:t>2</w:t>
      </w:r>
      <w:r w:rsidRPr="00730E2D">
        <w:rPr>
          <w:rFonts w:asciiTheme="minorHAnsi" w:hAnsiTheme="minorHAnsi"/>
          <w:i/>
        </w:rPr>
        <w:t>/n</w:t>
      </w:r>
      <w:r w:rsidRPr="00730E2D">
        <w:rPr>
          <w:rFonts w:asciiTheme="minorHAnsi" w:hAnsiTheme="minorHAnsi"/>
          <w:i/>
          <w:vertAlign w:val="subscript"/>
        </w:rPr>
        <w:t>2</w:t>
      </w:r>
      <w:r w:rsidRPr="00730E2D">
        <w:rPr>
          <w:rFonts w:asciiTheme="minorHAnsi" w:hAnsiTheme="minorHAnsi"/>
        </w:rPr>
        <w:t>]</w:t>
      </w:r>
      <w:r w:rsidRPr="00730E2D">
        <w:rPr>
          <w:rFonts w:asciiTheme="minorHAnsi" w:hAnsiTheme="minorHAnsi"/>
          <w:vertAlign w:val="superscript"/>
        </w:rPr>
        <w:t>1/2</w:t>
      </w:r>
    </w:p>
    <w:p w:rsidR="00C14217" w:rsidRPr="00730E2D" w:rsidRDefault="00C14217" w:rsidP="00580575">
      <w:pPr>
        <w:jc w:val="both"/>
        <w:rPr>
          <w:rFonts w:asciiTheme="minorHAnsi" w:hAnsiTheme="minorHAnsi"/>
        </w:rPr>
      </w:pPr>
    </w:p>
    <w:p w:rsidR="00C14217" w:rsidRPr="00730E2D" w:rsidRDefault="00C14217" w:rsidP="00580575">
      <w:pPr>
        <w:jc w:val="both"/>
        <w:rPr>
          <w:rFonts w:asciiTheme="minorHAnsi" w:hAnsiTheme="minorHAnsi"/>
        </w:rPr>
      </w:pPr>
      <w:r w:rsidRPr="00730E2D">
        <w:rPr>
          <w:rFonts w:asciiTheme="minorHAnsi" w:hAnsiTheme="minorHAnsi"/>
        </w:rPr>
        <w:t xml:space="preserve">where </w:t>
      </w:r>
      <w:r w:rsidRPr="00730E2D">
        <w:rPr>
          <w:rFonts w:asciiTheme="minorHAnsi" w:hAnsiTheme="minorHAnsi"/>
          <w:i/>
        </w:rPr>
        <w:t>er</w:t>
      </w:r>
      <w:r w:rsidRPr="00730E2D">
        <w:rPr>
          <w:rFonts w:asciiTheme="minorHAnsi" w:hAnsiTheme="minorHAnsi"/>
          <w:i/>
          <w:vertAlign w:val="subscript"/>
        </w:rPr>
        <w:t>2</w:t>
      </w:r>
      <w:r w:rsidRPr="00730E2D">
        <w:rPr>
          <w:rFonts w:asciiTheme="minorHAnsi" w:hAnsiTheme="minorHAnsi"/>
          <w:i/>
        </w:rPr>
        <w:t xml:space="preserve"> </w:t>
      </w:r>
      <w:r w:rsidRPr="00730E2D">
        <w:rPr>
          <w:rFonts w:asciiTheme="minorHAnsi" w:hAnsiTheme="minorHAnsi"/>
        </w:rPr>
        <w:t>and</w:t>
      </w:r>
      <w:r w:rsidRPr="00730E2D">
        <w:rPr>
          <w:rFonts w:asciiTheme="minorHAnsi" w:hAnsiTheme="minorHAnsi"/>
          <w:i/>
        </w:rPr>
        <w:t xml:space="preserve"> </w:t>
      </w:r>
      <w:r w:rsidRPr="00730E2D">
        <w:rPr>
          <w:rFonts w:asciiTheme="minorHAnsi" w:hAnsiTheme="minorHAnsi"/>
        </w:rPr>
        <w:t>n</w:t>
      </w:r>
      <w:r w:rsidRPr="00730E2D">
        <w:rPr>
          <w:rFonts w:asciiTheme="minorHAnsi" w:hAnsiTheme="minorHAnsi"/>
          <w:vertAlign w:val="subscript"/>
        </w:rPr>
        <w:t>2</w:t>
      </w:r>
      <w:r w:rsidRPr="00730E2D">
        <w:rPr>
          <w:rFonts w:asciiTheme="minorHAnsi" w:hAnsiTheme="minorHAnsi"/>
        </w:rPr>
        <w:t xml:space="preserve"> denote the Stage 2 error ratio and total sample size across all PAs.   As noted, the FPC is ignored for the Stage 2 sample, but may turn out to be nontrivial.</w:t>
      </w:r>
    </w:p>
    <w:p w:rsidR="00C14217" w:rsidRPr="00730E2D" w:rsidRDefault="00C14217" w:rsidP="00580575">
      <w:pPr>
        <w:jc w:val="both"/>
        <w:rPr>
          <w:rFonts w:asciiTheme="minorHAnsi" w:hAnsiTheme="minorHAnsi"/>
        </w:rPr>
      </w:pPr>
    </w:p>
    <w:p w:rsidR="00C14217" w:rsidRPr="00730E2D" w:rsidRDefault="00C14217" w:rsidP="00580575">
      <w:pPr>
        <w:jc w:val="both"/>
        <w:rPr>
          <w:rFonts w:asciiTheme="minorHAnsi" w:hAnsiTheme="minorHAnsi"/>
        </w:rPr>
      </w:pPr>
      <w:r w:rsidRPr="00730E2D">
        <w:rPr>
          <w:rFonts w:asciiTheme="minorHAnsi" w:hAnsiTheme="minorHAnsi"/>
        </w:rPr>
        <w:t xml:space="preserve">For those </w:t>
      </w:r>
      <w:r w:rsidR="00E0539E" w:rsidRPr="00730E2D">
        <w:rPr>
          <w:rFonts w:asciiTheme="minorHAnsi" w:hAnsiTheme="minorHAnsi"/>
        </w:rPr>
        <w:t>Stage 1 strata</w:t>
      </w:r>
      <w:r w:rsidRPr="00730E2D">
        <w:rPr>
          <w:rFonts w:asciiTheme="minorHAnsi" w:hAnsiTheme="minorHAnsi"/>
        </w:rPr>
        <w:t xml:space="preserve"> that have a Stage 2 CATI sample and onsite subsample, the </w:t>
      </w:r>
      <w:r w:rsidR="00EB70F8" w:rsidRPr="00730E2D">
        <w:rPr>
          <w:rFonts w:asciiTheme="minorHAnsi" w:hAnsiTheme="minorHAnsi"/>
        </w:rPr>
        <w:t xml:space="preserve">relative </w:t>
      </w:r>
      <w:r w:rsidRPr="00730E2D">
        <w:rPr>
          <w:rFonts w:asciiTheme="minorHAnsi" w:hAnsiTheme="minorHAnsi"/>
        </w:rPr>
        <w:t>precision of the estimate is given by</w:t>
      </w:r>
    </w:p>
    <w:p w:rsidR="00C14217" w:rsidRPr="00730E2D" w:rsidRDefault="00C14217" w:rsidP="00580575">
      <w:pPr>
        <w:jc w:val="both"/>
        <w:rPr>
          <w:rFonts w:asciiTheme="minorHAnsi" w:hAnsiTheme="minorHAnsi"/>
        </w:rPr>
      </w:pPr>
    </w:p>
    <w:p w:rsidR="00C14217" w:rsidRPr="00730E2D" w:rsidRDefault="00C14217" w:rsidP="00580575">
      <w:pPr>
        <w:ind w:left="720"/>
        <w:jc w:val="both"/>
        <w:rPr>
          <w:rFonts w:asciiTheme="minorHAnsi" w:hAnsiTheme="minorHAnsi"/>
          <w:vertAlign w:val="superscript"/>
        </w:rPr>
      </w:pPr>
      <w:r w:rsidRPr="00730E2D">
        <w:rPr>
          <w:rFonts w:asciiTheme="minorHAnsi" w:hAnsiTheme="minorHAnsi"/>
        </w:rPr>
        <w:t>RSE(</w:t>
      </w:r>
      <w:r w:rsidR="00EB70F8" w:rsidRPr="00730E2D">
        <w:rPr>
          <w:rFonts w:asciiTheme="minorHAnsi" w:hAnsiTheme="minorHAnsi"/>
        </w:rPr>
        <w:t>Y</w:t>
      </w:r>
      <w:r w:rsidR="00EB70F8" w:rsidRPr="00730E2D">
        <w:rPr>
          <w:rFonts w:asciiTheme="minorHAnsi" w:hAnsiTheme="minorHAnsi"/>
          <w:vertAlign w:val="subscript"/>
        </w:rPr>
        <w:t>TOT</w:t>
      </w:r>
      <w:r w:rsidRPr="00730E2D">
        <w:rPr>
          <w:rFonts w:asciiTheme="minorHAnsi" w:hAnsiTheme="minorHAnsi"/>
        </w:rPr>
        <w:t xml:space="preserve">) </w:t>
      </w:r>
      <w:r w:rsidRPr="00730E2D">
        <w:rPr>
          <w:rFonts w:asciiTheme="minorHAnsi" w:hAnsiTheme="minorHAnsi"/>
          <w:u w:val="single"/>
        </w:rPr>
        <w:t>~</w:t>
      </w:r>
      <w:r w:rsidRPr="00730E2D">
        <w:rPr>
          <w:rFonts w:asciiTheme="minorHAnsi" w:hAnsiTheme="minorHAnsi"/>
        </w:rPr>
        <w:t xml:space="preserve"> [RSE(R</w:t>
      </w:r>
      <w:r w:rsidRPr="00730E2D">
        <w:rPr>
          <w:rFonts w:asciiTheme="minorHAnsi" w:hAnsiTheme="minorHAnsi"/>
          <w:vertAlign w:val="subscript"/>
        </w:rPr>
        <w:t>1</w:t>
      </w:r>
      <w:r w:rsidRPr="00730E2D">
        <w:rPr>
          <w:rFonts w:asciiTheme="minorHAnsi" w:hAnsiTheme="minorHAnsi"/>
        </w:rPr>
        <w:t>)</w:t>
      </w:r>
      <w:r w:rsidRPr="00730E2D">
        <w:rPr>
          <w:rFonts w:asciiTheme="minorHAnsi" w:hAnsiTheme="minorHAnsi"/>
          <w:vertAlign w:val="superscript"/>
        </w:rPr>
        <w:t>2</w:t>
      </w:r>
      <w:r w:rsidRPr="00730E2D">
        <w:rPr>
          <w:rFonts w:asciiTheme="minorHAnsi" w:hAnsiTheme="minorHAnsi"/>
        </w:rPr>
        <w:t>+ RSE(R</w:t>
      </w:r>
      <w:r w:rsidRPr="00730E2D">
        <w:rPr>
          <w:rFonts w:asciiTheme="minorHAnsi" w:hAnsiTheme="minorHAnsi"/>
          <w:vertAlign w:val="subscript"/>
        </w:rPr>
        <w:t>a</w:t>
      </w:r>
      <w:r w:rsidRPr="00730E2D">
        <w:rPr>
          <w:rFonts w:asciiTheme="minorHAnsi" w:hAnsiTheme="minorHAnsi"/>
        </w:rPr>
        <w:t>)</w:t>
      </w:r>
      <w:r w:rsidRPr="00730E2D">
        <w:rPr>
          <w:rFonts w:asciiTheme="minorHAnsi" w:hAnsiTheme="minorHAnsi"/>
          <w:vertAlign w:val="superscript"/>
        </w:rPr>
        <w:t>2</w:t>
      </w:r>
      <w:r w:rsidRPr="00730E2D">
        <w:rPr>
          <w:rFonts w:asciiTheme="minorHAnsi" w:hAnsiTheme="minorHAnsi"/>
        </w:rPr>
        <w:t>+ RSE(R</w:t>
      </w:r>
      <w:r w:rsidRPr="00730E2D">
        <w:rPr>
          <w:rFonts w:asciiTheme="minorHAnsi" w:hAnsiTheme="minorHAnsi"/>
          <w:vertAlign w:val="subscript"/>
        </w:rPr>
        <w:t>v</w:t>
      </w:r>
      <w:r w:rsidRPr="00730E2D">
        <w:rPr>
          <w:rFonts w:asciiTheme="minorHAnsi" w:hAnsiTheme="minorHAnsi"/>
        </w:rPr>
        <w:t>)</w:t>
      </w:r>
      <w:r w:rsidRPr="00730E2D">
        <w:rPr>
          <w:rFonts w:asciiTheme="minorHAnsi" w:hAnsiTheme="minorHAnsi"/>
          <w:vertAlign w:val="superscript"/>
        </w:rPr>
        <w:t>2</w:t>
      </w:r>
      <w:r w:rsidRPr="00730E2D">
        <w:rPr>
          <w:rFonts w:asciiTheme="minorHAnsi" w:hAnsiTheme="minorHAnsi"/>
        </w:rPr>
        <w:t>]</w:t>
      </w:r>
      <w:r w:rsidRPr="00730E2D">
        <w:rPr>
          <w:rFonts w:asciiTheme="minorHAnsi" w:hAnsiTheme="minorHAnsi"/>
          <w:vertAlign w:val="superscript"/>
        </w:rPr>
        <w:t>1/2</w:t>
      </w:r>
    </w:p>
    <w:p w:rsidR="00C14217" w:rsidRPr="00730E2D" w:rsidRDefault="00C14217" w:rsidP="00580575">
      <w:pPr>
        <w:ind w:left="1440"/>
        <w:jc w:val="both"/>
        <w:rPr>
          <w:rFonts w:asciiTheme="minorHAnsi" w:hAnsiTheme="minorHAnsi"/>
          <w:vertAlign w:val="superscript"/>
        </w:rPr>
      </w:pPr>
      <w:r w:rsidRPr="00730E2D">
        <w:rPr>
          <w:rFonts w:asciiTheme="minorHAnsi" w:hAnsiTheme="minorHAnsi"/>
          <w:u w:val="single"/>
        </w:rPr>
        <w:t>~</w:t>
      </w:r>
      <w:r w:rsidRPr="00730E2D">
        <w:rPr>
          <w:rFonts w:asciiTheme="minorHAnsi" w:hAnsiTheme="minorHAnsi"/>
        </w:rPr>
        <w:t xml:space="preserve"> [(1-n</w:t>
      </w:r>
      <w:r w:rsidRPr="00730E2D">
        <w:rPr>
          <w:rFonts w:asciiTheme="minorHAnsi" w:hAnsiTheme="minorHAnsi"/>
          <w:vertAlign w:val="subscript"/>
        </w:rPr>
        <w:t>1</w:t>
      </w:r>
      <w:r w:rsidRPr="00730E2D">
        <w:rPr>
          <w:rFonts w:asciiTheme="minorHAnsi" w:hAnsiTheme="minorHAnsi"/>
        </w:rPr>
        <w:t>/N</w:t>
      </w:r>
      <w:r w:rsidRPr="00730E2D">
        <w:rPr>
          <w:rFonts w:asciiTheme="minorHAnsi" w:hAnsiTheme="minorHAnsi"/>
          <w:vertAlign w:val="subscript"/>
        </w:rPr>
        <w:t>1</w:t>
      </w:r>
      <w:r w:rsidRPr="00730E2D">
        <w:rPr>
          <w:rFonts w:asciiTheme="minorHAnsi" w:hAnsiTheme="minorHAnsi"/>
        </w:rPr>
        <w:t>)</w:t>
      </w:r>
      <w:r w:rsidRPr="00730E2D">
        <w:rPr>
          <w:rFonts w:asciiTheme="minorHAnsi" w:hAnsiTheme="minorHAnsi"/>
          <w:i/>
        </w:rPr>
        <w:t>er</w:t>
      </w:r>
      <w:r w:rsidRPr="00730E2D">
        <w:rPr>
          <w:rFonts w:asciiTheme="minorHAnsi" w:hAnsiTheme="minorHAnsi"/>
          <w:i/>
          <w:vertAlign w:val="subscript"/>
        </w:rPr>
        <w:t>1</w:t>
      </w:r>
      <w:r w:rsidRPr="00730E2D">
        <w:rPr>
          <w:rFonts w:asciiTheme="minorHAnsi" w:hAnsiTheme="minorHAnsi"/>
          <w:i/>
          <w:vertAlign w:val="superscript"/>
        </w:rPr>
        <w:t>2</w:t>
      </w:r>
      <w:r w:rsidRPr="00730E2D">
        <w:rPr>
          <w:rFonts w:asciiTheme="minorHAnsi" w:hAnsiTheme="minorHAnsi"/>
          <w:i/>
          <w:vertAlign w:val="subscript"/>
        </w:rPr>
        <w:t xml:space="preserve"> </w:t>
      </w:r>
      <w:r w:rsidRPr="00730E2D">
        <w:rPr>
          <w:rFonts w:asciiTheme="minorHAnsi" w:hAnsiTheme="minorHAnsi"/>
          <w:i/>
        </w:rPr>
        <w:t>/n</w:t>
      </w:r>
      <w:r w:rsidRPr="00730E2D">
        <w:rPr>
          <w:rFonts w:asciiTheme="minorHAnsi" w:hAnsiTheme="minorHAnsi"/>
          <w:i/>
          <w:vertAlign w:val="subscript"/>
        </w:rPr>
        <w:t>1</w:t>
      </w:r>
      <w:r w:rsidRPr="00730E2D">
        <w:rPr>
          <w:rFonts w:asciiTheme="minorHAnsi" w:hAnsiTheme="minorHAnsi"/>
        </w:rPr>
        <w:t xml:space="preserve"> + </w:t>
      </w:r>
      <w:r w:rsidRPr="00730E2D">
        <w:rPr>
          <w:rFonts w:asciiTheme="minorHAnsi" w:hAnsiTheme="minorHAnsi"/>
          <w:i/>
        </w:rPr>
        <w:t>er</w:t>
      </w:r>
      <w:r w:rsidRPr="00730E2D">
        <w:rPr>
          <w:rFonts w:asciiTheme="minorHAnsi" w:hAnsiTheme="minorHAnsi"/>
          <w:i/>
          <w:vertAlign w:val="subscript"/>
        </w:rPr>
        <w:t>2</w:t>
      </w:r>
      <w:r w:rsidRPr="00730E2D">
        <w:rPr>
          <w:rFonts w:asciiTheme="minorHAnsi" w:hAnsiTheme="minorHAnsi"/>
          <w:i/>
          <w:vertAlign w:val="superscript"/>
        </w:rPr>
        <w:t>2</w:t>
      </w:r>
      <w:r w:rsidRPr="00730E2D">
        <w:rPr>
          <w:rFonts w:asciiTheme="minorHAnsi" w:hAnsiTheme="minorHAnsi"/>
          <w:i/>
        </w:rPr>
        <w:t>/n</w:t>
      </w:r>
      <w:r w:rsidRPr="00730E2D">
        <w:rPr>
          <w:rFonts w:asciiTheme="minorHAnsi" w:hAnsiTheme="minorHAnsi"/>
          <w:i/>
          <w:vertAlign w:val="subscript"/>
        </w:rPr>
        <w:t xml:space="preserve">2 </w:t>
      </w:r>
      <w:r w:rsidRPr="00730E2D">
        <w:rPr>
          <w:rFonts w:asciiTheme="minorHAnsi" w:hAnsiTheme="minorHAnsi"/>
        </w:rPr>
        <w:t xml:space="preserve">+ </w:t>
      </w:r>
      <w:r w:rsidRPr="00730E2D">
        <w:rPr>
          <w:rFonts w:asciiTheme="minorHAnsi" w:hAnsiTheme="minorHAnsi"/>
          <w:i/>
        </w:rPr>
        <w:t>er</w:t>
      </w:r>
      <w:r w:rsidRPr="00730E2D">
        <w:rPr>
          <w:rFonts w:asciiTheme="minorHAnsi" w:hAnsiTheme="minorHAnsi"/>
          <w:i/>
          <w:vertAlign w:val="subscript"/>
        </w:rPr>
        <w:t>v</w:t>
      </w:r>
      <w:r w:rsidRPr="00730E2D">
        <w:rPr>
          <w:rFonts w:asciiTheme="minorHAnsi" w:hAnsiTheme="minorHAnsi"/>
          <w:i/>
          <w:vertAlign w:val="superscript"/>
        </w:rPr>
        <w:t>2</w:t>
      </w:r>
      <w:r w:rsidRPr="00730E2D">
        <w:rPr>
          <w:rFonts w:asciiTheme="minorHAnsi" w:hAnsiTheme="minorHAnsi"/>
        </w:rPr>
        <w:t>/n</w:t>
      </w:r>
      <w:r w:rsidRPr="00730E2D">
        <w:rPr>
          <w:rFonts w:asciiTheme="minorHAnsi" w:hAnsiTheme="minorHAnsi"/>
          <w:vertAlign w:val="subscript"/>
        </w:rPr>
        <w:t>v</w:t>
      </w:r>
      <w:r w:rsidRPr="00730E2D">
        <w:rPr>
          <w:rFonts w:asciiTheme="minorHAnsi" w:hAnsiTheme="minorHAnsi"/>
        </w:rPr>
        <w:t>]</w:t>
      </w:r>
      <w:r w:rsidRPr="00730E2D">
        <w:rPr>
          <w:rFonts w:asciiTheme="minorHAnsi" w:hAnsiTheme="minorHAnsi"/>
          <w:vertAlign w:val="superscript"/>
        </w:rPr>
        <w:t>1/2</w:t>
      </w:r>
    </w:p>
    <w:p w:rsidR="00C14217" w:rsidRPr="00730E2D" w:rsidRDefault="00C14217" w:rsidP="00580575">
      <w:pPr>
        <w:jc w:val="both"/>
        <w:rPr>
          <w:rFonts w:asciiTheme="minorHAnsi" w:hAnsiTheme="minorHAnsi"/>
        </w:rPr>
      </w:pPr>
    </w:p>
    <w:p w:rsidR="00C14217" w:rsidRPr="00730E2D" w:rsidRDefault="00C14217" w:rsidP="00580575">
      <w:pPr>
        <w:jc w:val="both"/>
        <w:rPr>
          <w:rFonts w:asciiTheme="minorHAnsi" w:hAnsiTheme="minorHAnsi"/>
        </w:rPr>
      </w:pPr>
      <w:r w:rsidRPr="00730E2D">
        <w:rPr>
          <w:rFonts w:asciiTheme="minorHAnsi" w:hAnsiTheme="minorHAnsi"/>
        </w:rPr>
        <w:t xml:space="preserve">where </w:t>
      </w:r>
      <w:r w:rsidRPr="00730E2D">
        <w:rPr>
          <w:rFonts w:asciiTheme="minorHAnsi" w:hAnsiTheme="minorHAnsi"/>
          <w:i/>
        </w:rPr>
        <w:t>er</w:t>
      </w:r>
      <w:r w:rsidRPr="00730E2D">
        <w:rPr>
          <w:rFonts w:asciiTheme="minorHAnsi" w:hAnsiTheme="minorHAnsi"/>
          <w:i/>
          <w:vertAlign w:val="subscript"/>
        </w:rPr>
        <w:t>v</w:t>
      </w:r>
      <w:r w:rsidRPr="00730E2D">
        <w:rPr>
          <w:rFonts w:asciiTheme="minorHAnsi" w:hAnsiTheme="minorHAnsi"/>
          <w:i/>
        </w:rPr>
        <w:t xml:space="preserve"> </w:t>
      </w:r>
      <w:r w:rsidRPr="00730E2D">
        <w:rPr>
          <w:rFonts w:asciiTheme="minorHAnsi" w:hAnsiTheme="minorHAnsi"/>
        </w:rPr>
        <w:t>and</w:t>
      </w:r>
      <w:r w:rsidRPr="00730E2D">
        <w:rPr>
          <w:rFonts w:asciiTheme="minorHAnsi" w:hAnsiTheme="minorHAnsi"/>
          <w:i/>
        </w:rPr>
        <w:t xml:space="preserve"> </w:t>
      </w:r>
      <w:r w:rsidRPr="00730E2D">
        <w:rPr>
          <w:rFonts w:asciiTheme="minorHAnsi" w:hAnsiTheme="minorHAnsi"/>
        </w:rPr>
        <w:t>n</w:t>
      </w:r>
      <w:r w:rsidRPr="00730E2D">
        <w:rPr>
          <w:rFonts w:asciiTheme="minorHAnsi" w:hAnsiTheme="minorHAnsi"/>
          <w:vertAlign w:val="subscript"/>
        </w:rPr>
        <w:t>v</w:t>
      </w:r>
      <w:r w:rsidRPr="00730E2D">
        <w:rPr>
          <w:rFonts w:asciiTheme="minorHAnsi" w:hAnsiTheme="minorHAnsi"/>
        </w:rPr>
        <w:t xml:space="preserve"> denote the onsite:phone verification error ratio and total sample size across all PAs.   </w:t>
      </w:r>
    </w:p>
    <w:p w:rsidR="00C14217" w:rsidRPr="00730E2D" w:rsidRDefault="00C14217" w:rsidP="00580575">
      <w:pPr>
        <w:jc w:val="both"/>
        <w:rPr>
          <w:rFonts w:asciiTheme="minorHAnsi" w:hAnsiTheme="minorHAnsi"/>
        </w:rPr>
      </w:pPr>
    </w:p>
    <w:p w:rsidR="00C14217" w:rsidRPr="00730E2D" w:rsidRDefault="00C14217" w:rsidP="00580575">
      <w:pPr>
        <w:jc w:val="both"/>
        <w:rPr>
          <w:rFonts w:asciiTheme="minorHAnsi" w:hAnsiTheme="minorHAnsi"/>
        </w:rPr>
      </w:pPr>
      <w:r w:rsidRPr="00730E2D">
        <w:rPr>
          <w:rFonts w:asciiTheme="minorHAnsi" w:hAnsiTheme="minorHAnsi"/>
        </w:rPr>
        <w:t xml:space="preserve">Summing savings (or other outcomes) over BPAC-Subcategory </w:t>
      </w:r>
      <w:r w:rsidR="00E0539E" w:rsidRPr="00730E2D">
        <w:rPr>
          <w:rFonts w:asciiTheme="minorHAnsi" w:hAnsiTheme="minorHAnsi"/>
        </w:rPr>
        <w:t>strata s</w:t>
      </w:r>
      <w:r w:rsidRPr="00730E2D">
        <w:rPr>
          <w:rFonts w:asciiTheme="minorHAnsi" w:hAnsiTheme="minorHAnsi"/>
        </w:rPr>
        <w:t>, the RSE of the sum is given by</w:t>
      </w:r>
    </w:p>
    <w:p w:rsidR="00C14217" w:rsidRPr="00730E2D" w:rsidRDefault="00C14217" w:rsidP="00580575">
      <w:pPr>
        <w:jc w:val="both"/>
        <w:rPr>
          <w:rFonts w:asciiTheme="minorHAnsi" w:hAnsiTheme="minorHAnsi"/>
        </w:rPr>
      </w:pPr>
    </w:p>
    <w:p w:rsidR="009E5523" w:rsidRDefault="009E5523" w:rsidP="009E5523">
      <w:pPr>
        <w:ind w:left="720"/>
      </w:pPr>
      <w:r w:rsidRPr="009E5523">
        <w:rPr>
          <w:rFonts w:asciiTheme="minorHAnsi" w:hAnsiTheme="minorHAnsi"/>
        </w:rPr>
        <w:t>RSE(</w:t>
      </w:r>
      <w:r>
        <w:t xml:space="preserve"> </w:t>
      </w:r>
      <w:r w:rsidRPr="00C630EA">
        <w:rPr>
          <w:rFonts w:ascii="Symbol" w:hAnsi="Symbol"/>
        </w:rPr>
        <w:t></w:t>
      </w:r>
      <w:r>
        <w:rPr>
          <w:vertAlign w:val="subscript"/>
        </w:rPr>
        <w:t>s</w:t>
      </w:r>
      <w:r>
        <w:t xml:space="preserve"> </w:t>
      </w:r>
      <w:r w:rsidRPr="009E5523">
        <w:rPr>
          <w:rFonts w:asciiTheme="minorHAnsi" w:hAnsiTheme="minorHAnsi"/>
        </w:rPr>
        <w:t>Y</w:t>
      </w:r>
      <w:r w:rsidRPr="009E5523">
        <w:rPr>
          <w:rFonts w:asciiTheme="minorHAnsi" w:hAnsiTheme="minorHAnsi"/>
          <w:vertAlign w:val="subscript"/>
        </w:rPr>
        <w:t>TOTs</w:t>
      </w:r>
      <w:r>
        <w:t>) =</w:t>
      </w:r>
      <w:r w:rsidRPr="00C630EA">
        <w:rPr>
          <w:rFonts w:ascii="Symbol" w:hAnsi="Symbol"/>
        </w:rPr>
        <w:t></w:t>
      </w:r>
      <w:r>
        <w:rPr>
          <w:rFonts w:ascii="Symbol" w:hAnsi="Symbol"/>
        </w:rPr>
        <w:t></w:t>
      </w:r>
      <w:r w:rsidRPr="00C630EA">
        <w:rPr>
          <w:rFonts w:ascii="Symbol" w:hAnsi="Symbol"/>
        </w:rPr>
        <w:t></w:t>
      </w:r>
      <w:r>
        <w:rPr>
          <w:vertAlign w:val="subscript"/>
        </w:rPr>
        <w:t>s</w:t>
      </w:r>
      <w:r>
        <w:t xml:space="preserve"> </w:t>
      </w:r>
      <w:r w:rsidRPr="009E5523">
        <w:rPr>
          <w:rFonts w:asciiTheme="minorHAnsi" w:hAnsiTheme="minorHAnsi"/>
        </w:rPr>
        <w:t>f</w:t>
      </w:r>
      <w:r w:rsidRPr="009E5523">
        <w:rPr>
          <w:rFonts w:asciiTheme="minorHAnsi" w:hAnsiTheme="minorHAnsi"/>
          <w:vertAlign w:val="subscript"/>
        </w:rPr>
        <w:t>s</w:t>
      </w:r>
      <w:r w:rsidRPr="009E5523">
        <w:rPr>
          <w:rFonts w:asciiTheme="minorHAnsi" w:hAnsiTheme="minorHAnsi"/>
          <w:vertAlign w:val="superscript"/>
        </w:rPr>
        <w:t>2</w:t>
      </w:r>
      <w:r w:rsidRPr="009E5523">
        <w:rPr>
          <w:rFonts w:asciiTheme="minorHAnsi" w:hAnsiTheme="minorHAnsi"/>
        </w:rPr>
        <w:t xml:space="preserve"> RSE</w:t>
      </w:r>
      <w:r w:rsidRPr="009E5523">
        <w:rPr>
          <w:rFonts w:asciiTheme="minorHAnsi" w:hAnsiTheme="minorHAnsi"/>
          <w:vertAlign w:val="superscript"/>
        </w:rPr>
        <w:t>2</w:t>
      </w:r>
      <w:r w:rsidRPr="009E5523">
        <w:rPr>
          <w:rFonts w:asciiTheme="minorHAnsi" w:hAnsiTheme="minorHAnsi"/>
        </w:rPr>
        <w:t>(Y</w:t>
      </w:r>
      <w:r w:rsidRPr="009E5523">
        <w:rPr>
          <w:rFonts w:asciiTheme="minorHAnsi" w:hAnsiTheme="minorHAnsi"/>
          <w:vertAlign w:val="subscript"/>
        </w:rPr>
        <w:t>TOTs</w:t>
      </w:r>
      <w:r w:rsidRPr="009E5523">
        <w:rPr>
          <w:rFonts w:asciiTheme="minorHAnsi" w:hAnsiTheme="minorHAnsi"/>
        </w:rPr>
        <w:t>)]</w:t>
      </w:r>
      <w:r w:rsidRPr="009E5523">
        <w:rPr>
          <w:rFonts w:asciiTheme="minorHAnsi" w:hAnsiTheme="minorHAnsi"/>
          <w:vertAlign w:val="superscript"/>
        </w:rPr>
        <w:t>1/2</w:t>
      </w:r>
    </w:p>
    <w:p w:rsidR="009E5523" w:rsidRDefault="009E5523" w:rsidP="009E5523"/>
    <w:p w:rsidR="009E5523" w:rsidRPr="00E61853" w:rsidRDefault="009E5523" w:rsidP="009E5523">
      <w:r w:rsidRPr="009E5523">
        <w:rPr>
          <w:rFonts w:asciiTheme="minorHAnsi" w:hAnsiTheme="minorHAnsi"/>
        </w:rPr>
        <w:t>where f</w:t>
      </w:r>
      <w:r w:rsidRPr="009E5523">
        <w:rPr>
          <w:rFonts w:asciiTheme="minorHAnsi" w:hAnsiTheme="minorHAnsi"/>
          <w:vertAlign w:val="subscript"/>
        </w:rPr>
        <w:t>s</w:t>
      </w:r>
      <w:r w:rsidRPr="009E5523">
        <w:rPr>
          <w:rFonts w:asciiTheme="minorHAnsi" w:hAnsiTheme="minorHAnsi"/>
        </w:rPr>
        <w:t xml:space="preserve"> = Y</w:t>
      </w:r>
      <w:r w:rsidRPr="009E5523">
        <w:rPr>
          <w:rFonts w:asciiTheme="minorHAnsi" w:hAnsiTheme="minorHAnsi"/>
          <w:vertAlign w:val="subscript"/>
        </w:rPr>
        <w:t>TOTs</w:t>
      </w:r>
      <w:r w:rsidRPr="00C630EA">
        <w:rPr>
          <w:rFonts w:ascii="Symbol" w:hAnsi="Symbol"/>
        </w:rPr>
        <w:t></w:t>
      </w:r>
      <w:r>
        <w:rPr>
          <w:rFonts w:ascii="Symbol" w:hAnsi="Symbol"/>
        </w:rPr>
        <w:t></w:t>
      </w:r>
      <w:r w:rsidRPr="00C630EA">
        <w:rPr>
          <w:rFonts w:ascii="Symbol" w:hAnsi="Symbol"/>
        </w:rPr>
        <w:t></w:t>
      </w:r>
      <w:r>
        <w:rPr>
          <w:vertAlign w:val="subscript"/>
        </w:rPr>
        <w:t>i</w:t>
      </w:r>
      <w:r>
        <w:t xml:space="preserve"> </w:t>
      </w:r>
      <w:r w:rsidRPr="009E5523">
        <w:rPr>
          <w:rFonts w:asciiTheme="minorHAnsi" w:hAnsiTheme="minorHAnsi"/>
        </w:rPr>
        <w:t>Y</w:t>
      </w:r>
      <w:r w:rsidRPr="009E5523">
        <w:rPr>
          <w:rFonts w:asciiTheme="minorHAnsi" w:hAnsiTheme="minorHAnsi"/>
          <w:vertAlign w:val="subscript"/>
        </w:rPr>
        <w:t>TOTi</w:t>
      </w:r>
      <w:r w:rsidRPr="009E5523">
        <w:rPr>
          <w:rFonts w:asciiTheme="minorHAnsi" w:hAnsiTheme="minorHAnsi"/>
        </w:rPr>
        <w:t xml:space="preserve"> is the</w:t>
      </w:r>
      <w:r>
        <w:t xml:space="preserve"> projected fraction of total savings that is in cell s.</w:t>
      </w:r>
    </w:p>
    <w:p w:rsidR="00C14217" w:rsidRPr="00730E2D" w:rsidRDefault="00C14217" w:rsidP="00580575">
      <w:pPr>
        <w:jc w:val="both"/>
        <w:rPr>
          <w:rFonts w:asciiTheme="minorHAnsi" w:hAnsiTheme="minorHAnsi"/>
        </w:rPr>
      </w:pPr>
    </w:p>
    <w:p w:rsidR="00C14217" w:rsidRPr="00730E2D" w:rsidRDefault="00C14217" w:rsidP="00580575">
      <w:pPr>
        <w:jc w:val="both"/>
        <w:rPr>
          <w:rFonts w:asciiTheme="minorHAnsi" w:hAnsiTheme="minorHAnsi"/>
        </w:rPr>
      </w:pPr>
      <w:r w:rsidRPr="00730E2D">
        <w:rPr>
          <w:rFonts w:asciiTheme="minorHAnsi" w:hAnsiTheme="minorHAnsi"/>
        </w:rPr>
        <w:t xml:space="preserve">The primary estimation goal of this study is to develop energy savings estimates for the study target as a whole—that is, for the included BPAC-Subcategories in total.  To project the accuracy of this total, the additional information needed is the expected contribution of each of these primary cells to the total savings estimate.  For purposes of this estimation, </w:t>
      </w:r>
      <w:r w:rsidR="003A7106" w:rsidRPr="00730E2D">
        <w:rPr>
          <w:rFonts w:asciiTheme="minorHAnsi" w:hAnsiTheme="minorHAnsi"/>
        </w:rPr>
        <w:t>DOE</w:t>
      </w:r>
      <w:r w:rsidRPr="00730E2D">
        <w:rPr>
          <w:rFonts w:asciiTheme="minorHAnsi" w:hAnsiTheme="minorHAnsi"/>
        </w:rPr>
        <w:t xml:space="preserve"> assume</w:t>
      </w:r>
      <w:r w:rsidR="003A7106" w:rsidRPr="00730E2D">
        <w:rPr>
          <w:rFonts w:asciiTheme="minorHAnsi" w:hAnsiTheme="minorHAnsi"/>
        </w:rPr>
        <w:t>s</w:t>
      </w:r>
      <w:r w:rsidRPr="00730E2D">
        <w:rPr>
          <w:rFonts w:asciiTheme="minorHAnsi" w:hAnsiTheme="minorHAnsi"/>
        </w:rPr>
        <w:t xml:space="preserve"> 3 different levels of savings per program dollar, in the proportions of 1:2:4.  That is, the “high” savings per dollar BPAC-Subcategories have roughly twice the savings per dollar as the medium ones, and the “low” BPAC-Subcategories have savings per dollar roughly half as much as the medium ones.  </w:t>
      </w:r>
    </w:p>
    <w:p w:rsidR="00C14217" w:rsidRPr="00730E2D" w:rsidRDefault="00C14217" w:rsidP="00580575">
      <w:pPr>
        <w:jc w:val="both"/>
        <w:rPr>
          <w:rFonts w:asciiTheme="minorHAnsi" w:hAnsiTheme="minorHAnsi"/>
        </w:rPr>
      </w:pPr>
    </w:p>
    <w:p w:rsidR="00C14217" w:rsidRPr="00730E2D" w:rsidRDefault="00C14217" w:rsidP="00580575">
      <w:pPr>
        <w:jc w:val="both"/>
        <w:rPr>
          <w:rFonts w:asciiTheme="minorHAnsi" w:hAnsiTheme="minorHAnsi"/>
        </w:rPr>
      </w:pPr>
      <w:r w:rsidRPr="00730E2D">
        <w:rPr>
          <w:rFonts w:asciiTheme="minorHAnsi" w:hAnsiTheme="minorHAnsi"/>
        </w:rPr>
        <w:t>With the assumptions and formulas above, the projected relative standard errors at the BPAC and total program level for each study period are shown in the tables below.  As anticipated in the design of this study, the RSEs for individual BPACs are fairly wide, but the RSEs for the total are small enough for the study findings overall to be meaningful.  The majority of the variability comes from the Stage 1 sampling.</w:t>
      </w:r>
    </w:p>
    <w:p w:rsidR="007775A4" w:rsidRPr="00730E2D" w:rsidRDefault="007775A4" w:rsidP="00580575">
      <w:pPr>
        <w:spacing w:after="200" w:line="276" w:lineRule="auto"/>
        <w:jc w:val="both"/>
        <w:rPr>
          <w:rFonts w:asciiTheme="minorHAnsi" w:hAnsiTheme="minorHAnsi"/>
        </w:rPr>
        <w:sectPr w:rsidR="007775A4" w:rsidRPr="00730E2D">
          <w:pgSz w:w="12240" w:h="15840"/>
          <w:pgMar w:top="1440" w:right="1800" w:bottom="1440" w:left="1800" w:header="720" w:footer="720" w:gutter="0"/>
          <w:cols w:space="720"/>
        </w:sectPr>
      </w:pPr>
    </w:p>
    <w:p w:rsidR="00C14217" w:rsidRPr="00730E2D" w:rsidRDefault="004F385A" w:rsidP="004F385A">
      <w:pPr>
        <w:pStyle w:val="Caption"/>
        <w:jc w:val="left"/>
        <w:rPr>
          <w:rFonts w:asciiTheme="minorHAnsi" w:hAnsiTheme="minorHAnsi"/>
        </w:rPr>
      </w:pPr>
      <w:r w:rsidRPr="00730E2D">
        <w:rPr>
          <w:rFonts w:asciiTheme="minorHAnsi" w:hAnsiTheme="minorHAnsi"/>
        </w:rPr>
        <w:lastRenderedPageBreak/>
        <w:t xml:space="preserve">Table </w:t>
      </w:r>
      <w:r w:rsidR="003260F1" w:rsidRPr="00730E2D">
        <w:rPr>
          <w:rFonts w:asciiTheme="minorHAnsi" w:hAnsiTheme="minorHAnsi"/>
        </w:rPr>
        <w:fldChar w:fldCharType="begin"/>
      </w:r>
      <w:r w:rsidRPr="00730E2D">
        <w:rPr>
          <w:rFonts w:asciiTheme="minorHAnsi" w:hAnsiTheme="minorHAnsi"/>
        </w:rPr>
        <w:instrText xml:space="preserve"> SEQ Table \* ARABIC </w:instrText>
      </w:r>
      <w:r w:rsidR="003260F1" w:rsidRPr="00730E2D">
        <w:rPr>
          <w:rFonts w:asciiTheme="minorHAnsi" w:hAnsiTheme="minorHAnsi"/>
        </w:rPr>
        <w:fldChar w:fldCharType="separate"/>
      </w:r>
      <w:r w:rsidRPr="00730E2D">
        <w:rPr>
          <w:rFonts w:asciiTheme="minorHAnsi" w:hAnsiTheme="minorHAnsi"/>
          <w:noProof/>
        </w:rPr>
        <w:t>1</w:t>
      </w:r>
      <w:r w:rsidR="003260F1" w:rsidRPr="00730E2D">
        <w:rPr>
          <w:rFonts w:asciiTheme="minorHAnsi" w:hAnsiTheme="minorHAnsi"/>
        </w:rPr>
        <w:fldChar w:fldCharType="end"/>
      </w:r>
      <w:r w:rsidRPr="00730E2D">
        <w:rPr>
          <w:rFonts w:asciiTheme="minorHAnsi" w:hAnsiTheme="minorHAnsi"/>
        </w:rPr>
        <w:t xml:space="preserve">: </w:t>
      </w:r>
      <w:r w:rsidR="00C14217" w:rsidRPr="00730E2D">
        <w:rPr>
          <w:rFonts w:asciiTheme="minorHAnsi" w:hAnsiTheme="minorHAnsi"/>
        </w:rPr>
        <w:t>Projected Relative Standard Errors for Program Year 2008</w:t>
      </w:r>
    </w:p>
    <w:tbl>
      <w:tblPr>
        <w:tblW w:w="10520" w:type="dxa"/>
        <w:tblInd w:w="96" w:type="dxa"/>
        <w:tblLook w:val="04A0" w:firstRow="1" w:lastRow="0" w:firstColumn="1" w:lastColumn="0" w:noHBand="0" w:noVBand="1"/>
      </w:tblPr>
      <w:tblGrid>
        <w:gridCol w:w="2220"/>
        <w:gridCol w:w="1000"/>
        <w:gridCol w:w="1217"/>
        <w:gridCol w:w="960"/>
        <w:gridCol w:w="1094"/>
        <w:gridCol w:w="920"/>
        <w:gridCol w:w="960"/>
        <w:gridCol w:w="1000"/>
        <w:gridCol w:w="1149"/>
      </w:tblGrid>
      <w:tr w:rsidR="00C14217" w:rsidRPr="00730E2D" w:rsidTr="0074673F">
        <w:trPr>
          <w:trHeight w:val="315"/>
        </w:trPr>
        <w:tc>
          <w:tcPr>
            <w:tcW w:w="2440" w:type="dxa"/>
            <w:tcBorders>
              <w:top w:val="nil"/>
              <w:left w:val="nil"/>
              <w:bottom w:val="nil"/>
              <w:right w:val="nil"/>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2008</w:t>
            </w:r>
          </w:p>
        </w:tc>
        <w:tc>
          <w:tcPr>
            <w:tcW w:w="960" w:type="dxa"/>
            <w:tcBorders>
              <w:top w:val="nil"/>
              <w:left w:val="nil"/>
              <w:bottom w:val="nil"/>
              <w:right w:val="nil"/>
            </w:tcBorders>
            <w:shd w:val="clear" w:color="auto" w:fill="auto"/>
            <w:noWrap/>
            <w:vAlign w:val="bottom"/>
            <w:hideMark/>
          </w:tcPr>
          <w:p w:rsidR="00C14217" w:rsidRPr="00730E2D" w:rsidRDefault="00C14217" w:rsidP="0074673F">
            <w:pPr>
              <w:rPr>
                <w:rFonts w:asciiTheme="minorHAnsi" w:hAnsiTheme="minorHAnsi"/>
                <w:sz w:val="22"/>
                <w:szCs w:val="22"/>
              </w:rPr>
            </w:pPr>
          </w:p>
        </w:tc>
        <w:tc>
          <w:tcPr>
            <w:tcW w:w="1120" w:type="dxa"/>
            <w:tcBorders>
              <w:top w:val="nil"/>
              <w:left w:val="nil"/>
              <w:bottom w:val="nil"/>
              <w:right w:val="nil"/>
            </w:tcBorders>
            <w:shd w:val="clear" w:color="auto" w:fill="auto"/>
            <w:noWrap/>
            <w:vAlign w:val="bottom"/>
            <w:hideMark/>
          </w:tcPr>
          <w:p w:rsidR="00C14217" w:rsidRPr="00730E2D" w:rsidRDefault="00C14217" w:rsidP="0074673F">
            <w:pPr>
              <w:rPr>
                <w:rFonts w:asciiTheme="minorHAnsi" w:hAnsiTheme="minorHAnsi"/>
                <w:sz w:val="22"/>
                <w:szCs w:val="22"/>
              </w:rPr>
            </w:pPr>
          </w:p>
        </w:tc>
        <w:tc>
          <w:tcPr>
            <w:tcW w:w="960" w:type="dxa"/>
            <w:tcBorders>
              <w:top w:val="nil"/>
              <w:left w:val="nil"/>
              <w:bottom w:val="nil"/>
              <w:right w:val="nil"/>
            </w:tcBorders>
            <w:shd w:val="clear" w:color="auto" w:fill="auto"/>
            <w:noWrap/>
            <w:vAlign w:val="bottom"/>
            <w:hideMark/>
          </w:tcPr>
          <w:p w:rsidR="00C14217" w:rsidRPr="00730E2D" w:rsidRDefault="00C14217" w:rsidP="0074673F">
            <w:pPr>
              <w:rPr>
                <w:rFonts w:asciiTheme="minorHAnsi" w:hAnsiTheme="minorHAnsi"/>
                <w:sz w:val="22"/>
                <w:szCs w:val="22"/>
              </w:rPr>
            </w:pPr>
          </w:p>
        </w:tc>
        <w:tc>
          <w:tcPr>
            <w:tcW w:w="1060" w:type="dxa"/>
            <w:tcBorders>
              <w:top w:val="nil"/>
              <w:left w:val="nil"/>
              <w:bottom w:val="nil"/>
              <w:right w:val="nil"/>
            </w:tcBorders>
            <w:shd w:val="clear" w:color="auto" w:fill="auto"/>
            <w:noWrap/>
            <w:vAlign w:val="bottom"/>
            <w:hideMark/>
          </w:tcPr>
          <w:p w:rsidR="00C14217" w:rsidRPr="00730E2D" w:rsidRDefault="00C14217" w:rsidP="0074673F">
            <w:pPr>
              <w:rPr>
                <w:rFonts w:asciiTheme="minorHAnsi" w:hAnsiTheme="minorHAnsi"/>
                <w:sz w:val="22"/>
                <w:szCs w:val="22"/>
              </w:rPr>
            </w:pPr>
          </w:p>
        </w:tc>
        <w:tc>
          <w:tcPr>
            <w:tcW w:w="398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Relative Standard Error</w:t>
            </w:r>
          </w:p>
        </w:tc>
      </w:tr>
      <w:tr w:rsidR="00C14217" w:rsidRPr="00730E2D" w:rsidTr="0074673F">
        <w:trPr>
          <w:trHeight w:val="915"/>
        </w:trPr>
        <w:tc>
          <w:tcPr>
            <w:tcW w:w="244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BPAC</w:t>
            </w:r>
          </w:p>
        </w:tc>
        <w:tc>
          <w:tcPr>
            <w:tcW w:w="960" w:type="dxa"/>
            <w:tcBorders>
              <w:top w:val="single" w:sz="8" w:space="0" w:color="auto"/>
              <w:left w:val="nil"/>
              <w:bottom w:val="single" w:sz="8" w:space="0" w:color="auto"/>
              <w:right w:val="single" w:sz="4" w:space="0" w:color="auto"/>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 Program Budget</w:t>
            </w:r>
          </w:p>
        </w:tc>
        <w:tc>
          <w:tcPr>
            <w:tcW w:w="1120" w:type="dxa"/>
            <w:tcBorders>
              <w:top w:val="single" w:sz="8" w:space="0" w:color="auto"/>
              <w:left w:val="nil"/>
              <w:bottom w:val="single" w:sz="8" w:space="0" w:color="auto"/>
              <w:right w:val="single" w:sz="4" w:space="0" w:color="auto"/>
            </w:tcBorders>
            <w:shd w:val="clear" w:color="auto" w:fill="auto"/>
            <w:vAlign w:val="bottom"/>
            <w:hideMark/>
          </w:tcPr>
          <w:p w:rsidR="002A3A21" w:rsidRPr="00730E2D" w:rsidRDefault="00C14217">
            <w:pPr>
              <w:jc w:val="right"/>
              <w:rPr>
                <w:rFonts w:asciiTheme="minorHAnsi" w:hAnsiTheme="minorHAnsi"/>
                <w:b/>
                <w:bCs/>
                <w:sz w:val="22"/>
                <w:szCs w:val="22"/>
              </w:rPr>
            </w:pPr>
            <w:r w:rsidRPr="00730E2D">
              <w:rPr>
                <w:rFonts w:asciiTheme="minorHAnsi" w:hAnsiTheme="minorHAnsi"/>
                <w:b/>
                <w:bCs/>
                <w:sz w:val="22"/>
                <w:szCs w:val="22"/>
              </w:rPr>
              <w:t>Population # PAs</w:t>
            </w:r>
          </w:p>
        </w:tc>
        <w:tc>
          <w:tcPr>
            <w:tcW w:w="960" w:type="dxa"/>
            <w:tcBorders>
              <w:top w:val="single" w:sz="8" w:space="0" w:color="auto"/>
              <w:left w:val="nil"/>
              <w:bottom w:val="single" w:sz="8" w:space="0" w:color="auto"/>
              <w:right w:val="single" w:sz="4" w:space="0" w:color="auto"/>
            </w:tcBorders>
            <w:shd w:val="clear" w:color="auto" w:fill="auto"/>
            <w:vAlign w:val="bottom"/>
            <w:hideMark/>
          </w:tcPr>
          <w:p w:rsidR="002A3A21" w:rsidRPr="00730E2D" w:rsidRDefault="00C14217">
            <w:pPr>
              <w:jc w:val="right"/>
              <w:rPr>
                <w:rFonts w:asciiTheme="minorHAnsi" w:hAnsiTheme="minorHAnsi"/>
                <w:b/>
                <w:bCs/>
                <w:sz w:val="22"/>
                <w:szCs w:val="22"/>
              </w:rPr>
            </w:pPr>
            <w:r w:rsidRPr="00730E2D">
              <w:rPr>
                <w:rFonts w:asciiTheme="minorHAnsi" w:hAnsiTheme="minorHAnsi"/>
                <w:b/>
                <w:bCs/>
                <w:sz w:val="22"/>
                <w:szCs w:val="22"/>
              </w:rPr>
              <w:t>Sample # PAs</w:t>
            </w:r>
          </w:p>
        </w:tc>
        <w:tc>
          <w:tcPr>
            <w:tcW w:w="1060" w:type="dxa"/>
            <w:tcBorders>
              <w:top w:val="single" w:sz="8" w:space="0" w:color="auto"/>
              <w:left w:val="nil"/>
              <w:bottom w:val="single" w:sz="8" w:space="0" w:color="auto"/>
              <w:right w:val="single" w:sz="4" w:space="0" w:color="auto"/>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Projected % Savings</w:t>
            </w:r>
          </w:p>
        </w:tc>
        <w:tc>
          <w:tcPr>
            <w:tcW w:w="920" w:type="dxa"/>
            <w:tcBorders>
              <w:top w:val="nil"/>
              <w:left w:val="nil"/>
              <w:bottom w:val="nil"/>
              <w:right w:val="nil"/>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Stage 1 Only</w:t>
            </w:r>
          </w:p>
        </w:tc>
        <w:tc>
          <w:tcPr>
            <w:tcW w:w="960" w:type="dxa"/>
            <w:tcBorders>
              <w:top w:val="nil"/>
              <w:left w:val="single" w:sz="4" w:space="0" w:color="auto"/>
              <w:bottom w:val="nil"/>
              <w:right w:val="nil"/>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Stage 2 CATI only</w:t>
            </w:r>
          </w:p>
        </w:tc>
        <w:tc>
          <w:tcPr>
            <w:tcW w:w="1000" w:type="dxa"/>
            <w:tcBorders>
              <w:top w:val="nil"/>
              <w:left w:val="single" w:sz="4" w:space="0" w:color="auto"/>
              <w:bottom w:val="nil"/>
              <w:right w:val="nil"/>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Stage 2 onsite: phone</w:t>
            </w:r>
          </w:p>
        </w:tc>
        <w:tc>
          <w:tcPr>
            <w:tcW w:w="1100" w:type="dxa"/>
            <w:tcBorders>
              <w:top w:val="nil"/>
              <w:left w:val="single" w:sz="4" w:space="0" w:color="auto"/>
              <w:bottom w:val="nil"/>
              <w:right w:val="single" w:sz="8" w:space="0" w:color="auto"/>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Combined</w:t>
            </w:r>
          </w:p>
        </w:tc>
      </w:tr>
      <w:tr w:rsidR="00C14217" w:rsidRPr="00730E2D" w:rsidTr="0074673F">
        <w:trPr>
          <w:trHeight w:val="600"/>
        </w:trPr>
        <w:tc>
          <w:tcPr>
            <w:tcW w:w="2440" w:type="dxa"/>
            <w:tcBorders>
              <w:top w:val="nil"/>
              <w:left w:val="single" w:sz="8" w:space="0" w:color="auto"/>
              <w:bottom w:val="single" w:sz="4" w:space="0" w:color="auto"/>
              <w:right w:val="single" w:sz="4" w:space="0" w:color="auto"/>
            </w:tcBorders>
            <w:shd w:val="clear" w:color="auto" w:fill="auto"/>
            <w:vAlign w:val="bottom"/>
            <w:hideMark/>
          </w:tcPr>
          <w:p w:rsidR="00C14217" w:rsidRPr="00730E2D" w:rsidRDefault="00C14217" w:rsidP="0074673F">
            <w:pPr>
              <w:rPr>
                <w:rFonts w:asciiTheme="minorHAnsi" w:hAnsiTheme="minorHAnsi"/>
                <w:sz w:val="22"/>
                <w:szCs w:val="22"/>
              </w:rPr>
            </w:pPr>
            <w:r w:rsidRPr="00730E2D">
              <w:rPr>
                <w:rFonts w:asciiTheme="minorHAnsi" w:hAnsiTheme="minorHAnsi"/>
                <w:sz w:val="22"/>
                <w:szCs w:val="22"/>
              </w:rPr>
              <w:t>Building Codes and Standards</w:t>
            </w:r>
          </w:p>
        </w:tc>
        <w:tc>
          <w:tcPr>
            <w:tcW w:w="9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13%</w:t>
            </w:r>
          </w:p>
        </w:tc>
        <w:tc>
          <w:tcPr>
            <w:tcW w:w="112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19 </w:t>
            </w:r>
          </w:p>
        </w:tc>
        <w:tc>
          <w:tcPr>
            <w:tcW w:w="96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7 </w:t>
            </w:r>
          </w:p>
        </w:tc>
        <w:tc>
          <w:tcPr>
            <w:tcW w:w="1060" w:type="dxa"/>
            <w:tcBorders>
              <w:top w:val="nil"/>
              <w:left w:val="nil"/>
              <w:bottom w:val="single" w:sz="4"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18%</w:t>
            </w:r>
          </w:p>
        </w:tc>
        <w:tc>
          <w:tcPr>
            <w:tcW w:w="9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44%</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10%</w:t>
            </w:r>
          </w:p>
        </w:tc>
        <w:tc>
          <w:tcPr>
            <w:tcW w:w="1000" w:type="dxa"/>
            <w:tcBorders>
              <w:top w:val="single" w:sz="8" w:space="0" w:color="auto"/>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0%</w:t>
            </w:r>
          </w:p>
        </w:tc>
        <w:tc>
          <w:tcPr>
            <w:tcW w:w="1100" w:type="dxa"/>
            <w:tcBorders>
              <w:top w:val="single" w:sz="8" w:space="0" w:color="auto"/>
              <w:left w:val="nil"/>
              <w:bottom w:val="single" w:sz="4" w:space="0" w:color="auto"/>
              <w:right w:val="single" w:sz="8"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45%</w:t>
            </w:r>
          </w:p>
        </w:tc>
      </w:tr>
      <w:tr w:rsidR="00C14217" w:rsidRPr="00730E2D" w:rsidTr="0074673F">
        <w:trPr>
          <w:trHeight w:val="600"/>
        </w:trPr>
        <w:tc>
          <w:tcPr>
            <w:tcW w:w="2440" w:type="dxa"/>
            <w:tcBorders>
              <w:top w:val="nil"/>
              <w:left w:val="single" w:sz="8" w:space="0" w:color="auto"/>
              <w:bottom w:val="single" w:sz="4" w:space="0" w:color="auto"/>
              <w:right w:val="single" w:sz="4" w:space="0" w:color="auto"/>
            </w:tcBorders>
            <w:shd w:val="clear" w:color="auto" w:fill="auto"/>
            <w:vAlign w:val="bottom"/>
            <w:hideMark/>
          </w:tcPr>
          <w:p w:rsidR="00C14217" w:rsidRPr="00730E2D" w:rsidRDefault="00C14217" w:rsidP="0074673F">
            <w:pPr>
              <w:rPr>
                <w:rFonts w:asciiTheme="minorHAnsi" w:hAnsiTheme="minorHAnsi"/>
                <w:sz w:val="22"/>
                <w:szCs w:val="22"/>
              </w:rPr>
            </w:pPr>
            <w:r w:rsidRPr="00730E2D">
              <w:rPr>
                <w:rFonts w:asciiTheme="minorHAnsi" w:hAnsiTheme="minorHAnsi"/>
                <w:sz w:val="22"/>
                <w:szCs w:val="22"/>
              </w:rPr>
              <w:t>Building Retrofits</w:t>
            </w:r>
          </w:p>
        </w:tc>
        <w:tc>
          <w:tcPr>
            <w:tcW w:w="9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19%</w:t>
            </w:r>
          </w:p>
        </w:tc>
        <w:tc>
          <w:tcPr>
            <w:tcW w:w="112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45 </w:t>
            </w:r>
          </w:p>
        </w:tc>
        <w:tc>
          <w:tcPr>
            <w:tcW w:w="96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15 </w:t>
            </w:r>
          </w:p>
        </w:tc>
        <w:tc>
          <w:tcPr>
            <w:tcW w:w="1060" w:type="dxa"/>
            <w:tcBorders>
              <w:top w:val="nil"/>
              <w:left w:val="nil"/>
              <w:bottom w:val="single" w:sz="4"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13%</w:t>
            </w:r>
          </w:p>
        </w:tc>
        <w:tc>
          <w:tcPr>
            <w:tcW w:w="920" w:type="dxa"/>
            <w:tcBorders>
              <w:top w:val="nil"/>
              <w:left w:val="single" w:sz="8" w:space="0" w:color="auto"/>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19%</w:t>
            </w:r>
          </w:p>
        </w:tc>
        <w:tc>
          <w:tcPr>
            <w:tcW w:w="9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9%</w:t>
            </w:r>
          </w:p>
        </w:tc>
        <w:tc>
          <w:tcPr>
            <w:tcW w:w="100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4%</w:t>
            </w:r>
          </w:p>
        </w:tc>
        <w:tc>
          <w:tcPr>
            <w:tcW w:w="1100" w:type="dxa"/>
            <w:tcBorders>
              <w:top w:val="nil"/>
              <w:left w:val="nil"/>
              <w:bottom w:val="single" w:sz="4" w:space="0" w:color="auto"/>
              <w:right w:val="single" w:sz="8"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22%</w:t>
            </w:r>
          </w:p>
        </w:tc>
      </w:tr>
      <w:tr w:rsidR="00C14217" w:rsidRPr="00730E2D" w:rsidTr="0074673F">
        <w:trPr>
          <w:trHeight w:val="600"/>
        </w:trPr>
        <w:tc>
          <w:tcPr>
            <w:tcW w:w="2440" w:type="dxa"/>
            <w:tcBorders>
              <w:top w:val="nil"/>
              <w:left w:val="single" w:sz="8" w:space="0" w:color="auto"/>
              <w:bottom w:val="single" w:sz="4" w:space="0" w:color="auto"/>
              <w:right w:val="single" w:sz="4" w:space="0" w:color="auto"/>
            </w:tcBorders>
            <w:shd w:val="clear" w:color="auto" w:fill="auto"/>
            <w:vAlign w:val="bottom"/>
            <w:hideMark/>
          </w:tcPr>
          <w:p w:rsidR="00C14217" w:rsidRPr="00730E2D" w:rsidRDefault="00C14217" w:rsidP="0074673F">
            <w:pPr>
              <w:rPr>
                <w:rFonts w:asciiTheme="minorHAnsi" w:hAnsiTheme="minorHAnsi"/>
                <w:sz w:val="22"/>
                <w:szCs w:val="22"/>
              </w:rPr>
            </w:pPr>
            <w:r w:rsidRPr="00730E2D">
              <w:rPr>
                <w:rFonts w:asciiTheme="minorHAnsi" w:hAnsiTheme="minorHAnsi"/>
                <w:sz w:val="22"/>
                <w:szCs w:val="22"/>
              </w:rPr>
              <w:t>Clean Energy Policy Support</w:t>
            </w:r>
          </w:p>
        </w:tc>
        <w:tc>
          <w:tcPr>
            <w:tcW w:w="9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13%</w:t>
            </w:r>
          </w:p>
        </w:tc>
        <w:tc>
          <w:tcPr>
            <w:tcW w:w="112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31 </w:t>
            </w:r>
          </w:p>
        </w:tc>
        <w:tc>
          <w:tcPr>
            <w:tcW w:w="96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8 </w:t>
            </w:r>
          </w:p>
        </w:tc>
        <w:tc>
          <w:tcPr>
            <w:tcW w:w="1060" w:type="dxa"/>
            <w:tcBorders>
              <w:top w:val="nil"/>
              <w:left w:val="nil"/>
              <w:bottom w:val="single" w:sz="4"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16%</w:t>
            </w:r>
          </w:p>
        </w:tc>
        <w:tc>
          <w:tcPr>
            <w:tcW w:w="920" w:type="dxa"/>
            <w:tcBorders>
              <w:top w:val="nil"/>
              <w:left w:val="single" w:sz="8" w:space="0" w:color="auto"/>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30%</w:t>
            </w:r>
          </w:p>
        </w:tc>
        <w:tc>
          <w:tcPr>
            <w:tcW w:w="9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0%</w:t>
            </w:r>
          </w:p>
        </w:tc>
        <w:tc>
          <w:tcPr>
            <w:tcW w:w="100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0%</w:t>
            </w:r>
          </w:p>
        </w:tc>
        <w:tc>
          <w:tcPr>
            <w:tcW w:w="1100" w:type="dxa"/>
            <w:tcBorders>
              <w:top w:val="nil"/>
              <w:left w:val="nil"/>
              <w:bottom w:val="single" w:sz="4" w:space="0" w:color="auto"/>
              <w:right w:val="single" w:sz="8"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30%</w:t>
            </w:r>
          </w:p>
        </w:tc>
      </w:tr>
      <w:tr w:rsidR="00C14217" w:rsidRPr="00730E2D" w:rsidTr="0074673F">
        <w:trPr>
          <w:trHeight w:val="600"/>
        </w:trPr>
        <w:tc>
          <w:tcPr>
            <w:tcW w:w="2440" w:type="dxa"/>
            <w:tcBorders>
              <w:top w:val="nil"/>
              <w:left w:val="single" w:sz="8" w:space="0" w:color="auto"/>
              <w:bottom w:val="single" w:sz="4" w:space="0" w:color="auto"/>
              <w:right w:val="single" w:sz="4" w:space="0" w:color="auto"/>
            </w:tcBorders>
            <w:shd w:val="clear" w:color="auto" w:fill="auto"/>
            <w:vAlign w:val="bottom"/>
            <w:hideMark/>
          </w:tcPr>
          <w:p w:rsidR="00C14217" w:rsidRPr="00730E2D" w:rsidRDefault="00C14217" w:rsidP="0074673F">
            <w:pPr>
              <w:rPr>
                <w:rFonts w:asciiTheme="minorHAnsi" w:hAnsiTheme="minorHAnsi"/>
                <w:sz w:val="22"/>
                <w:szCs w:val="22"/>
              </w:rPr>
            </w:pPr>
            <w:r w:rsidRPr="00730E2D">
              <w:rPr>
                <w:rFonts w:asciiTheme="minorHAnsi" w:hAnsiTheme="minorHAnsi"/>
                <w:sz w:val="22"/>
                <w:szCs w:val="22"/>
              </w:rPr>
              <w:t>Loans, grants and Incentives (Excl Retro)</w:t>
            </w:r>
          </w:p>
        </w:tc>
        <w:tc>
          <w:tcPr>
            <w:tcW w:w="9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18%</w:t>
            </w:r>
          </w:p>
        </w:tc>
        <w:tc>
          <w:tcPr>
            <w:tcW w:w="112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16 </w:t>
            </w:r>
          </w:p>
        </w:tc>
        <w:tc>
          <w:tcPr>
            <w:tcW w:w="96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8 </w:t>
            </w:r>
          </w:p>
        </w:tc>
        <w:tc>
          <w:tcPr>
            <w:tcW w:w="1060" w:type="dxa"/>
            <w:tcBorders>
              <w:top w:val="nil"/>
              <w:left w:val="nil"/>
              <w:bottom w:val="single" w:sz="4"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16%</w:t>
            </w:r>
          </w:p>
        </w:tc>
        <w:tc>
          <w:tcPr>
            <w:tcW w:w="920" w:type="dxa"/>
            <w:tcBorders>
              <w:top w:val="nil"/>
              <w:left w:val="single" w:sz="8" w:space="0" w:color="auto"/>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21%</w:t>
            </w:r>
          </w:p>
        </w:tc>
        <w:tc>
          <w:tcPr>
            <w:tcW w:w="9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8%</w:t>
            </w:r>
          </w:p>
        </w:tc>
        <w:tc>
          <w:tcPr>
            <w:tcW w:w="100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0%</w:t>
            </w:r>
          </w:p>
        </w:tc>
        <w:tc>
          <w:tcPr>
            <w:tcW w:w="1100" w:type="dxa"/>
            <w:tcBorders>
              <w:top w:val="nil"/>
              <w:left w:val="nil"/>
              <w:bottom w:val="single" w:sz="4" w:space="0" w:color="auto"/>
              <w:right w:val="single" w:sz="8"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23%</w:t>
            </w:r>
          </w:p>
        </w:tc>
      </w:tr>
      <w:tr w:rsidR="00C14217" w:rsidRPr="00730E2D" w:rsidTr="0074673F">
        <w:trPr>
          <w:trHeight w:val="600"/>
        </w:trPr>
        <w:tc>
          <w:tcPr>
            <w:tcW w:w="2440" w:type="dxa"/>
            <w:tcBorders>
              <w:top w:val="nil"/>
              <w:left w:val="single" w:sz="8" w:space="0" w:color="auto"/>
              <w:bottom w:val="single" w:sz="4" w:space="0" w:color="auto"/>
              <w:right w:val="single" w:sz="4" w:space="0" w:color="auto"/>
            </w:tcBorders>
            <w:shd w:val="clear" w:color="auto" w:fill="auto"/>
            <w:vAlign w:val="bottom"/>
            <w:hideMark/>
          </w:tcPr>
          <w:p w:rsidR="00C14217" w:rsidRPr="00730E2D" w:rsidRDefault="00C14217" w:rsidP="0074673F">
            <w:pPr>
              <w:rPr>
                <w:rFonts w:asciiTheme="minorHAnsi" w:hAnsiTheme="minorHAnsi"/>
                <w:sz w:val="22"/>
                <w:szCs w:val="22"/>
              </w:rPr>
            </w:pPr>
            <w:r w:rsidRPr="00730E2D">
              <w:rPr>
                <w:rFonts w:asciiTheme="minorHAnsi" w:hAnsiTheme="minorHAnsi"/>
                <w:sz w:val="22"/>
                <w:szCs w:val="22"/>
              </w:rPr>
              <w:t>Loans, grants and Incentives (Retro Only)</w:t>
            </w:r>
          </w:p>
        </w:tc>
        <w:tc>
          <w:tcPr>
            <w:tcW w:w="9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27%</w:t>
            </w:r>
          </w:p>
        </w:tc>
        <w:tc>
          <w:tcPr>
            <w:tcW w:w="112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10 </w:t>
            </w:r>
          </w:p>
        </w:tc>
        <w:tc>
          <w:tcPr>
            <w:tcW w:w="96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6 </w:t>
            </w:r>
          </w:p>
        </w:tc>
        <w:tc>
          <w:tcPr>
            <w:tcW w:w="1060" w:type="dxa"/>
            <w:tcBorders>
              <w:top w:val="nil"/>
              <w:left w:val="nil"/>
              <w:bottom w:val="single" w:sz="4"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31%</w:t>
            </w:r>
          </w:p>
        </w:tc>
        <w:tc>
          <w:tcPr>
            <w:tcW w:w="920" w:type="dxa"/>
            <w:tcBorders>
              <w:top w:val="nil"/>
              <w:left w:val="single" w:sz="8" w:space="0" w:color="auto"/>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31%</w:t>
            </w:r>
          </w:p>
        </w:tc>
        <w:tc>
          <w:tcPr>
            <w:tcW w:w="9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16%</w:t>
            </w:r>
          </w:p>
        </w:tc>
        <w:tc>
          <w:tcPr>
            <w:tcW w:w="100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12%</w:t>
            </w:r>
          </w:p>
        </w:tc>
        <w:tc>
          <w:tcPr>
            <w:tcW w:w="1100" w:type="dxa"/>
            <w:tcBorders>
              <w:top w:val="nil"/>
              <w:left w:val="nil"/>
              <w:bottom w:val="single" w:sz="4" w:space="0" w:color="auto"/>
              <w:right w:val="single" w:sz="8"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38%</w:t>
            </w:r>
          </w:p>
        </w:tc>
      </w:tr>
      <w:tr w:rsidR="00C14217" w:rsidRPr="00730E2D" w:rsidTr="0074673F">
        <w:trPr>
          <w:trHeight w:val="600"/>
        </w:trPr>
        <w:tc>
          <w:tcPr>
            <w:tcW w:w="2440" w:type="dxa"/>
            <w:tcBorders>
              <w:top w:val="nil"/>
              <w:left w:val="single" w:sz="8" w:space="0" w:color="auto"/>
              <w:bottom w:val="single" w:sz="4" w:space="0" w:color="auto"/>
              <w:right w:val="single" w:sz="4" w:space="0" w:color="auto"/>
            </w:tcBorders>
            <w:shd w:val="clear" w:color="auto" w:fill="auto"/>
            <w:vAlign w:val="bottom"/>
            <w:hideMark/>
          </w:tcPr>
          <w:p w:rsidR="00C14217" w:rsidRPr="00730E2D" w:rsidRDefault="00C14217" w:rsidP="0074673F">
            <w:pPr>
              <w:rPr>
                <w:rFonts w:asciiTheme="minorHAnsi" w:hAnsiTheme="minorHAnsi"/>
                <w:sz w:val="22"/>
                <w:szCs w:val="22"/>
              </w:rPr>
            </w:pPr>
            <w:r w:rsidRPr="00730E2D">
              <w:rPr>
                <w:rFonts w:asciiTheme="minorHAnsi" w:hAnsiTheme="minorHAnsi"/>
                <w:sz w:val="22"/>
                <w:szCs w:val="22"/>
              </w:rPr>
              <w:t>Renewable Energy Market Development</w:t>
            </w:r>
          </w:p>
        </w:tc>
        <w:tc>
          <w:tcPr>
            <w:tcW w:w="9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6%</w:t>
            </w:r>
          </w:p>
        </w:tc>
        <w:tc>
          <w:tcPr>
            <w:tcW w:w="112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11 </w:t>
            </w:r>
          </w:p>
        </w:tc>
        <w:tc>
          <w:tcPr>
            <w:tcW w:w="96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6 </w:t>
            </w:r>
          </w:p>
        </w:tc>
        <w:tc>
          <w:tcPr>
            <w:tcW w:w="1060" w:type="dxa"/>
            <w:tcBorders>
              <w:top w:val="nil"/>
              <w:left w:val="nil"/>
              <w:bottom w:val="single" w:sz="4"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4%</w:t>
            </w:r>
          </w:p>
        </w:tc>
        <w:tc>
          <w:tcPr>
            <w:tcW w:w="920" w:type="dxa"/>
            <w:tcBorders>
              <w:top w:val="nil"/>
              <w:left w:val="single" w:sz="8" w:space="0" w:color="auto"/>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28%</w:t>
            </w:r>
          </w:p>
        </w:tc>
        <w:tc>
          <w:tcPr>
            <w:tcW w:w="9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12%</w:t>
            </w:r>
          </w:p>
        </w:tc>
        <w:tc>
          <w:tcPr>
            <w:tcW w:w="100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0%</w:t>
            </w:r>
          </w:p>
        </w:tc>
        <w:tc>
          <w:tcPr>
            <w:tcW w:w="1100" w:type="dxa"/>
            <w:tcBorders>
              <w:top w:val="nil"/>
              <w:left w:val="nil"/>
              <w:bottom w:val="single" w:sz="4" w:space="0" w:color="auto"/>
              <w:right w:val="single" w:sz="8"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30%</w:t>
            </w:r>
          </w:p>
        </w:tc>
      </w:tr>
      <w:tr w:rsidR="00C14217" w:rsidRPr="00730E2D" w:rsidTr="0074673F">
        <w:trPr>
          <w:trHeight w:val="600"/>
        </w:trPr>
        <w:tc>
          <w:tcPr>
            <w:tcW w:w="2440" w:type="dxa"/>
            <w:tcBorders>
              <w:top w:val="nil"/>
              <w:left w:val="single" w:sz="8" w:space="0" w:color="auto"/>
              <w:bottom w:val="single" w:sz="8" w:space="0" w:color="auto"/>
              <w:right w:val="single" w:sz="4" w:space="0" w:color="auto"/>
            </w:tcBorders>
            <w:shd w:val="clear" w:color="auto" w:fill="auto"/>
            <w:vAlign w:val="bottom"/>
            <w:hideMark/>
          </w:tcPr>
          <w:p w:rsidR="00C14217" w:rsidRPr="00730E2D" w:rsidRDefault="00C14217" w:rsidP="0074673F">
            <w:pPr>
              <w:rPr>
                <w:rFonts w:asciiTheme="minorHAnsi" w:hAnsiTheme="minorHAnsi"/>
                <w:sz w:val="22"/>
                <w:szCs w:val="22"/>
              </w:rPr>
            </w:pPr>
            <w:r w:rsidRPr="00730E2D">
              <w:rPr>
                <w:rFonts w:asciiTheme="minorHAnsi" w:hAnsiTheme="minorHAnsi"/>
                <w:sz w:val="22"/>
                <w:szCs w:val="22"/>
              </w:rPr>
              <w:t>Technical Assistance</w:t>
            </w:r>
          </w:p>
        </w:tc>
        <w:tc>
          <w:tcPr>
            <w:tcW w:w="960" w:type="dxa"/>
            <w:tcBorders>
              <w:top w:val="nil"/>
              <w:left w:val="nil"/>
              <w:bottom w:val="single" w:sz="8"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4%</w:t>
            </w:r>
          </w:p>
        </w:tc>
        <w:tc>
          <w:tcPr>
            <w:tcW w:w="1120" w:type="dxa"/>
            <w:tcBorders>
              <w:top w:val="nil"/>
              <w:left w:val="nil"/>
              <w:bottom w:val="single" w:sz="8"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8 </w:t>
            </w:r>
          </w:p>
        </w:tc>
        <w:tc>
          <w:tcPr>
            <w:tcW w:w="960" w:type="dxa"/>
            <w:tcBorders>
              <w:top w:val="nil"/>
              <w:left w:val="nil"/>
              <w:bottom w:val="single" w:sz="8"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3 </w:t>
            </w:r>
          </w:p>
        </w:tc>
        <w:tc>
          <w:tcPr>
            <w:tcW w:w="1060" w:type="dxa"/>
            <w:tcBorders>
              <w:top w:val="nil"/>
              <w:left w:val="nil"/>
              <w:bottom w:val="single" w:sz="8"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3%</w:t>
            </w:r>
          </w:p>
        </w:tc>
        <w:tc>
          <w:tcPr>
            <w:tcW w:w="920" w:type="dxa"/>
            <w:tcBorders>
              <w:top w:val="nil"/>
              <w:left w:val="single" w:sz="8" w:space="0" w:color="auto"/>
              <w:bottom w:val="nil"/>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38%</w:t>
            </w:r>
          </w:p>
        </w:tc>
        <w:tc>
          <w:tcPr>
            <w:tcW w:w="960" w:type="dxa"/>
            <w:tcBorders>
              <w:top w:val="nil"/>
              <w:left w:val="nil"/>
              <w:bottom w:val="nil"/>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15%</w:t>
            </w:r>
          </w:p>
        </w:tc>
        <w:tc>
          <w:tcPr>
            <w:tcW w:w="1000" w:type="dxa"/>
            <w:tcBorders>
              <w:top w:val="nil"/>
              <w:left w:val="nil"/>
              <w:bottom w:val="nil"/>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0%</w:t>
            </w:r>
          </w:p>
        </w:tc>
        <w:tc>
          <w:tcPr>
            <w:tcW w:w="1100" w:type="dxa"/>
            <w:tcBorders>
              <w:top w:val="nil"/>
              <w:left w:val="nil"/>
              <w:bottom w:val="nil"/>
              <w:right w:val="single" w:sz="8"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42%</w:t>
            </w:r>
          </w:p>
        </w:tc>
      </w:tr>
      <w:tr w:rsidR="00C14217" w:rsidRPr="00730E2D" w:rsidTr="0074673F">
        <w:trPr>
          <w:trHeight w:val="315"/>
        </w:trPr>
        <w:tc>
          <w:tcPr>
            <w:tcW w:w="2440" w:type="dxa"/>
            <w:tcBorders>
              <w:top w:val="nil"/>
              <w:left w:val="single" w:sz="8" w:space="0" w:color="auto"/>
              <w:bottom w:val="single" w:sz="8" w:space="0" w:color="auto"/>
              <w:right w:val="single" w:sz="4" w:space="0" w:color="auto"/>
            </w:tcBorders>
            <w:shd w:val="clear" w:color="auto" w:fill="auto"/>
            <w:vAlign w:val="bottom"/>
            <w:hideMark/>
          </w:tcPr>
          <w:p w:rsidR="00C14217" w:rsidRPr="00730E2D" w:rsidRDefault="00C14217" w:rsidP="0074673F">
            <w:pPr>
              <w:rPr>
                <w:rFonts w:asciiTheme="minorHAnsi" w:hAnsiTheme="minorHAnsi"/>
                <w:b/>
                <w:bCs/>
                <w:sz w:val="22"/>
                <w:szCs w:val="22"/>
              </w:rPr>
            </w:pPr>
            <w:r w:rsidRPr="00730E2D">
              <w:rPr>
                <w:rFonts w:asciiTheme="minorHAnsi" w:hAnsiTheme="minorHAnsi"/>
                <w:b/>
                <w:bCs/>
                <w:sz w:val="22"/>
                <w:szCs w:val="22"/>
              </w:rPr>
              <w:t>TOTAL</w:t>
            </w:r>
          </w:p>
        </w:tc>
        <w:tc>
          <w:tcPr>
            <w:tcW w:w="960" w:type="dxa"/>
            <w:tcBorders>
              <w:top w:val="nil"/>
              <w:left w:val="nil"/>
              <w:bottom w:val="single" w:sz="8"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b/>
                <w:bCs/>
                <w:sz w:val="22"/>
                <w:szCs w:val="22"/>
              </w:rPr>
            </w:pPr>
            <w:r w:rsidRPr="00730E2D">
              <w:rPr>
                <w:rFonts w:asciiTheme="minorHAnsi" w:hAnsiTheme="minorHAnsi"/>
                <w:b/>
                <w:bCs/>
                <w:sz w:val="22"/>
                <w:szCs w:val="22"/>
              </w:rPr>
              <w:t>100%</w:t>
            </w:r>
          </w:p>
        </w:tc>
        <w:tc>
          <w:tcPr>
            <w:tcW w:w="1120" w:type="dxa"/>
            <w:tcBorders>
              <w:top w:val="nil"/>
              <w:left w:val="nil"/>
              <w:bottom w:val="single" w:sz="8"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b/>
                <w:bCs/>
                <w:sz w:val="22"/>
                <w:szCs w:val="22"/>
              </w:rPr>
            </w:pPr>
            <w:r w:rsidRPr="00730E2D">
              <w:rPr>
                <w:rFonts w:asciiTheme="minorHAnsi" w:hAnsiTheme="minorHAnsi"/>
                <w:b/>
                <w:bCs/>
                <w:sz w:val="22"/>
                <w:szCs w:val="22"/>
              </w:rPr>
              <w:t xml:space="preserve">               140 </w:t>
            </w:r>
          </w:p>
        </w:tc>
        <w:tc>
          <w:tcPr>
            <w:tcW w:w="960" w:type="dxa"/>
            <w:tcBorders>
              <w:top w:val="nil"/>
              <w:left w:val="nil"/>
              <w:bottom w:val="single" w:sz="8"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b/>
                <w:bCs/>
                <w:sz w:val="22"/>
                <w:szCs w:val="22"/>
              </w:rPr>
            </w:pPr>
            <w:r w:rsidRPr="00730E2D">
              <w:rPr>
                <w:rFonts w:asciiTheme="minorHAnsi" w:hAnsiTheme="minorHAnsi"/>
                <w:b/>
                <w:bCs/>
                <w:sz w:val="22"/>
                <w:szCs w:val="22"/>
              </w:rPr>
              <w:t xml:space="preserve">              53 </w:t>
            </w:r>
          </w:p>
        </w:tc>
        <w:tc>
          <w:tcPr>
            <w:tcW w:w="1060" w:type="dxa"/>
            <w:tcBorders>
              <w:top w:val="nil"/>
              <w:left w:val="nil"/>
              <w:bottom w:val="single" w:sz="8" w:space="0" w:color="auto"/>
              <w:right w:val="nil"/>
            </w:tcBorders>
            <w:shd w:val="clear" w:color="auto" w:fill="auto"/>
            <w:noWrap/>
            <w:vAlign w:val="bottom"/>
            <w:hideMark/>
          </w:tcPr>
          <w:p w:rsidR="00C14217" w:rsidRPr="00730E2D" w:rsidRDefault="00C14217" w:rsidP="0074673F">
            <w:pPr>
              <w:jc w:val="right"/>
              <w:rPr>
                <w:rFonts w:asciiTheme="minorHAnsi" w:hAnsiTheme="minorHAnsi"/>
                <w:b/>
                <w:bCs/>
                <w:sz w:val="22"/>
                <w:szCs w:val="22"/>
              </w:rPr>
            </w:pPr>
            <w:r w:rsidRPr="00730E2D">
              <w:rPr>
                <w:rFonts w:asciiTheme="minorHAnsi" w:hAnsiTheme="minorHAnsi"/>
                <w:b/>
                <w:bCs/>
                <w:sz w:val="22"/>
                <w:szCs w:val="22"/>
              </w:rPr>
              <w:t>100%</w:t>
            </w:r>
          </w:p>
        </w:tc>
        <w:tc>
          <w:tcPr>
            <w:tcW w:w="9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b/>
                <w:bCs/>
                <w:sz w:val="22"/>
                <w:szCs w:val="22"/>
              </w:rPr>
            </w:pPr>
            <w:r w:rsidRPr="00730E2D">
              <w:rPr>
                <w:rFonts w:asciiTheme="minorHAnsi" w:hAnsiTheme="minorHAnsi"/>
                <w:b/>
                <w:bCs/>
                <w:sz w:val="22"/>
                <w:szCs w:val="22"/>
              </w:rPr>
              <w:t>14%</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b/>
                <w:bCs/>
                <w:sz w:val="22"/>
                <w:szCs w:val="22"/>
              </w:rPr>
            </w:pPr>
            <w:r w:rsidRPr="00730E2D">
              <w:rPr>
                <w:rFonts w:asciiTheme="minorHAnsi" w:hAnsiTheme="minorHAnsi"/>
                <w:b/>
                <w:bCs/>
                <w:sz w:val="22"/>
                <w:szCs w:val="22"/>
              </w:rPr>
              <w:t>6%</w:t>
            </w:r>
          </w:p>
        </w:tc>
        <w:tc>
          <w:tcPr>
            <w:tcW w:w="1000" w:type="dxa"/>
            <w:tcBorders>
              <w:top w:val="single" w:sz="8" w:space="0" w:color="auto"/>
              <w:left w:val="nil"/>
              <w:bottom w:val="single" w:sz="8"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b/>
                <w:bCs/>
                <w:sz w:val="22"/>
                <w:szCs w:val="22"/>
              </w:rPr>
            </w:pPr>
            <w:r w:rsidRPr="00730E2D">
              <w:rPr>
                <w:rFonts w:asciiTheme="minorHAnsi" w:hAnsiTheme="minorHAnsi"/>
                <w:b/>
                <w:bCs/>
                <w:sz w:val="22"/>
                <w:szCs w:val="22"/>
              </w:rPr>
              <w:t>4%</w:t>
            </w:r>
          </w:p>
        </w:tc>
        <w:tc>
          <w:tcPr>
            <w:tcW w:w="1100" w:type="dxa"/>
            <w:tcBorders>
              <w:top w:val="single" w:sz="8" w:space="0" w:color="auto"/>
              <w:left w:val="nil"/>
              <w:bottom w:val="single" w:sz="8" w:space="0" w:color="auto"/>
              <w:right w:val="single" w:sz="8" w:space="0" w:color="auto"/>
            </w:tcBorders>
            <w:shd w:val="clear" w:color="auto" w:fill="auto"/>
            <w:noWrap/>
            <w:vAlign w:val="bottom"/>
            <w:hideMark/>
          </w:tcPr>
          <w:p w:rsidR="00C14217" w:rsidRPr="00730E2D" w:rsidRDefault="00C14217" w:rsidP="0074673F">
            <w:pPr>
              <w:jc w:val="right"/>
              <w:rPr>
                <w:rFonts w:asciiTheme="minorHAnsi" w:hAnsiTheme="minorHAnsi"/>
                <w:b/>
                <w:bCs/>
                <w:sz w:val="22"/>
                <w:szCs w:val="22"/>
              </w:rPr>
            </w:pPr>
            <w:r w:rsidRPr="00730E2D">
              <w:rPr>
                <w:rFonts w:asciiTheme="minorHAnsi" w:hAnsiTheme="minorHAnsi"/>
                <w:b/>
                <w:bCs/>
                <w:sz w:val="22"/>
                <w:szCs w:val="22"/>
              </w:rPr>
              <w:t>16%</w:t>
            </w:r>
          </w:p>
        </w:tc>
      </w:tr>
    </w:tbl>
    <w:p w:rsidR="00C14217" w:rsidRPr="00730E2D" w:rsidRDefault="00C14217" w:rsidP="00C14217">
      <w:pPr>
        <w:rPr>
          <w:rFonts w:asciiTheme="minorHAnsi" w:hAnsiTheme="minorHAnsi"/>
        </w:rPr>
      </w:pPr>
    </w:p>
    <w:p w:rsidR="004F385A" w:rsidRPr="00730E2D" w:rsidRDefault="004F385A">
      <w:pPr>
        <w:rPr>
          <w:rFonts w:asciiTheme="minorHAnsi" w:hAnsiTheme="minorHAnsi"/>
          <w:b/>
          <w:sz w:val="22"/>
          <w:szCs w:val="22"/>
        </w:rPr>
      </w:pPr>
      <w:r w:rsidRPr="00730E2D">
        <w:rPr>
          <w:rFonts w:asciiTheme="minorHAnsi" w:hAnsiTheme="minorHAnsi"/>
        </w:rPr>
        <w:br w:type="page"/>
      </w:r>
    </w:p>
    <w:p w:rsidR="00C14217" w:rsidRPr="00730E2D" w:rsidRDefault="004F385A" w:rsidP="004F385A">
      <w:pPr>
        <w:pStyle w:val="Caption"/>
        <w:jc w:val="left"/>
        <w:rPr>
          <w:rFonts w:asciiTheme="minorHAnsi" w:hAnsiTheme="minorHAnsi"/>
        </w:rPr>
      </w:pPr>
      <w:r w:rsidRPr="00730E2D">
        <w:rPr>
          <w:rFonts w:asciiTheme="minorHAnsi" w:hAnsiTheme="minorHAnsi"/>
        </w:rPr>
        <w:lastRenderedPageBreak/>
        <w:t xml:space="preserve">Table </w:t>
      </w:r>
      <w:r w:rsidR="003260F1" w:rsidRPr="00730E2D">
        <w:rPr>
          <w:rFonts w:asciiTheme="minorHAnsi" w:hAnsiTheme="minorHAnsi"/>
        </w:rPr>
        <w:fldChar w:fldCharType="begin"/>
      </w:r>
      <w:r w:rsidRPr="00730E2D">
        <w:rPr>
          <w:rFonts w:asciiTheme="minorHAnsi" w:hAnsiTheme="minorHAnsi"/>
        </w:rPr>
        <w:instrText xml:space="preserve"> SEQ Table \* ARABIC </w:instrText>
      </w:r>
      <w:r w:rsidR="003260F1" w:rsidRPr="00730E2D">
        <w:rPr>
          <w:rFonts w:asciiTheme="minorHAnsi" w:hAnsiTheme="minorHAnsi"/>
        </w:rPr>
        <w:fldChar w:fldCharType="separate"/>
      </w:r>
      <w:r w:rsidRPr="00730E2D">
        <w:rPr>
          <w:rFonts w:asciiTheme="minorHAnsi" w:hAnsiTheme="minorHAnsi"/>
          <w:noProof/>
        </w:rPr>
        <w:t>2</w:t>
      </w:r>
      <w:r w:rsidR="003260F1" w:rsidRPr="00730E2D">
        <w:rPr>
          <w:rFonts w:asciiTheme="minorHAnsi" w:hAnsiTheme="minorHAnsi"/>
        </w:rPr>
        <w:fldChar w:fldCharType="end"/>
      </w:r>
      <w:r w:rsidRPr="00730E2D">
        <w:rPr>
          <w:rFonts w:asciiTheme="minorHAnsi" w:hAnsiTheme="minorHAnsi"/>
        </w:rPr>
        <w:t xml:space="preserve">:  </w:t>
      </w:r>
      <w:r w:rsidR="00C14217" w:rsidRPr="00730E2D">
        <w:rPr>
          <w:rFonts w:asciiTheme="minorHAnsi" w:hAnsiTheme="minorHAnsi"/>
        </w:rPr>
        <w:t>Projected Relative Standard Errors for ARRA</w:t>
      </w:r>
    </w:p>
    <w:tbl>
      <w:tblPr>
        <w:tblW w:w="10520" w:type="dxa"/>
        <w:tblInd w:w="96" w:type="dxa"/>
        <w:tblLook w:val="04A0" w:firstRow="1" w:lastRow="0" w:firstColumn="1" w:lastColumn="0" w:noHBand="0" w:noVBand="1"/>
      </w:tblPr>
      <w:tblGrid>
        <w:gridCol w:w="1883"/>
        <w:gridCol w:w="1000"/>
        <w:gridCol w:w="1217"/>
        <w:gridCol w:w="960"/>
        <w:gridCol w:w="1094"/>
        <w:gridCol w:w="878"/>
        <w:gridCol w:w="913"/>
        <w:gridCol w:w="1426"/>
        <w:gridCol w:w="1149"/>
      </w:tblGrid>
      <w:tr w:rsidR="00C14217" w:rsidRPr="00730E2D" w:rsidTr="0074673F">
        <w:trPr>
          <w:trHeight w:val="315"/>
        </w:trPr>
        <w:tc>
          <w:tcPr>
            <w:tcW w:w="2310" w:type="dxa"/>
            <w:tcBorders>
              <w:top w:val="nil"/>
              <w:left w:val="nil"/>
              <w:bottom w:val="nil"/>
              <w:right w:val="nil"/>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ARRA</w:t>
            </w:r>
          </w:p>
        </w:tc>
        <w:tc>
          <w:tcPr>
            <w:tcW w:w="960" w:type="dxa"/>
            <w:tcBorders>
              <w:top w:val="nil"/>
              <w:left w:val="nil"/>
              <w:bottom w:val="nil"/>
              <w:right w:val="nil"/>
            </w:tcBorders>
            <w:shd w:val="clear" w:color="auto" w:fill="auto"/>
            <w:noWrap/>
            <w:vAlign w:val="bottom"/>
            <w:hideMark/>
          </w:tcPr>
          <w:p w:rsidR="00C14217" w:rsidRPr="00730E2D" w:rsidRDefault="00C14217" w:rsidP="0074673F">
            <w:pPr>
              <w:rPr>
                <w:rFonts w:asciiTheme="minorHAnsi" w:hAnsiTheme="minorHAnsi"/>
                <w:sz w:val="22"/>
                <w:szCs w:val="22"/>
              </w:rPr>
            </w:pPr>
          </w:p>
        </w:tc>
        <w:tc>
          <w:tcPr>
            <w:tcW w:w="1120" w:type="dxa"/>
            <w:tcBorders>
              <w:top w:val="nil"/>
              <w:left w:val="nil"/>
              <w:bottom w:val="nil"/>
              <w:right w:val="nil"/>
            </w:tcBorders>
            <w:shd w:val="clear" w:color="auto" w:fill="auto"/>
            <w:noWrap/>
            <w:vAlign w:val="bottom"/>
            <w:hideMark/>
          </w:tcPr>
          <w:p w:rsidR="00C14217" w:rsidRPr="00730E2D" w:rsidRDefault="00C14217" w:rsidP="0074673F">
            <w:pPr>
              <w:rPr>
                <w:rFonts w:asciiTheme="minorHAnsi" w:hAnsiTheme="minorHAnsi"/>
                <w:sz w:val="22"/>
                <w:szCs w:val="22"/>
              </w:rPr>
            </w:pPr>
          </w:p>
        </w:tc>
        <w:tc>
          <w:tcPr>
            <w:tcW w:w="960" w:type="dxa"/>
            <w:tcBorders>
              <w:top w:val="nil"/>
              <w:left w:val="nil"/>
              <w:bottom w:val="nil"/>
              <w:right w:val="nil"/>
            </w:tcBorders>
            <w:shd w:val="clear" w:color="auto" w:fill="auto"/>
            <w:noWrap/>
            <w:vAlign w:val="bottom"/>
            <w:hideMark/>
          </w:tcPr>
          <w:p w:rsidR="00C14217" w:rsidRPr="00730E2D" w:rsidRDefault="00C14217" w:rsidP="0074673F">
            <w:pPr>
              <w:rPr>
                <w:rFonts w:asciiTheme="minorHAnsi" w:hAnsiTheme="minorHAnsi"/>
                <w:sz w:val="22"/>
                <w:szCs w:val="22"/>
              </w:rPr>
            </w:pPr>
          </w:p>
        </w:tc>
        <w:tc>
          <w:tcPr>
            <w:tcW w:w="1060" w:type="dxa"/>
            <w:tcBorders>
              <w:top w:val="nil"/>
              <w:left w:val="nil"/>
              <w:bottom w:val="nil"/>
              <w:right w:val="nil"/>
            </w:tcBorders>
            <w:shd w:val="clear" w:color="auto" w:fill="auto"/>
            <w:noWrap/>
            <w:vAlign w:val="bottom"/>
            <w:hideMark/>
          </w:tcPr>
          <w:p w:rsidR="00C14217" w:rsidRPr="00730E2D" w:rsidRDefault="00C14217" w:rsidP="0074673F">
            <w:pPr>
              <w:rPr>
                <w:rFonts w:asciiTheme="minorHAnsi" w:hAnsiTheme="minorHAnsi"/>
                <w:sz w:val="22"/>
                <w:szCs w:val="22"/>
              </w:rPr>
            </w:pPr>
          </w:p>
        </w:tc>
        <w:tc>
          <w:tcPr>
            <w:tcW w:w="411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Relative Standard Error</w:t>
            </w:r>
          </w:p>
        </w:tc>
      </w:tr>
      <w:tr w:rsidR="00C14217" w:rsidRPr="00730E2D" w:rsidTr="0074673F">
        <w:trPr>
          <w:trHeight w:val="915"/>
        </w:trPr>
        <w:tc>
          <w:tcPr>
            <w:tcW w:w="231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BPAC</w:t>
            </w:r>
          </w:p>
        </w:tc>
        <w:tc>
          <w:tcPr>
            <w:tcW w:w="960" w:type="dxa"/>
            <w:tcBorders>
              <w:top w:val="single" w:sz="8" w:space="0" w:color="auto"/>
              <w:left w:val="nil"/>
              <w:bottom w:val="single" w:sz="8" w:space="0" w:color="auto"/>
              <w:right w:val="single" w:sz="4" w:space="0" w:color="auto"/>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 Program Budget</w:t>
            </w:r>
          </w:p>
        </w:tc>
        <w:tc>
          <w:tcPr>
            <w:tcW w:w="1120" w:type="dxa"/>
            <w:tcBorders>
              <w:top w:val="single" w:sz="8" w:space="0" w:color="auto"/>
              <w:left w:val="nil"/>
              <w:bottom w:val="single" w:sz="8" w:space="0" w:color="auto"/>
              <w:right w:val="single" w:sz="4" w:space="0" w:color="auto"/>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Population # PAs</w:t>
            </w:r>
          </w:p>
        </w:tc>
        <w:tc>
          <w:tcPr>
            <w:tcW w:w="960" w:type="dxa"/>
            <w:tcBorders>
              <w:top w:val="single" w:sz="8" w:space="0" w:color="auto"/>
              <w:left w:val="nil"/>
              <w:bottom w:val="single" w:sz="8" w:space="0" w:color="auto"/>
              <w:right w:val="single" w:sz="4" w:space="0" w:color="auto"/>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Sample # PAs</w:t>
            </w:r>
          </w:p>
        </w:tc>
        <w:tc>
          <w:tcPr>
            <w:tcW w:w="1060" w:type="dxa"/>
            <w:tcBorders>
              <w:top w:val="single" w:sz="8" w:space="0" w:color="auto"/>
              <w:left w:val="nil"/>
              <w:bottom w:val="single" w:sz="8" w:space="0" w:color="auto"/>
              <w:right w:val="single" w:sz="4" w:space="0" w:color="auto"/>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Projected % Savings</w:t>
            </w:r>
          </w:p>
        </w:tc>
        <w:tc>
          <w:tcPr>
            <w:tcW w:w="878" w:type="dxa"/>
            <w:tcBorders>
              <w:top w:val="nil"/>
              <w:left w:val="nil"/>
              <w:bottom w:val="single" w:sz="8" w:space="0" w:color="auto"/>
              <w:right w:val="nil"/>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Stage 1 Only</w:t>
            </w:r>
          </w:p>
        </w:tc>
        <w:tc>
          <w:tcPr>
            <w:tcW w:w="913" w:type="dxa"/>
            <w:tcBorders>
              <w:top w:val="nil"/>
              <w:left w:val="single" w:sz="4" w:space="0" w:color="auto"/>
              <w:bottom w:val="single" w:sz="8" w:space="0" w:color="auto"/>
              <w:right w:val="nil"/>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Stage 2 CATI only</w:t>
            </w:r>
          </w:p>
        </w:tc>
        <w:tc>
          <w:tcPr>
            <w:tcW w:w="1234" w:type="dxa"/>
            <w:tcBorders>
              <w:top w:val="nil"/>
              <w:left w:val="single" w:sz="4" w:space="0" w:color="auto"/>
              <w:bottom w:val="single" w:sz="8" w:space="0" w:color="auto"/>
              <w:right w:val="nil"/>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Stage 2 onsite:phone</w:t>
            </w:r>
          </w:p>
        </w:tc>
        <w:tc>
          <w:tcPr>
            <w:tcW w:w="1085" w:type="dxa"/>
            <w:tcBorders>
              <w:top w:val="nil"/>
              <w:left w:val="single" w:sz="4" w:space="0" w:color="auto"/>
              <w:bottom w:val="single" w:sz="8" w:space="0" w:color="auto"/>
              <w:right w:val="single" w:sz="8" w:space="0" w:color="auto"/>
            </w:tcBorders>
            <w:shd w:val="clear" w:color="auto" w:fill="auto"/>
            <w:vAlign w:val="bottom"/>
            <w:hideMark/>
          </w:tcPr>
          <w:p w:rsidR="00C14217" w:rsidRPr="00730E2D" w:rsidRDefault="00C14217" w:rsidP="0074673F">
            <w:pPr>
              <w:jc w:val="center"/>
              <w:rPr>
                <w:rFonts w:asciiTheme="minorHAnsi" w:hAnsiTheme="minorHAnsi"/>
                <w:b/>
                <w:bCs/>
                <w:sz w:val="22"/>
                <w:szCs w:val="22"/>
              </w:rPr>
            </w:pPr>
            <w:r w:rsidRPr="00730E2D">
              <w:rPr>
                <w:rFonts w:asciiTheme="minorHAnsi" w:hAnsiTheme="minorHAnsi"/>
                <w:b/>
                <w:bCs/>
                <w:sz w:val="22"/>
                <w:szCs w:val="22"/>
              </w:rPr>
              <w:t>Combined</w:t>
            </w:r>
          </w:p>
        </w:tc>
      </w:tr>
      <w:tr w:rsidR="00C14217" w:rsidRPr="00730E2D" w:rsidTr="0074673F">
        <w:trPr>
          <w:trHeight w:val="615"/>
        </w:trPr>
        <w:tc>
          <w:tcPr>
            <w:tcW w:w="2310" w:type="dxa"/>
            <w:tcBorders>
              <w:top w:val="nil"/>
              <w:left w:val="single" w:sz="8" w:space="0" w:color="auto"/>
              <w:bottom w:val="single" w:sz="4" w:space="0" w:color="auto"/>
              <w:right w:val="single" w:sz="4" w:space="0" w:color="auto"/>
            </w:tcBorders>
            <w:shd w:val="clear" w:color="auto" w:fill="auto"/>
            <w:vAlign w:val="bottom"/>
            <w:hideMark/>
          </w:tcPr>
          <w:p w:rsidR="00C14217" w:rsidRPr="00730E2D" w:rsidRDefault="00C14217" w:rsidP="0074673F">
            <w:pPr>
              <w:rPr>
                <w:rFonts w:asciiTheme="minorHAnsi" w:hAnsiTheme="minorHAnsi"/>
                <w:sz w:val="22"/>
                <w:szCs w:val="22"/>
              </w:rPr>
            </w:pPr>
            <w:r w:rsidRPr="00730E2D">
              <w:rPr>
                <w:rFonts w:asciiTheme="minorHAnsi" w:hAnsiTheme="minorHAnsi"/>
                <w:sz w:val="22"/>
                <w:szCs w:val="22"/>
              </w:rPr>
              <w:t>Building Codes and Standards</w:t>
            </w:r>
          </w:p>
        </w:tc>
        <w:tc>
          <w:tcPr>
            <w:tcW w:w="9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w:t>
            </w:r>
          </w:p>
        </w:tc>
        <w:tc>
          <w:tcPr>
            <w:tcW w:w="112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19 </w:t>
            </w:r>
          </w:p>
        </w:tc>
        <w:tc>
          <w:tcPr>
            <w:tcW w:w="96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4 </w:t>
            </w:r>
          </w:p>
        </w:tc>
        <w:tc>
          <w:tcPr>
            <w:tcW w:w="10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2%</w:t>
            </w:r>
          </w:p>
        </w:tc>
        <w:tc>
          <w:tcPr>
            <w:tcW w:w="878" w:type="dxa"/>
            <w:tcBorders>
              <w:top w:val="nil"/>
              <w:left w:val="nil"/>
              <w:bottom w:val="single" w:sz="4"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44%</w:t>
            </w:r>
          </w:p>
        </w:tc>
        <w:tc>
          <w:tcPr>
            <w:tcW w:w="913" w:type="dxa"/>
            <w:tcBorders>
              <w:top w:val="nil"/>
              <w:left w:val="single" w:sz="4" w:space="0" w:color="auto"/>
              <w:bottom w:val="single" w:sz="4"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9%</w:t>
            </w:r>
          </w:p>
        </w:tc>
        <w:tc>
          <w:tcPr>
            <w:tcW w:w="1234" w:type="dxa"/>
            <w:tcBorders>
              <w:top w:val="nil"/>
              <w:left w:val="single" w:sz="4" w:space="0" w:color="auto"/>
              <w:bottom w:val="single" w:sz="4"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0%</w:t>
            </w:r>
          </w:p>
        </w:tc>
        <w:tc>
          <w:tcPr>
            <w:tcW w:w="1085" w:type="dxa"/>
            <w:tcBorders>
              <w:top w:val="nil"/>
              <w:left w:val="single" w:sz="4" w:space="0" w:color="auto"/>
              <w:bottom w:val="single" w:sz="4" w:space="0" w:color="auto"/>
              <w:right w:val="single" w:sz="8"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46%</w:t>
            </w:r>
          </w:p>
        </w:tc>
      </w:tr>
      <w:tr w:rsidR="00C14217" w:rsidRPr="00730E2D" w:rsidTr="0074673F">
        <w:trPr>
          <w:trHeight w:val="615"/>
        </w:trPr>
        <w:tc>
          <w:tcPr>
            <w:tcW w:w="2310" w:type="dxa"/>
            <w:tcBorders>
              <w:top w:val="nil"/>
              <w:left w:val="single" w:sz="8" w:space="0" w:color="auto"/>
              <w:bottom w:val="single" w:sz="4" w:space="0" w:color="auto"/>
              <w:right w:val="single" w:sz="4" w:space="0" w:color="auto"/>
            </w:tcBorders>
            <w:shd w:val="clear" w:color="auto" w:fill="auto"/>
            <w:vAlign w:val="bottom"/>
            <w:hideMark/>
          </w:tcPr>
          <w:p w:rsidR="00C14217" w:rsidRPr="00730E2D" w:rsidRDefault="00C14217" w:rsidP="0074673F">
            <w:pPr>
              <w:rPr>
                <w:rFonts w:asciiTheme="minorHAnsi" w:hAnsiTheme="minorHAnsi"/>
                <w:sz w:val="22"/>
                <w:szCs w:val="22"/>
              </w:rPr>
            </w:pPr>
            <w:r w:rsidRPr="00730E2D">
              <w:rPr>
                <w:rFonts w:asciiTheme="minorHAnsi" w:hAnsiTheme="minorHAnsi"/>
                <w:sz w:val="22"/>
                <w:szCs w:val="22"/>
              </w:rPr>
              <w:t>Building Retrofits</w:t>
            </w:r>
          </w:p>
        </w:tc>
        <w:tc>
          <w:tcPr>
            <w:tcW w:w="9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28%</w:t>
            </w:r>
          </w:p>
        </w:tc>
        <w:tc>
          <w:tcPr>
            <w:tcW w:w="112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89 </w:t>
            </w:r>
          </w:p>
        </w:tc>
        <w:tc>
          <w:tcPr>
            <w:tcW w:w="96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8 </w:t>
            </w:r>
          </w:p>
        </w:tc>
        <w:tc>
          <w:tcPr>
            <w:tcW w:w="10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31%</w:t>
            </w:r>
          </w:p>
        </w:tc>
        <w:tc>
          <w:tcPr>
            <w:tcW w:w="878" w:type="dxa"/>
            <w:tcBorders>
              <w:top w:val="nil"/>
              <w:left w:val="nil"/>
              <w:bottom w:val="single" w:sz="4"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35%</w:t>
            </w:r>
          </w:p>
        </w:tc>
        <w:tc>
          <w:tcPr>
            <w:tcW w:w="913" w:type="dxa"/>
            <w:tcBorders>
              <w:top w:val="nil"/>
              <w:left w:val="single" w:sz="4" w:space="0" w:color="auto"/>
              <w:bottom w:val="single" w:sz="4"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13%</w:t>
            </w:r>
          </w:p>
        </w:tc>
        <w:tc>
          <w:tcPr>
            <w:tcW w:w="1234" w:type="dxa"/>
            <w:tcBorders>
              <w:top w:val="nil"/>
              <w:left w:val="single" w:sz="4" w:space="0" w:color="auto"/>
              <w:bottom w:val="single" w:sz="4"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17%</w:t>
            </w:r>
          </w:p>
        </w:tc>
        <w:tc>
          <w:tcPr>
            <w:tcW w:w="1085" w:type="dxa"/>
            <w:tcBorders>
              <w:top w:val="nil"/>
              <w:left w:val="single" w:sz="4" w:space="0" w:color="auto"/>
              <w:bottom w:val="single" w:sz="4" w:space="0" w:color="auto"/>
              <w:right w:val="single" w:sz="8"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42%</w:t>
            </w:r>
          </w:p>
        </w:tc>
      </w:tr>
      <w:tr w:rsidR="00C14217" w:rsidRPr="00730E2D" w:rsidTr="0074673F">
        <w:trPr>
          <w:trHeight w:val="615"/>
        </w:trPr>
        <w:tc>
          <w:tcPr>
            <w:tcW w:w="2310" w:type="dxa"/>
            <w:tcBorders>
              <w:top w:val="nil"/>
              <w:left w:val="single" w:sz="8" w:space="0" w:color="auto"/>
              <w:bottom w:val="single" w:sz="4" w:space="0" w:color="auto"/>
              <w:right w:val="single" w:sz="4" w:space="0" w:color="auto"/>
            </w:tcBorders>
            <w:shd w:val="clear" w:color="auto" w:fill="auto"/>
            <w:vAlign w:val="bottom"/>
            <w:hideMark/>
          </w:tcPr>
          <w:p w:rsidR="00C14217" w:rsidRPr="00730E2D" w:rsidRDefault="00C14217" w:rsidP="0074673F">
            <w:pPr>
              <w:rPr>
                <w:rFonts w:asciiTheme="minorHAnsi" w:hAnsiTheme="minorHAnsi"/>
                <w:sz w:val="22"/>
                <w:szCs w:val="22"/>
              </w:rPr>
            </w:pPr>
            <w:r w:rsidRPr="00730E2D">
              <w:rPr>
                <w:rFonts w:asciiTheme="minorHAnsi" w:hAnsiTheme="minorHAnsi"/>
                <w:sz w:val="22"/>
                <w:szCs w:val="22"/>
              </w:rPr>
              <w:t>Loans, Grants and Incentives (Excl Retrofits &amp; Prjcts)</w:t>
            </w:r>
          </w:p>
        </w:tc>
        <w:tc>
          <w:tcPr>
            <w:tcW w:w="9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12%</w:t>
            </w:r>
          </w:p>
        </w:tc>
        <w:tc>
          <w:tcPr>
            <w:tcW w:w="112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18 </w:t>
            </w:r>
          </w:p>
        </w:tc>
        <w:tc>
          <w:tcPr>
            <w:tcW w:w="96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2 </w:t>
            </w:r>
          </w:p>
        </w:tc>
        <w:tc>
          <w:tcPr>
            <w:tcW w:w="10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7%</w:t>
            </w:r>
          </w:p>
        </w:tc>
        <w:tc>
          <w:tcPr>
            <w:tcW w:w="878" w:type="dxa"/>
            <w:tcBorders>
              <w:top w:val="nil"/>
              <w:left w:val="nil"/>
              <w:bottom w:val="single" w:sz="4"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61%</w:t>
            </w:r>
          </w:p>
        </w:tc>
        <w:tc>
          <w:tcPr>
            <w:tcW w:w="913" w:type="dxa"/>
            <w:tcBorders>
              <w:top w:val="nil"/>
              <w:left w:val="single" w:sz="4" w:space="0" w:color="auto"/>
              <w:bottom w:val="single" w:sz="4"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0%</w:t>
            </w:r>
          </w:p>
        </w:tc>
        <w:tc>
          <w:tcPr>
            <w:tcW w:w="1234" w:type="dxa"/>
            <w:tcBorders>
              <w:top w:val="nil"/>
              <w:left w:val="single" w:sz="4" w:space="0" w:color="auto"/>
              <w:bottom w:val="single" w:sz="4"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0%</w:t>
            </w:r>
          </w:p>
        </w:tc>
        <w:tc>
          <w:tcPr>
            <w:tcW w:w="1085" w:type="dxa"/>
            <w:tcBorders>
              <w:top w:val="nil"/>
              <w:left w:val="single" w:sz="4" w:space="0" w:color="auto"/>
              <w:bottom w:val="single" w:sz="4" w:space="0" w:color="auto"/>
              <w:right w:val="single" w:sz="8"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61%</w:t>
            </w:r>
          </w:p>
        </w:tc>
      </w:tr>
      <w:tr w:rsidR="00C14217" w:rsidRPr="00730E2D" w:rsidTr="0074673F">
        <w:trPr>
          <w:trHeight w:val="615"/>
        </w:trPr>
        <w:tc>
          <w:tcPr>
            <w:tcW w:w="2310" w:type="dxa"/>
            <w:tcBorders>
              <w:top w:val="nil"/>
              <w:left w:val="single" w:sz="8" w:space="0" w:color="auto"/>
              <w:bottom w:val="single" w:sz="4" w:space="0" w:color="auto"/>
              <w:right w:val="single" w:sz="4" w:space="0" w:color="auto"/>
            </w:tcBorders>
            <w:shd w:val="clear" w:color="auto" w:fill="auto"/>
            <w:vAlign w:val="bottom"/>
            <w:hideMark/>
          </w:tcPr>
          <w:p w:rsidR="00C14217" w:rsidRPr="00730E2D" w:rsidRDefault="00C14217" w:rsidP="0074673F">
            <w:pPr>
              <w:rPr>
                <w:rFonts w:asciiTheme="minorHAnsi" w:hAnsiTheme="minorHAnsi"/>
                <w:sz w:val="22"/>
                <w:szCs w:val="22"/>
              </w:rPr>
            </w:pPr>
            <w:r w:rsidRPr="00730E2D">
              <w:rPr>
                <w:rFonts w:asciiTheme="minorHAnsi" w:hAnsiTheme="minorHAnsi"/>
                <w:sz w:val="22"/>
                <w:szCs w:val="22"/>
              </w:rPr>
              <w:t>Loans, Grants and Incentives (Retrofits &amp; Prjcts)</w:t>
            </w:r>
          </w:p>
        </w:tc>
        <w:tc>
          <w:tcPr>
            <w:tcW w:w="9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41%</w:t>
            </w:r>
          </w:p>
        </w:tc>
        <w:tc>
          <w:tcPr>
            <w:tcW w:w="112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111 </w:t>
            </w:r>
          </w:p>
        </w:tc>
        <w:tc>
          <w:tcPr>
            <w:tcW w:w="960" w:type="dxa"/>
            <w:tcBorders>
              <w:top w:val="nil"/>
              <w:left w:val="nil"/>
              <w:bottom w:val="single" w:sz="4"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10 </w:t>
            </w:r>
          </w:p>
        </w:tc>
        <w:tc>
          <w:tcPr>
            <w:tcW w:w="1060" w:type="dxa"/>
            <w:tcBorders>
              <w:top w:val="nil"/>
              <w:left w:val="nil"/>
              <w:bottom w:val="single" w:sz="4"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39%</w:t>
            </w:r>
          </w:p>
        </w:tc>
        <w:tc>
          <w:tcPr>
            <w:tcW w:w="878" w:type="dxa"/>
            <w:tcBorders>
              <w:top w:val="nil"/>
              <w:left w:val="nil"/>
              <w:bottom w:val="single" w:sz="4"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32%</w:t>
            </w:r>
          </w:p>
        </w:tc>
        <w:tc>
          <w:tcPr>
            <w:tcW w:w="913" w:type="dxa"/>
            <w:tcBorders>
              <w:top w:val="nil"/>
              <w:left w:val="single" w:sz="4" w:space="0" w:color="auto"/>
              <w:bottom w:val="single" w:sz="4"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12%</w:t>
            </w:r>
          </w:p>
        </w:tc>
        <w:tc>
          <w:tcPr>
            <w:tcW w:w="1234" w:type="dxa"/>
            <w:tcBorders>
              <w:top w:val="nil"/>
              <w:left w:val="single" w:sz="4" w:space="0" w:color="auto"/>
              <w:bottom w:val="single" w:sz="4" w:space="0" w:color="auto"/>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10%</w:t>
            </w:r>
          </w:p>
        </w:tc>
        <w:tc>
          <w:tcPr>
            <w:tcW w:w="1085" w:type="dxa"/>
            <w:tcBorders>
              <w:top w:val="nil"/>
              <w:left w:val="single" w:sz="4" w:space="0" w:color="auto"/>
              <w:bottom w:val="single" w:sz="4" w:space="0" w:color="auto"/>
              <w:right w:val="single" w:sz="8"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36%</w:t>
            </w:r>
          </w:p>
        </w:tc>
      </w:tr>
      <w:tr w:rsidR="00C14217" w:rsidRPr="00730E2D" w:rsidTr="0074673F">
        <w:trPr>
          <w:trHeight w:val="615"/>
        </w:trPr>
        <w:tc>
          <w:tcPr>
            <w:tcW w:w="2310" w:type="dxa"/>
            <w:tcBorders>
              <w:top w:val="nil"/>
              <w:left w:val="single" w:sz="8" w:space="0" w:color="auto"/>
              <w:bottom w:val="nil"/>
              <w:right w:val="single" w:sz="4" w:space="0" w:color="auto"/>
            </w:tcBorders>
            <w:shd w:val="clear" w:color="auto" w:fill="auto"/>
            <w:vAlign w:val="bottom"/>
            <w:hideMark/>
          </w:tcPr>
          <w:p w:rsidR="00C14217" w:rsidRPr="00730E2D" w:rsidRDefault="00C14217" w:rsidP="0074673F">
            <w:pPr>
              <w:rPr>
                <w:rFonts w:asciiTheme="minorHAnsi" w:hAnsiTheme="minorHAnsi"/>
                <w:sz w:val="22"/>
                <w:szCs w:val="22"/>
              </w:rPr>
            </w:pPr>
            <w:r w:rsidRPr="00730E2D">
              <w:rPr>
                <w:rFonts w:asciiTheme="minorHAnsi" w:hAnsiTheme="minorHAnsi"/>
                <w:sz w:val="22"/>
                <w:szCs w:val="22"/>
              </w:rPr>
              <w:t>Renewable Energy Market Development</w:t>
            </w:r>
          </w:p>
        </w:tc>
        <w:tc>
          <w:tcPr>
            <w:tcW w:w="960" w:type="dxa"/>
            <w:tcBorders>
              <w:top w:val="nil"/>
              <w:left w:val="nil"/>
              <w:bottom w:val="nil"/>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19%</w:t>
            </w:r>
          </w:p>
        </w:tc>
        <w:tc>
          <w:tcPr>
            <w:tcW w:w="1120" w:type="dxa"/>
            <w:tcBorders>
              <w:top w:val="nil"/>
              <w:left w:val="nil"/>
              <w:bottom w:val="nil"/>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69 </w:t>
            </w:r>
          </w:p>
        </w:tc>
        <w:tc>
          <w:tcPr>
            <w:tcW w:w="960" w:type="dxa"/>
            <w:tcBorders>
              <w:top w:val="nil"/>
              <w:left w:val="nil"/>
              <w:bottom w:val="nil"/>
              <w:right w:val="single" w:sz="4" w:space="0" w:color="auto"/>
            </w:tcBorders>
            <w:shd w:val="clear" w:color="auto" w:fill="auto"/>
            <w:noWrap/>
            <w:vAlign w:val="bottom"/>
            <w:hideMark/>
          </w:tcPr>
          <w:p w:rsidR="002A3A21" w:rsidRPr="00730E2D" w:rsidRDefault="00C14217">
            <w:pPr>
              <w:jc w:val="right"/>
              <w:rPr>
                <w:rFonts w:asciiTheme="minorHAnsi" w:hAnsiTheme="minorHAnsi"/>
                <w:sz w:val="22"/>
                <w:szCs w:val="22"/>
              </w:rPr>
            </w:pPr>
            <w:r w:rsidRPr="00730E2D">
              <w:rPr>
                <w:rFonts w:asciiTheme="minorHAnsi" w:hAnsiTheme="minorHAnsi"/>
                <w:sz w:val="22"/>
                <w:szCs w:val="22"/>
              </w:rPr>
              <w:t xml:space="preserve">                5 </w:t>
            </w:r>
          </w:p>
        </w:tc>
        <w:tc>
          <w:tcPr>
            <w:tcW w:w="1060" w:type="dxa"/>
            <w:tcBorders>
              <w:top w:val="nil"/>
              <w:left w:val="nil"/>
              <w:bottom w:val="nil"/>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20%</w:t>
            </w:r>
          </w:p>
        </w:tc>
        <w:tc>
          <w:tcPr>
            <w:tcW w:w="878" w:type="dxa"/>
            <w:tcBorders>
              <w:top w:val="nil"/>
              <w:left w:val="nil"/>
              <w:bottom w:val="nil"/>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42%</w:t>
            </w:r>
          </w:p>
        </w:tc>
        <w:tc>
          <w:tcPr>
            <w:tcW w:w="913" w:type="dxa"/>
            <w:tcBorders>
              <w:top w:val="nil"/>
              <w:left w:val="single" w:sz="4" w:space="0" w:color="auto"/>
              <w:bottom w:val="nil"/>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13%</w:t>
            </w:r>
          </w:p>
        </w:tc>
        <w:tc>
          <w:tcPr>
            <w:tcW w:w="1234" w:type="dxa"/>
            <w:tcBorders>
              <w:top w:val="nil"/>
              <w:left w:val="single" w:sz="4" w:space="0" w:color="auto"/>
              <w:bottom w:val="nil"/>
              <w:right w:val="nil"/>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0%</w:t>
            </w:r>
          </w:p>
        </w:tc>
        <w:tc>
          <w:tcPr>
            <w:tcW w:w="1085" w:type="dxa"/>
            <w:tcBorders>
              <w:top w:val="nil"/>
              <w:left w:val="single" w:sz="4" w:space="0" w:color="auto"/>
              <w:bottom w:val="nil"/>
              <w:right w:val="single" w:sz="8" w:space="0" w:color="auto"/>
            </w:tcBorders>
            <w:shd w:val="clear" w:color="auto" w:fill="auto"/>
            <w:noWrap/>
            <w:vAlign w:val="bottom"/>
            <w:hideMark/>
          </w:tcPr>
          <w:p w:rsidR="00C14217" w:rsidRPr="00730E2D" w:rsidRDefault="00C14217" w:rsidP="0074673F">
            <w:pPr>
              <w:jc w:val="right"/>
              <w:rPr>
                <w:rFonts w:asciiTheme="minorHAnsi" w:hAnsiTheme="minorHAnsi"/>
                <w:sz w:val="22"/>
                <w:szCs w:val="22"/>
              </w:rPr>
            </w:pPr>
            <w:r w:rsidRPr="00730E2D">
              <w:rPr>
                <w:rFonts w:asciiTheme="minorHAnsi" w:hAnsiTheme="minorHAnsi"/>
                <w:sz w:val="22"/>
                <w:szCs w:val="22"/>
              </w:rPr>
              <w:t>44%</w:t>
            </w:r>
          </w:p>
        </w:tc>
      </w:tr>
      <w:tr w:rsidR="00C14217" w:rsidRPr="00730E2D" w:rsidTr="0074673F">
        <w:trPr>
          <w:trHeight w:val="315"/>
        </w:trPr>
        <w:tc>
          <w:tcPr>
            <w:tcW w:w="231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C14217" w:rsidRPr="00730E2D" w:rsidRDefault="00C14217" w:rsidP="0074673F">
            <w:pPr>
              <w:rPr>
                <w:rFonts w:asciiTheme="minorHAnsi" w:hAnsiTheme="minorHAnsi"/>
                <w:b/>
                <w:bCs/>
                <w:sz w:val="22"/>
                <w:szCs w:val="22"/>
              </w:rPr>
            </w:pPr>
            <w:r w:rsidRPr="00730E2D">
              <w:rPr>
                <w:rFonts w:asciiTheme="minorHAnsi" w:hAnsiTheme="minorHAnsi"/>
                <w:b/>
                <w:bCs/>
                <w:sz w:val="22"/>
                <w:szCs w:val="22"/>
              </w:rPr>
              <w:t>TOTAL</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b/>
                <w:sz w:val="22"/>
                <w:szCs w:val="22"/>
              </w:rPr>
            </w:pPr>
            <w:r w:rsidRPr="00730E2D">
              <w:rPr>
                <w:rFonts w:asciiTheme="minorHAnsi" w:hAnsiTheme="minorHAnsi"/>
                <w:b/>
                <w:sz w:val="22"/>
                <w:szCs w:val="22"/>
              </w:rPr>
              <w:t>100%</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b/>
                <w:sz w:val="22"/>
                <w:szCs w:val="22"/>
              </w:rPr>
            </w:pPr>
            <w:r w:rsidRPr="00730E2D">
              <w:rPr>
                <w:rFonts w:asciiTheme="minorHAnsi" w:hAnsiTheme="minorHAnsi"/>
                <w:b/>
                <w:sz w:val="22"/>
                <w:szCs w:val="22"/>
              </w:rPr>
              <w:t xml:space="preserve">               306 </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2A3A21" w:rsidRPr="00730E2D" w:rsidRDefault="00C14217">
            <w:pPr>
              <w:jc w:val="right"/>
              <w:rPr>
                <w:rFonts w:asciiTheme="minorHAnsi" w:hAnsiTheme="minorHAnsi"/>
                <w:b/>
                <w:sz w:val="22"/>
                <w:szCs w:val="22"/>
              </w:rPr>
            </w:pPr>
            <w:r w:rsidRPr="00730E2D">
              <w:rPr>
                <w:rFonts w:asciiTheme="minorHAnsi" w:hAnsiTheme="minorHAnsi"/>
                <w:b/>
                <w:sz w:val="22"/>
                <w:szCs w:val="22"/>
              </w:rPr>
              <w:t xml:space="preserve">              29 </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rsidR="00C14217" w:rsidRPr="00730E2D" w:rsidRDefault="00C14217" w:rsidP="0074673F">
            <w:pPr>
              <w:jc w:val="right"/>
              <w:rPr>
                <w:rFonts w:asciiTheme="minorHAnsi" w:hAnsiTheme="minorHAnsi"/>
                <w:b/>
                <w:sz w:val="22"/>
                <w:szCs w:val="22"/>
              </w:rPr>
            </w:pPr>
            <w:r w:rsidRPr="00730E2D">
              <w:rPr>
                <w:rFonts w:asciiTheme="minorHAnsi" w:hAnsiTheme="minorHAnsi"/>
                <w:b/>
                <w:sz w:val="22"/>
                <w:szCs w:val="22"/>
              </w:rPr>
              <w:t>100%</w:t>
            </w:r>
          </w:p>
        </w:tc>
        <w:tc>
          <w:tcPr>
            <w:tcW w:w="878" w:type="dxa"/>
            <w:tcBorders>
              <w:top w:val="single" w:sz="8" w:space="0" w:color="auto"/>
              <w:left w:val="nil"/>
              <w:bottom w:val="single" w:sz="8" w:space="0" w:color="auto"/>
              <w:right w:val="nil"/>
            </w:tcBorders>
            <w:shd w:val="clear" w:color="auto" w:fill="auto"/>
            <w:noWrap/>
            <w:vAlign w:val="bottom"/>
            <w:hideMark/>
          </w:tcPr>
          <w:p w:rsidR="00C14217" w:rsidRPr="00730E2D" w:rsidRDefault="00C14217" w:rsidP="0074673F">
            <w:pPr>
              <w:jc w:val="right"/>
              <w:rPr>
                <w:rFonts w:asciiTheme="minorHAnsi" w:hAnsiTheme="minorHAnsi"/>
                <w:b/>
                <w:sz w:val="22"/>
                <w:szCs w:val="22"/>
              </w:rPr>
            </w:pPr>
            <w:r w:rsidRPr="00730E2D">
              <w:rPr>
                <w:rFonts w:asciiTheme="minorHAnsi" w:hAnsiTheme="minorHAnsi"/>
                <w:b/>
                <w:sz w:val="22"/>
                <w:szCs w:val="22"/>
              </w:rPr>
              <w:t>19%</w:t>
            </w:r>
          </w:p>
        </w:tc>
        <w:tc>
          <w:tcPr>
            <w:tcW w:w="913" w:type="dxa"/>
            <w:tcBorders>
              <w:top w:val="single" w:sz="8" w:space="0" w:color="auto"/>
              <w:left w:val="single" w:sz="4" w:space="0" w:color="auto"/>
              <w:bottom w:val="single" w:sz="8" w:space="0" w:color="auto"/>
              <w:right w:val="nil"/>
            </w:tcBorders>
            <w:shd w:val="clear" w:color="auto" w:fill="auto"/>
            <w:noWrap/>
            <w:vAlign w:val="bottom"/>
            <w:hideMark/>
          </w:tcPr>
          <w:p w:rsidR="00C14217" w:rsidRPr="00730E2D" w:rsidRDefault="00C14217" w:rsidP="0074673F">
            <w:pPr>
              <w:jc w:val="right"/>
              <w:rPr>
                <w:rFonts w:asciiTheme="minorHAnsi" w:hAnsiTheme="minorHAnsi"/>
                <w:b/>
                <w:sz w:val="22"/>
                <w:szCs w:val="22"/>
              </w:rPr>
            </w:pPr>
            <w:r w:rsidRPr="00730E2D">
              <w:rPr>
                <w:rFonts w:asciiTheme="minorHAnsi" w:hAnsiTheme="minorHAnsi"/>
                <w:b/>
                <w:sz w:val="22"/>
                <w:szCs w:val="22"/>
              </w:rPr>
              <w:t>7%</w:t>
            </w:r>
          </w:p>
        </w:tc>
        <w:tc>
          <w:tcPr>
            <w:tcW w:w="1234" w:type="dxa"/>
            <w:tcBorders>
              <w:top w:val="single" w:sz="8" w:space="0" w:color="auto"/>
              <w:left w:val="single" w:sz="4" w:space="0" w:color="auto"/>
              <w:bottom w:val="single" w:sz="8" w:space="0" w:color="auto"/>
              <w:right w:val="nil"/>
            </w:tcBorders>
            <w:shd w:val="clear" w:color="auto" w:fill="auto"/>
            <w:noWrap/>
            <w:vAlign w:val="bottom"/>
            <w:hideMark/>
          </w:tcPr>
          <w:p w:rsidR="00C14217" w:rsidRPr="00730E2D" w:rsidRDefault="00C14217" w:rsidP="0074673F">
            <w:pPr>
              <w:jc w:val="right"/>
              <w:rPr>
                <w:rFonts w:asciiTheme="minorHAnsi" w:hAnsiTheme="minorHAnsi"/>
                <w:b/>
                <w:sz w:val="22"/>
                <w:szCs w:val="22"/>
              </w:rPr>
            </w:pPr>
            <w:r w:rsidRPr="00730E2D">
              <w:rPr>
                <w:rFonts w:asciiTheme="minorHAnsi" w:hAnsiTheme="minorHAnsi"/>
                <w:b/>
                <w:sz w:val="22"/>
                <w:szCs w:val="22"/>
              </w:rPr>
              <w:t>7%</w:t>
            </w:r>
          </w:p>
        </w:tc>
        <w:tc>
          <w:tcPr>
            <w:tcW w:w="1085"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C14217" w:rsidRPr="00730E2D" w:rsidRDefault="00C14217" w:rsidP="0074673F">
            <w:pPr>
              <w:jc w:val="right"/>
              <w:rPr>
                <w:rFonts w:asciiTheme="minorHAnsi" w:hAnsiTheme="minorHAnsi"/>
                <w:b/>
                <w:sz w:val="22"/>
                <w:szCs w:val="22"/>
              </w:rPr>
            </w:pPr>
            <w:r w:rsidRPr="00730E2D">
              <w:rPr>
                <w:rFonts w:asciiTheme="minorHAnsi" w:hAnsiTheme="minorHAnsi"/>
                <w:b/>
                <w:sz w:val="22"/>
                <w:szCs w:val="22"/>
              </w:rPr>
              <w:t>22%</w:t>
            </w:r>
          </w:p>
        </w:tc>
      </w:tr>
    </w:tbl>
    <w:p w:rsidR="007775A4" w:rsidRPr="00730E2D" w:rsidRDefault="007775A4" w:rsidP="00C14217">
      <w:pPr>
        <w:rPr>
          <w:rFonts w:asciiTheme="minorHAnsi" w:hAnsiTheme="minorHAnsi"/>
        </w:rPr>
        <w:sectPr w:rsidR="007775A4" w:rsidRPr="00730E2D" w:rsidSect="007775A4">
          <w:pgSz w:w="15840" w:h="12240" w:orient="landscape"/>
          <w:pgMar w:top="1800" w:right="1440" w:bottom="1800" w:left="1440" w:header="720" w:footer="720" w:gutter="0"/>
          <w:cols w:space="720"/>
          <w:docGrid w:linePitch="326"/>
        </w:sectPr>
      </w:pPr>
    </w:p>
    <w:p w:rsidR="00C14217" w:rsidRPr="00730E2D" w:rsidRDefault="00C14217" w:rsidP="00C14217">
      <w:pPr>
        <w:rPr>
          <w:rFonts w:asciiTheme="minorHAnsi" w:hAnsiTheme="minorHAnsi"/>
        </w:rPr>
      </w:pPr>
    </w:p>
    <w:p w:rsidR="00E61E68" w:rsidRPr="00730E2D" w:rsidRDefault="00E61E68" w:rsidP="00580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 w:lineRule="atLeast"/>
        <w:jc w:val="both"/>
        <w:rPr>
          <w:rFonts w:asciiTheme="minorHAnsi" w:hAnsiTheme="minorHAnsi"/>
        </w:rPr>
      </w:pPr>
    </w:p>
    <w:p w:rsidR="00675E61" w:rsidRPr="00730E2D" w:rsidRDefault="00675E61" w:rsidP="00580575">
      <w:pPr>
        <w:jc w:val="both"/>
        <w:rPr>
          <w:rFonts w:asciiTheme="minorHAnsi" w:hAnsiTheme="minorHAnsi"/>
          <w:b/>
          <w:u w:val="single"/>
        </w:rPr>
      </w:pPr>
      <w:r w:rsidRPr="00730E2D">
        <w:rPr>
          <w:rFonts w:asciiTheme="minorHAnsi" w:hAnsiTheme="minorHAnsi"/>
          <w:b/>
        </w:rPr>
        <w:t xml:space="preserve">3.  </w:t>
      </w:r>
      <w:r w:rsidRPr="00730E2D">
        <w:rPr>
          <w:rFonts w:asciiTheme="minorHAnsi" w:hAnsiTheme="minorHAnsi"/>
          <w:b/>
          <w:u w:val="single"/>
        </w:rPr>
        <w:t>Describe methods to maximize response rates and to deal with issues of non-response.</w:t>
      </w:r>
    </w:p>
    <w:p w:rsidR="00675E61" w:rsidRPr="00730E2D" w:rsidRDefault="00675E61" w:rsidP="00580575">
      <w:pPr>
        <w:jc w:val="both"/>
        <w:rPr>
          <w:rFonts w:asciiTheme="minorHAnsi" w:hAnsiTheme="minorHAnsi"/>
          <w:b/>
        </w:rPr>
      </w:pPr>
    </w:p>
    <w:p w:rsidR="00675E61" w:rsidRPr="00730E2D" w:rsidRDefault="00675E61" w:rsidP="00580575">
      <w:pPr>
        <w:tabs>
          <w:tab w:val="left" w:pos="540"/>
        </w:tabs>
        <w:jc w:val="both"/>
        <w:rPr>
          <w:rFonts w:asciiTheme="minorHAnsi" w:hAnsiTheme="minorHAnsi"/>
          <w:i/>
        </w:rPr>
      </w:pPr>
    </w:p>
    <w:p w:rsidR="00675E61" w:rsidRPr="00730E2D" w:rsidRDefault="00675E61" w:rsidP="00580575">
      <w:pPr>
        <w:tabs>
          <w:tab w:val="left" w:pos="540"/>
        </w:tabs>
        <w:jc w:val="both"/>
        <w:rPr>
          <w:rFonts w:asciiTheme="minorHAnsi" w:hAnsiTheme="minorHAnsi"/>
          <w:i/>
        </w:rPr>
      </w:pPr>
      <w:r w:rsidRPr="00730E2D">
        <w:rPr>
          <w:rFonts w:asciiTheme="minorHAnsi" w:hAnsiTheme="minorHAnsi"/>
          <w:i/>
        </w:rPr>
        <w:t>Maximizing response rates</w:t>
      </w:r>
    </w:p>
    <w:p w:rsidR="00675E61" w:rsidRPr="00730E2D" w:rsidRDefault="00675E61" w:rsidP="00580575">
      <w:pPr>
        <w:jc w:val="both"/>
        <w:rPr>
          <w:rFonts w:asciiTheme="minorHAnsi" w:hAnsiTheme="minorHAnsi"/>
        </w:rPr>
      </w:pPr>
    </w:p>
    <w:p w:rsidR="00675E61" w:rsidRPr="00730E2D" w:rsidRDefault="00675E61" w:rsidP="00580575">
      <w:pPr>
        <w:jc w:val="both"/>
        <w:rPr>
          <w:rFonts w:asciiTheme="minorHAnsi" w:hAnsiTheme="minorHAnsi"/>
        </w:rPr>
      </w:pPr>
      <w:r w:rsidRPr="00730E2D">
        <w:rPr>
          <w:rFonts w:asciiTheme="minorHAnsi" w:hAnsiTheme="minorHAnsi"/>
        </w:rPr>
        <w:t xml:space="preserve">Based on previous experience, </w:t>
      </w:r>
      <w:r w:rsidR="003A7106" w:rsidRPr="00730E2D">
        <w:rPr>
          <w:rFonts w:asciiTheme="minorHAnsi" w:hAnsiTheme="minorHAnsi"/>
        </w:rPr>
        <w:t>DOE</w:t>
      </w:r>
      <w:r w:rsidRPr="00730E2D">
        <w:rPr>
          <w:rFonts w:asciiTheme="minorHAnsi" w:hAnsiTheme="minorHAnsi"/>
        </w:rPr>
        <w:t xml:space="preserve"> anticipate</w:t>
      </w:r>
      <w:r w:rsidR="003A7106" w:rsidRPr="00730E2D">
        <w:rPr>
          <w:rFonts w:asciiTheme="minorHAnsi" w:hAnsiTheme="minorHAnsi"/>
        </w:rPr>
        <w:t>s</w:t>
      </w:r>
      <w:r w:rsidRPr="00730E2D">
        <w:rPr>
          <w:rFonts w:asciiTheme="minorHAnsi" w:hAnsiTheme="minorHAnsi"/>
        </w:rPr>
        <w:t xml:space="preserve"> that response rates for the surveys of probability samples planned will achieve the following response rates:</w:t>
      </w:r>
    </w:p>
    <w:p w:rsidR="00675E61" w:rsidRPr="00730E2D" w:rsidRDefault="00675E61" w:rsidP="00580575">
      <w:pPr>
        <w:jc w:val="both"/>
        <w:rPr>
          <w:rFonts w:asciiTheme="minorHAnsi" w:hAnsiTheme="minorHAnsi"/>
        </w:rPr>
      </w:pPr>
    </w:p>
    <w:p w:rsidR="008D7096" w:rsidRPr="00730E2D" w:rsidRDefault="008D7096" w:rsidP="00580575">
      <w:pPr>
        <w:pStyle w:val="ListParagraph"/>
        <w:numPr>
          <w:ilvl w:val="0"/>
          <w:numId w:val="53"/>
        </w:numPr>
        <w:jc w:val="both"/>
        <w:rPr>
          <w:rFonts w:asciiTheme="minorHAnsi" w:hAnsiTheme="minorHAnsi"/>
        </w:rPr>
      </w:pPr>
      <w:r w:rsidRPr="00730E2D">
        <w:rPr>
          <w:rFonts w:asciiTheme="minorHAnsi" w:hAnsiTheme="minorHAnsi"/>
        </w:rPr>
        <w:t>Telephone surveys of residential customers/</w:t>
      </w:r>
      <w:r w:rsidR="00B40ABE" w:rsidRPr="00730E2D">
        <w:rPr>
          <w:rFonts w:asciiTheme="minorHAnsi" w:hAnsiTheme="minorHAnsi"/>
        </w:rPr>
        <w:t xml:space="preserve">program </w:t>
      </w:r>
      <w:r w:rsidRPr="00730E2D">
        <w:rPr>
          <w:rFonts w:asciiTheme="minorHAnsi" w:hAnsiTheme="minorHAnsi"/>
        </w:rPr>
        <w:t>participants</w:t>
      </w:r>
      <w:r w:rsidR="00E75D32" w:rsidRPr="00730E2D">
        <w:rPr>
          <w:rFonts w:asciiTheme="minorHAnsi" w:hAnsiTheme="minorHAnsi"/>
        </w:rPr>
        <w:t xml:space="preserve"> in rebate programs</w:t>
      </w:r>
      <w:r w:rsidR="00B40ABE" w:rsidRPr="00730E2D">
        <w:rPr>
          <w:rFonts w:asciiTheme="minorHAnsi" w:hAnsiTheme="minorHAnsi"/>
        </w:rPr>
        <w:t>:</w:t>
      </w:r>
      <w:r w:rsidRPr="00730E2D">
        <w:rPr>
          <w:rFonts w:asciiTheme="minorHAnsi" w:hAnsiTheme="minorHAnsi"/>
        </w:rPr>
        <w:t xml:space="preserve"> range between</w:t>
      </w:r>
      <w:r w:rsidR="00B40ABE" w:rsidRPr="00730E2D">
        <w:rPr>
          <w:rFonts w:asciiTheme="minorHAnsi" w:hAnsiTheme="minorHAnsi"/>
        </w:rPr>
        <w:t xml:space="preserve"> </w:t>
      </w:r>
      <w:r w:rsidRPr="00730E2D">
        <w:rPr>
          <w:rFonts w:asciiTheme="minorHAnsi" w:hAnsiTheme="minorHAnsi"/>
        </w:rPr>
        <w:t>30% and 64%, typically achieving response rates of roughly 45%.</w:t>
      </w:r>
    </w:p>
    <w:p w:rsidR="008D7096" w:rsidRPr="00730E2D" w:rsidRDefault="008D7096" w:rsidP="00580575">
      <w:pPr>
        <w:pStyle w:val="ListParagraph"/>
        <w:numPr>
          <w:ilvl w:val="0"/>
          <w:numId w:val="53"/>
        </w:numPr>
        <w:jc w:val="both"/>
        <w:rPr>
          <w:rFonts w:asciiTheme="minorHAnsi" w:hAnsiTheme="minorHAnsi"/>
        </w:rPr>
      </w:pPr>
      <w:r w:rsidRPr="00730E2D">
        <w:rPr>
          <w:rFonts w:asciiTheme="minorHAnsi" w:hAnsiTheme="minorHAnsi"/>
        </w:rPr>
        <w:t>Telephone surveys of residential customers/participants in training and technical assistance programs:   range between 29% and 70%, typically achieving response rates of roughly 45%</w:t>
      </w:r>
    </w:p>
    <w:p w:rsidR="008D7096" w:rsidRPr="00730E2D" w:rsidRDefault="008D7096" w:rsidP="00580575">
      <w:pPr>
        <w:pStyle w:val="ListParagraph"/>
        <w:numPr>
          <w:ilvl w:val="0"/>
          <w:numId w:val="53"/>
        </w:numPr>
        <w:jc w:val="both"/>
        <w:rPr>
          <w:rFonts w:asciiTheme="minorHAnsi" w:hAnsiTheme="minorHAnsi"/>
        </w:rPr>
      </w:pPr>
      <w:r w:rsidRPr="00730E2D">
        <w:rPr>
          <w:rFonts w:asciiTheme="minorHAnsi" w:hAnsiTheme="minorHAnsi"/>
        </w:rPr>
        <w:t>Telephone surveys of commercial and industrial customers/</w:t>
      </w:r>
      <w:r w:rsidR="00B40ABE" w:rsidRPr="00730E2D">
        <w:rPr>
          <w:rFonts w:asciiTheme="minorHAnsi" w:hAnsiTheme="minorHAnsi"/>
        </w:rPr>
        <w:t xml:space="preserve">program </w:t>
      </w:r>
      <w:r w:rsidRPr="00730E2D">
        <w:rPr>
          <w:rFonts w:asciiTheme="minorHAnsi" w:hAnsiTheme="minorHAnsi"/>
        </w:rPr>
        <w:t>participants</w:t>
      </w:r>
      <w:r w:rsidR="00E75D32" w:rsidRPr="00730E2D">
        <w:rPr>
          <w:rFonts w:asciiTheme="minorHAnsi" w:hAnsiTheme="minorHAnsi"/>
        </w:rPr>
        <w:t xml:space="preserve"> in rebate programs</w:t>
      </w:r>
      <w:r w:rsidRPr="00730E2D">
        <w:rPr>
          <w:rFonts w:asciiTheme="minorHAnsi" w:hAnsiTheme="minorHAnsi"/>
        </w:rPr>
        <w:t>:  range between 32% and 63%, typically achieving response rates of roughly 47%</w:t>
      </w:r>
    </w:p>
    <w:p w:rsidR="008D7096" w:rsidRPr="00730E2D" w:rsidRDefault="008D7096" w:rsidP="00580575">
      <w:pPr>
        <w:pStyle w:val="ListParagraph"/>
        <w:numPr>
          <w:ilvl w:val="0"/>
          <w:numId w:val="53"/>
        </w:numPr>
        <w:jc w:val="both"/>
        <w:rPr>
          <w:rFonts w:asciiTheme="minorHAnsi" w:hAnsiTheme="minorHAnsi"/>
        </w:rPr>
      </w:pPr>
      <w:r w:rsidRPr="00730E2D">
        <w:rPr>
          <w:rFonts w:asciiTheme="minorHAnsi" w:hAnsiTheme="minorHAnsi"/>
        </w:rPr>
        <w:t>Telephone surveys of commercial and industrial customers/participants in training and technical assistance programs:  range between 19% and 70%, typically achieving response rates of roughly 44%</w:t>
      </w:r>
    </w:p>
    <w:p w:rsidR="008D7096" w:rsidRPr="00730E2D" w:rsidRDefault="008D7096" w:rsidP="00580575">
      <w:pPr>
        <w:pStyle w:val="ListParagraph"/>
        <w:numPr>
          <w:ilvl w:val="0"/>
          <w:numId w:val="53"/>
        </w:numPr>
        <w:jc w:val="both"/>
        <w:rPr>
          <w:rFonts w:asciiTheme="minorHAnsi" w:hAnsiTheme="minorHAnsi"/>
        </w:rPr>
      </w:pPr>
      <w:r w:rsidRPr="00730E2D">
        <w:rPr>
          <w:rFonts w:asciiTheme="minorHAnsi" w:hAnsiTheme="minorHAnsi"/>
        </w:rPr>
        <w:t>On-site surveys of residential customers/</w:t>
      </w:r>
      <w:r w:rsidR="00B40ABE" w:rsidRPr="00730E2D">
        <w:rPr>
          <w:rFonts w:asciiTheme="minorHAnsi" w:hAnsiTheme="minorHAnsi"/>
        </w:rPr>
        <w:t xml:space="preserve">program </w:t>
      </w:r>
      <w:r w:rsidRPr="00730E2D">
        <w:rPr>
          <w:rFonts w:asciiTheme="minorHAnsi" w:hAnsiTheme="minorHAnsi"/>
        </w:rPr>
        <w:t>participants</w:t>
      </w:r>
      <w:r w:rsidR="00E75D32" w:rsidRPr="00730E2D">
        <w:rPr>
          <w:rFonts w:asciiTheme="minorHAnsi" w:hAnsiTheme="minorHAnsi"/>
        </w:rPr>
        <w:t xml:space="preserve"> in rebate programs</w:t>
      </w:r>
      <w:r w:rsidRPr="00730E2D">
        <w:rPr>
          <w:rFonts w:asciiTheme="minorHAnsi" w:hAnsiTheme="minorHAnsi"/>
        </w:rPr>
        <w:t xml:space="preserve"> :  range between 50% and 80%, typically achieving response rates of roughly 75%%</w:t>
      </w:r>
    </w:p>
    <w:p w:rsidR="008D7096" w:rsidRPr="00730E2D" w:rsidRDefault="008D7096" w:rsidP="00580575">
      <w:pPr>
        <w:pStyle w:val="ListParagraph"/>
        <w:numPr>
          <w:ilvl w:val="0"/>
          <w:numId w:val="53"/>
        </w:numPr>
        <w:jc w:val="both"/>
        <w:rPr>
          <w:rFonts w:asciiTheme="minorHAnsi" w:hAnsiTheme="minorHAnsi"/>
        </w:rPr>
      </w:pPr>
      <w:r w:rsidRPr="00730E2D">
        <w:rPr>
          <w:rFonts w:asciiTheme="minorHAnsi" w:hAnsiTheme="minorHAnsi"/>
        </w:rPr>
        <w:t>On-site surveys of commercial and industrial customers</w:t>
      </w:r>
      <w:r w:rsidR="00B44D7E" w:rsidRPr="00730E2D">
        <w:rPr>
          <w:rFonts w:asciiTheme="minorHAnsi" w:hAnsiTheme="minorHAnsi"/>
        </w:rPr>
        <w:t>/</w:t>
      </w:r>
      <w:r w:rsidR="00B40ABE" w:rsidRPr="00730E2D">
        <w:rPr>
          <w:rFonts w:asciiTheme="minorHAnsi" w:hAnsiTheme="minorHAnsi"/>
        </w:rPr>
        <w:t xml:space="preserve">program </w:t>
      </w:r>
      <w:r w:rsidRPr="00730E2D">
        <w:rPr>
          <w:rFonts w:asciiTheme="minorHAnsi" w:hAnsiTheme="minorHAnsi"/>
        </w:rPr>
        <w:t>participants</w:t>
      </w:r>
      <w:r w:rsidR="00E75D32" w:rsidRPr="00730E2D">
        <w:rPr>
          <w:rFonts w:asciiTheme="minorHAnsi" w:hAnsiTheme="minorHAnsi"/>
        </w:rPr>
        <w:t xml:space="preserve"> in rebate programs</w:t>
      </w:r>
      <w:r w:rsidRPr="00730E2D">
        <w:rPr>
          <w:rFonts w:asciiTheme="minorHAnsi" w:hAnsiTheme="minorHAnsi"/>
        </w:rPr>
        <w:t>:  range between 50% and 80%, typically achieving response rates of roughly 75%</w:t>
      </w:r>
    </w:p>
    <w:p w:rsidR="00675E61" w:rsidRPr="00730E2D" w:rsidRDefault="003A7106" w:rsidP="00580575">
      <w:pPr>
        <w:jc w:val="both"/>
        <w:rPr>
          <w:rFonts w:asciiTheme="minorHAnsi" w:hAnsiTheme="minorHAnsi"/>
        </w:rPr>
      </w:pPr>
      <w:r w:rsidRPr="00730E2D">
        <w:rPr>
          <w:rFonts w:asciiTheme="minorHAnsi" w:hAnsiTheme="minorHAnsi"/>
        </w:rPr>
        <w:t>DOE</w:t>
      </w:r>
      <w:r w:rsidR="00675E61" w:rsidRPr="00730E2D">
        <w:rPr>
          <w:rFonts w:asciiTheme="minorHAnsi" w:hAnsiTheme="minorHAnsi"/>
        </w:rPr>
        <w:t xml:space="preserve"> will employ a variety of best practices in order to minimize non</w:t>
      </w:r>
      <w:r w:rsidR="005F5A24" w:rsidRPr="00730E2D">
        <w:rPr>
          <w:rFonts w:asciiTheme="minorHAnsi" w:hAnsiTheme="minorHAnsi"/>
        </w:rPr>
        <w:t xml:space="preserve">-response bias.  </w:t>
      </w:r>
      <w:r w:rsidR="00675E61" w:rsidRPr="00730E2D">
        <w:rPr>
          <w:rFonts w:asciiTheme="minorHAnsi" w:hAnsiTheme="minorHAnsi"/>
        </w:rPr>
        <w:t xml:space="preserve">While the specific practices may vary among PAs and type of instrument, the general steps taken to increase response rates </w:t>
      </w:r>
      <w:r w:rsidR="00993A0E" w:rsidRPr="00730E2D">
        <w:rPr>
          <w:rFonts w:asciiTheme="minorHAnsi" w:hAnsiTheme="minorHAnsi"/>
        </w:rPr>
        <w:t>will</w:t>
      </w:r>
      <w:r w:rsidR="00675E61" w:rsidRPr="00730E2D">
        <w:rPr>
          <w:rFonts w:asciiTheme="minorHAnsi" w:hAnsiTheme="minorHAnsi"/>
        </w:rPr>
        <w:t xml:space="preserve"> include the following:</w:t>
      </w:r>
    </w:p>
    <w:p w:rsidR="00675E61" w:rsidRPr="00730E2D" w:rsidRDefault="00675E61" w:rsidP="00580575">
      <w:pPr>
        <w:spacing w:after="120"/>
        <w:jc w:val="both"/>
        <w:rPr>
          <w:rFonts w:asciiTheme="minorHAnsi" w:hAnsiTheme="minorHAnsi"/>
        </w:rPr>
      </w:pPr>
    </w:p>
    <w:p w:rsidR="00675E61" w:rsidRPr="00730E2D" w:rsidRDefault="00675E61" w:rsidP="00580575">
      <w:pPr>
        <w:pStyle w:val="ListParagraph"/>
        <w:numPr>
          <w:ilvl w:val="0"/>
          <w:numId w:val="54"/>
        </w:numPr>
        <w:spacing w:after="120" w:line="240" w:lineRule="auto"/>
        <w:contextualSpacing w:val="0"/>
        <w:jc w:val="both"/>
        <w:rPr>
          <w:rFonts w:asciiTheme="minorHAnsi" w:hAnsiTheme="minorHAnsi"/>
        </w:rPr>
      </w:pPr>
      <w:r w:rsidRPr="00730E2D">
        <w:rPr>
          <w:rFonts w:asciiTheme="minorHAnsi" w:hAnsiTheme="minorHAnsi"/>
          <w:b/>
        </w:rPr>
        <w:t>Conservative treatment of sample</w:t>
      </w:r>
      <w:r w:rsidRPr="00730E2D">
        <w:rPr>
          <w:rFonts w:asciiTheme="minorHAnsi" w:hAnsiTheme="minorHAnsi"/>
        </w:rPr>
        <w:t xml:space="preserve"> –</w:t>
      </w:r>
      <w:r w:rsidR="003A7106" w:rsidRPr="00730E2D">
        <w:rPr>
          <w:rFonts w:asciiTheme="minorHAnsi" w:hAnsiTheme="minorHAnsi"/>
        </w:rPr>
        <w:t>DOE</w:t>
      </w:r>
      <w:r w:rsidRPr="00730E2D">
        <w:rPr>
          <w:rFonts w:asciiTheme="minorHAnsi" w:hAnsiTheme="minorHAnsi"/>
        </w:rPr>
        <w:t xml:space="preserve"> will release sample in batches, with smaller Initial batches and larger later batches.  Within each batch, </w:t>
      </w:r>
      <w:r w:rsidR="003A7106" w:rsidRPr="00730E2D">
        <w:rPr>
          <w:rFonts w:asciiTheme="minorHAnsi" w:hAnsiTheme="minorHAnsi"/>
        </w:rPr>
        <w:t>DOE</w:t>
      </w:r>
      <w:r w:rsidRPr="00730E2D">
        <w:rPr>
          <w:rFonts w:asciiTheme="minorHAnsi" w:hAnsiTheme="minorHAnsi"/>
        </w:rPr>
        <w:t xml:space="preserve"> will make at least eight attempts to contact respondents</w:t>
      </w:r>
      <w:r w:rsidR="00570EF0" w:rsidRPr="00730E2D">
        <w:rPr>
          <w:rFonts w:asciiTheme="minorHAnsi" w:hAnsiTheme="minorHAnsi"/>
        </w:rPr>
        <w:t xml:space="preserve"> calling at different times, over different days</w:t>
      </w:r>
      <w:r w:rsidRPr="00730E2D">
        <w:rPr>
          <w:rFonts w:asciiTheme="minorHAnsi" w:hAnsiTheme="minorHAnsi"/>
        </w:rPr>
        <w:t xml:space="preserve">, leaving a minimum of three messages with a callback number.  </w:t>
      </w:r>
      <w:r w:rsidR="00570EF0" w:rsidRPr="00730E2D">
        <w:rPr>
          <w:rFonts w:asciiTheme="minorHAnsi" w:hAnsiTheme="minorHAnsi"/>
        </w:rPr>
        <w:t xml:space="preserve">For residential surveys, </w:t>
      </w:r>
      <w:r w:rsidR="003A7106" w:rsidRPr="00730E2D">
        <w:rPr>
          <w:rFonts w:asciiTheme="minorHAnsi" w:hAnsiTheme="minorHAnsi"/>
        </w:rPr>
        <w:t>DOE</w:t>
      </w:r>
      <w:r w:rsidR="00570EF0" w:rsidRPr="00730E2D">
        <w:rPr>
          <w:rFonts w:asciiTheme="minorHAnsi" w:hAnsiTheme="minorHAnsi"/>
        </w:rPr>
        <w:t xml:space="preserve"> will ensure that each respondent is called over at least one weekend. </w:t>
      </w:r>
      <w:r w:rsidR="003A7106" w:rsidRPr="00730E2D">
        <w:rPr>
          <w:rFonts w:asciiTheme="minorHAnsi" w:hAnsiTheme="minorHAnsi"/>
        </w:rPr>
        <w:t>DOE</w:t>
      </w:r>
      <w:r w:rsidR="00570EF0" w:rsidRPr="00730E2D">
        <w:rPr>
          <w:rFonts w:asciiTheme="minorHAnsi" w:hAnsiTheme="minorHAnsi"/>
        </w:rPr>
        <w:t xml:space="preserve"> will place calls to both residential and non-residential respondents during hours most appropriate for reaching respondents in their respective time zones.  For example, small contractors can typically be reached early in the morning (7am) or in the evening (7pm), with greater difficulty reaching them at other times of the day.</w:t>
      </w:r>
    </w:p>
    <w:p w:rsidR="00675E61" w:rsidRPr="00730E2D" w:rsidRDefault="00675E61" w:rsidP="00580575">
      <w:pPr>
        <w:pStyle w:val="ListParagraph"/>
        <w:numPr>
          <w:ilvl w:val="0"/>
          <w:numId w:val="54"/>
        </w:numPr>
        <w:spacing w:after="120" w:line="240" w:lineRule="auto"/>
        <w:contextualSpacing w:val="0"/>
        <w:jc w:val="both"/>
        <w:rPr>
          <w:rFonts w:asciiTheme="minorHAnsi" w:hAnsiTheme="minorHAnsi"/>
        </w:rPr>
      </w:pPr>
      <w:r w:rsidRPr="00730E2D">
        <w:rPr>
          <w:rFonts w:asciiTheme="minorHAnsi" w:hAnsiTheme="minorHAnsi"/>
          <w:b/>
        </w:rPr>
        <w:t>Call times</w:t>
      </w:r>
      <w:r w:rsidRPr="00730E2D">
        <w:rPr>
          <w:rFonts w:asciiTheme="minorHAnsi" w:hAnsiTheme="minorHAnsi"/>
        </w:rPr>
        <w:t xml:space="preserve"> – </w:t>
      </w:r>
      <w:r w:rsidR="00014BAF" w:rsidRPr="00730E2D">
        <w:rPr>
          <w:rFonts w:asciiTheme="minorHAnsi" w:hAnsiTheme="minorHAnsi"/>
        </w:rPr>
        <w:t xml:space="preserve">For residential surveys, we will ensure that each respondent is called over at least one weekend. </w:t>
      </w:r>
      <w:r w:rsidR="003A7106" w:rsidRPr="00730E2D">
        <w:rPr>
          <w:rFonts w:asciiTheme="minorHAnsi" w:hAnsiTheme="minorHAnsi"/>
        </w:rPr>
        <w:t>DOE</w:t>
      </w:r>
      <w:r w:rsidR="00014BAF" w:rsidRPr="00730E2D">
        <w:rPr>
          <w:rFonts w:asciiTheme="minorHAnsi" w:hAnsiTheme="minorHAnsi"/>
        </w:rPr>
        <w:t xml:space="preserve"> will place calls to both residential and non-residential </w:t>
      </w:r>
      <w:r w:rsidR="00014BAF" w:rsidRPr="00730E2D">
        <w:rPr>
          <w:rFonts w:asciiTheme="minorHAnsi" w:hAnsiTheme="minorHAnsi"/>
        </w:rPr>
        <w:lastRenderedPageBreak/>
        <w:t>respondents during hours most appropriate for reaching respondents in their respective time zones.  For example, small contractors can typically be reached early in the morning (7am) or in the evening (7pm), with greater difficulty reaching them at other times of the day.</w:t>
      </w:r>
    </w:p>
    <w:p w:rsidR="006F473E" w:rsidRPr="00730E2D" w:rsidRDefault="003A7106" w:rsidP="00580575">
      <w:pPr>
        <w:spacing w:after="120"/>
        <w:jc w:val="both"/>
        <w:rPr>
          <w:rFonts w:asciiTheme="minorHAnsi" w:hAnsiTheme="minorHAnsi"/>
        </w:rPr>
      </w:pPr>
      <w:r w:rsidRPr="00730E2D">
        <w:rPr>
          <w:rFonts w:asciiTheme="minorHAnsi" w:hAnsiTheme="minorHAnsi"/>
        </w:rPr>
        <w:t>DOE</w:t>
      </w:r>
      <w:r w:rsidR="006F473E" w:rsidRPr="00730E2D">
        <w:rPr>
          <w:rFonts w:asciiTheme="minorHAnsi" w:hAnsiTheme="minorHAnsi"/>
        </w:rPr>
        <w:t xml:space="preserve"> expect</w:t>
      </w:r>
      <w:r w:rsidRPr="00730E2D">
        <w:rPr>
          <w:rFonts w:asciiTheme="minorHAnsi" w:hAnsiTheme="minorHAnsi"/>
        </w:rPr>
        <w:t>s</w:t>
      </w:r>
      <w:r w:rsidR="006F473E" w:rsidRPr="00730E2D">
        <w:rPr>
          <w:rFonts w:asciiTheme="minorHAnsi" w:hAnsiTheme="minorHAnsi"/>
        </w:rPr>
        <w:t xml:space="preserve"> the application of such techniques to yield response rates at the highest end of the scales described above.</w:t>
      </w:r>
    </w:p>
    <w:p w:rsidR="00675E61" w:rsidRPr="00730E2D" w:rsidRDefault="00675E61" w:rsidP="00580575">
      <w:pPr>
        <w:jc w:val="both"/>
        <w:rPr>
          <w:rFonts w:asciiTheme="minorHAnsi" w:hAnsiTheme="minorHAnsi"/>
          <w:i/>
        </w:rPr>
      </w:pPr>
    </w:p>
    <w:p w:rsidR="00675E61" w:rsidRPr="00730E2D" w:rsidRDefault="00675E61" w:rsidP="00580575">
      <w:pPr>
        <w:jc w:val="both"/>
        <w:rPr>
          <w:rFonts w:asciiTheme="minorHAnsi" w:hAnsiTheme="minorHAnsi"/>
          <w:i/>
        </w:rPr>
      </w:pPr>
      <w:r w:rsidRPr="00730E2D">
        <w:rPr>
          <w:rFonts w:asciiTheme="minorHAnsi" w:hAnsiTheme="minorHAnsi"/>
          <w:i/>
        </w:rPr>
        <w:t>Methods for dealing with non-response</w:t>
      </w:r>
    </w:p>
    <w:p w:rsidR="00675E61" w:rsidRPr="00730E2D" w:rsidRDefault="00675E61" w:rsidP="00580575">
      <w:pPr>
        <w:jc w:val="both"/>
        <w:rPr>
          <w:rFonts w:asciiTheme="minorHAnsi" w:hAnsiTheme="minorHAnsi"/>
        </w:rPr>
      </w:pPr>
    </w:p>
    <w:p w:rsidR="00675E61" w:rsidRPr="00730E2D" w:rsidRDefault="00675E61" w:rsidP="00580575">
      <w:pPr>
        <w:jc w:val="both"/>
        <w:rPr>
          <w:rFonts w:asciiTheme="minorHAnsi" w:hAnsiTheme="minorHAnsi"/>
        </w:rPr>
      </w:pPr>
      <w:r w:rsidRPr="00730E2D">
        <w:rPr>
          <w:rFonts w:asciiTheme="minorHAnsi" w:hAnsiTheme="minorHAnsi"/>
        </w:rPr>
        <w:t xml:space="preserve">In order to assess the presence and extent of non-response bias, </w:t>
      </w:r>
      <w:r w:rsidR="003A7106" w:rsidRPr="00730E2D">
        <w:rPr>
          <w:rFonts w:asciiTheme="minorHAnsi" w:hAnsiTheme="minorHAnsi"/>
        </w:rPr>
        <w:t>DOE</w:t>
      </w:r>
      <w:r w:rsidRPr="00730E2D">
        <w:rPr>
          <w:rFonts w:asciiTheme="minorHAnsi" w:hAnsiTheme="minorHAnsi"/>
        </w:rPr>
        <w:t xml:space="preserve"> will contrast key parameters in the respondent group to the overall sample frame.  For example, </w:t>
      </w:r>
      <w:r w:rsidR="003A7106" w:rsidRPr="00730E2D">
        <w:rPr>
          <w:rFonts w:asciiTheme="minorHAnsi" w:hAnsiTheme="minorHAnsi"/>
        </w:rPr>
        <w:t>DOE</w:t>
      </w:r>
      <w:r w:rsidRPr="00730E2D">
        <w:rPr>
          <w:rFonts w:asciiTheme="minorHAnsi" w:hAnsiTheme="minorHAnsi"/>
        </w:rPr>
        <w:t xml:space="preserve"> will identify under</w:t>
      </w:r>
      <w:r w:rsidR="00B12966" w:rsidRPr="00730E2D">
        <w:rPr>
          <w:rFonts w:asciiTheme="minorHAnsi" w:hAnsiTheme="minorHAnsi"/>
        </w:rPr>
        <w:t>-</w:t>
      </w:r>
      <w:r w:rsidRPr="00730E2D">
        <w:rPr>
          <w:rFonts w:asciiTheme="minorHAnsi" w:hAnsiTheme="minorHAnsi"/>
        </w:rPr>
        <w:t>represented comme</w:t>
      </w:r>
      <w:r w:rsidR="005F5A24" w:rsidRPr="00730E2D">
        <w:rPr>
          <w:rFonts w:asciiTheme="minorHAnsi" w:hAnsiTheme="minorHAnsi"/>
        </w:rPr>
        <w:t>rcial and industrial segments by</w:t>
      </w:r>
      <w:r w:rsidRPr="00730E2D">
        <w:rPr>
          <w:rFonts w:asciiTheme="minorHAnsi" w:hAnsiTheme="minorHAnsi"/>
        </w:rPr>
        <w:t xml:space="preserve"> contrasting the proportion of each segment in the respondent pool relative to the overall sample frame.  Other parameters within the sample frame used to identify the presence of non-response bias</w:t>
      </w:r>
      <w:r w:rsidR="005F5A24" w:rsidRPr="00730E2D">
        <w:rPr>
          <w:rFonts w:asciiTheme="minorHAnsi" w:hAnsiTheme="minorHAnsi"/>
        </w:rPr>
        <w:t xml:space="preserve"> may include measure categories and</w:t>
      </w:r>
      <w:r w:rsidRPr="00730E2D">
        <w:rPr>
          <w:rFonts w:asciiTheme="minorHAnsi" w:hAnsiTheme="minorHAnsi"/>
        </w:rPr>
        <w:t xml:space="preserve"> company size.  Where possible, </w:t>
      </w:r>
      <w:r w:rsidR="003A7106" w:rsidRPr="00730E2D">
        <w:rPr>
          <w:rFonts w:asciiTheme="minorHAnsi" w:hAnsiTheme="minorHAnsi"/>
        </w:rPr>
        <w:t>DOE</w:t>
      </w:r>
      <w:r w:rsidRPr="00730E2D">
        <w:rPr>
          <w:rFonts w:asciiTheme="minorHAnsi" w:hAnsiTheme="minorHAnsi"/>
        </w:rPr>
        <w:t xml:space="preserve"> will also contrast parameters of the respondent pool’s profile to secondary data sources.  Use of secondary data sources will help examine whether non-response impacts the</w:t>
      </w:r>
      <w:r w:rsidR="005F5A24" w:rsidRPr="00730E2D">
        <w:rPr>
          <w:rFonts w:asciiTheme="minorHAnsi" w:hAnsiTheme="minorHAnsi"/>
        </w:rPr>
        <w:t xml:space="preserve"> estimated outcomes as a result of</w:t>
      </w:r>
      <w:r w:rsidRPr="00730E2D">
        <w:rPr>
          <w:rFonts w:asciiTheme="minorHAnsi" w:hAnsiTheme="minorHAnsi"/>
        </w:rPr>
        <w:t xml:space="preserve"> regional differences between the sample frame across PAs and the overall population.</w:t>
      </w:r>
    </w:p>
    <w:p w:rsidR="00675E61" w:rsidRPr="00730E2D" w:rsidRDefault="00675E61" w:rsidP="00580575">
      <w:pPr>
        <w:jc w:val="both"/>
        <w:rPr>
          <w:rFonts w:asciiTheme="minorHAnsi" w:hAnsiTheme="minorHAnsi"/>
        </w:rPr>
      </w:pPr>
    </w:p>
    <w:p w:rsidR="00675E61" w:rsidRPr="00730E2D" w:rsidRDefault="00675E61" w:rsidP="00580575">
      <w:pPr>
        <w:jc w:val="both"/>
        <w:rPr>
          <w:rFonts w:asciiTheme="minorHAnsi" w:hAnsiTheme="minorHAnsi"/>
        </w:rPr>
      </w:pPr>
      <w:r w:rsidRPr="00730E2D">
        <w:rPr>
          <w:rFonts w:asciiTheme="minorHAnsi" w:hAnsiTheme="minorHAnsi"/>
        </w:rPr>
        <w:t xml:space="preserve">Once </w:t>
      </w:r>
      <w:r w:rsidR="003A7106" w:rsidRPr="00730E2D">
        <w:rPr>
          <w:rFonts w:asciiTheme="minorHAnsi" w:hAnsiTheme="minorHAnsi"/>
        </w:rPr>
        <w:t>DOE</w:t>
      </w:r>
      <w:r w:rsidRPr="00730E2D">
        <w:rPr>
          <w:rFonts w:asciiTheme="minorHAnsi" w:hAnsiTheme="minorHAnsi"/>
        </w:rPr>
        <w:t xml:space="preserve"> characterize</w:t>
      </w:r>
      <w:r w:rsidR="003A7106" w:rsidRPr="00730E2D">
        <w:rPr>
          <w:rFonts w:asciiTheme="minorHAnsi" w:hAnsiTheme="minorHAnsi"/>
        </w:rPr>
        <w:t>s</w:t>
      </w:r>
      <w:r w:rsidRPr="00730E2D">
        <w:rPr>
          <w:rFonts w:asciiTheme="minorHAnsi" w:hAnsiTheme="minorHAnsi"/>
        </w:rPr>
        <w:t xml:space="preserve"> the magnitude and potential direction of non-response bias on estimated outcomes, </w:t>
      </w:r>
      <w:r w:rsidR="003A7106" w:rsidRPr="00730E2D">
        <w:rPr>
          <w:rFonts w:asciiTheme="minorHAnsi" w:hAnsiTheme="minorHAnsi"/>
        </w:rPr>
        <w:t>DOE</w:t>
      </w:r>
      <w:r w:rsidRPr="00730E2D">
        <w:rPr>
          <w:rFonts w:asciiTheme="minorHAnsi" w:hAnsiTheme="minorHAnsi"/>
        </w:rPr>
        <w:t xml:space="preserve"> will derive adjustment factors to the estimated outcomes.  Secondary data will provide one source of possible non-res</w:t>
      </w:r>
      <w:r w:rsidR="00242D0A" w:rsidRPr="00730E2D">
        <w:rPr>
          <w:rFonts w:asciiTheme="minorHAnsi" w:hAnsiTheme="minorHAnsi"/>
        </w:rPr>
        <w:t>ponse adjustments</w:t>
      </w:r>
      <w:r w:rsidRPr="00730E2D">
        <w:rPr>
          <w:rFonts w:asciiTheme="minorHAnsi" w:hAnsiTheme="minorHAnsi"/>
        </w:rPr>
        <w:t>.</w:t>
      </w:r>
    </w:p>
    <w:p w:rsidR="00675E61" w:rsidRDefault="00675E61" w:rsidP="00580575">
      <w:pPr>
        <w:jc w:val="both"/>
        <w:rPr>
          <w:rFonts w:asciiTheme="minorHAnsi" w:hAnsiTheme="minorHAnsi"/>
        </w:rPr>
      </w:pPr>
    </w:p>
    <w:p w:rsidR="00580575" w:rsidRDefault="00675E61" w:rsidP="00580575">
      <w:pPr>
        <w:spacing w:after="120"/>
        <w:jc w:val="both"/>
        <w:rPr>
          <w:rFonts w:asciiTheme="minorHAnsi" w:hAnsiTheme="minorHAnsi"/>
          <w:b/>
          <w:u w:val="single"/>
        </w:rPr>
      </w:pPr>
      <w:r w:rsidRPr="00730E2D">
        <w:rPr>
          <w:rFonts w:asciiTheme="minorHAnsi" w:hAnsiTheme="minorHAnsi"/>
          <w:b/>
        </w:rPr>
        <w:t xml:space="preserve">4. </w:t>
      </w:r>
      <w:r w:rsidRPr="00730E2D">
        <w:rPr>
          <w:rFonts w:asciiTheme="minorHAnsi" w:hAnsiTheme="minorHAnsi"/>
          <w:b/>
          <w:u w:val="single"/>
        </w:rPr>
        <w:t>Describe any tests of procedures or methods to be undertaken.</w:t>
      </w:r>
    </w:p>
    <w:p w:rsidR="00580575" w:rsidRDefault="00675E61" w:rsidP="00580575">
      <w:pPr>
        <w:spacing w:after="120"/>
        <w:jc w:val="both"/>
        <w:rPr>
          <w:rFonts w:asciiTheme="minorHAnsi" w:hAnsiTheme="minorHAnsi"/>
        </w:rPr>
      </w:pPr>
      <w:r w:rsidRPr="00730E2D">
        <w:rPr>
          <w:rFonts w:asciiTheme="minorHAnsi" w:hAnsiTheme="minorHAnsi"/>
        </w:rPr>
        <w:t>Wherever possib</w:t>
      </w:r>
      <w:r w:rsidR="006E3094" w:rsidRPr="00730E2D">
        <w:rPr>
          <w:rFonts w:asciiTheme="minorHAnsi" w:hAnsiTheme="minorHAnsi"/>
        </w:rPr>
        <w:t xml:space="preserve">le, </w:t>
      </w:r>
      <w:r w:rsidR="003A7106" w:rsidRPr="00730E2D">
        <w:rPr>
          <w:rFonts w:asciiTheme="minorHAnsi" w:hAnsiTheme="minorHAnsi"/>
        </w:rPr>
        <w:t>DOE</w:t>
      </w:r>
      <w:r w:rsidR="006E3094" w:rsidRPr="00730E2D">
        <w:rPr>
          <w:rFonts w:asciiTheme="minorHAnsi" w:hAnsiTheme="minorHAnsi"/>
        </w:rPr>
        <w:t xml:space="preserve"> adapted previously field-</w:t>
      </w:r>
      <w:r w:rsidRPr="00730E2D">
        <w:rPr>
          <w:rFonts w:asciiTheme="minorHAnsi" w:hAnsiTheme="minorHAnsi"/>
        </w:rPr>
        <w:t xml:space="preserve">tested survey questions to develop each of the CATI surveys and in-depth interview guides.  In addition to adapting individual survey questions, </w:t>
      </w:r>
      <w:r w:rsidR="003A7106" w:rsidRPr="00730E2D">
        <w:rPr>
          <w:rFonts w:asciiTheme="minorHAnsi" w:hAnsiTheme="minorHAnsi"/>
        </w:rPr>
        <w:t>DOE</w:t>
      </w:r>
      <w:r w:rsidRPr="00730E2D">
        <w:rPr>
          <w:rFonts w:asciiTheme="minorHAnsi" w:hAnsiTheme="minorHAnsi"/>
        </w:rPr>
        <w:t xml:space="preserve"> developed the flow and skipping pattern of each instrument using previously tested</w:t>
      </w:r>
      <w:r w:rsidR="006E3094" w:rsidRPr="00730E2D">
        <w:rPr>
          <w:rFonts w:asciiTheme="minorHAnsi" w:hAnsiTheme="minorHAnsi"/>
        </w:rPr>
        <w:t xml:space="preserve"> questions</w:t>
      </w:r>
      <w:r w:rsidRPr="00730E2D">
        <w:rPr>
          <w:rFonts w:asciiTheme="minorHAnsi" w:hAnsiTheme="minorHAnsi"/>
        </w:rPr>
        <w:t xml:space="preserve">.  Therefore, while each guide is original in its entirety, they consist of a compilation of the research team’s combined experience in fielding similar studies across a broad spectrum of research areas.  </w:t>
      </w:r>
      <w:r w:rsidR="003A7106" w:rsidRPr="00730E2D">
        <w:rPr>
          <w:rFonts w:asciiTheme="minorHAnsi" w:hAnsiTheme="minorHAnsi"/>
        </w:rPr>
        <w:t>DOE</w:t>
      </w:r>
      <w:r w:rsidRPr="00730E2D">
        <w:rPr>
          <w:rFonts w:asciiTheme="minorHAnsi" w:hAnsiTheme="minorHAnsi"/>
        </w:rPr>
        <w:t xml:space="preserve"> used this approach to limit the need for extensive field testing of each instrument thereby reducing response bias associated with the framing of questions. </w:t>
      </w:r>
    </w:p>
    <w:p w:rsidR="00675E61" w:rsidRPr="00730E2D" w:rsidRDefault="006152AB" w:rsidP="00580575">
      <w:pPr>
        <w:spacing w:after="120"/>
        <w:jc w:val="both"/>
        <w:rPr>
          <w:rFonts w:asciiTheme="minorHAnsi" w:hAnsiTheme="minorHAnsi"/>
        </w:rPr>
      </w:pPr>
      <w:r w:rsidRPr="00730E2D">
        <w:rPr>
          <w:rFonts w:asciiTheme="minorHAnsi" w:hAnsiTheme="minorHAnsi"/>
        </w:rPr>
        <w:t>Table</w:t>
      </w:r>
      <w:r w:rsidR="00675E61" w:rsidRPr="00730E2D">
        <w:rPr>
          <w:rFonts w:asciiTheme="minorHAnsi" w:hAnsiTheme="minorHAnsi"/>
        </w:rPr>
        <w:t xml:space="preserve"> </w:t>
      </w:r>
      <w:r w:rsidR="004F385A" w:rsidRPr="00730E2D">
        <w:rPr>
          <w:rFonts w:asciiTheme="minorHAnsi" w:hAnsiTheme="minorHAnsi"/>
        </w:rPr>
        <w:t xml:space="preserve">3 </w:t>
      </w:r>
      <w:r w:rsidR="00675E61" w:rsidRPr="00730E2D">
        <w:rPr>
          <w:rFonts w:asciiTheme="minorHAnsi" w:hAnsiTheme="minorHAnsi"/>
        </w:rPr>
        <w:t xml:space="preserve">below provides an inventory of survey content adapted from previous research efforts in developing the CATI survey instruments.  Due to the breadth of programmatic activities covered by this research effort and number of instruments required to obtain the necessary data, the table presents a summary of the information adapted from previous studies.  The table shows the Market Actor (or group to be interviewed), the member of the research team who authored the contributing survey, the name of the previous study, and the general content areas addressed by adapted survey questions.  </w:t>
      </w:r>
    </w:p>
    <w:p w:rsidR="00675E61" w:rsidRPr="00730E2D" w:rsidRDefault="00675E61" w:rsidP="00580575">
      <w:pPr>
        <w:keepNext/>
        <w:jc w:val="both"/>
        <w:rPr>
          <w:rFonts w:asciiTheme="minorHAnsi" w:hAnsiTheme="minorHAnsi"/>
        </w:rPr>
      </w:pPr>
    </w:p>
    <w:p w:rsidR="00675E61" w:rsidRPr="00730E2D" w:rsidRDefault="00675E61" w:rsidP="00580575">
      <w:pPr>
        <w:keepNext/>
        <w:jc w:val="both"/>
        <w:rPr>
          <w:rFonts w:asciiTheme="minorHAnsi" w:hAnsiTheme="minorHAnsi"/>
        </w:rPr>
      </w:pPr>
      <w:r w:rsidRPr="00730E2D">
        <w:rPr>
          <w:rFonts w:asciiTheme="minorHAnsi" w:hAnsiTheme="minorHAnsi"/>
        </w:rPr>
        <w:t xml:space="preserve">The table shows that </w:t>
      </w:r>
      <w:r w:rsidR="003A7106" w:rsidRPr="00730E2D">
        <w:rPr>
          <w:rFonts w:asciiTheme="minorHAnsi" w:hAnsiTheme="minorHAnsi"/>
        </w:rPr>
        <w:t>DOE</w:t>
      </w:r>
      <w:r w:rsidRPr="00730E2D">
        <w:rPr>
          <w:rFonts w:asciiTheme="minorHAnsi" w:hAnsiTheme="minorHAnsi"/>
        </w:rPr>
        <w:t xml:space="preserve"> adapted much of the content from surveys used to evaluate WI focus on energy (KEMA), CA small busine</w:t>
      </w:r>
      <w:r w:rsidR="00014BAF" w:rsidRPr="00730E2D">
        <w:rPr>
          <w:rFonts w:asciiTheme="minorHAnsi" w:hAnsiTheme="minorHAnsi"/>
        </w:rPr>
        <w:t xml:space="preserve">ss rebate programs (ITRON), </w:t>
      </w:r>
      <w:r w:rsidRPr="00730E2D">
        <w:rPr>
          <w:rFonts w:asciiTheme="minorHAnsi" w:hAnsiTheme="minorHAnsi"/>
        </w:rPr>
        <w:t>the MI evaluation of electric and natural gas energy optimization (KEMA)</w:t>
      </w:r>
      <w:r w:rsidR="00014BAF" w:rsidRPr="00730E2D">
        <w:rPr>
          <w:rFonts w:asciiTheme="minorHAnsi" w:hAnsiTheme="minorHAnsi"/>
        </w:rPr>
        <w:t>, and the CA indirect impact surveys (ODC)</w:t>
      </w:r>
      <w:r w:rsidRPr="00730E2D">
        <w:rPr>
          <w:rFonts w:asciiTheme="minorHAnsi" w:hAnsiTheme="minorHAnsi"/>
        </w:rPr>
        <w:t>.  The WI study provided the general questionnaire sequence as well as specific questions used in a number of survey sections.  For example, this study provided the basic framework for verifying general measure information in the tracking data, and capturing more specific engineering data.  The study also provided</w:t>
      </w:r>
      <w:r w:rsidR="006E3094" w:rsidRPr="00730E2D">
        <w:rPr>
          <w:rFonts w:asciiTheme="minorHAnsi" w:hAnsiTheme="minorHAnsi"/>
        </w:rPr>
        <w:t xml:space="preserve"> the basic attribution sequence</w:t>
      </w:r>
      <w:r w:rsidRPr="00730E2D">
        <w:rPr>
          <w:rFonts w:asciiTheme="minorHAnsi" w:hAnsiTheme="minorHAnsi"/>
        </w:rPr>
        <w:t xml:space="preserve"> used throughout each of the CATI instruments.  The CA study provided structure for technology specific questions used to obtain detailed measure data such specific measure properties and engineering values.  This structure was used throughout the CATI surveys with specific content provided by the rema</w:t>
      </w:r>
      <w:r w:rsidR="00114BF3" w:rsidRPr="00730E2D">
        <w:rPr>
          <w:rFonts w:asciiTheme="minorHAnsi" w:hAnsiTheme="minorHAnsi"/>
        </w:rPr>
        <w:t>ining contributing instruments.</w:t>
      </w:r>
    </w:p>
    <w:p w:rsidR="00675E61" w:rsidRPr="00730E2D" w:rsidRDefault="00675E61" w:rsidP="00580575">
      <w:pPr>
        <w:keepNext/>
        <w:jc w:val="both"/>
        <w:rPr>
          <w:rFonts w:asciiTheme="minorHAnsi" w:hAnsiTheme="minorHAnsi"/>
        </w:rPr>
      </w:pPr>
    </w:p>
    <w:p w:rsidR="00675E61" w:rsidRPr="00730E2D" w:rsidRDefault="00675E61" w:rsidP="00580575">
      <w:pPr>
        <w:keepNext/>
        <w:jc w:val="both"/>
        <w:rPr>
          <w:rFonts w:asciiTheme="minorHAnsi" w:hAnsiTheme="minorHAnsi"/>
        </w:rPr>
      </w:pPr>
      <w:r w:rsidRPr="00730E2D">
        <w:rPr>
          <w:rFonts w:asciiTheme="minorHAnsi" w:hAnsiTheme="minorHAnsi"/>
        </w:rPr>
        <w:t xml:space="preserve">Table </w:t>
      </w:r>
      <w:r w:rsidR="004F385A" w:rsidRPr="00730E2D">
        <w:rPr>
          <w:rFonts w:asciiTheme="minorHAnsi" w:hAnsiTheme="minorHAnsi"/>
        </w:rPr>
        <w:t>4</w:t>
      </w:r>
      <w:r w:rsidRPr="00730E2D">
        <w:rPr>
          <w:rFonts w:asciiTheme="minorHAnsi" w:hAnsiTheme="minorHAnsi"/>
        </w:rPr>
        <w:t xml:space="preserve"> provides an inventory of the content adapted from previous studies to develop the in-depth interview guides.  The table shows </w:t>
      </w:r>
      <w:r w:rsidR="006E3094" w:rsidRPr="00730E2D">
        <w:rPr>
          <w:rFonts w:asciiTheme="minorHAnsi" w:hAnsiTheme="minorHAnsi"/>
        </w:rPr>
        <w:t xml:space="preserve">that </w:t>
      </w:r>
      <w:r w:rsidR="00F56A73" w:rsidRPr="00730E2D">
        <w:rPr>
          <w:rFonts w:asciiTheme="minorHAnsi" w:hAnsiTheme="minorHAnsi"/>
        </w:rPr>
        <w:t xml:space="preserve">the instruments required for the SEP evaluation </w:t>
      </w:r>
      <w:r w:rsidRPr="00730E2D">
        <w:rPr>
          <w:rFonts w:asciiTheme="minorHAnsi" w:hAnsiTheme="minorHAnsi"/>
        </w:rPr>
        <w:t>spanned a broader range of market actors.  Further, the specific information required from each market actor was often unique to this evaluation.  However, the research team leveraged existing interview questions wherever possible.</w:t>
      </w:r>
    </w:p>
    <w:p w:rsidR="00675E61" w:rsidRPr="00730E2D" w:rsidRDefault="00675E61" w:rsidP="00580575">
      <w:pPr>
        <w:jc w:val="both"/>
        <w:rPr>
          <w:rFonts w:asciiTheme="minorHAnsi" w:hAnsiTheme="minorHAnsi"/>
        </w:rPr>
        <w:sectPr w:rsidR="00675E61" w:rsidRPr="00730E2D" w:rsidSect="007775A4">
          <w:pgSz w:w="12240" w:h="15840"/>
          <w:pgMar w:top="1440" w:right="1800" w:bottom="1440" w:left="1800" w:header="720" w:footer="720" w:gutter="0"/>
          <w:cols w:space="720"/>
          <w:docGrid w:linePitch="326"/>
        </w:sectPr>
      </w:pPr>
    </w:p>
    <w:p w:rsidR="004F385A" w:rsidRPr="00730E2D" w:rsidRDefault="004F385A" w:rsidP="004F385A">
      <w:pPr>
        <w:pStyle w:val="Caption"/>
        <w:spacing w:before="0" w:after="0"/>
        <w:jc w:val="left"/>
        <w:rPr>
          <w:rFonts w:asciiTheme="minorHAnsi" w:hAnsiTheme="minorHAnsi"/>
        </w:rPr>
      </w:pPr>
      <w:r w:rsidRPr="00730E2D">
        <w:rPr>
          <w:rFonts w:asciiTheme="minorHAnsi" w:hAnsiTheme="minorHAnsi"/>
        </w:rPr>
        <w:lastRenderedPageBreak/>
        <w:t xml:space="preserve">Table </w:t>
      </w:r>
      <w:r w:rsidR="003260F1" w:rsidRPr="00730E2D">
        <w:rPr>
          <w:rFonts w:asciiTheme="minorHAnsi" w:hAnsiTheme="minorHAnsi"/>
        </w:rPr>
        <w:fldChar w:fldCharType="begin"/>
      </w:r>
      <w:r w:rsidRPr="00730E2D">
        <w:rPr>
          <w:rFonts w:asciiTheme="minorHAnsi" w:hAnsiTheme="minorHAnsi"/>
        </w:rPr>
        <w:instrText xml:space="preserve"> SEQ Table \* ARABIC </w:instrText>
      </w:r>
      <w:r w:rsidR="003260F1" w:rsidRPr="00730E2D">
        <w:rPr>
          <w:rFonts w:asciiTheme="minorHAnsi" w:hAnsiTheme="minorHAnsi"/>
        </w:rPr>
        <w:fldChar w:fldCharType="separate"/>
      </w:r>
      <w:r w:rsidRPr="00730E2D">
        <w:rPr>
          <w:rFonts w:asciiTheme="minorHAnsi" w:hAnsiTheme="minorHAnsi"/>
          <w:noProof/>
        </w:rPr>
        <w:t>3</w:t>
      </w:r>
      <w:r w:rsidR="003260F1" w:rsidRPr="00730E2D">
        <w:rPr>
          <w:rFonts w:asciiTheme="minorHAnsi" w:hAnsiTheme="minorHAnsi"/>
        </w:rPr>
        <w:fldChar w:fldCharType="end"/>
      </w:r>
      <w:r w:rsidRPr="00730E2D">
        <w:rPr>
          <w:rFonts w:asciiTheme="minorHAnsi" w:hAnsiTheme="minorHAnsi"/>
        </w:rPr>
        <w:t xml:space="preserve">: </w:t>
      </w:r>
      <w:r w:rsidR="00675E61" w:rsidRPr="00730E2D">
        <w:rPr>
          <w:rFonts w:asciiTheme="minorHAnsi" w:hAnsiTheme="minorHAnsi"/>
        </w:rPr>
        <w:t>Su</w:t>
      </w:r>
      <w:r w:rsidR="006E3094" w:rsidRPr="00730E2D">
        <w:rPr>
          <w:rFonts w:asciiTheme="minorHAnsi" w:hAnsiTheme="minorHAnsi"/>
        </w:rPr>
        <w:t>rvey content adapted from field-</w:t>
      </w:r>
      <w:r w:rsidR="00675E61" w:rsidRPr="00730E2D">
        <w:rPr>
          <w:rFonts w:asciiTheme="minorHAnsi" w:hAnsiTheme="minorHAnsi"/>
        </w:rPr>
        <w:t>tested surveys for SEP/ARRA CATI surveys</w:t>
      </w:r>
    </w:p>
    <w:p w:rsidR="00675E61" w:rsidRPr="00730E2D" w:rsidRDefault="00675E61" w:rsidP="004F385A">
      <w:pPr>
        <w:pStyle w:val="Caption"/>
        <w:spacing w:before="0" w:after="0"/>
        <w:rPr>
          <w:rFonts w:asciiTheme="minorHAnsi" w:hAnsiTheme="minorHAnsi"/>
        </w:rPr>
      </w:pPr>
      <w:r w:rsidRPr="00730E2D">
        <w:rPr>
          <w:rFonts w:asciiTheme="minorHAnsi" w:hAnsiTheme="minorHAnsi"/>
          <w:noProof/>
        </w:rPr>
        <w:drawing>
          <wp:inline distT="0" distB="0" distL="0" distR="0">
            <wp:extent cx="7439025" cy="5181600"/>
            <wp:effectExtent l="19050" t="0" r="9525"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cstate="print"/>
                    <a:srcRect/>
                    <a:stretch>
                      <a:fillRect/>
                    </a:stretch>
                  </pic:blipFill>
                  <pic:spPr bwMode="auto">
                    <a:xfrm>
                      <a:off x="0" y="0"/>
                      <a:ext cx="7439025" cy="5181600"/>
                    </a:xfrm>
                    <a:prstGeom prst="rect">
                      <a:avLst/>
                    </a:prstGeom>
                    <a:noFill/>
                    <a:ln w="9525">
                      <a:noFill/>
                      <a:miter lim="800000"/>
                      <a:headEnd/>
                      <a:tailEnd/>
                    </a:ln>
                  </pic:spPr>
                </pic:pic>
              </a:graphicData>
            </a:graphic>
          </wp:inline>
        </w:drawing>
      </w:r>
    </w:p>
    <w:p w:rsidR="00675E61" w:rsidRPr="00730E2D" w:rsidRDefault="004F385A" w:rsidP="004F385A">
      <w:pPr>
        <w:pStyle w:val="Caption"/>
        <w:spacing w:before="0" w:after="0"/>
        <w:jc w:val="left"/>
        <w:rPr>
          <w:rFonts w:asciiTheme="minorHAnsi" w:hAnsiTheme="minorHAnsi"/>
        </w:rPr>
        <w:sectPr w:rsidR="00675E61" w:rsidRPr="00730E2D">
          <w:pgSz w:w="15840" w:h="12240" w:orient="landscape"/>
          <w:pgMar w:top="1800" w:right="1440" w:bottom="1800" w:left="1440" w:header="720" w:footer="720" w:gutter="0"/>
          <w:cols w:space="720"/>
        </w:sectPr>
      </w:pPr>
      <w:r w:rsidRPr="00730E2D">
        <w:rPr>
          <w:rFonts w:asciiTheme="minorHAnsi" w:hAnsiTheme="minorHAnsi"/>
        </w:rPr>
        <w:lastRenderedPageBreak/>
        <w:t xml:space="preserve">Table </w:t>
      </w:r>
      <w:r w:rsidR="003260F1" w:rsidRPr="00730E2D">
        <w:rPr>
          <w:rFonts w:asciiTheme="minorHAnsi" w:hAnsiTheme="minorHAnsi"/>
        </w:rPr>
        <w:fldChar w:fldCharType="begin"/>
      </w:r>
      <w:r w:rsidRPr="00730E2D">
        <w:rPr>
          <w:rFonts w:asciiTheme="minorHAnsi" w:hAnsiTheme="minorHAnsi"/>
        </w:rPr>
        <w:instrText xml:space="preserve"> SEQ Table \* ARABIC </w:instrText>
      </w:r>
      <w:r w:rsidR="003260F1" w:rsidRPr="00730E2D">
        <w:rPr>
          <w:rFonts w:asciiTheme="minorHAnsi" w:hAnsiTheme="minorHAnsi"/>
        </w:rPr>
        <w:fldChar w:fldCharType="separate"/>
      </w:r>
      <w:r w:rsidRPr="00730E2D">
        <w:rPr>
          <w:rFonts w:asciiTheme="minorHAnsi" w:hAnsiTheme="minorHAnsi"/>
          <w:noProof/>
        </w:rPr>
        <w:t>4</w:t>
      </w:r>
      <w:r w:rsidR="003260F1" w:rsidRPr="00730E2D">
        <w:rPr>
          <w:rFonts w:asciiTheme="minorHAnsi" w:hAnsiTheme="minorHAnsi"/>
        </w:rPr>
        <w:fldChar w:fldCharType="end"/>
      </w:r>
      <w:r w:rsidR="00580575" w:rsidRPr="00730E2D">
        <w:rPr>
          <w:rFonts w:asciiTheme="minorHAnsi" w:hAnsiTheme="minorHAnsi"/>
        </w:rPr>
        <w:t>: Interview</w:t>
      </w:r>
      <w:r w:rsidR="00675E61" w:rsidRPr="00730E2D">
        <w:rPr>
          <w:rFonts w:asciiTheme="minorHAnsi" w:hAnsiTheme="minorHAnsi"/>
        </w:rPr>
        <w:t xml:space="preserve"> content ad</w:t>
      </w:r>
      <w:r w:rsidR="006E3094" w:rsidRPr="00730E2D">
        <w:rPr>
          <w:rFonts w:asciiTheme="minorHAnsi" w:hAnsiTheme="minorHAnsi"/>
        </w:rPr>
        <w:t>apted from field-</w:t>
      </w:r>
      <w:r w:rsidR="00675E61" w:rsidRPr="00730E2D">
        <w:rPr>
          <w:rFonts w:asciiTheme="minorHAnsi" w:hAnsiTheme="minorHAnsi"/>
        </w:rPr>
        <w:t xml:space="preserve">tested surveys for SEP/ARRA in-depth interviews </w:t>
      </w:r>
      <w:r w:rsidR="00675E61" w:rsidRPr="00730E2D">
        <w:rPr>
          <w:rFonts w:asciiTheme="minorHAnsi" w:hAnsiTheme="minorHAnsi"/>
          <w:noProof/>
        </w:rPr>
        <w:drawing>
          <wp:inline distT="0" distB="0" distL="0" distR="0">
            <wp:extent cx="7877175" cy="5220042"/>
            <wp:effectExtent l="19050" t="0" r="9525" b="0"/>
            <wp:docPr id="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srcRect/>
                    <a:stretch>
                      <a:fillRect/>
                    </a:stretch>
                  </pic:blipFill>
                  <pic:spPr bwMode="auto">
                    <a:xfrm>
                      <a:off x="0" y="0"/>
                      <a:ext cx="7877175" cy="5220042"/>
                    </a:xfrm>
                    <a:prstGeom prst="rect">
                      <a:avLst/>
                    </a:prstGeom>
                    <a:noFill/>
                    <a:ln w="9525">
                      <a:noFill/>
                      <a:miter lim="800000"/>
                      <a:headEnd/>
                      <a:tailEnd/>
                    </a:ln>
                  </pic:spPr>
                </pic:pic>
              </a:graphicData>
            </a:graphic>
          </wp:inline>
        </w:drawing>
      </w:r>
    </w:p>
    <w:p w:rsidR="00EE4573" w:rsidRPr="00730E2D" w:rsidRDefault="00EE4573" w:rsidP="00580575">
      <w:pPr>
        <w:keepNext/>
        <w:jc w:val="both"/>
        <w:rPr>
          <w:rFonts w:asciiTheme="minorHAnsi" w:hAnsiTheme="minorHAnsi"/>
          <w:b/>
        </w:rPr>
      </w:pPr>
    </w:p>
    <w:p w:rsidR="00E61E68" w:rsidRPr="00730E2D" w:rsidRDefault="00E61E68" w:rsidP="00580575">
      <w:pPr>
        <w:numPr>
          <w:ilvl w:val="0"/>
          <w:numId w:val="15"/>
        </w:numPr>
        <w:jc w:val="both"/>
        <w:rPr>
          <w:rFonts w:asciiTheme="minorHAnsi" w:hAnsiTheme="minorHAnsi"/>
          <w:b/>
          <w:u w:val="single"/>
        </w:rPr>
      </w:pPr>
      <w:r w:rsidRPr="00730E2D">
        <w:rPr>
          <w:rFonts w:asciiTheme="minorHAnsi" w:hAnsiTheme="minorHAnsi"/>
          <w:b/>
          <w:u w:val="single"/>
        </w:rPr>
        <w:t>Provide the name and telephone number of individuals consulted on statistical aspects of the design and the name of the agency unit, contractor(s), grantee(s) or other person(s) who will actually collect and/or analyze the information for the agency.</w:t>
      </w:r>
    </w:p>
    <w:p w:rsidR="00EE4573" w:rsidRPr="00730E2D" w:rsidRDefault="00EE4573" w:rsidP="00580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 w:lineRule="atLeast"/>
        <w:jc w:val="both"/>
        <w:rPr>
          <w:rFonts w:asciiTheme="minorHAnsi" w:hAnsiTheme="minorHAnsi"/>
          <w:b/>
        </w:rPr>
      </w:pPr>
    </w:p>
    <w:p w:rsidR="0002656C" w:rsidRPr="00730E2D" w:rsidRDefault="0002656C" w:rsidP="00580575">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 w:lineRule="atLeast"/>
        <w:rPr>
          <w:rFonts w:asciiTheme="minorHAnsi" w:hAnsiTheme="minorHAnsi"/>
          <w:sz w:val="24"/>
          <w:szCs w:val="24"/>
        </w:rPr>
      </w:pPr>
      <w:r w:rsidRPr="00730E2D">
        <w:rPr>
          <w:rFonts w:asciiTheme="minorHAnsi" w:hAnsiTheme="minorHAnsi"/>
          <w:sz w:val="24"/>
          <w:szCs w:val="24"/>
        </w:rPr>
        <w:t>Miriam L. Goldberg, Ph.D.—Senior Vice President – Sustainable Use, KEMA</w:t>
      </w:r>
      <w:r w:rsidR="00115383" w:rsidRPr="00730E2D">
        <w:rPr>
          <w:rFonts w:asciiTheme="minorHAnsi" w:hAnsiTheme="minorHAnsi"/>
          <w:sz w:val="24"/>
          <w:szCs w:val="24"/>
        </w:rPr>
        <w:t>,</w:t>
      </w:r>
      <w:r w:rsidRPr="00730E2D">
        <w:rPr>
          <w:rFonts w:asciiTheme="minorHAnsi" w:hAnsiTheme="minorHAnsi"/>
          <w:sz w:val="24"/>
          <w:szCs w:val="24"/>
        </w:rPr>
        <w:t xml:space="preserve"> Inc.; 608-259-9152 x70211; </w:t>
      </w:r>
      <w:hyperlink r:id="rId20" w:history="1">
        <w:r w:rsidR="00115383" w:rsidRPr="00730E2D">
          <w:rPr>
            <w:rStyle w:val="Hyperlink"/>
            <w:rFonts w:asciiTheme="minorHAnsi" w:hAnsiTheme="minorHAnsi"/>
            <w:sz w:val="24"/>
            <w:szCs w:val="24"/>
          </w:rPr>
          <w:t>miriam.goldberg@kema.com</w:t>
        </w:r>
      </w:hyperlink>
    </w:p>
    <w:p w:rsidR="0002656C" w:rsidRPr="00730E2D" w:rsidRDefault="0002656C" w:rsidP="00580575">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 w:lineRule="atLeast"/>
        <w:rPr>
          <w:rFonts w:asciiTheme="minorHAnsi" w:hAnsiTheme="minorHAnsi"/>
          <w:sz w:val="24"/>
          <w:szCs w:val="24"/>
        </w:rPr>
      </w:pPr>
      <w:r w:rsidRPr="00730E2D">
        <w:rPr>
          <w:rFonts w:asciiTheme="minorHAnsi" w:hAnsiTheme="minorHAnsi"/>
          <w:sz w:val="24"/>
          <w:szCs w:val="24"/>
        </w:rPr>
        <w:t>Mitchell Rosenberg—Vice President, KEMA</w:t>
      </w:r>
      <w:r w:rsidR="00115383" w:rsidRPr="00730E2D">
        <w:rPr>
          <w:rFonts w:asciiTheme="minorHAnsi" w:hAnsiTheme="minorHAnsi"/>
          <w:sz w:val="24"/>
          <w:szCs w:val="24"/>
        </w:rPr>
        <w:t>,</w:t>
      </w:r>
      <w:r w:rsidRPr="00730E2D">
        <w:rPr>
          <w:rFonts w:asciiTheme="minorHAnsi" w:hAnsiTheme="minorHAnsi"/>
          <w:sz w:val="24"/>
          <w:szCs w:val="24"/>
        </w:rPr>
        <w:t xml:space="preserve"> Inc.; 781-273-5700; </w:t>
      </w:r>
      <w:hyperlink r:id="rId21" w:history="1">
        <w:r w:rsidRPr="00730E2D">
          <w:rPr>
            <w:rStyle w:val="Hyperlink"/>
            <w:rFonts w:asciiTheme="minorHAnsi" w:hAnsiTheme="minorHAnsi"/>
            <w:sz w:val="24"/>
            <w:szCs w:val="24"/>
          </w:rPr>
          <w:t>mitch.rosenberg@kema.com</w:t>
        </w:r>
      </w:hyperlink>
    </w:p>
    <w:p w:rsidR="008F3414" w:rsidRPr="00730E2D" w:rsidRDefault="004559AF" w:rsidP="00580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 w:lineRule="atLeast"/>
        <w:rPr>
          <w:rFonts w:asciiTheme="minorHAnsi" w:hAnsiTheme="minorHAnsi"/>
        </w:rPr>
      </w:pPr>
      <w:r w:rsidRPr="00730E2D">
        <w:rPr>
          <w:rFonts w:asciiTheme="minorHAnsi" w:hAnsiTheme="minorHAnsi"/>
        </w:rPr>
        <w:t>KEMA</w:t>
      </w:r>
      <w:r w:rsidR="00115383" w:rsidRPr="00730E2D">
        <w:rPr>
          <w:rFonts w:asciiTheme="minorHAnsi" w:hAnsiTheme="minorHAnsi"/>
        </w:rPr>
        <w:t xml:space="preserve"> is the evaluation contractor and will</w:t>
      </w:r>
      <w:r w:rsidRPr="00730E2D">
        <w:rPr>
          <w:rFonts w:asciiTheme="minorHAnsi" w:hAnsiTheme="minorHAnsi"/>
        </w:rPr>
        <w:t xml:space="preserve"> coordinate data collection and analysis.  Data collection will be carried out </w:t>
      </w:r>
      <w:r w:rsidR="00B320BF" w:rsidRPr="00730E2D">
        <w:rPr>
          <w:rFonts w:asciiTheme="minorHAnsi" w:hAnsiTheme="minorHAnsi"/>
        </w:rPr>
        <w:t xml:space="preserve">jointly </w:t>
      </w:r>
      <w:r w:rsidR="00D856BC" w:rsidRPr="00730E2D">
        <w:rPr>
          <w:rFonts w:asciiTheme="minorHAnsi" w:hAnsiTheme="minorHAnsi"/>
        </w:rPr>
        <w:t>by KEMA and its subcontractors</w:t>
      </w:r>
      <w:r w:rsidRPr="00730E2D">
        <w:rPr>
          <w:rFonts w:asciiTheme="minorHAnsi" w:hAnsiTheme="minorHAnsi"/>
        </w:rPr>
        <w:t>.</w:t>
      </w:r>
    </w:p>
    <w:sectPr w:rsidR="008F3414" w:rsidRPr="00730E2D" w:rsidSect="0083766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31A" w:rsidRDefault="00C0631A">
      <w:r>
        <w:separator/>
      </w:r>
    </w:p>
  </w:endnote>
  <w:endnote w:type="continuationSeparator" w:id="0">
    <w:p w:rsidR="00C0631A" w:rsidRDefault="00C0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61" w:rsidRDefault="00B93B61" w:rsidP="006854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3B61" w:rsidRDefault="00B93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61" w:rsidRDefault="00B93B61" w:rsidP="006854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730">
      <w:rPr>
        <w:rStyle w:val="PageNumber"/>
        <w:noProof/>
      </w:rPr>
      <w:t>3</w:t>
    </w:r>
    <w:r>
      <w:rPr>
        <w:rStyle w:val="PageNumber"/>
      </w:rPr>
      <w:fldChar w:fldCharType="end"/>
    </w:r>
  </w:p>
  <w:p w:rsidR="00B93B61" w:rsidRDefault="00B93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31A" w:rsidRDefault="00C0631A">
      <w:r>
        <w:separator/>
      </w:r>
    </w:p>
  </w:footnote>
  <w:footnote w:type="continuationSeparator" w:id="0">
    <w:p w:rsidR="00C0631A" w:rsidRDefault="00C0631A">
      <w:r>
        <w:continuationSeparator/>
      </w:r>
    </w:p>
  </w:footnote>
  <w:footnote w:id="1">
    <w:p w:rsidR="00B93B61" w:rsidRPr="00384822" w:rsidRDefault="00B93B61">
      <w:pPr>
        <w:pStyle w:val="FootnoteText"/>
      </w:pPr>
      <w:r w:rsidRPr="00384822">
        <w:rPr>
          <w:rStyle w:val="FootnoteReference"/>
        </w:rPr>
        <w:footnoteRef/>
      </w:r>
      <w:r w:rsidRPr="00384822">
        <w:t xml:space="preserve"> High rigor evaluations require verification of savings through best practice methods, particularly methods recognized in the </w:t>
      </w:r>
      <w:r w:rsidRPr="00384822">
        <w:rPr>
          <w:i/>
        </w:rPr>
        <w:t>California Evaluation Protocols</w:t>
      </w:r>
      <w:r w:rsidRPr="00384822">
        <w:t xml:space="preserve">, DOE’s </w:t>
      </w:r>
      <w:r w:rsidRPr="00384822">
        <w:rPr>
          <w:i/>
          <w:iCs/>
        </w:rPr>
        <w:t xml:space="preserve">Impact Evaluation Framework for Technology Deployment Programs, </w:t>
      </w:r>
      <w:r w:rsidRPr="00384822">
        <w:rPr>
          <w:iCs/>
        </w:rPr>
        <w:t>and the</w:t>
      </w:r>
      <w:r w:rsidRPr="00384822">
        <w:rPr>
          <w:i/>
          <w:iCs/>
        </w:rPr>
        <w:t xml:space="preserve"> </w:t>
      </w:r>
      <w:r w:rsidRPr="00384822">
        <w:t xml:space="preserve">  </w:t>
      </w:r>
      <w:r w:rsidRPr="00384822">
        <w:rPr>
          <w:i/>
        </w:rPr>
        <w:t xml:space="preserve">International Performance Measurement and Verification Protocol.  </w:t>
      </w:r>
      <w:r w:rsidRPr="00384822">
        <w:t>These methods include on-site verification and/or performance monitoring of a sample number of projects supported by the program, whole building utility meter billing analysis, surveys of participants and nonparticipants, and combinations of building simulation modeling and other engineering analysis with the first two methods.  In some cases, these verification methods may be mixed with less intensive approaches such as file review and telephone contact with program participants to increase sample size.  Sample results are expanded to the population using statistical methods, such as ratio estimation or regression analysis.</w:t>
      </w:r>
    </w:p>
  </w:footnote>
  <w:footnote w:id="2">
    <w:p w:rsidR="00B93B61" w:rsidRPr="00384822" w:rsidRDefault="00B93B61">
      <w:pPr>
        <w:pStyle w:val="FootnoteText"/>
      </w:pPr>
      <w:r w:rsidRPr="00384822">
        <w:rPr>
          <w:rStyle w:val="FootnoteReference"/>
        </w:rPr>
        <w:footnoteRef/>
      </w:r>
      <w:r w:rsidRPr="00384822">
        <w:t xml:space="preserve"> Medium-high rigor evaluations require verification of savings with individual participants, using less intensive data collection and analysis methods than those prescribed for high rigor.  All input data may be collected through telephone contact with participants, supplemented by review of program documentation.  These data are then combined with documented input assumptions and applied to standard engineering formulae to estimate savings for all or a sample of participants.  On-site data collection, if used at all in medium rigor evaluations, will be applied either in exceptional cases, such as when a single project represents a large portion of potential savings for the PA, or where needed to support key assumptions used in the engineering-based assessments. Sample sizes will also be smaller in the medium-high rigor assessments.</w:t>
      </w:r>
    </w:p>
  </w:footnote>
  <w:footnote w:id="3">
    <w:p w:rsidR="00B93B61" w:rsidRPr="00796823" w:rsidRDefault="00B93B61">
      <w:pPr>
        <w:pStyle w:val="FootnoteText"/>
      </w:pPr>
      <w:r w:rsidRPr="00796823">
        <w:rPr>
          <w:rStyle w:val="FootnoteReference"/>
        </w:rPr>
        <w:footnoteRef/>
      </w:r>
      <w:r w:rsidRPr="00796823">
        <w:t xml:space="preserve"> Cochran, W. G. 1977.  </w:t>
      </w:r>
      <w:proofErr w:type="gramStart"/>
      <w:r w:rsidRPr="00796823">
        <w:rPr>
          <w:i/>
        </w:rPr>
        <w:t>Sampling Techniques</w:t>
      </w:r>
      <w:r w:rsidRPr="00796823">
        <w:t>.</w:t>
      </w:r>
      <w:proofErr w:type="gramEnd"/>
      <w:r w:rsidRPr="00796823">
        <w:t xml:space="preserve">  New York: John Wiley &amp; Sons.</w:t>
      </w:r>
    </w:p>
  </w:footnote>
  <w:footnote w:id="4">
    <w:p w:rsidR="00B93B61" w:rsidRDefault="00B93B61" w:rsidP="00C14217">
      <w:pPr>
        <w:pStyle w:val="FootnoteText"/>
      </w:pPr>
      <w:r>
        <w:rPr>
          <w:rStyle w:val="FootnoteReference"/>
        </w:rPr>
        <w:footnoteRef/>
      </w:r>
      <w:r>
        <w:t xml:space="preserve"> </w:t>
      </w:r>
      <w:proofErr w:type="spellStart"/>
      <w:r>
        <w:t>TecMarket</w:t>
      </w:r>
      <w:proofErr w:type="spellEnd"/>
      <w:r>
        <w:t xml:space="preserve"> Works, </w:t>
      </w:r>
      <w:proofErr w:type="gramStart"/>
      <w:r>
        <w:rPr>
          <w:i/>
        </w:rPr>
        <w:t>The</w:t>
      </w:r>
      <w:proofErr w:type="gramEnd"/>
      <w:r>
        <w:rPr>
          <w:i/>
        </w:rPr>
        <w:t xml:space="preserve"> </w:t>
      </w:r>
      <w:smartTag w:uri="urn:schemas-microsoft-com:office:smarttags" w:element="place">
        <w:smartTag w:uri="urn:schemas-microsoft-com:office:smarttags" w:element="State">
          <w:r>
            <w:rPr>
              <w:i/>
            </w:rPr>
            <w:t>California</w:t>
          </w:r>
        </w:smartTag>
      </w:smartTag>
      <w:r>
        <w:rPr>
          <w:i/>
        </w:rPr>
        <w:t xml:space="preserve"> Evaluation Framework. </w:t>
      </w:r>
      <w:r>
        <w:t xml:space="preserve"> </w:t>
      </w:r>
      <w:smartTag w:uri="urn:schemas-microsoft-com:office:smarttags" w:element="City">
        <w:r>
          <w:t>San Francisco</w:t>
        </w:r>
      </w:smartTag>
      <w:r>
        <w:t xml:space="preserve">: </w:t>
      </w:r>
      <w:smartTag w:uri="urn:schemas-microsoft-com:office:smarttags" w:element="place">
        <w:smartTag w:uri="urn:schemas-microsoft-com:office:smarttags" w:element="State">
          <w:r>
            <w:t>California</w:t>
          </w:r>
        </w:smartTag>
      </w:smartTag>
      <w:r>
        <w:t xml:space="preserve"> Public Utilities Commission. 2004.  Chapter 13, Sampling.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39653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3F579E0"/>
    <w:multiLevelType w:val="hybridMultilevel"/>
    <w:tmpl w:val="A948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05FE7"/>
    <w:multiLevelType w:val="hybridMultilevel"/>
    <w:tmpl w:val="F61EA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5E0C86"/>
    <w:multiLevelType w:val="hybridMultilevel"/>
    <w:tmpl w:val="AE3E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D4AC0"/>
    <w:multiLevelType w:val="hybridMultilevel"/>
    <w:tmpl w:val="F1387D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FB4035"/>
    <w:multiLevelType w:val="hybridMultilevel"/>
    <w:tmpl w:val="BDB8B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2F7680"/>
    <w:multiLevelType w:val="hybridMultilevel"/>
    <w:tmpl w:val="DD92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593DA2"/>
    <w:multiLevelType w:val="hybridMultilevel"/>
    <w:tmpl w:val="8AF088F0"/>
    <w:lvl w:ilvl="0" w:tplc="6B2E54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2C2251"/>
    <w:multiLevelType w:val="hybridMultilevel"/>
    <w:tmpl w:val="57EE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C933A4"/>
    <w:multiLevelType w:val="hybridMultilevel"/>
    <w:tmpl w:val="D48CB9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1C6F7D39"/>
    <w:multiLevelType w:val="hybridMultilevel"/>
    <w:tmpl w:val="99BA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A538EB"/>
    <w:multiLevelType w:val="hybridMultilevel"/>
    <w:tmpl w:val="F4D2DBBA"/>
    <w:lvl w:ilvl="0" w:tplc="2D08E0A2">
      <w:start w:val="1"/>
      <w:numFmt w:val="bullet"/>
      <w:pStyle w:val="Bullet4"/>
      <w:lvlText w:val=""/>
      <w:lvlJc w:val="left"/>
      <w:pPr>
        <w:tabs>
          <w:tab w:val="num" w:pos="360"/>
        </w:tabs>
        <w:ind w:left="252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D47563"/>
    <w:multiLevelType w:val="hybridMultilevel"/>
    <w:tmpl w:val="BE1E1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D91325"/>
    <w:multiLevelType w:val="hybridMultilevel"/>
    <w:tmpl w:val="3400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296BC9"/>
    <w:multiLevelType w:val="hybridMultilevel"/>
    <w:tmpl w:val="2E0017A2"/>
    <w:lvl w:ilvl="0" w:tplc="A4D8991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71095F"/>
    <w:multiLevelType w:val="hybridMultilevel"/>
    <w:tmpl w:val="7F9048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096BC8"/>
    <w:multiLevelType w:val="hybridMultilevel"/>
    <w:tmpl w:val="329CD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DD7864"/>
    <w:multiLevelType w:val="hybridMultilevel"/>
    <w:tmpl w:val="B7F6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F068BB"/>
    <w:multiLevelType w:val="hybridMultilevel"/>
    <w:tmpl w:val="1F181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7FD54A9"/>
    <w:multiLevelType w:val="hybridMultilevel"/>
    <w:tmpl w:val="FCF6320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F465C0"/>
    <w:multiLevelType w:val="hybridMultilevel"/>
    <w:tmpl w:val="98546322"/>
    <w:lvl w:ilvl="0" w:tplc="0AE697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FB43EF"/>
    <w:multiLevelType w:val="hybridMultilevel"/>
    <w:tmpl w:val="12FA7926"/>
    <w:lvl w:ilvl="0" w:tplc="3F7A91FE">
      <w:start w:val="1"/>
      <w:numFmt w:val="bullet"/>
      <w:pStyle w:val="Bullet1"/>
      <w:lvlText w:val=""/>
      <w:lvlJc w:val="left"/>
      <w:pPr>
        <w:tabs>
          <w:tab w:val="num" w:pos="36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A9E2D17"/>
    <w:multiLevelType w:val="multilevel"/>
    <w:tmpl w:val="298C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3C4595"/>
    <w:multiLevelType w:val="hybridMultilevel"/>
    <w:tmpl w:val="BD10A0F2"/>
    <w:lvl w:ilvl="0" w:tplc="072EE1B0">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A3157B"/>
    <w:multiLevelType w:val="hybridMultilevel"/>
    <w:tmpl w:val="901E6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DBA7682"/>
    <w:multiLevelType w:val="hybridMultilevel"/>
    <w:tmpl w:val="03589D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1EC5CA7"/>
    <w:multiLevelType w:val="multilevel"/>
    <w:tmpl w:val="39A870A0"/>
    <w:lvl w:ilvl="0">
      <w:start w:val="1"/>
      <w:numFmt w:val="decimal"/>
      <w:pStyle w:val="Heading1"/>
      <w:lvlText w:val="%1."/>
      <w:lvlJc w:val="left"/>
      <w:pPr>
        <w:tabs>
          <w:tab w:val="num" w:pos="1080"/>
        </w:tabs>
        <w:ind w:left="1080" w:hanging="1080"/>
      </w:pPr>
      <w:rPr>
        <w:rFonts w:ascii="Arial" w:hAnsi="Arial" w:cs="Times New Roman" w:hint="default"/>
        <w:b/>
        <w:i w:val="0"/>
        <w:sz w:val="34"/>
        <w:szCs w:val="34"/>
      </w:rPr>
    </w:lvl>
    <w:lvl w:ilvl="1">
      <w:start w:val="1"/>
      <w:numFmt w:val="decimal"/>
      <w:pStyle w:val="Heading2"/>
      <w:lvlText w:val="%1.%2"/>
      <w:lvlJc w:val="left"/>
      <w:pPr>
        <w:tabs>
          <w:tab w:val="num" w:pos="1080"/>
        </w:tabs>
        <w:ind w:left="1080" w:hanging="1080"/>
      </w:pPr>
      <w:rPr>
        <w:rFonts w:ascii="Arial" w:hAnsi="Arial" w:cs="Times New Roman" w:hint="default"/>
        <w:b/>
        <w:i w:val="0"/>
        <w:sz w:val="30"/>
        <w:szCs w:val="30"/>
      </w:rPr>
    </w:lvl>
    <w:lvl w:ilvl="2">
      <w:start w:val="1"/>
      <w:numFmt w:val="decimal"/>
      <w:pStyle w:val="Heading3"/>
      <w:lvlText w:val="%1.%2.%3"/>
      <w:lvlJc w:val="left"/>
      <w:pPr>
        <w:tabs>
          <w:tab w:val="num" w:pos="1080"/>
        </w:tabs>
        <w:ind w:left="1080" w:hanging="1080"/>
      </w:pPr>
      <w:rPr>
        <w:rFonts w:ascii="Arial" w:hAnsi="Arial" w:cs="Times New Roman" w:hint="default"/>
        <w:b/>
        <w:i w:val="0"/>
        <w:sz w:val="26"/>
        <w:szCs w:val="26"/>
      </w:rPr>
    </w:lvl>
    <w:lvl w:ilvl="3">
      <w:start w:val="1"/>
      <w:numFmt w:val="decimal"/>
      <w:pStyle w:val="Heading4"/>
      <w:lvlText w:val="%1.%2.%3.%4"/>
      <w:lvlJc w:val="left"/>
      <w:pPr>
        <w:tabs>
          <w:tab w:val="num" w:pos="1080"/>
        </w:tabs>
        <w:ind w:left="1080" w:hanging="1080"/>
      </w:pPr>
      <w:rPr>
        <w:rFonts w:ascii="Arial" w:hAnsi="Arial" w:cs="Times New Roman" w:hint="default"/>
        <w:b/>
        <w:i w:val="0"/>
        <w:sz w:val="22"/>
        <w:szCs w:val="22"/>
      </w:rPr>
    </w:lvl>
    <w:lvl w:ilvl="4">
      <w:start w:val="1"/>
      <w:numFmt w:val="decimal"/>
      <w:pStyle w:val="Heading5"/>
      <w:lvlText w:val="%1.%2.%3.%4.%5"/>
      <w:lvlJc w:val="left"/>
      <w:pPr>
        <w:tabs>
          <w:tab w:val="num" w:pos="1440"/>
        </w:tabs>
        <w:ind w:left="1080" w:hanging="1080"/>
      </w:pPr>
      <w:rPr>
        <w:rFonts w:ascii="Arial" w:hAnsi="Arial" w:cs="Times New Roman" w:hint="default"/>
        <w:b/>
        <w:i w:val="0"/>
        <w:sz w:val="22"/>
        <w:szCs w:val="22"/>
      </w:rPr>
    </w:lvl>
    <w:lvl w:ilvl="5">
      <w:start w:val="1"/>
      <w:numFmt w:val="decimal"/>
      <w:pStyle w:val="Heading6"/>
      <w:lvlText w:val="%1.%2.%3.%4.%5.%6"/>
      <w:lvlJc w:val="left"/>
      <w:pPr>
        <w:tabs>
          <w:tab w:val="num" w:pos="2736"/>
        </w:tabs>
        <w:ind w:left="2736" w:hanging="2736"/>
      </w:pPr>
      <w:rPr>
        <w:rFonts w:ascii="Arial" w:hAnsi="Arial" w:cs="Times New Roman" w:hint="default"/>
        <w:b/>
        <w:i w:val="0"/>
        <w:sz w:val="22"/>
        <w:szCs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34281803"/>
    <w:multiLevelType w:val="hybridMultilevel"/>
    <w:tmpl w:val="E51A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BA7D5A"/>
    <w:multiLevelType w:val="hybridMultilevel"/>
    <w:tmpl w:val="89680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8308B4"/>
    <w:multiLevelType w:val="hybridMultilevel"/>
    <w:tmpl w:val="4800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0D06AF"/>
    <w:multiLevelType w:val="multilevel"/>
    <w:tmpl w:val="817E2BE4"/>
    <w:lvl w:ilvl="0">
      <w:start w:val="1"/>
      <w:numFmt w:val="decimal"/>
      <w:pStyle w:val="1"/>
      <w:lvlText w:val="%1)"/>
      <w:lvlJc w:val="left"/>
      <w:pPr>
        <w:tabs>
          <w:tab w:val="num" w:pos="1440"/>
        </w:tabs>
        <w:ind w:left="1440" w:hanging="360"/>
      </w:pPr>
      <w:rPr>
        <w:rFonts w:ascii="Arial" w:hAnsi="Arial" w:cs="Times New Roman" w:hint="default"/>
        <w:b w:val="0"/>
        <w:i w:val="0"/>
        <w:sz w:val="22"/>
        <w:szCs w:val="22"/>
        <w:u w:val="none"/>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left"/>
      <w:pPr>
        <w:tabs>
          <w:tab w:val="num" w:pos="252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3AF502B7"/>
    <w:multiLevelType w:val="multilevel"/>
    <w:tmpl w:val="9EF0CEA0"/>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3B480A0C"/>
    <w:multiLevelType w:val="hybridMultilevel"/>
    <w:tmpl w:val="6644C2FE"/>
    <w:lvl w:ilvl="0" w:tplc="FB46746C">
      <w:start w:val="1"/>
      <w:numFmt w:val="bullet"/>
      <w:pStyle w:val="Bullet3"/>
      <w:lvlText w:val=""/>
      <w:lvlJc w:val="left"/>
      <w:pPr>
        <w:tabs>
          <w:tab w:val="num" w:pos="360"/>
        </w:tabs>
        <w:ind w:left="180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DE77EE0"/>
    <w:multiLevelType w:val="hybridMultilevel"/>
    <w:tmpl w:val="77A690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hint="default"/>
      </w:rPr>
    </w:lvl>
    <w:lvl w:ilvl="5" w:tplc="04090019">
      <w:start w:val="1"/>
      <w:numFmt w:val="lowerLetter"/>
      <w:lvlText w:val="%6."/>
      <w:lvlJc w:val="lef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4091449B"/>
    <w:multiLevelType w:val="hybridMultilevel"/>
    <w:tmpl w:val="2402A73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41CD13BB"/>
    <w:multiLevelType w:val="hybridMultilevel"/>
    <w:tmpl w:val="1CFC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4E69D5"/>
    <w:multiLevelType w:val="hybridMultilevel"/>
    <w:tmpl w:val="1B9A3E28"/>
    <w:lvl w:ilvl="0" w:tplc="0882D37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4AD6660"/>
    <w:multiLevelType w:val="hybridMultilevel"/>
    <w:tmpl w:val="DA06D7A6"/>
    <w:lvl w:ilvl="0" w:tplc="7B528710">
      <w:start w:val="1"/>
      <w:numFmt w:val="bullet"/>
      <w:pStyle w:val="Bullet2"/>
      <w:lvlText w:val="–"/>
      <w:lvlJc w:val="left"/>
      <w:pPr>
        <w:tabs>
          <w:tab w:val="num" w:pos="1440"/>
        </w:tabs>
        <w:ind w:left="1440" w:hanging="360"/>
      </w:pPr>
      <w:rPr>
        <w:rFonts w:ascii="Times New Roman" w:hAnsi="Times New Roman" w:hint="default"/>
      </w:rPr>
    </w:lvl>
    <w:lvl w:ilvl="1" w:tplc="BD4EED46">
      <w:start w:val="1"/>
      <w:numFmt w:val="decimal"/>
      <w:lvlText w:val="%2)"/>
      <w:lvlJc w:val="left"/>
      <w:pPr>
        <w:tabs>
          <w:tab w:val="num" w:pos="720"/>
        </w:tabs>
        <w:ind w:left="72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6E46B15"/>
    <w:multiLevelType w:val="hybridMultilevel"/>
    <w:tmpl w:val="1AFCBA46"/>
    <w:lvl w:ilvl="0" w:tplc="0F8CA994">
      <w:start w:val="18"/>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F761CAF"/>
    <w:multiLevelType w:val="multilevel"/>
    <w:tmpl w:val="142C2B36"/>
    <w:lvl w:ilvl="0">
      <w:start w:val="1"/>
      <w:numFmt w:val="upperLetter"/>
      <w:pStyle w:val="Heading7"/>
      <w:lvlText w:val="%1."/>
      <w:lvlJc w:val="left"/>
      <w:pPr>
        <w:tabs>
          <w:tab w:val="num" w:pos="1080"/>
        </w:tabs>
        <w:ind w:left="1080" w:hanging="1080"/>
      </w:pPr>
      <w:rPr>
        <w:rFonts w:ascii="Arial" w:hAnsi="Arial" w:cs="Times New Roman" w:hint="default"/>
        <w:b/>
        <w:i w:val="0"/>
        <w:sz w:val="34"/>
        <w:szCs w:val="34"/>
      </w:rPr>
    </w:lvl>
    <w:lvl w:ilvl="1">
      <w:start w:val="1"/>
      <w:numFmt w:val="decimal"/>
      <w:lvlText w:val="%1.%2"/>
      <w:lvlJc w:val="left"/>
      <w:pPr>
        <w:tabs>
          <w:tab w:val="num" w:pos="1080"/>
        </w:tabs>
        <w:ind w:left="1080" w:hanging="1080"/>
      </w:pPr>
      <w:rPr>
        <w:rFonts w:ascii="Arial" w:hAnsi="Arial" w:cs="Times New Roman" w:hint="default"/>
        <w:b/>
        <w:i w:val="0"/>
        <w:sz w:val="30"/>
        <w:szCs w:val="30"/>
      </w:rPr>
    </w:lvl>
    <w:lvl w:ilvl="2">
      <w:start w:val="1"/>
      <w:numFmt w:val="decimal"/>
      <w:lvlText w:val="%1.%2.%3"/>
      <w:lvlJc w:val="left"/>
      <w:pPr>
        <w:tabs>
          <w:tab w:val="num" w:pos="1080"/>
        </w:tabs>
        <w:ind w:left="1080" w:hanging="1080"/>
      </w:pPr>
      <w:rPr>
        <w:rFonts w:ascii="Arial" w:hAnsi="Arial" w:cs="Times New Roman" w:hint="default"/>
        <w:b/>
        <w:i w:val="0"/>
        <w:sz w:val="26"/>
        <w:szCs w:val="26"/>
      </w:rPr>
    </w:lvl>
    <w:lvl w:ilvl="3">
      <w:start w:val="1"/>
      <w:numFmt w:val="decimal"/>
      <w:lvlText w:val="%1.%2.%3.%4"/>
      <w:lvlJc w:val="left"/>
      <w:pPr>
        <w:tabs>
          <w:tab w:val="num" w:pos="1080"/>
        </w:tabs>
        <w:ind w:left="1080" w:hanging="1080"/>
      </w:pPr>
      <w:rPr>
        <w:rFonts w:ascii="Arial" w:hAnsi="Arial" w:cs="Times New Roman" w:hint="default"/>
        <w:b/>
        <w:i w:val="0"/>
        <w:sz w:val="22"/>
        <w:szCs w:val="22"/>
      </w:rPr>
    </w:lvl>
    <w:lvl w:ilvl="4">
      <w:start w:val="1"/>
      <w:numFmt w:val="decimal"/>
      <w:lvlText w:val="%1.%2.%3.%4.%5"/>
      <w:lvlJc w:val="left"/>
      <w:pPr>
        <w:tabs>
          <w:tab w:val="num" w:pos="1440"/>
        </w:tabs>
        <w:ind w:left="1440" w:hanging="1440"/>
      </w:pPr>
      <w:rPr>
        <w:rFonts w:ascii="Arial" w:hAnsi="Arial" w:cs="Times New Roman" w:hint="default"/>
        <w:b/>
        <w:i w:val="0"/>
        <w:sz w:val="22"/>
        <w:szCs w:val="22"/>
      </w:rPr>
    </w:lvl>
    <w:lvl w:ilvl="5">
      <w:start w:val="1"/>
      <w:numFmt w:val="decimal"/>
      <w:lvlText w:val="%1.%2.%3.%4.%5.%6"/>
      <w:lvlJc w:val="left"/>
      <w:pPr>
        <w:tabs>
          <w:tab w:val="num" w:pos="1440"/>
        </w:tabs>
        <w:ind w:left="1440" w:hanging="1440"/>
      </w:pPr>
      <w:rPr>
        <w:rFonts w:ascii="Arial" w:hAnsi="Arial" w:cs="Times New Roman" w:hint="default"/>
        <w:b/>
        <w:i w:val="0"/>
        <w:sz w:val="22"/>
        <w:szCs w:val="22"/>
      </w:rPr>
    </w:lvl>
    <w:lvl w:ilvl="6">
      <w:start w:val="1"/>
      <w:numFmt w:val="decimal"/>
      <w:lvlText w:val="%1.%2.%3.%4.%5.%6.%7."/>
      <w:lvlJc w:val="left"/>
      <w:pPr>
        <w:tabs>
          <w:tab w:val="num" w:pos="3600"/>
        </w:tabs>
        <w:ind w:left="3240" w:hanging="3240"/>
      </w:pPr>
      <w:rPr>
        <w:rFonts w:cs="Times New Roman" w:hint="default"/>
      </w:rPr>
    </w:lvl>
    <w:lvl w:ilvl="7">
      <w:start w:val="1"/>
      <w:numFmt w:val="decimal"/>
      <w:lvlText w:val="%1.%2.%3.%4.%5.%6.%7.%8."/>
      <w:lvlJc w:val="left"/>
      <w:pPr>
        <w:tabs>
          <w:tab w:val="num" w:pos="3960"/>
        </w:tabs>
        <w:ind w:left="3744" w:hanging="3744"/>
      </w:pPr>
      <w:rPr>
        <w:rFonts w:cs="Times New Roman" w:hint="default"/>
      </w:rPr>
    </w:lvl>
    <w:lvl w:ilvl="8">
      <w:start w:val="1"/>
      <w:numFmt w:val="decimal"/>
      <w:lvlText w:val="%1.%2.%3.%4.%5.%6.%7.%8.%9."/>
      <w:lvlJc w:val="left"/>
      <w:pPr>
        <w:tabs>
          <w:tab w:val="num" w:pos="4680"/>
        </w:tabs>
        <w:ind w:left="4320" w:hanging="4320"/>
      </w:pPr>
      <w:rPr>
        <w:rFonts w:cs="Times New Roman" w:hint="default"/>
      </w:rPr>
    </w:lvl>
  </w:abstractNum>
  <w:abstractNum w:abstractNumId="41">
    <w:nsid w:val="4FF242BB"/>
    <w:multiLevelType w:val="hybridMultilevel"/>
    <w:tmpl w:val="7DA4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05639C5"/>
    <w:multiLevelType w:val="hybridMultilevel"/>
    <w:tmpl w:val="E42276F6"/>
    <w:lvl w:ilvl="0" w:tplc="9A366F58">
      <w:start w:val="17"/>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08A0644"/>
    <w:multiLevelType w:val="hybridMultilevel"/>
    <w:tmpl w:val="14E0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1184ED4"/>
    <w:multiLevelType w:val="hybridMultilevel"/>
    <w:tmpl w:val="AAC24D3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540E666C"/>
    <w:multiLevelType w:val="hybridMultilevel"/>
    <w:tmpl w:val="43BE38E6"/>
    <w:lvl w:ilvl="0" w:tplc="AAC61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9E72FDC"/>
    <w:multiLevelType w:val="hybridMultilevel"/>
    <w:tmpl w:val="91D8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B5344CD"/>
    <w:multiLevelType w:val="hybridMultilevel"/>
    <w:tmpl w:val="A4582F00"/>
    <w:lvl w:ilvl="0" w:tplc="BC7C699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DF52D7"/>
    <w:multiLevelType w:val="hybridMultilevel"/>
    <w:tmpl w:val="6D04B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94955A8"/>
    <w:multiLevelType w:val="hybridMultilevel"/>
    <w:tmpl w:val="B6A0C84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nsid w:val="6D7458C7"/>
    <w:multiLevelType w:val="singleLevel"/>
    <w:tmpl w:val="1DAA4BEE"/>
    <w:lvl w:ilvl="0">
      <w:start w:val="1"/>
      <w:numFmt w:val="decimal"/>
      <w:pStyle w:val="numberlistindent"/>
      <w:lvlText w:val="%1."/>
      <w:lvlJc w:val="left"/>
      <w:pPr>
        <w:tabs>
          <w:tab w:val="num" w:pos="792"/>
        </w:tabs>
        <w:ind w:left="792" w:hanging="360"/>
      </w:pPr>
      <w:rPr>
        <w:rFonts w:cs="Times New Roman" w:hint="default"/>
      </w:rPr>
    </w:lvl>
  </w:abstractNum>
  <w:abstractNum w:abstractNumId="52">
    <w:nsid w:val="700A7BA6"/>
    <w:multiLevelType w:val="hybridMultilevel"/>
    <w:tmpl w:val="B33A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7375AAD"/>
    <w:multiLevelType w:val="hybridMultilevel"/>
    <w:tmpl w:val="1D20C8EE"/>
    <w:lvl w:ilvl="0" w:tplc="FEF819FC">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7485F54"/>
    <w:multiLevelType w:val="hybridMultilevel"/>
    <w:tmpl w:val="B358D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8180925"/>
    <w:multiLevelType w:val="hybridMultilevel"/>
    <w:tmpl w:val="F94A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B25639"/>
    <w:multiLevelType w:val="hybridMultilevel"/>
    <w:tmpl w:val="7BFE4306"/>
    <w:lvl w:ilvl="0" w:tplc="04090001">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
      <w:lvlJc w:val="left"/>
      <w:pPr>
        <w:tabs>
          <w:tab w:val="num" w:pos="3600"/>
        </w:tabs>
        <w:ind w:left="3600" w:hanging="360"/>
      </w:pPr>
      <w:rPr>
        <w:rFonts w:ascii="Symbol" w:hAnsi="Symbol" w:hint="default"/>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7">
    <w:nsid w:val="7B315DD0"/>
    <w:multiLevelType w:val="hybridMultilevel"/>
    <w:tmpl w:val="6F5A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C7B614F"/>
    <w:multiLevelType w:val="hybridMultilevel"/>
    <w:tmpl w:val="C73C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D711D88"/>
    <w:multiLevelType w:val="hybridMultilevel"/>
    <w:tmpl w:val="ADCE4B2E"/>
    <w:lvl w:ilvl="0" w:tplc="7B561AC0">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7"/>
  </w:num>
  <w:num w:numId="2">
    <w:abstractNumId w:val="6"/>
  </w:num>
  <w:num w:numId="3">
    <w:abstractNumId w:val="16"/>
  </w:num>
  <w:num w:numId="4">
    <w:abstractNumId w:val="26"/>
  </w:num>
  <w:num w:numId="5">
    <w:abstractNumId w:val="5"/>
  </w:num>
  <w:num w:numId="6">
    <w:abstractNumId w:val="15"/>
  </w:num>
  <w:num w:numId="7">
    <w:abstractNumId w:val="42"/>
  </w:num>
  <w:num w:numId="8">
    <w:abstractNumId w:val="39"/>
  </w:num>
  <w:num w:numId="9">
    <w:abstractNumId w:val="17"/>
  </w:num>
  <w:num w:numId="10">
    <w:abstractNumId w:val="23"/>
  </w:num>
  <w:num w:numId="11">
    <w:abstractNumId w:val="3"/>
  </w:num>
  <w:num w:numId="12">
    <w:abstractNumId w:val="19"/>
  </w:num>
  <w:num w:numId="13">
    <w:abstractNumId w:val="1"/>
  </w:num>
  <w:num w:numId="14">
    <w:abstractNumId w:val="60"/>
  </w:num>
  <w:num w:numId="15">
    <w:abstractNumId w:val="45"/>
  </w:num>
  <w:num w:numId="16">
    <w:abstractNumId w:val="36"/>
  </w:num>
  <w:num w:numId="17">
    <w:abstractNumId w:val="54"/>
  </w:num>
  <w:num w:numId="18">
    <w:abstractNumId w:val="10"/>
  </w:num>
  <w:num w:numId="19">
    <w:abstractNumId w:val="58"/>
  </w:num>
  <w:num w:numId="20">
    <w:abstractNumId w:val="7"/>
  </w:num>
  <w:num w:numId="21">
    <w:abstractNumId w:val="32"/>
  </w:num>
  <w:num w:numId="22">
    <w:abstractNumId w:val="29"/>
  </w:num>
  <w:num w:numId="23">
    <w:abstractNumId w:val="43"/>
  </w:num>
  <w:num w:numId="24">
    <w:abstractNumId w:val="8"/>
  </w:num>
  <w:num w:numId="25">
    <w:abstractNumId w:val="2"/>
  </w:num>
  <w:num w:numId="26">
    <w:abstractNumId w:val="41"/>
  </w:num>
  <w:num w:numId="27">
    <w:abstractNumId w:val="30"/>
  </w:num>
  <w:num w:numId="28">
    <w:abstractNumId w:val="59"/>
  </w:num>
  <w:num w:numId="29">
    <w:abstractNumId w:val="49"/>
  </w:num>
  <w:num w:numId="30">
    <w:abstractNumId w:val="20"/>
  </w:num>
  <w:num w:numId="31">
    <w:abstractNumId w:val="47"/>
  </w:num>
  <w:num w:numId="32">
    <w:abstractNumId w:val="55"/>
  </w:num>
  <w:num w:numId="33">
    <w:abstractNumId w:val="53"/>
  </w:num>
  <w:num w:numId="34">
    <w:abstractNumId w:val="24"/>
  </w:num>
  <w:num w:numId="35">
    <w:abstractNumId w:val="57"/>
  </w:num>
  <w:num w:numId="36">
    <w:abstractNumId w:val="4"/>
  </w:num>
  <w:num w:numId="37">
    <w:abstractNumId w:val="44"/>
  </w:num>
  <w:num w:numId="38">
    <w:abstractNumId w:val="0"/>
  </w:num>
  <w:num w:numId="39">
    <w:abstractNumId w:val="31"/>
  </w:num>
  <w:num w:numId="40">
    <w:abstractNumId w:val="27"/>
  </w:num>
  <w:num w:numId="41">
    <w:abstractNumId w:val="38"/>
  </w:num>
  <w:num w:numId="42">
    <w:abstractNumId w:val="22"/>
  </w:num>
  <w:num w:numId="43">
    <w:abstractNumId w:val="33"/>
  </w:num>
  <w:num w:numId="44">
    <w:abstractNumId w:val="12"/>
  </w:num>
  <w:num w:numId="45">
    <w:abstractNumId w:val="40"/>
  </w:num>
  <w:num w:numId="46">
    <w:abstractNumId w:val="51"/>
  </w:num>
  <w:num w:numId="47">
    <w:abstractNumId w:val="21"/>
  </w:num>
  <w:num w:numId="48">
    <w:abstractNumId w:val="46"/>
  </w:num>
  <w:num w:numId="49">
    <w:abstractNumId w:val="48"/>
  </w:num>
  <w:num w:numId="50">
    <w:abstractNumId w:val="18"/>
  </w:num>
  <w:num w:numId="51">
    <w:abstractNumId w:val="9"/>
  </w:num>
  <w:num w:numId="52">
    <w:abstractNumId w:val="13"/>
  </w:num>
  <w:num w:numId="5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6"/>
  </w:num>
  <w:num w:numId="56">
    <w:abstractNumId w:val="34"/>
  </w:num>
  <w:num w:numId="57">
    <w:abstractNumId w:val="28"/>
  </w:num>
  <w:num w:numId="58">
    <w:abstractNumId w:val="52"/>
  </w:num>
  <w:num w:numId="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num>
  <w:num w:numId="61">
    <w:abstractNumId w:val="11"/>
  </w:num>
  <w:num w:numId="62">
    <w:abstractNumId w:val="14"/>
  </w:num>
  <w:num w:numId="63">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E68"/>
    <w:rsid w:val="00001E01"/>
    <w:rsid w:val="00014BAF"/>
    <w:rsid w:val="0002439B"/>
    <w:rsid w:val="0002656C"/>
    <w:rsid w:val="00080194"/>
    <w:rsid w:val="00080237"/>
    <w:rsid w:val="00083FAC"/>
    <w:rsid w:val="00086528"/>
    <w:rsid w:val="00086AB8"/>
    <w:rsid w:val="00087396"/>
    <w:rsid w:val="000967A6"/>
    <w:rsid w:val="000A22D8"/>
    <w:rsid w:val="000C47D9"/>
    <w:rsid w:val="000C4933"/>
    <w:rsid w:val="000D07B2"/>
    <w:rsid w:val="000D1598"/>
    <w:rsid w:val="000E39E7"/>
    <w:rsid w:val="000E414C"/>
    <w:rsid w:val="000F5870"/>
    <w:rsid w:val="00114BF3"/>
    <w:rsid w:val="001150A9"/>
    <w:rsid w:val="00115383"/>
    <w:rsid w:val="00115834"/>
    <w:rsid w:val="0012063F"/>
    <w:rsid w:val="001341E9"/>
    <w:rsid w:val="00140AFD"/>
    <w:rsid w:val="00142595"/>
    <w:rsid w:val="00143361"/>
    <w:rsid w:val="001454C8"/>
    <w:rsid w:val="00147472"/>
    <w:rsid w:val="0016340F"/>
    <w:rsid w:val="001712E6"/>
    <w:rsid w:val="00176302"/>
    <w:rsid w:val="00181E20"/>
    <w:rsid w:val="001843D4"/>
    <w:rsid w:val="00184C25"/>
    <w:rsid w:val="0019319A"/>
    <w:rsid w:val="001A1F49"/>
    <w:rsid w:val="001A51E1"/>
    <w:rsid w:val="001B0D54"/>
    <w:rsid w:val="001B6D83"/>
    <w:rsid w:val="001D6099"/>
    <w:rsid w:val="001E2D19"/>
    <w:rsid w:val="001E3761"/>
    <w:rsid w:val="001E7D38"/>
    <w:rsid w:val="001F2D15"/>
    <w:rsid w:val="001F45B1"/>
    <w:rsid w:val="00200589"/>
    <w:rsid w:val="00204B43"/>
    <w:rsid w:val="00214CAA"/>
    <w:rsid w:val="00221CC6"/>
    <w:rsid w:val="00236DC7"/>
    <w:rsid w:val="0023714C"/>
    <w:rsid w:val="00242D0A"/>
    <w:rsid w:val="00252F30"/>
    <w:rsid w:val="002654AD"/>
    <w:rsid w:val="00267282"/>
    <w:rsid w:val="00276BE2"/>
    <w:rsid w:val="002800B2"/>
    <w:rsid w:val="00282CFA"/>
    <w:rsid w:val="002A1A4D"/>
    <w:rsid w:val="002A3A21"/>
    <w:rsid w:val="002B68B6"/>
    <w:rsid w:val="002D0607"/>
    <w:rsid w:val="002E1D8A"/>
    <w:rsid w:val="002E2002"/>
    <w:rsid w:val="002E55BA"/>
    <w:rsid w:val="003000BC"/>
    <w:rsid w:val="0030583D"/>
    <w:rsid w:val="00307DF1"/>
    <w:rsid w:val="00312DF9"/>
    <w:rsid w:val="003135B5"/>
    <w:rsid w:val="003217D7"/>
    <w:rsid w:val="003260F1"/>
    <w:rsid w:val="00332BA0"/>
    <w:rsid w:val="00332EA5"/>
    <w:rsid w:val="00340692"/>
    <w:rsid w:val="003475E4"/>
    <w:rsid w:val="003479EC"/>
    <w:rsid w:val="00354B11"/>
    <w:rsid w:val="0036400A"/>
    <w:rsid w:val="00384822"/>
    <w:rsid w:val="00387869"/>
    <w:rsid w:val="0039747F"/>
    <w:rsid w:val="003A7106"/>
    <w:rsid w:val="003A76E1"/>
    <w:rsid w:val="003B157C"/>
    <w:rsid w:val="003B72CF"/>
    <w:rsid w:val="003B7C2C"/>
    <w:rsid w:val="003C627D"/>
    <w:rsid w:val="003E1452"/>
    <w:rsid w:val="003E207F"/>
    <w:rsid w:val="003E2247"/>
    <w:rsid w:val="003E4890"/>
    <w:rsid w:val="00402044"/>
    <w:rsid w:val="00424A62"/>
    <w:rsid w:val="0043759E"/>
    <w:rsid w:val="00454D4C"/>
    <w:rsid w:val="004550FA"/>
    <w:rsid w:val="004559AF"/>
    <w:rsid w:val="0046323C"/>
    <w:rsid w:val="0047581B"/>
    <w:rsid w:val="00477D58"/>
    <w:rsid w:val="0048265F"/>
    <w:rsid w:val="00484E18"/>
    <w:rsid w:val="00496730"/>
    <w:rsid w:val="00497FB8"/>
    <w:rsid w:val="004A6ED8"/>
    <w:rsid w:val="004B061E"/>
    <w:rsid w:val="004B0D22"/>
    <w:rsid w:val="004B213B"/>
    <w:rsid w:val="004B5E48"/>
    <w:rsid w:val="004C223A"/>
    <w:rsid w:val="004C3B95"/>
    <w:rsid w:val="004E04FB"/>
    <w:rsid w:val="004E2904"/>
    <w:rsid w:val="004E2AE6"/>
    <w:rsid w:val="004E77C7"/>
    <w:rsid w:val="004F0A3B"/>
    <w:rsid w:val="004F1A2D"/>
    <w:rsid w:val="004F385A"/>
    <w:rsid w:val="004F6ADD"/>
    <w:rsid w:val="00513455"/>
    <w:rsid w:val="00534695"/>
    <w:rsid w:val="00542110"/>
    <w:rsid w:val="00542E09"/>
    <w:rsid w:val="00546A5C"/>
    <w:rsid w:val="00551716"/>
    <w:rsid w:val="00555B2A"/>
    <w:rsid w:val="005646B9"/>
    <w:rsid w:val="00566A26"/>
    <w:rsid w:val="00570EF0"/>
    <w:rsid w:val="005765F3"/>
    <w:rsid w:val="0057781C"/>
    <w:rsid w:val="00580575"/>
    <w:rsid w:val="00585285"/>
    <w:rsid w:val="00594AC6"/>
    <w:rsid w:val="005A0299"/>
    <w:rsid w:val="005A1172"/>
    <w:rsid w:val="005B696E"/>
    <w:rsid w:val="005C0384"/>
    <w:rsid w:val="005C51AF"/>
    <w:rsid w:val="005D7410"/>
    <w:rsid w:val="005D7DF0"/>
    <w:rsid w:val="005E5A2D"/>
    <w:rsid w:val="005F03E4"/>
    <w:rsid w:val="005F5A24"/>
    <w:rsid w:val="005F675F"/>
    <w:rsid w:val="00602E2A"/>
    <w:rsid w:val="006152AB"/>
    <w:rsid w:val="00641CB4"/>
    <w:rsid w:val="006422E5"/>
    <w:rsid w:val="00642972"/>
    <w:rsid w:val="00645B9A"/>
    <w:rsid w:val="0065501A"/>
    <w:rsid w:val="00661973"/>
    <w:rsid w:val="00662902"/>
    <w:rsid w:val="00666071"/>
    <w:rsid w:val="00675E61"/>
    <w:rsid w:val="00680499"/>
    <w:rsid w:val="00680CBB"/>
    <w:rsid w:val="006821EF"/>
    <w:rsid w:val="00684B46"/>
    <w:rsid w:val="0068544A"/>
    <w:rsid w:val="00690AA5"/>
    <w:rsid w:val="006B23D7"/>
    <w:rsid w:val="006C761E"/>
    <w:rsid w:val="006D16A9"/>
    <w:rsid w:val="006D183C"/>
    <w:rsid w:val="006E3094"/>
    <w:rsid w:val="006F2D28"/>
    <w:rsid w:val="006F473E"/>
    <w:rsid w:val="00700844"/>
    <w:rsid w:val="0071678E"/>
    <w:rsid w:val="00726944"/>
    <w:rsid w:val="00730E2D"/>
    <w:rsid w:val="00731494"/>
    <w:rsid w:val="007334C5"/>
    <w:rsid w:val="00736058"/>
    <w:rsid w:val="00746698"/>
    <w:rsid w:val="0074673F"/>
    <w:rsid w:val="00752ABE"/>
    <w:rsid w:val="00754EA7"/>
    <w:rsid w:val="0077088E"/>
    <w:rsid w:val="007716DE"/>
    <w:rsid w:val="00774FDC"/>
    <w:rsid w:val="007775A4"/>
    <w:rsid w:val="00783242"/>
    <w:rsid w:val="00783A81"/>
    <w:rsid w:val="00783FAE"/>
    <w:rsid w:val="00791568"/>
    <w:rsid w:val="00793286"/>
    <w:rsid w:val="00796823"/>
    <w:rsid w:val="007A6E5E"/>
    <w:rsid w:val="007B13DF"/>
    <w:rsid w:val="007B1B12"/>
    <w:rsid w:val="007C2744"/>
    <w:rsid w:val="007D194E"/>
    <w:rsid w:val="007E1310"/>
    <w:rsid w:val="007E28E4"/>
    <w:rsid w:val="007F3FC6"/>
    <w:rsid w:val="00804BAD"/>
    <w:rsid w:val="00805A10"/>
    <w:rsid w:val="008077F0"/>
    <w:rsid w:val="008232F0"/>
    <w:rsid w:val="00830CA3"/>
    <w:rsid w:val="00837663"/>
    <w:rsid w:val="00843015"/>
    <w:rsid w:val="00852B44"/>
    <w:rsid w:val="00865979"/>
    <w:rsid w:val="008761AC"/>
    <w:rsid w:val="008801B4"/>
    <w:rsid w:val="008815B4"/>
    <w:rsid w:val="0088231A"/>
    <w:rsid w:val="0088355E"/>
    <w:rsid w:val="00885952"/>
    <w:rsid w:val="008924DE"/>
    <w:rsid w:val="00894170"/>
    <w:rsid w:val="008A3FD7"/>
    <w:rsid w:val="008A765F"/>
    <w:rsid w:val="008D0D99"/>
    <w:rsid w:val="008D2301"/>
    <w:rsid w:val="008D7096"/>
    <w:rsid w:val="008E3588"/>
    <w:rsid w:val="008E5B8D"/>
    <w:rsid w:val="008E78C2"/>
    <w:rsid w:val="008F0535"/>
    <w:rsid w:val="008F3414"/>
    <w:rsid w:val="009042FC"/>
    <w:rsid w:val="00906FF0"/>
    <w:rsid w:val="009111EE"/>
    <w:rsid w:val="00911D5D"/>
    <w:rsid w:val="00926DB8"/>
    <w:rsid w:val="00947618"/>
    <w:rsid w:val="0095071E"/>
    <w:rsid w:val="00964160"/>
    <w:rsid w:val="00967105"/>
    <w:rsid w:val="009718FA"/>
    <w:rsid w:val="00980A3B"/>
    <w:rsid w:val="00981F36"/>
    <w:rsid w:val="00986EF4"/>
    <w:rsid w:val="00991699"/>
    <w:rsid w:val="00993A05"/>
    <w:rsid w:val="00993A0E"/>
    <w:rsid w:val="009A11B5"/>
    <w:rsid w:val="009A6331"/>
    <w:rsid w:val="009B096B"/>
    <w:rsid w:val="009B21BF"/>
    <w:rsid w:val="009B38E4"/>
    <w:rsid w:val="009B59CB"/>
    <w:rsid w:val="009D16EB"/>
    <w:rsid w:val="009D1E3A"/>
    <w:rsid w:val="009D32B0"/>
    <w:rsid w:val="009D61AC"/>
    <w:rsid w:val="009E2BCF"/>
    <w:rsid w:val="009E3ABD"/>
    <w:rsid w:val="009E5523"/>
    <w:rsid w:val="009F3129"/>
    <w:rsid w:val="009F56F2"/>
    <w:rsid w:val="00A00539"/>
    <w:rsid w:val="00A06269"/>
    <w:rsid w:val="00A073C8"/>
    <w:rsid w:val="00A12A7A"/>
    <w:rsid w:val="00A22AC4"/>
    <w:rsid w:val="00A26DBC"/>
    <w:rsid w:val="00A42716"/>
    <w:rsid w:val="00A42875"/>
    <w:rsid w:val="00A45092"/>
    <w:rsid w:val="00A50E88"/>
    <w:rsid w:val="00A51AD6"/>
    <w:rsid w:val="00A6253C"/>
    <w:rsid w:val="00A6752E"/>
    <w:rsid w:val="00A80127"/>
    <w:rsid w:val="00A8241B"/>
    <w:rsid w:val="00AA4DF8"/>
    <w:rsid w:val="00AB2240"/>
    <w:rsid w:val="00AB38D1"/>
    <w:rsid w:val="00AB45B0"/>
    <w:rsid w:val="00AC6DF5"/>
    <w:rsid w:val="00AD6974"/>
    <w:rsid w:val="00B12966"/>
    <w:rsid w:val="00B20B86"/>
    <w:rsid w:val="00B21FF4"/>
    <w:rsid w:val="00B244F2"/>
    <w:rsid w:val="00B320BF"/>
    <w:rsid w:val="00B3733D"/>
    <w:rsid w:val="00B40ABE"/>
    <w:rsid w:val="00B4189C"/>
    <w:rsid w:val="00B44D7E"/>
    <w:rsid w:val="00B4720F"/>
    <w:rsid w:val="00B51ACC"/>
    <w:rsid w:val="00B644A7"/>
    <w:rsid w:val="00B64B3A"/>
    <w:rsid w:val="00B65AE4"/>
    <w:rsid w:val="00B93B61"/>
    <w:rsid w:val="00B94C2B"/>
    <w:rsid w:val="00B9584F"/>
    <w:rsid w:val="00BA2886"/>
    <w:rsid w:val="00BA3FC6"/>
    <w:rsid w:val="00BA640C"/>
    <w:rsid w:val="00BB5C4F"/>
    <w:rsid w:val="00BC073F"/>
    <w:rsid w:val="00BC7F1F"/>
    <w:rsid w:val="00BC7FDD"/>
    <w:rsid w:val="00BD599C"/>
    <w:rsid w:val="00BD6968"/>
    <w:rsid w:val="00BE4C99"/>
    <w:rsid w:val="00BF3F36"/>
    <w:rsid w:val="00BF5C15"/>
    <w:rsid w:val="00C00A52"/>
    <w:rsid w:val="00C0631A"/>
    <w:rsid w:val="00C14217"/>
    <w:rsid w:val="00C22D36"/>
    <w:rsid w:val="00C32A89"/>
    <w:rsid w:val="00C36CF3"/>
    <w:rsid w:val="00C403C2"/>
    <w:rsid w:val="00C451AC"/>
    <w:rsid w:val="00C50107"/>
    <w:rsid w:val="00C638A4"/>
    <w:rsid w:val="00C63B43"/>
    <w:rsid w:val="00C738EA"/>
    <w:rsid w:val="00C876A2"/>
    <w:rsid w:val="00C938DF"/>
    <w:rsid w:val="00C94673"/>
    <w:rsid w:val="00CA1A50"/>
    <w:rsid w:val="00CA46C9"/>
    <w:rsid w:val="00CA6DA9"/>
    <w:rsid w:val="00CA6E95"/>
    <w:rsid w:val="00CC457D"/>
    <w:rsid w:val="00CD0C06"/>
    <w:rsid w:val="00CE06A5"/>
    <w:rsid w:val="00CE1040"/>
    <w:rsid w:val="00CE74AC"/>
    <w:rsid w:val="00CF319F"/>
    <w:rsid w:val="00CF363D"/>
    <w:rsid w:val="00D008F8"/>
    <w:rsid w:val="00D04EF1"/>
    <w:rsid w:val="00D05772"/>
    <w:rsid w:val="00D10CD7"/>
    <w:rsid w:val="00D265F5"/>
    <w:rsid w:val="00D360B9"/>
    <w:rsid w:val="00D37480"/>
    <w:rsid w:val="00D52575"/>
    <w:rsid w:val="00D55570"/>
    <w:rsid w:val="00D55613"/>
    <w:rsid w:val="00D571C5"/>
    <w:rsid w:val="00D57FF0"/>
    <w:rsid w:val="00D777A2"/>
    <w:rsid w:val="00D77B25"/>
    <w:rsid w:val="00D77E44"/>
    <w:rsid w:val="00D8373E"/>
    <w:rsid w:val="00D856BC"/>
    <w:rsid w:val="00D93C65"/>
    <w:rsid w:val="00D93D50"/>
    <w:rsid w:val="00DC4FCD"/>
    <w:rsid w:val="00DC7110"/>
    <w:rsid w:val="00DD70FB"/>
    <w:rsid w:val="00DE07EA"/>
    <w:rsid w:val="00DE2A48"/>
    <w:rsid w:val="00DE2C4B"/>
    <w:rsid w:val="00DF010C"/>
    <w:rsid w:val="00DF0B7B"/>
    <w:rsid w:val="00DF2040"/>
    <w:rsid w:val="00DF2FED"/>
    <w:rsid w:val="00DF53D7"/>
    <w:rsid w:val="00DF7AE6"/>
    <w:rsid w:val="00E01485"/>
    <w:rsid w:val="00E015ED"/>
    <w:rsid w:val="00E0539E"/>
    <w:rsid w:val="00E058DD"/>
    <w:rsid w:val="00E079D8"/>
    <w:rsid w:val="00E136A6"/>
    <w:rsid w:val="00E21C67"/>
    <w:rsid w:val="00E3601D"/>
    <w:rsid w:val="00E56CA1"/>
    <w:rsid w:val="00E56FB5"/>
    <w:rsid w:val="00E61E68"/>
    <w:rsid w:val="00E6574E"/>
    <w:rsid w:val="00E6632E"/>
    <w:rsid w:val="00E75D32"/>
    <w:rsid w:val="00E83E7F"/>
    <w:rsid w:val="00EA3492"/>
    <w:rsid w:val="00EB70F8"/>
    <w:rsid w:val="00EC17D9"/>
    <w:rsid w:val="00EC1859"/>
    <w:rsid w:val="00EC20F3"/>
    <w:rsid w:val="00ED0739"/>
    <w:rsid w:val="00ED1D89"/>
    <w:rsid w:val="00EE4573"/>
    <w:rsid w:val="00EE71F8"/>
    <w:rsid w:val="00EF4B5D"/>
    <w:rsid w:val="00EF4B9C"/>
    <w:rsid w:val="00EF5295"/>
    <w:rsid w:val="00F02322"/>
    <w:rsid w:val="00F04141"/>
    <w:rsid w:val="00F36D42"/>
    <w:rsid w:val="00F42C4D"/>
    <w:rsid w:val="00F478C9"/>
    <w:rsid w:val="00F508D7"/>
    <w:rsid w:val="00F5112B"/>
    <w:rsid w:val="00F51433"/>
    <w:rsid w:val="00F554C2"/>
    <w:rsid w:val="00F56A73"/>
    <w:rsid w:val="00F63FF5"/>
    <w:rsid w:val="00F647D3"/>
    <w:rsid w:val="00F67216"/>
    <w:rsid w:val="00F7153F"/>
    <w:rsid w:val="00F76080"/>
    <w:rsid w:val="00F83029"/>
    <w:rsid w:val="00F83725"/>
    <w:rsid w:val="00F84BCB"/>
    <w:rsid w:val="00F8719B"/>
    <w:rsid w:val="00F97791"/>
    <w:rsid w:val="00FA480F"/>
    <w:rsid w:val="00FA58B2"/>
    <w:rsid w:val="00FB3127"/>
    <w:rsid w:val="00FB3B03"/>
    <w:rsid w:val="00FC4AB3"/>
    <w:rsid w:val="00FC5339"/>
    <w:rsid w:val="00FC5DFC"/>
    <w:rsid w:val="00FD255D"/>
    <w:rsid w:val="00FF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99"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E68"/>
    <w:rPr>
      <w:sz w:val="24"/>
      <w:szCs w:val="24"/>
    </w:rPr>
  </w:style>
  <w:style w:type="paragraph" w:styleId="Heading1">
    <w:name w:val="heading 1"/>
    <w:aliases w:val="Proposal 1,l1,H1,l11,H11,l12,H12,l13,H13,l14,H14,l15,H15,l16,H16,l17,H17,l18,H18,section,11,section1,12,section2,111,section11,13,section3,112,section12,14,section4,113,section13,15,section5,114,section14,16,section6,115,section15,17,section7"/>
    <w:basedOn w:val="Normal"/>
    <w:next w:val="ParaText"/>
    <w:link w:val="Heading1Char"/>
    <w:uiPriority w:val="99"/>
    <w:qFormat/>
    <w:rsid w:val="00D55570"/>
    <w:pPr>
      <w:keepNext/>
      <w:numPr>
        <w:numId w:val="40"/>
      </w:numPr>
      <w:spacing w:after="240" w:line="312" w:lineRule="auto"/>
      <w:outlineLvl w:val="0"/>
    </w:pPr>
    <w:rPr>
      <w:rFonts w:ascii="Arial" w:hAnsi="Arial"/>
      <w:b/>
      <w:kern w:val="28"/>
      <w:sz w:val="34"/>
      <w:szCs w:val="34"/>
    </w:rPr>
  </w:style>
  <w:style w:type="paragraph" w:styleId="Heading2">
    <w:name w:val="heading 2"/>
    <w:aliases w:val="H2,Heading 2a,h2,Proposal 2,Chapter Title,2,sub-sect,21,sub-sect1,22,sub-sect2,23,sub-sect3,24,sub-sect4,25,sub-sect5,26,sub-sect6,211,sub-sect11,221,sub-sect21,231,sub-sect31,241,sub-sect41,251,sub-sect51,27,sub-sect7,212,sub-sect12,222,232"/>
    <w:basedOn w:val="Normal"/>
    <w:next w:val="ParaText"/>
    <w:link w:val="Heading2Char"/>
    <w:uiPriority w:val="99"/>
    <w:qFormat/>
    <w:rsid w:val="00D55570"/>
    <w:pPr>
      <w:keepNext/>
      <w:numPr>
        <w:ilvl w:val="1"/>
        <w:numId w:val="40"/>
      </w:numPr>
      <w:spacing w:after="240" w:line="312" w:lineRule="auto"/>
      <w:outlineLvl w:val="1"/>
    </w:pPr>
    <w:rPr>
      <w:rFonts w:ascii="Arial" w:hAnsi="Arial"/>
      <w:b/>
      <w:sz w:val="30"/>
      <w:szCs w:val="30"/>
    </w:rPr>
  </w:style>
  <w:style w:type="paragraph" w:styleId="Heading3">
    <w:name w:val="heading 3"/>
    <w:aliases w:val="H3,Proposal 3,(1.1.1),hd3,h3,(1.1.1)1,hd31,h31,(1.1.1)2,hd32,h32,(1.1.1)3,hd33,h33,(1.1.1)4,hd34,h34,(1.1.1)5,hd35,h35,(1.1.1)6,hd36,h36,(1.1.1)7,hd37,h37,(1.1.1)8,hd38,h38,(1.1.1)9,hd39,h39,(1.1.1)10,hd310,h310,(1.1.1)11,hd311,h311,(1.1.1)21"/>
    <w:basedOn w:val="Normal"/>
    <w:next w:val="ParaText"/>
    <w:link w:val="Heading3Char"/>
    <w:uiPriority w:val="99"/>
    <w:qFormat/>
    <w:rsid w:val="00D55570"/>
    <w:pPr>
      <w:keepNext/>
      <w:numPr>
        <w:ilvl w:val="2"/>
        <w:numId w:val="40"/>
      </w:numPr>
      <w:spacing w:after="240" w:line="312" w:lineRule="auto"/>
      <w:outlineLvl w:val="2"/>
    </w:pPr>
    <w:rPr>
      <w:rFonts w:ascii="Arial" w:hAnsi="Arial"/>
      <w:b/>
      <w:sz w:val="26"/>
      <w:szCs w:val="26"/>
    </w:rPr>
  </w:style>
  <w:style w:type="paragraph" w:styleId="Heading4">
    <w:name w:val="heading 4"/>
    <w:aliases w:val="H4,Proposal 4,h4"/>
    <w:basedOn w:val="Normal"/>
    <w:next w:val="ParaText"/>
    <w:link w:val="Heading4Char"/>
    <w:uiPriority w:val="99"/>
    <w:qFormat/>
    <w:rsid w:val="00D55570"/>
    <w:pPr>
      <w:keepNext/>
      <w:numPr>
        <w:ilvl w:val="3"/>
        <w:numId w:val="40"/>
      </w:numPr>
      <w:spacing w:after="240" w:line="312" w:lineRule="auto"/>
      <w:outlineLvl w:val="3"/>
    </w:pPr>
    <w:rPr>
      <w:rFonts w:ascii="Arial" w:hAnsi="Arial"/>
      <w:b/>
      <w:sz w:val="22"/>
      <w:szCs w:val="22"/>
    </w:rPr>
  </w:style>
  <w:style w:type="paragraph" w:styleId="Heading5">
    <w:name w:val="heading 5"/>
    <w:aliases w:val="Proposal 5"/>
    <w:basedOn w:val="Normal"/>
    <w:next w:val="ParaText"/>
    <w:link w:val="Heading5Char"/>
    <w:uiPriority w:val="99"/>
    <w:qFormat/>
    <w:rsid w:val="00D55570"/>
    <w:pPr>
      <w:numPr>
        <w:ilvl w:val="4"/>
        <w:numId w:val="40"/>
      </w:numPr>
      <w:tabs>
        <w:tab w:val="clear" w:pos="1440"/>
        <w:tab w:val="num" w:pos="1080"/>
      </w:tabs>
      <w:spacing w:after="240" w:line="312" w:lineRule="auto"/>
      <w:outlineLvl w:val="4"/>
    </w:pPr>
    <w:rPr>
      <w:rFonts w:ascii="Arial" w:hAnsi="Arial"/>
      <w:b/>
      <w:sz w:val="22"/>
      <w:szCs w:val="22"/>
    </w:rPr>
  </w:style>
  <w:style w:type="paragraph" w:styleId="Heading6">
    <w:name w:val="heading 6"/>
    <w:aliases w:val="Proposal 6"/>
    <w:basedOn w:val="Normal"/>
    <w:next w:val="ParaText"/>
    <w:link w:val="Heading6Char"/>
    <w:uiPriority w:val="99"/>
    <w:qFormat/>
    <w:rsid w:val="00D55570"/>
    <w:pPr>
      <w:numPr>
        <w:ilvl w:val="5"/>
        <w:numId w:val="40"/>
      </w:numPr>
      <w:tabs>
        <w:tab w:val="clear" w:pos="2736"/>
        <w:tab w:val="num" w:pos="1440"/>
      </w:tabs>
      <w:spacing w:after="240" w:line="312" w:lineRule="auto"/>
      <w:ind w:left="1440" w:hanging="1440"/>
      <w:outlineLvl w:val="5"/>
    </w:pPr>
    <w:rPr>
      <w:rFonts w:ascii="Arial" w:hAnsi="Arial"/>
      <w:b/>
      <w:sz w:val="22"/>
      <w:szCs w:val="22"/>
    </w:rPr>
  </w:style>
  <w:style w:type="paragraph" w:styleId="Heading7">
    <w:name w:val="heading 7"/>
    <w:basedOn w:val="Normal"/>
    <w:next w:val="ParaText"/>
    <w:link w:val="Heading7Char"/>
    <w:qFormat/>
    <w:rsid w:val="00D55570"/>
    <w:pPr>
      <w:keepNext/>
      <w:numPr>
        <w:numId w:val="45"/>
      </w:numPr>
      <w:spacing w:after="240" w:line="312" w:lineRule="auto"/>
      <w:outlineLvl w:val="6"/>
    </w:pPr>
    <w:rPr>
      <w:rFonts w:ascii="Arial" w:hAnsi="Arial"/>
      <w:b/>
      <w:kern w:val="28"/>
      <w:sz w:val="34"/>
      <w:szCs w:val="34"/>
    </w:rPr>
  </w:style>
  <w:style w:type="paragraph" w:styleId="Heading8">
    <w:name w:val="heading 8"/>
    <w:basedOn w:val="Normal"/>
    <w:next w:val="ParaText"/>
    <w:link w:val="Heading8Char"/>
    <w:qFormat/>
    <w:rsid w:val="00D55570"/>
    <w:pPr>
      <w:keepNext/>
      <w:tabs>
        <w:tab w:val="num" w:pos="1080"/>
      </w:tabs>
      <w:spacing w:after="240" w:line="312" w:lineRule="auto"/>
      <w:ind w:left="1080" w:hanging="1080"/>
      <w:outlineLvl w:val="7"/>
    </w:pPr>
    <w:rPr>
      <w:rFonts w:ascii="Arial" w:hAnsi="Arial"/>
      <w:b/>
      <w:sz w:val="30"/>
      <w:szCs w:val="30"/>
    </w:rPr>
  </w:style>
  <w:style w:type="paragraph" w:styleId="Heading9">
    <w:name w:val="heading 9"/>
    <w:basedOn w:val="Normal"/>
    <w:next w:val="ParaText"/>
    <w:link w:val="Heading9Char"/>
    <w:qFormat/>
    <w:rsid w:val="00D55570"/>
    <w:pPr>
      <w:keepNext/>
      <w:tabs>
        <w:tab w:val="num" w:pos="1080"/>
      </w:tabs>
      <w:spacing w:after="240" w:line="312" w:lineRule="auto"/>
      <w:ind w:left="1080" w:hanging="1080"/>
      <w:outlineLvl w:val="8"/>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61E68"/>
    <w:rPr>
      <w:color w:val="0000FF"/>
    </w:rPr>
  </w:style>
  <w:style w:type="paragraph" w:styleId="FootnoteText">
    <w:name w:val="footnote text"/>
    <w:basedOn w:val="Normal"/>
    <w:link w:val="FootnoteTextChar"/>
    <w:rsid w:val="00E61E68"/>
    <w:pPr>
      <w:widowControl w:val="0"/>
      <w:autoSpaceDE w:val="0"/>
      <w:autoSpaceDN w:val="0"/>
      <w:adjustRightInd w:val="0"/>
    </w:pPr>
    <w:rPr>
      <w:sz w:val="20"/>
      <w:szCs w:val="20"/>
    </w:rPr>
  </w:style>
  <w:style w:type="character" w:styleId="FootnoteReference">
    <w:name w:val="footnote reference"/>
    <w:basedOn w:val="DefaultParagraphFont"/>
    <w:rsid w:val="00E61E68"/>
    <w:rPr>
      <w:vertAlign w:val="superscript"/>
    </w:rPr>
  </w:style>
  <w:style w:type="paragraph" w:styleId="Footer">
    <w:name w:val="footer"/>
    <w:basedOn w:val="Normal"/>
    <w:link w:val="FooterChar"/>
    <w:rsid w:val="00E61E68"/>
    <w:pPr>
      <w:tabs>
        <w:tab w:val="center" w:pos="4320"/>
        <w:tab w:val="right" w:pos="8640"/>
      </w:tabs>
    </w:pPr>
  </w:style>
  <w:style w:type="character" w:styleId="PageNumber">
    <w:name w:val="page number"/>
    <w:basedOn w:val="DefaultParagraphFont"/>
    <w:rsid w:val="00E61E68"/>
  </w:style>
  <w:style w:type="paragraph" w:styleId="BalloonText">
    <w:name w:val="Balloon Text"/>
    <w:basedOn w:val="Normal"/>
    <w:link w:val="BalloonTextChar"/>
    <w:uiPriority w:val="99"/>
    <w:rsid w:val="00282CFA"/>
    <w:rPr>
      <w:rFonts w:ascii="Tahoma" w:hAnsi="Tahoma" w:cs="Tahoma"/>
      <w:sz w:val="16"/>
      <w:szCs w:val="16"/>
    </w:rPr>
  </w:style>
  <w:style w:type="character" w:styleId="CommentReference">
    <w:name w:val="annotation reference"/>
    <w:basedOn w:val="DefaultParagraphFont"/>
    <w:rsid w:val="00F51433"/>
    <w:rPr>
      <w:sz w:val="16"/>
      <w:szCs w:val="16"/>
    </w:rPr>
  </w:style>
  <w:style w:type="paragraph" w:styleId="CommentText">
    <w:name w:val="annotation text"/>
    <w:basedOn w:val="Normal"/>
    <w:link w:val="CommentTextChar"/>
    <w:rsid w:val="00F51433"/>
    <w:rPr>
      <w:sz w:val="20"/>
      <w:szCs w:val="20"/>
    </w:rPr>
  </w:style>
  <w:style w:type="character" w:customStyle="1" w:styleId="CommentTextChar">
    <w:name w:val="Comment Text Char"/>
    <w:basedOn w:val="DefaultParagraphFont"/>
    <w:link w:val="CommentText"/>
    <w:rsid w:val="00F51433"/>
  </w:style>
  <w:style w:type="paragraph" w:styleId="CommentSubject">
    <w:name w:val="annotation subject"/>
    <w:basedOn w:val="CommentText"/>
    <w:next w:val="CommentText"/>
    <w:link w:val="CommentSubjectChar"/>
    <w:uiPriority w:val="99"/>
    <w:rsid w:val="00F51433"/>
    <w:rPr>
      <w:b/>
      <w:bCs/>
    </w:rPr>
  </w:style>
  <w:style w:type="character" w:customStyle="1" w:styleId="CommentSubjectChar">
    <w:name w:val="Comment Subject Char"/>
    <w:basedOn w:val="CommentTextChar"/>
    <w:link w:val="CommentSubject"/>
    <w:uiPriority w:val="99"/>
    <w:rsid w:val="00F51433"/>
    <w:rPr>
      <w:b/>
      <w:bCs/>
    </w:rPr>
  </w:style>
  <w:style w:type="paragraph" w:styleId="ListParagraph">
    <w:name w:val="List Paragraph"/>
    <w:basedOn w:val="Normal"/>
    <w:uiPriority w:val="99"/>
    <w:qFormat/>
    <w:rsid w:val="00AB2240"/>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3135B5"/>
    <w:pPr>
      <w:tabs>
        <w:tab w:val="center" w:pos="4680"/>
        <w:tab w:val="right" w:pos="9360"/>
      </w:tabs>
    </w:pPr>
  </w:style>
  <w:style w:type="character" w:customStyle="1" w:styleId="HeaderChar">
    <w:name w:val="Header Char"/>
    <w:basedOn w:val="DefaultParagraphFont"/>
    <w:link w:val="Header"/>
    <w:rsid w:val="003135B5"/>
    <w:rPr>
      <w:sz w:val="24"/>
      <w:szCs w:val="24"/>
    </w:rPr>
  </w:style>
  <w:style w:type="paragraph" w:customStyle="1" w:styleId="ParaText">
    <w:name w:val="ParaText"/>
    <w:basedOn w:val="Normal"/>
    <w:link w:val="ParaTextChar"/>
    <w:uiPriority w:val="99"/>
    <w:rsid w:val="00AC6DF5"/>
    <w:pPr>
      <w:spacing w:after="240" w:line="312" w:lineRule="auto"/>
    </w:pPr>
    <w:rPr>
      <w:rFonts w:ascii="Arial" w:hAnsi="Arial"/>
      <w:sz w:val="22"/>
      <w:szCs w:val="22"/>
    </w:rPr>
  </w:style>
  <w:style w:type="paragraph" w:styleId="Caption">
    <w:name w:val="caption"/>
    <w:basedOn w:val="Normal"/>
    <w:next w:val="Normal"/>
    <w:link w:val="CaptionChar"/>
    <w:uiPriority w:val="99"/>
    <w:qFormat/>
    <w:rsid w:val="00AC6DF5"/>
    <w:pPr>
      <w:spacing w:before="120" w:after="120" w:line="312" w:lineRule="auto"/>
      <w:jc w:val="center"/>
    </w:pPr>
    <w:rPr>
      <w:rFonts w:ascii="Arial" w:hAnsi="Arial"/>
      <w:b/>
      <w:sz w:val="22"/>
      <w:szCs w:val="22"/>
    </w:rPr>
  </w:style>
  <w:style w:type="character" w:customStyle="1" w:styleId="ParaTextChar">
    <w:name w:val="ParaText Char"/>
    <w:basedOn w:val="DefaultParagraphFont"/>
    <w:link w:val="ParaText"/>
    <w:uiPriority w:val="99"/>
    <w:locked/>
    <w:rsid w:val="00AC6DF5"/>
    <w:rPr>
      <w:rFonts w:ascii="Arial" w:hAnsi="Arial"/>
      <w:sz w:val="22"/>
      <w:szCs w:val="22"/>
    </w:rPr>
  </w:style>
  <w:style w:type="character" w:customStyle="1" w:styleId="FootnoteTextChar">
    <w:name w:val="Footnote Text Char"/>
    <w:basedOn w:val="DefaultParagraphFont"/>
    <w:link w:val="FootnoteText"/>
    <w:locked/>
    <w:rsid w:val="00AC6DF5"/>
  </w:style>
  <w:style w:type="character" w:customStyle="1" w:styleId="CaptionChar">
    <w:name w:val="Caption Char"/>
    <w:basedOn w:val="DefaultParagraphFont"/>
    <w:link w:val="Caption"/>
    <w:uiPriority w:val="99"/>
    <w:locked/>
    <w:rsid w:val="00AC6DF5"/>
    <w:rPr>
      <w:rFonts w:ascii="Arial" w:hAnsi="Arial"/>
      <w:b/>
      <w:sz w:val="22"/>
      <w:szCs w:val="22"/>
    </w:rPr>
  </w:style>
  <w:style w:type="paragraph" w:styleId="ListBullet">
    <w:name w:val="List Bullet"/>
    <w:basedOn w:val="Normal"/>
    <w:rsid w:val="00D93C65"/>
    <w:pPr>
      <w:numPr>
        <w:numId w:val="38"/>
      </w:numPr>
      <w:spacing w:line="312" w:lineRule="auto"/>
    </w:pPr>
    <w:rPr>
      <w:rFonts w:ascii="Arial" w:hAnsi="Arial"/>
      <w:sz w:val="22"/>
      <w:szCs w:val="22"/>
    </w:rPr>
  </w:style>
  <w:style w:type="character" w:customStyle="1" w:styleId="Heading1Char">
    <w:name w:val="Heading 1 Char"/>
    <w:aliases w:val="Proposal 1 Char,l1 Char,H1 Char,l11 Char,H11 Char,l12 Char,H12 Char,l13 Char,H13 Char,l14 Char,H14 Char,l15 Char,H15 Char,l16 Char,H16 Char,l17 Char,H17 Char,l18 Char,H18 Char,section Char,11 Char,section1 Char,12 Char,section2 Char"/>
    <w:basedOn w:val="DefaultParagraphFont"/>
    <w:link w:val="Heading1"/>
    <w:uiPriority w:val="99"/>
    <w:rsid w:val="00D55570"/>
    <w:rPr>
      <w:rFonts w:ascii="Arial" w:hAnsi="Arial"/>
      <w:b/>
      <w:kern w:val="28"/>
      <w:sz w:val="34"/>
      <w:szCs w:val="34"/>
    </w:rPr>
  </w:style>
  <w:style w:type="character" w:customStyle="1" w:styleId="Heading2Char">
    <w:name w:val="Heading 2 Char"/>
    <w:aliases w:val="H2 Char,Heading 2a Char,h2 Char,Proposal 2 Char,Chapter Title Char,2 Char,sub-sect Char,21 Char,sub-sect1 Char,22 Char,sub-sect2 Char,23 Char,sub-sect3 Char,24 Char,sub-sect4 Char,25 Char,sub-sect5 Char,26 Char,sub-sect6 Char,211 Char"/>
    <w:basedOn w:val="DefaultParagraphFont"/>
    <w:link w:val="Heading2"/>
    <w:uiPriority w:val="99"/>
    <w:rsid w:val="00D55570"/>
    <w:rPr>
      <w:rFonts w:ascii="Arial" w:hAnsi="Arial"/>
      <w:b/>
      <w:sz w:val="30"/>
      <w:szCs w:val="30"/>
    </w:rPr>
  </w:style>
  <w:style w:type="character" w:customStyle="1" w:styleId="Heading3Char">
    <w:name w:val="Heading 3 Char"/>
    <w:aliases w:val="H3 Char,Proposal 3 Char,(1.1.1) Char,hd3 Char,h3 Char,(1.1.1)1 Char,hd31 Char,h31 Char,(1.1.1)2 Char,hd32 Char,h32 Char,(1.1.1)3 Char,hd33 Char,h33 Char,(1.1.1)4 Char,hd34 Char,h34 Char,(1.1.1)5 Char,hd35 Char,h35 Char,(1.1.1)6 Char"/>
    <w:basedOn w:val="DefaultParagraphFont"/>
    <w:link w:val="Heading3"/>
    <w:uiPriority w:val="99"/>
    <w:rsid w:val="00D55570"/>
    <w:rPr>
      <w:rFonts w:ascii="Arial" w:hAnsi="Arial"/>
      <w:b/>
      <w:sz w:val="26"/>
      <w:szCs w:val="26"/>
    </w:rPr>
  </w:style>
  <w:style w:type="character" w:customStyle="1" w:styleId="Heading4Char">
    <w:name w:val="Heading 4 Char"/>
    <w:aliases w:val="H4 Char,Proposal 4 Char,h4 Char"/>
    <w:basedOn w:val="DefaultParagraphFont"/>
    <w:link w:val="Heading4"/>
    <w:uiPriority w:val="99"/>
    <w:rsid w:val="00D55570"/>
    <w:rPr>
      <w:rFonts w:ascii="Arial" w:hAnsi="Arial"/>
      <w:b/>
      <w:sz w:val="22"/>
      <w:szCs w:val="22"/>
    </w:rPr>
  </w:style>
  <w:style w:type="character" w:customStyle="1" w:styleId="Heading5Char">
    <w:name w:val="Heading 5 Char"/>
    <w:aliases w:val="Proposal 5 Char"/>
    <w:basedOn w:val="DefaultParagraphFont"/>
    <w:link w:val="Heading5"/>
    <w:uiPriority w:val="99"/>
    <w:rsid w:val="00D55570"/>
    <w:rPr>
      <w:rFonts w:ascii="Arial" w:hAnsi="Arial"/>
      <w:b/>
      <w:sz w:val="22"/>
      <w:szCs w:val="22"/>
    </w:rPr>
  </w:style>
  <w:style w:type="character" w:customStyle="1" w:styleId="Heading6Char">
    <w:name w:val="Heading 6 Char"/>
    <w:aliases w:val="Proposal 6 Char"/>
    <w:basedOn w:val="DefaultParagraphFont"/>
    <w:link w:val="Heading6"/>
    <w:uiPriority w:val="99"/>
    <w:rsid w:val="00D55570"/>
    <w:rPr>
      <w:rFonts w:ascii="Arial" w:hAnsi="Arial"/>
      <w:b/>
      <w:sz w:val="22"/>
      <w:szCs w:val="22"/>
    </w:rPr>
  </w:style>
  <w:style w:type="character" w:customStyle="1" w:styleId="Heading7Char">
    <w:name w:val="Heading 7 Char"/>
    <w:basedOn w:val="DefaultParagraphFont"/>
    <w:link w:val="Heading7"/>
    <w:rsid w:val="00D55570"/>
    <w:rPr>
      <w:rFonts w:ascii="Arial" w:hAnsi="Arial"/>
      <w:b/>
      <w:kern w:val="28"/>
      <w:sz w:val="34"/>
      <w:szCs w:val="34"/>
    </w:rPr>
  </w:style>
  <w:style w:type="character" w:customStyle="1" w:styleId="Heading8Char">
    <w:name w:val="Heading 8 Char"/>
    <w:basedOn w:val="DefaultParagraphFont"/>
    <w:link w:val="Heading8"/>
    <w:rsid w:val="00D55570"/>
    <w:rPr>
      <w:rFonts w:ascii="Arial" w:hAnsi="Arial"/>
      <w:b/>
      <w:sz w:val="30"/>
      <w:szCs w:val="30"/>
    </w:rPr>
  </w:style>
  <w:style w:type="character" w:customStyle="1" w:styleId="Heading9Char">
    <w:name w:val="Heading 9 Char"/>
    <w:basedOn w:val="DefaultParagraphFont"/>
    <w:link w:val="Heading9"/>
    <w:rsid w:val="00D55570"/>
    <w:rPr>
      <w:rFonts w:ascii="Arial" w:hAnsi="Arial"/>
      <w:b/>
      <w:sz w:val="26"/>
      <w:szCs w:val="26"/>
    </w:rPr>
  </w:style>
  <w:style w:type="character" w:customStyle="1" w:styleId="BalloonTextChar">
    <w:name w:val="Balloon Text Char"/>
    <w:basedOn w:val="DefaultParagraphFont"/>
    <w:link w:val="BalloonText"/>
    <w:uiPriority w:val="99"/>
    <w:rsid w:val="00D55570"/>
    <w:rPr>
      <w:rFonts w:ascii="Tahoma" w:hAnsi="Tahoma" w:cs="Tahoma"/>
      <w:sz w:val="16"/>
      <w:szCs w:val="16"/>
    </w:rPr>
  </w:style>
  <w:style w:type="character" w:customStyle="1" w:styleId="FooterChar">
    <w:name w:val="Footer Char"/>
    <w:basedOn w:val="DefaultParagraphFont"/>
    <w:link w:val="Footer"/>
    <w:rsid w:val="00D55570"/>
    <w:rPr>
      <w:sz w:val="24"/>
      <w:szCs w:val="24"/>
    </w:rPr>
  </w:style>
  <w:style w:type="paragraph" w:styleId="TOC1">
    <w:name w:val="toc 1"/>
    <w:basedOn w:val="Normal"/>
    <w:next w:val="Normal"/>
    <w:autoRedefine/>
    <w:uiPriority w:val="39"/>
    <w:qFormat/>
    <w:rsid w:val="00D55570"/>
    <w:pPr>
      <w:spacing w:before="120" w:after="120" w:line="312" w:lineRule="auto"/>
    </w:pPr>
    <w:rPr>
      <w:rFonts w:asciiTheme="minorHAnsi" w:hAnsiTheme="minorHAnsi"/>
      <w:b/>
      <w:bCs/>
      <w:caps/>
      <w:sz w:val="20"/>
      <w:szCs w:val="20"/>
    </w:rPr>
  </w:style>
  <w:style w:type="paragraph" w:customStyle="1" w:styleId="TOCTitle">
    <w:name w:val="TOC Title"/>
    <w:basedOn w:val="Header"/>
    <w:rsid w:val="00D55570"/>
    <w:pPr>
      <w:pBdr>
        <w:top w:val="single" w:sz="12" w:space="18" w:color="auto"/>
        <w:bottom w:val="single" w:sz="4" w:space="21" w:color="auto"/>
      </w:pBdr>
      <w:tabs>
        <w:tab w:val="clear" w:pos="4680"/>
        <w:tab w:val="clear" w:pos="9360"/>
        <w:tab w:val="center" w:pos="4320"/>
        <w:tab w:val="right" w:pos="8640"/>
      </w:tabs>
      <w:spacing w:before="360" w:after="400" w:line="312" w:lineRule="auto"/>
      <w:jc w:val="both"/>
    </w:pPr>
    <w:rPr>
      <w:rFonts w:ascii="Arial" w:hAnsi="Arial"/>
      <w:b/>
      <w:sz w:val="42"/>
      <w:szCs w:val="42"/>
    </w:rPr>
  </w:style>
  <w:style w:type="paragraph" w:styleId="TOC9">
    <w:name w:val="toc 9"/>
    <w:basedOn w:val="Normal"/>
    <w:next w:val="Normal"/>
    <w:autoRedefine/>
    <w:uiPriority w:val="39"/>
    <w:rsid w:val="00D55570"/>
    <w:pPr>
      <w:spacing w:line="312" w:lineRule="auto"/>
      <w:ind w:left="1760"/>
    </w:pPr>
    <w:rPr>
      <w:rFonts w:asciiTheme="minorHAnsi" w:hAnsiTheme="minorHAnsi"/>
      <w:sz w:val="18"/>
      <w:szCs w:val="18"/>
    </w:rPr>
  </w:style>
  <w:style w:type="paragraph" w:customStyle="1" w:styleId="ExhLst">
    <w:name w:val="Exh_Lst"/>
    <w:basedOn w:val="Normal"/>
    <w:rsid w:val="00D55570"/>
    <w:pPr>
      <w:spacing w:after="240" w:line="312" w:lineRule="auto"/>
    </w:pPr>
    <w:rPr>
      <w:rFonts w:ascii="Arial" w:hAnsi="Arial"/>
      <w:b/>
      <w:sz w:val="22"/>
      <w:szCs w:val="22"/>
      <w:u w:val="single"/>
    </w:rPr>
  </w:style>
  <w:style w:type="paragraph" w:customStyle="1" w:styleId="1">
    <w:name w:val="1"/>
    <w:aliases w:val="a,i Seq"/>
    <w:basedOn w:val="Normal"/>
    <w:rsid w:val="00D55570"/>
    <w:pPr>
      <w:numPr>
        <w:numId w:val="39"/>
      </w:numPr>
      <w:tabs>
        <w:tab w:val="left" w:pos="1800"/>
        <w:tab w:val="left" w:pos="2160"/>
        <w:tab w:val="left" w:pos="2520"/>
        <w:tab w:val="left" w:pos="2880"/>
      </w:tabs>
      <w:spacing w:after="240" w:line="300" w:lineRule="auto"/>
    </w:pPr>
    <w:rPr>
      <w:rFonts w:ascii="Arial" w:hAnsi="Arial"/>
      <w:sz w:val="22"/>
      <w:szCs w:val="22"/>
    </w:rPr>
  </w:style>
  <w:style w:type="paragraph" w:customStyle="1" w:styleId="Bullet1">
    <w:name w:val="Bullet 1"/>
    <w:basedOn w:val="Normal"/>
    <w:qFormat/>
    <w:rsid w:val="00D55570"/>
    <w:pPr>
      <w:numPr>
        <w:numId w:val="42"/>
      </w:numPr>
      <w:spacing w:line="312" w:lineRule="auto"/>
    </w:pPr>
    <w:rPr>
      <w:rFonts w:ascii="Arial" w:hAnsi="Arial"/>
      <w:sz w:val="22"/>
      <w:szCs w:val="22"/>
    </w:rPr>
  </w:style>
  <w:style w:type="paragraph" w:customStyle="1" w:styleId="Bullet4">
    <w:name w:val="Bullet 4"/>
    <w:basedOn w:val="Normal"/>
    <w:rsid w:val="00D55570"/>
    <w:pPr>
      <w:numPr>
        <w:numId w:val="44"/>
      </w:numPr>
      <w:tabs>
        <w:tab w:val="clear" w:pos="360"/>
        <w:tab w:val="num" w:pos="1800"/>
      </w:tabs>
      <w:spacing w:line="300" w:lineRule="auto"/>
      <w:ind w:left="1800" w:hanging="360"/>
    </w:pPr>
    <w:rPr>
      <w:rFonts w:ascii="Arial" w:hAnsi="Arial"/>
      <w:sz w:val="22"/>
      <w:szCs w:val="22"/>
    </w:rPr>
  </w:style>
  <w:style w:type="paragraph" w:customStyle="1" w:styleId="Exhibit">
    <w:name w:val="Exhibit"/>
    <w:basedOn w:val="Normal"/>
    <w:next w:val="Normal"/>
    <w:rsid w:val="00D55570"/>
    <w:pPr>
      <w:spacing w:after="240" w:line="312" w:lineRule="auto"/>
    </w:pPr>
    <w:rPr>
      <w:rFonts w:ascii="Arial" w:hAnsi="Arial"/>
      <w:b/>
      <w:sz w:val="22"/>
      <w:szCs w:val="22"/>
    </w:rPr>
  </w:style>
  <w:style w:type="paragraph" w:styleId="TableofFigures">
    <w:name w:val="table of figures"/>
    <w:basedOn w:val="Normal"/>
    <w:next w:val="Normal"/>
    <w:uiPriority w:val="99"/>
    <w:rsid w:val="00D55570"/>
    <w:pPr>
      <w:spacing w:line="312" w:lineRule="auto"/>
      <w:ind w:left="440" w:hanging="440"/>
    </w:pPr>
    <w:rPr>
      <w:rFonts w:ascii="Arial" w:hAnsi="Arial"/>
      <w:sz w:val="22"/>
      <w:szCs w:val="22"/>
    </w:rPr>
  </w:style>
  <w:style w:type="paragraph" w:styleId="TOC2">
    <w:name w:val="toc 2"/>
    <w:basedOn w:val="Normal"/>
    <w:next w:val="Normal"/>
    <w:autoRedefine/>
    <w:uiPriority w:val="39"/>
    <w:qFormat/>
    <w:rsid w:val="00D55570"/>
    <w:pPr>
      <w:spacing w:line="312" w:lineRule="auto"/>
      <w:ind w:left="220"/>
    </w:pPr>
    <w:rPr>
      <w:rFonts w:asciiTheme="minorHAnsi" w:hAnsiTheme="minorHAnsi"/>
      <w:smallCaps/>
      <w:sz w:val="20"/>
      <w:szCs w:val="20"/>
    </w:rPr>
  </w:style>
  <w:style w:type="paragraph" w:styleId="TOC3">
    <w:name w:val="toc 3"/>
    <w:basedOn w:val="Normal"/>
    <w:next w:val="Normal"/>
    <w:autoRedefine/>
    <w:uiPriority w:val="39"/>
    <w:qFormat/>
    <w:rsid w:val="00D55570"/>
    <w:pPr>
      <w:tabs>
        <w:tab w:val="left" w:pos="1440"/>
        <w:tab w:val="right" w:leader="dot" w:pos="9350"/>
      </w:tabs>
      <w:spacing w:line="312" w:lineRule="auto"/>
      <w:ind w:left="1066" w:hanging="432"/>
    </w:pPr>
    <w:rPr>
      <w:rFonts w:ascii="Arial" w:hAnsi="Arial" w:cs="Arial"/>
      <w:i/>
      <w:iCs/>
      <w:noProof/>
      <w:sz w:val="22"/>
      <w:szCs w:val="22"/>
    </w:rPr>
  </w:style>
  <w:style w:type="paragraph" w:styleId="TOC4">
    <w:name w:val="toc 4"/>
    <w:basedOn w:val="Normal"/>
    <w:next w:val="Normal"/>
    <w:autoRedefine/>
    <w:uiPriority w:val="39"/>
    <w:rsid w:val="00D55570"/>
    <w:pPr>
      <w:spacing w:line="312" w:lineRule="auto"/>
      <w:ind w:left="660"/>
    </w:pPr>
    <w:rPr>
      <w:rFonts w:asciiTheme="minorHAnsi" w:hAnsiTheme="minorHAnsi"/>
      <w:sz w:val="18"/>
      <w:szCs w:val="18"/>
    </w:rPr>
  </w:style>
  <w:style w:type="paragraph" w:styleId="TOC5">
    <w:name w:val="toc 5"/>
    <w:basedOn w:val="Normal"/>
    <w:next w:val="Normal"/>
    <w:autoRedefine/>
    <w:uiPriority w:val="39"/>
    <w:rsid w:val="00D55570"/>
    <w:pPr>
      <w:spacing w:line="312" w:lineRule="auto"/>
      <w:ind w:left="880"/>
    </w:pPr>
    <w:rPr>
      <w:rFonts w:asciiTheme="minorHAnsi" w:hAnsiTheme="minorHAnsi"/>
      <w:sz w:val="18"/>
      <w:szCs w:val="18"/>
    </w:rPr>
  </w:style>
  <w:style w:type="paragraph" w:styleId="TOC6">
    <w:name w:val="toc 6"/>
    <w:basedOn w:val="Normal"/>
    <w:next w:val="Normal"/>
    <w:autoRedefine/>
    <w:uiPriority w:val="39"/>
    <w:rsid w:val="00D55570"/>
    <w:pPr>
      <w:spacing w:line="312" w:lineRule="auto"/>
      <w:ind w:left="1100"/>
    </w:pPr>
    <w:rPr>
      <w:rFonts w:asciiTheme="minorHAnsi" w:hAnsiTheme="minorHAnsi"/>
      <w:sz w:val="18"/>
      <w:szCs w:val="18"/>
    </w:rPr>
  </w:style>
  <w:style w:type="paragraph" w:styleId="TOC7">
    <w:name w:val="toc 7"/>
    <w:basedOn w:val="Normal"/>
    <w:next w:val="Normal"/>
    <w:autoRedefine/>
    <w:uiPriority w:val="39"/>
    <w:rsid w:val="00D55570"/>
    <w:pPr>
      <w:spacing w:line="312" w:lineRule="auto"/>
      <w:ind w:left="1320"/>
    </w:pPr>
    <w:rPr>
      <w:rFonts w:asciiTheme="minorHAnsi" w:hAnsiTheme="minorHAnsi"/>
      <w:sz w:val="18"/>
      <w:szCs w:val="18"/>
    </w:rPr>
  </w:style>
  <w:style w:type="paragraph" w:styleId="TOC8">
    <w:name w:val="toc 8"/>
    <w:basedOn w:val="Normal"/>
    <w:next w:val="Normal"/>
    <w:autoRedefine/>
    <w:uiPriority w:val="39"/>
    <w:rsid w:val="00D55570"/>
    <w:pPr>
      <w:spacing w:line="312" w:lineRule="auto"/>
      <w:ind w:left="1540"/>
    </w:pPr>
    <w:rPr>
      <w:rFonts w:asciiTheme="minorHAnsi" w:hAnsiTheme="minorHAnsi"/>
      <w:sz w:val="18"/>
      <w:szCs w:val="18"/>
    </w:rPr>
  </w:style>
  <w:style w:type="paragraph" w:customStyle="1" w:styleId="Bullet2">
    <w:name w:val="Bullet 2"/>
    <w:basedOn w:val="Normal"/>
    <w:uiPriority w:val="99"/>
    <w:rsid w:val="00D55570"/>
    <w:pPr>
      <w:numPr>
        <w:numId w:val="41"/>
      </w:numPr>
      <w:tabs>
        <w:tab w:val="clear" w:pos="1440"/>
        <w:tab w:val="num" w:pos="1080"/>
      </w:tabs>
      <w:spacing w:line="312" w:lineRule="auto"/>
      <w:ind w:left="1080"/>
    </w:pPr>
    <w:rPr>
      <w:rFonts w:ascii="Arial" w:hAnsi="Arial"/>
      <w:sz w:val="22"/>
      <w:szCs w:val="22"/>
    </w:rPr>
  </w:style>
  <w:style w:type="paragraph" w:customStyle="1" w:styleId="Bullet3">
    <w:name w:val="Bullet 3"/>
    <w:basedOn w:val="Normal"/>
    <w:rsid w:val="00D55570"/>
    <w:pPr>
      <w:numPr>
        <w:numId w:val="43"/>
      </w:numPr>
      <w:tabs>
        <w:tab w:val="clear" w:pos="360"/>
        <w:tab w:val="num" w:pos="1440"/>
      </w:tabs>
      <w:spacing w:line="312" w:lineRule="auto"/>
      <w:ind w:left="1440" w:hanging="360"/>
    </w:pPr>
    <w:rPr>
      <w:rFonts w:ascii="Arial" w:hAnsi="Arial"/>
      <w:sz w:val="22"/>
      <w:szCs w:val="22"/>
    </w:rPr>
  </w:style>
  <w:style w:type="paragraph" w:customStyle="1" w:styleId="Headline">
    <w:name w:val="Headline"/>
    <w:basedOn w:val="Normal"/>
    <w:next w:val="SubHeadline"/>
    <w:rsid w:val="00D55570"/>
    <w:pPr>
      <w:spacing w:line="312" w:lineRule="auto"/>
    </w:pPr>
    <w:rPr>
      <w:rFonts w:ascii="Arial" w:hAnsi="Arial"/>
      <w:color w:val="FF0000"/>
      <w:sz w:val="56"/>
      <w:szCs w:val="44"/>
      <w:lang w:val="en-GB"/>
    </w:rPr>
  </w:style>
  <w:style w:type="paragraph" w:customStyle="1" w:styleId="SubHeadline">
    <w:name w:val="Sub Headline"/>
    <w:basedOn w:val="Headline"/>
    <w:next w:val="Normal"/>
    <w:rsid w:val="00D55570"/>
    <w:rPr>
      <w:sz w:val="36"/>
      <w:szCs w:val="30"/>
    </w:rPr>
  </w:style>
  <w:style w:type="paragraph" w:customStyle="1" w:styleId="Bullet1-hardreturn">
    <w:name w:val="Bullet 1 - hard return"/>
    <w:basedOn w:val="Bullet1"/>
    <w:rsid w:val="00D55570"/>
    <w:pPr>
      <w:spacing w:after="240"/>
    </w:pPr>
  </w:style>
  <w:style w:type="paragraph" w:customStyle="1" w:styleId="Bullet2-hardreturn">
    <w:name w:val="Bullet 2 - hard return"/>
    <w:basedOn w:val="Bullet2"/>
    <w:rsid w:val="00D55570"/>
    <w:pPr>
      <w:spacing w:after="240"/>
    </w:pPr>
  </w:style>
  <w:style w:type="paragraph" w:customStyle="1" w:styleId="Bullet3-hardreturn">
    <w:name w:val="Bullet 3 - hard return"/>
    <w:basedOn w:val="Bullet3"/>
    <w:rsid w:val="00D55570"/>
    <w:pPr>
      <w:spacing w:after="240"/>
    </w:pPr>
  </w:style>
  <w:style w:type="paragraph" w:customStyle="1" w:styleId="Bullet4-hardreturn">
    <w:name w:val="Bullet 4 - hard return"/>
    <w:basedOn w:val="Bullet4"/>
    <w:rsid w:val="00D55570"/>
    <w:pPr>
      <w:spacing w:after="240" w:line="312" w:lineRule="auto"/>
    </w:pPr>
  </w:style>
  <w:style w:type="paragraph" w:customStyle="1" w:styleId="Text">
    <w:name w:val="Text"/>
    <w:basedOn w:val="Normal"/>
    <w:rsid w:val="00D55570"/>
    <w:pPr>
      <w:spacing w:line="312" w:lineRule="auto"/>
    </w:pPr>
    <w:rPr>
      <w:rFonts w:ascii="Arial" w:hAnsi="Arial"/>
      <w:color w:val="414175"/>
      <w:sz w:val="26"/>
      <w:szCs w:val="26"/>
      <w:lang w:val="en-GB"/>
    </w:rPr>
  </w:style>
  <w:style w:type="paragraph" w:customStyle="1" w:styleId="numberlistindent">
    <w:name w:val="number list indent"/>
    <w:basedOn w:val="Normal"/>
    <w:rsid w:val="00D55570"/>
    <w:pPr>
      <w:numPr>
        <w:numId w:val="46"/>
      </w:numPr>
      <w:spacing w:after="240"/>
      <w:jc w:val="both"/>
    </w:pPr>
    <w:rPr>
      <w:rFonts w:ascii="Arial" w:hAnsi="Arial"/>
      <w:sz w:val="20"/>
      <w:szCs w:val="20"/>
    </w:rPr>
  </w:style>
  <w:style w:type="paragraph" w:customStyle="1" w:styleId="DefaultParagraphFontParaCharChar">
    <w:name w:val="Default Paragraph Font Para Char Char"/>
    <w:basedOn w:val="Normal"/>
    <w:semiHidden/>
    <w:rsid w:val="00D55570"/>
    <w:pPr>
      <w:spacing w:after="160" w:line="240" w:lineRule="exact"/>
    </w:pPr>
  </w:style>
  <w:style w:type="character" w:customStyle="1" w:styleId="FootnoteTextChar2">
    <w:name w:val="Footnote Text Char2"/>
    <w:basedOn w:val="DefaultParagraphFont"/>
    <w:locked/>
    <w:rsid w:val="00D55570"/>
    <w:rPr>
      <w:rFonts w:ascii="Arial" w:eastAsia="Times New Roman" w:hAnsi="Arial" w:cs="Times New Roman"/>
      <w:sz w:val="20"/>
      <w:szCs w:val="20"/>
    </w:rPr>
  </w:style>
  <w:style w:type="character" w:styleId="EndnoteReference">
    <w:name w:val="endnote reference"/>
    <w:basedOn w:val="DefaultParagraphFont"/>
    <w:rsid w:val="00D55570"/>
    <w:rPr>
      <w:rFonts w:cs="Times New Roman"/>
      <w:vertAlign w:val="superscript"/>
    </w:rPr>
  </w:style>
  <w:style w:type="paragraph" w:customStyle="1" w:styleId="FigureTitles">
    <w:name w:val="Figure Titles"/>
    <w:basedOn w:val="Normal"/>
    <w:rsid w:val="00D55570"/>
    <w:pPr>
      <w:keepNext/>
      <w:tabs>
        <w:tab w:val="left" w:pos="360"/>
      </w:tabs>
      <w:suppressAutoHyphens/>
      <w:spacing w:before="120" w:after="240"/>
      <w:jc w:val="center"/>
    </w:pPr>
    <w:rPr>
      <w:rFonts w:ascii="Arial" w:eastAsia="SimSun" w:hAnsi="Arial"/>
      <w:b/>
      <w:sz w:val="20"/>
    </w:rPr>
  </w:style>
  <w:style w:type="paragraph" w:customStyle="1" w:styleId="Default">
    <w:name w:val="Default"/>
    <w:rsid w:val="00D55570"/>
    <w:pPr>
      <w:autoSpaceDE w:val="0"/>
      <w:autoSpaceDN w:val="0"/>
      <w:adjustRightInd w:val="0"/>
    </w:pPr>
    <w:rPr>
      <w:color w:val="000000"/>
      <w:sz w:val="24"/>
      <w:szCs w:val="24"/>
    </w:rPr>
  </w:style>
  <w:style w:type="table" w:styleId="TableGrid">
    <w:name w:val="Table Grid"/>
    <w:basedOn w:val="TableNormal"/>
    <w:rsid w:val="00D55570"/>
    <w:pPr>
      <w:ind w:left="36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55570"/>
    <w:pPr>
      <w:spacing w:after="160"/>
      <w:jc w:val="both"/>
    </w:pPr>
    <w:rPr>
      <w:rFonts w:ascii="Franklin Gothic Book" w:hAnsi="Franklin Gothic Book"/>
    </w:rPr>
  </w:style>
  <w:style w:type="character" w:customStyle="1" w:styleId="BodyTextChar">
    <w:name w:val="Body Text Char"/>
    <w:basedOn w:val="DefaultParagraphFont"/>
    <w:link w:val="BodyText"/>
    <w:rsid w:val="00D55570"/>
    <w:rPr>
      <w:rFonts w:ascii="Franklin Gothic Book" w:hAnsi="Franklin Gothic Book"/>
      <w:sz w:val="24"/>
      <w:szCs w:val="24"/>
    </w:rPr>
  </w:style>
  <w:style w:type="character" w:customStyle="1" w:styleId="CaptionChar1">
    <w:name w:val="Caption Char1"/>
    <w:basedOn w:val="DefaultParagraphFont"/>
    <w:uiPriority w:val="99"/>
    <w:locked/>
    <w:rsid w:val="00D55570"/>
    <w:rPr>
      <w:rFonts w:ascii="Arial" w:eastAsia="Times New Roman" w:hAnsi="Arial" w:cs="Times New Roman"/>
      <w:b/>
    </w:rPr>
  </w:style>
  <w:style w:type="table" w:customStyle="1" w:styleId="ODCTable">
    <w:name w:val="ODC Table"/>
    <w:rsid w:val="00D55570"/>
    <w:rPr>
      <w:rFonts w:ascii="Franklin Gothic Book" w:hAnsi="Franklin Gothic Book"/>
      <w:sz w:val="22"/>
    </w:rPr>
    <w:tblPr>
      <w:jc w:val="center"/>
      <w:tblInd w:w="0" w:type="dxa"/>
      <w:tblBorders>
        <w:top w:val="single" w:sz="4" w:space="0" w:color="auto"/>
        <w:left w:val="single" w:sz="4" w:space="0" w:color="auto"/>
        <w:bottom w:val="single" w:sz="4" w:space="0" w:color="auto"/>
        <w:right w:val="single" w:sz="4" w:space="0" w:color="auto"/>
        <w:insideH w:val="single" w:sz="8" w:space="0" w:color="C0C0C0"/>
        <w:insideV w:val="single" w:sz="8" w:space="0" w:color="000000"/>
      </w:tblBorders>
      <w:tblCellMar>
        <w:top w:w="0" w:type="dxa"/>
        <w:left w:w="115" w:type="dxa"/>
        <w:bottom w:w="0" w:type="dxa"/>
        <w:right w:w="115" w:type="dxa"/>
      </w:tblCellMar>
    </w:tblPr>
    <w:trPr>
      <w:jc w:val="center"/>
    </w:trPr>
  </w:style>
  <w:style w:type="paragraph" w:styleId="ListNumber">
    <w:name w:val="List Number"/>
    <w:basedOn w:val="ListBullet"/>
    <w:rsid w:val="00D55570"/>
    <w:pPr>
      <w:numPr>
        <w:numId w:val="0"/>
      </w:numPr>
      <w:tabs>
        <w:tab w:val="num" w:pos="360"/>
        <w:tab w:val="left" w:pos="851"/>
      </w:tabs>
      <w:spacing w:before="160" w:line="240" w:lineRule="auto"/>
      <w:ind w:left="360" w:hanging="360"/>
    </w:pPr>
    <w:rPr>
      <w:rFonts w:cs="Arial"/>
    </w:rPr>
  </w:style>
  <w:style w:type="character" w:customStyle="1" w:styleId="FootnoteTextChar1">
    <w:name w:val="Footnote Text Char1"/>
    <w:basedOn w:val="DefaultParagraphFont"/>
    <w:locked/>
    <w:rsid w:val="00D55570"/>
    <w:rPr>
      <w:rFonts w:ascii="Arial" w:hAnsi="Arial" w:cs="Times New Roman"/>
    </w:rPr>
  </w:style>
  <w:style w:type="paragraph" w:styleId="Revision">
    <w:name w:val="Revision"/>
    <w:hidden/>
    <w:uiPriority w:val="99"/>
    <w:semiHidden/>
    <w:rsid w:val="00D55570"/>
    <w:rPr>
      <w:rFonts w:ascii="Arial" w:hAnsi="Arial"/>
      <w:sz w:val="22"/>
      <w:szCs w:val="22"/>
    </w:rPr>
  </w:style>
  <w:style w:type="paragraph" w:styleId="Quote">
    <w:name w:val="Quote"/>
    <w:basedOn w:val="Normal"/>
    <w:next w:val="Normal"/>
    <w:link w:val="QuoteChar"/>
    <w:uiPriority w:val="29"/>
    <w:qFormat/>
    <w:rsid w:val="00D55570"/>
    <w:pPr>
      <w:spacing w:line="312" w:lineRule="auto"/>
    </w:pPr>
    <w:rPr>
      <w:rFonts w:ascii="Arial" w:hAnsi="Arial"/>
      <w:i/>
      <w:iCs/>
      <w:color w:val="000000" w:themeColor="text1"/>
      <w:sz w:val="22"/>
      <w:szCs w:val="22"/>
    </w:rPr>
  </w:style>
  <w:style w:type="character" w:customStyle="1" w:styleId="QuoteChar">
    <w:name w:val="Quote Char"/>
    <w:basedOn w:val="DefaultParagraphFont"/>
    <w:link w:val="Quote"/>
    <w:uiPriority w:val="29"/>
    <w:rsid w:val="00D55570"/>
    <w:rPr>
      <w:rFonts w:ascii="Arial" w:hAnsi="Arial"/>
      <w:i/>
      <w:iCs/>
      <w:color w:val="000000" w:themeColor="text1"/>
      <w:sz w:val="22"/>
      <w:szCs w:val="22"/>
    </w:rPr>
  </w:style>
  <w:style w:type="paragraph" w:styleId="TOCHeading">
    <w:name w:val="TOC Heading"/>
    <w:basedOn w:val="Heading1"/>
    <w:next w:val="Normal"/>
    <w:uiPriority w:val="39"/>
    <w:unhideWhenUsed/>
    <w:qFormat/>
    <w:rsid w:val="00D55570"/>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character" w:styleId="FollowedHyperlink">
    <w:name w:val="FollowedHyperlink"/>
    <w:basedOn w:val="DefaultParagraphFont"/>
    <w:rsid w:val="001E2D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99"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E68"/>
    <w:rPr>
      <w:sz w:val="24"/>
      <w:szCs w:val="24"/>
    </w:rPr>
  </w:style>
  <w:style w:type="paragraph" w:styleId="Heading1">
    <w:name w:val="heading 1"/>
    <w:aliases w:val="Proposal 1,l1,H1,l11,H11,l12,H12,l13,H13,l14,H14,l15,H15,l16,H16,l17,H17,l18,H18,section,11,section1,12,section2,111,section11,13,section3,112,section12,14,section4,113,section13,15,section5,114,section14,16,section6,115,section15,17,section7"/>
    <w:basedOn w:val="Normal"/>
    <w:next w:val="ParaText"/>
    <w:link w:val="Heading1Char"/>
    <w:uiPriority w:val="99"/>
    <w:qFormat/>
    <w:rsid w:val="00D55570"/>
    <w:pPr>
      <w:keepNext/>
      <w:numPr>
        <w:numId w:val="40"/>
      </w:numPr>
      <w:spacing w:after="240" w:line="312" w:lineRule="auto"/>
      <w:outlineLvl w:val="0"/>
    </w:pPr>
    <w:rPr>
      <w:rFonts w:ascii="Arial" w:hAnsi="Arial"/>
      <w:b/>
      <w:kern w:val="28"/>
      <w:sz w:val="34"/>
      <w:szCs w:val="34"/>
    </w:rPr>
  </w:style>
  <w:style w:type="paragraph" w:styleId="Heading2">
    <w:name w:val="heading 2"/>
    <w:aliases w:val="H2,Heading 2a,h2,Proposal 2,Chapter Title,2,sub-sect,21,sub-sect1,22,sub-sect2,23,sub-sect3,24,sub-sect4,25,sub-sect5,26,sub-sect6,211,sub-sect11,221,sub-sect21,231,sub-sect31,241,sub-sect41,251,sub-sect51,27,sub-sect7,212,sub-sect12,222,232"/>
    <w:basedOn w:val="Normal"/>
    <w:next w:val="ParaText"/>
    <w:link w:val="Heading2Char"/>
    <w:uiPriority w:val="99"/>
    <w:qFormat/>
    <w:rsid w:val="00D55570"/>
    <w:pPr>
      <w:keepNext/>
      <w:numPr>
        <w:ilvl w:val="1"/>
        <w:numId w:val="40"/>
      </w:numPr>
      <w:spacing w:after="240" w:line="312" w:lineRule="auto"/>
      <w:outlineLvl w:val="1"/>
    </w:pPr>
    <w:rPr>
      <w:rFonts w:ascii="Arial" w:hAnsi="Arial"/>
      <w:b/>
      <w:sz w:val="30"/>
      <w:szCs w:val="30"/>
    </w:rPr>
  </w:style>
  <w:style w:type="paragraph" w:styleId="Heading3">
    <w:name w:val="heading 3"/>
    <w:aliases w:val="H3,Proposal 3,(1.1.1),hd3,h3,(1.1.1)1,hd31,h31,(1.1.1)2,hd32,h32,(1.1.1)3,hd33,h33,(1.1.1)4,hd34,h34,(1.1.1)5,hd35,h35,(1.1.1)6,hd36,h36,(1.1.1)7,hd37,h37,(1.1.1)8,hd38,h38,(1.1.1)9,hd39,h39,(1.1.1)10,hd310,h310,(1.1.1)11,hd311,h311,(1.1.1)21"/>
    <w:basedOn w:val="Normal"/>
    <w:next w:val="ParaText"/>
    <w:link w:val="Heading3Char"/>
    <w:uiPriority w:val="99"/>
    <w:qFormat/>
    <w:rsid w:val="00D55570"/>
    <w:pPr>
      <w:keepNext/>
      <w:numPr>
        <w:ilvl w:val="2"/>
        <w:numId w:val="40"/>
      </w:numPr>
      <w:spacing w:after="240" w:line="312" w:lineRule="auto"/>
      <w:outlineLvl w:val="2"/>
    </w:pPr>
    <w:rPr>
      <w:rFonts w:ascii="Arial" w:hAnsi="Arial"/>
      <w:b/>
      <w:sz w:val="26"/>
      <w:szCs w:val="26"/>
    </w:rPr>
  </w:style>
  <w:style w:type="paragraph" w:styleId="Heading4">
    <w:name w:val="heading 4"/>
    <w:aliases w:val="H4,Proposal 4,h4"/>
    <w:basedOn w:val="Normal"/>
    <w:next w:val="ParaText"/>
    <w:link w:val="Heading4Char"/>
    <w:uiPriority w:val="99"/>
    <w:qFormat/>
    <w:rsid w:val="00D55570"/>
    <w:pPr>
      <w:keepNext/>
      <w:numPr>
        <w:ilvl w:val="3"/>
        <w:numId w:val="40"/>
      </w:numPr>
      <w:spacing w:after="240" w:line="312" w:lineRule="auto"/>
      <w:outlineLvl w:val="3"/>
    </w:pPr>
    <w:rPr>
      <w:rFonts w:ascii="Arial" w:hAnsi="Arial"/>
      <w:b/>
      <w:sz w:val="22"/>
      <w:szCs w:val="22"/>
    </w:rPr>
  </w:style>
  <w:style w:type="paragraph" w:styleId="Heading5">
    <w:name w:val="heading 5"/>
    <w:aliases w:val="Proposal 5"/>
    <w:basedOn w:val="Normal"/>
    <w:next w:val="ParaText"/>
    <w:link w:val="Heading5Char"/>
    <w:uiPriority w:val="99"/>
    <w:qFormat/>
    <w:rsid w:val="00D55570"/>
    <w:pPr>
      <w:numPr>
        <w:ilvl w:val="4"/>
        <w:numId w:val="40"/>
      </w:numPr>
      <w:tabs>
        <w:tab w:val="clear" w:pos="1440"/>
        <w:tab w:val="num" w:pos="1080"/>
      </w:tabs>
      <w:spacing w:after="240" w:line="312" w:lineRule="auto"/>
      <w:outlineLvl w:val="4"/>
    </w:pPr>
    <w:rPr>
      <w:rFonts w:ascii="Arial" w:hAnsi="Arial"/>
      <w:b/>
      <w:sz w:val="22"/>
      <w:szCs w:val="22"/>
    </w:rPr>
  </w:style>
  <w:style w:type="paragraph" w:styleId="Heading6">
    <w:name w:val="heading 6"/>
    <w:aliases w:val="Proposal 6"/>
    <w:basedOn w:val="Normal"/>
    <w:next w:val="ParaText"/>
    <w:link w:val="Heading6Char"/>
    <w:uiPriority w:val="99"/>
    <w:qFormat/>
    <w:rsid w:val="00D55570"/>
    <w:pPr>
      <w:numPr>
        <w:ilvl w:val="5"/>
        <w:numId w:val="40"/>
      </w:numPr>
      <w:tabs>
        <w:tab w:val="clear" w:pos="2736"/>
        <w:tab w:val="num" w:pos="1440"/>
      </w:tabs>
      <w:spacing w:after="240" w:line="312" w:lineRule="auto"/>
      <w:ind w:left="1440" w:hanging="1440"/>
      <w:outlineLvl w:val="5"/>
    </w:pPr>
    <w:rPr>
      <w:rFonts w:ascii="Arial" w:hAnsi="Arial"/>
      <w:b/>
      <w:sz w:val="22"/>
      <w:szCs w:val="22"/>
    </w:rPr>
  </w:style>
  <w:style w:type="paragraph" w:styleId="Heading7">
    <w:name w:val="heading 7"/>
    <w:basedOn w:val="Normal"/>
    <w:next w:val="ParaText"/>
    <w:link w:val="Heading7Char"/>
    <w:qFormat/>
    <w:rsid w:val="00D55570"/>
    <w:pPr>
      <w:keepNext/>
      <w:numPr>
        <w:numId w:val="45"/>
      </w:numPr>
      <w:spacing w:after="240" w:line="312" w:lineRule="auto"/>
      <w:outlineLvl w:val="6"/>
    </w:pPr>
    <w:rPr>
      <w:rFonts w:ascii="Arial" w:hAnsi="Arial"/>
      <w:b/>
      <w:kern w:val="28"/>
      <w:sz w:val="34"/>
      <w:szCs w:val="34"/>
    </w:rPr>
  </w:style>
  <w:style w:type="paragraph" w:styleId="Heading8">
    <w:name w:val="heading 8"/>
    <w:basedOn w:val="Normal"/>
    <w:next w:val="ParaText"/>
    <w:link w:val="Heading8Char"/>
    <w:qFormat/>
    <w:rsid w:val="00D55570"/>
    <w:pPr>
      <w:keepNext/>
      <w:tabs>
        <w:tab w:val="num" w:pos="1080"/>
      </w:tabs>
      <w:spacing w:after="240" w:line="312" w:lineRule="auto"/>
      <w:ind w:left="1080" w:hanging="1080"/>
      <w:outlineLvl w:val="7"/>
    </w:pPr>
    <w:rPr>
      <w:rFonts w:ascii="Arial" w:hAnsi="Arial"/>
      <w:b/>
      <w:sz w:val="30"/>
      <w:szCs w:val="30"/>
    </w:rPr>
  </w:style>
  <w:style w:type="paragraph" w:styleId="Heading9">
    <w:name w:val="heading 9"/>
    <w:basedOn w:val="Normal"/>
    <w:next w:val="ParaText"/>
    <w:link w:val="Heading9Char"/>
    <w:qFormat/>
    <w:rsid w:val="00D55570"/>
    <w:pPr>
      <w:keepNext/>
      <w:tabs>
        <w:tab w:val="num" w:pos="1080"/>
      </w:tabs>
      <w:spacing w:after="240" w:line="312" w:lineRule="auto"/>
      <w:ind w:left="1080" w:hanging="1080"/>
      <w:outlineLvl w:val="8"/>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61E68"/>
    <w:rPr>
      <w:color w:val="0000FF"/>
    </w:rPr>
  </w:style>
  <w:style w:type="paragraph" w:styleId="FootnoteText">
    <w:name w:val="footnote text"/>
    <w:basedOn w:val="Normal"/>
    <w:link w:val="FootnoteTextChar"/>
    <w:rsid w:val="00E61E68"/>
    <w:pPr>
      <w:widowControl w:val="0"/>
      <w:autoSpaceDE w:val="0"/>
      <w:autoSpaceDN w:val="0"/>
      <w:adjustRightInd w:val="0"/>
    </w:pPr>
    <w:rPr>
      <w:sz w:val="20"/>
      <w:szCs w:val="20"/>
    </w:rPr>
  </w:style>
  <w:style w:type="character" w:styleId="FootnoteReference">
    <w:name w:val="footnote reference"/>
    <w:basedOn w:val="DefaultParagraphFont"/>
    <w:rsid w:val="00E61E68"/>
    <w:rPr>
      <w:vertAlign w:val="superscript"/>
    </w:rPr>
  </w:style>
  <w:style w:type="paragraph" w:styleId="Footer">
    <w:name w:val="footer"/>
    <w:basedOn w:val="Normal"/>
    <w:link w:val="FooterChar"/>
    <w:rsid w:val="00E61E68"/>
    <w:pPr>
      <w:tabs>
        <w:tab w:val="center" w:pos="4320"/>
        <w:tab w:val="right" w:pos="8640"/>
      </w:tabs>
    </w:pPr>
  </w:style>
  <w:style w:type="character" w:styleId="PageNumber">
    <w:name w:val="page number"/>
    <w:basedOn w:val="DefaultParagraphFont"/>
    <w:rsid w:val="00E61E68"/>
  </w:style>
  <w:style w:type="paragraph" w:styleId="BalloonText">
    <w:name w:val="Balloon Text"/>
    <w:basedOn w:val="Normal"/>
    <w:link w:val="BalloonTextChar"/>
    <w:uiPriority w:val="99"/>
    <w:rsid w:val="00282CFA"/>
    <w:rPr>
      <w:rFonts w:ascii="Tahoma" w:hAnsi="Tahoma" w:cs="Tahoma"/>
      <w:sz w:val="16"/>
      <w:szCs w:val="16"/>
    </w:rPr>
  </w:style>
  <w:style w:type="character" w:styleId="CommentReference">
    <w:name w:val="annotation reference"/>
    <w:basedOn w:val="DefaultParagraphFont"/>
    <w:rsid w:val="00F51433"/>
    <w:rPr>
      <w:sz w:val="16"/>
      <w:szCs w:val="16"/>
    </w:rPr>
  </w:style>
  <w:style w:type="paragraph" w:styleId="CommentText">
    <w:name w:val="annotation text"/>
    <w:basedOn w:val="Normal"/>
    <w:link w:val="CommentTextChar"/>
    <w:rsid w:val="00F51433"/>
    <w:rPr>
      <w:sz w:val="20"/>
      <w:szCs w:val="20"/>
    </w:rPr>
  </w:style>
  <w:style w:type="character" w:customStyle="1" w:styleId="CommentTextChar">
    <w:name w:val="Comment Text Char"/>
    <w:basedOn w:val="DefaultParagraphFont"/>
    <w:link w:val="CommentText"/>
    <w:rsid w:val="00F51433"/>
  </w:style>
  <w:style w:type="paragraph" w:styleId="CommentSubject">
    <w:name w:val="annotation subject"/>
    <w:basedOn w:val="CommentText"/>
    <w:next w:val="CommentText"/>
    <w:link w:val="CommentSubjectChar"/>
    <w:uiPriority w:val="99"/>
    <w:rsid w:val="00F51433"/>
    <w:rPr>
      <w:b/>
      <w:bCs/>
    </w:rPr>
  </w:style>
  <w:style w:type="character" w:customStyle="1" w:styleId="CommentSubjectChar">
    <w:name w:val="Comment Subject Char"/>
    <w:basedOn w:val="CommentTextChar"/>
    <w:link w:val="CommentSubject"/>
    <w:uiPriority w:val="99"/>
    <w:rsid w:val="00F51433"/>
    <w:rPr>
      <w:b/>
      <w:bCs/>
    </w:rPr>
  </w:style>
  <w:style w:type="paragraph" w:styleId="ListParagraph">
    <w:name w:val="List Paragraph"/>
    <w:basedOn w:val="Normal"/>
    <w:uiPriority w:val="99"/>
    <w:qFormat/>
    <w:rsid w:val="00AB2240"/>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3135B5"/>
    <w:pPr>
      <w:tabs>
        <w:tab w:val="center" w:pos="4680"/>
        <w:tab w:val="right" w:pos="9360"/>
      </w:tabs>
    </w:pPr>
  </w:style>
  <w:style w:type="character" w:customStyle="1" w:styleId="HeaderChar">
    <w:name w:val="Header Char"/>
    <w:basedOn w:val="DefaultParagraphFont"/>
    <w:link w:val="Header"/>
    <w:rsid w:val="003135B5"/>
    <w:rPr>
      <w:sz w:val="24"/>
      <w:szCs w:val="24"/>
    </w:rPr>
  </w:style>
  <w:style w:type="paragraph" w:customStyle="1" w:styleId="ParaText">
    <w:name w:val="ParaText"/>
    <w:basedOn w:val="Normal"/>
    <w:link w:val="ParaTextChar"/>
    <w:uiPriority w:val="99"/>
    <w:rsid w:val="00AC6DF5"/>
    <w:pPr>
      <w:spacing w:after="240" w:line="312" w:lineRule="auto"/>
    </w:pPr>
    <w:rPr>
      <w:rFonts w:ascii="Arial" w:hAnsi="Arial"/>
      <w:sz w:val="22"/>
      <w:szCs w:val="22"/>
    </w:rPr>
  </w:style>
  <w:style w:type="paragraph" w:styleId="Caption">
    <w:name w:val="caption"/>
    <w:basedOn w:val="Normal"/>
    <w:next w:val="Normal"/>
    <w:link w:val="CaptionChar"/>
    <w:uiPriority w:val="99"/>
    <w:qFormat/>
    <w:rsid w:val="00AC6DF5"/>
    <w:pPr>
      <w:spacing w:before="120" w:after="120" w:line="312" w:lineRule="auto"/>
      <w:jc w:val="center"/>
    </w:pPr>
    <w:rPr>
      <w:rFonts w:ascii="Arial" w:hAnsi="Arial"/>
      <w:b/>
      <w:sz w:val="22"/>
      <w:szCs w:val="22"/>
    </w:rPr>
  </w:style>
  <w:style w:type="character" w:customStyle="1" w:styleId="ParaTextChar">
    <w:name w:val="ParaText Char"/>
    <w:basedOn w:val="DefaultParagraphFont"/>
    <w:link w:val="ParaText"/>
    <w:uiPriority w:val="99"/>
    <w:locked/>
    <w:rsid w:val="00AC6DF5"/>
    <w:rPr>
      <w:rFonts w:ascii="Arial" w:hAnsi="Arial"/>
      <w:sz w:val="22"/>
      <w:szCs w:val="22"/>
    </w:rPr>
  </w:style>
  <w:style w:type="character" w:customStyle="1" w:styleId="FootnoteTextChar">
    <w:name w:val="Footnote Text Char"/>
    <w:basedOn w:val="DefaultParagraphFont"/>
    <w:link w:val="FootnoteText"/>
    <w:locked/>
    <w:rsid w:val="00AC6DF5"/>
  </w:style>
  <w:style w:type="character" w:customStyle="1" w:styleId="CaptionChar">
    <w:name w:val="Caption Char"/>
    <w:basedOn w:val="DefaultParagraphFont"/>
    <w:link w:val="Caption"/>
    <w:uiPriority w:val="99"/>
    <w:locked/>
    <w:rsid w:val="00AC6DF5"/>
    <w:rPr>
      <w:rFonts w:ascii="Arial" w:hAnsi="Arial"/>
      <w:b/>
      <w:sz w:val="22"/>
      <w:szCs w:val="22"/>
    </w:rPr>
  </w:style>
  <w:style w:type="paragraph" w:styleId="ListBullet">
    <w:name w:val="List Bullet"/>
    <w:basedOn w:val="Normal"/>
    <w:rsid w:val="00D93C65"/>
    <w:pPr>
      <w:numPr>
        <w:numId w:val="38"/>
      </w:numPr>
      <w:spacing w:line="312" w:lineRule="auto"/>
    </w:pPr>
    <w:rPr>
      <w:rFonts w:ascii="Arial" w:hAnsi="Arial"/>
      <w:sz w:val="22"/>
      <w:szCs w:val="22"/>
    </w:rPr>
  </w:style>
  <w:style w:type="character" w:customStyle="1" w:styleId="Heading1Char">
    <w:name w:val="Heading 1 Char"/>
    <w:aliases w:val="Proposal 1 Char,l1 Char,H1 Char,l11 Char,H11 Char,l12 Char,H12 Char,l13 Char,H13 Char,l14 Char,H14 Char,l15 Char,H15 Char,l16 Char,H16 Char,l17 Char,H17 Char,l18 Char,H18 Char,section Char,11 Char,section1 Char,12 Char,section2 Char"/>
    <w:basedOn w:val="DefaultParagraphFont"/>
    <w:link w:val="Heading1"/>
    <w:uiPriority w:val="99"/>
    <w:rsid w:val="00D55570"/>
    <w:rPr>
      <w:rFonts w:ascii="Arial" w:hAnsi="Arial"/>
      <w:b/>
      <w:kern w:val="28"/>
      <w:sz w:val="34"/>
      <w:szCs w:val="34"/>
    </w:rPr>
  </w:style>
  <w:style w:type="character" w:customStyle="1" w:styleId="Heading2Char">
    <w:name w:val="Heading 2 Char"/>
    <w:aliases w:val="H2 Char,Heading 2a Char,h2 Char,Proposal 2 Char,Chapter Title Char,2 Char,sub-sect Char,21 Char,sub-sect1 Char,22 Char,sub-sect2 Char,23 Char,sub-sect3 Char,24 Char,sub-sect4 Char,25 Char,sub-sect5 Char,26 Char,sub-sect6 Char,211 Char"/>
    <w:basedOn w:val="DefaultParagraphFont"/>
    <w:link w:val="Heading2"/>
    <w:uiPriority w:val="99"/>
    <w:rsid w:val="00D55570"/>
    <w:rPr>
      <w:rFonts w:ascii="Arial" w:hAnsi="Arial"/>
      <w:b/>
      <w:sz w:val="30"/>
      <w:szCs w:val="30"/>
    </w:rPr>
  </w:style>
  <w:style w:type="character" w:customStyle="1" w:styleId="Heading3Char">
    <w:name w:val="Heading 3 Char"/>
    <w:aliases w:val="H3 Char,Proposal 3 Char,(1.1.1) Char,hd3 Char,h3 Char,(1.1.1)1 Char,hd31 Char,h31 Char,(1.1.1)2 Char,hd32 Char,h32 Char,(1.1.1)3 Char,hd33 Char,h33 Char,(1.1.1)4 Char,hd34 Char,h34 Char,(1.1.1)5 Char,hd35 Char,h35 Char,(1.1.1)6 Char"/>
    <w:basedOn w:val="DefaultParagraphFont"/>
    <w:link w:val="Heading3"/>
    <w:uiPriority w:val="99"/>
    <w:rsid w:val="00D55570"/>
    <w:rPr>
      <w:rFonts w:ascii="Arial" w:hAnsi="Arial"/>
      <w:b/>
      <w:sz w:val="26"/>
      <w:szCs w:val="26"/>
    </w:rPr>
  </w:style>
  <w:style w:type="character" w:customStyle="1" w:styleId="Heading4Char">
    <w:name w:val="Heading 4 Char"/>
    <w:aliases w:val="H4 Char,Proposal 4 Char,h4 Char"/>
    <w:basedOn w:val="DefaultParagraphFont"/>
    <w:link w:val="Heading4"/>
    <w:uiPriority w:val="99"/>
    <w:rsid w:val="00D55570"/>
    <w:rPr>
      <w:rFonts w:ascii="Arial" w:hAnsi="Arial"/>
      <w:b/>
      <w:sz w:val="22"/>
      <w:szCs w:val="22"/>
    </w:rPr>
  </w:style>
  <w:style w:type="character" w:customStyle="1" w:styleId="Heading5Char">
    <w:name w:val="Heading 5 Char"/>
    <w:aliases w:val="Proposal 5 Char"/>
    <w:basedOn w:val="DefaultParagraphFont"/>
    <w:link w:val="Heading5"/>
    <w:uiPriority w:val="99"/>
    <w:rsid w:val="00D55570"/>
    <w:rPr>
      <w:rFonts w:ascii="Arial" w:hAnsi="Arial"/>
      <w:b/>
      <w:sz w:val="22"/>
      <w:szCs w:val="22"/>
    </w:rPr>
  </w:style>
  <w:style w:type="character" w:customStyle="1" w:styleId="Heading6Char">
    <w:name w:val="Heading 6 Char"/>
    <w:aliases w:val="Proposal 6 Char"/>
    <w:basedOn w:val="DefaultParagraphFont"/>
    <w:link w:val="Heading6"/>
    <w:uiPriority w:val="99"/>
    <w:rsid w:val="00D55570"/>
    <w:rPr>
      <w:rFonts w:ascii="Arial" w:hAnsi="Arial"/>
      <w:b/>
      <w:sz w:val="22"/>
      <w:szCs w:val="22"/>
    </w:rPr>
  </w:style>
  <w:style w:type="character" w:customStyle="1" w:styleId="Heading7Char">
    <w:name w:val="Heading 7 Char"/>
    <w:basedOn w:val="DefaultParagraphFont"/>
    <w:link w:val="Heading7"/>
    <w:rsid w:val="00D55570"/>
    <w:rPr>
      <w:rFonts w:ascii="Arial" w:hAnsi="Arial"/>
      <w:b/>
      <w:kern w:val="28"/>
      <w:sz w:val="34"/>
      <w:szCs w:val="34"/>
    </w:rPr>
  </w:style>
  <w:style w:type="character" w:customStyle="1" w:styleId="Heading8Char">
    <w:name w:val="Heading 8 Char"/>
    <w:basedOn w:val="DefaultParagraphFont"/>
    <w:link w:val="Heading8"/>
    <w:rsid w:val="00D55570"/>
    <w:rPr>
      <w:rFonts w:ascii="Arial" w:hAnsi="Arial"/>
      <w:b/>
      <w:sz w:val="30"/>
      <w:szCs w:val="30"/>
    </w:rPr>
  </w:style>
  <w:style w:type="character" w:customStyle="1" w:styleId="Heading9Char">
    <w:name w:val="Heading 9 Char"/>
    <w:basedOn w:val="DefaultParagraphFont"/>
    <w:link w:val="Heading9"/>
    <w:rsid w:val="00D55570"/>
    <w:rPr>
      <w:rFonts w:ascii="Arial" w:hAnsi="Arial"/>
      <w:b/>
      <w:sz w:val="26"/>
      <w:szCs w:val="26"/>
    </w:rPr>
  </w:style>
  <w:style w:type="character" w:customStyle="1" w:styleId="BalloonTextChar">
    <w:name w:val="Balloon Text Char"/>
    <w:basedOn w:val="DefaultParagraphFont"/>
    <w:link w:val="BalloonText"/>
    <w:uiPriority w:val="99"/>
    <w:rsid w:val="00D55570"/>
    <w:rPr>
      <w:rFonts w:ascii="Tahoma" w:hAnsi="Tahoma" w:cs="Tahoma"/>
      <w:sz w:val="16"/>
      <w:szCs w:val="16"/>
    </w:rPr>
  </w:style>
  <w:style w:type="character" w:customStyle="1" w:styleId="FooterChar">
    <w:name w:val="Footer Char"/>
    <w:basedOn w:val="DefaultParagraphFont"/>
    <w:link w:val="Footer"/>
    <w:rsid w:val="00D55570"/>
    <w:rPr>
      <w:sz w:val="24"/>
      <w:szCs w:val="24"/>
    </w:rPr>
  </w:style>
  <w:style w:type="paragraph" w:styleId="TOC1">
    <w:name w:val="toc 1"/>
    <w:basedOn w:val="Normal"/>
    <w:next w:val="Normal"/>
    <w:autoRedefine/>
    <w:uiPriority w:val="39"/>
    <w:qFormat/>
    <w:rsid w:val="00D55570"/>
    <w:pPr>
      <w:spacing w:before="120" w:after="120" w:line="312" w:lineRule="auto"/>
    </w:pPr>
    <w:rPr>
      <w:rFonts w:asciiTheme="minorHAnsi" w:hAnsiTheme="minorHAnsi"/>
      <w:b/>
      <w:bCs/>
      <w:caps/>
      <w:sz w:val="20"/>
      <w:szCs w:val="20"/>
    </w:rPr>
  </w:style>
  <w:style w:type="paragraph" w:customStyle="1" w:styleId="TOCTitle">
    <w:name w:val="TOC Title"/>
    <w:basedOn w:val="Header"/>
    <w:rsid w:val="00D55570"/>
    <w:pPr>
      <w:pBdr>
        <w:top w:val="single" w:sz="12" w:space="18" w:color="auto"/>
        <w:bottom w:val="single" w:sz="4" w:space="21" w:color="auto"/>
      </w:pBdr>
      <w:tabs>
        <w:tab w:val="clear" w:pos="4680"/>
        <w:tab w:val="clear" w:pos="9360"/>
        <w:tab w:val="center" w:pos="4320"/>
        <w:tab w:val="right" w:pos="8640"/>
      </w:tabs>
      <w:spacing w:before="360" w:after="400" w:line="312" w:lineRule="auto"/>
      <w:jc w:val="both"/>
    </w:pPr>
    <w:rPr>
      <w:rFonts w:ascii="Arial" w:hAnsi="Arial"/>
      <w:b/>
      <w:sz w:val="42"/>
      <w:szCs w:val="42"/>
    </w:rPr>
  </w:style>
  <w:style w:type="paragraph" w:styleId="TOC9">
    <w:name w:val="toc 9"/>
    <w:basedOn w:val="Normal"/>
    <w:next w:val="Normal"/>
    <w:autoRedefine/>
    <w:uiPriority w:val="39"/>
    <w:rsid w:val="00D55570"/>
    <w:pPr>
      <w:spacing w:line="312" w:lineRule="auto"/>
      <w:ind w:left="1760"/>
    </w:pPr>
    <w:rPr>
      <w:rFonts w:asciiTheme="minorHAnsi" w:hAnsiTheme="minorHAnsi"/>
      <w:sz w:val="18"/>
      <w:szCs w:val="18"/>
    </w:rPr>
  </w:style>
  <w:style w:type="paragraph" w:customStyle="1" w:styleId="ExhLst">
    <w:name w:val="Exh_Lst"/>
    <w:basedOn w:val="Normal"/>
    <w:rsid w:val="00D55570"/>
    <w:pPr>
      <w:spacing w:after="240" w:line="312" w:lineRule="auto"/>
    </w:pPr>
    <w:rPr>
      <w:rFonts w:ascii="Arial" w:hAnsi="Arial"/>
      <w:b/>
      <w:sz w:val="22"/>
      <w:szCs w:val="22"/>
      <w:u w:val="single"/>
    </w:rPr>
  </w:style>
  <w:style w:type="paragraph" w:customStyle="1" w:styleId="1">
    <w:name w:val="1"/>
    <w:aliases w:val="a,i Seq"/>
    <w:basedOn w:val="Normal"/>
    <w:rsid w:val="00D55570"/>
    <w:pPr>
      <w:numPr>
        <w:numId w:val="39"/>
      </w:numPr>
      <w:tabs>
        <w:tab w:val="left" w:pos="1800"/>
        <w:tab w:val="left" w:pos="2160"/>
        <w:tab w:val="left" w:pos="2520"/>
        <w:tab w:val="left" w:pos="2880"/>
      </w:tabs>
      <w:spacing w:after="240" w:line="300" w:lineRule="auto"/>
    </w:pPr>
    <w:rPr>
      <w:rFonts w:ascii="Arial" w:hAnsi="Arial"/>
      <w:sz w:val="22"/>
      <w:szCs w:val="22"/>
    </w:rPr>
  </w:style>
  <w:style w:type="paragraph" w:customStyle="1" w:styleId="Bullet1">
    <w:name w:val="Bullet 1"/>
    <w:basedOn w:val="Normal"/>
    <w:qFormat/>
    <w:rsid w:val="00D55570"/>
    <w:pPr>
      <w:numPr>
        <w:numId w:val="42"/>
      </w:numPr>
      <w:spacing w:line="312" w:lineRule="auto"/>
    </w:pPr>
    <w:rPr>
      <w:rFonts w:ascii="Arial" w:hAnsi="Arial"/>
      <w:sz w:val="22"/>
      <w:szCs w:val="22"/>
    </w:rPr>
  </w:style>
  <w:style w:type="paragraph" w:customStyle="1" w:styleId="Bullet4">
    <w:name w:val="Bullet 4"/>
    <w:basedOn w:val="Normal"/>
    <w:rsid w:val="00D55570"/>
    <w:pPr>
      <w:numPr>
        <w:numId w:val="44"/>
      </w:numPr>
      <w:tabs>
        <w:tab w:val="clear" w:pos="360"/>
        <w:tab w:val="num" w:pos="1800"/>
      </w:tabs>
      <w:spacing w:line="300" w:lineRule="auto"/>
      <w:ind w:left="1800" w:hanging="360"/>
    </w:pPr>
    <w:rPr>
      <w:rFonts w:ascii="Arial" w:hAnsi="Arial"/>
      <w:sz w:val="22"/>
      <w:szCs w:val="22"/>
    </w:rPr>
  </w:style>
  <w:style w:type="paragraph" w:customStyle="1" w:styleId="Exhibit">
    <w:name w:val="Exhibit"/>
    <w:basedOn w:val="Normal"/>
    <w:next w:val="Normal"/>
    <w:rsid w:val="00D55570"/>
    <w:pPr>
      <w:spacing w:after="240" w:line="312" w:lineRule="auto"/>
    </w:pPr>
    <w:rPr>
      <w:rFonts w:ascii="Arial" w:hAnsi="Arial"/>
      <w:b/>
      <w:sz w:val="22"/>
      <w:szCs w:val="22"/>
    </w:rPr>
  </w:style>
  <w:style w:type="paragraph" w:styleId="TableofFigures">
    <w:name w:val="table of figures"/>
    <w:basedOn w:val="Normal"/>
    <w:next w:val="Normal"/>
    <w:uiPriority w:val="99"/>
    <w:rsid w:val="00D55570"/>
    <w:pPr>
      <w:spacing w:line="312" w:lineRule="auto"/>
      <w:ind w:left="440" w:hanging="440"/>
    </w:pPr>
    <w:rPr>
      <w:rFonts w:ascii="Arial" w:hAnsi="Arial"/>
      <w:sz w:val="22"/>
      <w:szCs w:val="22"/>
    </w:rPr>
  </w:style>
  <w:style w:type="paragraph" w:styleId="TOC2">
    <w:name w:val="toc 2"/>
    <w:basedOn w:val="Normal"/>
    <w:next w:val="Normal"/>
    <w:autoRedefine/>
    <w:uiPriority w:val="39"/>
    <w:qFormat/>
    <w:rsid w:val="00D55570"/>
    <w:pPr>
      <w:spacing w:line="312" w:lineRule="auto"/>
      <w:ind w:left="220"/>
    </w:pPr>
    <w:rPr>
      <w:rFonts w:asciiTheme="minorHAnsi" w:hAnsiTheme="minorHAnsi"/>
      <w:smallCaps/>
      <w:sz w:val="20"/>
      <w:szCs w:val="20"/>
    </w:rPr>
  </w:style>
  <w:style w:type="paragraph" w:styleId="TOC3">
    <w:name w:val="toc 3"/>
    <w:basedOn w:val="Normal"/>
    <w:next w:val="Normal"/>
    <w:autoRedefine/>
    <w:uiPriority w:val="39"/>
    <w:qFormat/>
    <w:rsid w:val="00D55570"/>
    <w:pPr>
      <w:tabs>
        <w:tab w:val="left" w:pos="1440"/>
        <w:tab w:val="right" w:leader="dot" w:pos="9350"/>
      </w:tabs>
      <w:spacing w:line="312" w:lineRule="auto"/>
      <w:ind w:left="1066" w:hanging="432"/>
    </w:pPr>
    <w:rPr>
      <w:rFonts w:ascii="Arial" w:hAnsi="Arial" w:cs="Arial"/>
      <w:i/>
      <w:iCs/>
      <w:noProof/>
      <w:sz w:val="22"/>
      <w:szCs w:val="22"/>
    </w:rPr>
  </w:style>
  <w:style w:type="paragraph" w:styleId="TOC4">
    <w:name w:val="toc 4"/>
    <w:basedOn w:val="Normal"/>
    <w:next w:val="Normal"/>
    <w:autoRedefine/>
    <w:uiPriority w:val="39"/>
    <w:rsid w:val="00D55570"/>
    <w:pPr>
      <w:spacing w:line="312" w:lineRule="auto"/>
      <w:ind w:left="660"/>
    </w:pPr>
    <w:rPr>
      <w:rFonts w:asciiTheme="minorHAnsi" w:hAnsiTheme="minorHAnsi"/>
      <w:sz w:val="18"/>
      <w:szCs w:val="18"/>
    </w:rPr>
  </w:style>
  <w:style w:type="paragraph" w:styleId="TOC5">
    <w:name w:val="toc 5"/>
    <w:basedOn w:val="Normal"/>
    <w:next w:val="Normal"/>
    <w:autoRedefine/>
    <w:uiPriority w:val="39"/>
    <w:rsid w:val="00D55570"/>
    <w:pPr>
      <w:spacing w:line="312" w:lineRule="auto"/>
      <w:ind w:left="880"/>
    </w:pPr>
    <w:rPr>
      <w:rFonts w:asciiTheme="minorHAnsi" w:hAnsiTheme="minorHAnsi"/>
      <w:sz w:val="18"/>
      <w:szCs w:val="18"/>
    </w:rPr>
  </w:style>
  <w:style w:type="paragraph" w:styleId="TOC6">
    <w:name w:val="toc 6"/>
    <w:basedOn w:val="Normal"/>
    <w:next w:val="Normal"/>
    <w:autoRedefine/>
    <w:uiPriority w:val="39"/>
    <w:rsid w:val="00D55570"/>
    <w:pPr>
      <w:spacing w:line="312" w:lineRule="auto"/>
      <w:ind w:left="1100"/>
    </w:pPr>
    <w:rPr>
      <w:rFonts w:asciiTheme="minorHAnsi" w:hAnsiTheme="minorHAnsi"/>
      <w:sz w:val="18"/>
      <w:szCs w:val="18"/>
    </w:rPr>
  </w:style>
  <w:style w:type="paragraph" w:styleId="TOC7">
    <w:name w:val="toc 7"/>
    <w:basedOn w:val="Normal"/>
    <w:next w:val="Normal"/>
    <w:autoRedefine/>
    <w:uiPriority w:val="39"/>
    <w:rsid w:val="00D55570"/>
    <w:pPr>
      <w:spacing w:line="312" w:lineRule="auto"/>
      <w:ind w:left="1320"/>
    </w:pPr>
    <w:rPr>
      <w:rFonts w:asciiTheme="minorHAnsi" w:hAnsiTheme="minorHAnsi"/>
      <w:sz w:val="18"/>
      <w:szCs w:val="18"/>
    </w:rPr>
  </w:style>
  <w:style w:type="paragraph" w:styleId="TOC8">
    <w:name w:val="toc 8"/>
    <w:basedOn w:val="Normal"/>
    <w:next w:val="Normal"/>
    <w:autoRedefine/>
    <w:uiPriority w:val="39"/>
    <w:rsid w:val="00D55570"/>
    <w:pPr>
      <w:spacing w:line="312" w:lineRule="auto"/>
      <w:ind w:left="1540"/>
    </w:pPr>
    <w:rPr>
      <w:rFonts w:asciiTheme="minorHAnsi" w:hAnsiTheme="minorHAnsi"/>
      <w:sz w:val="18"/>
      <w:szCs w:val="18"/>
    </w:rPr>
  </w:style>
  <w:style w:type="paragraph" w:customStyle="1" w:styleId="Bullet2">
    <w:name w:val="Bullet 2"/>
    <w:basedOn w:val="Normal"/>
    <w:uiPriority w:val="99"/>
    <w:rsid w:val="00D55570"/>
    <w:pPr>
      <w:numPr>
        <w:numId w:val="41"/>
      </w:numPr>
      <w:tabs>
        <w:tab w:val="clear" w:pos="1440"/>
        <w:tab w:val="num" w:pos="1080"/>
      </w:tabs>
      <w:spacing w:line="312" w:lineRule="auto"/>
      <w:ind w:left="1080"/>
    </w:pPr>
    <w:rPr>
      <w:rFonts w:ascii="Arial" w:hAnsi="Arial"/>
      <w:sz w:val="22"/>
      <w:szCs w:val="22"/>
    </w:rPr>
  </w:style>
  <w:style w:type="paragraph" w:customStyle="1" w:styleId="Bullet3">
    <w:name w:val="Bullet 3"/>
    <w:basedOn w:val="Normal"/>
    <w:rsid w:val="00D55570"/>
    <w:pPr>
      <w:numPr>
        <w:numId w:val="43"/>
      </w:numPr>
      <w:tabs>
        <w:tab w:val="clear" w:pos="360"/>
        <w:tab w:val="num" w:pos="1440"/>
      </w:tabs>
      <w:spacing w:line="312" w:lineRule="auto"/>
      <w:ind w:left="1440" w:hanging="360"/>
    </w:pPr>
    <w:rPr>
      <w:rFonts w:ascii="Arial" w:hAnsi="Arial"/>
      <w:sz w:val="22"/>
      <w:szCs w:val="22"/>
    </w:rPr>
  </w:style>
  <w:style w:type="paragraph" w:customStyle="1" w:styleId="Headline">
    <w:name w:val="Headline"/>
    <w:basedOn w:val="Normal"/>
    <w:next w:val="SubHeadline"/>
    <w:rsid w:val="00D55570"/>
    <w:pPr>
      <w:spacing w:line="312" w:lineRule="auto"/>
    </w:pPr>
    <w:rPr>
      <w:rFonts w:ascii="Arial" w:hAnsi="Arial"/>
      <w:color w:val="FF0000"/>
      <w:sz w:val="56"/>
      <w:szCs w:val="44"/>
      <w:lang w:val="en-GB"/>
    </w:rPr>
  </w:style>
  <w:style w:type="paragraph" w:customStyle="1" w:styleId="SubHeadline">
    <w:name w:val="Sub Headline"/>
    <w:basedOn w:val="Headline"/>
    <w:next w:val="Normal"/>
    <w:rsid w:val="00D55570"/>
    <w:rPr>
      <w:sz w:val="36"/>
      <w:szCs w:val="30"/>
    </w:rPr>
  </w:style>
  <w:style w:type="paragraph" w:customStyle="1" w:styleId="Bullet1-hardreturn">
    <w:name w:val="Bullet 1 - hard return"/>
    <w:basedOn w:val="Bullet1"/>
    <w:rsid w:val="00D55570"/>
    <w:pPr>
      <w:spacing w:after="240"/>
    </w:pPr>
  </w:style>
  <w:style w:type="paragraph" w:customStyle="1" w:styleId="Bullet2-hardreturn">
    <w:name w:val="Bullet 2 - hard return"/>
    <w:basedOn w:val="Bullet2"/>
    <w:rsid w:val="00D55570"/>
    <w:pPr>
      <w:spacing w:after="240"/>
    </w:pPr>
  </w:style>
  <w:style w:type="paragraph" w:customStyle="1" w:styleId="Bullet3-hardreturn">
    <w:name w:val="Bullet 3 - hard return"/>
    <w:basedOn w:val="Bullet3"/>
    <w:rsid w:val="00D55570"/>
    <w:pPr>
      <w:spacing w:after="240"/>
    </w:pPr>
  </w:style>
  <w:style w:type="paragraph" w:customStyle="1" w:styleId="Bullet4-hardreturn">
    <w:name w:val="Bullet 4 - hard return"/>
    <w:basedOn w:val="Bullet4"/>
    <w:rsid w:val="00D55570"/>
    <w:pPr>
      <w:spacing w:after="240" w:line="312" w:lineRule="auto"/>
    </w:pPr>
  </w:style>
  <w:style w:type="paragraph" w:customStyle="1" w:styleId="Text">
    <w:name w:val="Text"/>
    <w:basedOn w:val="Normal"/>
    <w:rsid w:val="00D55570"/>
    <w:pPr>
      <w:spacing w:line="312" w:lineRule="auto"/>
    </w:pPr>
    <w:rPr>
      <w:rFonts w:ascii="Arial" w:hAnsi="Arial"/>
      <w:color w:val="414175"/>
      <w:sz w:val="26"/>
      <w:szCs w:val="26"/>
      <w:lang w:val="en-GB"/>
    </w:rPr>
  </w:style>
  <w:style w:type="paragraph" w:customStyle="1" w:styleId="numberlistindent">
    <w:name w:val="number list indent"/>
    <w:basedOn w:val="Normal"/>
    <w:rsid w:val="00D55570"/>
    <w:pPr>
      <w:numPr>
        <w:numId w:val="46"/>
      </w:numPr>
      <w:spacing w:after="240"/>
      <w:jc w:val="both"/>
    </w:pPr>
    <w:rPr>
      <w:rFonts w:ascii="Arial" w:hAnsi="Arial"/>
      <w:sz w:val="20"/>
      <w:szCs w:val="20"/>
    </w:rPr>
  </w:style>
  <w:style w:type="paragraph" w:customStyle="1" w:styleId="DefaultParagraphFontParaCharChar">
    <w:name w:val="Default Paragraph Font Para Char Char"/>
    <w:basedOn w:val="Normal"/>
    <w:semiHidden/>
    <w:rsid w:val="00D55570"/>
    <w:pPr>
      <w:spacing w:after="160" w:line="240" w:lineRule="exact"/>
    </w:pPr>
  </w:style>
  <w:style w:type="character" w:customStyle="1" w:styleId="FootnoteTextChar2">
    <w:name w:val="Footnote Text Char2"/>
    <w:basedOn w:val="DefaultParagraphFont"/>
    <w:locked/>
    <w:rsid w:val="00D55570"/>
    <w:rPr>
      <w:rFonts w:ascii="Arial" w:eastAsia="Times New Roman" w:hAnsi="Arial" w:cs="Times New Roman"/>
      <w:sz w:val="20"/>
      <w:szCs w:val="20"/>
    </w:rPr>
  </w:style>
  <w:style w:type="character" w:styleId="EndnoteReference">
    <w:name w:val="endnote reference"/>
    <w:basedOn w:val="DefaultParagraphFont"/>
    <w:rsid w:val="00D55570"/>
    <w:rPr>
      <w:rFonts w:cs="Times New Roman"/>
      <w:vertAlign w:val="superscript"/>
    </w:rPr>
  </w:style>
  <w:style w:type="paragraph" w:customStyle="1" w:styleId="FigureTitles">
    <w:name w:val="Figure Titles"/>
    <w:basedOn w:val="Normal"/>
    <w:rsid w:val="00D55570"/>
    <w:pPr>
      <w:keepNext/>
      <w:tabs>
        <w:tab w:val="left" w:pos="360"/>
      </w:tabs>
      <w:suppressAutoHyphens/>
      <w:spacing w:before="120" w:after="240"/>
      <w:jc w:val="center"/>
    </w:pPr>
    <w:rPr>
      <w:rFonts w:ascii="Arial" w:eastAsia="SimSun" w:hAnsi="Arial"/>
      <w:b/>
      <w:sz w:val="20"/>
    </w:rPr>
  </w:style>
  <w:style w:type="paragraph" w:customStyle="1" w:styleId="Default">
    <w:name w:val="Default"/>
    <w:rsid w:val="00D55570"/>
    <w:pPr>
      <w:autoSpaceDE w:val="0"/>
      <w:autoSpaceDN w:val="0"/>
      <w:adjustRightInd w:val="0"/>
    </w:pPr>
    <w:rPr>
      <w:color w:val="000000"/>
      <w:sz w:val="24"/>
      <w:szCs w:val="24"/>
    </w:rPr>
  </w:style>
  <w:style w:type="table" w:styleId="TableGrid">
    <w:name w:val="Table Grid"/>
    <w:basedOn w:val="TableNormal"/>
    <w:rsid w:val="00D55570"/>
    <w:pPr>
      <w:ind w:left="36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55570"/>
    <w:pPr>
      <w:spacing w:after="160"/>
      <w:jc w:val="both"/>
    </w:pPr>
    <w:rPr>
      <w:rFonts w:ascii="Franklin Gothic Book" w:hAnsi="Franklin Gothic Book"/>
    </w:rPr>
  </w:style>
  <w:style w:type="character" w:customStyle="1" w:styleId="BodyTextChar">
    <w:name w:val="Body Text Char"/>
    <w:basedOn w:val="DefaultParagraphFont"/>
    <w:link w:val="BodyText"/>
    <w:rsid w:val="00D55570"/>
    <w:rPr>
      <w:rFonts w:ascii="Franklin Gothic Book" w:hAnsi="Franklin Gothic Book"/>
      <w:sz w:val="24"/>
      <w:szCs w:val="24"/>
    </w:rPr>
  </w:style>
  <w:style w:type="character" w:customStyle="1" w:styleId="CaptionChar1">
    <w:name w:val="Caption Char1"/>
    <w:basedOn w:val="DefaultParagraphFont"/>
    <w:uiPriority w:val="99"/>
    <w:locked/>
    <w:rsid w:val="00D55570"/>
    <w:rPr>
      <w:rFonts w:ascii="Arial" w:eastAsia="Times New Roman" w:hAnsi="Arial" w:cs="Times New Roman"/>
      <w:b/>
    </w:rPr>
  </w:style>
  <w:style w:type="table" w:customStyle="1" w:styleId="ODCTable">
    <w:name w:val="ODC Table"/>
    <w:rsid w:val="00D55570"/>
    <w:rPr>
      <w:rFonts w:ascii="Franklin Gothic Book" w:hAnsi="Franklin Gothic Book"/>
      <w:sz w:val="22"/>
    </w:rPr>
    <w:tblPr>
      <w:jc w:val="center"/>
      <w:tblInd w:w="0" w:type="dxa"/>
      <w:tblBorders>
        <w:top w:val="single" w:sz="4" w:space="0" w:color="auto"/>
        <w:left w:val="single" w:sz="4" w:space="0" w:color="auto"/>
        <w:bottom w:val="single" w:sz="4" w:space="0" w:color="auto"/>
        <w:right w:val="single" w:sz="4" w:space="0" w:color="auto"/>
        <w:insideH w:val="single" w:sz="8" w:space="0" w:color="C0C0C0"/>
        <w:insideV w:val="single" w:sz="8" w:space="0" w:color="000000"/>
      </w:tblBorders>
      <w:tblCellMar>
        <w:top w:w="0" w:type="dxa"/>
        <w:left w:w="115" w:type="dxa"/>
        <w:bottom w:w="0" w:type="dxa"/>
        <w:right w:w="115" w:type="dxa"/>
      </w:tblCellMar>
    </w:tblPr>
    <w:trPr>
      <w:jc w:val="center"/>
    </w:trPr>
  </w:style>
  <w:style w:type="paragraph" w:styleId="ListNumber">
    <w:name w:val="List Number"/>
    <w:basedOn w:val="ListBullet"/>
    <w:rsid w:val="00D55570"/>
    <w:pPr>
      <w:numPr>
        <w:numId w:val="0"/>
      </w:numPr>
      <w:tabs>
        <w:tab w:val="num" w:pos="360"/>
        <w:tab w:val="left" w:pos="851"/>
      </w:tabs>
      <w:spacing w:before="160" w:line="240" w:lineRule="auto"/>
      <w:ind w:left="360" w:hanging="360"/>
    </w:pPr>
    <w:rPr>
      <w:rFonts w:cs="Arial"/>
    </w:rPr>
  </w:style>
  <w:style w:type="character" w:customStyle="1" w:styleId="FootnoteTextChar1">
    <w:name w:val="Footnote Text Char1"/>
    <w:basedOn w:val="DefaultParagraphFont"/>
    <w:locked/>
    <w:rsid w:val="00D55570"/>
    <w:rPr>
      <w:rFonts w:ascii="Arial" w:hAnsi="Arial" w:cs="Times New Roman"/>
    </w:rPr>
  </w:style>
  <w:style w:type="paragraph" w:styleId="Revision">
    <w:name w:val="Revision"/>
    <w:hidden/>
    <w:uiPriority w:val="99"/>
    <w:semiHidden/>
    <w:rsid w:val="00D55570"/>
    <w:rPr>
      <w:rFonts w:ascii="Arial" w:hAnsi="Arial"/>
      <w:sz w:val="22"/>
      <w:szCs w:val="22"/>
    </w:rPr>
  </w:style>
  <w:style w:type="paragraph" w:styleId="Quote">
    <w:name w:val="Quote"/>
    <w:basedOn w:val="Normal"/>
    <w:next w:val="Normal"/>
    <w:link w:val="QuoteChar"/>
    <w:uiPriority w:val="29"/>
    <w:qFormat/>
    <w:rsid w:val="00D55570"/>
    <w:pPr>
      <w:spacing w:line="312" w:lineRule="auto"/>
    </w:pPr>
    <w:rPr>
      <w:rFonts w:ascii="Arial" w:hAnsi="Arial"/>
      <w:i/>
      <w:iCs/>
      <w:color w:val="000000" w:themeColor="text1"/>
      <w:sz w:val="22"/>
      <w:szCs w:val="22"/>
    </w:rPr>
  </w:style>
  <w:style w:type="character" w:customStyle="1" w:styleId="QuoteChar">
    <w:name w:val="Quote Char"/>
    <w:basedOn w:val="DefaultParagraphFont"/>
    <w:link w:val="Quote"/>
    <w:uiPriority w:val="29"/>
    <w:rsid w:val="00D55570"/>
    <w:rPr>
      <w:rFonts w:ascii="Arial" w:hAnsi="Arial"/>
      <w:i/>
      <w:iCs/>
      <w:color w:val="000000" w:themeColor="text1"/>
      <w:sz w:val="22"/>
      <w:szCs w:val="22"/>
    </w:rPr>
  </w:style>
  <w:style w:type="paragraph" w:styleId="TOCHeading">
    <w:name w:val="TOC Heading"/>
    <w:basedOn w:val="Heading1"/>
    <w:next w:val="Normal"/>
    <w:uiPriority w:val="39"/>
    <w:unhideWhenUsed/>
    <w:qFormat/>
    <w:rsid w:val="00D55570"/>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character" w:styleId="FollowedHyperlink">
    <w:name w:val="FollowedHyperlink"/>
    <w:basedOn w:val="DefaultParagraphFont"/>
    <w:rsid w:val="001E2D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5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cfr.gpoaccess.gov/cgi/t/text/text-idx?c=ecfr&amp;sid=083fbca0bab4b8f5d46da0870b50deeb&amp;rgn=div8&amp;view=text&amp;node=10:3.0.1.4.16.2.9.2&amp;idno=10"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mailto:mitch.rosenberg@kema.com" TargetMode="Externa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miriam.goldberg@kem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4EE22-77D3-4624-A678-E4A975B5D592}">
  <ds:schemaRefs>
    <ds:schemaRef ds:uri="http://schemas.microsoft.com/office/2006/metadata/properties"/>
  </ds:schemaRefs>
</ds:datastoreItem>
</file>

<file path=customXml/itemProps2.xml><?xml version="1.0" encoding="utf-8"?>
<ds:datastoreItem xmlns:ds="http://schemas.openxmlformats.org/officeDocument/2006/customXml" ds:itemID="{BC4F4082-DFEB-4116-9BCB-61E3362F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D9168C5-6501-4430-8E18-B6A2F7EE1FB3}">
  <ds:schemaRefs>
    <ds:schemaRef ds:uri="http://schemas.microsoft.com/sharepoint/v3/contenttype/forms"/>
  </ds:schemaRefs>
</ds:datastoreItem>
</file>

<file path=customXml/itemProps4.xml><?xml version="1.0" encoding="utf-8"?>
<ds:datastoreItem xmlns:ds="http://schemas.openxmlformats.org/officeDocument/2006/customXml" ds:itemID="{00ACAA14-BFCA-44DD-BA0E-2970DFE1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11989</Words>
  <Characters>68342</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B</vt:lpstr>
    </vt:vector>
  </TitlesOfParts>
  <Company>ORNL</Company>
  <LinksUpToDate>false</LinksUpToDate>
  <CharactersWithSpaces>80171</CharactersWithSpaces>
  <SharedDoc>false</SharedDoc>
  <HLinks>
    <vt:vector size="30" baseType="variant">
      <vt:variant>
        <vt:i4>1376304</vt:i4>
      </vt:variant>
      <vt:variant>
        <vt:i4>0</vt:i4>
      </vt:variant>
      <vt:variant>
        <vt:i4>0</vt:i4>
      </vt:variant>
      <vt:variant>
        <vt:i4>5</vt:i4>
      </vt:variant>
      <vt:variant>
        <vt:lpwstr>http://weatherization.ornl.gov/pdf/ORNL_CON-326.pdf</vt:lpwstr>
      </vt:variant>
      <vt:variant>
        <vt:lpwstr/>
      </vt:variant>
      <vt:variant>
        <vt:i4>7733338</vt:i4>
      </vt:variant>
      <vt:variant>
        <vt:i4>9</vt:i4>
      </vt:variant>
      <vt:variant>
        <vt:i4>0</vt:i4>
      </vt:variant>
      <vt:variant>
        <vt:i4>5</vt:i4>
      </vt:variant>
      <vt:variant>
        <vt:lpwstr>https://external-portal.ornl.gov/1a1aeb4ac6e54d6e6fd78d3519185c/1a1a1/owa/redir.aspx?C=96cd09a4a10f43bb9b6cc67130a87a29&amp;URL=http%3a%2f%2fweatherization.ornl.gov%2fpdf%2fORNL_CON-326.pdf</vt:lpwstr>
      </vt:variant>
      <vt:variant>
        <vt:lpwstr/>
      </vt:variant>
      <vt:variant>
        <vt:i4>1376304</vt:i4>
      </vt:variant>
      <vt:variant>
        <vt:i4>6</vt:i4>
      </vt:variant>
      <vt:variant>
        <vt:i4>0</vt:i4>
      </vt:variant>
      <vt:variant>
        <vt:i4>5</vt:i4>
      </vt:variant>
      <vt:variant>
        <vt:lpwstr>http://weatherization.ornl.gov/pdf/ORNL_CON-326.pdf</vt:lpwstr>
      </vt:variant>
      <vt:variant>
        <vt:lpwstr/>
      </vt:variant>
      <vt:variant>
        <vt:i4>2097224</vt:i4>
      </vt:variant>
      <vt:variant>
        <vt:i4>3</vt:i4>
      </vt:variant>
      <vt:variant>
        <vt:i4>0</vt:i4>
      </vt:variant>
      <vt:variant>
        <vt:i4>5</vt:i4>
      </vt:variant>
      <vt:variant>
        <vt:lpwstr>http://www.whitehouse.gov/omb/inforeg/pmc_survey_guidance_2006.pdf</vt:lpwstr>
      </vt:variant>
      <vt:variant>
        <vt:lpwstr/>
      </vt:variant>
      <vt:variant>
        <vt:i4>7667735</vt:i4>
      </vt:variant>
      <vt:variant>
        <vt:i4>0</vt:i4>
      </vt:variant>
      <vt:variant>
        <vt:i4>0</vt:i4>
      </vt:variant>
      <vt:variant>
        <vt:i4>5</vt:i4>
      </vt:variant>
      <vt:variant>
        <vt:lpwstr>http://www.eere.energy.gov/weatherization/state_contacts.html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eXCITE</dc:creator>
  <cp:lastModifiedBy>Martin Schweitzer</cp:lastModifiedBy>
  <cp:revision>5</cp:revision>
  <cp:lastPrinted>2010-02-23T15:43:00Z</cp:lastPrinted>
  <dcterms:created xsi:type="dcterms:W3CDTF">2012-08-21T21:04:00Z</dcterms:created>
  <dcterms:modified xsi:type="dcterms:W3CDTF">2012-08-21T21:05:00Z</dcterms:modified>
</cp:coreProperties>
</file>