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65A" w:rsidRPr="00081360" w:rsidRDefault="00B977DA" w:rsidP="006E465A">
      <w:pPr>
        <w:tabs>
          <w:tab w:val="center" w:pos="4680"/>
        </w:tabs>
        <w:jc w:val="center"/>
        <w:rPr>
          <w:b/>
          <w:bCs/>
        </w:rPr>
      </w:pPr>
      <w:r w:rsidRPr="00081360">
        <w:rPr>
          <w:b/>
          <w:bCs/>
        </w:rPr>
        <w:fldChar w:fldCharType="begin"/>
      </w:r>
      <w:r w:rsidR="006E465A" w:rsidRPr="00081360">
        <w:rPr>
          <w:b/>
          <w:bCs/>
        </w:rPr>
        <w:instrText>tc \l2 "SF</w:instrText>
      </w:r>
      <w:r w:rsidRPr="00081360">
        <w:rPr>
          <w:b/>
          <w:bCs/>
        </w:rPr>
        <w:fldChar w:fldCharType="end"/>
      </w:r>
      <w:r w:rsidR="006E465A" w:rsidRPr="00081360">
        <w:rPr>
          <w:b/>
          <w:bCs/>
        </w:rPr>
        <w:t>SUPPORTING STATEMENT</w:t>
      </w:r>
    </w:p>
    <w:p w:rsidR="006E465A" w:rsidRPr="00081360" w:rsidRDefault="006E465A" w:rsidP="006E465A">
      <w:pPr>
        <w:tabs>
          <w:tab w:val="center" w:pos="4680"/>
        </w:tabs>
      </w:pPr>
      <w:r w:rsidRPr="00081360">
        <w:rPr>
          <w:b/>
          <w:bCs/>
        </w:rPr>
        <w:tab/>
        <w:t>ENVIRONMENTAL PROTECTION AGENCY</w:t>
      </w:r>
    </w:p>
    <w:p w:rsidR="006E465A" w:rsidRPr="00081360" w:rsidRDefault="006E465A" w:rsidP="006E465A">
      <w:pPr>
        <w:tabs>
          <w:tab w:val="center" w:pos="4680"/>
        </w:tabs>
      </w:pPr>
      <w:r w:rsidRPr="00081360">
        <w:tab/>
      </w:r>
    </w:p>
    <w:p w:rsidR="006E465A" w:rsidRPr="00081360" w:rsidRDefault="008E2F4A" w:rsidP="006E465A">
      <w:pPr>
        <w:tabs>
          <w:tab w:val="center" w:pos="4680"/>
        </w:tabs>
        <w:rPr>
          <w:b/>
          <w:bCs/>
        </w:rPr>
      </w:pPr>
      <w:r>
        <w:rPr>
          <w:b/>
          <w:bCs/>
        </w:rPr>
        <w:t>National Emission Standards for Hazardous Air Pollutants for Ferroalloys Production Area Sources</w:t>
      </w:r>
      <w:r w:rsidR="00567001" w:rsidRPr="00567001">
        <w:rPr>
          <w:b/>
          <w:bCs/>
        </w:rPr>
        <w:t xml:space="preserve"> (40 CFR P</w:t>
      </w:r>
      <w:r>
        <w:rPr>
          <w:b/>
          <w:bCs/>
        </w:rPr>
        <w:t>art</w:t>
      </w:r>
      <w:r w:rsidR="00567001" w:rsidRPr="00567001">
        <w:rPr>
          <w:b/>
          <w:bCs/>
        </w:rPr>
        <w:t xml:space="preserve"> 63, S</w:t>
      </w:r>
      <w:r>
        <w:rPr>
          <w:b/>
          <w:bCs/>
        </w:rPr>
        <w:t>ubpart</w:t>
      </w:r>
      <w:r w:rsidR="00567001" w:rsidRPr="00567001">
        <w:rPr>
          <w:b/>
          <w:bCs/>
        </w:rPr>
        <w:t xml:space="preserve"> YYYYYY) (Renewal)</w:t>
      </w:r>
    </w:p>
    <w:p w:rsidR="006E465A" w:rsidRPr="00081360" w:rsidRDefault="006E465A" w:rsidP="006E465A"/>
    <w:p w:rsidR="006E465A" w:rsidRPr="00081360" w:rsidRDefault="00567001" w:rsidP="006E465A">
      <w:pPr>
        <w:rPr>
          <w:b/>
          <w:bCs/>
        </w:rPr>
      </w:pPr>
      <w:r w:rsidRPr="00567001">
        <w:rPr>
          <w:b/>
          <w:bCs/>
        </w:rPr>
        <w:t>1.  Identification of the Information Collection</w:t>
      </w:r>
    </w:p>
    <w:p w:rsidR="006E465A" w:rsidRPr="00081360" w:rsidRDefault="006E465A" w:rsidP="006E465A">
      <w:pPr>
        <w:rPr>
          <w:b/>
          <w:bCs/>
        </w:rPr>
      </w:pPr>
    </w:p>
    <w:p w:rsidR="006E465A" w:rsidRPr="00081360" w:rsidRDefault="00567001" w:rsidP="006E465A">
      <w:pPr>
        <w:ind w:firstLine="720"/>
        <w:rPr>
          <w:b/>
          <w:bCs/>
        </w:rPr>
      </w:pPr>
      <w:r w:rsidRPr="00567001">
        <w:rPr>
          <w:b/>
          <w:bCs/>
        </w:rPr>
        <w:t>1(a)  Title of the Information Collection</w:t>
      </w:r>
    </w:p>
    <w:p w:rsidR="006E465A" w:rsidRPr="00081360" w:rsidRDefault="006E465A" w:rsidP="006E465A">
      <w:pPr>
        <w:rPr>
          <w:b/>
          <w:bCs/>
        </w:rPr>
      </w:pPr>
    </w:p>
    <w:p w:rsidR="006E465A" w:rsidRPr="00081360" w:rsidRDefault="00567001" w:rsidP="00CB610D">
      <w:pPr>
        <w:rPr>
          <w:b/>
          <w:bCs/>
        </w:rPr>
      </w:pPr>
      <w:r w:rsidRPr="00567001">
        <w:rPr>
          <w:b/>
        </w:rPr>
        <w:t>NESHAP for Ferroalloys P</w:t>
      </w:r>
      <w:r w:rsidR="0087070F">
        <w:rPr>
          <w:b/>
        </w:rPr>
        <w:t xml:space="preserve">roduction Area Sources (40 CFR </w:t>
      </w:r>
      <w:r w:rsidRPr="00567001">
        <w:rPr>
          <w:b/>
        </w:rPr>
        <w:t>Part 63, Subpart YYYYYY)</w:t>
      </w:r>
      <w:r>
        <w:rPr>
          <w:b/>
          <w:bCs/>
        </w:rPr>
        <w:t xml:space="preserve"> (Renewal)</w:t>
      </w:r>
      <w:r w:rsidRPr="00567001">
        <w:rPr>
          <w:b/>
        </w:rPr>
        <w:t xml:space="preserve">, EPA ICR </w:t>
      </w:r>
      <w:r w:rsidR="0087070F">
        <w:rPr>
          <w:b/>
        </w:rPr>
        <w:t>N</w:t>
      </w:r>
      <w:r w:rsidRPr="00567001">
        <w:rPr>
          <w:b/>
        </w:rPr>
        <w:t xml:space="preserve">umber 2303.03, OMB Control Number 2060-0625. </w:t>
      </w:r>
    </w:p>
    <w:p w:rsidR="006E465A" w:rsidRPr="00081360" w:rsidRDefault="006E465A" w:rsidP="006E465A">
      <w:pPr>
        <w:rPr>
          <w:b/>
          <w:bCs/>
        </w:rPr>
      </w:pPr>
    </w:p>
    <w:p w:rsidR="00F80C44" w:rsidRDefault="00567001">
      <w:pPr>
        <w:ind w:firstLine="720"/>
      </w:pPr>
      <w:r w:rsidRPr="00567001">
        <w:rPr>
          <w:b/>
          <w:bCs/>
        </w:rPr>
        <w:t>1(b)  Short Characterization/Abstract</w:t>
      </w:r>
    </w:p>
    <w:p w:rsidR="00F80C44" w:rsidRDefault="00F80C44">
      <w:pPr>
        <w:ind w:firstLine="720"/>
      </w:pPr>
    </w:p>
    <w:p w:rsidR="006E465A" w:rsidRPr="00081360" w:rsidRDefault="00567001" w:rsidP="006E465A">
      <w:pPr>
        <w:ind w:firstLine="720"/>
      </w:pPr>
      <w:r w:rsidRPr="00567001">
        <w:t xml:space="preserve">The National Emission Standards for Hazardous Air Pollutants (NESHAP) for the </w:t>
      </w:r>
      <w:r>
        <w:t>Ferroalloys Production Area Sources</w:t>
      </w:r>
      <w:r w:rsidRPr="00567001">
        <w:t xml:space="preserve"> </w:t>
      </w:r>
      <w:r w:rsidR="0087070F">
        <w:t>(</w:t>
      </w:r>
      <w:r>
        <w:t xml:space="preserve">40 CFR </w:t>
      </w:r>
      <w:r w:rsidR="0087070F">
        <w:t>P</w:t>
      </w:r>
      <w:r>
        <w:t xml:space="preserve">art 63, </w:t>
      </w:r>
      <w:r w:rsidR="0087070F">
        <w:t>S</w:t>
      </w:r>
      <w:r>
        <w:t>ubpart YYYYYY</w:t>
      </w:r>
      <w:r w:rsidR="0087070F">
        <w:t>)</w:t>
      </w:r>
      <w:r w:rsidRPr="00567001">
        <w:t xml:space="preserve"> were proposed on September 15, 2008</w:t>
      </w:r>
      <w:r w:rsidR="00F80C44">
        <w:t xml:space="preserve"> (73 </w:t>
      </w:r>
      <w:r w:rsidR="00F80C44" w:rsidRPr="00F80C44">
        <w:rPr>
          <w:u w:val="single"/>
        </w:rPr>
        <w:t>FR</w:t>
      </w:r>
      <w:r w:rsidR="00F80C44">
        <w:t xml:space="preserve"> 53163)</w:t>
      </w:r>
      <w:r w:rsidR="0087070F">
        <w:t>,</w:t>
      </w:r>
      <w:r w:rsidRPr="00567001">
        <w:t xml:space="preserve"> and promulgated on December 23, 2008</w:t>
      </w:r>
      <w:r w:rsidR="00F80C44">
        <w:t xml:space="preserve"> (73 </w:t>
      </w:r>
      <w:r w:rsidR="00F80C44" w:rsidRPr="00F80C44">
        <w:rPr>
          <w:u w:val="single"/>
        </w:rPr>
        <w:t>FR</w:t>
      </w:r>
      <w:r w:rsidR="00F80C44">
        <w:t xml:space="preserve"> 78637)</w:t>
      </w:r>
      <w:r w:rsidRPr="00567001">
        <w:t>.  These regulations apply to existing and new ferroalloys production facilities.  This information is being collected to assure compliance with 40 CFR part 63, subpart YYYYYY.</w:t>
      </w:r>
    </w:p>
    <w:p w:rsidR="006E465A" w:rsidRPr="00081360" w:rsidRDefault="006E465A" w:rsidP="006E465A"/>
    <w:p w:rsidR="006E465A" w:rsidRPr="00081360" w:rsidRDefault="00567001" w:rsidP="006E465A">
      <w:pPr>
        <w:ind w:firstLine="720"/>
      </w:pPr>
      <w:r w:rsidRPr="00567001">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6E465A" w:rsidRPr="00081360" w:rsidRDefault="006E465A" w:rsidP="006E465A"/>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CA5DED">
        <w:t xml:space="preserve"> </w:t>
      </w:r>
      <w:r w:rsidRPr="00567001">
        <w:t>In the event that there is no such delegated authority, the reports are sent directly to the United States Environmental Protection Agency (EPA) regional office.</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Over the next three years, an average of 10 respondents per year will be subject to the standard, and no additional respondents per year will become subject to the standard.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094A36" w:rsidRPr="00081360" w:rsidRDefault="00567001" w:rsidP="00094A36">
      <w:pPr>
        <w:widowControl/>
        <w:ind w:firstLine="720"/>
        <w:rPr>
          <w:bCs/>
        </w:rPr>
      </w:pPr>
      <w:r w:rsidRPr="00567001">
        <w:rPr>
          <w:bCs/>
        </w:rPr>
        <w:t>The Office of Management and Budget (OMB) approved the currently active Information Collection Request (ICR) without any “Terms of Clearance.”</w:t>
      </w:r>
    </w:p>
    <w:p w:rsidR="006E465A" w:rsidRPr="00081360" w:rsidRDefault="006E465A" w:rsidP="006E465A">
      <w:pPr>
        <w:pBdr>
          <w:top w:val="single" w:sz="6" w:space="0" w:color="FFFFFF"/>
          <w:left w:val="single" w:sz="6" w:space="0" w:color="FFFFFF"/>
          <w:bottom w:val="single" w:sz="6" w:space="0" w:color="FFFFFF"/>
          <w:right w:val="single" w:sz="6" w:space="0" w:color="FFFFFF"/>
        </w:pBdr>
        <w:ind w:firstLine="720"/>
      </w:pPr>
    </w:p>
    <w:p w:rsidR="006E465A" w:rsidRPr="00081360" w:rsidRDefault="00567001" w:rsidP="006E465A">
      <w:r w:rsidRPr="00567001">
        <w:tab/>
      </w:r>
      <w:r w:rsidR="0087070F">
        <w:t xml:space="preserve">All 10 ferroalloys production facilities in the United States are owned and operated by the ferroalloys production industry (the “Affected Public”).  All of these facilities are privately-owned, for profit businesses; none of them are owned by state, local, tribal or the Federal government.  </w:t>
      </w:r>
      <w:r w:rsidRPr="00567001">
        <w:rPr>
          <w:bCs/>
        </w:rPr>
        <w:t xml:space="preserve">The burden to the “Affected Public” may be found </w:t>
      </w:r>
      <w:r w:rsidR="00552767">
        <w:rPr>
          <w:bCs/>
        </w:rPr>
        <w:t xml:space="preserve">below </w:t>
      </w:r>
      <w:r w:rsidRPr="00567001">
        <w:rPr>
          <w:bCs/>
        </w:rPr>
        <w:t xml:space="preserve">in Table 1: Annual Respondent Burden and Cost - </w:t>
      </w:r>
      <w:r w:rsidRPr="00567001">
        <w:t>NESHAP for Ferroalloys P</w:t>
      </w:r>
      <w:r w:rsidR="000D1C1C">
        <w:t xml:space="preserve">roduction Area Sources (40 CFR </w:t>
      </w:r>
      <w:r w:rsidRPr="00567001">
        <w:t xml:space="preserve">Part </w:t>
      </w:r>
      <w:r w:rsidRPr="00567001">
        <w:lastRenderedPageBreak/>
        <w:t>63, Subpart YYYYYY)</w:t>
      </w:r>
      <w:r w:rsidRPr="00567001">
        <w:rPr>
          <w:bCs/>
        </w:rPr>
        <w:t xml:space="preserve"> (Renewal)</w:t>
      </w:r>
      <w:r w:rsidR="007B493B">
        <w:t xml:space="preserve">.  </w:t>
      </w:r>
      <w:r w:rsidRPr="00567001">
        <w:t>The burden to the “Federal Government” is attributed entirely to work performed by federal employees or government contractors; this burden may be found</w:t>
      </w:r>
      <w:r w:rsidR="00552767">
        <w:t xml:space="preserve"> below </w:t>
      </w:r>
      <w:r w:rsidRPr="00567001">
        <w:t xml:space="preserve">in Table 2: Annual Agency Burden and Cost - NESHAP for Ferroalloys Production Area Sources (40 </w:t>
      </w:r>
      <w:r w:rsidR="000D1C1C">
        <w:t xml:space="preserve">CFR </w:t>
      </w:r>
      <w:r w:rsidRPr="00567001">
        <w:t>Part 63, Subpart YYYYYY)</w:t>
      </w:r>
      <w:r w:rsidRPr="00567001">
        <w:rPr>
          <w:bCs/>
        </w:rPr>
        <w:t xml:space="preserve"> (Renewal)</w:t>
      </w:r>
      <w:r w:rsidRPr="00567001">
        <w:t xml:space="preserve">.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pPr>
      <w:r w:rsidRPr="00567001">
        <w:rPr>
          <w:b/>
          <w:bCs/>
        </w:rPr>
        <w:t>2.  Need for and Use of the Collection</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rPr>
          <w:b/>
          <w:bCs/>
        </w:rPr>
      </w:pPr>
      <w:r w:rsidRPr="00567001">
        <w:rPr>
          <w:b/>
          <w:bCs/>
        </w:rPr>
        <w:t>2(a)  Need/Authority for the Collection</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940828">
        <w:t xml:space="preserve">m degree of emission reduction.  </w:t>
      </w:r>
      <w:r w:rsidRPr="00567001">
        <w:t xml:space="preserve">In addition, section 114(a) states that the Administrator may require any owner/operator subject to any requirement of this Act to: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left="1440" w:right="1440"/>
      </w:pPr>
      <w:r w:rsidRPr="0056700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In the Administrator's judgment, HAP emissions from ferroalloys production area sources cause or contribute to air pollution that may reasonably be anticipated to endanger public health or welfare.  Therefore, the NESHAP was promulgated for this source category at 40 CFR part 63 subpart YYYYYY.</w:t>
      </w:r>
    </w:p>
    <w:p w:rsidR="006E465A" w:rsidRPr="00081360" w:rsidRDefault="006E465A" w:rsidP="006E465A">
      <w:pPr>
        <w:pBdr>
          <w:top w:val="single" w:sz="6" w:space="0" w:color="FFFFFF"/>
          <w:left w:val="single" w:sz="6" w:space="0" w:color="FFFFFF"/>
          <w:bottom w:val="single" w:sz="6" w:space="0" w:color="FFFFFF"/>
          <w:right w:val="single" w:sz="6" w:space="0" w:color="FFFFFF"/>
        </w:pBdr>
        <w:ind w:firstLine="720"/>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2(b)  Practical Utility/Users of the Data</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The recordkeeping and reporting requirements in the standard ensure compliance </w:t>
      </w:r>
      <w:r w:rsidR="00BF02F9">
        <w:t xml:space="preserve">       </w:t>
      </w:r>
      <w:r w:rsidRPr="00567001">
        <w:t>with the applicable regulations which where promulgated in accordance with the Clean Air Act.  The collected information is also used for targeting inspections and as evidence in legal proceedings.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Performance tests are required in order to determine an affected facility’s initial capability to comply with the emission standard</w:t>
      </w:r>
      <w:r w:rsidR="004D5A13">
        <w:t xml:space="preserve">.  </w:t>
      </w:r>
      <w:r w:rsidRPr="00567001">
        <w:t xml:space="preserve"> Continuous emission monitors are used to ensure compliance with the standard at all times.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The notifications required in the standard are used to inform the Agency or delegated </w:t>
      </w:r>
      <w:r w:rsidRPr="00567001">
        <w:lastRenderedPageBreak/>
        <w:t>authority when a source becomes subject to the requirements of the regulations.  The reviewing authority may then inspect the source to check if the pollution control devices are properly installed and operated and/or leaks are being detected and repaired and the standard are being met.  The performance test may also be observed.</w:t>
      </w:r>
    </w:p>
    <w:p w:rsidR="006E465A" w:rsidRPr="00081360" w:rsidRDefault="006E465A" w:rsidP="006E465A">
      <w:pPr>
        <w:pBdr>
          <w:top w:val="single" w:sz="6" w:space="0" w:color="FFFFFF"/>
          <w:left w:val="single" w:sz="6" w:space="0" w:color="FFFFFF"/>
          <w:bottom w:val="single" w:sz="6" w:space="0" w:color="FFFFFF"/>
          <w:right w:val="single" w:sz="6" w:space="0" w:color="FFFFFF"/>
        </w:pBdr>
        <w:ind w:firstLine="720"/>
      </w:pPr>
    </w:p>
    <w:p w:rsidR="00F80C44" w:rsidRDefault="00567001">
      <w:pPr>
        <w:pBdr>
          <w:top w:val="single" w:sz="6" w:space="0" w:color="FFFFFF"/>
          <w:left w:val="single" w:sz="6" w:space="0" w:color="FFFFFF"/>
          <w:bottom w:val="single" w:sz="6" w:space="0" w:color="FFFFFF"/>
          <w:right w:val="single" w:sz="6" w:space="0" w:color="FFFFFF"/>
        </w:pBdr>
        <w:ind w:firstLine="720"/>
      </w:pPr>
      <w:r w:rsidRPr="00567001">
        <w:t>The required semiannual reports are used to determine periods of excess emissions, identify problems at the facility, verify operation/maintenance procedures and for compliance determinations.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rPr>
          <w:b/>
          <w:bCs/>
        </w:rPr>
      </w:pPr>
      <w:r w:rsidRPr="00567001">
        <w:rPr>
          <w:b/>
          <w:bCs/>
        </w:rPr>
        <w:t>3.  Non</w:t>
      </w:r>
      <w:r w:rsidR="00BF02F9">
        <w:rPr>
          <w:b/>
          <w:bCs/>
        </w:rPr>
        <w:t>-</w:t>
      </w:r>
      <w:r w:rsidRPr="00567001">
        <w:rPr>
          <w:b/>
          <w:bCs/>
        </w:rPr>
        <w:t>duplication, Consultations, and Other Collection Criteria</w:t>
      </w:r>
    </w:p>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rPr>
          <w:b/>
          <w:bCs/>
        </w:rPr>
      </w:pPr>
      <w:r w:rsidRPr="00567001">
        <w:t>The requested recordkeeping and reporting are required under (40 CFR part 63, subpart</w:t>
      </w:r>
      <w:r w:rsidR="00E05BD7">
        <w:t xml:space="preserve"> </w:t>
      </w:r>
      <w:r w:rsidRPr="00567001">
        <w:t>YYYYYY).</w:t>
      </w:r>
    </w:p>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3(a</w:t>
      </w:r>
      <w:proofErr w:type="gramStart"/>
      <w:r w:rsidRPr="00567001">
        <w:rPr>
          <w:b/>
          <w:bCs/>
        </w:rPr>
        <w:t>)  Non</w:t>
      </w:r>
      <w:proofErr w:type="gramEnd"/>
      <w:r w:rsidR="00BF02F9">
        <w:rPr>
          <w:b/>
          <w:bCs/>
        </w:rPr>
        <w:t>-</w:t>
      </w:r>
      <w:r w:rsidRPr="00567001">
        <w:rPr>
          <w:b/>
          <w:bCs/>
        </w:rPr>
        <w:t>duplication</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3(b)  Public Notice Required Prior to ICR Submission to OMB</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An announcement of a public comment period for the renewal of this ICR was published in the </w:t>
      </w:r>
      <w:r w:rsidRPr="00567001">
        <w:rPr>
          <w:u w:val="single"/>
        </w:rPr>
        <w:t>Federal Register</w:t>
      </w:r>
      <w:r w:rsidRPr="00567001">
        <w:t xml:space="preserve"> (76 </w:t>
      </w:r>
      <w:r w:rsidRPr="00567001">
        <w:rPr>
          <w:u w:val="single"/>
        </w:rPr>
        <w:t>FR</w:t>
      </w:r>
      <w:r w:rsidRPr="00567001">
        <w:t xml:space="preserve"> 26900) on May 9, 2011.  No comments were received on the burden published in the </w:t>
      </w:r>
      <w:r w:rsidRPr="00567001">
        <w:rPr>
          <w:u w:val="single"/>
        </w:rPr>
        <w:t>Federal Register.</w:t>
      </w:r>
      <w:r w:rsidRPr="00567001">
        <w:t xml:space="preserve">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3(c)  Consultations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C7400E" w:rsidRPr="00081360" w:rsidRDefault="00567001" w:rsidP="00C7400E">
      <w:pPr>
        <w:ind w:firstLine="720"/>
      </w:pPr>
      <w:r w:rsidRPr="00567001">
        <w:t>The Agency’s industry experts have been consulted, and the Agency’s internal data sources and projections of industry growth over the next three years have been considered.</w:t>
      </w:r>
      <w:r w:rsidRPr="00567001">
        <w:rPr>
          <w:b/>
        </w:rPr>
        <w:t xml:space="preserve">  </w:t>
      </w:r>
    </w:p>
    <w:p w:rsidR="00C7400E" w:rsidRPr="00081360" w:rsidRDefault="00C7400E" w:rsidP="00C7400E"/>
    <w:p w:rsidR="00C7400E" w:rsidRPr="00081360" w:rsidRDefault="00567001" w:rsidP="00C7400E">
      <w:pPr>
        <w:ind w:firstLine="720"/>
      </w:pPr>
      <w:r w:rsidRPr="00567001">
        <w:t xml:space="preserve">Industry trade associations and other interested parties were provided an opportunity to comment on the burden associated with the standard as it was being developed.  In developing this ICR, we contacted </w:t>
      </w:r>
      <w:r w:rsidR="000C0C26">
        <w:t xml:space="preserve">the </w:t>
      </w:r>
      <w:r w:rsidR="00C13830">
        <w:t xml:space="preserve">Globe Metallurgical </w:t>
      </w:r>
      <w:r w:rsidRPr="00567001">
        <w:t>Inc</w:t>
      </w:r>
      <w:r w:rsidR="004C5589">
        <w:t>orporated</w:t>
      </w:r>
      <w:r w:rsidRPr="00567001">
        <w:t xml:space="preserve"> at </w:t>
      </w:r>
      <w:r w:rsidR="004C5589">
        <w:t xml:space="preserve">(740) 984-2361, </w:t>
      </w:r>
      <w:r w:rsidR="007832CD">
        <w:t xml:space="preserve">the </w:t>
      </w:r>
      <w:r w:rsidRPr="00567001">
        <w:t xml:space="preserve">Langeloth Metallurgical </w:t>
      </w:r>
      <w:r w:rsidR="007832CD">
        <w:t xml:space="preserve">Company </w:t>
      </w:r>
      <w:r w:rsidRPr="00567001">
        <w:t>at</w:t>
      </w:r>
      <w:r w:rsidR="007832CD">
        <w:t xml:space="preserve"> (724) 947-2201</w:t>
      </w:r>
      <w:r w:rsidR="007F6EDC">
        <w:t>,</w:t>
      </w:r>
      <w:r w:rsidRPr="00567001">
        <w:t xml:space="preserve"> and </w:t>
      </w:r>
      <w:r w:rsidR="007832CD">
        <w:t xml:space="preserve">the </w:t>
      </w:r>
      <w:r w:rsidRPr="00567001">
        <w:t>Metallurg Vanadium at</w:t>
      </w:r>
      <w:r w:rsidR="007832CD">
        <w:t xml:space="preserve"> (740) 432-6534</w:t>
      </w:r>
      <w:r w:rsidR="007F6EDC">
        <w:t>.</w:t>
      </w:r>
      <w:r w:rsidR="007832CD">
        <w:t xml:space="preserve">  </w:t>
      </w:r>
      <w:r w:rsidR="00B53B7E">
        <w:t>N</w:t>
      </w:r>
      <w:r w:rsidRPr="00567001">
        <w:t>o comments were received</w:t>
      </w:r>
      <w:r w:rsidR="00B53B7E">
        <w:t xml:space="preserve"> on this ICR</w:t>
      </w:r>
      <w:r w:rsidRPr="00567001">
        <w:t>.</w:t>
      </w:r>
    </w:p>
    <w:p w:rsidR="00C7400E" w:rsidRPr="00081360" w:rsidRDefault="00C7400E" w:rsidP="00C7400E"/>
    <w:p w:rsidR="00C7400E" w:rsidRPr="00081360" w:rsidRDefault="00567001" w:rsidP="00C7400E">
      <w:pPr>
        <w:ind w:firstLine="720"/>
      </w:pPr>
      <w:r w:rsidRPr="00567001">
        <w:t>It is our policy to respond after a thorough review of comments received since the last ICR renewal as well as those submitted in response to the</w:t>
      </w:r>
      <w:r w:rsidR="00533F9F">
        <w:t xml:space="preserve"> first Federal Register notice.  </w:t>
      </w:r>
      <w:r w:rsidRPr="00567001">
        <w:t>In this case, no comments were received.</w:t>
      </w:r>
    </w:p>
    <w:p w:rsidR="00A302E7" w:rsidRPr="00081360" w:rsidRDefault="00A302E7" w:rsidP="00C7400E">
      <w:pPr>
        <w:ind w:firstLine="720"/>
      </w:pPr>
    </w:p>
    <w:p w:rsidR="00BF02F9" w:rsidRDefault="00BF02F9" w:rsidP="006E465A">
      <w:pPr>
        <w:pBdr>
          <w:top w:val="single" w:sz="6" w:space="0" w:color="FFFFFF"/>
          <w:left w:val="single" w:sz="6" w:space="0" w:color="FFFFFF"/>
          <w:bottom w:val="single" w:sz="6" w:space="0" w:color="FFFFFF"/>
          <w:right w:val="single" w:sz="6" w:space="0" w:color="FFFFFF"/>
        </w:pBdr>
        <w:ind w:firstLine="720"/>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lastRenderedPageBreak/>
        <w:t>3(d</w:t>
      </w:r>
      <w:proofErr w:type="gramStart"/>
      <w:r w:rsidRPr="00567001">
        <w:rPr>
          <w:b/>
          <w:bCs/>
        </w:rPr>
        <w:t>)  Effects</w:t>
      </w:r>
      <w:proofErr w:type="gramEnd"/>
      <w:r w:rsidRPr="00567001">
        <w:rPr>
          <w:b/>
          <w:bCs/>
        </w:rPr>
        <w:t xml:space="preserve"> of Less Frequent Collection</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3(e)  General Guidelines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These reporting or recordkeeping requirements do not violate any of the regulations promulgated by OMB under 5 CFR part 1320, section 1320.5.</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F80C44" w:rsidRDefault="00567001">
      <w:pPr>
        <w:pBdr>
          <w:top w:val="single" w:sz="6" w:space="0" w:color="FFFFFF"/>
          <w:left w:val="single" w:sz="6" w:space="0" w:color="FFFFFF"/>
          <w:bottom w:val="single" w:sz="6" w:space="0" w:color="FFFFFF"/>
          <w:right w:val="single" w:sz="6" w:space="0" w:color="FFFFFF"/>
        </w:pBdr>
        <w:ind w:firstLine="720"/>
      </w:pPr>
      <w:r w:rsidRPr="00567001">
        <w:t>These standards require the respondents to maintain all records, including reports and notifica</w:t>
      </w:r>
      <w:r w:rsidR="00FF41D4">
        <w:t xml:space="preserve">tions for at least five years.  </w:t>
      </w:r>
      <w:r w:rsidRPr="00567001">
        <w:t>This is consistent with the General Provisions as applied to the standards.  EPA believes that the five</w:t>
      </w:r>
      <w:r w:rsidR="00BF02F9">
        <w:t>-</w:t>
      </w:r>
      <w:r w:rsidRPr="00567001">
        <w:t>year records retention requirement is consistent the Part 70 permit program and the five</w:t>
      </w:r>
      <w:r w:rsidR="00BF02F9">
        <w:t>-</w:t>
      </w:r>
      <w:r w:rsidRPr="00567001">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3(f)  Confidentiality</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Any information submitted to the Agency for which a claim of confidentiality is made will be safeguarded according to the Agency policies set forth in Title 40, chapter 1, part 2, subpart B - Confidentiality of Business Information</w:t>
      </w:r>
      <w:r w:rsidR="00BF02F9">
        <w:t xml:space="preserve"> (CBI)</w:t>
      </w:r>
      <w:r w:rsidRPr="00567001">
        <w:t xml:space="preserve"> (see 40 CFR 2; 41 </w:t>
      </w:r>
      <w:r w:rsidRPr="00567001">
        <w:rPr>
          <w:u w:val="single"/>
        </w:rPr>
        <w:t>FR</w:t>
      </w:r>
      <w:r w:rsidRPr="00567001">
        <w:t xml:space="preserve"> 36902, September 1, 1976; amended by 43 </w:t>
      </w:r>
      <w:r w:rsidRPr="00567001">
        <w:rPr>
          <w:u w:val="single"/>
        </w:rPr>
        <w:t>FR</w:t>
      </w:r>
      <w:r w:rsidRPr="00567001">
        <w:t xml:space="preserve"> 40000, September 8, 1978; 43 </w:t>
      </w:r>
      <w:r w:rsidRPr="00567001">
        <w:rPr>
          <w:u w:val="single"/>
        </w:rPr>
        <w:t>FR</w:t>
      </w:r>
      <w:r w:rsidRPr="00567001">
        <w:t xml:space="preserve"> 42251, September 20, 1978; 44 </w:t>
      </w:r>
      <w:r w:rsidRPr="00567001">
        <w:rPr>
          <w:u w:val="single"/>
        </w:rPr>
        <w:t>FR</w:t>
      </w:r>
      <w:r w:rsidRPr="00567001">
        <w:t xml:space="preserve"> 17674, March 23, 1979).</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3(g)  Sensitive Questions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The reporting or recordkeeping requirements in the standard do not include sensitive questions.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rPr>
          <w:b/>
          <w:bCs/>
        </w:rPr>
      </w:pPr>
      <w:r w:rsidRPr="00567001">
        <w:rPr>
          <w:b/>
          <w:bCs/>
        </w:rPr>
        <w:t>4.  The Respondents and the Information Requested</w:t>
      </w:r>
    </w:p>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4(a)  Respondents/SIC Codes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Default="00567001" w:rsidP="006E465A">
      <w:pPr>
        <w:pBdr>
          <w:top w:val="single" w:sz="6" w:space="0" w:color="FFFFFF"/>
          <w:left w:val="single" w:sz="6" w:space="0" w:color="FFFFFF"/>
          <w:bottom w:val="single" w:sz="6" w:space="0" w:color="FFFFFF"/>
          <w:right w:val="single" w:sz="6" w:space="0" w:color="FFFFFF"/>
        </w:pBdr>
        <w:ind w:firstLine="720"/>
      </w:pPr>
      <w:r w:rsidRPr="00567001">
        <w:t>The Standard Industrial Classification</w:t>
      </w:r>
      <w:r w:rsidR="000F68C5">
        <w:t xml:space="preserve"> (SIC</w:t>
      </w:r>
      <w:r w:rsidRPr="00567001">
        <w:t xml:space="preserve">) </w:t>
      </w:r>
      <w:r w:rsidR="000F68C5">
        <w:t xml:space="preserve">codes </w:t>
      </w:r>
      <w:r w:rsidRPr="00567001">
        <w:t xml:space="preserve">and </w:t>
      </w:r>
      <w:r w:rsidR="000F68C5">
        <w:t>the corresponding</w:t>
      </w:r>
      <w:r w:rsidRPr="00567001">
        <w:t xml:space="preserve"> North American Industry Classification System</w:t>
      </w:r>
      <w:r w:rsidR="000F68C5">
        <w:t xml:space="preserve"> (NAICS</w:t>
      </w:r>
      <w:r w:rsidRPr="00567001">
        <w:t xml:space="preserve">) </w:t>
      </w:r>
      <w:r w:rsidR="000F68C5">
        <w:t xml:space="preserve">for the respondents affected by the standards </w:t>
      </w:r>
      <w:r w:rsidRPr="00567001">
        <w:t>are listed in the table</w:t>
      </w:r>
      <w:r w:rsidR="000F68C5">
        <w:t xml:space="preserve"> below</w:t>
      </w:r>
      <w:r w:rsidRPr="00567001">
        <w:t>.</w:t>
      </w:r>
    </w:p>
    <w:p w:rsidR="00A86A04" w:rsidRDefault="00A86A04" w:rsidP="006E465A">
      <w:pPr>
        <w:pBdr>
          <w:top w:val="single" w:sz="6" w:space="0" w:color="FFFFFF"/>
          <w:left w:val="single" w:sz="6" w:space="0" w:color="FFFFFF"/>
          <w:bottom w:val="single" w:sz="6" w:space="0" w:color="FFFFFF"/>
          <w:right w:val="single" w:sz="6" w:space="0" w:color="FFFFFF"/>
        </w:pBdr>
        <w:ind w:firstLine="720"/>
      </w:pPr>
    </w:p>
    <w:p w:rsidR="00A86A04" w:rsidRPr="00081360" w:rsidRDefault="00A86A04" w:rsidP="006E465A">
      <w:pPr>
        <w:pBdr>
          <w:top w:val="single" w:sz="6" w:space="0" w:color="FFFFFF"/>
          <w:left w:val="single" w:sz="6" w:space="0" w:color="FFFFFF"/>
          <w:bottom w:val="single" w:sz="6" w:space="0" w:color="FFFFFF"/>
          <w:right w:val="single" w:sz="6" w:space="0" w:color="FFFFFF"/>
        </w:pBdr>
        <w:ind w:firstLine="720"/>
      </w:pPr>
    </w:p>
    <w:p w:rsidR="006E465A" w:rsidRDefault="006E465A" w:rsidP="006E465A">
      <w:pPr>
        <w:pBdr>
          <w:top w:val="single" w:sz="6" w:space="0" w:color="FFFFFF"/>
          <w:left w:val="single" w:sz="6" w:space="0" w:color="FFFFFF"/>
          <w:bottom w:val="single" w:sz="6" w:space="0" w:color="FFFFFF"/>
          <w:right w:val="single" w:sz="6" w:space="0" w:color="FFFFFF"/>
        </w:pBd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tblPr>
      <w:tblGrid>
        <w:gridCol w:w="5940"/>
        <w:gridCol w:w="1710"/>
        <w:gridCol w:w="1710"/>
      </w:tblGrid>
      <w:tr w:rsidR="00A86A04" w:rsidTr="00FF05F1">
        <w:trPr>
          <w:cantSplit/>
          <w:jc w:val="center"/>
        </w:trPr>
        <w:tc>
          <w:tcPr>
            <w:tcW w:w="5940" w:type="dxa"/>
          </w:tcPr>
          <w:p w:rsidR="00A86A04" w:rsidRDefault="00A86A04" w:rsidP="00A86A04">
            <w:pPr>
              <w:spacing w:after="54"/>
              <w:rPr>
                <w:b/>
                <w:bCs/>
              </w:rPr>
            </w:pPr>
            <w:r>
              <w:rPr>
                <w:b/>
                <w:bCs/>
              </w:rPr>
              <w:t>Standard (40 CFR Part 63, Subpart YYYYYY)</w:t>
            </w:r>
          </w:p>
        </w:tc>
        <w:tc>
          <w:tcPr>
            <w:tcW w:w="1710" w:type="dxa"/>
          </w:tcPr>
          <w:p w:rsidR="00A86A04" w:rsidRDefault="00A86A04" w:rsidP="00AC7316">
            <w:pPr>
              <w:spacing w:after="54"/>
              <w:jc w:val="center"/>
              <w:rPr>
                <w:b/>
                <w:bCs/>
              </w:rPr>
            </w:pPr>
            <w:r>
              <w:rPr>
                <w:b/>
                <w:bCs/>
              </w:rPr>
              <w:t>SIC Codes</w:t>
            </w:r>
          </w:p>
        </w:tc>
        <w:tc>
          <w:tcPr>
            <w:tcW w:w="1710" w:type="dxa"/>
          </w:tcPr>
          <w:p w:rsidR="00A86A04" w:rsidRDefault="00A86A04" w:rsidP="00AC7316">
            <w:pPr>
              <w:spacing w:after="54"/>
              <w:jc w:val="center"/>
              <w:rPr>
                <w:b/>
                <w:bCs/>
              </w:rPr>
            </w:pPr>
            <w:r>
              <w:rPr>
                <w:b/>
                <w:bCs/>
              </w:rPr>
              <w:t>NAICS Codes</w:t>
            </w:r>
          </w:p>
        </w:tc>
      </w:tr>
      <w:tr w:rsidR="00A86A04" w:rsidTr="00FF05F1">
        <w:trPr>
          <w:cantSplit/>
          <w:jc w:val="center"/>
        </w:trPr>
        <w:tc>
          <w:tcPr>
            <w:tcW w:w="5940" w:type="dxa"/>
          </w:tcPr>
          <w:p w:rsidR="00A86A04" w:rsidRDefault="00A86A04" w:rsidP="00A86A04">
            <w:pPr>
              <w:spacing w:after="54"/>
            </w:pPr>
            <w:r>
              <w:t>Primary Smelting and Refining of Nonferrous Metal (except Copper and Aluminum</w:t>
            </w:r>
            <w:r w:rsidR="008F56F0">
              <w:t>)</w:t>
            </w:r>
          </w:p>
        </w:tc>
        <w:tc>
          <w:tcPr>
            <w:tcW w:w="1710" w:type="dxa"/>
          </w:tcPr>
          <w:p w:rsidR="00A86A04" w:rsidRDefault="00A86A04" w:rsidP="00A86A04">
            <w:pPr>
              <w:spacing w:after="54"/>
              <w:jc w:val="center"/>
            </w:pPr>
            <w:r>
              <w:t>3339</w:t>
            </w:r>
          </w:p>
        </w:tc>
        <w:tc>
          <w:tcPr>
            <w:tcW w:w="1710" w:type="dxa"/>
          </w:tcPr>
          <w:p w:rsidR="00A86A04" w:rsidRDefault="00A86A04" w:rsidP="00A86A04">
            <w:pPr>
              <w:spacing w:after="54"/>
              <w:jc w:val="center"/>
            </w:pPr>
            <w:r>
              <w:t>331419</w:t>
            </w:r>
          </w:p>
        </w:tc>
      </w:tr>
      <w:tr w:rsidR="00A86A04" w:rsidTr="00FF05F1">
        <w:trPr>
          <w:cantSplit/>
          <w:jc w:val="center"/>
        </w:trPr>
        <w:tc>
          <w:tcPr>
            <w:tcW w:w="5940" w:type="dxa"/>
          </w:tcPr>
          <w:p w:rsidR="00A86A04" w:rsidRDefault="00FF05F1" w:rsidP="00AC7316">
            <w:pPr>
              <w:spacing w:after="54"/>
            </w:pPr>
            <w:r>
              <w:t>Electrometallurgical Ferroalloy Product Manufacturing</w:t>
            </w:r>
          </w:p>
        </w:tc>
        <w:tc>
          <w:tcPr>
            <w:tcW w:w="1710" w:type="dxa"/>
          </w:tcPr>
          <w:p w:rsidR="00A86A04" w:rsidRDefault="00FF05F1" w:rsidP="00AC7316">
            <w:pPr>
              <w:spacing w:after="54"/>
              <w:jc w:val="center"/>
            </w:pPr>
            <w:r>
              <w:t>3313</w:t>
            </w:r>
          </w:p>
        </w:tc>
        <w:tc>
          <w:tcPr>
            <w:tcW w:w="1710" w:type="dxa"/>
          </w:tcPr>
          <w:p w:rsidR="00A86A04" w:rsidRDefault="00A86A04" w:rsidP="00FF05F1">
            <w:pPr>
              <w:spacing w:after="54"/>
              <w:jc w:val="center"/>
            </w:pPr>
            <w:r>
              <w:t>3</w:t>
            </w:r>
            <w:r w:rsidR="00FF05F1">
              <w:t>31112</w:t>
            </w:r>
          </w:p>
        </w:tc>
      </w:tr>
      <w:tr w:rsidR="00A86A04" w:rsidTr="00FF05F1">
        <w:trPr>
          <w:cantSplit/>
          <w:jc w:val="center"/>
        </w:trPr>
        <w:tc>
          <w:tcPr>
            <w:tcW w:w="5940" w:type="dxa"/>
          </w:tcPr>
          <w:p w:rsidR="00A86A04" w:rsidRDefault="00FF05F1" w:rsidP="00AC7316">
            <w:pPr>
              <w:spacing w:after="54"/>
            </w:pPr>
            <w:r>
              <w:t>All Other Basic Inorganic Chemical Manufacturing</w:t>
            </w:r>
          </w:p>
        </w:tc>
        <w:tc>
          <w:tcPr>
            <w:tcW w:w="1710" w:type="dxa"/>
          </w:tcPr>
          <w:p w:rsidR="00A86A04" w:rsidRDefault="00FF05F1" w:rsidP="00FF05F1">
            <w:pPr>
              <w:spacing w:after="54"/>
              <w:jc w:val="center"/>
            </w:pPr>
            <w:r>
              <w:t>2819 and 2869</w:t>
            </w:r>
          </w:p>
        </w:tc>
        <w:tc>
          <w:tcPr>
            <w:tcW w:w="1710" w:type="dxa"/>
          </w:tcPr>
          <w:p w:rsidR="00A86A04" w:rsidRDefault="00A86A04" w:rsidP="00FF05F1">
            <w:pPr>
              <w:spacing w:after="54"/>
              <w:jc w:val="center"/>
            </w:pPr>
            <w:r>
              <w:t>3251</w:t>
            </w:r>
            <w:r w:rsidR="00FF05F1">
              <w:t>88</w:t>
            </w:r>
          </w:p>
        </w:tc>
      </w:tr>
    </w:tbl>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4(b)  Information Requested</w:t>
      </w:r>
      <w:r w:rsidRPr="00567001">
        <w:t xml:space="preserve">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1440"/>
      </w:pPr>
      <w:r w:rsidRPr="00567001">
        <w:rPr>
          <w:b/>
          <w:bCs/>
        </w:rPr>
        <w:t>(</w:t>
      </w:r>
      <w:proofErr w:type="spellStart"/>
      <w:r w:rsidRPr="00567001">
        <w:rPr>
          <w:b/>
          <w:bCs/>
        </w:rPr>
        <w:t>i</w:t>
      </w:r>
      <w:proofErr w:type="spellEnd"/>
      <w:r w:rsidRPr="00567001">
        <w:rPr>
          <w:b/>
          <w:bCs/>
        </w:rPr>
        <w:t>)  Data Items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In this ICR, all the data that is recorded or reported is required by NESHAP for Ferroalloys P</w:t>
      </w:r>
      <w:r w:rsidR="000D1C1C">
        <w:t xml:space="preserve">roduction Area Sources (40 CFR </w:t>
      </w:r>
      <w:r w:rsidRPr="00567001">
        <w:t xml:space="preserve">Part 63, Subpart YYYYYY).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A source must make the following reports: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020"/>
        <w:gridCol w:w="2340"/>
      </w:tblGrid>
      <w:tr w:rsidR="006E465A" w:rsidRPr="00081360" w:rsidTr="004C043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6E465A" w:rsidRPr="00081360" w:rsidRDefault="006E465A" w:rsidP="00C7400E">
            <w:pPr>
              <w:spacing w:line="120" w:lineRule="exact"/>
            </w:pPr>
          </w:p>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jc w:val="center"/>
              <w:rPr>
                <w:b/>
              </w:rPr>
            </w:pPr>
            <w:r w:rsidRPr="00567001">
              <w:rPr>
                <w:b/>
              </w:rPr>
              <w:t>Notifications</w:t>
            </w:r>
          </w:p>
        </w:tc>
      </w:tr>
      <w:tr w:rsidR="006E465A" w:rsidRPr="00081360" w:rsidTr="00C7400E">
        <w:trPr>
          <w:jc w:val="center"/>
        </w:trPr>
        <w:tc>
          <w:tcPr>
            <w:tcW w:w="702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63.9(b)(2)</w:t>
            </w:r>
          </w:p>
        </w:tc>
      </w:tr>
      <w:tr w:rsidR="006E465A" w:rsidRPr="00081360" w:rsidTr="00C7400E">
        <w:trPr>
          <w:jc w:val="center"/>
        </w:trPr>
        <w:tc>
          <w:tcPr>
            <w:tcW w:w="702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63.9(b)(5)</w:t>
            </w:r>
          </w:p>
        </w:tc>
      </w:tr>
      <w:tr w:rsidR="006E465A" w:rsidRPr="00081360" w:rsidTr="00C7400E">
        <w:trPr>
          <w:jc w:val="center"/>
        </w:trPr>
        <w:tc>
          <w:tcPr>
            <w:tcW w:w="702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63.9(d)</w:t>
            </w:r>
          </w:p>
        </w:tc>
      </w:tr>
      <w:tr w:rsidR="006E465A" w:rsidRPr="00081360" w:rsidTr="00C7400E">
        <w:trPr>
          <w:jc w:val="center"/>
        </w:trPr>
        <w:tc>
          <w:tcPr>
            <w:tcW w:w="702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63.9(e)</w:t>
            </w:r>
          </w:p>
        </w:tc>
      </w:tr>
      <w:tr w:rsidR="006E465A" w:rsidRPr="00081360" w:rsidTr="00C7400E">
        <w:trPr>
          <w:jc w:val="center"/>
        </w:trPr>
        <w:tc>
          <w:tcPr>
            <w:tcW w:w="702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Notification of opacity/VE observations</w:t>
            </w:r>
          </w:p>
        </w:tc>
        <w:tc>
          <w:tcPr>
            <w:tcW w:w="234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63.9(f)</w:t>
            </w:r>
          </w:p>
        </w:tc>
      </w:tr>
      <w:tr w:rsidR="006E465A" w:rsidRPr="00081360" w:rsidTr="00C7400E">
        <w:trPr>
          <w:jc w:val="center"/>
        </w:trPr>
        <w:tc>
          <w:tcPr>
            <w:tcW w:w="702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Additional CMS notifications</w:t>
            </w:r>
          </w:p>
        </w:tc>
        <w:tc>
          <w:tcPr>
            <w:tcW w:w="234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63.9(g)</w:t>
            </w:r>
          </w:p>
        </w:tc>
      </w:tr>
      <w:tr w:rsidR="006E465A" w:rsidRPr="00081360" w:rsidTr="00C7400E">
        <w:trPr>
          <w:jc w:val="center"/>
        </w:trPr>
        <w:tc>
          <w:tcPr>
            <w:tcW w:w="702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63.9(h)</w:t>
            </w:r>
          </w:p>
        </w:tc>
      </w:tr>
      <w:tr w:rsidR="006E465A" w:rsidRPr="00081360" w:rsidTr="00C7400E">
        <w:trPr>
          <w:jc w:val="center"/>
        </w:trPr>
        <w:tc>
          <w:tcPr>
            <w:tcW w:w="702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Notification of changes in information</w:t>
            </w:r>
          </w:p>
        </w:tc>
        <w:tc>
          <w:tcPr>
            <w:tcW w:w="234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63.9(j)</w:t>
            </w:r>
          </w:p>
        </w:tc>
      </w:tr>
    </w:tbl>
    <w:p w:rsidR="006E465A" w:rsidRPr="00081360" w:rsidRDefault="006E465A" w:rsidP="006E465A">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290"/>
        <w:gridCol w:w="2070"/>
      </w:tblGrid>
      <w:tr w:rsidR="006E465A" w:rsidRPr="00081360" w:rsidTr="004C0438">
        <w:trPr>
          <w:cantSplit/>
          <w:tblHeader/>
          <w:jc w:val="center"/>
        </w:trPr>
        <w:tc>
          <w:tcPr>
            <w:tcW w:w="7290" w:type="dxa"/>
            <w:gridSpan w:val="2"/>
            <w:tcBorders>
              <w:top w:val="single" w:sz="7" w:space="0" w:color="000000"/>
              <w:left w:val="single" w:sz="7" w:space="0" w:color="000000"/>
              <w:bottom w:val="single" w:sz="7" w:space="0" w:color="000000"/>
              <w:right w:val="single" w:sz="7" w:space="0" w:color="000000"/>
            </w:tcBorders>
          </w:tcPr>
          <w:p w:rsidR="006E465A" w:rsidRPr="00081360" w:rsidRDefault="006E465A" w:rsidP="00C7400E">
            <w:pPr>
              <w:spacing w:line="120" w:lineRule="exact"/>
            </w:pPr>
          </w:p>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jc w:val="center"/>
              <w:rPr>
                <w:b/>
              </w:rPr>
            </w:pPr>
            <w:r w:rsidRPr="00567001">
              <w:rPr>
                <w:b/>
              </w:rPr>
              <w:t>Reports</w:t>
            </w:r>
          </w:p>
        </w:tc>
      </w:tr>
      <w:tr w:rsidR="006E465A" w:rsidRPr="00081360" w:rsidTr="004C0438">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6E465A" w:rsidRPr="00081360" w:rsidRDefault="00567001" w:rsidP="000D1C1C">
            <w:pPr>
              <w:pBdr>
                <w:top w:val="single" w:sz="6" w:space="0" w:color="FFFFFF"/>
                <w:left w:val="single" w:sz="6" w:space="0" w:color="FFFFFF"/>
                <w:bottom w:val="single" w:sz="6" w:space="0" w:color="FFFFFF"/>
                <w:right w:val="single" w:sz="6" w:space="0" w:color="FFFFFF"/>
              </w:pBdr>
              <w:spacing w:after="58"/>
            </w:pPr>
            <w:r w:rsidRPr="00567001">
              <w:t xml:space="preserve">Reports of </w:t>
            </w:r>
            <w:proofErr w:type="spellStart"/>
            <w:r w:rsidRPr="00567001">
              <w:t>exceed</w:t>
            </w:r>
            <w:r w:rsidR="000D1C1C">
              <w:t>e</w:t>
            </w:r>
            <w:r w:rsidRPr="00567001">
              <w:t>nces</w:t>
            </w:r>
            <w:proofErr w:type="spellEnd"/>
          </w:p>
        </w:tc>
        <w:tc>
          <w:tcPr>
            <w:tcW w:w="207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N/A</w:t>
            </w:r>
          </w:p>
        </w:tc>
      </w:tr>
      <w:tr w:rsidR="006E465A" w:rsidRPr="00081360" w:rsidTr="004C0438">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Semiannual monitoring reports</w:t>
            </w:r>
          </w:p>
        </w:tc>
        <w:tc>
          <w:tcPr>
            <w:tcW w:w="207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 xml:space="preserve">N/A </w:t>
            </w:r>
          </w:p>
        </w:tc>
      </w:tr>
      <w:tr w:rsidR="006E465A" w:rsidRPr="00081360" w:rsidTr="004C0438">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Initial/repeat performance tests</w:t>
            </w:r>
          </w:p>
        </w:tc>
        <w:tc>
          <w:tcPr>
            <w:tcW w:w="207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N/A</w:t>
            </w:r>
          </w:p>
        </w:tc>
      </w:tr>
      <w:tr w:rsidR="004C0438" w:rsidRPr="00081360" w:rsidTr="004C0438">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4C0438"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B53B7E">
              <w:t>Quality assurance test plan</w:t>
            </w:r>
          </w:p>
        </w:tc>
        <w:tc>
          <w:tcPr>
            <w:tcW w:w="2070" w:type="dxa"/>
            <w:tcBorders>
              <w:top w:val="single" w:sz="7" w:space="0" w:color="000000"/>
              <w:left w:val="single" w:sz="7" w:space="0" w:color="000000"/>
              <w:bottom w:val="single" w:sz="7" w:space="0" w:color="000000"/>
              <w:right w:val="single" w:sz="7" w:space="0" w:color="000000"/>
            </w:tcBorders>
          </w:tcPr>
          <w:p w:rsidR="004C0438" w:rsidRPr="00081360" w:rsidDel="004C0438" w:rsidRDefault="00B53B7E" w:rsidP="00C7400E">
            <w:pPr>
              <w:pBdr>
                <w:top w:val="single" w:sz="6" w:space="0" w:color="FFFFFF"/>
                <w:left w:val="single" w:sz="6" w:space="0" w:color="FFFFFF"/>
                <w:bottom w:val="single" w:sz="6" w:space="0" w:color="FFFFFF"/>
                <w:right w:val="single" w:sz="6" w:space="0" w:color="FFFFFF"/>
              </w:pBdr>
              <w:spacing w:after="58"/>
            </w:pPr>
            <w:r>
              <w:rPr>
                <w:sz w:val="22"/>
                <w:szCs w:val="22"/>
              </w:rPr>
              <w:t>N/A</w:t>
            </w:r>
          </w:p>
        </w:tc>
      </w:tr>
      <w:tr w:rsidR="004C0438" w:rsidRPr="00081360" w:rsidTr="004C0438">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4C0438"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CMS performance evaluation/report</w:t>
            </w:r>
          </w:p>
        </w:tc>
        <w:tc>
          <w:tcPr>
            <w:tcW w:w="2070" w:type="dxa"/>
            <w:tcBorders>
              <w:top w:val="single" w:sz="7" w:space="0" w:color="000000"/>
              <w:left w:val="single" w:sz="7" w:space="0" w:color="000000"/>
              <w:bottom w:val="single" w:sz="7" w:space="0" w:color="000000"/>
              <w:right w:val="single" w:sz="7" w:space="0" w:color="000000"/>
            </w:tcBorders>
          </w:tcPr>
          <w:p w:rsidR="004C0438" w:rsidRPr="00081360" w:rsidDel="004C0438" w:rsidRDefault="00567001" w:rsidP="00C7400E">
            <w:pPr>
              <w:pBdr>
                <w:top w:val="single" w:sz="6" w:space="0" w:color="FFFFFF"/>
                <w:left w:val="single" w:sz="6" w:space="0" w:color="FFFFFF"/>
                <w:bottom w:val="single" w:sz="6" w:space="0" w:color="FFFFFF"/>
                <w:right w:val="single" w:sz="6" w:space="0" w:color="FFFFFF"/>
              </w:pBdr>
              <w:spacing w:after="58"/>
            </w:pPr>
            <w:r w:rsidRPr="00567001">
              <w:t>63.8(e)(5)</w:t>
            </w:r>
          </w:p>
        </w:tc>
      </w:tr>
      <w:tr w:rsidR="004C0438" w:rsidRPr="00081360" w:rsidTr="004C0438">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4C0438"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SSM reports</w:t>
            </w:r>
          </w:p>
        </w:tc>
        <w:tc>
          <w:tcPr>
            <w:tcW w:w="2070" w:type="dxa"/>
            <w:tcBorders>
              <w:top w:val="single" w:sz="7" w:space="0" w:color="000000"/>
              <w:left w:val="single" w:sz="7" w:space="0" w:color="000000"/>
              <w:bottom w:val="single" w:sz="7" w:space="0" w:color="000000"/>
              <w:right w:val="single" w:sz="7" w:space="0" w:color="000000"/>
            </w:tcBorders>
          </w:tcPr>
          <w:p w:rsidR="004C0438" w:rsidRPr="00081360" w:rsidDel="004C0438" w:rsidRDefault="00567001" w:rsidP="00C7400E">
            <w:pPr>
              <w:pBdr>
                <w:top w:val="single" w:sz="6" w:space="0" w:color="FFFFFF"/>
                <w:left w:val="single" w:sz="6" w:space="0" w:color="FFFFFF"/>
                <w:bottom w:val="single" w:sz="6" w:space="0" w:color="FFFFFF"/>
                <w:right w:val="single" w:sz="6" w:space="0" w:color="FFFFFF"/>
              </w:pBdr>
              <w:spacing w:after="58"/>
            </w:pPr>
            <w:r w:rsidRPr="00567001">
              <w:t>63.6(e)(3)</w:t>
            </w:r>
          </w:p>
        </w:tc>
      </w:tr>
      <w:tr w:rsidR="004C0438" w:rsidRPr="00081360" w:rsidTr="004C0438">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4C0438"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Excess emissions reports</w:t>
            </w:r>
          </w:p>
        </w:tc>
        <w:tc>
          <w:tcPr>
            <w:tcW w:w="2070" w:type="dxa"/>
            <w:tcBorders>
              <w:top w:val="single" w:sz="7" w:space="0" w:color="000000"/>
              <w:left w:val="single" w:sz="7" w:space="0" w:color="000000"/>
              <w:bottom w:val="single" w:sz="7" w:space="0" w:color="000000"/>
              <w:right w:val="single" w:sz="7" w:space="0" w:color="000000"/>
            </w:tcBorders>
          </w:tcPr>
          <w:p w:rsidR="004C0438" w:rsidRPr="00081360" w:rsidDel="004C0438" w:rsidRDefault="00567001" w:rsidP="00C7400E">
            <w:pPr>
              <w:pBdr>
                <w:top w:val="single" w:sz="6" w:space="0" w:color="FFFFFF"/>
                <w:left w:val="single" w:sz="6" w:space="0" w:color="FFFFFF"/>
                <w:bottom w:val="single" w:sz="6" w:space="0" w:color="FFFFFF"/>
                <w:right w:val="single" w:sz="6" w:space="0" w:color="FFFFFF"/>
              </w:pBdr>
              <w:spacing w:after="58"/>
            </w:pPr>
            <w:r w:rsidRPr="00567001">
              <w:t xml:space="preserve"> 63.10(e)(3)</w:t>
            </w:r>
          </w:p>
        </w:tc>
      </w:tr>
      <w:tr w:rsidR="004C0438" w:rsidRPr="00081360" w:rsidTr="004C0438">
        <w:trPr>
          <w:cantSplit/>
          <w:jc w:val="center"/>
        </w:trPr>
        <w:tc>
          <w:tcPr>
            <w:tcW w:w="7290" w:type="dxa"/>
            <w:tcBorders>
              <w:top w:val="single" w:sz="7" w:space="0" w:color="000000"/>
              <w:left w:val="single" w:sz="7" w:space="0" w:color="000000"/>
              <w:bottom w:val="single" w:sz="7" w:space="0" w:color="000000"/>
              <w:right w:val="single" w:sz="7" w:space="0" w:color="000000"/>
            </w:tcBorders>
          </w:tcPr>
          <w:p w:rsidR="004C0438" w:rsidRPr="00081360" w:rsidRDefault="00567001" w:rsidP="00C7400E">
            <w:pPr>
              <w:pBdr>
                <w:top w:val="single" w:sz="6" w:space="0" w:color="FFFFFF"/>
                <w:left w:val="single" w:sz="6" w:space="0" w:color="FFFFFF"/>
                <w:bottom w:val="single" w:sz="6" w:space="0" w:color="FFFFFF"/>
                <w:right w:val="single" w:sz="6" w:space="0" w:color="FFFFFF"/>
              </w:pBdr>
              <w:spacing w:after="58"/>
            </w:pPr>
            <w:r w:rsidRPr="00567001">
              <w:t>Annual compliance certifications</w:t>
            </w:r>
          </w:p>
        </w:tc>
        <w:tc>
          <w:tcPr>
            <w:tcW w:w="2070" w:type="dxa"/>
            <w:tcBorders>
              <w:top w:val="single" w:sz="7" w:space="0" w:color="000000"/>
              <w:left w:val="single" w:sz="7" w:space="0" w:color="000000"/>
              <w:bottom w:val="single" w:sz="7" w:space="0" w:color="000000"/>
              <w:right w:val="single" w:sz="7" w:space="0" w:color="000000"/>
            </w:tcBorders>
          </w:tcPr>
          <w:p w:rsidR="004C0438" w:rsidRPr="00081360" w:rsidDel="004C0438" w:rsidRDefault="00567001" w:rsidP="00C7400E">
            <w:pPr>
              <w:pBdr>
                <w:top w:val="single" w:sz="6" w:space="0" w:color="FFFFFF"/>
                <w:left w:val="single" w:sz="6" w:space="0" w:color="FFFFFF"/>
                <w:bottom w:val="single" w:sz="6" w:space="0" w:color="FFFFFF"/>
                <w:right w:val="single" w:sz="6" w:space="0" w:color="FFFFFF"/>
              </w:pBdr>
              <w:spacing w:after="58"/>
            </w:pPr>
            <w:r w:rsidRPr="00567001">
              <w:t>N/A</w:t>
            </w:r>
          </w:p>
        </w:tc>
      </w:tr>
    </w:tbl>
    <w:p w:rsidR="006E465A" w:rsidRPr="00081360" w:rsidRDefault="006E465A" w:rsidP="006E465A">
      <w:pPr>
        <w:pBdr>
          <w:top w:val="single" w:sz="6" w:space="0" w:color="FFFFFF"/>
          <w:left w:val="single" w:sz="6" w:space="0" w:color="FFFFFF"/>
          <w:bottom w:val="single" w:sz="6" w:space="0" w:color="FFFFFF"/>
          <w:right w:val="single" w:sz="6" w:space="0" w:color="FFFFFF"/>
        </w:pBdr>
        <w:ind w:firstLine="720"/>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A source must keep the following records: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110"/>
        <w:gridCol w:w="2250"/>
      </w:tblGrid>
      <w:tr w:rsidR="006E465A" w:rsidRPr="00081360" w:rsidTr="00241D7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6E465A" w:rsidRPr="00081360" w:rsidRDefault="006E465A" w:rsidP="00C7400E">
            <w:pPr>
              <w:spacing w:line="120" w:lineRule="exact"/>
            </w:pPr>
          </w:p>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8"/>
              <w:jc w:val="center"/>
              <w:rPr>
                <w:b/>
              </w:rPr>
            </w:pPr>
            <w:r w:rsidRPr="00567001">
              <w:rPr>
                <w:b/>
              </w:rPr>
              <w:t>Recordkeeping</w:t>
            </w:r>
          </w:p>
        </w:tc>
      </w:tr>
      <w:tr w:rsidR="006E465A" w:rsidRPr="00081360" w:rsidTr="00241D7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E465A" w:rsidRPr="00081360" w:rsidRDefault="00567001" w:rsidP="00241D70">
            <w:pPr>
              <w:pBdr>
                <w:top w:val="single" w:sz="6" w:space="0" w:color="FFFFFF"/>
                <w:left w:val="single" w:sz="6" w:space="0" w:color="FFFFFF"/>
                <w:bottom w:val="single" w:sz="6" w:space="0" w:color="FFFFFF"/>
                <w:right w:val="single" w:sz="6" w:space="0" w:color="FFFFFF"/>
              </w:pBdr>
              <w:spacing w:after="58"/>
            </w:pPr>
            <w:r w:rsidRPr="00567001">
              <w:t>Records of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6E465A" w:rsidRPr="00081360" w:rsidRDefault="00567001" w:rsidP="00241D70">
            <w:pPr>
              <w:pBdr>
                <w:top w:val="single" w:sz="6" w:space="0" w:color="FFFFFF"/>
                <w:left w:val="single" w:sz="6" w:space="0" w:color="FFFFFF"/>
                <w:bottom w:val="single" w:sz="6" w:space="0" w:color="FFFFFF"/>
                <w:right w:val="single" w:sz="6" w:space="0" w:color="FFFFFF"/>
              </w:pBdr>
              <w:spacing w:after="58"/>
            </w:pPr>
            <w:r w:rsidRPr="00567001">
              <w:t>63.10</w:t>
            </w:r>
          </w:p>
        </w:tc>
      </w:tr>
      <w:tr w:rsidR="006E465A" w:rsidRPr="00081360" w:rsidTr="00241D7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E465A" w:rsidRPr="00081360" w:rsidRDefault="00567001" w:rsidP="00241D70">
            <w:pPr>
              <w:pBdr>
                <w:top w:val="single" w:sz="6" w:space="0" w:color="FFFFFF"/>
                <w:left w:val="single" w:sz="6" w:space="0" w:color="FFFFFF"/>
                <w:bottom w:val="single" w:sz="6" w:space="0" w:color="FFFFFF"/>
                <w:right w:val="single" w:sz="6" w:space="0" w:color="FFFFFF"/>
              </w:pBdr>
              <w:spacing w:after="58"/>
            </w:pPr>
            <w:r w:rsidRPr="00567001">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6E465A" w:rsidRPr="00081360" w:rsidRDefault="00567001" w:rsidP="00241D70">
            <w:pPr>
              <w:pBdr>
                <w:top w:val="single" w:sz="6" w:space="0" w:color="FFFFFF"/>
                <w:left w:val="single" w:sz="6" w:space="0" w:color="FFFFFF"/>
                <w:bottom w:val="single" w:sz="6" w:space="0" w:color="FFFFFF"/>
                <w:right w:val="single" w:sz="6" w:space="0" w:color="FFFFFF"/>
              </w:pBdr>
              <w:spacing w:after="58"/>
            </w:pPr>
            <w:r w:rsidRPr="00567001">
              <w:t>63.10</w:t>
            </w:r>
          </w:p>
        </w:tc>
      </w:tr>
      <w:tr w:rsidR="006E465A" w:rsidRPr="00081360" w:rsidTr="00241D7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E465A" w:rsidRPr="00081360" w:rsidRDefault="00567001" w:rsidP="00241D70">
            <w:pPr>
              <w:pBdr>
                <w:top w:val="single" w:sz="6" w:space="0" w:color="FFFFFF"/>
                <w:left w:val="single" w:sz="6" w:space="0" w:color="FFFFFF"/>
                <w:bottom w:val="single" w:sz="6" w:space="0" w:color="FFFFFF"/>
                <w:right w:val="single" w:sz="6" w:space="0" w:color="FFFFFF"/>
              </w:pBdr>
              <w:spacing w:after="58"/>
            </w:pPr>
            <w:r w:rsidRPr="00567001">
              <w:t>Monitoring information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6E465A" w:rsidRPr="00081360" w:rsidRDefault="00567001" w:rsidP="00241D70">
            <w:pPr>
              <w:pBdr>
                <w:top w:val="single" w:sz="6" w:space="0" w:color="FFFFFF"/>
                <w:left w:val="single" w:sz="6" w:space="0" w:color="FFFFFF"/>
                <w:bottom w:val="single" w:sz="6" w:space="0" w:color="FFFFFF"/>
                <w:right w:val="single" w:sz="6" w:space="0" w:color="FFFFFF"/>
              </w:pBdr>
              <w:spacing w:after="58"/>
            </w:pPr>
            <w:r w:rsidRPr="00567001">
              <w:t>63.10</w:t>
            </w:r>
          </w:p>
        </w:tc>
      </w:tr>
    </w:tbl>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pPr>
      <w:r w:rsidRPr="00567001">
        <w:rPr>
          <w:u w:val="single"/>
        </w:rPr>
        <w:t>Electronic Reporting</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Also, regulatory agencies in cooperation with the respondents continue to create reporting systems to transmit data electronically.  However, electronic reporting systems are still not widely used.  At this time, it is estimated that approximately </w:t>
      </w:r>
      <w:r w:rsidR="00B53B7E">
        <w:t>2</w:t>
      </w:r>
      <w:r w:rsidRPr="00567001">
        <w:t>0 percent of the respondents use electronic reporting.</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1440"/>
        <w:rPr>
          <w:b/>
          <w:bCs/>
        </w:rPr>
      </w:pPr>
      <w:r w:rsidRPr="00567001">
        <w:rPr>
          <w:b/>
          <w:bCs/>
        </w:rPr>
        <w:t>(ii)  Respondent Activities</w:t>
      </w:r>
      <w:r w:rsidRPr="00567001">
        <w:rPr>
          <w:b/>
          <w:bCs/>
        </w:rPr>
        <w:tab/>
      </w:r>
    </w:p>
    <w:p w:rsidR="006E465A" w:rsidRPr="00081360" w:rsidRDefault="006E465A" w:rsidP="006E465A">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6E465A" w:rsidRPr="00081360" w:rsidTr="00C7400E">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6E465A" w:rsidP="00C7400E">
            <w:pPr>
              <w:spacing w:line="120" w:lineRule="exact"/>
            </w:pPr>
          </w:p>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5"/>
              <w:jc w:val="center"/>
              <w:rPr>
                <w:b/>
                <w:bCs/>
              </w:rPr>
            </w:pPr>
            <w:r w:rsidRPr="00567001">
              <w:rPr>
                <w:b/>
                <w:bCs/>
              </w:rPr>
              <w:t>Respondent Activities</w:t>
            </w:r>
          </w:p>
        </w:tc>
      </w:tr>
      <w:tr w:rsidR="006E465A"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5"/>
            </w:pPr>
            <w:r w:rsidRPr="00567001">
              <w:t>Read instructions.</w:t>
            </w:r>
          </w:p>
        </w:tc>
      </w:tr>
      <w:tr w:rsidR="006E465A"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28638D">
            <w:pPr>
              <w:pBdr>
                <w:top w:val="single" w:sz="6" w:space="0" w:color="FFFFFF"/>
                <w:left w:val="single" w:sz="6" w:space="0" w:color="FFFFFF"/>
                <w:bottom w:val="single" w:sz="6" w:space="0" w:color="FFFFFF"/>
                <w:right w:val="single" w:sz="6" w:space="0" w:color="FFFFFF"/>
              </w:pBdr>
              <w:spacing w:after="55"/>
            </w:pPr>
            <w:r w:rsidRPr="00567001">
              <w:t>Install, calibrate, maintain, and operate CMS for opacity, or for pressure drop and liquid supply pressure for control device.</w:t>
            </w:r>
          </w:p>
        </w:tc>
      </w:tr>
      <w:tr w:rsidR="006E465A"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28638D">
            <w:pPr>
              <w:pBdr>
                <w:top w:val="single" w:sz="6" w:space="0" w:color="FFFFFF"/>
                <w:left w:val="single" w:sz="6" w:space="0" w:color="FFFFFF"/>
                <w:bottom w:val="single" w:sz="6" w:space="0" w:color="FFFFFF"/>
                <w:right w:val="single" w:sz="6" w:space="0" w:color="FFFFFF"/>
              </w:pBdr>
              <w:spacing w:after="55"/>
            </w:pPr>
            <w:r w:rsidRPr="00567001">
              <w:t>Perform initial performance test, Reference Method 22/ 9(c) test, and repeat performance tests if necessary.</w:t>
            </w:r>
          </w:p>
        </w:tc>
      </w:tr>
      <w:tr w:rsidR="006E465A"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5"/>
            </w:pPr>
            <w:r w:rsidRPr="00567001">
              <w:t>Write the notifications and reports listed above.</w:t>
            </w:r>
          </w:p>
        </w:tc>
      </w:tr>
      <w:tr w:rsidR="006E465A"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5"/>
            </w:pPr>
            <w:r w:rsidRPr="00567001">
              <w:t>Enter information required to be recorded above.</w:t>
            </w:r>
          </w:p>
        </w:tc>
      </w:tr>
      <w:tr w:rsidR="006E465A"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5"/>
            </w:pPr>
            <w:r w:rsidRPr="00567001">
              <w:t>Submit the required reports developing, acquiring, installing, and utilizing technology and systems for the purpose of collecting, validating, and verifying information.</w:t>
            </w:r>
          </w:p>
        </w:tc>
      </w:tr>
      <w:tr w:rsidR="006E465A"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5"/>
            </w:pPr>
            <w:r w:rsidRPr="00567001">
              <w:t>Develop, acquire, install, and utilize technology and systems for the purpose of processing and maintaining information.</w:t>
            </w:r>
          </w:p>
        </w:tc>
      </w:tr>
      <w:tr w:rsidR="006E465A"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5"/>
            </w:pPr>
            <w:r w:rsidRPr="00567001">
              <w:t>Develop, acquire, install, and utilize technology and systems for the purpose of disclosing and providing information.</w:t>
            </w:r>
          </w:p>
        </w:tc>
      </w:tr>
      <w:tr w:rsidR="00C75550"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C75550" w:rsidRPr="00567001" w:rsidRDefault="00C75550" w:rsidP="00C7400E">
            <w:pPr>
              <w:pBdr>
                <w:top w:val="single" w:sz="6" w:space="0" w:color="FFFFFF"/>
                <w:left w:val="single" w:sz="6" w:space="0" w:color="FFFFFF"/>
                <w:bottom w:val="single" w:sz="6" w:space="0" w:color="FFFFFF"/>
                <w:right w:val="single" w:sz="6" w:space="0" w:color="FFFFFF"/>
              </w:pBdr>
              <w:spacing w:after="55"/>
            </w:pPr>
            <w:r>
              <w:t>Adjust the existing ways to comply with any previously applicable instructions and requirements.</w:t>
            </w:r>
          </w:p>
        </w:tc>
      </w:tr>
      <w:tr w:rsidR="006E465A" w:rsidRPr="00081360" w:rsidTr="00C7400E">
        <w:trPr>
          <w:jc w:val="cent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5"/>
            </w:pPr>
            <w:r w:rsidRPr="00567001">
              <w:lastRenderedPageBreak/>
              <w:t>Train personnel to be able to respond to a collection of information.</w:t>
            </w:r>
          </w:p>
        </w:tc>
      </w:tr>
      <w:tr w:rsidR="006E465A" w:rsidRPr="00081360" w:rsidTr="00C7400E">
        <w:trPr>
          <w:jc w:val="center"/>
        </w:trPr>
        <w:tc>
          <w:tcPr>
            <w:tcW w:w="9360" w:type="dxa"/>
            <w:tcBorders>
              <w:top w:val="single" w:sz="7" w:space="0" w:color="000000"/>
              <w:left w:val="single" w:sz="7" w:space="0" w:color="000000"/>
              <w:bottom w:val="single" w:sz="7" w:space="0" w:color="000000"/>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74"/>
            </w:pPr>
            <w:r w:rsidRPr="00567001">
              <w:t>Transmit, or otherwise disclose the information.</w:t>
            </w:r>
          </w:p>
        </w:tc>
      </w:tr>
    </w:tbl>
    <w:p w:rsidR="006E465A" w:rsidRPr="00F93667" w:rsidRDefault="00B53B7E" w:rsidP="006E465A">
      <w:pPr>
        <w:pBdr>
          <w:top w:val="single" w:sz="6" w:space="0" w:color="FFFFFF"/>
          <w:left w:val="single" w:sz="6" w:space="0" w:color="FFFFFF"/>
          <w:bottom w:val="single" w:sz="6" w:space="0" w:color="FFFFFF"/>
          <w:right w:val="single" w:sz="6" w:space="0" w:color="FFFFFF"/>
        </w:pBdr>
      </w:pPr>
      <w:r w:rsidRPr="00567001">
        <w:t xml:space="preserve"> </w:t>
      </w:r>
    </w:p>
    <w:p w:rsidR="006E465A" w:rsidRPr="00081360" w:rsidRDefault="00567001" w:rsidP="006E465A">
      <w:pPr>
        <w:pBdr>
          <w:top w:val="single" w:sz="6" w:space="0" w:color="FFFFFF"/>
          <w:left w:val="single" w:sz="6" w:space="0" w:color="FFFFFF"/>
          <w:bottom w:val="single" w:sz="6" w:space="0" w:color="FFFFFF"/>
          <w:right w:val="single" w:sz="6" w:space="0" w:color="FFFFFF"/>
        </w:pBdr>
        <w:rPr>
          <w:b/>
          <w:bCs/>
        </w:rPr>
      </w:pPr>
      <w:r w:rsidRPr="00567001">
        <w:rPr>
          <w:b/>
          <w:bCs/>
        </w:rPr>
        <w:t>5.  The Information Collected:  Agency Activities, Collection Methodology, and Information Management</w:t>
      </w:r>
    </w:p>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5(a)  Agency Activities</w:t>
      </w:r>
      <w:r w:rsidRPr="00567001">
        <w:t xml:space="preserve">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EPA conducts the following activities in connection with the acquisition, analysis, storage, and distribution of the required information.</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6E465A" w:rsidRPr="00081360" w:rsidTr="00C7400E">
        <w:trPr>
          <w:tblHeader/>
        </w:trPr>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6E465A" w:rsidP="00C7400E">
            <w:pPr>
              <w:spacing w:line="120" w:lineRule="exact"/>
            </w:pPr>
          </w:p>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2"/>
              <w:jc w:val="center"/>
              <w:rPr>
                <w:b/>
                <w:bCs/>
              </w:rPr>
            </w:pPr>
            <w:r w:rsidRPr="00567001">
              <w:rPr>
                <w:b/>
                <w:bCs/>
              </w:rPr>
              <w:t>Agency Activities</w:t>
            </w:r>
          </w:p>
        </w:tc>
      </w:tr>
      <w:tr w:rsidR="00F93667" w:rsidRPr="00081360" w:rsidTr="00C7400E">
        <w:tc>
          <w:tcPr>
            <w:tcW w:w="9360" w:type="dxa"/>
            <w:tcBorders>
              <w:top w:val="single" w:sz="7" w:space="0" w:color="000000"/>
              <w:left w:val="single" w:sz="7" w:space="0" w:color="000000"/>
              <w:bottom w:val="single" w:sz="6" w:space="0" w:color="FFFFFF"/>
              <w:right w:val="single" w:sz="7" w:space="0" w:color="000000"/>
            </w:tcBorders>
          </w:tcPr>
          <w:p w:rsidR="00F93667" w:rsidRPr="00567001" w:rsidRDefault="00F93667" w:rsidP="00C7400E">
            <w:pPr>
              <w:pBdr>
                <w:top w:val="single" w:sz="6" w:space="0" w:color="FFFFFF"/>
                <w:left w:val="single" w:sz="6" w:space="0" w:color="FFFFFF"/>
                <w:bottom w:val="single" w:sz="6" w:space="0" w:color="FFFFFF"/>
                <w:right w:val="single" w:sz="6" w:space="0" w:color="FFFFFF"/>
              </w:pBdr>
              <w:spacing w:after="52"/>
            </w:pPr>
            <w:r>
              <w:t>Observe initial performance tests and repeat performance tests if necessary.</w:t>
            </w:r>
          </w:p>
        </w:tc>
      </w:tr>
      <w:tr w:rsidR="006E465A" w:rsidRPr="00081360" w:rsidTr="00C7400E">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2"/>
            </w:pPr>
            <w:r w:rsidRPr="00567001">
              <w:t>Review notifications and reports, including performance test reports, and excess emissions reports, required to be submitted by industry.</w:t>
            </w:r>
          </w:p>
        </w:tc>
      </w:tr>
      <w:tr w:rsidR="006E465A" w:rsidRPr="00081360" w:rsidTr="00C7400E">
        <w:tc>
          <w:tcPr>
            <w:tcW w:w="9360" w:type="dxa"/>
            <w:tcBorders>
              <w:top w:val="single" w:sz="7" w:space="0" w:color="000000"/>
              <w:left w:val="single" w:sz="7" w:space="0" w:color="000000"/>
              <w:bottom w:val="single" w:sz="6" w:space="0" w:color="FFFFFF"/>
              <w:right w:val="single" w:sz="7" w:space="0" w:color="000000"/>
            </w:tcBorders>
          </w:tcPr>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2"/>
            </w:pPr>
            <w:r w:rsidRPr="00567001">
              <w:t>Audit facility records.</w:t>
            </w:r>
          </w:p>
        </w:tc>
      </w:tr>
      <w:tr w:rsidR="006E465A" w:rsidRPr="00081360" w:rsidTr="00C7400E">
        <w:tc>
          <w:tcPr>
            <w:tcW w:w="9360" w:type="dxa"/>
            <w:tcBorders>
              <w:top w:val="single" w:sz="7" w:space="0" w:color="000000"/>
              <w:left w:val="single" w:sz="7" w:space="0" w:color="000000"/>
              <w:bottom w:val="single" w:sz="7" w:space="0" w:color="000000"/>
              <w:right w:val="single" w:sz="7" w:space="0" w:color="000000"/>
            </w:tcBorders>
          </w:tcPr>
          <w:p w:rsidR="006E465A" w:rsidRPr="00081360" w:rsidRDefault="00567001" w:rsidP="00F93667">
            <w:pPr>
              <w:pBdr>
                <w:top w:val="single" w:sz="6" w:space="0" w:color="FFFFFF"/>
                <w:left w:val="single" w:sz="6" w:space="0" w:color="FFFFFF"/>
                <w:bottom w:val="single" w:sz="6" w:space="0" w:color="FFFFFF"/>
                <w:right w:val="single" w:sz="6" w:space="0" w:color="FFFFFF"/>
              </w:pBdr>
              <w:spacing w:after="72"/>
            </w:pPr>
            <w:r w:rsidRPr="00567001">
              <w:t xml:space="preserve">Input, analyze, and maintain data in the </w:t>
            </w:r>
            <w:r w:rsidR="002F2C9B">
              <w:t xml:space="preserve">Online Tracking </w:t>
            </w:r>
            <w:r w:rsidR="00F93667">
              <w:t>Information System (OTIS).</w:t>
            </w:r>
          </w:p>
        </w:tc>
      </w:tr>
    </w:tbl>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rPr>
          <w:b/>
          <w:bCs/>
        </w:rPr>
      </w:pPr>
      <w:r w:rsidRPr="00567001">
        <w:rPr>
          <w:b/>
          <w:bCs/>
        </w:rPr>
        <w:t>5(b</w:t>
      </w:r>
      <w:proofErr w:type="gramStart"/>
      <w:r w:rsidRPr="00567001">
        <w:rPr>
          <w:b/>
          <w:bCs/>
        </w:rPr>
        <w:t>)  Collection</w:t>
      </w:r>
      <w:proofErr w:type="gramEnd"/>
      <w:r w:rsidRPr="00567001">
        <w:rPr>
          <w:b/>
          <w:bCs/>
        </w:rPr>
        <w:t xml:space="preserve"> Methodology and Management</w:t>
      </w:r>
    </w:p>
    <w:p w:rsidR="00E32210" w:rsidRPr="00081360" w:rsidRDefault="00E32210" w:rsidP="006E465A">
      <w:pPr>
        <w:pBdr>
          <w:top w:val="single" w:sz="6" w:space="0" w:color="FFFFFF"/>
          <w:left w:val="single" w:sz="6" w:space="0" w:color="FFFFFF"/>
          <w:bottom w:val="single" w:sz="6" w:space="0" w:color="FFFFFF"/>
          <w:right w:val="single" w:sz="6" w:space="0" w:color="FFFFFF"/>
        </w:pBdr>
        <w:ind w:firstLine="720"/>
      </w:pPr>
    </w:p>
    <w:p w:rsidR="006F5165" w:rsidRPr="00081360" w:rsidRDefault="00567001" w:rsidP="006E465A">
      <w:pPr>
        <w:pBdr>
          <w:top w:val="single" w:sz="6" w:space="0" w:color="FFFFFF"/>
          <w:left w:val="single" w:sz="6" w:space="0" w:color="FFFFFF"/>
          <w:bottom w:val="single" w:sz="6" w:space="0" w:color="FFFFFF"/>
          <w:right w:val="single" w:sz="6" w:space="0" w:color="FFFFFF"/>
        </w:pBdr>
      </w:pPr>
      <w:r w:rsidRPr="00567001">
        <w:tab/>
        <w:t>Following notification of startup, the reviewing authority could inspect the source to determine whether the pollution control devices are properly installed and operated.  Performance test reports are used by the Agency to discern a source’s initial capability to comply with the</w:t>
      </w:r>
      <w:r w:rsidR="001B1683">
        <w:t xml:space="preserve"> emission standard.  </w:t>
      </w:r>
      <w:r w:rsidRPr="00567001">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Information contained in the reports is entered into the </w:t>
      </w:r>
      <w:r w:rsidR="000C0FAB">
        <w:t>OTIS</w:t>
      </w:r>
      <w:r w:rsidRPr="00567001">
        <w:t xml:space="preserve"> which is operated and maintained by EPA's Office of Compliance.  </w:t>
      </w:r>
      <w:r w:rsidR="000C0FAB">
        <w:t>OTIS</w:t>
      </w:r>
      <w:r w:rsidRPr="00567001">
        <w:t xml:space="preserve"> is EPA’s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 The records required by this regulation must be retained by the owner/operator for five years.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BF02F9" w:rsidRDefault="00BF02F9" w:rsidP="006E465A">
      <w:pPr>
        <w:pBdr>
          <w:top w:val="single" w:sz="6" w:space="0" w:color="FFFFFF"/>
          <w:left w:val="single" w:sz="6" w:space="0" w:color="FFFFFF"/>
          <w:bottom w:val="single" w:sz="6" w:space="0" w:color="FFFFFF"/>
          <w:right w:val="single" w:sz="6" w:space="0" w:color="FFFFFF"/>
        </w:pBdr>
        <w:ind w:firstLine="720"/>
        <w:rPr>
          <w:b/>
          <w:bCs/>
        </w:rPr>
      </w:pPr>
    </w:p>
    <w:p w:rsidR="00BF02F9" w:rsidRDefault="00BF02F9" w:rsidP="006E465A">
      <w:pPr>
        <w:pBdr>
          <w:top w:val="single" w:sz="6" w:space="0" w:color="FFFFFF"/>
          <w:left w:val="single" w:sz="6" w:space="0" w:color="FFFFFF"/>
          <w:bottom w:val="single" w:sz="6" w:space="0" w:color="FFFFFF"/>
          <w:right w:val="single" w:sz="6" w:space="0" w:color="FFFFFF"/>
        </w:pBdr>
        <w:ind w:firstLine="720"/>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lastRenderedPageBreak/>
        <w:t>5(c</w:t>
      </w:r>
      <w:proofErr w:type="gramStart"/>
      <w:r w:rsidRPr="00567001">
        <w:rPr>
          <w:b/>
          <w:bCs/>
        </w:rPr>
        <w:t>)  Small</w:t>
      </w:r>
      <w:proofErr w:type="gramEnd"/>
      <w:r w:rsidRPr="00567001">
        <w:rPr>
          <w:b/>
          <w:bCs/>
        </w:rPr>
        <w:t xml:space="preserve"> Entity Flexibility</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B635A6" w:rsidRDefault="00B635A6" w:rsidP="00B635A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5(d)  Collection Schedule</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rPr>
          <w:b/>
          <w:bCs/>
        </w:rPr>
      </w:pPr>
      <w:r w:rsidRPr="00567001">
        <w:t xml:space="preserve">The specific frequency for each information collection activity within this </w:t>
      </w:r>
      <w:r w:rsidR="00B70636">
        <w:t>request is shown below</w:t>
      </w:r>
      <w:r w:rsidR="00BF02F9">
        <w:t xml:space="preserve"> in</w:t>
      </w:r>
      <w:r w:rsidR="00B70636">
        <w:t xml:space="preserve"> Table </w:t>
      </w:r>
      <w:r w:rsidRPr="00567001">
        <w:t>1</w:t>
      </w:r>
      <w:r w:rsidR="00BF02F9">
        <w:t>:</w:t>
      </w:r>
      <w:r w:rsidRPr="00567001">
        <w:t xml:space="preserve"> Annual Respondent Burden and Cost - NESHAP for Ferroalloys Production Area Sources (40 CFR Part 63, Subpart YYYYYY) (Renewal).</w:t>
      </w:r>
    </w:p>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rPr>
          <w:b/>
          <w:bCs/>
        </w:rPr>
      </w:pPr>
      <w:r w:rsidRPr="00567001">
        <w:rPr>
          <w:b/>
          <w:bCs/>
        </w:rPr>
        <w:t>6.  Estimating the Burden and Cost of the Collection</w:t>
      </w:r>
    </w:p>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Table 1 documents the computation of individual burdens for the recordkeeping and reporting requirements applicable to the industry for each subpart included in this ICR.  The individual burdens are expressed under standardized headings believed to be consistent with the concept of burden under the Paperwork Reduction Act.  Where</w:t>
      </w:r>
      <w:r w:rsidR="00B635A6">
        <w:t>ver</w:t>
      </w:r>
      <w:r w:rsidRPr="00567001">
        <w:t xml:space="preserve"> appropriate, specific tasks and major ass</w:t>
      </w:r>
      <w:r w:rsidR="00240A77">
        <w:t xml:space="preserve">umptions have been identified.  </w:t>
      </w:r>
      <w:r w:rsidRPr="00567001">
        <w:t>Responses to this information collection are mandatory.</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The Agency may not conduct or sponsor, and a person is not required to respond to, a collection of information unless it displays a currently valid OMB Control Number.</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6(a)  Estimating Respondent Burden</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The average annual burden to industry over the next three years from these recordkeeping and reporting requirements is estimated to be </w:t>
      </w:r>
      <w:r w:rsidR="007F6EDC">
        <w:t>3</w:t>
      </w:r>
      <w:r w:rsidR="000D69B0">
        <w:t>4</w:t>
      </w:r>
      <w:r w:rsidR="007F6EDC">
        <w:t>5</w:t>
      </w:r>
      <w:r w:rsidRPr="00567001">
        <w:t xml:space="preserve"> ( Tot</w:t>
      </w:r>
      <w:r w:rsidR="00B635A6">
        <w:t xml:space="preserve">al Labor Hours from Table 1).  </w:t>
      </w:r>
      <w:r w:rsidRPr="00567001">
        <w:t>These hours are based on Agency studies and background documents from the development of the regulation, Agency knowledge and experience with the NESHAP program, the previously approved ICR, and any comments received.</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rPr>
          <w:b/>
          <w:bCs/>
        </w:rPr>
      </w:pPr>
      <w:r w:rsidRPr="00567001">
        <w:rPr>
          <w:b/>
          <w:bCs/>
        </w:rPr>
        <w:t>6(b)  Estimating Respondent Costs</w:t>
      </w:r>
    </w:p>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1440"/>
      </w:pPr>
      <w:r w:rsidRPr="00567001">
        <w:rPr>
          <w:b/>
          <w:bCs/>
        </w:rPr>
        <w:t>(</w:t>
      </w:r>
      <w:proofErr w:type="spellStart"/>
      <w:r w:rsidRPr="00567001">
        <w:rPr>
          <w:b/>
          <w:bCs/>
        </w:rPr>
        <w:t>i</w:t>
      </w:r>
      <w:proofErr w:type="spellEnd"/>
      <w:r w:rsidRPr="00567001">
        <w:rPr>
          <w:b/>
          <w:bCs/>
        </w:rPr>
        <w:t>)  Estimating Labor Costs</w:t>
      </w:r>
      <w:r w:rsidRPr="00567001">
        <w:t xml:space="preserve"> </w:t>
      </w:r>
    </w:p>
    <w:p w:rsidR="006E465A" w:rsidRPr="00081360" w:rsidRDefault="00567001" w:rsidP="006E465A">
      <w:pPr>
        <w:pBdr>
          <w:top w:val="single" w:sz="6" w:space="0" w:color="FFFFFF"/>
          <w:left w:val="single" w:sz="6" w:space="0" w:color="FFFFFF"/>
          <w:bottom w:val="single" w:sz="6" w:space="0" w:color="FFFFFF"/>
          <w:right w:val="single" w:sz="6" w:space="0" w:color="FFFFFF"/>
        </w:pBdr>
      </w:pPr>
      <w:r w:rsidRPr="00567001">
        <w:t xml:space="preserve"> </w:t>
      </w: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This ICR uses the following labor rates: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tabs>
          <w:tab w:val="left" w:pos="-1440"/>
        </w:tabs>
        <w:ind w:left="2880" w:hanging="1440"/>
      </w:pPr>
      <w:r w:rsidRPr="00567001">
        <w:t>Managerial</w:t>
      </w:r>
      <w:r w:rsidRPr="00567001">
        <w:tab/>
        <w:t xml:space="preserve">$121.42 ($57.82 + 110%)   </w:t>
      </w:r>
    </w:p>
    <w:p w:rsidR="006E465A" w:rsidRPr="00081360" w:rsidRDefault="00567001" w:rsidP="006E465A">
      <w:pPr>
        <w:pBdr>
          <w:top w:val="single" w:sz="6" w:space="0" w:color="FFFFFF"/>
          <w:left w:val="single" w:sz="6" w:space="0" w:color="FFFFFF"/>
          <w:bottom w:val="single" w:sz="6" w:space="0" w:color="FFFFFF"/>
          <w:right w:val="single" w:sz="6" w:space="0" w:color="FFFFFF"/>
        </w:pBdr>
        <w:tabs>
          <w:tab w:val="left" w:pos="-1440"/>
        </w:tabs>
        <w:ind w:left="2880" w:hanging="1440"/>
      </w:pPr>
      <w:r w:rsidRPr="00567001">
        <w:t>Technical</w:t>
      </w:r>
      <w:r w:rsidRPr="00567001">
        <w:tab/>
        <w:t>$99.14 ($47.21 + 110%)</w:t>
      </w:r>
    </w:p>
    <w:p w:rsidR="006E465A" w:rsidRPr="00081360" w:rsidRDefault="00567001" w:rsidP="006E465A">
      <w:pPr>
        <w:pBdr>
          <w:top w:val="single" w:sz="6" w:space="0" w:color="FFFFFF"/>
          <w:left w:val="single" w:sz="6" w:space="0" w:color="FFFFFF"/>
          <w:bottom w:val="single" w:sz="6" w:space="0" w:color="FFFFFF"/>
          <w:right w:val="single" w:sz="6" w:space="0" w:color="FFFFFF"/>
        </w:pBdr>
        <w:tabs>
          <w:tab w:val="left" w:pos="-1440"/>
        </w:tabs>
        <w:ind w:left="2880" w:hanging="1440"/>
      </w:pPr>
      <w:r w:rsidRPr="00567001">
        <w:t>Clerical</w:t>
      </w:r>
      <w:r w:rsidRPr="00567001">
        <w:tab/>
        <w:t>$49.81 ($23.72 + 110%)</w:t>
      </w:r>
    </w:p>
    <w:p w:rsidR="006E465A" w:rsidRPr="00081360" w:rsidRDefault="00567001" w:rsidP="006E465A">
      <w:pPr>
        <w:pBdr>
          <w:top w:val="single" w:sz="6" w:space="0" w:color="FFFFFF"/>
          <w:left w:val="single" w:sz="6" w:space="0" w:color="FFFFFF"/>
          <w:bottom w:val="single" w:sz="6" w:space="0" w:color="FFFFFF"/>
          <w:right w:val="single" w:sz="6" w:space="0" w:color="FFFFFF"/>
        </w:pBdr>
      </w:pPr>
      <w:r w:rsidRPr="00567001">
        <w:lastRenderedPageBreak/>
        <w:t>These rates are from the United States Department of Labor, Bureau of Labor Statistics, September 2011, “Table 2. Civilian Workers, by occupational and industry group.”  The rates are from column 1, “Total compensation.”  The rates have been increased by 110 percent to account for the benefit packages available to those employed by private industry.</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1440"/>
        <w:rPr>
          <w:b/>
          <w:bCs/>
        </w:rPr>
      </w:pPr>
      <w:r w:rsidRPr="00567001">
        <w:rPr>
          <w:b/>
          <w:bCs/>
        </w:rPr>
        <w:t>(ii)  Estimating Capital/Startup and Operation and Maintenance Costs</w:t>
      </w:r>
    </w:p>
    <w:p w:rsidR="00E71FB6" w:rsidRPr="00081360" w:rsidRDefault="00E71FB6" w:rsidP="006E465A">
      <w:pPr>
        <w:pBdr>
          <w:top w:val="single" w:sz="6" w:space="0" w:color="FFFFFF"/>
          <w:left w:val="single" w:sz="6" w:space="0" w:color="FFFFFF"/>
          <w:bottom w:val="single" w:sz="6" w:space="0" w:color="FFFFFF"/>
          <w:right w:val="single" w:sz="6" w:space="0" w:color="FFFFFF"/>
        </w:pBdr>
        <w:ind w:firstLine="1440"/>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The only costs to the regulated industry resulting from information collection activities required by the subject standard are labor costs.  There are no capital/startup or operation and maintenance costs.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1440"/>
      </w:pPr>
      <w:r w:rsidRPr="00567001">
        <w:rPr>
          <w:b/>
          <w:bCs/>
        </w:rPr>
        <w:t>(iii)  Capital/Startup vs. Operation and Maintenance (O&amp;M) Costs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F80C44" w:rsidRDefault="00567001">
      <w:pPr>
        <w:pBdr>
          <w:top w:val="single" w:sz="6" w:space="0" w:color="FFFFFF"/>
          <w:left w:val="single" w:sz="6" w:space="0" w:color="FFFFFF"/>
          <w:bottom w:val="single" w:sz="6" w:space="0" w:color="FFFFFF"/>
          <w:right w:val="single" w:sz="6" w:space="0" w:color="FFFFFF"/>
        </w:pBdr>
        <w:ind w:firstLine="720"/>
      </w:pPr>
      <w:r w:rsidRPr="00567001">
        <w:t xml:space="preserve">The only type of industry costs associated with the information collection activity in the regulations </w:t>
      </w:r>
      <w:r w:rsidR="000D03E6">
        <w:t>is</w:t>
      </w:r>
      <w:r w:rsidRPr="00567001">
        <w:t xml:space="preserve"> labor costs.  There are no capital/startup or operation and maintenance costs.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6(c</w:t>
      </w:r>
      <w:proofErr w:type="gramStart"/>
      <w:r w:rsidRPr="00567001">
        <w:rPr>
          <w:b/>
          <w:bCs/>
        </w:rPr>
        <w:t>)  Estimating</w:t>
      </w:r>
      <w:proofErr w:type="gramEnd"/>
      <w:r w:rsidRPr="00567001">
        <w:rPr>
          <w:b/>
          <w:bCs/>
        </w:rPr>
        <w:t xml:space="preserve"> Agency Burden and Cost</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The average annual Agency cost during the three years of the ICR is estimated to be $1,757.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This cost is based on the average hourly labor rate as follows:</w:t>
      </w:r>
    </w:p>
    <w:p w:rsidR="006E465A" w:rsidRPr="00081360" w:rsidRDefault="006E465A" w:rsidP="006E465A"/>
    <w:p w:rsidR="006E465A" w:rsidRPr="00081360" w:rsidRDefault="00567001" w:rsidP="006E465A">
      <w:r w:rsidRPr="00567001">
        <w:tab/>
      </w:r>
      <w:r w:rsidRPr="00567001">
        <w:tab/>
        <w:t>Managerial</w:t>
      </w:r>
      <w:r w:rsidRPr="00567001">
        <w:tab/>
        <w:t xml:space="preserve">$62.27 (GS-13, Step 5, $38.92 + 60%) </w:t>
      </w:r>
    </w:p>
    <w:p w:rsidR="006E465A" w:rsidRPr="00081360" w:rsidRDefault="00567001" w:rsidP="006E465A">
      <w:r w:rsidRPr="00567001">
        <w:tab/>
      </w:r>
      <w:r w:rsidRPr="00567001">
        <w:tab/>
        <w:t>Technical</w:t>
      </w:r>
      <w:r w:rsidRPr="00567001">
        <w:tab/>
        <w:t>$46.21 (GS-12, Step 1, $28.88 + 60%)</w:t>
      </w:r>
    </w:p>
    <w:p w:rsidR="006E465A" w:rsidRPr="00081360" w:rsidRDefault="00567001" w:rsidP="006E465A">
      <w:r w:rsidRPr="00567001">
        <w:tab/>
      </w:r>
      <w:r w:rsidRPr="00567001">
        <w:tab/>
        <w:t>Clerical</w:t>
      </w:r>
      <w:r w:rsidRPr="00567001">
        <w:tab/>
        <w:t>$25.01 (GS-6, Step 3, $15.63 + 60%)</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03363A">
      <w:pPr>
        <w:pBdr>
          <w:top w:val="single" w:sz="6" w:space="0" w:color="FFFFFF"/>
          <w:left w:val="single" w:sz="6" w:space="0" w:color="FFFFFF"/>
          <w:bottom w:val="single" w:sz="6" w:space="0" w:color="FFFFFF"/>
          <w:right w:val="single" w:sz="6" w:space="0" w:color="FFFFFF"/>
        </w:pBdr>
        <w:ind w:firstLine="720"/>
      </w:pPr>
      <w:r w:rsidRPr="00567001">
        <w:t>These rates are from the Office of Personnel Management (OPM), 2011 General Schedule, which excludes locality</w:t>
      </w:r>
      <w:r w:rsidR="0003363A">
        <w:t>,</w:t>
      </w:r>
      <w:r w:rsidRPr="00567001">
        <w:t xml:space="preserve"> rates of pay.  The rates have been increased by 60 percent to account for the benefit packages available to government employees.  Details upon which this estimate is based appear below in Table 2: Annual Agency Burden and Cost -</w:t>
      </w:r>
      <w:r w:rsidR="005D2BA0">
        <w:t xml:space="preserve"> </w:t>
      </w:r>
      <w:r w:rsidRPr="00567001">
        <w:t>NESHAP for Ferroalloys P</w:t>
      </w:r>
      <w:r w:rsidR="000D1C1C">
        <w:t xml:space="preserve">roduction Area Sources (40 CFR </w:t>
      </w:r>
      <w:r w:rsidRPr="00567001">
        <w:t>Par</w:t>
      </w:r>
      <w:r w:rsidR="00E660E6">
        <w:t xml:space="preserve">t 63, Subpart YYYYYY) (Renewal).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rPr>
          <w:b/>
          <w:bCs/>
        </w:rPr>
      </w:pPr>
      <w:r w:rsidRPr="00567001">
        <w:rPr>
          <w:b/>
          <w:bCs/>
        </w:rPr>
        <w:t>6(d)  Estimating the Respondent Universe and Total Burden and Costs</w:t>
      </w:r>
    </w:p>
    <w:p w:rsidR="006E465A" w:rsidRPr="00081360" w:rsidRDefault="006E465A" w:rsidP="006E465A">
      <w:pPr>
        <w:pBdr>
          <w:top w:val="single" w:sz="6" w:space="0" w:color="FFFFFF"/>
          <w:left w:val="single" w:sz="6" w:space="0" w:color="FFFFFF"/>
          <w:bottom w:val="single" w:sz="6" w:space="0" w:color="FFFFFF"/>
          <w:right w:val="single" w:sz="6" w:space="0" w:color="FFFFFF"/>
        </w:pBdr>
        <w:rPr>
          <w:b/>
          <w:bCs/>
        </w:rP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Based on our research for this ICR, on average over the next three years, approximately 10 existing respondents wi</w:t>
      </w:r>
      <w:r w:rsidR="0061258B">
        <w:t xml:space="preserve">ll be subject to the standard.  </w:t>
      </w:r>
      <w:r w:rsidRPr="00567001">
        <w:t xml:space="preserve">It is estimated that no additional respondents per year will become subject.  The overall average number of respondents, as shown in the table below is 10 per year.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Default="00567001" w:rsidP="006E465A">
      <w:pPr>
        <w:pBdr>
          <w:top w:val="single" w:sz="6" w:space="0" w:color="FFFFFF"/>
          <w:left w:val="single" w:sz="6" w:space="0" w:color="FFFFFF"/>
          <w:bottom w:val="single" w:sz="6" w:space="0" w:color="FFFFFF"/>
          <w:right w:val="single" w:sz="6" w:space="0" w:color="FFFFFF"/>
        </w:pBdr>
        <w:ind w:firstLine="720"/>
      </w:pPr>
      <w:r w:rsidRPr="00567001">
        <w:lastRenderedPageBreak/>
        <w:t xml:space="preserve">The number of respondents is calculated using the following table that addresses the three years covered by this ICR.  </w:t>
      </w:r>
    </w:p>
    <w:p w:rsidR="0003363A" w:rsidRPr="00081360" w:rsidRDefault="0003363A" w:rsidP="006E465A">
      <w:pPr>
        <w:pBdr>
          <w:top w:val="single" w:sz="6" w:space="0" w:color="FFFFFF"/>
          <w:left w:val="single" w:sz="6" w:space="0" w:color="FFFFFF"/>
          <w:bottom w:val="single" w:sz="6" w:space="0" w:color="FFFFFF"/>
          <w:right w:val="single" w:sz="6" w:space="0" w:color="FFFFFF"/>
        </w:pBdr>
        <w:ind w:firstLine="720"/>
      </w:pPr>
    </w:p>
    <w:p w:rsidR="006E465A" w:rsidRPr="00081360" w:rsidRDefault="006E465A" w:rsidP="006E465A">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6E465A" w:rsidRPr="00081360" w:rsidTr="00C7400E">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6E465A" w:rsidRPr="00081360" w:rsidRDefault="006E465A" w:rsidP="00C7400E">
            <w:pPr>
              <w:spacing w:line="120" w:lineRule="exact"/>
            </w:pPr>
          </w:p>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2"/>
              <w:jc w:val="center"/>
              <w:rPr>
                <w:b/>
                <w:bCs/>
              </w:rPr>
            </w:pPr>
            <w:r w:rsidRPr="00567001">
              <w:rPr>
                <w:b/>
                <w:bCs/>
              </w:rPr>
              <w:t>Number of Respondents</w:t>
            </w:r>
          </w:p>
        </w:tc>
      </w:tr>
      <w:tr w:rsidR="006E465A" w:rsidRPr="00081360" w:rsidTr="00F43C24">
        <w:tc>
          <w:tcPr>
            <w:tcW w:w="900" w:type="dxa"/>
            <w:tcBorders>
              <w:top w:val="single" w:sz="7" w:space="0" w:color="000000"/>
              <w:left w:val="single" w:sz="7" w:space="0" w:color="000000"/>
              <w:bottom w:val="single" w:sz="6" w:space="0" w:color="FFFFFF"/>
              <w:right w:val="single" w:sz="6" w:space="0" w:color="FFFFFF"/>
            </w:tcBorders>
          </w:tcPr>
          <w:p w:rsidR="006E465A" w:rsidRPr="00081360" w:rsidRDefault="006E465A" w:rsidP="00C7400E">
            <w:pPr>
              <w:spacing w:line="120" w:lineRule="exact"/>
              <w:rPr>
                <w:b/>
                <w:bCs/>
              </w:rPr>
            </w:pPr>
          </w:p>
          <w:p w:rsidR="006E465A" w:rsidRPr="00081360" w:rsidRDefault="006E465A" w:rsidP="00C7400E">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6E465A" w:rsidRPr="00081360" w:rsidRDefault="006E465A" w:rsidP="00C7400E">
            <w:pPr>
              <w:spacing w:line="120" w:lineRule="exact"/>
              <w:rPr>
                <w:sz w:val="18"/>
                <w:szCs w:val="18"/>
              </w:rPr>
            </w:pPr>
          </w:p>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2"/>
              <w:rPr>
                <w:sz w:val="18"/>
                <w:szCs w:val="18"/>
              </w:rPr>
            </w:pPr>
            <w:r w:rsidRPr="00567001">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6E465A" w:rsidRPr="00081360" w:rsidRDefault="006E465A" w:rsidP="00C7400E">
            <w:pPr>
              <w:spacing w:line="120" w:lineRule="exact"/>
              <w:rPr>
                <w:sz w:val="18"/>
                <w:szCs w:val="18"/>
              </w:rPr>
            </w:pPr>
          </w:p>
          <w:p w:rsidR="006E465A" w:rsidRPr="00081360" w:rsidRDefault="00567001" w:rsidP="00A713EE">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Respondents That Do Not Submit Any Reports</w:t>
            </w:r>
          </w:p>
        </w:tc>
        <w:tc>
          <w:tcPr>
            <w:tcW w:w="1800" w:type="dxa"/>
            <w:gridSpan w:val="2"/>
            <w:tcBorders>
              <w:top w:val="single" w:sz="7" w:space="0" w:color="000000"/>
              <w:left w:val="single" w:sz="7" w:space="0" w:color="000000"/>
              <w:bottom w:val="single" w:sz="8" w:space="0" w:color="000000"/>
              <w:right w:val="single" w:sz="7" w:space="0" w:color="000000"/>
            </w:tcBorders>
          </w:tcPr>
          <w:p w:rsidR="006E465A" w:rsidRPr="00081360" w:rsidRDefault="006E465A" w:rsidP="00C7400E">
            <w:pPr>
              <w:spacing w:line="120" w:lineRule="exact"/>
              <w:rPr>
                <w:sz w:val="18"/>
                <w:szCs w:val="18"/>
              </w:rPr>
            </w:pPr>
          </w:p>
          <w:p w:rsidR="006E465A" w:rsidRPr="00081360" w:rsidRDefault="006E465A" w:rsidP="00C7400E">
            <w:pPr>
              <w:pBdr>
                <w:top w:val="single" w:sz="6" w:space="0" w:color="FFFFFF"/>
                <w:left w:val="single" w:sz="6" w:space="0" w:color="FFFFFF"/>
                <w:bottom w:val="single" w:sz="6" w:space="0" w:color="FFFFFF"/>
                <w:right w:val="single" w:sz="6" w:space="0" w:color="FFFFFF"/>
              </w:pBdr>
              <w:spacing w:after="52"/>
              <w:rPr>
                <w:sz w:val="18"/>
                <w:szCs w:val="18"/>
              </w:rPr>
            </w:pPr>
          </w:p>
        </w:tc>
      </w:tr>
      <w:tr w:rsidR="006E465A" w:rsidRPr="00081360" w:rsidTr="00F43C24">
        <w:tc>
          <w:tcPr>
            <w:tcW w:w="900" w:type="dxa"/>
            <w:tcBorders>
              <w:top w:val="single" w:sz="7" w:space="0" w:color="000000"/>
              <w:left w:val="single" w:sz="7" w:space="0" w:color="000000"/>
              <w:bottom w:val="single" w:sz="8" w:space="0" w:color="000000"/>
              <w:right w:val="single" w:sz="6" w:space="0" w:color="FFFFFF"/>
            </w:tcBorders>
          </w:tcPr>
          <w:p w:rsidR="006E465A" w:rsidRPr="00081360" w:rsidRDefault="006E465A" w:rsidP="00C7400E">
            <w:pPr>
              <w:spacing w:line="120" w:lineRule="exact"/>
              <w:rPr>
                <w:sz w:val="18"/>
                <w:szCs w:val="18"/>
              </w:rPr>
            </w:pPr>
          </w:p>
          <w:p w:rsidR="006E465A" w:rsidRPr="00081360" w:rsidRDefault="006E465A" w:rsidP="00C7400E">
            <w:pPr>
              <w:pBdr>
                <w:top w:val="single" w:sz="6" w:space="0" w:color="FFFFFF"/>
                <w:left w:val="single" w:sz="6" w:space="0" w:color="FFFFFF"/>
                <w:bottom w:val="single" w:sz="6" w:space="0" w:color="FFFFFF"/>
                <w:right w:val="single" w:sz="6" w:space="0" w:color="FFFFFF"/>
              </w:pBdr>
              <w:rPr>
                <w:sz w:val="20"/>
                <w:szCs w:val="20"/>
              </w:rPr>
            </w:pPr>
          </w:p>
          <w:p w:rsidR="006E465A" w:rsidRPr="00081360" w:rsidRDefault="00567001" w:rsidP="00C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6E465A" w:rsidRPr="00081360" w:rsidRDefault="006E465A" w:rsidP="00C7400E">
            <w:pPr>
              <w:spacing w:line="120" w:lineRule="exact"/>
              <w:rPr>
                <w:sz w:val="20"/>
                <w:szCs w:val="20"/>
              </w:rPr>
            </w:pPr>
          </w:p>
          <w:p w:rsidR="006E465A" w:rsidRPr="00081360" w:rsidRDefault="00567001" w:rsidP="00C7400E">
            <w:pPr>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(A)</w:t>
            </w:r>
          </w:p>
          <w:p w:rsidR="006E465A" w:rsidRPr="00081360" w:rsidRDefault="00567001" w:rsidP="00A713EE">
            <w:pPr>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 xml:space="preserve">Number of </w:t>
            </w:r>
            <w:r w:rsidR="00A713EE">
              <w:rPr>
                <w:sz w:val="20"/>
                <w:szCs w:val="20"/>
              </w:rPr>
              <w:t xml:space="preserve"> </w:t>
            </w:r>
            <w:r w:rsidRPr="00567001">
              <w:rPr>
                <w:sz w:val="20"/>
                <w:szCs w:val="20"/>
              </w:rPr>
              <w:t xml:space="preserve">New Respondents </w:t>
            </w:r>
            <w:r w:rsidRPr="00567001">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6E465A" w:rsidRPr="00081360" w:rsidRDefault="006E465A" w:rsidP="00C7400E">
            <w:pPr>
              <w:spacing w:line="120" w:lineRule="exact"/>
              <w:rPr>
                <w:sz w:val="20"/>
                <w:szCs w:val="20"/>
              </w:rPr>
            </w:pPr>
          </w:p>
          <w:p w:rsidR="006E465A" w:rsidRPr="00081360" w:rsidRDefault="00567001" w:rsidP="00C7400E">
            <w:pPr>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(B)</w:t>
            </w:r>
          </w:p>
          <w:p w:rsidR="006E465A" w:rsidRPr="00081360" w:rsidRDefault="00567001" w:rsidP="00A713EE">
            <w:pPr>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6E465A" w:rsidRPr="00081360" w:rsidRDefault="006E465A" w:rsidP="00C7400E">
            <w:pPr>
              <w:spacing w:line="120" w:lineRule="exact"/>
              <w:rPr>
                <w:sz w:val="20"/>
                <w:szCs w:val="20"/>
              </w:rPr>
            </w:pPr>
          </w:p>
          <w:p w:rsidR="006E465A" w:rsidRPr="00081360" w:rsidRDefault="00567001" w:rsidP="00A713EE">
            <w:pPr>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(C)</w:t>
            </w:r>
          </w:p>
          <w:p w:rsidR="006E465A" w:rsidRPr="00081360" w:rsidRDefault="00567001" w:rsidP="00A713EE">
            <w:pPr>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6" w:space="0" w:color="000000"/>
            </w:tcBorders>
          </w:tcPr>
          <w:p w:rsidR="006E465A" w:rsidRPr="00081360" w:rsidRDefault="006E465A" w:rsidP="00C7400E">
            <w:pPr>
              <w:spacing w:line="120" w:lineRule="exact"/>
              <w:rPr>
                <w:sz w:val="20"/>
                <w:szCs w:val="20"/>
              </w:rPr>
            </w:pPr>
          </w:p>
          <w:p w:rsidR="006E465A" w:rsidRPr="00081360" w:rsidRDefault="00567001" w:rsidP="00C7400E">
            <w:pPr>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(D)</w:t>
            </w:r>
          </w:p>
          <w:p w:rsidR="006E465A" w:rsidRPr="00081360" w:rsidRDefault="00567001" w:rsidP="00A713EE">
            <w:pPr>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Number of Existing Respondents That Are Also New Respondents</w:t>
            </w:r>
          </w:p>
        </w:tc>
        <w:tc>
          <w:tcPr>
            <w:tcW w:w="1710" w:type="dxa"/>
            <w:tcBorders>
              <w:top w:val="single" w:sz="8" w:space="0" w:color="000000"/>
              <w:left w:val="single" w:sz="6" w:space="0" w:color="000000"/>
              <w:bottom w:val="single" w:sz="8" w:space="0" w:color="000000"/>
              <w:right w:val="single" w:sz="8" w:space="0" w:color="000000"/>
            </w:tcBorders>
          </w:tcPr>
          <w:p w:rsidR="006E465A" w:rsidRPr="00081360" w:rsidRDefault="006E465A" w:rsidP="00C7400E">
            <w:pPr>
              <w:spacing w:line="120" w:lineRule="exact"/>
              <w:rPr>
                <w:sz w:val="20"/>
                <w:szCs w:val="20"/>
              </w:rPr>
            </w:pPr>
          </w:p>
          <w:p w:rsidR="006E465A" w:rsidRPr="00081360" w:rsidRDefault="00567001" w:rsidP="00C7400E">
            <w:pPr>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(E)</w:t>
            </w:r>
          </w:p>
          <w:p w:rsidR="006E465A" w:rsidRPr="00081360" w:rsidRDefault="00567001" w:rsidP="00A713EE">
            <w:pPr>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Number of Respondents</w:t>
            </w:r>
          </w:p>
          <w:p w:rsidR="006E465A" w:rsidRPr="00081360" w:rsidRDefault="00567001" w:rsidP="00A713EE">
            <w:pPr>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(E=A+B+C-D)</w:t>
            </w:r>
          </w:p>
        </w:tc>
      </w:tr>
      <w:tr w:rsidR="006E465A" w:rsidRPr="00081360" w:rsidTr="00C7400E">
        <w:tc>
          <w:tcPr>
            <w:tcW w:w="900" w:type="dxa"/>
            <w:tcBorders>
              <w:top w:val="single" w:sz="8" w:space="0" w:color="000000"/>
              <w:left w:val="single" w:sz="8"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10</w:t>
            </w:r>
          </w:p>
        </w:tc>
        <w:tc>
          <w:tcPr>
            <w:tcW w:w="2070" w:type="dxa"/>
            <w:tcBorders>
              <w:top w:val="single" w:sz="8"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6E465A" w:rsidRPr="00081360" w:rsidRDefault="002C78C4"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w:t>
            </w:r>
          </w:p>
        </w:tc>
      </w:tr>
      <w:tr w:rsidR="006E465A" w:rsidRPr="00081360" w:rsidTr="00C7400E">
        <w:tc>
          <w:tcPr>
            <w:tcW w:w="900" w:type="dxa"/>
            <w:tcBorders>
              <w:top w:val="single" w:sz="6" w:space="0" w:color="000000"/>
              <w:left w:val="single" w:sz="8"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10</w:t>
            </w:r>
          </w:p>
        </w:tc>
        <w:tc>
          <w:tcPr>
            <w:tcW w:w="2070" w:type="dxa"/>
            <w:tcBorders>
              <w:top w:val="single" w:sz="6"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sidRPr="0056700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6E465A" w:rsidRPr="00081360" w:rsidRDefault="002C78C4" w:rsidP="0003363A">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w:t>
            </w:r>
          </w:p>
        </w:tc>
      </w:tr>
      <w:tr w:rsidR="006E465A" w:rsidRPr="00081360" w:rsidTr="00C7400E">
        <w:tc>
          <w:tcPr>
            <w:tcW w:w="900" w:type="dxa"/>
            <w:tcBorders>
              <w:top w:val="single" w:sz="6" w:space="0" w:color="000000"/>
              <w:left w:val="single" w:sz="8"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sidRPr="00567001">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sidRPr="0056700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sidRPr="00567001">
              <w:rPr>
                <w:sz w:val="18"/>
                <w:szCs w:val="18"/>
              </w:rPr>
              <w:t>10</w:t>
            </w:r>
          </w:p>
        </w:tc>
        <w:tc>
          <w:tcPr>
            <w:tcW w:w="2070" w:type="dxa"/>
            <w:tcBorders>
              <w:top w:val="single" w:sz="6"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sidRPr="0056700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sidRPr="0056700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6E465A" w:rsidRPr="00081360" w:rsidRDefault="002C78C4"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10</w:t>
            </w:r>
          </w:p>
        </w:tc>
      </w:tr>
      <w:tr w:rsidR="006E465A" w:rsidRPr="00081360" w:rsidTr="00C7400E">
        <w:tc>
          <w:tcPr>
            <w:tcW w:w="900" w:type="dxa"/>
            <w:tcBorders>
              <w:top w:val="single" w:sz="6" w:space="0" w:color="000000"/>
              <w:left w:val="single" w:sz="8" w:space="0" w:color="000000"/>
              <w:bottom w:val="single" w:sz="8"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rPr>
                <w:sz w:val="18"/>
                <w:szCs w:val="18"/>
              </w:rPr>
            </w:pPr>
            <w:r w:rsidRPr="00567001">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sidRPr="00567001">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sidRPr="00567001">
              <w:rPr>
                <w:sz w:val="18"/>
                <w:szCs w:val="18"/>
              </w:rPr>
              <w:t>10</w:t>
            </w:r>
          </w:p>
        </w:tc>
        <w:tc>
          <w:tcPr>
            <w:tcW w:w="2070" w:type="dxa"/>
            <w:tcBorders>
              <w:top w:val="single" w:sz="6" w:space="0" w:color="000000"/>
              <w:left w:val="single" w:sz="6" w:space="0" w:color="000000"/>
              <w:bottom w:val="single" w:sz="8"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sidRPr="00567001">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6E465A" w:rsidRPr="00081360" w:rsidRDefault="00567001"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sidRPr="00567001">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F80C44" w:rsidRDefault="002C78C4" w:rsidP="0003363A">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10</w:t>
            </w:r>
          </w:p>
        </w:tc>
      </w:tr>
    </w:tbl>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rPr>
          <w:sz w:val="20"/>
          <w:szCs w:val="20"/>
        </w:rPr>
      </w:pPr>
      <w:r w:rsidRPr="00567001">
        <w:rPr>
          <w:vertAlign w:val="superscript"/>
        </w:rPr>
        <w:t>1</w:t>
      </w:r>
      <w:r w:rsidRPr="00567001">
        <w:t xml:space="preserve"> </w:t>
      </w:r>
      <w:r w:rsidRPr="00567001">
        <w:rPr>
          <w:sz w:val="20"/>
          <w:szCs w:val="20"/>
        </w:rPr>
        <w:t>New responden</w:t>
      </w:r>
      <w:r w:rsidR="0003363A">
        <w:rPr>
          <w:sz w:val="20"/>
          <w:szCs w:val="20"/>
        </w:rPr>
        <w:t>t</w:t>
      </w:r>
      <w:r w:rsidRPr="00567001">
        <w:rPr>
          <w:sz w:val="20"/>
          <w:szCs w:val="20"/>
        </w:rPr>
        <w:t xml:space="preserve"> include sources with constructed, reconstructed and modified affected facilities.  </w:t>
      </w: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5760"/>
      </w:pPr>
      <w:r w:rsidRPr="00567001">
        <w:t>.</w:t>
      </w:r>
    </w:p>
    <w:p w:rsidR="00F80C44" w:rsidRDefault="00567001">
      <w:pPr>
        <w:pBdr>
          <w:top w:val="single" w:sz="6" w:space="0" w:color="FFFFFF"/>
          <w:left w:val="single" w:sz="6" w:space="0" w:color="FFFFFF"/>
          <w:bottom w:val="single" w:sz="6" w:space="0" w:color="FFFFFF"/>
          <w:right w:val="single" w:sz="6" w:space="0" w:color="FFFFFF"/>
        </w:pBdr>
        <w:ind w:firstLine="720"/>
      </w:pPr>
      <w:r w:rsidRPr="00567001">
        <w:t xml:space="preserve">Column D is subtracted to avoid double-counting respondents.  As shown above, the average Number of Respondents over the three year period of this ICR is 10. </w:t>
      </w:r>
    </w:p>
    <w:p w:rsidR="006E465A" w:rsidRDefault="006E465A" w:rsidP="006E465A">
      <w:pPr>
        <w:pBdr>
          <w:top w:val="single" w:sz="6" w:space="0" w:color="FFFFFF"/>
          <w:left w:val="single" w:sz="6" w:space="0" w:color="FFFFFF"/>
          <w:bottom w:val="single" w:sz="6" w:space="0" w:color="FFFFFF"/>
          <w:right w:val="single" w:sz="6" w:space="0" w:color="FFFFFF"/>
        </w:pBdr>
      </w:pPr>
    </w:p>
    <w:p w:rsidR="00F43C24" w:rsidRDefault="00F43C24" w:rsidP="006E465A">
      <w:pPr>
        <w:pBdr>
          <w:top w:val="single" w:sz="6" w:space="0" w:color="FFFFFF"/>
          <w:left w:val="single" w:sz="6" w:space="0" w:color="FFFFFF"/>
          <w:bottom w:val="single" w:sz="6" w:space="0" w:color="FFFFFF"/>
          <w:right w:val="single" w:sz="6" w:space="0" w:color="FFFFFF"/>
        </w:pBdr>
      </w:pPr>
      <w:r>
        <w:tab/>
        <w:t xml:space="preserve">The total number of annual responses per year is calculated using the following table: </w:t>
      </w:r>
    </w:p>
    <w:p w:rsidR="00F43C24" w:rsidRDefault="002C4DCC" w:rsidP="006E465A">
      <w:pPr>
        <w:pBdr>
          <w:top w:val="single" w:sz="6" w:space="0" w:color="FFFFFF"/>
          <w:left w:val="single" w:sz="6" w:space="0" w:color="FFFFFF"/>
          <w:bottom w:val="single" w:sz="6" w:space="0" w:color="FFFFFF"/>
          <w:right w:val="single" w:sz="6" w:space="0" w:color="FFFFFF"/>
        </w:pBdr>
      </w:pPr>
      <w:r>
        <w:tab/>
      </w:r>
    </w:p>
    <w:tbl>
      <w:tblPr>
        <w:tblW w:w="0" w:type="auto"/>
        <w:tblInd w:w="110" w:type="dxa"/>
        <w:tblLayout w:type="fixed"/>
        <w:tblCellMar>
          <w:left w:w="110" w:type="dxa"/>
          <w:right w:w="110" w:type="dxa"/>
        </w:tblCellMar>
        <w:tblLook w:val="0000"/>
      </w:tblPr>
      <w:tblGrid>
        <w:gridCol w:w="2700"/>
        <w:gridCol w:w="1350"/>
        <w:gridCol w:w="1260"/>
        <w:gridCol w:w="1800"/>
        <w:gridCol w:w="1349"/>
      </w:tblGrid>
      <w:tr w:rsidR="00F43C24" w:rsidRPr="00081360" w:rsidTr="00F53918">
        <w:tc>
          <w:tcPr>
            <w:tcW w:w="8459" w:type="dxa"/>
            <w:gridSpan w:val="5"/>
            <w:tcBorders>
              <w:top w:val="single" w:sz="7" w:space="0" w:color="000000"/>
              <w:left w:val="single" w:sz="7" w:space="0" w:color="000000"/>
              <w:bottom w:val="single" w:sz="6" w:space="0" w:color="FFFFFF"/>
              <w:right w:val="single" w:sz="7" w:space="0" w:color="000000"/>
            </w:tcBorders>
          </w:tcPr>
          <w:p w:rsidR="00F43C24" w:rsidRPr="00081360" w:rsidRDefault="00F43C24" w:rsidP="00F43C24">
            <w:pPr>
              <w:keepNext/>
              <w:keepLines/>
              <w:spacing w:line="120" w:lineRule="exact"/>
              <w:rPr>
                <w:sz w:val="18"/>
                <w:szCs w:val="18"/>
              </w:rPr>
            </w:pPr>
          </w:p>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spacing w:after="52"/>
              <w:jc w:val="center"/>
              <w:rPr>
                <w:b/>
              </w:rPr>
            </w:pPr>
            <w:r w:rsidRPr="00F43C24">
              <w:rPr>
                <w:b/>
              </w:rPr>
              <w:t>Total Annual Responses</w:t>
            </w:r>
          </w:p>
        </w:tc>
      </w:tr>
      <w:tr w:rsidR="00F43C24" w:rsidRPr="00081360" w:rsidTr="00DD50F2">
        <w:tc>
          <w:tcPr>
            <w:tcW w:w="2700" w:type="dxa"/>
            <w:tcBorders>
              <w:top w:val="single" w:sz="7" w:space="0" w:color="000000"/>
              <w:left w:val="single" w:sz="7" w:space="0" w:color="000000"/>
              <w:bottom w:val="single" w:sz="8" w:space="0" w:color="000000"/>
              <w:right w:val="single" w:sz="6" w:space="0" w:color="FFFFFF"/>
            </w:tcBorders>
          </w:tcPr>
          <w:p w:rsidR="00F43C24" w:rsidRPr="00081360" w:rsidRDefault="00F43C24" w:rsidP="00F43C24">
            <w:pPr>
              <w:keepNext/>
              <w:keepLines/>
              <w:spacing w:line="120" w:lineRule="exact"/>
              <w:rPr>
                <w:sz w:val="20"/>
                <w:szCs w:val="20"/>
              </w:rPr>
            </w:pPr>
          </w:p>
          <w:p w:rsid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(A)</w:t>
            </w: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Information Collection Activity</w:t>
            </w:r>
          </w:p>
        </w:tc>
        <w:tc>
          <w:tcPr>
            <w:tcW w:w="1350" w:type="dxa"/>
            <w:tcBorders>
              <w:top w:val="single" w:sz="7" w:space="0" w:color="000000"/>
              <w:left w:val="single" w:sz="7" w:space="0" w:color="000000"/>
              <w:bottom w:val="single" w:sz="8" w:space="0" w:color="000000"/>
              <w:right w:val="single" w:sz="6" w:space="0" w:color="FFFFFF"/>
            </w:tcBorders>
          </w:tcPr>
          <w:p w:rsidR="00F43C24" w:rsidRPr="00081360" w:rsidRDefault="00F43C24" w:rsidP="00F43C24">
            <w:pPr>
              <w:keepNext/>
              <w:keepLines/>
              <w:spacing w:line="120" w:lineRule="exact"/>
              <w:rPr>
                <w:sz w:val="20"/>
                <w:szCs w:val="20"/>
              </w:rPr>
            </w:pPr>
          </w:p>
          <w:p w:rsid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(B)</w:t>
            </w: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Number of Respondents</w:t>
            </w:r>
          </w:p>
        </w:tc>
        <w:tc>
          <w:tcPr>
            <w:tcW w:w="1260" w:type="dxa"/>
            <w:tcBorders>
              <w:top w:val="single" w:sz="7" w:space="0" w:color="000000"/>
              <w:left w:val="single" w:sz="7" w:space="0" w:color="000000"/>
              <w:bottom w:val="single" w:sz="8" w:space="0" w:color="000000"/>
              <w:right w:val="single" w:sz="8" w:space="0" w:color="000000"/>
            </w:tcBorders>
          </w:tcPr>
          <w:p w:rsidR="00F43C24" w:rsidRPr="00081360" w:rsidRDefault="00F43C24" w:rsidP="00F43C24">
            <w:pPr>
              <w:keepNext/>
              <w:keepLines/>
              <w:spacing w:line="120" w:lineRule="exact"/>
              <w:rPr>
                <w:sz w:val="20"/>
                <w:szCs w:val="20"/>
              </w:rPr>
            </w:pPr>
          </w:p>
          <w:p w:rsid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(C)</w:t>
            </w: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 xml:space="preserve">Number of </w:t>
            </w:r>
            <w:r>
              <w:rPr>
                <w:sz w:val="20"/>
                <w:szCs w:val="20"/>
              </w:rPr>
              <w:t>Responses</w:t>
            </w:r>
          </w:p>
        </w:tc>
        <w:tc>
          <w:tcPr>
            <w:tcW w:w="1800" w:type="dxa"/>
            <w:tcBorders>
              <w:top w:val="single" w:sz="8" w:space="0" w:color="000000"/>
              <w:left w:val="single" w:sz="8" w:space="0" w:color="000000"/>
              <w:bottom w:val="single" w:sz="8" w:space="0" w:color="000000"/>
              <w:right w:val="single" w:sz="6" w:space="0" w:color="000000"/>
            </w:tcBorders>
          </w:tcPr>
          <w:p w:rsidR="00F43C24" w:rsidRPr="00081360" w:rsidRDefault="00F43C24" w:rsidP="00F43C24">
            <w:pPr>
              <w:keepNext/>
              <w:keepLines/>
              <w:spacing w:line="120" w:lineRule="exact"/>
              <w:rPr>
                <w:sz w:val="20"/>
                <w:szCs w:val="20"/>
              </w:rPr>
            </w:pP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(D)</w:t>
            </w: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 xml:space="preserve">Number of Existing Respondents That </w:t>
            </w:r>
            <w:r>
              <w:rPr>
                <w:sz w:val="20"/>
                <w:szCs w:val="20"/>
              </w:rPr>
              <w:t>Keep Records But Do Not Submit Reports</w:t>
            </w:r>
          </w:p>
        </w:tc>
        <w:tc>
          <w:tcPr>
            <w:tcW w:w="1349" w:type="dxa"/>
            <w:tcBorders>
              <w:top w:val="single" w:sz="8" w:space="0" w:color="000000"/>
              <w:left w:val="single" w:sz="6" w:space="0" w:color="000000"/>
              <w:bottom w:val="single" w:sz="8" w:space="0" w:color="000000"/>
              <w:right w:val="single" w:sz="8" w:space="0" w:color="000000"/>
            </w:tcBorders>
          </w:tcPr>
          <w:p w:rsidR="00F43C24" w:rsidRPr="00081360" w:rsidRDefault="00F43C24" w:rsidP="00F43C24">
            <w:pPr>
              <w:keepNext/>
              <w:keepLines/>
              <w:spacing w:line="120" w:lineRule="exact"/>
              <w:rPr>
                <w:sz w:val="20"/>
                <w:szCs w:val="20"/>
              </w:rPr>
            </w:pP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67001">
              <w:rPr>
                <w:sz w:val="20"/>
                <w:szCs w:val="20"/>
              </w:rPr>
              <w:t>(E)</w:t>
            </w: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Total Annual Responses</w:t>
            </w:r>
          </w:p>
          <w:p w:rsidR="00F43C24" w:rsidRPr="00081360" w:rsidRDefault="00F43C24" w:rsidP="00F43C2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567001">
              <w:rPr>
                <w:sz w:val="20"/>
                <w:szCs w:val="20"/>
              </w:rPr>
              <w:t>E=</w:t>
            </w:r>
            <w:r>
              <w:rPr>
                <w:sz w:val="20"/>
                <w:szCs w:val="20"/>
              </w:rPr>
              <w:t>(</w:t>
            </w:r>
            <w:proofErr w:type="spellStart"/>
            <w:r w:rsidRPr="00567001">
              <w:rPr>
                <w:sz w:val="20"/>
                <w:szCs w:val="20"/>
              </w:rPr>
              <w:t>B</w:t>
            </w:r>
            <w:r>
              <w:rPr>
                <w:sz w:val="20"/>
                <w:szCs w:val="20"/>
              </w:rPr>
              <w:t>x</w:t>
            </w:r>
            <w:r w:rsidRPr="00567001">
              <w:rPr>
                <w:sz w:val="20"/>
                <w:szCs w:val="20"/>
              </w:rPr>
              <w:t>C</w:t>
            </w:r>
            <w:proofErr w:type="spellEnd"/>
            <w:r>
              <w:rPr>
                <w:sz w:val="20"/>
                <w:szCs w:val="20"/>
              </w:rPr>
              <w:t>)+</w:t>
            </w:r>
            <w:r w:rsidRPr="00567001">
              <w:rPr>
                <w:sz w:val="20"/>
                <w:szCs w:val="20"/>
              </w:rPr>
              <w:t>D</w:t>
            </w:r>
          </w:p>
        </w:tc>
      </w:tr>
      <w:tr w:rsidR="00F43C24" w:rsidRPr="00F43C24" w:rsidTr="00DD50F2">
        <w:tc>
          <w:tcPr>
            <w:tcW w:w="2700" w:type="dxa"/>
            <w:tcBorders>
              <w:top w:val="single" w:sz="8"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rPr>
                <w:sz w:val="20"/>
                <w:szCs w:val="20"/>
              </w:rPr>
            </w:pPr>
            <w:r w:rsidRPr="00F43C24">
              <w:rPr>
                <w:sz w:val="20"/>
                <w:szCs w:val="20"/>
              </w:rPr>
              <w:t>One-time initial notification</w:t>
            </w:r>
          </w:p>
        </w:tc>
        <w:tc>
          <w:tcPr>
            <w:tcW w:w="1350" w:type="dxa"/>
            <w:tcBorders>
              <w:top w:val="single" w:sz="8"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spacing w:line="120" w:lineRule="exact"/>
              <w:jc w:val="center"/>
              <w:rPr>
                <w:sz w:val="20"/>
                <w:szCs w:val="20"/>
              </w:rPr>
            </w:pPr>
          </w:p>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10</w:t>
            </w:r>
          </w:p>
        </w:tc>
        <w:tc>
          <w:tcPr>
            <w:tcW w:w="1260" w:type="dxa"/>
            <w:tcBorders>
              <w:top w:val="single" w:sz="8"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spacing w:line="120" w:lineRule="exact"/>
              <w:jc w:val="center"/>
              <w:rPr>
                <w:sz w:val="20"/>
                <w:szCs w:val="20"/>
              </w:rPr>
            </w:pPr>
          </w:p>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w:t>
            </w:r>
          </w:p>
        </w:tc>
        <w:tc>
          <w:tcPr>
            <w:tcW w:w="1800" w:type="dxa"/>
            <w:tcBorders>
              <w:top w:val="single" w:sz="8"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spacing w:line="120" w:lineRule="exact"/>
              <w:jc w:val="center"/>
              <w:rPr>
                <w:sz w:val="20"/>
                <w:szCs w:val="20"/>
              </w:rPr>
            </w:pPr>
          </w:p>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0</w:t>
            </w:r>
          </w:p>
        </w:tc>
        <w:tc>
          <w:tcPr>
            <w:tcW w:w="1349" w:type="dxa"/>
            <w:tcBorders>
              <w:top w:val="single" w:sz="8" w:space="0" w:color="000000"/>
              <w:left w:val="single" w:sz="6" w:space="0" w:color="000000"/>
              <w:bottom w:val="single" w:sz="6" w:space="0" w:color="000000"/>
              <w:right w:val="single" w:sz="8"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10</w:t>
            </w:r>
          </w:p>
        </w:tc>
      </w:tr>
      <w:tr w:rsidR="00F43C24" w:rsidRPr="00F43C24" w:rsidTr="00DD50F2">
        <w:tc>
          <w:tcPr>
            <w:tcW w:w="270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rPr>
                <w:sz w:val="20"/>
                <w:szCs w:val="20"/>
              </w:rPr>
            </w:pPr>
            <w:r w:rsidRPr="00F43C24">
              <w:rPr>
                <w:sz w:val="20"/>
                <w:szCs w:val="20"/>
              </w:rPr>
              <w:t>One-time notifications of compliance status</w:t>
            </w:r>
          </w:p>
        </w:tc>
        <w:tc>
          <w:tcPr>
            <w:tcW w:w="135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spacing w:line="120" w:lineRule="exact"/>
              <w:jc w:val="center"/>
              <w:rPr>
                <w:sz w:val="20"/>
                <w:szCs w:val="20"/>
              </w:rPr>
            </w:pPr>
          </w:p>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10</w:t>
            </w:r>
          </w:p>
        </w:tc>
        <w:tc>
          <w:tcPr>
            <w:tcW w:w="126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spacing w:line="120" w:lineRule="exact"/>
              <w:jc w:val="center"/>
              <w:rPr>
                <w:sz w:val="20"/>
                <w:szCs w:val="20"/>
              </w:rPr>
            </w:pPr>
          </w:p>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w:t>
            </w:r>
          </w:p>
        </w:tc>
        <w:tc>
          <w:tcPr>
            <w:tcW w:w="180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spacing w:line="120" w:lineRule="exact"/>
              <w:jc w:val="center"/>
              <w:rPr>
                <w:sz w:val="20"/>
                <w:szCs w:val="20"/>
              </w:rPr>
            </w:pPr>
          </w:p>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0</w:t>
            </w:r>
          </w:p>
        </w:tc>
        <w:tc>
          <w:tcPr>
            <w:tcW w:w="1349" w:type="dxa"/>
            <w:tcBorders>
              <w:top w:val="single" w:sz="6" w:space="0" w:color="000000"/>
              <w:left w:val="single" w:sz="6" w:space="0" w:color="000000"/>
              <w:bottom w:val="single" w:sz="6" w:space="0" w:color="000000"/>
              <w:right w:val="single" w:sz="8"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10</w:t>
            </w:r>
          </w:p>
        </w:tc>
      </w:tr>
      <w:tr w:rsidR="00F43C24" w:rsidRPr="00F43C24" w:rsidTr="00DD50F2">
        <w:tc>
          <w:tcPr>
            <w:tcW w:w="270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rPr>
                <w:sz w:val="20"/>
                <w:szCs w:val="20"/>
              </w:rPr>
            </w:pPr>
            <w:r w:rsidRPr="00F43C24">
              <w:rPr>
                <w:sz w:val="20"/>
                <w:szCs w:val="20"/>
              </w:rPr>
              <w:t>Annual compliance certifications</w:t>
            </w:r>
          </w:p>
        </w:tc>
        <w:tc>
          <w:tcPr>
            <w:tcW w:w="135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10</w:t>
            </w:r>
          </w:p>
        </w:tc>
        <w:tc>
          <w:tcPr>
            <w:tcW w:w="126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spacing w:line="120" w:lineRule="exact"/>
              <w:jc w:val="center"/>
              <w:rPr>
                <w:sz w:val="20"/>
                <w:szCs w:val="20"/>
              </w:rPr>
            </w:pPr>
          </w:p>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w:t>
            </w:r>
          </w:p>
        </w:tc>
        <w:tc>
          <w:tcPr>
            <w:tcW w:w="180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spacing w:line="120" w:lineRule="exact"/>
              <w:jc w:val="center"/>
              <w:rPr>
                <w:sz w:val="20"/>
                <w:szCs w:val="20"/>
              </w:rPr>
            </w:pPr>
          </w:p>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0</w:t>
            </w:r>
          </w:p>
        </w:tc>
        <w:tc>
          <w:tcPr>
            <w:tcW w:w="1349" w:type="dxa"/>
            <w:tcBorders>
              <w:top w:val="single" w:sz="6" w:space="0" w:color="000000"/>
              <w:left w:val="single" w:sz="6" w:space="0" w:color="000000"/>
              <w:bottom w:val="single" w:sz="6" w:space="0" w:color="000000"/>
              <w:right w:val="single" w:sz="8"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10</w:t>
            </w:r>
          </w:p>
        </w:tc>
      </w:tr>
      <w:tr w:rsidR="00F43C24" w:rsidRPr="00F43C24" w:rsidTr="00DD50F2">
        <w:tc>
          <w:tcPr>
            <w:tcW w:w="270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rPr>
                <w:sz w:val="20"/>
                <w:szCs w:val="20"/>
              </w:rPr>
            </w:pPr>
            <w:r w:rsidRPr="00F43C24">
              <w:rPr>
                <w:sz w:val="20"/>
                <w:szCs w:val="20"/>
              </w:rPr>
              <w:t xml:space="preserve">Annual reports of </w:t>
            </w:r>
            <w:proofErr w:type="spellStart"/>
            <w:r w:rsidRPr="00F43C24">
              <w:rPr>
                <w:sz w:val="20"/>
                <w:szCs w:val="20"/>
              </w:rPr>
              <w:t>exceedances</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w:t>
            </w:r>
          </w:p>
        </w:tc>
        <w:tc>
          <w:tcPr>
            <w:tcW w:w="180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0</w:t>
            </w:r>
          </w:p>
        </w:tc>
        <w:tc>
          <w:tcPr>
            <w:tcW w:w="1349" w:type="dxa"/>
            <w:tcBorders>
              <w:top w:val="single" w:sz="6" w:space="0" w:color="000000"/>
              <w:left w:val="single" w:sz="6" w:space="0" w:color="000000"/>
              <w:bottom w:val="single" w:sz="6" w:space="0" w:color="000000"/>
              <w:right w:val="single" w:sz="8" w:space="0" w:color="000000"/>
            </w:tcBorders>
            <w:vAlign w:val="center"/>
          </w:tcPr>
          <w:p w:rsidR="00F43C24" w:rsidRPr="00F43C24" w:rsidRDefault="00F43C24" w:rsidP="00F43C24">
            <w:pPr>
              <w:keepNext/>
              <w:keepLines/>
              <w:jc w:val="center"/>
              <w:rPr>
                <w:sz w:val="20"/>
                <w:szCs w:val="20"/>
              </w:rPr>
            </w:pPr>
            <w:r w:rsidRPr="00F43C24">
              <w:rPr>
                <w:sz w:val="20"/>
                <w:szCs w:val="20"/>
              </w:rPr>
              <w:t>2</w:t>
            </w:r>
          </w:p>
        </w:tc>
      </w:tr>
      <w:tr w:rsidR="00F43C24" w:rsidRPr="00F43C24" w:rsidTr="00DD50F2">
        <w:tc>
          <w:tcPr>
            <w:tcW w:w="270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43C24">
            <w:pPr>
              <w:keepNext/>
              <w:keepLines/>
              <w:pBdr>
                <w:top w:val="single" w:sz="6" w:space="0" w:color="FFFFFF"/>
                <w:left w:val="single" w:sz="6" w:space="0" w:color="FFFFFF"/>
                <w:bottom w:val="single" w:sz="6" w:space="0" w:color="FFFFFF"/>
                <w:right w:val="single" w:sz="6" w:space="0" w:color="FFFFFF"/>
              </w:pBdr>
              <w:rPr>
                <w:sz w:val="20"/>
                <w:szCs w:val="20"/>
              </w:rPr>
            </w:pPr>
            <w:r w:rsidRPr="00F43C24">
              <w:rPr>
                <w:sz w:val="20"/>
                <w:szCs w:val="20"/>
              </w:rPr>
              <w:t>TOTAL</w:t>
            </w:r>
          </w:p>
        </w:tc>
        <w:tc>
          <w:tcPr>
            <w:tcW w:w="135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53918">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53918">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F43C24" w:rsidRPr="00F43C24" w:rsidRDefault="00F43C24" w:rsidP="00F53918">
            <w:pPr>
              <w:keepNext/>
              <w:keepLines/>
              <w:spacing w:line="120" w:lineRule="exact"/>
              <w:jc w:val="center"/>
              <w:rPr>
                <w:sz w:val="20"/>
                <w:szCs w:val="20"/>
              </w:rPr>
            </w:pPr>
          </w:p>
          <w:p w:rsidR="00F43C24" w:rsidRPr="00F43C24" w:rsidRDefault="00F43C24" w:rsidP="00F53918">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349" w:type="dxa"/>
            <w:tcBorders>
              <w:top w:val="single" w:sz="6" w:space="0" w:color="000000"/>
              <w:left w:val="single" w:sz="6" w:space="0" w:color="000000"/>
              <w:bottom w:val="single" w:sz="6" w:space="0" w:color="000000"/>
              <w:right w:val="single" w:sz="8" w:space="0" w:color="000000"/>
            </w:tcBorders>
            <w:vAlign w:val="center"/>
          </w:tcPr>
          <w:p w:rsidR="00F43C24" w:rsidRPr="00F43C24" w:rsidRDefault="00F43C24" w:rsidP="00F53918">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32</w:t>
            </w:r>
          </w:p>
        </w:tc>
      </w:tr>
    </w:tbl>
    <w:p w:rsidR="00F43C24" w:rsidRDefault="00F43C24" w:rsidP="006E465A">
      <w:pPr>
        <w:pBdr>
          <w:top w:val="single" w:sz="6" w:space="0" w:color="FFFFFF"/>
          <w:left w:val="single" w:sz="6" w:space="0" w:color="FFFFFF"/>
          <w:bottom w:val="single" w:sz="6" w:space="0" w:color="FFFFFF"/>
          <w:right w:val="single" w:sz="6" w:space="0" w:color="FFFFFF"/>
        </w:pBdr>
      </w:pPr>
    </w:p>
    <w:p w:rsidR="002C4DCC" w:rsidRDefault="002C4DCC" w:rsidP="00F43C24">
      <w:pPr>
        <w:pBdr>
          <w:top w:val="single" w:sz="6" w:space="0" w:color="FFFFFF"/>
          <w:left w:val="single" w:sz="6" w:space="0" w:color="FFFFFF"/>
          <w:bottom w:val="single" w:sz="6" w:space="0" w:color="FFFFFF"/>
          <w:right w:val="single" w:sz="6" w:space="0" w:color="FFFFFF"/>
        </w:pBdr>
        <w:ind w:firstLine="720"/>
      </w:pPr>
      <w:r>
        <w:t xml:space="preserve">The number of Total Annual Responses is </w:t>
      </w:r>
      <w:r w:rsidR="00F43C24">
        <w:t xml:space="preserve">32.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F80C44" w:rsidRDefault="00567001">
      <w:pPr>
        <w:pBdr>
          <w:top w:val="single" w:sz="6" w:space="0" w:color="FFFFFF"/>
          <w:left w:val="single" w:sz="6" w:space="0" w:color="FFFFFF"/>
          <w:bottom w:val="single" w:sz="6" w:space="0" w:color="FFFFFF"/>
          <w:right w:val="single" w:sz="6" w:space="0" w:color="FFFFFF"/>
        </w:pBdr>
        <w:ind w:firstLine="720"/>
      </w:pPr>
      <w:r w:rsidRPr="00567001">
        <w:lastRenderedPageBreak/>
        <w:t>The total annual labor costs are $3</w:t>
      </w:r>
      <w:r w:rsidR="002C78C4">
        <w:t>3</w:t>
      </w:r>
      <w:r w:rsidRPr="00567001">
        <w:t>,</w:t>
      </w:r>
      <w:r w:rsidR="002C78C4">
        <w:t>035</w:t>
      </w:r>
      <w:r w:rsidRPr="00567001">
        <w:t>.  Details regarding these estimates may be found below in Table 1</w:t>
      </w:r>
      <w:r w:rsidR="00BF02F9">
        <w:t>:</w:t>
      </w:r>
      <w:r w:rsidRPr="00567001">
        <w:t xml:space="preserve"> Annual Respondent Burden and Cost - NESHAP for Ferroalloys P</w:t>
      </w:r>
      <w:r w:rsidR="0098631F">
        <w:t xml:space="preserve">roduction Area Sources (40 CFR </w:t>
      </w:r>
      <w:r w:rsidRPr="00567001">
        <w:t>Part 63, Subpart YYYYYY) (Renewal).</w:t>
      </w:r>
      <w:r w:rsidR="000D1C1C">
        <w:t xml:space="preserve">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860132" w:rsidRPr="00081360" w:rsidRDefault="00567001" w:rsidP="00860132">
      <w:pPr>
        <w:pBdr>
          <w:top w:val="single" w:sz="6" w:space="0" w:color="FFFFFF"/>
          <w:left w:val="single" w:sz="6" w:space="0" w:color="FFFFFF"/>
          <w:bottom w:val="single" w:sz="6" w:space="0" w:color="FFFFFF"/>
          <w:right w:val="single" w:sz="6" w:space="0" w:color="FFFFFF"/>
        </w:pBdr>
        <w:ind w:firstLine="720"/>
      </w:pPr>
      <w:r w:rsidRPr="00567001">
        <w:t>There are no capital/startup or operation and maintenance costs.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F80C44" w:rsidRDefault="00567001">
      <w:pPr>
        <w:pBdr>
          <w:top w:val="single" w:sz="6" w:space="0" w:color="FFFFFF"/>
          <w:left w:val="single" w:sz="6" w:space="0" w:color="FFFFFF"/>
          <w:bottom w:val="single" w:sz="6" w:space="0" w:color="FFFFFF"/>
          <w:right w:val="single" w:sz="6" w:space="0" w:color="FFFFFF"/>
        </w:pBdr>
        <w:ind w:firstLine="720"/>
      </w:pPr>
      <w:r w:rsidRPr="00567001">
        <w:t xml:space="preserve">The average annual Agency burden and cost over </w:t>
      </w:r>
      <w:r w:rsidR="00AA2512">
        <w:t xml:space="preserve">the </w:t>
      </w:r>
      <w:r w:rsidRPr="00567001">
        <w:t xml:space="preserve">next three years is estimated to be 39 labor hours at a cost of $1,757.  See </w:t>
      </w:r>
      <w:r w:rsidR="00BF02F9">
        <w:t xml:space="preserve">below </w:t>
      </w:r>
      <w:r w:rsidRPr="00567001">
        <w:t>Table 2: Annual Agency Burden and Cost -</w:t>
      </w:r>
      <w:r w:rsidR="003E7023">
        <w:t xml:space="preserve"> </w:t>
      </w:r>
      <w:r w:rsidRPr="00567001">
        <w:t>NESHAP for Ferroalloys P</w:t>
      </w:r>
      <w:r w:rsidR="0098631F">
        <w:t xml:space="preserve">roduction Area Sources (40 CFR </w:t>
      </w:r>
      <w:proofErr w:type="gramStart"/>
      <w:r w:rsidRPr="00567001">
        <w:t>Part</w:t>
      </w:r>
      <w:proofErr w:type="gramEnd"/>
      <w:r w:rsidRPr="00567001">
        <w:t xml:space="preserve"> 63, Subpart YYYYYY) (Renewal).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6(e)  Bottom Line Burden Hours and Cost Tables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The detailed bottom line burden hours and cost calculations for the respondents and the Agency are shown in Tables 1 and 2 (below), respectively, and summarized below.  </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1440"/>
      </w:pPr>
      <w:r w:rsidRPr="00567001">
        <w:rPr>
          <w:b/>
          <w:bCs/>
        </w:rPr>
        <w:t>(</w:t>
      </w:r>
      <w:proofErr w:type="spellStart"/>
      <w:r w:rsidRPr="00567001">
        <w:rPr>
          <w:b/>
          <w:bCs/>
        </w:rPr>
        <w:t>i</w:t>
      </w:r>
      <w:proofErr w:type="spellEnd"/>
      <w:r w:rsidRPr="00567001">
        <w:rPr>
          <w:b/>
          <w:bCs/>
        </w:rPr>
        <w:t>) Respondent Tally</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BE393F"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The total annual labor hours are </w:t>
      </w:r>
      <w:r w:rsidR="006E79FB">
        <w:t>345</w:t>
      </w:r>
      <w:r w:rsidRPr="00567001">
        <w:t>.  Details regarding these estimates may be found</w:t>
      </w:r>
      <w:r w:rsidR="00BF02F9">
        <w:t xml:space="preserve"> below</w:t>
      </w:r>
      <w:r w:rsidRPr="00567001">
        <w:t xml:space="preserve"> in Table 1</w:t>
      </w:r>
      <w:r w:rsidR="00BF02F9">
        <w:t>:</w:t>
      </w:r>
      <w:r w:rsidRPr="00567001">
        <w:t xml:space="preserve"> Annual Respondent Burden and Cost - NESHAP for Ferroalloys P</w:t>
      </w:r>
      <w:r w:rsidR="0098631F">
        <w:t xml:space="preserve">roduction Area Sources (40 CFR </w:t>
      </w:r>
      <w:r w:rsidRPr="00567001">
        <w:t xml:space="preserve">Part 63, Subpart YYYYYY) (Renewal).  </w:t>
      </w:r>
    </w:p>
    <w:p w:rsidR="00BE393F" w:rsidRDefault="00BE393F" w:rsidP="006E465A">
      <w:pPr>
        <w:pBdr>
          <w:top w:val="single" w:sz="6" w:space="0" w:color="FFFFFF"/>
          <w:left w:val="single" w:sz="6" w:space="0" w:color="FFFFFF"/>
          <w:bottom w:val="single" w:sz="6" w:space="0" w:color="FFFFFF"/>
          <w:right w:val="single" w:sz="6" w:space="0" w:color="FFFFFF"/>
        </w:pBdr>
        <w:ind w:firstLine="720"/>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Furthermore, the annual public reporting and recordkeeping burden for this collection of info</w:t>
      </w:r>
      <w:r w:rsidR="006E79FB">
        <w:t xml:space="preserve">rmation is estimated to average </w:t>
      </w:r>
      <w:r w:rsidR="002A5277">
        <w:t>1</w:t>
      </w:r>
      <w:r w:rsidR="00F20BC5">
        <w:t>1</w:t>
      </w:r>
      <w:r w:rsidRPr="00567001">
        <w:t xml:space="preserve"> hours per response.</w:t>
      </w:r>
    </w:p>
    <w:p w:rsidR="006E465A" w:rsidRPr="00081360" w:rsidRDefault="006E465A" w:rsidP="006E465A">
      <w:pPr>
        <w:pBdr>
          <w:top w:val="single" w:sz="6" w:space="0" w:color="FFFFFF"/>
          <w:left w:val="single" w:sz="6" w:space="0" w:color="FFFFFF"/>
          <w:bottom w:val="single" w:sz="6" w:space="0" w:color="FFFFFF"/>
          <w:right w:val="single" w:sz="6" w:space="0" w:color="FFFFFF"/>
        </w:pBdr>
        <w:ind w:firstLine="720"/>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There are no capital/startup or operation and maintenance costs.</w:t>
      </w:r>
    </w:p>
    <w:p w:rsidR="006E465A" w:rsidRPr="00081360" w:rsidRDefault="006E465A" w:rsidP="006E465A">
      <w:pPr>
        <w:pBdr>
          <w:top w:val="single" w:sz="6" w:space="0" w:color="FFFFFF"/>
          <w:left w:val="single" w:sz="6" w:space="0" w:color="FFFFFF"/>
          <w:bottom w:val="single" w:sz="6" w:space="0" w:color="FFFFFF"/>
          <w:right w:val="single" w:sz="6" w:space="0" w:color="FFFFFF"/>
        </w:pBdr>
        <w:ind w:firstLine="2160"/>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1440"/>
      </w:pPr>
      <w:r w:rsidRPr="00567001">
        <w:rPr>
          <w:b/>
          <w:bCs/>
        </w:rPr>
        <w:t>(ii) The Agency Tally</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BE393F">
      <w:pPr>
        <w:pBdr>
          <w:top w:val="single" w:sz="6" w:space="0" w:color="FFFFFF"/>
          <w:left w:val="single" w:sz="6" w:space="0" w:color="FFFFFF"/>
          <w:bottom w:val="single" w:sz="6" w:space="0" w:color="FFFFFF"/>
          <w:right w:val="single" w:sz="6" w:space="0" w:color="FFFFFF"/>
        </w:pBdr>
        <w:ind w:firstLine="720"/>
      </w:pPr>
      <w:r w:rsidRPr="00567001">
        <w:t xml:space="preserve">The average annual Agency burden and cost over next three years is estimated to be 39 labor hours at a cost of $1,757.  See </w:t>
      </w:r>
      <w:r w:rsidR="00BF02F9">
        <w:t xml:space="preserve">below </w:t>
      </w:r>
      <w:r w:rsidRPr="00567001">
        <w:t>Table 2: Annual Agency Burden and Cost -</w:t>
      </w:r>
      <w:r w:rsidR="00FB0FB2">
        <w:t xml:space="preserve"> </w:t>
      </w:r>
      <w:r w:rsidRPr="00567001">
        <w:t>NESHAP for Ferroalloys P</w:t>
      </w:r>
      <w:r w:rsidR="0098631F">
        <w:t xml:space="preserve">roduction Area Sources (40 CFR </w:t>
      </w:r>
      <w:proofErr w:type="gramStart"/>
      <w:r w:rsidRPr="00567001">
        <w:t>Par</w:t>
      </w:r>
      <w:r w:rsidR="00BE393F">
        <w:t>t</w:t>
      </w:r>
      <w:proofErr w:type="gramEnd"/>
      <w:r w:rsidR="00BE393F">
        <w:t xml:space="preserve"> 63, Subpart YYYYYY) (Renewal)</w:t>
      </w:r>
      <w:r w:rsidRPr="00567001">
        <w:t>.</w:t>
      </w:r>
    </w:p>
    <w:p w:rsidR="00D40946" w:rsidRPr="00081360" w:rsidRDefault="00D40946"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6(f)  Reasons for Change in Burden</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F80C44" w:rsidRDefault="007F6EDC">
      <w:pPr>
        <w:pBdr>
          <w:top w:val="single" w:sz="6" w:space="0" w:color="FFFFFF"/>
          <w:left w:val="single" w:sz="6" w:space="0" w:color="FFFFFF"/>
          <w:bottom w:val="single" w:sz="6" w:space="0" w:color="FFFFFF"/>
          <w:right w:val="single" w:sz="6" w:space="0" w:color="FFFFFF"/>
        </w:pBdr>
        <w:ind w:firstLine="720"/>
      </w:pPr>
      <w:r>
        <w:t xml:space="preserve">There is a decrease in respondent labor and cost </w:t>
      </w:r>
      <w:r w:rsidR="00567001" w:rsidRPr="00567001">
        <w:t>from the most recently approved ICR</w:t>
      </w:r>
      <w:r>
        <w:t>. The decrease</w:t>
      </w:r>
      <w:r w:rsidR="00567001" w:rsidRPr="00567001">
        <w:t xml:space="preserve"> is due to </w:t>
      </w:r>
      <w:r>
        <w:t xml:space="preserve">a reduction in initial compliance costs as existing respondents are already expected to be in compliance with the regulations. However, there is an increase in Agency costs due to </w:t>
      </w:r>
      <w:r w:rsidR="008043CC">
        <w:t>an adjustment</w:t>
      </w:r>
      <w:r w:rsidR="00567001" w:rsidRPr="00567001">
        <w:t xml:space="preserve"> in labor rates</w:t>
      </w:r>
      <w:r>
        <w:t>.</w:t>
      </w:r>
      <w:r w:rsidR="00567001" w:rsidRPr="00567001">
        <w:t xml:space="preserve"> The labor rates have increase</w:t>
      </w:r>
      <w:r w:rsidR="0098631F">
        <w:t>d</w:t>
      </w:r>
      <w:r w:rsidR="00567001" w:rsidRPr="00567001">
        <w:t xml:space="preserve"> over the past three years and the cost calculations </w:t>
      </w:r>
      <w:r>
        <w:t xml:space="preserve">in this ICR have been updated to reflect the most recent </w:t>
      </w:r>
      <w:r w:rsidR="00567001" w:rsidRPr="00567001">
        <w:t>labor rates.</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rPr>
          <w:b/>
          <w:bCs/>
        </w:rPr>
        <w:t>6(g)  Burden Statement</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 xml:space="preserve">The annual public reporting and recordkeeping burden for this collection of information is estimated to average </w:t>
      </w:r>
      <w:r w:rsidR="0098631F">
        <w:t>1</w:t>
      </w:r>
      <w:r w:rsidR="00F80896">
        <w:t>1</w:t>
      </w:r>
      <w:r w:rsidRPr="00567001">
        <w:t xml:space="preserve"> hours per response.  Burden means the total time, effort, or financial </w:t>
      </w:r>
      <w:r w:rsidRPr="00567001">
        <w:lastRenderedPageBreak/>
        <w:t>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6E465A" w:rsidRPr="00081360" w:rsidRDefault="006E465A" w:rsidP="006E465A">
      <w:pPr>
        <w:pBdr>
          <w:top w:val="single" w:sz="6" w:space="0" w:color="FFFFFF"/>
          <w:left w:val="single" w:sz="6" w:space="0" w:color="FFFFFF"/>
          <w:bottom w:val="single" w:sz="6" w:space="0" w:color="FFFFFF"/>
          <w:right w:val="single" w:sz="6" w:space="0" w:color="FFFFFF"/>
        </w:pBdr>
      </w:pPr>
    </w:p>
    <w:p w:rsidR="006E465A" w:rsidRPr="00081360" w:rsidRDefault="00567001" w:rsidP="006E465A">
      <w:pPr>
        <w:pBdr>
          <w:top w:val="single" w:sz="6" w:space="0" w:color="FFFFFF"/>
          <w:left w:val="single" w:sz="6" w:space="0" w:color="FFFFFF"/>
          <w:bottom w:val="single" w:sz="6" w:space="0" w:color="FFFFFF"/>
          <w:right w:val="single" w:sz="6" w:space="0" w:color="FFFFFF"/>
        </w:pBdr>
        <w:ind w:firstLine="720"/>
      </w:pPr>
      <w:r w:rsidRPr="00567001">
        <w:t>An agency may not conduct or sponsor, and a person is not required to respond to, a collection of information unless it displays a valid OMB Control Number.  The OMB Control Numbers for EPA regulations are listed at 40 CFR part 9 and 48 CFR chapter 15.</w:t>
      </w:r>
    </w:p>
    <w:p w:rsidR="006E465A" w:rsidRPr="00081360" w:rsidRDefault="006E465A" w:rsidP="006E465A"/>
    <w:p w:rsidR="006E465A" w:rsidRPr="00081360" w:rsidRDefault="00567001" w:rsidP="006E465A">
      <w:r w:rsidRPr="00567001">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EPA–HQ–OECA–2011–0236.  An electronic version of the public docket is available at </w:t>
      </w:r>
      <w:r w:rsidRPr="00BF02F9">
        <w:rPr>
          <w:u w:val="single"/>
        </w:rPr>
        <w:t>http://www.regulations.gov/</w:t>
      </w:r>
      <w:r w:rsidRPr="00567001">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w:t>
      </w:r>
      <w:r w:rsidR="00BF02F9">
        <w:t>52</w:t>
      </w:r>
      <w:r>
        <w:t xml:space="preserve">.  Also, you can send comments to the Office of Information and Regulatory Affairs, Office of Management and Budget, 725 17th Street, NW, Washington, DC 20503, Attention: Desk Officer for EPA.  Please include the EPA Docket ID Number </w:t>
      </w:r>
      <w:r w:rsidRPr="00567001">
        <w:t>EPA–HQ–OECA–2011–0236</w:t>
      </w:r>
      <w:r>
        <w:t xml:space="preserve"> and OMB Control Number </w:t>
      </w:r>
      <w:r w:rsidRPr="00567001">
        <w:t>2060–0625</w:t>
      </w:r>
      <w:r>
        <w:t xml:space="preserve"> in any correspondence. </w:t>
      </w:r>
    </w:p>
    <w:p w:rsidR="006E465A" w:rsidRPr="00081360" w:rsidRDefault="006E465A" w:rsidP="006E465A">
      <w:pPr>
        <w:rPr>
          <w:rStyle w:val="1"/>
          <w:rFonts w:ascii="WP TypographicSymbols" w:hAnsi="WP TypographicSymbols" w:cs="WP TypographicSymbols"/>
        </w:rPr>
      </w:pPr>
    </w:p>
    <w:p w:rsidR="006E465A" w:rsidRPr="00081360" w:rsidRDefault="00567001" w:rsidP="006E465A">
      <w:pPr>
        <w:rPr>
          <w:b/>
          <w:bCs/>
        </w:rPr>
      </w:pPr>
      <w:r w:rsidRPr="00567001">
        <w:rPr>
          <w:b/>
          <w:bCs/>
        </w:rPr>
        <w:t>Part B of the Supporting Statement</w:t>
      </w:r>
    </w:p>
    <w:p w:rsidR="006E465A" w:rsidRPr="00081360" w:rsidRDefault="006E465A" w:rsidP="006E465A">
      <w:pPr>
        <w:rPr>
          <w:b/>
          <w:bCs/>
        </w:rPr>
      </w:pPr>
    </w:p>
    <w:p w:rsidR="006E465A" w:rsidRPr="00081360" w:rsidRDefault="00567001" w:rsidP="006E465A">
      <w:r w:rsidRPr="00567001">
        <w:t>This part is not applicable because no statistical methods were used in collecting this information.</w:t>
      </w:r>
    </w:p>
    <w:p w:rsidR="00201B4F" w:rsidRDefault="00201B4F">
      <w:pPr>
        <w:widowControl/>
        <w:autoSpaceDE/>
        <w:autoSpaceDN/>
        <w:adjustRightInd/>
        <w:spacing w:after="200" w:line="276" w:lineRule="auto"/>
      </w:pPr>
      <w:r>
        <w:br w:type="page"/>
      </w:r>
    </w:p>
    <w:p w:rsidR="00201B4F" w:rsidRDefault="00201B4F">
      <w:pPr>
        <w:sectPr w:rsidR="00201B4F" w:rsidSect="006E465A">
          <w:headerReference w:type="default" r:id="rId7"/>
          <w:pgSz w:w="12240" w:h="15840"/>
          <w:pgMar w:top="1350" w:right="1440" w:bottom="1440" w:left="1440" w:header="1350" w:footer="1440" w:gutter="0"/>
          <w:cols w:space="720"/>
          <w:noEndnote/>
        </w:sectPr>
      </w:pPr>
    </w:p>
    <w:tbl>
      <w:tblPr>
        <w:tblW w:w="12801" w:type="dxa"/>
        <w:tblInd w:w="93" w:type="dxa"/>
        <w:tblLook w:val="04A0"/>
      </w:tblPr>
      <w:tblGrid>
        <w:gridCol w:w="3219"/>
        <w:gridCol w:w="1182"/>
        <w:gridCol w:w="1180"/>
        <w:gridCol w:w="1180"/>
        <w:gridCol w:w="1239"/>
        <w:gridCol w:w="1180"/>
        <w:gridCol w:w="210"/>
        <w:gridCol w:w="1051"/>
        <w:gridCol w:w="1180"/>
        <w:gridCol w:w="1180"/>
      </w:tblGrid>
      <w:tr w:rsidR="00201B4F" w:rsidRPr="00201B4F" w:rsidTr="00AA2B5F">
        <w:trPr>
          <w:trHeight w:val="660"/>
          <w:tblHeader/>
        </w:trPr>
        <w:tc>
          <w:tcPr>
            <w:tcW w:w="12801" w:type="dxa"/>
            <w:gridSpan w:val="10"/>
            <w:tcBorders>
              <w:top w:val="nil"/>
              <w:left w:val="nil"/>
              <w:bottom w:val="nil"/>
              <w:right w:val="nil"/>
            </w:tcBorders>
            <w:shd w:val="clear" w:color="auto" w:fill="auto"/>
            <w:vAlign w:val="bottom"/>
            <w:hideMark/>
          </w:tcPr>
          <w:p w:rsidR="00201B4F" w:rsidRPr="002C4DCC" w:rsidRDefault="00201B4F" w:rsidP="00201B4F">
            <w:pPr>
              <w:widowControl/>
              <w:autoSpaceDE/>
              <w:autoSpaceDN/>
              <w:adjustRightInd/>
              <w:rPr>
                <w:b/>
                <w:bCs/>
                <w:color w:val="000000"/>
              </w:rPr>
            </w:pPr>
            <w:r w:rsidRPr="002C4DCC">
              <w:rPr>
                <w:b/>
                <w:bCs/>
                <w:color w:val="000000"/>
              </w:rPr>
              <w:lastRenderedPageBreak/>
              <w:t>Table 1. Annual Respondent Burden and Cost - NESHAP for Ferroalloys Production Area Sources (40 CFR  Part 63, Subpart YYYYYY) (Renewal)</w:t>
            </w:r>
          </w:p>
        </w:tc>
      </w:tr>
      <w:tr w:rsidR="00201B4F" w:rsidRPr="00201B4F" w:rsidTr="00AA2B5F">
        <w:trPr>
          <w:trHeight w:val="270"/>
          <w:tblHeader/>
        </w:trPr>
        <w:tc>
          <w:tcPr>
            <w:tcW w:w="3219" w:type="dxa"/>
            <w:tcBorders>
              <w:top w:val="nil"/>
              <w:left w:val="nil"/>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p>
        </w:tc>
        <w:tc>
          <w:tcPr>
            <w:tcW w:w="1182" w:type="dxa"/>
            <w:tcBorders>
              <w:top w:val="nil"/>
              <w:left w:val="nil"/>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p>
        </w:tc>
        <w:tc>
          <w:tcPr>
            <w:tcW w:w="1180" w:type="dxa"/>
            <w:tcBorders>
              <w:top w:val="nil"/>
              <w:left w:val="nil"/>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p>
        </w:tc>
        <w:tc>
          <w:tcPr>
            <w:tcW w:w="1180" w:type="dxa"/>
            <w:tcBorders>
              <w:top w:val="nil"/>
              <w:left w:val="nil"/>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p>
        </w:tc>
        <w:tc>
          <w:tcPr>
            <w:tcW w:w="1239" w:type="dxa"/>
            <w:tcBorders>
              <w:top w:val="nil"/>
              <w:left w:val="nil"/>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p>
        </w:tc>
        <w:tc>
          <w:tcPr>
            <w:tcW w:w="1180" w:type="dxa"/>
            <w:tcBorders>
              <w:top w:val="nil"/>
              <w:left w:val="nil"/>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p>
        </w:tc>
        <w:tc>
          <w:tcPr>
            <w:tcW w:w="1261" w:type="dxa"/>
            <w:gridSpan w:val="2"/>
            <w:tcBorders>
              <w:top w:val="nil"/>
              <w:left w:val="nil"/>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p>
        </w:tc>
        <w:tc>
          <w:tcPr>
            <w:tcW w:w="1180" w:type="dxa"/>
            <w:tcBorders>
              <w:top w:val="nil"/>
              <w:left w:val="nil"/>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p>
        </w:tc>
        <w:tc>
          <w:tcPr>
            <w:tcW w:w="1180" w:type="dxa"/>
            <w:tcBorders>
              <w:top w:val="nil"/>
              <w:left w:val="nil"/>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p>
        </w:tc>
      </w:tr>
      <w:tr w:rsidR="00AA2B5F" w:rsidRPr="00201B4F" w:rsidTr="00AA2B5F">
        <w:trPr>
          <w:trHeight w:val="1885"/>
          <w:tblHeader/>
        </w:trPr>
        <w:tc>
          <w:tcPr>
            <w:tcW w:w="3219" w:type="dxa"/>
            <w:tcBorders>
              <w:top w:val="single" w:sz="8" w:space="0" w:color="auto"/>
              <w:left w:val="single" w:sz="4" w:space="0" w:color="auto"/>
              <w:bottom w:val="single" w:sz="4" w:space="0" w:color="auto"/>
              <w:right w:val="single" w:sz="4" w:space="0" w:color="auto"/>
            </w:tcBorders>
            <w:shd w:val="clear" w:color="000000" w:fill="D8D8D8"/>
            <w:vAlign w:val="center"/>
            <w:hideMark/>
          </w:tcPr>
          <w:p w:rsidR="00F80C44" w:rsidRDefault="00AA2B5F">
            <w:pPr>
              <w:widowControl/>
              <w:autoSpaceDE/>
              <w:autoSpaceDN/>
              <w:adjustRightInd/>
              <w:jc w:val="center"/>
              <w:rPr>
                <w:color w:val="000000"/>
                <w:sz w:val="20"/>
                <w:szCs w:val="20"/>
              </w:rPr>
            </w:pPr>
            <w:r w:rsidRPr="00201B4F">
              <w:rPr>
                <w:color w:val="000000"/>
                <w:sz w:val="20"/>
                <w:szCs w:val="20"/>
              </w:rPr>
              <w:t>REPORTING/RECORDKEEPING REQUIREMENT</w:t>
            </w:r>
          </w:p>
        </w:tc>
        <w:tc>
          <w:tcPr>
            <w:tcW w:w="1182" w:type="dxa"/>
            <w:tcBorders>
              <w:top w:val="single" w:sz="8" w:space="0" w:color="auto"/>
              <w:left w:val="nil"/>
              <w:bottom w:val="single" w:sz="4" w:space="0" w:color="auto"/>
              <w:right w:val="single" w:sz="4" w:space="0" w:color="auto"/>
            </w:tcBorders>
            <w:shd w:val="clear" w:color="000000" w:fill="D8D8D8"/>
            <w:noWrap/>
            <w:vAlign w:val="center"/>
            <w:hideMark/>
          </w:tcPr>
          <w:p w:rsidR="00F80C44" w:rsidRDefault="00AA2B5F">
            <w:pPr>
              <w:widowControl/>
              <w:autoSpaceDE/>
              <w:autoSpaceDN/>
              <w:adjustRightInd/>
              <w:jc w:val="center"/>
              <w:rPr>
                <w:color w:val="000000"/>
                <w:sz w:val="20"/>
                <w:szCs w:val="20"/>
              </w:rPr>
            </w:pPr>
            <w:r w:rsidRPr="00201B4F">
              <w:rPr>
                <w:color w:val="000000"/>
                <w:sz w:val="20"/>
                <w:szCs w:val="20"/>
              </w:rPr>
              <w:t>(A)</w:t>
            </w:r>
          </w:p>
          <w:p w:rsidR="00F80C44" w:rsidRDefault="00F80C44">
            <w:pPr>
              <w:widowControl/>
              <w:autoSpaceDE/>
              <w:autoSpaceDN/>
              <w:adjustRightInd/>
              <w:jc w:val="center"/>
              <w:rPr>
                <w:color w:val="000000"/>
                <w:sz w:val="20"/>
                <w:szCs w:val="20"/>
              </w:rPr>
            </w:pPr>
          </w:p>
          <w:p w:rsidR="00F80C44" w:rsidRDefault="00AA2B5F">
            <w:pPr>
              <w:jc w:val="center"/>
              <w:rPr>
                <w:color w:val="000000"/>
                <w:sz w:val="20"/>
                <w:szCs w:val="20"/>
              </w:rPr>
            </w:pPr>
            <w:r w:rsidRPr="00201B4F">
              <w:rPr>
                <w:color w:val="000000"/>
                <w:sz w:val="20"/>
                <w:szCs w:val="20"/>
              </w:rPr>
              <w:t>Person-hours per occu</w:t>
            </w:r>
            <w:r>
              <w:rPr>
                <w:color w:val="000000"/>
                <w:sz w:val="20"/>
                <w:szCs w:val="20"/>
              </w:rPr>
              <w:t>r</w:t>
            </w:r>
            <w:r w:rsidRPr="00201B4F">
              <w:rPr>
                <w:color w:val="000000"/>
                <w:sz w:val="20"/>
                <w:szCs w:val="20"/>
              </w:rPr>
              <w:t>r</w:t>
            </w:r>
            <w:r>
              <w:rPr>
                <w:color w:val="000000"/>
                <w:sz w:val="20"/>
                <w:szCs w:val="20"/>
              </w:rPr>
              <w:t>e</w:t>
            </w:r>
            <w:r w:rsidRPr="00201B4F">
              <w:rPr>
                <w:color w:val="000000"/>
                <w:sz w:val="20"/>
                <w:szCs w:val="20"/>
              </w:rPr>
              <w:t>nce</w:t>
            </w:r>
          </w:p>
        </w:tc>
        <w:tc>
          <w:tcPr>
            <w:tcW w:w="1180" w:type="dxa"/>
            <w:tcBorders>
              <w:top w:val="single" w:sz="8" w:space="0" w:color="auto"/>
              <w:left w:val="nil"/>
              <w:bottom w:val="single" w:sz="4" w:space="0" w:color="auto"/>
              <w:right w:val="single" w:sz="4" w:space="0" w:color="auto"/>
            </w:tcBorders>
            <w:shd w:val="clear" w:color="000000" w:fill="D8D8D8"/>
            <w:noWrap/>
            <w:vAlign w:val="center"/>
            <w:hideMark/>
          </w:tcPr>
          <w:p w:rsidR="00F80C44" w:rsidRDefault="00AA2B5F">
            <w:pPr>
              <w:widowControl/>
              <w:autoSpaceDE/>
              <w:autoSpaceDN/>
              <w:adjustRightInd/>
              <w:jc w:val="center"/>
              <w:rPr>
                <w:color w:val="000000"/>
                <w:sz w:val="20"/>
                <w:szCs w:val="20"/>
              </w:rPr>
            </w:pPr>
            <w:r w:rsidRPr="00201B4F">
              <w:rPr>
                <w:color w:val="000000"/>
                <w:sz w:val="20"/>
                <w:szCs w:val="20"/>
              </w:rPr>
              <w:t>(B)</w:t>
            </w:r>
          </w:p>
          <w:p w:rsidR="00F80C44" w:rsidRDefault="00F80C44">
            <w:pPr>
              <w:widowControl/>
              <w:autoSpaceDE/>
              <w:autoSpaceDN/>
              <w:adjustRightInd/>
              <w:jc w:val="center"/>
              <w:rPr>
                <w:color w:val="000000"/>
                <w:sz w:val="20"/>
                <w:szCs w:val="20"/>
              </w:rPr>
            </w:pPr>
          </w:p>
          <w:p w:rsidR="00F80C44" w:rsidRDefault="00AA2B5F">
            <w:pPr>
              <w:jc w:val="center"/>
              <w:rPr>
                <w:color w:val="000000"/>
                <w:sz w:val="20"/>
                <w:szCs w:val="20"/>
              </w:rPr>
            </w:pPr>
            <w:r w:rsidRPr="00201B4F">
              <w:rPr>
                <w:color w:val="000000"/>
                <w:sz w:val="20"/>
                <w:szCs w:val="20"/>
              </w:rPr>
              <w:t>No. of occurrences per respondent per year</w:t>
            </w:r>
          </w:p>
        </w:tc>
        <w:tc>
          <w:tcPr>
            <w:tcW w:w="1180" w:type="dxa"/>
            <w:tcBorders>
              <w:top w:val="single" w:sz="8" w:space="0" w:color="auto"/>
              <w:left w:val="nil"/>
              <w:bottom w:val="single" w:sz="4" w:space="0" w:color="auto"/>
              <w:right w:val="single" w:sz="4" w:space="0" w:color="auto"/>
            </w:tcBorders>
            <w:shd w:val="clear" w:color="000000" w:fill="D8D8D8"/>
            <w:noWrap/>
            <w:vAlign w:val="center"/>
            <w:hideMark/>
          </w:tcPr>
          <w:p w:rsidR="00F80C44" w:rsidRDefault="00AA2B5F">
            <w:pPr>
              <w:widowControl/>
              <w:autoSpaceDE/>
              <w:autoSpaceDN/>
              <w:adjustRightInd/>
              <w:jc w:val="center"/>
              <w:rPr>
                <w:color w:val="000000"/>
                <w:sz w:val="20"/>
                <w:szCs w:val="20"/>
              </w:rPr>
            </w:pPr>
            <w:r w:rsidRPr="00201B4F">
              <w:rPr>
                <w:color w:val="000000"/>
                <w:sz w:val="20"/>
                <w:szCs w:val="20"/>
              </w:rPr>
              <w:t>(C)</w:t>
            </w:r>
          </w:p>
          <w:p w:rsidR="00F80C44" w:rsidRDefault="00F80C44">
            <w:pPr>
              <w:widowControl/>
              <w:autoSpaceDE/>
              <w:autoSpaceDN/>
              <w:adjustRightInd/>
              <w:jc w:val="center"/>
              <w:rPr>
                <w:color w:val="000000"/>
                <w:sz w:val="20"/>
                <w:szCs w:val="20"/>
              </w:rPr>
            </w:pPr>
          </w:p>
          <w:p w:rsidR="00F80C44" w:rsidRDefault="00AA2B5F">
            <w:pPr>
              <w:widowControl/>
              <w:autoSpaceDE/>
              <w:autoSpaceDN/>
              <w:adjustRightInd/>
              <w:jc w:val="center"/>
              <w:rPr>
                <w:color w:val="000000"/>
                <w:sz w:val="20"/>
                <w:szCs w:val="20"/>
              </w:rPr>
            </w:pPr>
            <w:r w:rsidRPr="00201B4F">
              <w:rPr>
                <w:color w:val="000000"/>
                <w:sz w:val="20"/>
                <w:szCs w:val="20"/>
              </w:rPr>
              <w:t>Person-hours per respondent</w:t>
            </w:r>
          </w:p>
          <w:p w:rsidR="00F80C44" w:rsidRDefault="00F80C44">
            <w:pPr>
              <w:widowControl/>
              <w:autoSpaceDE/>
              <w:autoSpaceDN/>
              <w:adjustRightInd/>
              <w:jc w:val="center"/>
              <w:rPr>
                <w:color w:val="000000"/>
                <w:sz w:val="20"/>
                <w:szCs w:val="20"/>
              </w:rPr>
            </w:pPr>
          </w:p>
          <w:p w:rsidR="00F80C44" w:rsidRDefault="00AA2B5F">
            <w:pPr>
              <w:jc w:val="center"/>
              <w:rPr>
                <w:color w:val="000000"/>
                <w:sz w:val="20"/>
                <w:szCs w:val="20"/>
              </w:rPr>
            </w:pPr>
            <w:r w:rsidRPr="00201B4F">
              <w:rPr>
                <w:color w:val="000000"/>
                <w:sz w:val="20"/>
                <w:szCs w:val="20"/>
              </w:rPr>
              <w:t>(A) x (B)</w:t>
            </w:r>
          </w:p>
        </w:tc>
        <w:tc>
          <w:tcPr>
            <w:tcW w:w="1239" w:type="dxa"/>
            <w:tcBorders>
              <w:top w:val="single" w:sz="8" w:space="0" w:color="auto"/>
              <w:left w:val="nil"/>
              <w:bottom w:val="single" w:sz="4" w:space="0" w:color="auto"/>
              <w:right w:val="single" w:sz="4" w:space="0" w:color="auto"/>
            </w:tcBorders>
            <w:shd w:val="clear" w:color="000000" w:fill="D8D8D8"/>
            <w:noWrap/>
            <w:vAlign w:val="center"/>
            <w:hideMark/>
          </w:tcPr>
          <w:p w:rsidR="00F80C44" w:rsidRDefault="00AA2B5F">
            <w:pPr>
              <w:widowControl/>
              <w:autoSpaceDE/>
              <w:autoSpaceDN/>
              <w:adjustRightInd/>
              <w:jc w:val="center"/>
              <w:rPr>
                <w:color w:val="000000"/>
                <w:sz w:val="20"/>
                <w:szCs w:val="20"/>
              </w:rPr>
            </w:pPr>
            <w:r w:rsidRPr="00201B4F">
              <w:rPr>
                <w:color w:val="000000"/>
                <w:sz w:val="20"/>
                <w:szCs w:val="20"/>
              </w:rPr>
              <w:t>(D)</w:t>
            </w:r>
          </w:p>
          <w:p w:rsidR="00F80C44" w:rsidRDefault="00F80C44">
            <w:pPr>
              <w:widowControl/>
              <w:autoSpaceDE/>
              <w:autoSpaceDN/>
              <w:adjustRightInd/>
              <w:jc w:val="center"/>
              <w:rPr>
                <w:color w:val="000000"/>
                <w:sz w:val="20"/>
                <w:szCs w:val="20"/>
              </w:rPr>
            </w:pPr>
          </w:p>
          <w:p w:rsidR="00F80C44" w:rsidRDefault="00AA2B5F">
            <w:pPr>
              <w:jc w:val="center"/>
              <w:rPr>
                <w:color w:val="000000"/>
                <w:sz w:val="20"/>
                <w:szCs w:val="20"/>
              </w:rPr>
            </w:pPr>
            <w:r w:rsidRPr="00201B4F">
              <w:rPr>
                <w:color w:val="000000"/>
                <w:sz w:val="20"/>
                <w:szCs w:val="20"/>
              </w:rPr>
              <w:t>Respondents per year</w:t>
            </w:r>
          </w:p>
        </w:tc>
        <w:tc>
          <w:tcPr>
            <w:tcW w:w="1180" w:type="dxa"/>
            <w:tcBorders>
              <w:top w:val="single" w:sz="8" w:space="0" w:color="auto"/>
              <w:left w:val="nil"/>
              <w:bottom w:val="single" w:sz="4" w:space="0" w:color="auto"/>
              <w:right w:val="single" w:sz="4" w:space="0" w:color="auto"/>
            </w:tcBorders>
            <w:shd w:val="clear" w:color="000000" w:fill="D8D8D8"/>
            <w:noWrap/>
            <w:vAlign w:val="center"/>
            <w:hideMark/>
          </w:tcPr>
          <w:p w:rsidR="00F80C44" w:rsidRDefault="00AA2B5F">
            <w:pPr>
              <w:widowControl/>
              <w:autoSpaceDE/>
              <w:autoSpaceDN/>
              <w:adjustRightInd/>
              <w:jc w:val="center"/>
              <w:rPr>
                <w:color w:val="000000"/>
                <w:sz w:val="20"/>
                <w:szCs w:val="20"/>
              </w:rPr>
            </w:pPr>
            <w:r w:rsidRPr="00201B4F">
              <w:rPr>
                <w:color w:val="000000"/>
                <w:sz w:val="20"/>
                <w:szCs w:val="20"/>
              </w:rPr>
              <w:t>(E)</w:t>
            </w:r>
          </w:p>
          <w:p w:rsidR="00F80C44" w:rsidRDefault="00F80C44">
            <w:pPr>
              <w:widowControl/>
              <w:autoSpaceDE/>
              <w:autoSpaceDN/>
              <w:adjustRightInd/>
              <w:jc w:val="center"/>
              <w:rPr>
                <w:color w:val="000000"/>
                <w:sz w:val="20"/>
                <w:szCs w:val="20"/>
              </w:rPr>
            </w:pPr>
          </w:p>
          <w:p w:rsidR="00F80C44" w:rsidRDefault="00AA2B5F">
            <w:pPr>
              <w:widowControl/>
              <w:autoSpaceDE/>
              <w:autoSpaceDN/>
              <w:adjustRightInd/>
              <w:jc w:val="center"/>
              <w:rPr>
                <w:color w:val="000000"/>
                <w:sz w:val="20"/>
                <w:szCs w:val="20"/>
              </w:rPr>
            </w:pPr>
            <w:r w:rsidRPr="00201B4F">
              <w:rPr>
                <w:color w:val="000000"/>
                <w:sz w:val="20"/>
                <w:szCs w:val="20"/>
              </w:rPr>
              <w:t>Technical person-hour per year</w:t>
            </w:r>
          </w:p>
          <w:p w:rsidR="00F80C44" w:rsidRDefault="00F80C44">
            <w:pPr>
              <w:widowControl/>
              <w:autoSpaceDE/>
              <w:autoSpaceDN/>
              <w:adjustRightInd/>
              <w:jc w:val="center"/>
              <w:rPr>
                <w:color w:val="000000"/>
                <w:sz w:val="20"/>
                <w:szCs w:val="20"/>
              </w:rPr>
            </w:pPr>
          </w:p>
          <w:p w:rsidR="00F80C44" w:rsidRDefault="00AA2B5F">
            <w:pPr>
              <w:jc w:val="center"/>
              <w:rPr>
                <w:color w:val="000000"/>
                <w:sz w:val="20"/>
                <w:szCs w:val="20"/>
              </w:rPr>
            </w:pPr>
            <w:r w:rsidRPr="00201B4F">
              <w:rPr>
                <w:color w:val="000000"/>
                <w:sz w:val="20"/>
                <w:szCs w:val="20"/>
              </w:rPr>
              <w:t>(C) x (D)</w:t>
            </w:r>
          </w:p>
        </w:tc>
        <w:tc>
          <w:tcPr>
            <w:tcW w:w="1261" w:type="dxa"/>
            <w:gridSpan w:val="2"/>
            <w:tcBorders>
              <w:top w:val="single" w:sz="8" w:space="0" w:color="auto"/>
              <w:left w:val="nil"/>
              <w:bottom w:val="single" w:sz="4" w:space="0" w:color="auto"/>
              <w:right w:val="single" w:sz="4" w:space="0" w:color="auto"/>
            </w:tcBorders>
            <w:shd w:val="clear" w:color="000000" w:fill="D8D8D8"/>
            <w:noWrap/>
            <w:vAlign w:val="center"/>
            <w:hideMark/>
          </w:tcPr>
          <w:p w:rsidR="00F80C44" w:rsidRDefault="00AA2B5F">
            <w:pPr>
              <w:widowControl/>
              <w:autoSpaceDE/>
              <w:autoSpaceDN/>
              <w:adjustRightInd/>
              <w:jc w:val="center"/>
              <w:rPr>
                <w:color w:val="000000"/>
                <w:sz w:val="20"/>
                <w:szCs w:val="20"/>
              </w:rPr>
            </w:pPr>
            <w:r w:rsidRPr="00201B4F">
              <w:rPr>
                <w:color w:val="000000"/>
                <w:sz w:val="20"/>
                <w:szCs w:val="20"/>
              </w:rPr>
              <w:t>(F)</w:t>
            </w:r>
          </w:p>
          <w:p w:rsidR="00F80C44" w:rsidRDefault="00F80C44">
            <w:pPr>
              <w:widowControl/>
              <w:autoSpaceDE/>
              <w:autoSpaceDN/>
              <w:adjustRightInd/>
              <w:jc w:val="center"/>
              <w:rPr>
                <w:color w:val="000000"/>
                <w:sz w:val="20"/>
                <w:szCs w:val="20"/>
              </w:rPr>
            </w:pPr>
          </w:p>
          <w:p w:rsidR="00F80C44" w:rsidRDefault="00AA2B5F">
            <w:pPr>
              <w:widowControl/>
              <w:autoSpaceDE/>
              <w:autoSpaceDN/>
              <w:adjustRightInd/>
              <w:jc w:val="center"/>
              <w:rPr>
                <w:color w:val="000000"/>
                <w:sz w:val="20"/>
                <w:szCs w:val="20"/>
              </w:rPr>
            </w:pPr>
            <w:r w:rsidRPr="00201B4F">
              <w:rPr>
                <w:color w:val="000000"/>
                <w:sz w:val="20"/>
                <w:szCs w:val="20"/>
              </w:rPr>
              <w:t>Management person-hour per year</w:t>
            </w:r>
          </w:p>
          <w:p w:rsidR="00F80C44" w:rsidRDefault="00F80C44">
            <w:pPr>
              <w:widowControl/>
              <w:autoSpaceDE/>
              <w:autoSpaceDN/>
              <w:adjustRightInd/>
              <w:jc w:val="center"/>
              <w:rPr>
                <w:color w:val="000000"/>
                <w:sz w:val="20"/>
                <w:szCs w:val="20"/>
              </w:rPr>
            </w:pPr>
          </w:p>
          <w:p w:rsidR="00F80C44" w:rsidRDefault="00AA2B5F">
            <w:pPr>
              <w:jc w:val="center"/>
              <w:rPr>
                <w:color w:val="000000"/>
                <w:sz w:val="20"/>
                <w:szCs w:val="20"/>
              </w:rPr>
            </w:pPr>
            <w:r w:rsidRPr="00201B4F">
              <w:rPr>
                <w:color w:val="000000"/>
                <w:sz w:val="20"/>
                <w:szCs w:val="20"/>
              </w:rPr>
              <w:t>(E) x 0.05</w:t>
            </w:r>
          </w:p>
        </w:tc>
        <w:tc>
          <w:tcPr>
            <w:tcW w:w="1180" w:type="dxa"/>
            <w:tcBorders>
              <w:top w:val="single" w:sz="8" w:space="0" w:color="auto"/>
              <w:left w:val="nil"/>
              <w:bottom w:val="single" w:sz="4" w:space="0" w:color="auto"/>
              <w:right w:val="single" w:sz="4" w:space="0" w:color="auto"/>
            </w:tcBorders>
            <w:shd w:val="clear" w:color="000000" w:fill="D8D8D8"/>
            <w:noWrap/>
            <w:vAlign w:val="center"/>
            <w:hideMark/>
          </w:tcPr>
          <w:p w:rsidR="00F80C44" w:rsidRDefault="00AA2B5F">
            <w:pPr>
              <w:widowControl/>
              <w:autoSpaceDE/>
              <w:autoSpaceDN/>
              <w:adjustRightInd/>
              <w:jc w:val="center"/>
              <w:rPr>
                <w:color w:val="000000"/>
                <w:sz w:val="20"/>
                <w:szCs w:val="20"/>
              </w:rPr>
            </w:pPr>
            <w:r w:rsidRPr="00201B4F">
              <w:rPr>
                <w:color w:val="000000"/>
                <w:sz w:val="20"/>
                <w:szCs w:val="20"/>
              </w:rPr>
              <w:t>(G)</w:t>
            </w:r>
          </w:p>
          <w:p w:rsidR="00F80C44" w:rsidRDefault="00F80C44">
            <w:pPr>
              <w:widowControl/>
              <w:autoSpaceDE/>
              <w:autoSpaceDN/>
              <w:adjustRightInd/>
              <w:jc w:val="center"/>
              <w:rPr>
                <w:color w:val="000000"/>
                <w:sz w:val="20"/>
                <w:szCs w:val="20"/>
              </w:rPr>
            </w:pPr>
          </w:p>
          <w:p w:rsidR="00F80C44" w:rsidRDefault="00AA2B5F">
            <w:pPr>
              <w:widowControl/>
              <w:autoSpaceDE/>
              <w:autoSpaceDN/>
              <w:adjustRightInd/>
              <w:jc w:val="center"/>
              <w:rPr>
                <w:color w:val="000000"/>
                <w:sz w:val="20"/>
                <w:szCs w:val="20"/>
              </w:rPr>
            </w:pPr>
            <w:r w:rsidRPr="00201B4F">
              <w:rPr>
                <w:color w:val="000000"/>
                <w:sz w:val="20"/>
                <w:szCs w:val="20"/>
              </w:rPr>
              <w:t>Clerical person-hour per year</w:t>
            </w:r>
          </w:p>
          <w:p w:rsidR="00F80C44" w:rsidRDefault="00F80C44">
            <w:pPr>
              <w:widowControl/>
              <w:autoSpaceDE/>
              <w:autoSpaceDN/>
              <w:adjustRightInd/>
              <w:jc w:val="center"/>
              <w:rPr>
                <w:color w:val="000000"/>
                <w:sz w:val="20"/>
                <w:szCs w:val="20"/>
              </w:rPr>
            </w:pPr>
          </w:p>
          <w:p w:rsidR="00F80C44" w:rsidRDefault="00AA2B5F">
            <w:pPr>
              <w:jc w:val="center"/>
              <w:rPr>
                <w:color w:val="000000"/>
                <w:sz w:val="20"/>
                <w:szCs w:val="20"/>
              </w:rPr>
            </w:pPr>
            <w:r w:rsidRPr="00201B4F">
              <w:rPr>
                <w:color w:val="000000"/>
                <w:sz w:val="20"/>
                <w:szCs w:val="20"/>
              </w:rPr>
              <w:t>(E) x 0.10</w:t>
            </w:r>
          </w:p>
        </w:tc>
        <w:tc>
          <w:tcPr>
            <w:tcW w:w="1180" w:type="dxa"/>
            <w:tcBorders>
              <w:top w:val="single" w:sz="8" w:space="0" w:color="auto"/>
              <w:left w:val="nil"/>
              <w:bottom w:val="single" w:sz="4" w:space="0" w:color="auto"/>
              <w:right w:val="single" w:sz="4" w:space="0" w:color="auto"/>
            </w:tcBorders>
            <w:shd w:val="clear" w:color="000000" w:fill="D8D8D8"/>
            <w:noWrap/>
            <w:vAlign w:val="center"/>
            <w:hideMark/>
          </w:tcPr>
          <w:p w:rsidR="00F80C44" w:rsidRDefault="00AA2B5F">
            <w:pPr>
              <w:widowControl/>
              <w:autoSpaceDE/>
              <w:autoSpaceDN/>
              <w:adjustRightInd/>
              <w:jc w:val="center"/>
              <w:rPr>
                <w:color w:val="000000"/>
                <w:sz w:val="20"/>
                <w:szCs w:val="20"/>
              </w:rPr>
            </w:pPr>
            <w:r w:rsidRPr="00201B4F">
              <w:rPr>
                <w:color w:val="000000"/>
                <w:sz w:val="20"/>
                <w:szCs w:val="20"/>
              </w:rPr>
              <w:t>(H)</w:t>
            </w:r>
          </w:p>
          <w:p w:rsidR="00F80C44" w:rsidRDefault="00F80C44">
            <w:pPr>
              <w:widowControl/>
              <w:autoSpaceDE/>
              <w:autoSpaceDN/>
              <w:adjustRightInd/>
              <w:jc w:val="center"/>
              <w:rPr>
                <w:color w:val="000000"/>
                <w:sz w:val="20"/>
                <w:szCs w:val="20"/>
              </w:rPr>
            </w:pPr>
          </w:p>
          <w:p w:rsidR="00F80C44" w:rsidRDefault="00AA2B5F">
            <w:pPr>
              <w:jc w:val="center"/>
              <w:rPr>
                <w:color w:val="000000"/>
                <w:sz w:val="20"/>
                <w:szCs w:val="20"/>
              </w:rPr>
            </w:pPr>
            <w:r w:rsidRPr="00201B4F">
              <w:rPr>
                <w:color w:val="000000"/>
                <w:sz w:val="20"/>
                <w:szCs w:val="20"/>
              </w:rPr>
              <w:t>Cost, $ (a)</w:t>
            </w:r>
          </w:p>
        </w:tc>
      </w:tr>
      <w:tr w:rsidR="00201B4F" w:rsidRPr="00201B4F" w:rsidTr="00AA2B5F">
        <w:trPr>
          <w:trHeight w:val="270"/>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1. Applications</w:t>
            </w:r>
          </w:p>
        </w:tc>
        <w:tc>
          <w:tcPr>
            <w:tcW w:w="9582" w:type="dxa"/>
            <w:gridSpan w:val="9"/>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N/A</w:t>
            </w:r>
          </w:p>
        </w:tc>
      </w:tr>
      <w:tr w:rsidR="00201B4F" w:rsidRPr="00201B4F" w:rsidTr="00AA2B5F">
        <w:trPr>
          <w:trHeight w:val="270"/>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2. Survey and Studies</w:t>
            </w:r>
          </w:p>
        </w:tc>
        <w:tc>
          <w:tcPr>
            <w:tcW w:w="9582" w:type="dxa"/>
            <w:gridSpan w:val="9"/>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N/A</w:t>
            </w:r>
          </w:p>
        </w:tc>
      </w:tr>
      <w:tr w:rsidR="00201B4F" w:rsidRPr="00201B4F" w:rsidTr="00AA2B5F">
        <w:trPr>
          <w:trHeight w:val="525"/>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3. Acquisition, Installation, &amp; Utilization of Tech. &amp; Systems</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40</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right"/>
              <w:rPr>
                <w:color w:val="000000"/>
                <w:sz w:val="20"/>
                <w:szCs w:val="20"/>
              </w:rPr>
            </w:pPr>
            <w:r w:rsidRPr="00201B4F">
              <w:rPr>
                <w:color w:val="000000"/>
                <w:sz w:val="20"/>
                <w:szCs w:val="20"/>
              </w:rPr>
              <w:t>$0</w:t>
            </w:r>
          </w:p>
        </w:tc>
      </w:tr>
      <w:tr w:rsidR="00201B4F" w:rsidRPr="00201B4F" w:rsidTr="00AA2B5F">
        <w:trPr>
          <w:trHeight w:val="270"/>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4. Reporting Requirements</w:t>
            </w:r>
          </w:p>
        </w:tc>
        <w:tc>
          <w:tcPr>
            <w:tcW w:w="9582" w:type="dxa"/>
            <w:gridSpan w:val="9"/>
            <w:tcBorders>
              <w:top w:val="single" w:sz="4" w:space="0" w:color="auto"/>
              <w:left w:val="nil"/>
              <w:bottom w:val="single" w:sz="4" w:space="0" w:color="auto"/>
              <w:right w:val="single" w:sz="4" w:space="0" w:color="auto"/>
            </w:tcBorders>
            <w:shd w:val="clear" w:color="000000" w:fill="BFBFBF"/>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270"/>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A. Read instructions (b)</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right"/>
              <w:rPr>
                <w:color w:val="000000"/>
                <w:sz w:val="20"/>
                <w:szCs w:val="20"/>
              </w:rPr>
            </w:pPr>
            <w:r w:rsidRPr="00201B4F">
              <w:rPr>
                <w:color w:val="000000"/>
                <w:sz w:val="20"/>
                <w:szCs w:val="20"/>
              </w:rPr>
              <w:t>$0</w:t>
            </w:r>
          </w:p>
        </w:tc>
      </w:tr>
      <w:tr w:rsidR="00201B4F" w:rsidRPr="00201B4F" w:rsidTr="00AA2B5F">
        <w:trPr>
          <w:trHeight w:val="255"/>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B. Required Activities</w:t>
            </w:r>
          </w:p>
        </w:tc>
        <w:tc>
          <w:tcPr>
            <w:tcW w:w="9582" w:type="dxa"/>
            <w:gridSpan w:val="9"/>
            <w:tcBorders>
              <w:top w:val="single" w:sz="4" w:space="0" w:color="auto"/>
              <w:left w:val="nil"/>
              <w:bottom w:val="single" w:sz="4" w:space="0" w:color="auto"/>
              <w:right w:val="single" w:sz="4" w:space="0" w:color="auto"/>
            </w:tcBorders>
            <w:shd w:val="clear" w:color="000000" w:fill="BFBFBF"/>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510"/>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One-time activity, Initial control device Method 22 Planning</w:t>
            </w:r>
          </w:p>
        </w:tc>
        <w:tc>
          <w:tcPr>
            <w:tcW w:w="9582" w:type="dxa"/>
            <w:gridSpan w:val="9"/>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N/A</w:t>
            </w:r>
          </w:p>
        </w:tc>
      </w:tr>
      <w:tr w:rsidR="00201B4F" w:rsidRPr="00201B4F" w:rsidTr="00AA2B5F">
        <w:trPr>
          <w:trHeight w:val="525"/>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One-time activity, Initial control device Method 22 Test</w:t>
            </w:r>
          </w:p>
        </w:tc>
        <w:tc>
          <w:tcPr>
            <w:tcW w:w="9582" w:type="dxa"/>
            <w:gridSpan w:val="9"/>
            <w:tcBorders>
              <w:top w:val="single" w:sz="4" w:space="0" w:color="auto"/>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N/A</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Periodic control device Method 22</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19</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76</w:t>
            </w:r>
          </w:p>
        </w:tc>
        <w:tc>
          <w:tcPr>
            <w:tcW w:w="1261" w:type="dxa"/>
            <w:gridSpan w:val="2"/>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201B4F" w:rsidP="00675285">
            <w:pPr>
              <w:widowControl/>
              <w:autoSpaceDE/>
              <w:autoSpaceDN/>
              <w:adjustRightInd/>
              <w:jc w:val="center"/>
              <w:rPr>
                <w:color w:val="000000"/>
                <w:sz w:val="20"/>
                <w:szCs w:val="20"/>
              </w:rPr>
            </w:pPr>
            <w:r w:rsidRPr="00201B4F">
              <w:rPr>
                <w:color w:val="000000"/>
                <w:sz w:val="20"/>
                <w:szCs w:val="20"/>
              </w:rPr>
              <w:t>3.8</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7.6</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776764">
            <w:pPr>
              <w:widowControl/>
              <w:autoSpaceDE/>
              <w:autoSpaceDN/>
              <w:adjustRightInd/>
              <w:jc w:val="right"/>
              <w:rPr>
                <w:color w:val="000000"/>
                <w:sz w:val="20"/>
                <w:szCs w:val="20"/>
              </w:rPr>
            </w:pPr>
            <w:r w:rsidRPr="00201B4F">
              <w:rPr>
                <w:color w:val="000000"/>
                <w:sz w:val="20"/>
                <w:szCs w:val="20"/>
              </w:rPr>
              <w:t>$8,374.6</w:t>
            </w:r>
            <w:r w:rsidR="00776764">
              <w:rPr>
                <w:color w:val="000000"/>
                <w:sz w:val="20"/>
                <w:szCs w:val="20"/>
              </w:rPr>
              <w:t>0</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Retest control device</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2</w:t>
            </w:r>
          </w:p>
        </w:tc>
        <w:tc>
          <w:tcPr>
            <w:tcW w:w="1261" w:type="dxa"/>
            <w:gridSpan w:val="2"/>
            <w:tcBorders>
              <w:top w:val="nil"/>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0.1</w:t>
            </w:r>
          </w:p>
        </w:tc>
        <w:tc>
          <w:tcPr>
            <w:tcW w:w="1180" w:type="dxa"/>
            <w:tcBorders>
              <w:top w:val="nil"/>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0.2</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776764">
            <w:pPr>
              <w:widowControl/>
              <w:autoSpaceDE/>
              <w:autoSpaceDN/>
              <w:adjustRightInd/>
              <w:jc w:val="right"/>
              <w:rPr>
                <w:color w:val="000000"/>
                <w:sz w:val="20"/>
                <w:szCs w:val="20"/>
              </w:rPr>
            </w:pPr>
            <w:r w:rsidRPr="00201B4F">
              <w:rPr>
                <w:color w:val="000000"/>
                <w:sz w:val="20"/>
                <w:szCs w:val="20"/>
              </w:rPr>
              <w:t>$220.3</w:t>
            </w:r>
            <w:r w:rsidR="00776764">
              <w:rPr>
                <w:color w:val="000000"/>
                <w:sz w:val="20"/>
                <w:szCs w:val="20"/>
              </w:rPr>
              <w:t>8</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Weekly VE check (19 control devices)</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0.1</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52</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6A56FA" w:rsidP="00201B4F">
            <w:pPr>
              <w:widowControl/>
              <w:autoSpaceDE/>
              <w:autoSpaceDN/>
              <w:adjustRightInd/>
              <w:jc w:val="center"/>
              <w:rPr>
                <w:color w:val="000000"/>
                <w:sz w:val="20"/>
                <w:szCs w:val="20"/>
              </w:rPr>
            </w:pPr>
            <w:r>
              <w:rPr>
                <w:color w:val="000000"/>
                <w:sz w:val="20"/>
                <w:szCs w:val="20"/>
              </w:rPr>
              <w:t>5.2</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19</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6A56FA" w:rsidP="00201B4F">
            <w:pPr>
              <w:widowControl/>
              <w:autoSpaceDE/>
              <w:autoSpaceDN/>
              <w:adjustRightInd/>
              <w:jc w:val="center"/>
              <w:rPr>
                <w:color w:val="000000"/>
                <w:sz w:val="20"/>
                <w:szCs w:val="20"/>
              </w:rPr>
            </w:pPr>
            <w:r>
              <w:rPr>
                <w:color w:val="000000"/>
                <w:sz w:val="20"/>
                <w:szCs w:val="20"/>
              </w:rPr>
              <w:t>98.8</w:t>
            </w:r>
          </w:p>
        </w:tc>
        <w:tc>
          <w:tcPr>
            <w:tcW w:w="1261" w:type="dxa"/>
            <w:gridSpan w:val="2"/>
            <w:tcBorders>
              <w:top w:val="nil"/>
              <w:left w:val="nil"/>
              <w:bottom w:val="single" w:sz="8" w:space="0" w:color="auto"/>
              <w:right w:val="single" w:sz="4" w:space="0" w:color="auto"/>
            </w:tcBorders>
            <w:shd w:val="clear" w:color="auto" w:fill="auto"/>
            <w:noWrap/>
            <w:vAlign w:val="bottom"/>
            <w:hideMark/>
          </w:tcPr>
          <w:p w:rsidR="00201B4F" w:rsidRPr="00201B4F" w:rsidRDefault="006A56FA" w:rsidP="00201B4F">
            <w:pPr>
              <w:widowControl/>
              <w:autoSpaceDE/>
              <w:autoSpaceDN/>
              <w:adjustRightInd/>
              <w:jc w:val="center"/>
              <w:rPr>
                <w:color w:val="000000"/>
                <w:sz w:val="20"/>
                <w:szCs w:val="20"/>
              </w:rPr>
            </w:pPr>
            <w:r>
              <w:rPr>
                <w:color w:val="000000"/>
                <w:sz w:val="20"/>
                <w:szCs w:val="20"/>
              </w:rPr>
              <w:t>4.94</w:t>
            </w:r>
          </w:p>
        </w:tc>
        <w:tc>
          <w:tcPr>
            <w:tcW w:w="1180" w:type="dxa"/>
            <w:tcBorders>
              <w:top w:val="nil"/>
              <w:left w:val="nil"/>
              <w:bottom w:val="single" w:sz="8" w:space="0" w:color="auto"/>
              <w:right w:val="single" w:sz="4" w:space="0" w:color="auto"/>
            </w:tcBorders>
            <w:shd w:val="clear" w:color="auto" w:fill="auto"/>
            <w:noWrap/>
            <w:vAlign w:val="bottom"/>
            <w:hideMark/>
          </w:tcPr>
          <w:p w:rsidR="00201B4F" w:rsidRPr="00201B4F" w:rsidRDefault="006A56FA" w:rsidP="00201B4F">
            <w:pPr>
              <w:widowControl/>
              <w:autoSpaceDE/>
              <w:autoSpaceDN/>
              <w:adjustRightInd/>
              <w:jc w:val="center"/>
              <w:rPr>
                <w:color w:val="000000"/>
                <w:sz w:val="20"/>
                <w:szCs w:val="20"/>
              </w:rPr>
            </w:pPr>
            <w:r>
              <w:rPr>
                <w:color w:val="000000"/>
                <w:sz w:val="20"/>
                <w:szCs w:val="20"/>
              </w:rPr>
              <w:t>9.88</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776764">
            <w:pPr>
              <w:widowControl/>
              <w:autoSpaceDE/>
              <w:autoSpaceDN/>
              <w:adjustRightInd/>
              <w:jc w:val="right"/>
              <w:rPr>
                <w:color w:val="000000"/>
                <w:sz w:val="20"/>
                <w:szCs w:val="20"/>
              </w:rPr>
            </w:pPr>
            <w:r w:rsidRPr="00201B4F">
              <w:rPr>
                <w:color w:val="000000"/>
                <w:sz w:val="20"/>
                <w:szCs w:val="20"/>
              </w:rPr>
              <w:t>$</w:t>
            </w:r>
            <w:r w:rsidR="00776764">
              <w:rPr>
                <w:color w:val="000000"/>
                <w:sz w:val="20"/>
                <w:szCs w:val="20"/>
              </w:rPr>
              <w:t>10</w:t>
            </w:r>
            <w:r w:rsidRPr="00201B4F">
              <w:rPr>
                <w:color w:val="000000"/>
                <w:sz w:val="20"/>
                <w:szCs w:val="20"/>
              </w:rPr>
              <w:t>,</w:t>
            </w:r>
            <w:r w:rsidR="00776764">
              <w:rPr>
                <w:color w:val="000000"/>
                <w:sz w:val="20"/>
                <w:szCs w:val="20"/>
              </w:rPr>
              <w:t>886</w:t>
            </w:r>
            <w:r w:rsidRPr="00201B4F">
              <w:rPr>
                <w:color w:val="000000"/>
                <w:sz w:val="20"/>
                <w:szCs w:val="20"/>
              </w:rPr>
              <w:t>.</w:t>
            </w:r>
            <w:r w:rsidR="00776764">
              <w:rPr>
                <w:color w:val="000000"/>
                <w:sz w:val="20"/>
                <w:szCs w:val="20"/>
              </w:rPr>
              <w:t>96</w:t>
            </w:r>
          </w:p>
        </w:tc>
      </w:tr>
      <w:tr w:rsidR="00201B4F" w:rsidRPr="00201B4F" w:rsidTr="00AA2B5F">
        <w:trPr>
          <w:trHeight w:val="52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One-time activity, initial building opacity Method 9 (c)</w:t>
            </w:r>
          </w:p>
        </w:tc>
        <w:tc>
          <w:tcPr>
            <w:tcW w:w="9582" w:type="dxa"/>
            <w:gridSpan w:val="9"/>
            <w:tcBorders>
              <w:top w:val="single" w:sz="4" w:space="0" w:color="auto"/>
              <w:left w:val="nil"/>
              <w:bottom w:val="single" w:sz="4" w:space="0" w:color="auto"/>
              <w:right w:val="single" w:sz="8" w:space="0" w:color="000000"/>
            </w:tcBorders>
            <w:shd w:val="clear" w:color="auto" w:fill="auto"/>
            <w:noWrap/>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N/A</w:t>
            </w:r>
          </w:p>
        </w:tc>
      </w:tr>
      <w:tr w:rsidR="00201B4F" w:rsidRPr="00201B4F" w:rsidTr="00AA2B5F">
        <w:trPr>
          <w:trHeight w:val="52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Periodic (semi-annual) building VE Method 22</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40</w:t>
            </w:r>
          </w:p>
        </w:tc>
        <w:tc>
          <w:tcPr>
            <w:tcW w:w="1261" w:type="dxa"/>
            <w:gridSpan w:val="2"/>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2</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4</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776764">
            <w:pPr>
              <w:widowControl/>
              <w:autoSpaceDE/>
              <w:autoSpaceDN/>
              <w:adjustRightInd/>
              <w:jc w:val="right"/>
              <w:rPr>
                <w:color w:val="000000"/>
                <w:sz w:val="20"/>
                <w:szCs w:val="20"/>
              </w:rPr>
            </w:pPr>
            <w:r w:rsidRPr="00201B4F">
              <w:rPr>
                <w:color w:val="000000"/>
                <w:sz w:val="20"/>
                <w:szCs w:val="20"/>
              </w:rPr>
              <w:t>$4,407.</w:t>
            </w:r>
            <w:r w:rsidR="00776764">
              <w:rPr>
                <w:color w:val="000000"/>
                <w:sz w:val="20"/>
                <w:szCs w:val="20"/>
              </w:rPr>
              <w:t>68</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Retest building opacity Method 9</w:t>
            </w:r>
          </w:p>
        </w:tc>
        <w:tc>
          <w:tcPr>
            <w:tcW w:w="1182" w:type="dxa"/>
            <w:tcBorders>
              <w:top w:val="nil"/>
              <w:left w:val="nil"/>
              <w:bottom w:val="single" w:sz="8"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8"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8"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8"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10</w:t>
            </w:r>
          </w:p>
        </w:tc>
        <w:tc>
          <w:tcPr>
            <w:tcW w:w="1180" w:type="dxa"/>
            <w:tcBorders>
              <w:top w:val="nil"/>
              <w:left w:val="nil"/>
              <w:bottom w:val="single" w:sz="8"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261" w:type="dxa"/>
            <w:gridSpan w:val="2"/>
            <w:tcBorders>
              <w:top w:val="nil"/>
              <w:left w:val="nil"/>
              <w:bottom w:val="single" w:sz="8"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nil"/>
              <w:left w:val="nil"/>
              <w:bottom w:val="single" w:sz="8"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6A56FA">
            <w:pPr>
              <w:widowControl/>
              <w:autoSpaceDE/>
              <w:autoSpaceDN/>
              <w:adjustRightInd/>
              <w:jc w:val="right"/>
              <w:rPr>
                <w:color w:val="000000"/>
                <w:sz w:val="20"/>
                <w:szCs w:val="20"/>
              </w:rPr>
            </w:pPr>
            <w:r w:rsidRPr="00201B4F">
              <w:rPr>
                <w:color w:val="000000"/>
                <w:sz w:val="20"/>
                <w:szCs w:val="20"/>
              </w:rPr>
              <w:t>$0</w:t>
            </w:r>
          </w:p>
        </w:tc>
      </w:tr>
      <w:tr w:rsidR="00201B4F" w:rsidRPr="00201B4F" w:rsidTr="00AA2B5F">
        <w:trPr>
          <w:trHeight w:val="25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C. Create information</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See 4B</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25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D. Gather existing information</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See 4B</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lastRenderedPageBreak/>
              <w:t>E. Write Report</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See 4B</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Initial Notification</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w:t>
            </w:r>
          </w:p>
        </w:tc>
        <w:tc>
          <w:tcPr>
            <w:tcW w:w="1261" w:type="dxa"/>
            <w:gridSpan w:val="2"/>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6A56FA">
            <w:pPr>
              <w:widowControl/>
              <w:autoSpaceDE/>
              <w:autoSpaceDN/>
              <w:adjustRightInd/>
              <w:jc w:val="right"/>
              <w:rPr>
                <w:color w:val="000000"/>
                <w:sz w:val="20"/>
                <w:szCs w:val="20"/>
              </w:rPr>
            </w:pPr>
            <w:r w:rsidRPr="00201B4F">
              <w:rPr>
                <w:color w:val="000000"/>
                <w:sz w:val="20"/>
                <w:szCs w:val="20"/>
              </w:rPr>
              <w:t>$0</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Notification of Compliance Status</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w:t>
            </w:r>
          </w:p>
        </w:tc>
        <w:tc>
          <w:tcPr>
            <w:tcW w:w="1261" w:type="dxa"/>
            <w:gridSpan w:val="2"/>
            <w:tcBorders>
              <w:top w:val="nil"/>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w:t>
            </w:r>
          </w:p>
        </w:tc>
        <w:tc>
          <w:tcPr>
            <w:tcW w:w="1180" w:type="dxa"/>
            <w:tcBorders>
              <w:top w:val="nil"/>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6A56FA">
            <w:pPr>
              <w:widowControl/>
              <w:autoSpaceDE/>
              <w:autoSpaceDN/>
              <w:adjustRightInd/>
              <w:jc w:val="right"/>
              <w:rPr>
                <w:color w:val="000000"/>
                <w:sz w:val="20"/>
                <w:szCs w:val="20"/>
              </w:rPr>
            </w:pPr>
            <w:r w:rsidRPr="00201B4F">
              <w:rPr>
                <w:color w:val="000000"/>
                <w:sz w:val="20"/>
                <w:szCs w:val="20"/>
              </w:rPr>
              <w:t>$0</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Annual Compliance Certification (d)</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4</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40</w:t>
            </w:r>
          </w:p>
        </w:tc>
        <w:tc>
          <w:tcPr>
            <w:tcW w:w="1261" w:type="dxa"/>
            <w:gridSpan w:val="2"/>
            <w:tcBorders>
              <w:top w:val="nil"/>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2</w:t>
            </w:r>
          </w:p>
        </w:tc>
        <w:tc>
          <w:tcPr>
            <w:tcW w:w="1180" w:type="dxa"/>
            <w:tcBorders>
              <w:top w:val="nil"/>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4</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2115C9">
            <w:pPr>
              <w:widowControl/>
              <w:autoSpaceDE/>
              <w:autoSpaceDN/>
              <w:adjustRightInd/>
              <w:jc w:val="right"/>
              <w:rPr>
                <w:color w:val="000000"/>
                <w:sz w:val="20"/>
                <w:szCs w:val="20"/>
              </w:rPr>
            </w:pPr>
            <w:r w:rsidRPr="00201B4F">
              <w:rPr>
                <w:color w:val="000000"/>
                <w:sz w:val="20"/>
                <w:szCs w:val="20"/>
              </w:rPr>
              <w:t>$4,407.</w:t>
            </w:r>
            <w:r w:rsidR="002115C9">
              <w:rPr>
                <w:color w:val="000000"/>
                <w:sz w:val="20"/>
                <w:szCs w:val="20"/>
              </w:rPr>
              <w:t>68</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 xml:space="preserve">Report of </w:t>
            </w:r>
            <w:proofErr w:type="spellStart"/>
            <w:r w:rsidRPr="00201B4F">
              <w:rPr>
                <w:color w:val="000000"/>
                <w:sz w:val="20"/>
                <w:szCs w:val="20"/>
              </w:rPr>
              <w:t>Exceedencess</w:t>
            </w:r>
            <w:proofErr w:type="spellEnd"/>
            <w:r w:rsidRPr="00201B4F">
              <w:rPr>
                <w:color w:val="000000"/>
                <w:sz w:val="20"/>
                <w:szCs w:val="20"/>
              </w:rPr>
              <w:t xml:space="preserve"> (e)</w:t>
            </w:r>
          </w:p>
        </w:tc>
        <w:tc>
          <w:tcPr>
            <w:tcW w:w="1182" w:type="dxa"/>
            <w:tcBorders>
              <w:top w:val="nil"/>
              <w:left w:val="nil"/>
              <w:bottom w:val="nil"/>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180" w:type="dxa"/>
            <w:tcBorders>
              <w:top w:val="nil"/>
              <w:left w:val="nil"/>
              <w:bottom w:val="nil"/>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w:t>
            </w:r>
          </w:p>
        </w:tc>
        <w:tc>
          <w:tcPr>
            <w:tcW w:w="1180" w:type="dxa"/>
            <w:tcBorders>
              <w:top w:val="nil"/>
              <w:left w:val="nil"/>
              <w:bottom w:val="nil"/>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239" w:type="dxa"/>
            <w:tcBorders>
              <w:top w:val="nil"/>
              <w:left w:val="nil"/>
              <w:bottom w:val="nil"/>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2</w:t>
            </w:r>
          </w:p>
        </w:tc>
        <w:tc>
          <w:tcPr>
            <w:tcW w:w="1180" w:type="dxa"/>
            <w:tcBorders>
              <w:top w:val="nil"/>
              <w:left w:val="nil"/>
              <w:bottom w:val="nil"/>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4</w:t>
            </w:r>
          </w:p>
        </w:tc>
        <w:tc>
          <w:tcPr>
            <w:tcW w:w="1261" w:type="dxa"/>
            <w:gridSpan w:val="2"/>
            <w:tcBorders>
              <w:top w:val="nil"/>
              <w:left w:val="nil"/>
              <w:bottom w:val="nil"/>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0.2</w:t>
            </w:r>
          </w:p>
        </w:tc>
        <w:tc>
          <w:tcPr>
            <w:tcW w:w="1180" w:type="dxa"/>
            <w:tcBorders>
              <w:top w:val="nil"/>
              <w:left w:val="nil"/>
              <w:bottom w:val="nil"/>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0.4</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A82BA9">
            <w:pPr>
              <w:widowControl/>
              <w:autoSpaceDE/>
              <w:autoSpaceDN/>
              <w:adjustRightInd/>
              <w:jc w:val="right"/>
              <w:rPr>
                <w:color w:val="000000"/>
                <w:sz w:val="20"/>
                <w:szCs w:val="20"/>
              </w:rPr>
            </w:pPr>
            <w:r w:rsidRPr="00201B4F">
              <w:rPr>
                <w:color w:val="000000"/>
                <w:sz w:val="20"/>
                <w:szCs w:val="20"/>
              </w:rPr>
              <w:t>$440.7</w:t>
            </w:r>
            <w:r w:rsidR="00A82BA9">
              <w:rPr>
                <w:color w:val="000000"/>
                <w:sz w:val="20"/>
                <w:szCs w:val="20"/>
              </w:rPr>
              <w:t>6</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Reporting Subtotal</w:t>
            </w:r>
          </w:p>
        </w:tc>
        <w:tc>
          <w:tcPr>
            <w:tcW w:w="4781" w:type="dxa"/>
            <w:gridSpan w:val="4"/>
            <w:tcBorders>
              <w:top w:val="single" w:sz="8" w:space="0" w:color="auto"/>
              <w:left w:val="nil"/>
              <w:bottom w:val="single" w:sz="8" w:space="0" w:color="auto"/>
              <w:right w:val="single" w:sz="4" w:space="0" w:color="000000"/>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3621" w:type="dxa"/>
            <w:gridSpan w:val="4"/>
            <w:tcBorders>
              <w:top w:val="single" w:sz="8" w:space="0" w:color="auto"/>
              <w:left w:val="nil"/>
              <w:bottom w:val="single" w:sz="8" w:space="0" w:color="auto"/>
              <w:right w:val="single" w:sz="4" w:space="0" w:color="000000"/>
            </w:tcBorders>
            <w:shd w:val="clear" w:color="auto" w:fill="auto"/>
            <w:noWrap/>
            <w:vAlign w:val="bottom"/>
            <w:hideMark/>
          </w:tcPr>
          <w:p w:rsidR="00201B4F" w:rsidRPr="00201B4F" w:rsidRDefault="00201B4F" w:rsidP="00212BC8">
            <w:pPr>
              <w:widowControl/>
              <w:autoSpaceDE/>
              <w:autoSpaceDN/>
              <w:adjustRightInd/>
              <w:jc w:val="center"/>
              <w:rPr>
                <w:color w:val="000000"/>
                <w:sz w:val="20"/>
                <w:szCs w:val="20"/>
              </w:rPr>
            </w:pPr>
            <w:r w:rsidRPr="00201B4F">
              <w:rPr>
                <w:color w:val="000000"/>
                <w:sz w:val="20"/>
                <w:szCs w:val="20"/>
              </w:rPr>
              <w:t>2</w:t>
            </w:r>
            <w:r w:rsidR="00212BC8">
              <w:rPr>
                <w:color w:val="000000"/>
                <w:sz w:val="20"/>
                <w:szCs w:val="20"/>
              </w:rPr>
              <w:t>99.92</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201B4F" w:rsidRPr="00201B4F" w:rsidRDefault="00201B4F" w:rsidP="00A82BA9">
            <w:pPr>
              <w:widowControl/>
              <w:autoSpaceDE/>
              <w:autoSpaceDN/>
              <w:adjustRightInd/>
              <w:jc w:val="right"/>
              <w:rPr>
                <w:color w:val="000000"/>
                <w:sz w:val="20"/>
                <w:szCs w:val="20"/>
              </w:rPr>
            </w:pPr>
            <w:r w:rsidRPr="00201B4F">
              <w:rPr>
                <w:color w:val="000000"/>
                <w:sz w:val="20"/>
                <w:szCs w:val="20"/>
              </w:rPr>
              <w:t> </w:t>
            </w:r>
          </w:p>
        </w:tc>
      </w:tr>
      <w:tr w:rsidR="00201B4F" w:rsidRPr="00201B4F" w:rsidTr="00AA2B5F">
        <w:trPr>
          <w:trHeight w:val="25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5. Recordkeeping Requirements</w:t>
            </w:r>
          </w:p>
        </w:tc>
        <w:tc>
          <w:tcPr>
            <w:tcW w:w="1182"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61" w:type="dxa"/>
            <w:gridSpan w:val="2"/>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8"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25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A. Read instructions</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See 4A</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25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B. Plan activities</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See 5E</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25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C. Implement activities</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See 5E</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25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D. Develop record system</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See 5E</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E. Time to enter information</w:t>
            </w:r>
          </w:p>
        </w:tc>
        <w:tc>
          <w:tcPr>
            <w:tcW w:w="1182"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39"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261" w:type="dxa"/>
            <w:gridSpan w:val="2"/>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4"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1180" w:type="dxa"/>
            <w:tcBorders>
              <w:top w:val="nil"/>
              <w:left w:val="nil"/>
              <w:bottom w:val="single" w:sz="4" w:space="0" w:color="auto"/>
              <w:right w:val="single" w:sz="8" w:space="0" w:color="auto"/>
            </w:tcBorders>
            <w:shd w:val="clear" w:color="000000" w:fill="D8D8D8"/>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r>
      <w:tr w:rsidR="00201B4F" w:rsidRPr="00201B4F" w:rsidTr="00AA2B5F">
        <w:trPr>
          <w:trHeight w:val="52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Records of all info. required by standards (f)</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r w:rsidR="00535CD6">
              <w:rPr>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12</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3.</w:t>
            </w:r>
            <w:r w:rsidR="006A56FA">
              <w:rPr>
                <w:color w:val="000000"/>
                <w:sz w:val="20"/>
                <w:szCs w:val="20"/>
              </w:rPr>
              <w:t>6</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6A56FA" w:rsidP="00201B4F">
            <w:pPr>
              <w:widowControl/>
              <w:autoSpaceDE/>
              <w:autoSpaceDN/>
              <w:adjustRightInd/>
              <w:jc w:val="center"/>
              <w:rPr>
                <w:color w:val="000000"/>
                <w:sz w:val="20"/>
                <w:szCs w:val="20"/>
              </w:rPr>
            </w:pPr>
            <w:r>
              <w:rPr>
                <w:color w:val="000000"/>
                <w:sz w:val="20"/>
                <w:szCs w:val="20"/>
              </w:rPr>
              <w:t>36</w:t>
            </w:r>
          </w:p>
        </w:tc>
        <w:tc>
          <w:tcPr>
            <w:tcW w:w="1261" w:type="dxa"/>
            <w:gridSpan w:val="2"/>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6A56FA" w:rsidP="00201B4F">
            <w:pPr>
              <w:widowControl/>
              <w:autoSpaceDE/>
              <w:autoSpaceDN/>
              <w:adjustRightInd/>
              <w:jc w:val="center"/>
              <w:rPr>
                <w:color w:val="000000"/>
                <w:sz w:val="20"/>
                <w:szCs w:val="20"/>
              </w:rPr>
            </w:pPr>
            <w:r>
              <w:rPr>
                <w:color w:val="000000"/>
                <w:sz w:val="20"/>
                <w:szCs w:val="20"/>
              </w:rPr>
              <w:t>1.8</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3</w:t>
            </w:r>
            <w:r w:rsidR="006A56FA">
              <w:rPr>
                <w:color w:val="000000"/>
                <w:sz w:val="20"/>
                <w:szCs w:val="20"/>
              </w:rPr>
              <w:t>.6</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A82BA9">
            <w:pPr>
              <w:widowControl/>
              <w:autoSpaceDE/>
              <w:autoSpaceDN/>
              <w:adjustRightInd/>
              <w:jc w:val="right"/>
              <w:rPr>
                <w:color w:val="000000"/>
                <w:sz w:val="20"/>
                <w:szCs w:val="20"/>
              </w:rPr>
            </w:pPr>
            <w:r w:rsidRPr="00201B4F">
              <w:rPr>
                <w:color w:val="000000"/>
                <w:sz w:val="20"/>
                <w:szCs w:val="20"/>
              </w:rPr>
              <w:t>$3,</w:t>
            </w:r>
            <w:r w:rsidR="00A82BA9">
              <w:rPr>
                <w:color w:val="000000"/>
                <w:sz w:val="20"/>
                <w:szCs w:val="20"/>
              </w:rPr>
              <w:t>966.92</w:t>
            </w:r>
          </w:p>
        </w:tc>
      </w:tr>
      <w:tr w:rsidR="00201B4F" w:rsidRPr="00201B4F" w:rsidTr="00AA2B5F">
        <w:trPr>
          <w:trHeight w:val="25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F. Time to train personnel</w:t>
            </w:r>
          </w:p>
        </w:tc>
        <w:tc>
          <w:tcPr>
            <w:tcW w:w="9582" w:type="dxa"/>
            <w:gridSpan w:val="9"/>
            <w:tcBorders>
              <w:top w:val="single" w:sz="4" w:space="0" w:color="auto"/>
              <w:left w:val="nil"/>
              <w:bottom w:val="single" w:sz="4" w:space="0" w:color="auto"/>
              <w:right w:val="single" w:sz="8" w:space="0" w:color="000000"/>
            </w:tcBorders>
            <w:shd w:val="clear" w:color="auto" w:fill="auto"/>
            <w:noWrap/>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N/A</w:t>
            </w:r>
          </w:p>
        </w:tc>
      </w:tr>
      <w:tr w:rsidR="00201B4F" w:rsidRPr="00201B4F" w:rsidTr="00AA2B5F">
        <w:trPr>
          <w:trHeight w:val="52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G. Time to adjust existing ways to comply w/ prev. appl. req.</w:t>
            </w:r>
          </w:p>
        </w:tc>
        <w:tc>
          <w:tcPr>
            <w:tcW w:w="9582" w:type="dxa"/>
            <w:gridSpan w:val="9"/>
            <w:tcBorders>
              <w:top w:val="single" w:sz="4" w:space="0" w:color="auto"/>
              <w:left w:val="nil"/>
              <w:bottom w:val="single" w:sz="4" w:space="0" w:color="auto"/>
              <w:right w:val="single" w:sz="8" w:space="0" w:color="000000"/>
            </w:tcBorders>
            <w:shd w:val="clear" w:color="auto" w:fill="auto"/>
            <w:noWrap/>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N/A</w:t>
            </w:r>
          </w:p>
        </w:tc>
      </w:tr>
      <w:tr w:rsidR="00201B4F" w:rsidRPr="00201B4F" w:rsidTr="00AA2B5F">
        <w:trPr>
          <w:trHeight w:val="525"/>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H. Time to transmit or disclose information (g)</w:t>
            </w:r>
          </w:p>
        </w:tc>
        <w:tc>
          <w:tcPr>
            <w:tcW w:w="1182"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0</w:t>
            </w:r>
            <w:r w:rsidR="00535CD6">
              <w:rPr>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6A56FA">
            <w:pPr>
              <w:widowControl/>
              <w:autoSpaceDE/>
              <w:autoSpaceDN/>
              <w:adjustRightInd/>
              <w:jc w:val="center"/>
              <w:rPr>
                <w:color w:val="000000"/>
                <w:sz w:val="20"/>
                <w:szCs w:val="20"/>
              </w:rPr>
            </w:pPr>
            <w:r w:rsidRPr="00201B4F">
              <w:rPr>
                <w:color w:val="000000"/>
                <w:sz w:val="20"/>
                <w:szCs w:val="20"/>
              </w:rPr>
              <w:t>0.</w:t>
            </w:r>
            <w:r w:rsidR="006A56FA">
              <w:rPr>
                <w:color w:val="000000"/>
                <w:sz w:val="20"/>
                <w:szCs w:val="20"/>
              </w:rPr>
              <w:t>3</w:t>
            </w:r>
          </w:p>
        </w:tc>
        <w:tc>
          <w:tcPr>
            <w:tcW w:w="1239" w:type="dxa"/>
            <w:tcBorders>
              <w:top w:val="nil"/>
              <w:left w:val="nil"/>
              <w:bottom w:val="single" w:sz="4"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201B4F" w:rsidRPr="00201B4F" w:rsidRDefault="006A56FA" w:rsidP="00201B4F">
            <w:pPr>
              <w:widowControl/>
              <w:autoSpaceDE/>
              <w:autoSpaceDN/>
              <w:adjustRightInd/>
              <w:jc w:val="center"/>
              <w:rPr>
                <w:color w:val="000000"/>
                <w:sz w:val="20"/>
                <w:szCs w:val="20"/>
              </w:rPr>
            </w:pPr>
            <w:r>
              <w:rPr>
                <w:color w:val="000000"/>
                <w:sz w:val="20"/>
                <w:szCs w:val="20"/>
              </w:rPr>
              <w:t>3</w:t>
            </w:r>
          </w:p>
        </w:tc>
        <w:tc>
          <w:tcPr>
            <w:tcW w:w="1261" w:type="dxa"/>
            <w:gridSpan w:val="2"/>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6A56FA" w:rsidP="00201B4F">
            <w:pPr>
              <w:widowControl/>
              <w:autoSpaceDE/>
              <w:autoSpaceDN/>
              <w:adjustRightInd/>
              <w:jc w:val="center"/>
              <w:rPr>
                <w:color w:val="000000"/>
                <w:sz w:val="20"/>
                <w:szCs w:val="20"/>
              </w:rPr>
            </w:pPr>
            <w:r>
              <w:rPr>
                <w:color w:val="000000"/>
                <w:sz w:val="20"/>
                <w:szCs w:val="20"/>
              </w:rPr>
              <w:t>0.15</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201B4F" w:rsidRPr="00201B4F" w:rsidRDefault="006A56FA" w:rsidP="00201B4F">
            <w:pPr>
              <w:widowControl/>
              <w:autoSpaceDE/>
              <w:autoSpaceDN/>
              <w:adjustRightInd/>
              <w:jc w:val="center"/>
              <w:rPr>
                <w:color w:val="000000"/>
                <w:sz w:val="20"/>
                <w:szCs w:val="20"/>
              </w:rPr>
            </w:pPr>
            <w:r>
              <w:rPr>
                <w:color w:val="000000"/>
                <w:sz w:val="20"/>
                <w:szCs w:val="20"/>
              </w:rPr>
              <w:t>0.3</w:t>
            </w:r>
          </w:p>
        </w:tc>
        <w:tc>
          <w:tcPr>
            <w:tcW w:w="1180" w:type="dxa"/>
            <w:tcBorders>
              <w:top w:val="nil"/>
              <w:left w:val="nil"/>
              <w:bottom w:val="single" w:sz="4" w:space="0" w:color="auto"/>
              <w:right w:val="single" w:sz="8" w:space="0" w:color="auto"/>
            </w:tcBorders>
            <w:shd w:val="clear" w:color="auto" w:fill="auto"/>
            <w:noWrap/>
            <w:vAlign w:val="bottom"/>
            <w:hideMark/>
          </w:tcPr>
          <w:p w:rsidR="00201B4F" w:rsidRPr="00201B4F" w:rsidRDefault="00201B4F" w:rsidP="00A82BA9">
            <w:pPr>
              <w:widowControl/>
              <w:autoSpaceDE/>
              <w:autoSpaceDN/>
              <w:adjustRightInd/>
              <w:jc w:val="right"/>
              <w:rPr>
                <w:color w:val="000000"/>
                <w:sz w:val="20"/>
                <w:szCs w:val="20"/>
              </w:rPr>
            </w:pPr>
            <w:r w:rsidRPr="00201B4F">
              <w:rPr>
                <w:color w:val="000000"/>
                <w:sz w:val="20"/>
                <w:szCs w:val="20"/>
              </w:rPr>
              <w:t>$</w:t>
            </w:r>
            <w:r w:rsidR="00A82BA9">
              <w:rPr>
                <w:color w:val="000000"/>
                <w:sz w:val="20"/>
                <w:szCs w:val="20"/>
              </w:rPr>
              <w:t>330.57</w:t>
            </w:r>
          </w:p>
        </w:tc>
      </w:tr>
      <w:tr w:rsidR="00201B4F" w:rsidRPr="00201B4F" w:rsidTr="00AA2B5F">
        <w:trPr>
          <w:trHeight w:val="270"/>
        </w:trPr>
        <w:tc>
          <w:tcPr>
            <w:tcW w:w="3219" w:type="dxa"/>
            <w:tcBorders>
              <w:top w:val="nil"/>
              <w:left w:val="single" w:sz="4" w:space="0" w:color="auto"/>
              <w:bottom w:val="single" w:sz="4" w:space="0" w:color="auto"/>
              <w:right w:val="single" w:sz="4" w:space="0" w:color="auto"/>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I. Time for audits</w:t>
            </w:r>
          </w:p>
        </w:tc>
        <w:tc>
          <w:tcPr>
            <w:tcW w:w="9582" w:type="dxa"/>
            <w:gridSpan w:val="9"/>
            <w:tcBorders>
              <w:top w:val="single" w:sz="4" w:space="0" w:color="auto"/>
              <w:left w:val="nil"/>
              <w:bottom w:val="nil"/>
              <w:right w:val="single" w:sz="8" w:space="0" w:color="000000"/>
            </w:tcBorders>
            <w:shd w:val="clear" w:color="auto" w:fill="auto"/>
            <w:noWrap/>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N/A</w:t>
            </w:r>
          </w:p>
        </w:tc>
      </w:tr>
      <w:tr w:rsidR="00201B4F" w:rsidRPr="00201B4F" w:rsidTr="00AA2B5F">
        <w:trPr>
          <w:trHeight w:val="270"/>
        </w:trPr>
        <w:tc>
          <w:tcPr>
            <w:tcW w:w="3219" w:type="dxa"/>
            <w:tcBorders>
              <w:top w:val="nil"/>
              <w:left w:val="single" w:sz="8" w:space="0" w:color="auto"/>
              <w:bottom w:val="single" w:sz="8" w:space="0" w:color="auto"/>
              <w:right w:val="nil"/>
            </w:tcBorders>
            <w:shd w:val="clear" w:color="auto" w:fill="auto"/>
            <w:vAlign w:val="bottom"/>
            <w:hideMark/>
          </w:tcPr>
          <w:p w:rsidR="00201B4F" w:rsidRPr="00201B4F" w:rsidRDefault="00201B4F" w:rsidP="00201B4F">
            <w:pPr>
              <w:widowControl/>
              <w:autoSpaceDE/>
              <w:autoSpaceDN/>
              <w:adjustRightInd/>
              <w:rPr>
                <w:color w:val="000000"/>
                <w:sz w:val="20"/>
                <w:szCs w:val="20"/>
              </w:rPr>
            </w:pPr>
            <w:r w:rsidRPr="00201B4F">
              <w:rPr>
                <w:color w:val="000000"/>
                <w:sz w:val="20"/>
                <w:szCs w:val="20"/>
              </w:rPr>
              <w:t>Recordkeeping Subtotal</w:t>
            </w:r>
          </w:p>
        </w:tc>
        <w:tc>
          <w:tcPr>
            <w:tcW w:w="4781"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201B4F" w:rsidRPr="00201B4F" w:rsidRDefault="00201B4F" w:rsidP="00201B4F">
            <w:pPr>
              <w:widowControl/>
              <w:autoSpaceDE/>
              <w:autoSpaceDN/>
              <w:adjustRightInd/>
              <w:jc w:val="center"/>
              <w:rPr>
                <w:color w:val="000000"/>
                <w:sz w:val="20"/>
                <w:szCs w:val="20"/>
              </w:rPr>
            </w:pPr>
            <w:r w:rsidRPr="00201B4F">
              <w:rPr>
                <w:color w:val="000000"/>
                <w:sz w:val="20"/>
                <w:szCs w:val="20"/>
              </w:rPr>
              <w:t> </w:t>
            </w:r>
          </w:p>
        </w:tc>
        <w:tc>
          <w:tcPr>
            <w:tcW w:w="3621" w:type="dxa"/>
            <w:gridSpan w:val="4"/>
            <w:tcBorders>
              <w:top w:val="single" w:sz="8" w:space="0" w:color="auto"/>
              <w:left w:val="nil"/>
              <w:bottom w:val="single" w:sz="8" w:space="0" w:color="auto"/>
              <w:right w:val="single" w:sz="4" w:space="0" w:color="000000"/>
            </w:tcBorders>
            <w:shd w:val="clear" w:color="auto" w:fill="auto"/>
            <w:noWrap/>
            <w:vAlign w:val="bottom"/>
            <w:hideMark/>
          </w:tcPr>
          <w:p w:rsidR="00201B4F" w:rsidRPr="00201B4F" w:rsidRDefault="008208C0" w:rsidP="00201B4F">
            <w:pPr>
              <w:widowControl/>
              <w:autoSpaceDE/>
              <w:autoSpaceDN/>
              <w:adjustRightInd/>
              <w:jc w:val="center"/>
              <w:rPr>
                <w:color w:val="000000"/>
                <w:sz w:val="20"/>
                <w:szCs w:val="20"/>
              </w:rPr>
            </w:pPr>
            <w:r>
              <w:rPr>
                <w:color w:val="000000"/>
                <w:sz w:val="20"/>
                <w:szCs w:val="20"/>
              </w:rPr>
              <w:t>44.85</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201B4F" w:rsidRPr="00201B4F" w:rsidRDefault="00201B4F" w:rsidP="0098631F">
            <w:pPr>
              <w:widowControl/>
              <w:autoSpaceDE/>
              <w:autoSpaceDN/>
              <w:adjustRightInd/>
              <w:jc w:val="right"/>
              <w:rPr>
                <w:color w:val="000000"/>
                <w:sz w:val="20"/>
                <w:szCs w:val="20"/>
              </w:rPr>
            </w:pPr>
          </w:p>
        </w:tc>
      </w:tr>
      <w:tr w:rsidR="00201B4F" w:rsidRPr="00201B4F" w:rsidTr="00AA2B5F">
        <w:trPr>
          <w:trHeight w:val="300"/>
        </w:trPr>
        <w:tc>
          <w:tcPr>
            <w:tcW w:w="8000" w:type="dxa"/>
            <w:gridSpan w:val="5"/>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01B4F" w:rsidRPr="00201B4F" w:rsidRDefault="00201B4F" w:rsidP="00201B4F">
            <w:pPr>
              <w:widowControl/>
              <w:autoSpaceDE/>
              <w:autoSpaceDN/>
              <w:adjustRightInd/>
              <w:jc w:val="center"/>
              <w:rPr>
                <w:b/>
                <w:bCs/>
                <w:color w:val="000000"/>
                <w:sz w:val="20"/>
                <w:szCs w:val="20"/>
              </w:rPr>
            </w:pPr>
            <w:r w:rsidRPr="00201B4F">
              <w:rPr>
                <w:b/>
                <w:bCs/>
                <w:color w:val="000000"/>
                <w:sz w:val="20"/>
                <w:szCs w:val="20"/>
              </w:rPr>
              <w:lastRenderedPageBreak/>
              <w:t>GRAND TOTAL</w:t>
            </w:r>
            <w:r w:rsidR="003E0054">
              <w:rPr>
                <w:b/>
                <w:bCs/>
                <w:color w:val="000000"/>
                <w:sz w:val="20"/>
                <w:szCs w:val="20"/>
              </w:rPr>
              <w:t xml:space="preserve"> (rounded)</w:t>
            </w:r>
          </w:p>
        </w:tc>
        <w:tc>
          <w:tcPr>
            <w:tcW w:w="3621" w:type="dxa"/>
            <w:gridSpan w:val="4"/>
            <w:tcBorders>
              <w:top w:val="single" w:sz="4" w:space="0" w:color="auto"/>
              <w:left w:val="nil"/>
              <w:bottom w:val="single" w:sz="8" w:space="0" w:color="auto"/>
              <w:right w:val="single" w:sz="4" w:space="0" w:color="auto"/>
            </w:tcBorders>
            <w:shd w:val="clear" w:color="auto" w:fill="auto"/>
            <w:noWrap/>
            <w:vAlign w:val="bottom"/>
            <w:hideMark/>
          </w:tcPr>
          <w:p w:rsidR="00201B4F" w:rsidRDefault="003E0054" w:rsidP="00201B4F">
            <w:pPr>
              <w:widowControl/>
              <w:autoSpaceDE/>
              <w:autoSpaceDN/>
              <w:adjustRightInd/>
              <w:jc w:val="center"/>
              <w:rPr>
                <w:b/>
                <w:bCs/>
                <w:color w:val="000000"/>
                <w:sz w:val="20"/>
                <w:szCs w:val="20"/>
              </w:rPr>
            </w:pPr>
            <w:r>
              <w:rPr>
                <w:b/>
                <w:bCs/>
                <w:color w:val="000000"/>
                <w:sz w:val="20"/>
                <w:szCs w:val="20"/>
              </w:rPr>
              <w:t>344.77</w:t>
            </w:r>
          </w:p>
          <w:p w:rsidR="003E0054" w:rsidRPr="00201B4F" w:rsidRDefault="003E0054" w:rsidP="00201B4F">
            <w:pPr>
              <w:widowControl/>
              <w:autoSpaceDE/>
              <w:autoSpaceDN/>
              <w:adjustRightInd/>
              <w:jc w:val="center"/>
              <w:rPr>
                <w:b/>
                <w:bCs/>
                <w:color w:val="000000"/>
                <w:sz w:val="20"/>
                <w:szCs w:val="20"/>
              </w:rPr>
            </w:pPr>
            <w:r>
              <w:rPr>
                <w:b/>
                <w:bCs/>
                <w:color w:val="000000"/>
                <w:sz w:val="20"/>
                <w:szCs w:val="20"/>
              </w:rPr>
              <w:t>345 (rounded)</w:t>
            </w:r>
          </w:p>
        </w:tc>
        <w:tc>
          <w:tcPr>
            <w:tcW w:w="1180" w:type="dxa"/>
            <w:tcBorders>
              <w:top w:val="nil"/>
              <w:left w:val="single" w:sz="4" w:space="0" w:color="auto"/>
              <w:bottom w:val="single" w:sz="8" w:space="0" w:color="000000"/>
              <w:right w:val="single" w:sz="8" w:space="0" w:color="auto"/>
            </w:tcBorders>
            <w:vAlign w:val="center"/>
            <w:hideMark/>
          </w:tcPr>
          <w:p w:rsidR="00201B4F" w:rsidRPr="00201B4F" w:rsidRDefault="0098631F" w:rsidP="003E0054">
            <w:pPr>
              <w:widowControl/>
              <w:autoSpaceDE/>
              <w:autoSpaceDN/>
              <w:adjustRightInd/>
              <w:jc w:val="right"/>
              <w:rPr>
                <w:b/>
                <w:bCs/>
                <w:color w:val="000000"/>
                <w:sz w:val="20"/>
                <w:szCs w:val="20"/>
              </w:rPr>
            </w:pPr>
            <w:r w:rsidRPr="00201B4F">
              <w:rPr>
                <w:b/>
                <w:bCs/>
                <w:color w:val="000000"/>
                <w:sz w:val="20"/>
                <w:szCs w:val="20"/>
              </w:rPr>
              <w:t>$3</w:t>
            </w:r>
            <w:r w:rsidR="00AC7316">
              <w:rPr>
                <w:b/>
                <w:bCs/>
                <w:color w:val="000000"/>
                <w:sz w:val="20"/>
                <w:szCs w:val="20"/>
              </w:rPr>
              <w:t>3</w:t>
            </w:r>
            <w:r w:rsidRPr="00201B4F">
              <w:rPr>
                <w:b/>
                <w:bCs/>
                <w:color w:val="000000"/>
                <w:sz w:val="20"/>
                <w:szCs w:val="20"/>
              </w:rPr>
              <w:t>,</w:t>
            </w:r>
            <w:r w:rsidR="00AC7316">
              <w:rPr>
                <w:b/>
                <w:bCs/>
                <w:color w:val="000000"/>
                <w:sz w:val="20"/>
                <w:szCs w:val="20"/>
              </w:rPr>
              <w:t>035</w:t>
            </w: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DF73AC" w:rsidRDefault="00DF73AC" w:rsidP="00AA2B5F">
            <w:pPr>
              <w:widowControl/>
              <w:autoSpaceDE/>
              <w:autoSpaceDN/>
              <w:adjustRightInd/>
              <w:rPr>
                <w:color w:val="000000"/>
                <w:sz w:val="16"/>
                <w:szCs w:val="16"/>
              </w:rPr>
            </w:pPr>
          </w:p>
          <w:p w:rsidR="00DF73AC" w:rsidRDefault="00DF73AC" w:rsidP="00AA2B5F">
            <w:pPr>
              <w:widowControl/>
              <w:autoSpaceDE/>
              <w:autoSpaceDN/>
              <w:adjustRightInd/>
              <w:rPr>
                <w:color w:val="000000"/>
                <w:sz w:val="16"/>
                <w:szCs w:val="16"/>
              </w:rPr>
            </w:pPr>
            <w:r>
              <w:rPr>
                <w:color w:val="000000"/>
                <w:sz w:val="16"/>
                <w:szCs w:val="16"/>
              </w:rPr>
              <w:t>Assumptions:</w:t>
            </w:r>
          </w:p>
          <w:p w:rsidR="00DF73AC" w:rsidRDefault="00DF73AC" w:rsidP="00AA2B5F">
            <w:pPr>
              <w:widowControl/>
              <w:autoSpaceDE/>
              <w:autoSpaceDN/>
              <w:adjustRightInd/>
              <w:rPr>
                <w:color w:val="000000"/>
                <w:sz w:val="16"/>
                <w:szCs w:val="16"/>
              </w:rPr>
            </w:pPr>
          </w:p>
          <w:p w:rsidR="00AA2B5F" w:rsidRPr="00AA2B5F" w:rsidRDefault="00AA2B5F" w:rsidP="00AA2B5F">
            <w:pPr>
              <w:widowControl/>
              <w:autoSpaceDE/>
              <w:autoSpaceDN/>
              <w:adjustRightInd/>
              <w:rPr>
                <w:color w:val="000000"/>
                <w:sz w:val="16"/>
                <w:szCs w:val="16"/>
              </w:rPr>
            </w:pPr>
            <w:r w:rsidRPr="00AA2B5F">
              <w:rPr>
                <w:color w:val="000000"/>
                <w:sz w:val="16"/>
                <w:szCs w:val="16"/>
              </w:rPr>
              <w:t>(a) Costs are based on the following hourly rates: technical at $99.14, management at $121.42, and clerical at $49.81.</w:t>
            </w: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AA2B5F" w:rsidRPr="00AA2B5F" w:rsidRDefault="00AA2B5F" w:rsidP="00AA2B5F">
            <w:pPr>
              <w:widowControl/>
              <w:autoSpaceDE/>
              <w:autoSpaceDN/>
              <w:adjustRightInd/>
              <w:rPr>
                <w:color w:val="000000"/>
                <w:sz w:val="16"/>
                <w:szCs w:val="16"/>
              </w:rPr>
            </w:pPr>
            <w:r w:rsidRPr="00AA2B5F">
              <w:rPr>
                <w:color w:val="000000"/>
                <w:sz w:val="16"/>
                <w:szCs w:val="16"/>
              </w:rPr>
              <w:t>(b) One-time activity.  There are an estimated 10 existing ferroalloys production facilities and no new facilities are expected.</w:t>
            </w: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AA2B5F" w:rsidRPr="00AA2B5F" w:rsidRDefault="00AA2B5F" w:rsidP="00AA2B5F">
            <w:pPr>
              <w:widowControl/>
              <w:autoSpaceDE/>
              <w:autoSpaceDN/>
              <w:adjustRightInd/>
              <w:rPr>
                <w:color w:val="000000"/>
                <w:sz w:val="16"/>
                <w:szCs w:val="16"/>
              </w:rPr>
            </w:pPr>
            <w:r w:rsidRPr="00AA2B5F">
              <w:rPr>
                <w:color w:val="000000"/>
                <w:sz w:val="16"/>
                <w:szCs w:val="16"/>
              </w:rPr>
              <w:t>(c)One-time activity. Assume the facilities hire a contractor.</w:t>
            </w: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AA2B5F" w:rsidRPr="00AA2B5F" w:rsidRDefault="00AA2B5F" w:rsidP="00AA2B5F">
            <w:pPr>
              <w:widowControl/>
              <w:autoSpaceDE/>
              <w:autoSpaceDN/>
              <w:adjustRightInd/>
              <w:rPr>
                <w:color w:val="000000"/>
                <w:sz w:val="16"/>
                <w:szCs w:val="16"/>
              </w:rPr>
            </w:pPr>
            <w:r w:rsidRPr="00AA2B5F">
              <w:rPr>
                <w:color w:val="000000"/>
                <w:sz w:val="16"/>
                <w:szCs w:val="16"/>
              </w:rPr>
              <w:t>(d) The 10 existing plants would be required to submit and Annual Compliance Certification at the end of Year 1 of the ICR and each year thereafter.</w:t>
            </w: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AA2B5F" w:rsidRPr="00AA2B5F" w:rsidRDefault="00AA2B5F" w:rsidP="00AA2B5F">
            <w:pPr>
              <w:widowControl/>
              <w:autoSpaceDE/>
              <w:autoSpaceDN/>
              <w:adjustRightInd/>
              <w:rPr>
                <w:color w:val="000000"/>
                <w:sz w:val="16"/>
                <w:szCs w:val="16"/>
              </w:rPr>
            </w:pPr>
            <w:r w:rsidRPr="00AA2B5F">
              <w:rPr>
                <w:color w:val="000000"/>
                <w:sz w:val="16"/>
                <w:szCs w:val="16"/>
              </w:rPr>
              <w:t xml:space="preserve">(e) Assumes that 2 facilities per year would have to submit a report of </w:t>
            </w:r>
            <w:proofErr w:type="spellStart"/>
            <w:r w:rsidRPr="00AA2B5F">
              <w:rPr>
                <w:color w:val="000000"/>
                <w:sz w:val="16"/>
                <w:szCs w:val="16"/>
              </w:rPr>
              <w:t>exceedence</w:t>
            </w:r>
            <w:proofErr w:type="spellEnd"/>
            <w:r w:rsidRPr="00AA2B5F">
              <w:rPr>
                <w:color w:val="000000"/>
                <w:sz w:val="16"/>
                <w:szCs w:val="16"/>
              </w:rPr>
              <w:t>.</w:t>
            </w: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AA2B5F" w:rsidRPr="00AA2B5F" w:rsidRDefault="00AA2B5F" w:rsidP="00BC40AF">
            <w:pPr>
              <w:widowControl/>
              <w:autoSpaceDE/>
              <w:autoSpaceDN/>
              <w:adjustRightInd/>
              <w:rPr>
                <w:color w:val="000000"/>
                <w:sz w:val="16"/>
                <w:szCs w:val="16"/>
              </w:rPr>
            </w:pPr>
            <w:r w:rsidRPr="00AA2B5F">
              <w:rPr>
                <w:color w:val="000000"/>
                <w:sz w:val="16"/>
                <w:szCs w:val="16"/>
              </w:rPr>
              <w:t>(f) Recordkeeping requirements begin in Year 1 of ICR clearance perio</w:t>
            </w:r>
            <w:r w:rsidR="00BC40AF">
              <w:rPr>
                <w:color w:val="000000"/>
                <w:sz w:val="16"/>
                <w:szCs w:val="16"/>
              </w:rPr>
              <w:t>d</w:t>
            </w:r>
            <w:r w:rsidRPr="00AA2B5F">
              <w:rPr>
                <w:color w:val="000000"/>
                <w:sz w:val="16"/>
                <w:szCs w:val="16"/>
              </w:rPr>
              <w:t xml:space="preserve"> for all existing plants.</w:t>
            </w: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AA2B5F" w:rsidRPr="00AA2B5F" w:rsidRDefault="00AA2B5F" w:rsidP="00AA2B5F">
            <w:pPr>
              <w:widowControl/>
              <w:autoSpaceDE/>
              <w:autoSpaceDN/>
              <w:adjustRightInd/>
              <w:rPr>
                <w:color w:val="000000"/>
                <w:sz w:val="16"/>
                <w:szCs w:val="16"/>
              </w:rPr>
            </w:pPr>
            <w:r w:rsidRPr="00AA2B5F">
              <w:rPr>
                <w:color w:val="000000"/>
                <w:sz w:val="16"/>
                <w:szCs w:val="16"/>
              </w:rPr>
              <w:t>(g) Transmittals would include Annual Compliance Certifications for 10 plants.</w:t>
            </w: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AA2B5F" w:rsidRPr="00AA2B5F" w:rsidRDefault="00AA2B5F" w:rsidP="00700EF8">
            <w:pPr>
              <w:widowControl/>
              <w:autoSpaceDE/>
              <w:autoSpaceDN/>
              <w:adjustRightInd/>
              <w:rPr>
                <w:color w:val="000000"/>
                <w:sz w:val="16"/>
                <w:szCs w:val="16"/>
              </w:rPr>
            </w:pPr>
            <w:r w:rsidRPr="00AA2B5F">
              <w:rPr>
                <w:color w:val="000000"/>
                <w:sz w:val="16"/>
                <w:szCs w:val="16"/>
              </w:rPr>
              <w:t>(h) The total annual number of response is calculated by summing the produ</w:t>
            </w:r>
            <w:r w:rsidR="00700EF8">
              <w:rPr>
                <w:color w:val="000000"/>
                <w:sz w:val="16"/>
                <w:szCs w:val="16"/>
              </w:rPr>
              <w:t>c</w:t>
            </w:r>
            <w:r w:rsidRPr="00AA2B5F">
              <w:rPr>
                <w:color w:val="000000"/>
                <w:sz w:val="16"/>
                <w:szCs w:val="16"/>
              </w:rPr>
              <w:t>t of columns B and D for each of the reports listed in 4B.</w:t>
            </w: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AA2B5F" w:rsidRPr="00AA2B5F" w:rsidRDefault="00AA2B5F" w:rsidP="00AA2B5F">
            <w:pPr>
              <w:widowControl/>
              <w:autoSpaceDE/>
              <w:autoSpaceDN/>
              <w:adjustRightInd/>
              <w:rPr>
                <w:color w:val="000000"/>
                <w:sz w:val="16"/>
                <w:szCs w:val="16"/>
              </w:rPr>
            </w:pPr>
          </w:p>
        </w:tc>
      </w:tr>
      <w:tr w:rsidR="00AA2B5F" w:rsidRPr="00AA2B5F" w:rsidTr="00AA2B5F">
        <w:trPr>
          <w:gridAfter w:val="3"/>
          <w:wAfter w:w="3411" w:type="dxa"/>
          <w:trHeight w:val="225"/>
        </w:trPr>
        <w:tc>
          <w:tcPr>
            <w:tcW w:w="9390" w:type="dxa"/>
            <w:gridSpan w:val="7"/>
            <w:tcBorders>
              <w:top w:val="nil"/>
              <w:left w:val="nil"/>
              <w:bottom w:val="nil"/>
              <w:right w:val="nil"/>
            </w:tcBorders>
            <w:shd w:val="clear" w:color="auto" w:fill="auto"/>
            <w:noWrap/>
            <w:vAlign w:val="bottom"/>
            <w:hideMark/>
          </w:tcPr>
          <w:p w:rsidR="00AA2B5F" w:rsidRPr="00AA2B5F" w:rsidRDefault="00AA2B5F" w:rsidP="00AA2B5F">
            <w:pPr>
              <w:widowControl/>
              <w:autoSpaceDE/>
              <w:autoSpaceDN/>
              <w:adjustRightInd/>
              <w:rPr>
                <w:color w:val="000000"/>
                <w:sz w:val="16"/>
                <w:szCs w:val="16"/>
              </w:rPr>
            </w:pPr>
            <w:r w:rsidRPr="00AA2B5F">
              <w:rPr>
                <w:color w:val="000000"/>
                <w:sz w:val="16"/>
                <w:szCs w:val="16"/>
              </w:rPr>
              <w:t>N/A = Not Applicable.</w:t>
            </w:r>
          </w:p>
        </w:tc>
      </w:tr>
    </w:tbl>
    <w:p w:rsidR="00913E1E" w:rsidRDefault="00913E1E"/>
    <w:p w:rsidR="00B3348F" w:rsidRDefault="00B3348F">
      <w:pPr>
        <w:widowControl/>
        <w:autoSpaceDE/>
        <w:autoSpaceDN/>
        <w:adjustRightInd/>
        <w:spacing w:after="200" w:line="276" w:lineRule="auto"/>
      </w:pPr>
      <w:r>
        <w:br w:type="page"/>
      </w:r>
    </w:p>
    <w:tbl>
      <w:tblPr>
        <w:tblW w:w="11980" w:type="dxa"/>
        <w:tblInd w:w="93" w:type="dxa"/>
        <w:tblLook w:val="04A0"/>
      </w:tblPr>
      <w:tblGrid>
        <w:gridCol w:w="3500"/>
        <w:gridCol w:w="1094"/>
        <w:gridCol w:w="1171"/>
        <w:gridCol w:w="1094"/>
        <w:gridCol w:w="1239"/>
        <w:gridCol w:w="1060"/>
        <w:gridCol w:w="1127"/>
        <w:gridCol w:w="1060"/>
        <w:gridCol w:w="1060"/>
      </w:tblGrid>
      <w:tr w:rsidR="004C7A53" w:rsidRPr="004C7A53" w:rsidTr="004C7A53">
        <w:trPr>
          <w:trHeight w:val="645"/>
        </w:trPr>
        <w:tc>
          <w:tcPr>
            <w:tcW w:w="11980" w:type="dxa"/>
            <w:gridSpan w:val="9"/>
            <w:tcBorders>
              <w:top w:val="nil"/>
              <w:left w:val="nil"/>
              <w:bottom w:val="nil"/>
              <w:right w:val="nil"/>
            </w:tcBorders>
            <w:shd w:val="clear" w:color="auto" w:fill="auto"/>
            <w:vAlign w:val="bottom"/>
            <w:hideMark/>
          </w:tcPr>
          <w:p w:rsidR="004C7A53" w:rsidRPr="002C4DCC" w:rsidRDefault="004C7A53" w:rsidP="004C7A53">
            <w:pPr>
              <w:widowControl/>
              <w:autoSpaceDE/>
              <w:autoSpaceDN/>
              <w:adjustRightInd/>
              <w:rPr>
                <w:b/>
                <w:bCs/>
                <w:color w:val="000000"/>
              </w:rPr>
            </w:pPr>
            <w:r w:rsidRPr="002C4DCC">
              <w:rPr>
                <w:b/>
                <w:bCs/>
                <w:color w:val="000000"/>
              </w:rPr>
              <w:lastRenderedPageBreak/>
              <w:t>Table 2: Annual Agency Burden and Cost -NESHAP for Ferroalloys Production Area Sources (40 CFR  Part 63, Subpart YYYYYY) (Renewal)</w:t>
            </w:r>
          </w:p>
        </w:tc>
      </w:tr>
      <w:tr w:rsidR="004C7A53" w:rsidRPr="004C7A53" w:rsidTr="004C7A53">
        <w:trPr>
          <w:trHeight w:val="270"/>
        </w:trPr>
        <w:tc>
          <w:tcPr>
            <w:tcW w:w="350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r>
      <w:tr w:rsidR="004C7A53" w:rsidRPr="004C7A53" w:rsidTr="004C7A53">
        <w:trPr>
          <w:trHeight w:val="255"/>
        </w:trPr>
        <w:tc>
          <w:tcPr>
            <w:tcW w:w="3500" w:type="dxa"/>
            <w:vMerge w:val="restart"/>
            <w:tcBorders>
              <w:top w:val="single" w:sz="8" w:space="0" w:color="auto"/>
              <w:left w:val="single" w:sz="8" w:space="0" w:color="auto"/>
              <w:bottom w:val="nil"/>
              <w:right w:val="single" w:sz="4" w:space="0" w:color="auto"/>
            </w:tcBorders>
            <w:shd w:val="clear" w:color="000000" w:fill="C0C0C0"/>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REPORTING/RECORDKEEPING REQUIREMENT</w:t>
            </w:r>
          </w:p>
        </w:tc>
        <w:tc>
          <w:tcPr>
            <w:tcW w:w="1060" w:type="dxa"/>
            <w:tcBorders>
              <w:top w:val="single" w:sz="8" w:space="0" w:color="auto"/>
              <w:left w:val="nil"/>
              <w:bottom w:val="nil"/>
              <w:right w:val="single" w:sz="4" w:space="0" w:color="auto"/>
            </w:tcBorders>
            <w:shd w:val="clear" w:color="000000" w:fill="BFBFBF"/>
            <w:noWrap/>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(A)</w:t>
            </w:r>
          </w:p>
        </w:tc>
        <w:tc>
          <w:tcPr>
            <w:tcW w:w="1060" w:type="dxa"/>
            <w:tcBorders>
              <w:top w:val="single" w:sz="8" w:space="0" w:color="auto"/>
              <w:left w:val="nil"/>
              <w:bottom w:val="nil"/>
              <w:right w:val="single" w:sz="4" w:space="0" w:color="auto"/>
            </w:tcBorders>
            <w:shd w:val="clear" w:color="000000" w:fill="BFBFBF"/>
            <w:noWrap/>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(B)</w:t>
            </w:r>
          </w:p>
        </w:tc>
        <w:tc>
          <w:tcPr>
            <w:tcW w:w="1060" w:type="dxa"/>
            <w:tcBorders>
              <w:top w:val="single" w:sz="8" w:space="0" w:color="auto"/>
              <w:left w:val="nil"/>
              <w:bottom w:val="nil"/>
              <w:right w:val="single" w:sz="4" w:space="0" w:color="auto"/>
            </w:tcBorders>
            <w:shd w:val="clear" w:color="000000" w:fill="BFBFBF"/>
            <w:noWrap/>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 xml:space="preserve">(C) </w:t>
            </w:r>
          </w:p>
        </w:tc>
        <w:tc>
          <w:tcPr>
            <w:tcW w:w="1060" w:type="dxa"/>
            <w:tcBorders>
              <w:top w:val="single" w:sz="8" w:space="0" w:color="auto"/>
              <w:left w:val="nil"/>
              <w:bottom w:val="nil"/>
              <w:right w:val="single" w:sz="4" w:space="0" w:color="auto"/>
            </w:tcBorders>
            <w:shd w:val="clear" w:color="000000" w:fill="BFBFBF"/>
            <w:noWrap/>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(D)</w:t>
            </w:r>
          </w:p>
        </w:tc>
        <w:tc>
          <w:tcPr>
            <w:tcW w:w="1060" w:type="dxa"/>
            <w:tcBorders>
              <w:top w:val="single" w:sz="8" w:space="0" w:color="auto"/>
              <w:left w:val="nil"/>
              <w:bottom w:val="nil"/>
              <w:right w:val="single" w:sz="4" w:space="0" w:color="auto"/>
            </w:tcBorders>
            <w:shd w:val="clear" w:color="000000" w:fill="BFBFBF"/>
            <w:noWrap/>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(E)</w:t>
            </w:r>
          </w:p>
        </w:tc>
        <w:tc>
          <w:tcPr>
            <w:tcW w:w="1060" w:type="dxa"/>
            <w:tcBorders>
              <w:top w:val="single" w:sz="8" w:space="0" w:color="auto"/>
              <w:left w:val="nil"/>
              <w:bottom w:val="nil"/>
              <w:right w:val="single" w:sz="4" w:space="0" w:color="auto"/>
            </w:tcBorders>
            <w:shd w:val="clear" w:color="000000" w:fill="BFBFBF"/>
            <w:noWrap/>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(F)</w:t>
            </w:r>
          </w:p>
        </w:tc>
        <w:tc>
          <w:tcPr>
            <w:tcW w:w="1060" w:type="dxa"/>
            <w:tcBorders>
              <w:top w:val="single" w:sz="8" w:space="0" w:color="auto"/>
              <w:left w:val="nil"/>
              <w:bottom w:val="nil"/>
              <w:right w:val="single" w:sz="4" w:space="0" w:color="auto"/>
            </w:tcBorders>
            <w:shd w:val="clear" w:color="000000" w:fill="BFBFBF"/>
            <w:noWrap/>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(G)</w:t>
            </w:r>
          </w:p>
        </w:tc>
        <w:tc>
          <w:tcPr>
            <w:tcW w:w="1060" w:type="dxa"/>
            <w:tcBorders>
              <w:top w:val="single" w:sz="8" w:space="0" w:color="auto"/>
              <w:left w:val="nil"/>
              <w:bottom w:val="nil"/>
              <w:right w:val="single" w:sz="8" w:space="0" w:color="auto"/>
            </w:tcBorders>
            <w:shd w:val="clear" w:color="000000" w:fill="BFBFBF"/>
            <w:noWrap/>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(H)</w:t>
            </w:r>
          </w:p>
        </w:tc>
      </w:tr>
      <w:tr w:rsidR="004C7A53" w:rsidRPr="004C7A53" w:rsidTr="004C7A53">
        <w:trPr>
          <w:trHeight w:val="765"/>
        </w:trPr>
        <w:tc>
          <w:tcPr>
            <w:tcW w:w="3500" w:type="dxa"/>
            <w:vMerge/>
            <w:tcBorders>
              <w:top w:val="single" w:sz="8" w:space="0" w:color="auto"/>
              <w:left w:val="single" w:sz="8" w:space="0" w:color="auto"/>
              <w:bottom w:val="nil"/>
              <w:right w:val="single" w:sz="4" w:space="0" w:color="auto"/>
            </w:tcBorders>
            <w:vAlign w:val="center"/>
            <w:hideMark/>
          </w:tcPr>
          <w:p w:rsidR="004C7A53" w:rsidRPr="004C7A53" w:rsidRDefault="004C7A53" w:rsidP="004C7A53">
            <w:pPr>
              <w:widowControl/>
              <w:autoSpaceDE/>
              <w:autoSpaceDN/>
              <w:adjustRightInd/>
              <w:rPr>
                <w:color w:val="000000"/>
                <w:sz w:val="20"/>
                <w:szCs w:val="20"/>
              </w:rPr>
            </w:pPr>
          </w:p>
        </w:tc>
        <w:tc>
          <w:tcPr>
            <w:tcW w:w="1060" w:type="dxa"/>
            <w:vMerge w:val="restart"/>
            <w:tcBorders>
              <w:top w:val="nil"/>
              <w:left w:val="single" w:sz="4" w:space="0" w:color="auto"/>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Person-hours per occurrence</w:t>
            </w:r>
          </w:p>
        </w:tc>
        <w:tc>
          <w:tcPr>
            <w:tcW w:w="1060" w:type="dxa"/>
            <w:vMerge w:val="restart"/>
            <w:tcBorders>
              <w:top w:val="nil"/>
              <w:left w:val="single" w:sz="4" w:space="0" w:color="auto"/>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No. of occurrences per respondent per year</w:t>
            </w:r>
          </w:p>
        </w:tc>
        <w:tc>
          <w:tcPr>
            <w:tcW w:w="1060" w:type="dxa"/>
            <w:tcBorders>
              <w:top w:val="nil"/>
              <w:left w:val="nil"/>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Person-hours per respondent</w:t>
            </w:r>
          </w:p>
        </w:tc>
        <w:tc>
          <w:tcPr>
            <w:tcW w:w="1060" w:type="dxa"/>
            <w:vMerge w:val="restart"/>
            <w:tcBorders>
              <w:top w:val="nil"/>
              <w:left w:val="single" w:sz="4" w:space="0" w:color="auto"/>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Respondents per year</w:t>
            </w:r>
          </w:p>
        </w:tc>
        <w:tc>
          <w:tcPr>
            <w:tcW w:w="1060" w:type="dxa"/>
            <w:tcBorders>
              <w:top w:val="nil"/>
              <w:left w:val="nil"/>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Technical person-hours</w:t>
            </w:r>
          </w:p>
        </w:tc>
        <w:tc>
          <w:tcPr>
            <w:tcW w:w="1060" w:type="dxa"/>
            <w:tcBorders>
              <w:top w:val="nil"/>
              <w:left w:val="nil"/>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Managerial person-hours</w:t>
            </w:r>
          </w:p>
        </w:tc>
        <w:tc>
          <w:tcPr>
            <w:tcW w:w="1060" w:type="dxa"/>
            <w:tcBorders>
              <w:top w:val="nil"/>
              <w:left w:val="nil"/>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Clerical person-hours</w:t>
            </w:r>
          </w:p>
        </w:tc>
        <w:tc>
          <w:tcPr>
            <w:tcW w:w="1060" w:type="dxa"/>
            <w:vMerge w:val="restart"/>
            <w:tcBorders>
              <w:top w:val="nil"/>
              <w:left w:val="single" w:sz="4" w:space="0" w:color="auto"/>
              <w:bottom w:val="nil"/>
              <w:right w:val="single" w:sz="8"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Cost, $ (a)</w:t>
            </w:r>
          </w:p>
        </w:tc>
      </w:tr>
      <w:tr w:rsidR="004C7A53" w:rsidRPr="004C7A53" w:rsidTr="004C7A53">
        <w:trPr>
          <w:trHeight w:val="270"/>
        </w:trPr>
        <w:tc>
          <w:tcPr>
            <w:tcW w:w="3500" w:type="dxa"/>
            <w:vMerge/>
            <w:tcBorders>
              <w:top w:val="single" w:sz="8" w:space="0" w:color="auto"/>
              <w:left w:val="single" w:sz="8" w:space="0" w:color="auto"/>
              <w:bottom w:val="nil"/>
              <w:right w:val="single" w:sz="4" w:space="0" w:color="auto"/>
            </w:tcBorders>
            <w:vAlign w:val="center"/>
            <w:hideMark/>
          </w:tcPr>
          <w:p w:rsidR="004C7A53" w:rsidRPr="004C7A53" w:rsidRDefault="004C7A53" w:rsidP="004C7A53">
            <w:pPr>
              <w:widowControl/>
              <w:autoSpaceDE/>
              <w:autoSpaceDN/>
              <w:adjustRightInd/>
              <w:rPr>
                <w:color w:val="000000"/>
                <w:sz w:val="20"/>
                <w:szCs w:val="20"/>
              </w:rPr>
            </w:pPr>
          </w:p>
        </w:tc>
        <w:tc>
          <w:tcPr>
            <w:tcW w:w="1060" w:type="dxa"/>
            <w:vMerge/>
            <w:tcBorders>
              <w:top w:val="nil"/>
              <w:left w:val="single" w:sz="4" w:space="0" w:color="auto"/>
              <w:bottom w:val="nil"/>
              <w:right w:val="single" w:sz="4" w:space="0" w:color="auto"/>
            </w:tcBorders>
            <w:vAlign w:val="center"/>
            <w:hideMark/>
          </w:tcPr>
          <w:p w:rsidR="004C7A53" w:rsidRPr="004C7A53" w:rsidRDefault="004C7A53" w:rsidP="004C7A53">
            <w:pPr>
              <w:widowControl/>
              <w:autoSpaceDE/>
              <w:autoSpaceDN/>
              <w:adjustRightInd/>
              <w:rPr>
                <w:color w:val="000000"/>
                <w:sz w:val="20"/>
                <w:szCs w:val="20"/>
              </w:rPr>
            </w:pPr>
          </w:p>
        </w:tc>
        <w:tc>
          <w:tcPr>
            <w:tcW w:w="1060" w:type="dxa"/>
            <w:vMerge/>
            <w:tcBorders>
              <w:top w:val="nil"/>
              <w:left w:val="single" w:sz="4" w:space="0" w:color="auto"/>
              <w:bottom w:val="nil"/>
              <w:right w:val="single" w:sz="4" w:space="0" w:color="auto"/>
            </w:tcBorders>
            <w:vAlign w:val="center"/>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(A) x (B)</w:t>
            </w:r>
          </w:p>
        </w:tc>
        <w:tc>
          <w:tcPr>
            <w:tcW w:w="1060" w:type="dxa"/>
            <w:vMerge/>
            <w:tcBorders>
              <w:top w:val="nil"/>
              <w:left w:val="single" w:sz="4" w:space="0" w:color="auto"/>
              <w:bottom w:val="nil"/>
              <w:right w:val="single" w:sz="4" w:space="0" w:color="auto"/>
            </w:tcBorders>
            <w:vAlign w:val="center"/>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(C) x (D)</w:t>
            </w:r>
          </w:p>
        </w:tc>
        <w:tc>
          <w:tcPr>
            <w:tcW w:w="1060" w:type="dxa"/>
            <w:tcBorders>
              <w:top w:val="nil"/>
              <w:left w:val="nil"/>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(E) x 0.05</w:t>
            </w:r>
          </w:p>
        </w:tc>
        <w:tc>
          <w:tcPr>
            <w:tcW w:w="1060" w:type="dxa"/>
            <w:tcBorders>
              <w:top w:val="nil"/>
              <w:left w:val="nil"/>
              <w:bottom w:val="nil"/>
              <w:right w:val="single" w:sz="4" w:space="0" w:color="auto"/>
            </w:tcBorders>
            <w:shd w:val="clear" w:color="000000" w:fill="BFBFBF"/>
            <w:vAlign w:val="center"/>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(E) x 0.10</w:t>
            </w:r>
          </w:p>
        </w:tc>
        <w:tc>
          <w:tcPr>
            <w:tcW w:w="1060" w:type="dxa"/>
            <w:vMerge/>
            <w:tcBorders>
              <w:top w:val="nil"/>
              <w:left w:val="single" w:sz="4" w:space="0" w:color="auto"/>
              <w:bottom w:val="nil"/>
              <w:right w:val="single" w:sz="8" w:space="0" w:color="auto"/>
            </w:tcBorders>
            <w:vAlign w:val="center"/>
            <w:hideMark/>
          </w:tcPr>
          <w:p w:rsidR="004C7A53" w:rsidRPr="004C7A53" w:rsidRDefault="004C7A53" w:rsidP="004C7A53">
            <w:pPr>
              <w:widowControl/>
              <w:autoSpaceDE/>
              <w:autoSpaceDN/>
              <w:adjustRightInd/>
              <w:rPr>
                <w:color w:val="000000"/>
                <w:sz w:val="20"/>
                <w:szCs w:val="20"/>
              </w:rPr>
            </w:pPr>
          </w:p>
        </w:tc>
      </w:tr>
      <w:tr w:rsidR="004C7A53" w:rsidRPr="004C7A53" w:rsidTr="004C7A53">
        <w:trPr>
          <w:trHeight w:val="255"/>
        </w:trPr>
        <w:tc>
          <w:tcPr>
            <w:tcW w:w="3500" w:type="dxa"/>
            <w:tcBorders>
              <w:top w:val="single" w:sz="8" w:space="0" w:color="auto"/>
              <w:left w:val="single" w:sz="8" w:space="0" w:color="auto"/>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rPr>
                <w:color w:val="000000"/>
                <w:sz w:val="20"/>
                <w:szCs w:val="20"/>
              </w:rPr>
            </w:pPr>
            <w:r w:rsidRPr="004C7A53">
              <w:rPr>
                <w:color w:val="000000"/>
                <w:sz w:val="20"/>
                <w:szCs w:val="20"/>
              </w:rPr>
              <w:t>Report Review:</w:t>
            </w:r>
          </w:p>
        </w:tc>
        <w:tc>
          <w:tcPr>
            <w:tcW w:w="8480" w:type="dxa"/>
            <w:gridSpan w:val="8"/>
            <w:tcBorders>
              <w:top w:val="single" w:sz="8" w:space="0" w:color="auto"/>
              <w:left w:val="nil"/>
              <w:bottom w:val="single" w:sz="4" w:space="0" w:color="auto"/>
              <w:right w:val="single" w:sz="8" w:space="0" w:color="000000"/>
            </w:tcBorders>
            <w:shd w:val="clear" w:color="000000" w:fill="BFBFBF"/>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 </w:t>
            </w:r>
          </w:p>
        </w:tc>
      </w:tr>
      <w:tr w:rsidR="004C7A53" w:rsidRPr="004C7A53" w:rsidTr="004C7A53">
        <w:trPr>
          <w:trHeight w:val="255"/>
        </w:trPr>
        <w:tc>
          <w:tcPr>
            <w:tcW w:w="3500" w:type="dxa"/>
            <w:tcBorders>
              <w:top w:val="nil"/>
              <w:left w:val="single" w:sz="8" w:space="0" w:color="auto"/>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rPr>
                <w:color w:val="000000"/>
                <w:sz w:val="20"/>
                <w:szCs w:val="20"/>
              </w:rPr>
            </w:pPr>
            <w:r w:rsidRPr="004C7A53">
              <w:rPr>
                <w:color w:val="000000"/>
                <w:sz w:val="20"/>
                <w:szCs w:val="20"/>
              </w:rPr>
              <w:t xml:space="preserve">     Initial Notification of applicability (b)</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3.3</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B5306F">
            <w:pPr>
              <w:widowControl/>
              <w:autoSpaceDE/>
              <w:autoSpaceDN/>
              <w:adjustRightInd/>
              <w:jc w:val="center"/>
              <w:rPr>
                <w:color w:val="000000"/>
                <w:sz w:val="20"/>
                <w:szCs w:val="20"/>
              </w:rPr>
            </w:pPr>
            <w:r w:rsidRPr="004C7A53">
              <w:rPr>
                <w:color w:val="000000"/>
                <w:sz w:val="20"/>
                <w:szCs w:val="20"/>
              </w:rPr>
              <w:t>3.3</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0.17</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0.33</w:t>
            </w:r>
          </w:p>
        </w:tc>
        <w:tc>
          <w:tcPr>
            <w:tcW w:w="1060" w:type="dxa"/>
            <w:tcBorders>
              <w:top w:val="nil"/>
              <w:left w:val="nil"/>
              <w:bottom w:val="single" w:sz="4" w:space="0" w:color="auto"/>
              <w:right w:val="single" w:sz="8" w:space="0" w:color="auto"/>
            </w:tcBorders>
            <w:shd w:val="clear" w:color="auto" w:fill="auto"/>
            <w:hideMark/>
          </w:tcPr>
          <w:p w:rsidR="004C7A53" w:rsidRPr="004C7A53" w:rsidRDefault="004C7A53" w:rsidP="00B5306F">
            <w:pPr>
              <w:widowControl/>
              <w:autoSpaceDE/>
              <w:autoSpaceDN/>
              <w:adjustRightInd/>
              <w:jc w:val="right"/>
              <w:rPr>
                <w:color w:val="000000"/>
                <w:sz w:val="20"/>
                <w:szCs w:val="20"/>
              </w:rPr>
            </w:pPr>
            <w:r w:rsidRPr="004C7A53">
              <w:rPr>
                <w:color w:val="000000"/>
                <w:sz w:val="20"/>
                <w:szCs w:val="20"/>
              </w:rPr>
              <w:t>$171.</w:t>
            </w:r>
            <w:r w:rsidR="00B5306F">
              <w:rPr>
                <w:color w:val="000000"/>
                <w:sz w:val="20"/>
                <w:szCs w:val="20"/>
              </w:rPr>
              <w:t>3</w:t>
            </w:r>
            <w:r w:rsidRPr="004C7A53">
              <w:rPr>
                <w:color w:val="000000"/>
                <w:sz w:val="20"/>
                <w:szCs w:val="20"/>
              </w:rPr>
              <w:t xml:space="preserve">2 </w:t>
            </w:r>
          </w:p>
        </w:tc>
      </w:tr>
      <w:tr w:rsidR="004C7A53" w:rsidRPr="004C7A53" w:rsidTr="004C7A53">
        <w:trPr>
          <w:trHeight w:val="255"/>
        </w:trPr>
        <w:tc>
          <w:tcPr>
            <w:tcW w:w="3500" w:type="dxa"/>
            <w:tcBorders>
              <w:top w:val="nil"/>
              <w:left w:val="single" w:sz="8" w:space="0" w:color="auto"/>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rPr>
                <w:color w:val="000000"/>
                <w:sz w:val="20"/>
                <w:szCs w:val="20"/>
              </w:rPr>
            </w:pPr>
            <w:r w:rsidRPr="004C7A53">
              <w:rPr>
                <w:color w:val="000000"/>
                <w:sz w:val="20"/>
                <w:szCs w:val="20"/>
              </w:rPr>
              <w:t xml:space="preserve">     Notification of Compliance Status (c)</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3.3</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B5306F">
            <w:pPr>
              <w:widowControl/>
              <w:autoSpaceDE/>
              <w:autoSpaceDN/>
              <w:adjustRightInd/>
              <w:jc w:val="center"/>
              <w:rPr>
                <w:color w:val="000000"/>
                <w:sz w:val="20"/>
                <w:szCs w:val="20"/>
              </w:rPr>
            </w:pPr>
            <w:r w:rsidRPr="004C7A53">
              <w:rPr>
                <w:color w:val="000000"/>
                <w:sz w:val="20"/>
                <w:szCs w:val="20"/>
              </w:rPr>
              <w:t>6.6</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0.33</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0.66</w:t>
            </w:r>
          </w:p>
        </w:tc>
        <w:tc>
          <w:tcPr>
            <w:tcW w:w="1060" w:type="dxa"/>
            <w:tcBorders>
              <w:top w:val="nil"/>
              <w:left w:val="nil"/>
              <w:bottom w:val="single" w:sz="4" w:space="0" w:color="auto"/>
              <w:right w:val="single" w:sz="8" w:space="0" w:color="auto"/>
            </w:tcBorders>
            <w:shd w:val="clear" w:color="auto" w:fill="auto"/>
            <w:hideMark/>
          </w:tcPr>
          <w:p w:rsidR="004C7A53" w:rsidRPr="004C7A53" w:rsidRDefault="004C7A53" w:rsidP="00B5306F">
            <w:pPr>
              <w:widowControl/>
              <w:autoSpaceDE/>
              <w:autoSpaceDN/>
              <w:adjustRightInd/>
              <w:jc w:val="right"/>
              <w:rPr>
                <w:color w:val="000000"/>
                <w:sz w:val="20"/>
                <w:szCs w:val="20"/>
              </w:rPr>
            </w:pPr>
            <w:r w:rsidRPr="004C7A53">
              <w:rPr>
                <w:color w:val="000000"/>
                <w:sz w:val="20"/>
                <w:szCs w:val="20"/>
              </w:rPr>
              <w:t>$342.0</w:t>
            </w:r>
            <w:r w:rsidR="00B5306F">
              <w:rPr>
                <w:color w:val="000000"/>
                <w:sz w:val="20"/>
                <w:szCs w:val="20"/>
              </w:rPr>
              <w:t>5</w:t>
            </w:r>
            <w:r w:rsidRPr="004C7A53">
              <w:rPr>
                <w:color w:val="000000"/>
                <w:sz w:val="20"/>
                <w:szCs w:val="20"/>
              </w:rPr>
              <w:t xml:space="preserve"> </w:t>
            </w:r>
          </w:p>
        </w:tc>
      </w:tr>
      <w:tr w:rsidR="004C7A53" w:rsidRPr="004C7A53" w:rsidTr="004C7A53">
        <w:trPr>
          <w:trHeight w:val="255"/>
        </w:trPr>
        <w:tc>
          <w:tcPr>
            <w:tcW w:w="3500" w:type="dxa"/>
            <w:tcBorders>
              <w:top w:val="nil"/>
              <w:left w:val="single" w:sz="8" w:space="0" w:color="auto"/>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rPr>
                <w:color w:val="000000"/>
                <w:sz w:val="20"/>
                <w:szCs w:val="20"/>
              </w:rPr>
            </w:pPr>
            <w:r w:rsidRPr="004C7A53">
              <w:rPr>
                <w:color w:val="000000"/>
                <w:sz w:val="20"/>
                <w:szCs w:val="20"/>
              </w:rPr>
              <w:t xml:space="preserve">     Annual Compliance Certification (d)</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10</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B5306F">
            <w:pPr>
              <w:widowControl/>
              <w:autoSpaceDE/>
              <w:autoSpaceDN/>
              <w:adjustRightInd/>
              <w:jc w:val="center"/>
              <w:rPr>
                <w:color w:val="000000"/>
                <w:sz w:val="20"/>
                <w:szCs w:val="20"/>
              </w:rPr>
            </w:pPr>
            <w:r w:rsidRPr="004C7A53">
              <w:rPr>
                <w:color w:val="000000"/>
                <w:sz w:val="20"/>
                <w:szCs w:val="20"/>
              </w:rPr>
              <w:t>20</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B5306F">
            <w:pPr>
              <w:widowControl/>
              <w:autoSpaceDE/>
              <w:autoSpaceDN/>
              <w:adjustRightInd/>
              <w:jc w:val="center"/>
              <w:rPr>
                <w:color w:val="000000"/>
                <w:sz w:val="20"/>
                <w:szCs w:val="20"/>
              </w:rPr>
            </w:pPr>
            <w:r w:rsidRPr="004C7A53">
              <w:rPr>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B5306F">
            <w:pPr>
              <w:widowControl/>
              <w:autoSpaceDE/>
              <w:autoSpaceDN/>
              <w:adjustRightInd/>
              <w:jc w:val="center"/>
              <w:rPr>
                <w:color w:val="000000"/>
                <w:sz w:val="20"/>
                <w:szCs w:val="20"/>
              </w:rPr>
            </w:pPr>
            <w:r w:rsidRPr="004C7A53">
              <w:rPr>
                <w:color w:val="000000"/>
                <w:sz w:val="20"/>
                <w:szCs w:val="20"/>
              </w:rPr>
              <w:t>2</w:t>
            </w:r>
          </w:p>
        </w:tc>
        <w:tc>
          <w:tcPr>
            <w:tcW w:w="1060" w:type="dxa"/>
            <w:tcBorders>
              <w:top w:val="nil"/>
              <w:left w:val="nil"/>
              <w:bottom w:val="single" w:sz="4" w:space="0" w:color="auto"/>
              <w:right w:val="single" w:sz="8" w:space="0" w:color="auto"/>
            </w:tcBorders>
            <w:shd w:val="clear" w:color="auto" w:fill="auto"/>
            <w:hideMark/>
          </w:tcPr>
          <w:p w:rsidR="004C7A53" w:rsidRPr="004C7A53" w:rsidRDefault="004C7A53" w:rsidP="0098631F">
            <w:pPr>
              <w:widowControl/>
              <w:autoSpaceDE/>
              <w:autoSpaceDN/>
              <w:adjustRightInd/>
              <w:jc w:val="right"/>
              <w:rPr>
                <w:color w:val="000000"/>
                <w:sz w:val="20"/>
                <w:szCs w:val="20"/>
              </w:rPr>
            </w:pPr>
            <w:r w:rsidRPr="004C7A53">
              <w:rPr>
                <w:color w:val="000000"/>
                <w:sz w:val="20"/>
                <w:szCs w:val="20"/>
              </w:rPr>
              <w:t xml:space="preserve">$1,036.49 </w:t>
            </w:r>
          </w:p>
        </w:tc>
      </w:tr>
      <w:tr w:rsidR="004C7A53" w:rsidRPr="004C7A53" w:rsidTr="004C7A53">
        <w:trPr>
          <w:trHeight w:val="255"/>
        </w:trPr>
        <w:tc>
          <w:tcPr>
            <w:tcW w:w="3500" w:type="dxa"/>
            <w:tcBorders>
              <w:top w:val="nil"/>
              <w:left w:val="single" w:sz="8" w:space="0" w:color="auto"/>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rPr>
                <w:color w:val="000000"/>
                <w:sz w:val="20"/>
                <w:szCs w:val="20"/>
              </w:rPr>
            </w:pPr>
            <w:r w:rsidRPr="004C7A53">
              <w:rPr>
                <w:color w:val="000000"/>
                <w:sz w:val="20"/>
                <w:szCs w:val="20"/>
              </w:rPr>
              <w:t xml:space="preserve">     Annual Report of Deviations (e)</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4C7A53">
            <w:pPr>
              <w:widowControl/>
              <w:autoSpaceDE/>
              <w:autoSpaceDN/>
              <w:adjustRightInd/>
              <w:jc w:val="center"/>
              <w:rPr>
                <w:color w:val="000000"/>
                <w:sz w:val="20"/>
                <w:szCs w:val="20"/>
              </w:rPr>
            </w:pPr>
            <w:r w:rsidRPr="004C7A53">
              <w:rPr>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B5306F">
            <w:pPr>
              <w:widowControl/>
              <w:autoSpaceDE/>
              <w:autoSpaceDN/>
              <w:adjustRightInd/>
              <w:jc w:val="center"/>
              <w:rPr>
                <w:color w:val="000000"/>
                <w:sz w:val="20"/>
                <w:szCs w:val="20"/>
              </w:rPr>
            </w:pPr>
            <w:r w:rsidRPr="004C7A53">
              <w:rPr>
                <w:color w:val="000000"/>
                <w:sz w:val="20"/>
                <w:szCs w:val="20"/>
              </w:rPr>
              <w:t>4</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B5306F">
            <w:pPr>
              <w:widowControl/>
              <w:autoSpaceDE/>
              <w:autoSpaceDN/>
              <w:adjustRightInd/>
              <w:jc w:val="center"/>
              <w:rPr>
                <w:color w:val="000000"/>
                <w:sz w:val="20"/>
                <w:szCs w:val="20"/>
              </w:rPr>
            </w:pPr>
            <w:r w:rsidRPr="004C7A53">
              <w:rPr>
                <w:color w:val="000000"/>
                <w:sz w:val="20"/>
                <w:szCs w:val="20"/>
              </w:rPr>
              <w:t>0.2</w:t>
            </w:r>
          </w:p>
        </w:tc>
        <w:tc>
          <w:tcPr>
            <w:tcW w:w="1060" w:type="dxa"/>
            <w:tcBorders>
              <w:top w:val="nil"/>
              <w:left w:val="nil"/>
              <w:bottom w:val="single" w:sz="4" w:space="0" w:color="auto"/>
              <w:right w:val="single" w:sz="4" w:space="0" w:color="auto"/>
            </w:tcBorders>
            <w:shd w:val="clear" w:color="auto" w:fill="auto"/>
            <w:hideMark/>
          </w:tcPr>
          <w:p w:rsidR="004C7A53" w:rsidRPr="004C7A53" w:rsidRDefault="004C7A53" w:rsidP="00B5306F">
            <w:pPr>
              <w:widowControl/>
              <w:autoSpaceDE/>
              <w:autoSpaceDN/>
              <w:adjustRightInd/>
              <w:jc w:val="center"/>
              <w:rPr>
                <w:color w:val="000000"/>
                <w:sz w:val="20"/>
                <w:szCs w:val="20"/>
              </w:rPr>
            </w:pPr>
            <w:r w:rsidRPr="004C7A53">
              <w:rPr>
                <w:color w:val="000000"/>
                <w:sz w:val="20"/>
                <w:szCs w:val="20"/>
              </w:rPr>
              <w:t>0.4</w:t>
            </w:r>
          </w:p>
        </w:tc>
        <w:tc>
          <w:tcPr>
            <w:tcW w:w="1060" w:type="dxa"/>
            <w:tcBorders>
              <w:top w:val="nil"/>
              <w:left w:val="nil"/>
              <w:bottom w:val="single" w:sz="4" w:space="0" w:color="auto"/>
              <w:right w:val="single" w:sz="8" w:space="0" w:color="auto"/>
            </w:tcBorders>
            <w:shd w:val="clear" w:color="auto" w:fill="auto"/>
            <w:hideMark/>
          </w:tcPr>
          <w:p w:rsidR="004C7A53" w:rsidRPr="004C7A53" w:rsidRDefault="004C7A53" w:rsidP="00B5306F">
            <w:pPr>
              <w:widowControl/>
              <w:autoSpaceDE/>
              <w:autoSpaceDN/>
              <w:adjustRightInd/>
              <w:jc w:val="right"/>
              <w:rPr>
                <w:color w:val="000000"/>
                <w:sz w:val="20"/>
                <w:szCs w:val="20"/>
              </w:rPr>
            </w:pPr>
            <w:r w:rsidRPr="004C7A53">
              <w:rPr>
                <w:color w:val="000000"/>
                <w:sz w:val="20"/>
                <w:szCs w:val="20"/>
              </w:rPr>
              <w:t>$207.</w:t>
            </w:r>
            <w:r w:rsidR="00B5306F">
              <w:rPr>
                <w:color w:val="000000"/>
                <w:sz w:val="20"/>
                <w:szCs w:val="20"/>
              </w:rPr>
              <w:t>29</w:t>
            </w:r>
          </w:p>
        </w:tc>
      </w:tr>
      <w:tr w:rsidR="004C7A53" w:rsidRPr="004C7A53" w:rsidTr="004C7A53">
        <w:trPr>
          <w:trHeight w:val="255"/>
        </w:trPr>
        <w:tc>
          <w:tcPr>
            <w:tcW w:w="7740" w:type="dxa"/>
            <w:gridSpan w:val="5"/>
            <w:tcBorders>
              <w:top w:val="single" w:sz="4" w:space="0" w:color="auto"/>
              <w:left w:val="single" w:sz="8" w:space="0" w:color="auto"/>
              <w:bottom w:val="single" w:sz="4" w:space="0" w:color="auto"/>
              <w:right w:val="single" w:sz="4" w:space="0" w:color="000000"/>
            </w:tcBorders>
            <w:shd w:val="clear" w:color="auto" w:fill="auto"/>
            <w:hideMark/>
          </w:tcPr>
          <w:p w:rsidR="004C7A53" w:rsidRPr="004C7A53" w:rsidRDefault="004C7A53" w:rsidP="004C7A53">
            <w:pPr>
              <w:widowControl/>
              <w:autoSpaceDE/>
              <w:autoSpaceDN/>
              <w:adjustRightInd/>
              <w:jc w:val="center"/>
              <w:rPr>
                <w:b/>
                <w:bCs/>
                <w:color w:val="000000"/>
                <w:sz w:val="20"/>
                <w:szCs w:val="20"/>
              </w:rPr>
            </w:pPr>
            <w:r w:rsidRPr="004C7A53">
              <w:rPr>
                <w:b/>
                <w:bCs/>
                <w:color w:val="000000"/>
                <w:sz w:val="20"/>
                <w:szCs w:val="20"/>
              </w:rPr>
              <w:t>SUBTOTAL ANNUAL BURDEN</w:t>
            </w:r>
          </w:p>
        </w:tc>
        <w:tc>
          <w:tcPr>
            <w:tcW w:w="1060" w:type="dxa"/>
            <w:tcBorders>
              <w:top w:val="nil"/>
              <w:left w:val="nil"/>
              <w:bottom w:val="nil"/>
              <w:right w:val="single" w:sz="4" w:space="0" w:color="auto"/>
            </w:tcBorders>
            <w:shd w:val="clear" w:color="auto" w:fill="auto"/>
            <w:hideMark/>
          </w:tcPr>
          <w:p w:rsidR="004C7A53" w:rsidRPr="004C7A53" w:rsidRDefault="004C7A53" w:rsidP="00B5306F">
            <w:pPr>
              <w:widowControl/>
              <w:autoSpaceDE/>
              <w:autoSpaceDN/>
              <w:adjustRightInd/>
              <w:jc w:val="center"/>
              <w:rPr>
                <w:b/>
                <w:bCs/>
                <w:color w:val="000000"/>
                <w:sz w:val="20"/>
                <w:szCs w:val="20"/>
              </w:rPr>
            </w:pPr>
            <w:r w:rsidRPr="004C7A53">
              <w:rPr>
                <w:b/>
                <w:bCs/>
                <w:color w:val="000000"/>
                <w:sz w:val="20"/>
                <w:szCs w:val="20"/>
              </w:rPr>
              <w:t>33.9</w:t>
            </w:r>
          </w:p>
        </w:tc>
        <w:tc>
          <w:tcPr>
            <w:tcW w:w="1060" w:type="dxa"/>
            <w:tcBorders>
              <w:top w:val="nil"/>
              <w:left w:val="nil"/>
              <w:bottom w:val="nil"/>
              <w:right w:val="single" w:sz="4" w:space="0" w:color="auto"/>
            </w:tcBorders>
            <w:shd w:val="clear" w:color="auto" w:fill="auto"/>
            <w:hideMark/>
          </w:tcPr>
          <w:p w:rsidR="004C7A53" w:rsidRPr="004C7A53" w:rsidRDefault="004C7A53" w:rsidP="00B5306F">
            <w:pPr>
              <w:widowControl/>
              <w:autoSpaceDE/>
              <w:autoSpaceDN/>
              <w:adjustRightInd/>
              <w:jc w:val="center"/>
              <w:rPr>
                <w:b/>
                <w:bCs/>
                <w:color w:val="000000"/>
                <w:sz w:val="20"/>
                <w:szCs w:val="20"/>
              </w:rPr>
            </w:pPr>
            <w:r w:rsidRPr="004C7A53">
              <w:rPr>
                <w:b/>
                <w:bCs/>
                <w:color w:val="000000"/>
                <w:sz w:val="20"/>
                <w:szCs w:val="20"/>
              </w:rPr>
              <w:t>1.7</w:t>
            </w:r>
          </w:p>
        </w:tc>
        <w:tc>
          <w:tcPr>
            <w:tcW w:w="1060" w:type="dxa"/>
            <w:tcBorders>
              <w:top w:val="nil"/>
              <w:left w:val="nil"/>
              <w:bottom w:val="nil"/>
              <w:right w:val="single" w:sz="4" w:space="0" w:color="auto"/>
            </w:tcBorders>
            <w:shd w:val="clear" w:color="auto" w:fill="auto"/>
            <w:hideMark/>
          </w:tcPr>
          <w:p w:rsidR="004C7A53" w:rsidRPr="004C7A53" w:rsidRDefault="004C7A53" w:rsidP="004C7A53">
            <w:pPr>
              <w:widowControl/>
              <w:autoSpaceDE/>
              <w:autoSpaceDN/>
              <w:adjustRightInd/>
              <w:jc w:val="center"/>
              <w:rPr>
                <w:b/>
                <w:bCs/>
                <w:color w:val="000000"/>
                <w:sz w:val="20"/>
                <w:szCs w:val="20"/>
              </w:rPr>
            </w:pPr>
            <w:r w:rsidRPr="004C7A53">
              <w:rPr>
                <w:b/>
                <w:bCs/>
                <w:color w:val="000000"/>
                <w:sz w:val="20"/>
                <w:szCs w:val="20"/>
              </w:rPr>
              <w:t>3.39</w:t>
            </w:r>
          </w:p>
        </w:tc>
        <w:tc>
          <w:tcPr>
            <w:tcW w:w="1060" w:type="dxa"/>
            <w:vMerge w:val="restart"/>
            <w:tcBorders>
              <w:top w:val="nil"/>
              <w:left w:val="single" w:sz="4" w:space="0" w:color="auto"/>
              <w:bottom w:val="single" w:sz="8" w:space="0" w:color="000000"/>
              <w:right w:val="single" w:sz="8" w:space="0" w:color="auto"/>
            </w:tcBorders>
            <w:shd w:val="clear" w:color="auto" w:fill="auto"/>
            <w:vAlign w:val="center"/>
            <w:hideMark/>
          </w:tcPr>
          <w:p w:rsidR="004C7A53" w:rsidRPr="004C7A53" w:rsidRDefault="004C7A53" w:rsidP="009F7874">
            <w:pPr>
              <w:widowControl/>
              <w:autoSpaceDE/>
              <w:autoSpaceDN/>
              <w:adjustRightInd/>
              <w:jc w:val="right"/>
              <w:rPr>
                <w:b/>
                <w:bCs/>
                <w:color w:val="000000"/>
                <w:sz w:val="20"/>
                <w:szCs w:val="20"/>
              </w:rPr>
            </w:pPr>
            <w:r w:rsidRPr="004C7A53">
              <w:rPr>
                <w:b/>
                <w:bCs/>
                <w:color w:val="000000"/>
                <w:sz w:val="20"/>
                <w:szCs w:val="20"/>
              </w:rPr>
              <w:t>$1,75</w:t>
            </w:r>
            <w:r w:rsidR="00F967B7">
              <w:rPr>
                <w:b/>
                <w:bCs/>
                <w:color w:val="000000"/>
                <w:sz w:val="20"/>
                <w:szCs w:val="20"/>
              </w:rPr>
              <w:t>7</w:t>
            </w:r>
          </w:p>
        </w:tc>
      </w:tr>
      <w:tr w:rsidR="004C7A53" w:rsidRPr="004C7A53" w:rsidTr="004C7A53">
        <w:trPr>
          <w:trHeight w:val="270"/>
        </w:trPr>
        <w:tc>
          <w:tcPr>
            <w:tcW w:w="7740" w:type="dxa"/>
            <w:gridSpan w:val="5"/>
            <w:tcBorders>
              <w:top w:val="single" w:sz="4" w:space="0" w:color="auto"/>
              <w:left w:val="single" w:sz="8" w:space="0" w:color="auto"/>
              <w:bottom w:val="single" w:sz="8" w:space="0" w:color="auto"/>
              <w:right w:val="single" w:sz="4" w:space="0" w:color="000000"/>
            </w:tcBorders>
            <w:shd w:val="clear" w:color="auto" w:fill="auto"/>
            <w:hideMark/>
          </w:tcPr>
          <w:p w:rsidR="004C7A53" w:rsidRPr="004C7A53" w:rsidRDefault="004C7A53" w:rsidP="004C7A53">
            <w:pPr>
              <w:widowControl/>
              <w:autoSpaceDE/>
              <w:autoSpaceDN/>
              <w:adjustRightInd/>
              <w:jc w:val="center"/>
              <w:rPr>
                <w:b/>
                <w:bCs/>
                <w:color w:val="000000"/>
                <w:sz w:val="20"/>
                <w:szCs w:val="20"/>
              </w:rPr>
            </w:pPr>
            <w:r w:rsidRPr="004C7A53">
              <w:rPr>
                <w:b/>
                <w:bCs/>
                <w:color w:val="000000"/>
                <w:sz w:val="20"/>
                <w:szCs w:val="20"/>
              </w:rPr>
              <w:t>GRAND TOTAL</w:t>
            </w:r>
            <w:r w:rsidR="00B5306F">
              <w:rPr>
                <w:b/>
                <w:bCs/>
                <w:color w:val="000000"/>
                <w:sz w:val="20"/>
                <w:szCs w:val="20"/>
              </w:rPr>
              <w:t xml:space="preserve"> (rounded)</w:t>
            </w:r>
          </w:p>
        </w:tc>
        <w:tc>
          <w:tcPr>
            <w:tcW w:w="3180" w:type="dxa"/>
            <w:gridSpan w:val="3"/>
            <w:tcBorders>
              <w:top w:val="single" w:sz="4" w:space="0" w:color="auto"/>
              <w:left w:val="nil"/>
              <w:bottom w:val="single" w:sz="8" w:space="0" w:color="auto"/>
              <w:right w:val="single" w:sz="4" w:space="0" w:color="auto"/>
            </w:tcBorders>
            <w:shd w:val="clear" w:color="auto" w:fill="auto"/>
            <w:hideMark/>
          </w:tcPr>
          <w:p w:rsidR="004C7A53" w:rsidRPr="004C7A53" w:rsidRDefault="004C7A53" w:rsidP="002C4DCC">
            <w:pPr>
              <w:widowControl/>
              <w:autoSpaceDE/>
              <w:autoSpaceDN/>
              <w:adjustRightInd/>
              <w:jc w:val="center"/>
              <w:rPr>
                <w:b/>
                <w:bCs/>
                <w:color w:val="000000"/>
                <w:sz w:val="20"/>
                <w:szCs w:val="20"/>
              </w:rPr>
            </w:pPr>
            <w:r w:rsidRPr="004C7A53">
              <w:rPr>
                <w:b/>
                <w:bCs/>
                <w:color w:val="000000"/>
                <w:sz w:val="20"/>
                <w:szCs w:val="20"/>
              </w:rPr>
              <w:t>3</w:t>
            </w:r>
            <w:r w:rsidR="002C4DCC">
              <w:rPr>
                <w:b/>
                <w:bCs/>
                <w:color w:val="000000"/>
                <w:sz w:val="20"/>
                <w:szCs w:val="20"/>
              </w:rPr>
              <w:t>9</w:t>
            </w:r>
          </w:p>
        </w:tc>
        <w:tc>
          <w:tcPr>
            <w:tcW w:w="1060" w:type="dxa"/>
            <w:vMerge/>
            <w:tcBorders>
              <w:top w:val="nil"/>
              <w:left w:val="single" w:sz="4" w:space="0" w:color="auto"/>
              <w:bottom w:val="single" w:sz="8" w:space="0" w:color="000000"/>
              <w:right w:val="single" w:sz="8" w:space="0" w:color="auto"/>
            </w:tcBorders>
            <w:vAlign w:val="center"/>
            <w:hideMark/>
          </w:tcPr>
          <w:p w:rsidR="004C7A53" w:rsidRPr="004C7A53" w:rsidRDefault="004C7A53" w:rsidP="004C7A53">
            <w:pPr>
              <w:widowControl/>
              <w:autoSpaceDE/>
              <w:autoSpaceDN/>
              <w:adjustRightInd/>
              <w:rPr>
                <w:b/>
                <w:bCs/>
                <w:color w:val="000000"/>
                <w:sz w:val="20"/>
                <w:szCs w:val="20"/>
              </w:rPr>
            </w:pPr>
          </w:p>
        </w:tc>
      </w:tr>
      <w:tr w:rsidR="004C7A53" w:rsidRPr="004C7A53" w:rsidTr="004C7A53">
        <w:trPr>
          <w:trHeight w:val="255"/>
        </w:trPr>
        <w:tc>
          <w:tcPr>
            <w:tcW w:w="350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20"/>
                <w:szCs w:val="20"/>
              </w:rPr>
            </w:pPr>
          </w:p>
        </w:tc>
      </w:tr>
      <w:tr w:rsidR="004C7A53" w:rsidRPr="004C7A53" w:rsidTr="004C7A53">
        <w:trPr>
          <w:trHeight w:val="450"/>
        </w:trPr>
        <w:tc>
          <w:tcPr>
            <w:tcW w:w="11980" w:type="dxa"/>
            <w:gridSpan w:val="9"/>
            <w:tcBorders>
              <w:top w:val="nil"/>
              <w:left w:val="nil"/>
              <w:bottom w:val="nil"/>
              <w:right w:val="nil"/>
            </w:tcBorders>
            <w:shd w:val="clear" w:color="auto" w:fill="auto"/>
            <w:vAlign w:val="bottom"/>
            <w:hideMark/>
          </w:tcPr>
          <w:p w:rsidR="004C7A53" w:rsidRPr="004C7A53" w:rsidRDefault="004C7A53" w:rsidP="004C7A53">
            <w:pPr>
              <w:widowControl/>
              <w:autoSpaceDE/>
              <w:autoSpaceDN/>
              <w:adjustRightInd/>
              <w:rPr>
                <w:color w:val="000000"/>
                <w:sz w:val="16"/>
                <w:szCs w:val="16"/>
              </w:rPr>
            </w:pPr>
            <w:r w:rsidRPr="004C7A53">
              <w:rPr>
                <w:color w:val="000000"/>
                <w:sz w:val="16"/>
                <w:szCs w:val="16"/>
              </w:rPr>
              <w:t>(a) Costs are based on the following hourly rates:  technical at $46.21, management at $62.27, and clerical at $25.01.  Management person-hours and clerical person-hours are assumed to be 5 percent and 10 percent of technical person-hours, respectively.</w:t>
            </w:r>
          </w:p>
        </w:tc>
      </w:tr>
      <w:tr w:rsidR="004C7A53" w:rsidRPr="004C7A53" w:rsidTr="004C7A53">
        <w:trPr>
          <w:trHeight w:val="255"/>
        </w:trPr>
        <w:tc>
          <w:tcPr>
            <w:tcW w:w="11980" w:type="dxa"/>
            <w:gridSpan w:val="9"/>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16"/>
                <w:szCs w:val="16"/>
              </w:rPr>
            </w:pPr>
            <w:r w:rsidRPr="004C7A53">
              <w:rPr>
                <w:color w:val="000000"/>
                <w:sz w:val="16"/>
                <w:szCs w:val="16"/>
              </w:rPr>
              <w:t xml:space="preserve">(b) All 10 plants will submit the initial notification, leading to an average annual burden of 3 plants/yr. </w:t>
            </w:r>
          </w:p>
        </w:tc>
      </w:tr>
      <w:tr w:rsidR="004C7A53" w:rsidRPr="004C7A53" w:rsidTr="004C7A53">
        <w:trPr>
          <w:trHeight w:val="255"/>
        </w:trPr>
        <w:tc>
          <w:tcPr>
            <w:tcW w:w="11980" w:type="dxa"/>
            <w:gridSpan w:val="9"/>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16"/>
                <w:szCs w:val="16"/>
              </w:rPr>
            </w:pPr>
            <w:r w:rsidRPr="004C7A53">
              <w:rPr>
                <w:color w:val="000000"/>
                <w:sz w:val="16"/>
                <w:szCs w:val="16"/>
              </w:rPr>
              <w:t xml:space="preserve">(c) All 10 plants will submit the notification of compliance status, leading to an average annual burden of 3 plants/yr. </w:t>
            </w:r>
          </w:p>
        </w:tc>
      </w:tr>
      <w:tr w:rsidR="004C7A53" w:rsidRPr="004C7A53" w:rsidTr="004C7A53">
        <w:trPr>
          <w:trHeight w:val="255"/>
        </w:trPr>
        <w:tc>
          <w:tcPr>
            <w:tcW w:w="11980" w:type="dxa"/>
            <w:gridSpan w:val="9"/>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16"/>
                <w:szCs w:val="16"/>
              </w:rPr>
            </w:pPr>
            <w:r w:rsidRPr="004C7A53">
              <w:rPr>
                <w:color w:val="000000"/>
                <w:sz w:val="16"/>
                <w:szCs w:val="16"/>
              </w:rPr>
              <w:t xml:space="preserve">(d) All 10 plants will submit an annual compliance certification each year. </w:t>
            </w:r>
          </w:p>
        </w:tc>
      </w:tr>
      <w:tr w:rsidR="004C7A53" w:rsidRPr="004C7A53" w:rsidTr="004C7A53">
        <w:trPr>
          <w:trHeight w:val="255"/>
        </w:trPr>
        <w:tc>
          <w:tcPr>
            <w:tcW w:w="11980" w:type="dxa"/>
            <w:gridSpan w:val="9"/>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16"/>
                <w:szCs w:val="16"/>
              </w:rPr>
            </w:pPr>
            <w:r w:rsidRPr="004C7A53">
              <w:rPr>
                <w:color w:val="000000"/>
                <w:sz w:val="16"/>
                <w:szCs w:val="16"/>
              </w:rPr>
              <w:t xml:space="preserve">(e)  Assumes that 2 facilities per year would have to submit an </w:t>
            </w:r>
            <w:proofErr w:type="spellStart"/>
            <w:r w:rsidRPr="004C7A53">
              <w:rPr>
                <w:color w:val="000000"/>
                <w:sz w:val="16"/>
                <w:szCs w:val="16"/>
              </w:rPr>
              <w:t>exceedance</w:t>
            </w:r>
            <w:proofErr w:type="spellEnd"/>
            <w:r w:rsidRPr="004C7A53">
              <w:rPr>
                <w:color w:val="000000"/>
                <w:sz w:val="16"/>
                <w:szCs w:val="16"/>
              </w:rPr>
              <w:t xml:space="preserve"> report per year. </w:t>
            </w:r>
          </w:p>
        </w:tc>
      </w:tr>
      <w:tr w:rsidR="004C7A53" w:rsidRPr="004C7A53" w:rsidTr="004C7A53">
        <w:trPr>
          <w:trHeight w:val="255"/>
        </w:trPr>
        <w:tc>
          <w:tcPr>
            <w:tcW w:w="11980" w:type="dxa"/>
            <w:gridSpan w:val="9"/>
            <w:tcBorders>
              <w:top w:val="nil"/>
              <w:left w:val="nil"/>
              <w:bottom w:val="nil"/>
              <w:right w:val="nil"/>
            </w:tcBorders>
            <w:shd w:val="clear" w:color="auto" w:fill="auto"/>
            <w:noWrap/>
            <w:vAlign w:val="bottom"/>
            <w:hideMark/>
          </w:tcPr>
          <w:p w:rsidR="004C7A53" w:rsidRPr="004C7A53" w:rsidRDefault="004C7A53" w:rsidP="004C7A53">
            <w:pPr>
              <w:widowControl/>
              <w:autoSpaceDE/>
              <w:autoSpaceDN/>
              <w:adjustRightInd/>
              <w:rPr>
                <w:color w:val="000000"/>
                <w:sz w:val="16"/>
                <w:szCs w:val="16"/>
              </w:rPr>
            </w:pPr>
            <w:r w:rsidRPr="004C7A53">
              <w:rPr>
                <w:color w:val="000000"/>
                <w:sz w:val="16"/>
                <w:szCs w:val="16"/>
              </w:rPr>
              <w:t>N/A = Not applicable</w:t>
            </w:r>
          </w:p>
        </w:tc>
      </w:tr>
    </w:tbl>
    <w:p w:rsidR="00B3348F" w:rsidRPr="00081360" w:rsidRDefault="00B3348F"/>
    <w:sectPr w:rsidR="00B3348F" w:rsidRPr="00081360" w:rsidSect="00201B4F">
      <w:pgSz w:w="15840" w:h="12240" w:orient="landscape"/>
      <w:pgMar w:top="1440" w:right="1354" w:bottom="1440" w:left="1440" w:header="1354"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ED" w:rsidRDefault="00CA5DED" w:rsidP="0064471A">
      <w:r>
        <w:separator/>
      </w:r>
    </w:p>
  </w:endnote>
  <w:endnote w:type="continuationSeparator" w:id="0">
    <w:p w:rsidR="00CA5DED" w:rsidRDefault="00CA5DED" w:rsidP="0064471A">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ED" w:rsidRDefault="00CA5DED" w:rsidP="0064471A">
      <w:r>
        <w:separator/>
      </w:r>
    </w:p>
  </w:footnote>
  <w:footnote w:type="continuationSeparator" w:id="0">
    <w:p w:rsidR="00CA5DED" w:rsidRDefault="00CA5DED" w:rsidP="00644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DED" w:rsidRDefault="00CA5DED">
    <w:pPr>
      <w:framePr w:w="9361" w:wrap="notBeside" w:vAnchor="text" w:hAnchor="text" w:x="1" w:y="1"/>
      <w:jc w:val="center"/>
    </w:pPr>
    <w:fldSimple w:instr="PAGE ">
      <w:r w:rsidR="00DC485D">
        <w:rPr>
          <w:noProof/>
        </w:rPr>
        <w:t>16</w:t>
      </w:r>
    </w:fldSimple>
  </w:p>
  <w:p w:rsidR="00CA5DED" w:rsidRDefault="00CA5DED"/>
  <w:p w:rsidR="00CA5DED" w:rsidRDefault="00CA5DE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533B"/>
    <w:rsid w:val="0003363A"/>
    <w:rsid w:val="00054A1F"/>
    <w:rsid w:val="00081360"/>
    <w:rsid w:val="00083998"/>
    <w:rsid w:val="000843D2"/>
    <w:rsid w:val="00092123"/>
    <w:rsid w:val="00094A36"/>
    <w:rsid w:val="000C0C26"/>
    <w:rsid w:val="000C0FAB"/>
    <w:rsid w:val="000D03E6"/>
    <w:rsid w:val="000D1C1C"/>
    <w:rsid w:val="000D69B0"/>
    <w:rsid w:val="000F68C5"/>
    <w:rsid w:val="00103131"/>
    <w:rsid w:val="00136E00"/>
    <w:rsid w:val="001449BA"/>
    <w:rsid w:val="00187E9C"/>
    <w:rsid w:val="00192245"/>
    <w:rsid w:val="001925D2"/>
    <w:rsid w:val="001B1683"/>
    <w:rsid w:val="001D0C9B"/>
    <w:rsid w:val="00201B4F"/>
    <w:rsid w:val="002115C9"/>
    <w:rsid w:val="00212BC8"/>
    <w:rsid w:val="00216967"/>
    <w:rsid w:val="00240A77"/>
    <w:rsid w:val="00241D70"/>
    <w:rsid w:val="00246035"/>
    <w:rsid w:val="002535A0"/>
    <w:rsid w:val="00260CA0"/>
    <w:rsid w:val="002768B2"/>
    <w:rsid w:val="0028638D"/>
    <w:rsid w:val="002A5277"/>
    <w:rsid w:val="002B64ED"/>
    <w:rsid w:val="002B7D01"/>
    <w:rsid w:val="002C4DCC"/>
    <w:rsid w:val="002C78C4"/>
    <w:rsid w:val="002E4D6D"/>
    <w:rsid w:val="002F2C9B"/>
    <w:rsid w:val="0031517D"/>
    <w:rsid w:val="003779F1"/>
    <w:rsid w:val="00391169"/>
    <w:rsid w:val="003A5D4A"/>
    <w:rsid w:val="003E0054"/>
    <w:rsid w:val="003E7023"/>
    <w:rsid w:val="00413A8A"/>
    <w:rsid w:val="00422EAB"/>
    <w:rsid w:val="0042435A"/>
    <w:rsid w:val="004C0438"/>
    <w:rsid w:val="004C5589"/>
    <w:rsid w:val="004C7A53"/>
    <w:rsid w:val="004D5A13"/>
    <w:rsid w:val="004F3492"/>
    <w:rsid w:val="0051320F"/>
    <w:rsid w:val="00530E2B"/>
    <w:rsid w:val="00533F9F"/>
    <w:rsid w:val="00535CD6"/>
    <w:rsid w:val="00552767"/>
    <w:rsid w:val="00562D12"/>
    <w:rsid w:val="00567001"/>
    <w:rsid w:val="00581F94"/>
    <w:rsid w:val="005D2BA0"/>
    <w:rsid w:val="005F5976"/>
    <w:rsid w:val="0061258B"/>
    <w:rsid w:val="0064471A"/>
    <w:rsid w:val="00665511"/>
    <w:rsid w:val="00675285"/>
    <w:rsid w:val="006A56FA"/>
    <w:rsid w:val="006E465A"/>
    <w:rsid w:val="006E74B1"/>
    <w:rsid w:val="006E79FB"/>
    <w:rsid w:val="006F5165"/>
    <w:rsid w:val="00700EF8"/>
    <w:rsid w:val="00717345"/>
    <w:rsid w:val="00730493"/>
    <w:rsid w:val="00735FD1"/>
    <w:rsid w:val="00757099"/>
    <w:rsid w:val="00775BD6"/>
    <w:rsid w:val="00776764"/>
    <w:rsid w:val="007802C5"/>
    <w:rsid w:val="007832CD"/>
    <w:rsid w:val="007A5963"/>
    <w:rsid w:val="007B493B"/>
    <w:rsid w:val="007B6190"/>
    <w:rsid w:val="007D4B19"/>
    <w:rsid w:val="007F32D0"/>
    <w:rsid w:val="007F6EDC"/>
    <w:rsid w:val="008043CC"/>
    <w:rsid w:val="008157E5"/>
    <w:rsid w:val="008208C0"/>
    <w:rsid w:val="00860132"/>
    <w:rsid w:val="0087070F"/>
    <w:rsid w:val="008B4B12"/>
    <w:rsid w:val="008C0D0D"/>
    <w:rsid w:val="008E2F4A"/>
    <w:rsid w:val="008E4408"/>
    <w:rsid w:val="008F56F0"/>
    <w:rsid w:val="00900E5B"/>
    <w:rsid w:val="00911990"/>
    <w:rsid w:val="00913E1E"/>
    <w:rsid w:val="0092389E"/>
    <w:rsid w:val="00932146"/>
    <w:rsid w:val="00940828"/>
    <w:rsid w:val="0098631F"/>
    <w:rsid w:val="009D304D"/>
    <w:rsid w:val="009D5692"/>
    <w:rsid w:val="009F0FF3"/>
    <w:rsid w:val="009F7874"/>
    <w:rsid w:val="00A302E7"/>
    <w:rsid w:val="00A3750E"/>
    <w:rsid w:val="00A47298"/>
    <w:rsid w:val="00A66ACD"/>
    <w:rsid w:val="00A713EE"/>
    <w:rsid w:val="00A82BA9"/>
    <w:rsid w:val="00A86A04"/>
    <w:rsid w:val="00AA2512"/>
    <w:rsid w:val="00AA2B5F"/>
    <w:rsid w:val="00AC2A21"/>
    <w:rsid w:val="00AC7316"/>
    <w:rsid w:val="00AD1D2B"/>
    <w:rsid w:val="00B1229C"/>
    <w:rsid w:val="00B3348F"/>
    <w:rsid w:val="00B5306F"/>
    <w:rsid w:val="00B53B7E"/>
    <w:rsid w:val="00B57067"/>
    <w:rsid w:val="00B635A6"/>
    <w:rsid w:val="00B70636"/>
    <w:rsid w:val="00B977DA"/>
    <w:rsid w:val="00BA52F0"/>
    <w:rsid w:val="00BB2DC9"/>
    <w:rsid w:val="00BC40AF"/>
    <w:rsid w:val="00BD2DDC"/>
    <w:rsid w:val="00BE393F"/>
    <w:rsid w:val="00BF02F9"/>
    <w:rsid w:val="00BF0BE5"/>
    <w:rsid w:val="00C13830"/>
    <w:rsid w:val="00C52B9F"/>
    <w:rsid w:val="00C57529"/>
    <w:rsid w:val="00C7400E"/>
    <w:rsid w:val="00C75550"/>
    <w:rsid w:val="00C83CFB"/>
    <w:rsid w:val="00CA5DED"/>
    <w:rsid w:val="00CB610D"/>
    <w:rsid w:val="00CC19B0"/>
    <w:rsid w:val="00CC1FC5"/>
    <w:rsid w:val="00CD1968"/>
    <w:rsid w:val="00CD2C5E"/>
    <w:rsid w:val="00D40946"/>
    <w:rsid w:val="00DC485D"/>
    <w:rsid w:val="00DD50F2"/>
    <w:rsid w:val="00DF73AC"/>
    <w:rsid w:val="00DF768D"/>
    <w:rsid w:val="00E05BD7"/>
    <w:rsid w:val="00E20410"/>
    <w:rsid w:val="00E32210"/>
    <w:rsid w:val="00E660E6"/>
    <w:rsid w:val="00E71FB6"/>
    <w:rsid w:val="00E80CE8"/>
    <w:rsid w:val="00EB739C"/>
    <w:rsid w:val="00F166A6"/>
    <w:rsid w:val="00F20BC5"/>
    <w:rsid w:val="00F43C24"/>
    <w:rsid w:val="00F53918"/>
    <w:rsid w:val="00F80896"/>
    <w:rsid w:val="00F80C44"/>
    <w:rsid w:val="00F93667"/>
    <w:rsid w:val="00F967B7"/>
    <w:rsid w:val="00FA533B"/>
    <w:rsid w:val="00FB0FB2"/>
    <w:rsid w:val="00FC5784"/>
    <w:rsid w:val="00FF05F1"/>
    <w:rsid w:val="00FF4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6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E465A"/>
  </w:style>
  <w:style w:type="character" w:customStyle="1" w:styleId="Hypertext">
    <w:name w:val="Hypertext"/>
    <w:rsid w:val="006E465A"/>
    <w:rPr>
      <w:color w:val="0000FF"/>
      <w:u w:val="single"/>
    </w:rPr>
  </w:style>
  <w:style w:type="paragraph" w:customStyle="1" w:styleId="Level1">
    <w:name w:val="Level 1"/>
    <w:basedOn w:val="Normal"/>
    <w:rsid w:val="006E465A"/>
    <w:pPr>
      <w:ind w:left="1440" w:hanging="720"/>
    </w:pPr>
  </w:style>
  <w:style w:type="character" w:customStyle="1" w:styleId="1">
    <w:name w:val="1"/>
    <w:rsid w:val="006E465A"/>
  </w:style>
  <w:style w:type="paragraph" w:styleId="BalloonText">
    <w:name w:val="Balloon Text"/>
    <w:basedOn w:val="Normal"/>
    <w:link w:val="BalloonTextChar"/>
    <w:uiPriority w:val="99"/>
    <w:semiHidden/>
    <w:unhideWhenUsed/>
    <w:rsid w:val="006E465A"/>
    <w:rPr>
      <w:rFonts w:ascii="Tahoma" w:hAnsi="Tahoma" w:cs="Tahoma"/>
      <w:sz w:val="16"/>
      <w:szCs w:val="16"/>
    </w:rPr>
  </w:style>
  <w:style w:type="character" w:customStyle="1" w:styleId="BalloonTextChar">
    <w:name w:val="Balloon Text Char"/>
    <w:basedOn w:val="DefaultParagraphFont"/>
    <w:link w:val="BalloonText"/>
    <w:uiPriority w:val="99"/>
    <w:semiHidden/>
    <w:rsid w:val="006E46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17345"/>
    <w:rPr>
      <w:sz w:val="16"/>
      <w:szCs w:val="16"/>
    </w:rPr>
  </w:style>
  <w:style w:type="paragraph" w:styleId="CommentText">
    <w:name w:val="annotation text"/>
    <w:basedOn w:val="Normal"/>
    <w:link w:val="CommentTextChar"/>
    <w:uiPriority w:val="99"/>
    <w:semiHidden/>
    <w:unhideWhenUsed/>
    <w:rsid w:val="00717345"/>
    <w:rPr>
      <w:sz w:val="20"/>
      <w:szCs w:val="20"/>
    </w:rPr>
  </w:style>
  <w:style w:type="character" w:customStyle="1" w:styleId="CommentTextChar">
    <w:name w:val="Comment Text Char"/>
    <w:basedOn w:val="DefaultParagraphFont"/>
    <w:link w:val="CommentText"/>
    <w:uiPriority w:val="99"/>
    <w:semiHidden/>
    <w:rsid w:val="007173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345"/>
    <w:rPr>
      <w:b/>
      <w:bCs/>
    </w:rPr>
  </w:style>
  <w:style w:type="character" w:customStyle="1" w:styleId="CommentSubjectChar">
    <w:name w:val="Comment Subject Char"/>
    <w:basedOn w:val="CommentTextChar"/>
    <w:link w:val="CommentSubject"/>
    <w:uiPriority w:val="99"/>
    <w:semiHidden/>
    <w:rsid w:val="00717345"/>
    <w:rPr>
      <w:b/>
      <w:bCs/>
    </w:rPr>
  </w:style>
  <w:style w:type="paragraph" w:styleId="Revision">
    <w:name w:val="Revision"/>
    <w:hidden/>
    <w:uiPriority w:val="99"/>
    <w:semiHidden/>
    <w:rsid w:val="0071734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400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32756682">
      <w:bodyDiv w:val="1"/>
      <w:marLeft w:val="0"/>
      <w:marRight w:val="0"/>
      <w:marTop w:val="0"/>
      <w:marBottom w:val="0"/>
      <w:divBdr>
        <w:top w:val="none" w:sz="0" w:space="0" w:color="auto"/>
        <w:left w:val="none" w:sz="0" w:space="0" w:color="auto"/>
        <w:bottom w:val="none" w:sz="0" w:space="0" w:color="auto"/>
        <w:right w:val="none" w:sz="0" w:space="0" w:color="auto"/>
      </w:divBdr>
    </w:div>
    <w:div w:id="1046220412">
      <w:bodyDiv w:val="1"/>
      <w:marLeft w:val="0"/>
      <w:marRight w:val="0"/>
      <w:marTop w:val="0"/>
      <w:marBottom w:val="0"/>
      <w:divBdr>
        <w:top w:val="none" w:sz="0" w:space="0" w:color="auto"/>
        <w:left w:val="none" w:sz="0" w:space="0" w:color="auto"/>
        <w:bottom w:val="none" w:sz="0" w:space="0" w:color="auto"/>
        <w:right w:val="none" w:sz="0" w:space="0" w:color="auto"/>
      </w:divBdr>
    </w:div>
    <w:div w:id="1157383485">
      <w:bodyDiv w:val="1"/>
      <w:marLeft w:val="0"/>
      <w:marRight w:val="0"/>
      <w:marTop w:val="0"/>
      <w:marBottom w:val="0"/>
      <w:divBdr>
        <w:top w:val="none" w:sz="0" w:space="0" w:color="auto"/>
        <w:left w:val="none" w:sz="0" w:space="0" w:color="auto"/>
        <w:bottom w:val="none" w:sz="0" w:space="0" w:color="auto"/>
        <w:right w:val="none" w:sz="0" w:space="0" w:color="auto"/>
      </w:divBdr>
    </w:div>
    <w:div w:id="15598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4543</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JSellers</dc:creator>
  <cp:keywords/>
  <dc:description/>
  <cp:lastModifiedBy>wwrigley</cp:lastModifiedBy>
  <cp:revision>2</cp:revision>
  <dcterms:created xsi:type="dcterms:W3CDTF">2012-02-21T17:06:00Z</dcterms:created>
  <dcterms:modified xsi:type="dcterms:W3CDTF">2012-02-21T17:06:00Z</dcterms:modified>
</cp:coreProperties>
</file>