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90" w:rsidRPr="00681080" w:rsidRDefault="005A5890" w:rsidP="00681080">
      <w:pPr>
        <w:spacing w:before="0" w:beforeAutospacing="0" w:after="0" w:afterAutospacing="0"/>
        <w:rPr>
          <w:rFonts w:eastAsia="Times New Roman"/>
          <w:sz w:val="22"/>
          <w:szCs w:val="22"/>
        </w:rPr>
      </w:pPr>
      <w:bookmarkStart w:id="0" w:name="_GoBack"/>
      <w:bookmarkEnd w:id="0"/>
      <w:r w:rsidRPr="00681080">
        <w:rPr>
          <w:rFonts w:eastAsia="Times New Roman"/>
          <w:sz w:val="22"/>
          <w:szCs w:val="22"/>
        </w:rPr>
        <w:t>1. Please provide the minimum detectable effects (with 80% power, alpha = .05) for key comparisons between the 2012 survey and the 2002 survey. </w:t>
      </w:r>
    </w:p>
    <w:p w:rsidR="00830A38" w:rsidRPr="00681080" w:rsidRDefault="005A5890" w:rsidP="00681080">
      <w:pPr>
        <w:rPr>
          <w:sz w:val="22"/>
          <w:szCs w:val="22"/>
        </w:rPr>
      </w:pPr>
      <w:r w:rsidRPr="00681080">
        <w:rPr>
          <w:sz w:val="22"/>
          <w:szCs w:val="22"/>
        </w:rPr>
        <w:t>The 2002 survey collected 9,616 interviews for persons age 16 years and older.  The average design effect due to unequal weighting is approximately 1.3.  The 201</w:t>
      </w:r>
      <w:r w:rsidR="00755C6C">
        <w:rPr>
          <w:sz w:val="22"/>
          <w:szCs w:val="22"/>
        </w:rPr>
        <w:t>2</w:t>
      </w:r>
      <w:r w:rsidRPr="00681080">
        <w:rPr>
          <w:sz w:val="22"/>
          <w:szCs w:val="22"/>
        </w:rPr>
        <w:t xml:space="preserve"> survey is expected to </w:t>
      </w:r>
      <w:r w:rsidR="006A075A" w:rsidRPr="00681080">
        <w:rPr>
          <w:sz w:val="22"/>
          <w:szCs w:val="22"/>
        </w:rPr>
        <w:t>complete</w:t>
      </w:r>
      <w:r w:rsidRPr="00681080">
        <w:rPr>
          <w:sz w:val="22"/>
          <w:szCs w:val="22"/>
        </w:rPr>
        <w:t xml:space="preserve"> around 9,000 interviews with persons age 16 years and older.  The sample design will use a partially overlapping dual frame design</w:t>
      </w:r>
      <w:r w:rsidR="00AD001D" w:rsidRPr="00681080">
        <w:rPr>
          <w:sz w:val="22"/>
          <w:szCs w:val="22"/>
        </w:rPr>
        <w:t xml:space="preserve"> and the average design effect due to unequal weighting is expected to be around 1.75.  The effective sample sizes are therefore 7,400 and 5,1443, respectively.</w:t>
      </w:r>
    </w:p>
    <w:p w:rsidR="005A5890" w:rsidRPr="00681080" w:rsidRDefault="00AD001D" w:rsidP="00681080">
      <w:pPr>
        <w:rPr>
          <w:sz w:val="22"/>
          <w:szCs w:val="22"/>
        </w:rPr>
      </w:pPr>
      <w:r w:rsidRPr="00681080">
        <w:rPr>
          <w:sz w:val="22"/>
          <w:szCs w:val="22"/>
        </w:rPr>
        <w:t>Table 1 shows the detectable effects for proportions ranging from 0.10 to 0.50.</w:t>
      </w:r>
    </w:p>
    <w:p w:rsidR="005A5890" w:rsidRPr="00681080" w:rsidRDefault="005A5890" w:rsidP="00681080">
      <w:pPr>
        <w:rPr>
          <w:b/>
          <w:bCs/>
          <w:sz w:val="22"/>
          <w:szCs w:val="22"/>
        </w:rPr>
      </w:pPr>
      <w:r w:rsidRPr="00681080">
        <w:rPr>
          <w:sz w:val="22"/>
          <w:szCs w:val="22"/>
        </w:rPr>
        <w:t xml:space="preserve"> </w:t>
      </w:r>
      <w:r w:rsidRPr="00681080">
        <w:rPr>
          <w:b/>
          <w:bCs/>
          <w:sz w:val="22"/>
          <w:szCs w:val="22"/>
        </w:rPr>
        <w:t xml:space="preserve"> </w:t>
      </w:r>
      <w:r w:rsidR="00AD001D" w:rsidRPr="00681080">
        <w:rPr>
          <w:b/>
          <w:bCs/>
          <w:sz w:val="22"/>
          <w:szCs w:val="22"/>
        </w:rPr>
        <w:t>Table 1. Total sample t</w:t>
      </w:r>
      <w:r w:rsidRPr="00681080">
        <w:rPr>
          <w:b/>
          <w:bCs/>
          <w:sz w:val="22"/>
          <w:szCs w:val="22"/>
        </w:rPr>
        <w:t>wo group continuity corrected c</w:t>
      </w:r>
      <w:r w:rsidRPr="00681080">
        <w:rPr>
          <w:b/>
          <w:bCs/>
          <w:sz w:val="22"/>
          <w:szCs w:val="22"/>
          <w:vertAlign w:val="superscript"/>
        </w:rPr>
        <w:t>2</w:t>
      </w:r>
      <w:r w:rsidRPr="00681080">
        <w:rPr>
          <w:b/>
          <w:bCs/>
          <w:sz w:val="22"/>
          <w:szCs w:val="22"/>
        </w:rPr>
        <w:t xml:space="preserve"> test of equal proportions (unequal n's)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80"/>
        <w:gridCol w:w="1080"/>
        <w:gridCol w:w="1080"/>
        <w:gridCol w:w="1080"/>
      </w:tblGrid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Test significance level, 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0.050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0.050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0.050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0.050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0.050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1 or 2 sided test?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2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        Smaller proportion, p</w:t>
            </w:r>
            <w:r w:rsidRPr="00681080">
              <w:rPr>
                <w:b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0.500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        Larger proportion, p</w:t>
            </w:r>
            <w:r w:rsidRPr="00681080">
              <w:rPr>
                <w:b/>
                <w:b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0.526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Power ( % 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  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  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  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  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  80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n</w:t>
            </w:r>
            <w:r w:rsidRPr="00681080">
              <w:rPr>
                <w:b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5143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5143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5143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5143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5143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n</w:t>
            </w:r>
            <w:r w:rsidRPr="00681080">
              <w:rPr>
                <w:b/>
                <w:b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7400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7400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7400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7400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7400</w:t>
            </w:r>
          </w:p>
        </w:tc>
      </w:tr>
    </w:tbl>
    <w:p w:rsidR="005A5890" w:rsidRPr="00681080" w:rsidRDefault="00AD001D" w:rsidP="00681080">
      <w:pPr>
        <w:rPr>
          <w:sz w:val="22"/>
          <w:szCs w:val="22"/>
        </w:rPr>
      </w:pPr>
      <w:r w:rsidRPr="00681080">
        <w:rPr>
          <w:sz w:val="22"/>
          <w:szCs w:val="22"/>
        </w:rPr>
        <w:t xml:space="preserve">A key aspect of the analysis will involve bicyclists.  Around 26% of the adults age 16 years and older are expected to be bicyclists.  The </w:t>
      </w:r>
      <w:r w:rsidR="006A075A" w:rsidRPr="00681080">
        <w:rPr>
          <w:sz w:val="22"/>
          <w:szCs w:val="22"/>
        </w:rPr>
        <w:t>bicyclist</w:t>
      </w:r>
      <w:r w:rsidRPr="00681080">
        <w:rPr>
          <w:sz w:val="22"/>
          <w:szCs w:val="22"/>
        </w:rPr>
        <w:t xml:space="preserve"> sample sizes are expected to be 2,500 and 2,340, </w:t>
      </w:r>
      <w:r w:rsidR="006A075A" w:rsidRPr="00681080">
        <w:rPr>
          <w:sz w:val="22"/>
          <w:szCs w:val="22"/>
        </w:rPr>
        <w:t>respectively</w:t>
      </w:r>
      <w:r w:rsidRPr="00681080">
        <w:rPr>
          <w:sz w:val="22"/>
          <w:szCs w:val="22"/>
        </w:rPr>
        <w:t xml:space="preserve">.  </w:t>
      </w:r>
      <w:r w:rsidR="006A075A" w:rsidRPr="00681080">
        <w:rPr>
          <w:sz w:val="22"/>
          <w:szCs w:val="22"/>
        </w:rPr>
        <w:t>Applying</w:t>
      </w:r>
      <w:r w:rsidRPr="00681080">
        <w:rPr>
          <w:sz w:val="22"/>
          <w:szCs w:val="22"/>
        </w:rPr>
        <w:t xml:space="preserve"> the design effects given above the effective sample sizes should be 1,924 and 1,337, respectively.  </w:t>
      </w:r>
    </w:p>
    <w:p w:rsidR="00AD001D" w:rsidRPr="00681080" w:rsidRDefault="00AD001D" w:rsidP="00681080">
      <w:pPr>
        <w:rPr>
          <w:sz w:val="22"/>
          <w:szCs w:val="22"/>
        </w:rPr>
      </w:pPr>
      <w:r w:rsidRPr="00681080">
        <w:rPr>
          <w:sz w:val="22"/>
          <w:szCs w:val="22"/>
        </w:rPr>
        <w:t>Table 2 shows the detectable effects for proportions ranging from 0.10 to 0.50.</w:t>
      </w:r>
    </w:p>
    <w:p w:rsidR="005A5890" w:rsidRPr="00681080" w:rsidRDefault="005A5890" w:rsidP="00681080">
      <w:pPr>
        <w:rPr>
          <w:b/>
          <w:bCs/>
          <w:sz w:val="22"/>
          <w:szCs w:val="22"/>
        </w:rPr>
      </w:pPr>
      <w:r w:rsidRPr="00681080">
        <w:rPr>
          <w:sz w:val="22"/>
          <w:szCs w:val="22"/>
        </w:rPr>
        <w:t xml:space="preserve"> </w:t>
      </w:r>
      <w:r w:rsidRPr="00681080">
        <w:rPr>
          <w:b/>
          <w:bCs/>
          <w:sz w:val="22"/>
          <w:szCs w:val="22"/>
        </w:rPr>
        <w:t xml:space="preserve"> </w:t>
      </w:r>
      <w:r w:rsidR="00AD001D" w:rsidRPr="00681080">
        <w:rPr>
          <w:b/>
          <w:bCs/>
          <w:sz w:val="22"/>
          <w:szCs w:val="22"/>
        </w:rPr>
        <w:t>Table 2. Bicyclist Sample t</w:t>
      </w:r>
      <w:r w:rsidRPr="00681080">
        <w:rPr>
          <w:b/>
          <w:bCs/>
          <w:sz w:val="22"/>
          <w:szCs w:val="22"/>
        </w:rPr>
        <w:t>wo group continuity corrected c</w:t>
      </w:r>
      <w:r w:rsidRPr="00681080">
        <w:rPr>
          <w:b/>
          <w:bCs/>
          <w:sz w:val="22"/>
          <w:szCs w:val="22"/>
          <w:vertAlign w:val="superscript"/>
        </w:rPr>
        <w:t>2</w:t>
      </w:r>
      <w:r w:rsidRPr="00681080">
        <w:rPr>
          <w:b/>
          <w:bCs/>
          <w:sz w:val="22"/>
          <w:szCs w:val="22"/>
        </w:rPr>
        <w:t xml:space="preserve"> test of equal proportions (unequal n's)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80"/>
        <w:gridCol w:w="1080"/>
        <w:gridCol w:w="1080"/>
        <w:gridCol w:w="1080"/>
      </w:tblGrid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Test significance level, 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0.050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0.050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0.050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0.050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0.050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1 or 2 sided test?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2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        Smaller proportion, p</w:t>
            </w:r>
            <w:r w:rsidRPr="00681080">
              <w:rPr>
                <w:b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0.500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        Larger proportion, p</w:t>
            </w:r>
            <w:r w:rsidRPr="00681080">
              <w:rPr>
                <w:b/>
                <w:b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0.347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  <w:highlight w:val="yellow"/>
              </w:rPr>
            </w:pPr>
            <w:r w:rsidRPr="00681080">
              <w:rPr>
                <w:sz w:val="22"/>
                <w:szCs w:val="22"/>
                <w:highlight w:val="yellow"/>
              </w:rPr>
              <w:t xml:space="preserve"> 0.550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Power ( % 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  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  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  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  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    80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n</w:t>
            </w:r>
            <w:r w:rsidRPr="00681080">
              <w:rPr>
                <w:b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1337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1337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1337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1337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1337</w:t>
            </w:r>
          </w:p>
        </w:tc>
      </w:tr>
      <w:tr w:rsidR="005A5890" w:rsidRPr="0068108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b/>
                <w:bCs/>
                <w:sz w:val="22"/>
                <w:szCs w:val="22"/>
              </w:rPr>
              <w:t xml:space="preserve">  n</w:t>
            </w:r>
            <w:r w:rsidRPr="00681080">
              <w:rPr>
                <w:b/>
                <w:b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1924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1924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1924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1924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A5890" w:rsidRPr="00681080" w:rsidRDefault="005A5890" w:rsidP="00681080">
            <w:pPr>
              <w:rPr>
                <w:sz w:val="22"/>
                <w:szCs w:val="22"/>
              </w:rPr>
            </w:pPr>
            <w:r w:rsidRPr="00681080">
              <w:rPr>
                <w:sz w:val="22"/>
                <w:szCs w:val="22"/>
              </w:rPr>
              <w:t xml:space="preserve"> 1924</w:t>
            </w:r>
          </w:p>
        </w:tc>
      </w:tr>
    </w:tbl>
    <w:p w:rsidR="005A5890" w:rsidRPr="00681080" w:rsidRDefault="005A5890" w:rsidP="00681080">
      <w:pPr>
        <w:rPr>
          <w:sz w:val="22"/>
          <w:szCs w:val="22"/>
        </w:rPr>
      </w:pPr>
    </w:p>
    <w:p w:rsidR="005A5890" w:rsidRDefault="005A5890"/>
    <w:sectPr w:rsidR="005A58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90"/>
    <w:rsid w:val="005A5890"/>
    <w:rsid w:val="005A5FE5"/>
    <w:rsid w:val="00681080"/>
    <w:rsid w:val="006A075A"/>
    <w:rsid w:val="00755C6C"/>
    <w:rsid w:val="00830A38"/>
    <w:rsid w:val="008A0665"/>
    <w:rsid w:val="00AD001D"/>
    <w:rsid w:val="00A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589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589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Battaglia</dc:creator>
  <cp:lastModifiedBy>alan.block</cp:lastModifiedBy>
  <cp:revision>2</cp:revision>
  <dcterms:created xsi:type="dcterms:W3CDTF">2012-06-22T16:15:00Z</dcterms:created>
  <dcterms:modified xsi:type="dcterms:W3CDTF">2012-06-22T16:15:00Z</dcterms:modified>
</cp:coreProperties>
</file>