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17" w:rsidRPr="00B6732A" w:rsidRDefault="00C50E17" w:rsidP="00C50E17">
      <w:pPr>
        <w:pStyle w:val="Title"/>
        <w:rPr>
          <w:rFonts w:ascii="Arial" w:hAnsi="Arial" w:cs="Arial"/>
          <w:sz w:val="22"/>
          <w:szCs w:val="22"/>
        </w:rPr>
      </w:pPr>
      <w:r w:rsidRPr="00B6732A">
        <w:rPr>
          <w:rFonts w:ascii="Arial" w:hAnsi="Arial" w:cs="Arial"/>
          <w:sz w:val="22"/>
          <w:szCs w:val="22"/>
        </w:rPr>
        <w:t>NON CREDIT QUALIFYING STREAMLINE REFINANCE</w:t>
      </w:r>
    </w:p>
    <w:p w:rsidR="00C50E17" w:rsidRPr="00B6732A" w:rsidRDefault="00C50E17" w:rsidP="00C50E17">
      <w:pPr>
        <w:pStyle w:val="Title"/>
        <w:rPr>
          <w:rFonts w:ascii="Arial" w:hAnsi="Arial" w:cs="Arial"/>
          <w:sz w:val="22"/>
          <w:szCs w:val="22"/>
        </w:rPr>
      </w:pPr>
      <w:r w:rsidRPr="00B6732A">
        <w:rPr>
          <w:rFonts w:ascii="Arial" w:hAnsi="Arial" w:cs="Arial"/>
          <w:sz w:val="22"/>
          <w:szCs w:val="22"/>
        </w:rPr>
        <w:t>WITHOUT AN APPRAISAL</w:t>
      </w:r>
    </w:p>
    <w:p w:rsidR="00C50E17" w:rsidRPr="00B6732A" w:rsidRDefault="00C50E17" w:rsidP="00C50E17">
      <w:pPr>
        <w:pStyle w:val="Title"/>
        <w:rPr>
          <w:rFonts w:ascii="Arial" w:hAnsi="Arial" w:cs="Arial"/>
          <w:sz w:val="22"/>
          <w:szCs w:val="22"/>
        </w:rPr>
      </w:pPr>
      <w:r w:rsidRPr="00B6732A">
        <w:rPr>
          <w:rFonts w:ascii="Arial" w:hAnsi="Arial" w:cs="Arial"/>
          <w:sz w:val="22"/>
          <w:szCs w:val="22"/>
        </w:rPr>
        <w:t xml:space="preserve">REFINANCE MAXIMUM MORTGAGE WORKSHEET </w:t>
      </w:r>
    </w:p>
    <w:p w:rsidR="00C50E17" w:rsidRDefault="00C50E17" w:rsidP="00C50E17">
      <w:pPr>
        <w:spacing w:before="0" w:beforeAutospacing="0" w:after="0"/>
        <w:ind w:right="477"/>
        <w:rPr>
          <w:rFonts w:ascii="Arial" w:hAnsi="Arial" w:cs="Arial"/>
        </w:rPr>
      </w:pPr>
    </w:p>
    <w:p w:rsidR="00C50E17" w:rsidRPr="00B6732A" w:rsidRDefault="00C50E17" w:rsidP="00C50E17">
      <w:pPr>
        <w:spacing w:before="0" w:beforeAutospacing="0" w:after="0"/>
        <w:ind w:right="477"/>
        <w:rPr>
          <w:rFonts w:ascii="Arial" w:hAnsi="Arial" w:cs="Arial"/>
        </w:rPr>
      </w:pPr>
      <w:r w:rsidRPr="00B6732A">
        <w:rPr>
          <w:rFonts w:ascii="Arial" w:hAnsi="Arial" w:cs="Arial"/>
        </w:rPr>
        <w:t>Use the Mortgage Credit Analysis Worksheet, Streamline with No Appraisal Required.</w:t>
      </w:r>
    </w:p>
    <w:p w:rsidR="00C50E17" w:rsidRDefault="00C50E17" w:rsidP="00C50E17">
      <w:pPr>
        <w:spacing w:before="0" w:beforeAutospacing="0" w:after="0"/>
        <w:ind w:right="477"/>
        <w:jc w:val="center"/>
        <w:rPr>
          <w:rFonts w:ascii="Arial" w:hAnsi="Arial" w:cs="Arial"/>
          <w:b/>
        </w:rPr>
      </w:pPr>
    </w:p>
    <w:p w:rsidR="00C50E17" w:rsidRDefault="00C50E17" w:rsidP="00C50E17">
      <w:pPr>
        <w:spacing w:before="0" w:beforeAutospacing="0" w:after="0"/>
        <w:ind w:right="477"/>
        <w:jc w:val="center"/>
        <w:rPr>
          <w:rFonts w:ascii="Arial" w:hAnsi="Arial" w:cs="Arial"/>
          <w:b/>
        </w:rPr>
      </w:pPr>
      <w:r w:rsidRPr="00B6732A">
        <w:rPr>
          <w:rFonts w:ascii="Arial" w:hAnsi="Arial" w:cs="Arial"/>
          <w:b/>
        </w:rPr>
        <w:t>The Lesser of:</w:t>
      </w:r>
    </w:p>
    <w:p w:rsidR="00C50E17" w:rsidRPr="00B6732A" w:rsidRDefault="00C50E17" w:rsidP="00C50E17">
      <w:pPr>
        <w:spacing w:before="0" w:beforeAutospacing="0" w:after="0"/>
        <w:ind w:right="477"/>
        <w:jc w:val="center"/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7380"/>
      </w:tblGrid>
      <w:tr w:rsidR="00C50E17" w:rsidRPr="00B6732A" w:rsidTr="00C011D9">
        <w:trPr>
          <w:cantSplit/>
        </w:trPr>
        <w:tc>
          <w:tcPr>
            <w:tcW w:w="2088" w:type="dxa"/>
          </w:tcPr>
          <w:p w:rsidR="00C50E17" w:rsidRPr="00B6732A" w:rsidRDefault="00C50E17" w:rsidP="00C011D9">
            <w:pPr>
              <w:spacing w:before="0" w:beforeAutospacing="0" w:after="0"/>
              <w:ind w:right="475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  <w:b/>
              </w:rPr>
              <w:t>4-A.</w:t>
            </w:r>
            <w:r w:rsidRPr="00B6732A">
              <w:rPr>
                <w:rFonts w:ascii="Arial" w:hAnsi="Arial" w:cs="Arial"/>
              </w:rPr>
              <w:t xml:space="preserve"> $</w:t>
            </w:r>
          </w:p>
        </w:tc>
        <w:tc>
          <w:tcPr>
            <w:tcW w:w="7380" w:type="dxa"/>
          </w:tcPr>
          <w:p w:rsidR="00C50E17" w:rsidRPr="00B6732A" w:rsidRDefault="00C50E17" w:rsidP="00C011D9">
            <w:pPr>
              <w:spacing w:before="0" w:beforeAutospacing="0" w:after="0"/>
              <w:ind w:right="475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  <w:b/>
              </w:rPr>
              <w:t xml:space="preserve">Original Principal Balance </w:t>
            </w:r>
            <w:r w:rsidRPr="00B6732A">
              <w:rPr>
                <w:rFonts w:ascii="Arial" w:hAnsi="Arial" w:cs="Arial"/>
              </w:rPr>
              <w:t>(from the HUD-1 or the Note for the original loan</w:t>
            </w:r>
          </w:p>
        </w:tc>
      </w:tr>
    </w:tbl>
    <w:p w:rsidR="00C50E17" w:rsidRDefault="00C50E17" w:rsidP="00C50E17">
      <w:pPr>
        <w:spacing w:before="0" w:beforeAutospacing="0" w:after="0"/>
        <w:ind w:right="477"/>
        <w:jc w:val="center"/>
        <w:rPr>
          <w:rFonts w:ascii="Arial" w:hAnsi="Arial" w:cs="Arial"/>
          <w:b/>
        </w:rPr>
      </w:pPr>
    </w:p>
    <w:p w:rsidR="00C50E17" w:rsidRDefault="00C50E17" w:rsidP="00C50E17">
      <w:pPr>
        <w:spacing w:before="0" w:beforeAutospacing="0" w:after="0"/>
        <w:ind w:right="477"/>
        <w:jc w:val="center"/>
        <w:rPr>
          <w:rFonts w:ascii="Arial" w:hAnsi="Arial" w:cs="Arial"/>
          <w:b/>
        </w:rPr>
      </w:pPr>
      <w:r w:rsidRPr="00B6732A">
        <w:rPr>
          <w:rFonts w:ascii="Arial" w:hAnsi="Arial" w:cs="Arial"/>
          <w:b/>
        </w:rPr>
        <w:t>OR</w:t>
      </w:r>
    </w:p>
    <w:p w:rsidR="00C50E17" w:rsidRPr="00B6732A" w:rsidRDefault="00C50E17" w:rsidP="00C50E17">
      <w:pPr>
        <w:spacing w:before="0" w:beforeAutospacing="0" w:after="0"/>
        <w:ind w:right="477"/>
        <w:jc w:val="center"/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7740"/>
      </w:tblGrid>
      <w:tr w:rsidR="00C50E17" w:rsidRPr="00B6732A" w:rsidTr="00C011D9">
        <w:trPr>
          <w:cantSplit/>
          <w:trHeight w:hRule="exact" w:val="936"/>
        </w:trPr>
        <w:tc>
          <w:tcPr>
            <w:tcW w:w="9468" w:type="dxa"/>
            <w:gridSpan w:val="2"/>
          </w:tcPr>
          <w:p w:rsidR="00C50E17" w:rsidRPr="00B6732A" w:rsidRDefault="00C50E17" w:rsidP="00C011D9">
            <w:pPr>
              <w:spacing w:before="0" w:beforeAutospacing="0" w:after="0"/>
              <w:ind w:right="475"/>
              <w:rPr>
                <w:rFonts w:ascii="Arial" w:hAnsi="Arial" w:cs="Arial"/>
                <w:b/>
              </w:rPr>
            </w:pPr>
            <w:r w:rsidRPr="00B6732A">
              <w:rPr>
                <w:rFonts w:ascii="Arial" w:hAnsi="Arial" w:cs="Arial"/>
                <w:b/>
              </w:rPr>
              <w:t xml:space="preserve">4-B.  EXISTING DEBT PLUS ALLOWABLE ADDITIONAL ITEMS </w:t>
            </w:r>
            <w:r w:rsidRPr="00B6732A">
              <w:rPr>
                <w:rFonts w:ascii="Arial" w:hAnsi="Arial" w:cs="Arial"/>
              </w:rPr>
              <w:t>(Subordinate liens and repairs are not eligible for inclusion in the maximum mortgage)</w:t>
            </w:r>
          </w:p>
        </w:tc>
      </w:tr>
      <w:tr w:rsidR="00C50E17" w:rsidRPr="00B6732A" w:rsidTr="00C011D9">
        <w:trPr>
          <w:cantSplit/>
          <w:trHeight w:hRule="exact" w:val="720"/>
        </w:trPr>
        <w:tc>
          <w:tcPr>
            <w:tcW w:w="1728" w:type="dxa"/>
          </w:tcPr>
          <w:p w:rsidR="00C50E17" w:rsidRPr="00B6732A" w:rsidRDefault="00C50E17" w:rsidP="00C011D9">
            <w:pPr>
              <w:spacing w:before="0" w:beforeAutospacing="0"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$</w:t>
            </w:r>
          </w:p>
        </w:tc>
        <w:tc>
          <w:tcPr>
            <w:tcW w:w="7740" w:type="dxa"/>
          </w:tcPr>
          <w:p w:rsidR="00C50E17" w:rsidRPr="00B6732A" w:rsidRDefault="00C50E17" w:rsidP="00C011D9">
            <w:pPr>
              <w:spacing w:before="0" w:beforeAutospacing="0"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Principal Balance on existing first lien + up to 30 days interested accrued for the current month on the existing loan</w:t>
            </w:r>
          </w:p>
        </w:tc>
      </w:tr>
      <w:tr w:rsidR="00C50E17" w:rsidRPr="00B6732A" w:rsidTr="00C011D9">
        <w:trPr>
          <w:cantSplit/>
          <w:trHeight w:hRule="exact" w:val="360"/>
        </w:trPr>
        <w:tc>
          <w:tcPr>
            <w:tcW w:w="1728" w:type="dxa"/>
          </w:tcPr>
          <w:p w:rsidR="00C50E17" w:rsidRPr="00B6732A" w:rsidRDefault="00C50E17" w:rsidP="00C011D9">
            <w:pPr>
              <w:spacing w:before="0" w:beforeAutospacing="0"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+</w:t>
            </w:r>
          </w:p>
        </w:tc>
        <w:tc>
          <w:tcPr>
            <w:tcW w:w="7740" w:type="dxa"/>
          </w:tcPr>
          <w:p w:rsidR="00C50E17" w:rsidRPr="00B6732A" w:rsidRDefault="00C50E17" w:rsidP="00C011D9">
            <w:pPr>
              <w:spacing w:before="0" w:beforeAutospacing="0"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Allowable borrower-paid closing costs (MCAW 7c)</w:t>
            </w:r>
          </w:p>
        </w:tc>
      </w:tr>
      <w:tr w:rsidR="00C50E17" w:rsidRPr="00B6732A" w:rsidTr="00C011D9">
        <w:trPr>
          <w:cantSplit/>
          <w:trHeight w:hRule="exact" w:val="720"/>
        </w:trPr>
        <w:tc>
          <w:tcPr>
            <w:tcW w:w="1728" w:type="dxa"/>
          </w:tcPr>
          <w:p w:rsidR="00C50E17" w:rsidRPr="00B6732A" w:rsidRDefault="00C50E17" w:rsidP="00C011D9">
            <w:pPr>
              <w:spacing w:before="0" w:beforeAutospacing="0"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+</w:t>
            </w:r>
          </w:p>
        </w:tc>
        <w:tc>
          <w:tcPr>
            <w:tcW w:w="7740" w:type="dxa"/>
          </w:tcPr>
          <w:p w:rsidR="00C50E17" w:rsidRPr="00B6732A" w:rsidRDefault="00C50E17" w:rsidP="00C011D9">
            <w:pPr>
              <w:spacing w:before="0" w:beforeAutospacing="0"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Prepaid Expenses (Per diem interest to end of month on new loan + hazard insurance deposits + real estate tax deposits, if applicable)</w:t>
            </w:r>
          </w:p>
        </w:tc>
      </w:tr>
      <w:tr w:rsidR="00C50E17" w:rsidRPr="00B6732A" w:rsidTr="00C011D9">
        <w:trPr>
          <w:cantSplit/>
          <w:trHeight w:hRule="exact" w:val="360"/>
        </w:trPr>
        <w:tc>
          <w:tcPr>
            <w:tcW w:w="1728" w:type="dxa"/>
          </w:tcPr>
          <w:p w:rsidR="00C50E17" w:rsidRPr="00B6732A" w:rsidRDefault="00C50E17" w:rsidP="00C011D9">
            <w:pPr>
              <w:spacing w:before="0" w:beforeAutospacing="0"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+                                  </w:t>
            </w:r>
          </w:p>
        </w:tc>
        <w:tc>
          <w:tcPr>
            <w:tcW w:w="7740" w:type="dxa"/>
          </w:tcPr>
          <w:p w:rsidR="00C50E17" w:rsidRPr="00B6732A" w:rsidRDefault="00C50E17" w:rsidP="00C011D9">
            <w:pPr>
              <w:spacing w:before="0" w:beforeAutospacing="0"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Reasonable Discount Points</w:t>
            </w:r>
          </w:p>
        </w:tc>
      </w:tr>
      <w:tr w:rsidR="00C50E17" w:rsidRPr="00B6732A" w:rsidTr="00C011D9">
        <w:trPr>
          <w:cantSplit/>
          <w:trHeight w:hRule="exact" w:val="360"/>
        </w:trPr>
        <w:tc>
          <w:tcPr>
            <w:tcW w:w="1728" w:type="dxa"/>
          </w:tcPr>
          <w:p w:rsidR="00C50E17" w:rsidRPr="00B6732A" w:rsidRDefault="00C50E17" w:rsidP="00C011D9">
            <w:pPr>
              <w:spacing w:before="0" w:beforeAutospacing="0"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</w:t>
            </w:r>
          </w:p>
          <w:p w:rsidR="00C50E17" w:rsidRPr="00B6732A" w:rsidRDefault="00C50E17" w:rsidP="00C011D9">
            <w:pPr>
              <w:spacing w:before="0" w:beforeAutospacing="0" w:after="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=</w:t>
            </w:r>
          </w:p>
        </w:tc>
        <w:tc>
          <w:tcPr>
            <w:tcW w:w="7740" w:type="dxa"/>
          </w:tcPr>
          <w:p w:rsidR="00C50E17" w:rsidRPr="00B6732A" w:rsidRDefault="00C50E17" w:rsidP="00C011D9">
            <w:pPr>
              <w:pStyle w:val="BodyText3"/>
              <w:ind w:right="477"/>
              <w:rPr>
                <w:rFonts w:cs="Arial"/>
                <w:sz w:val="22"/>
                <w:szCs w:val="22"/>
              </w:rPr>
            </w:pPr>
            <w:r w:rsidRPr="00B6732A">
              <w:rPr>
                <w:rFonts w:cs="Arial"/>
                <w:sz w:val="22"/>
                <w:szCs w:val="22"/>
              </w:rPr>
              <w:t>Maximum Mortgage Amount BEFORE LG Fee</w:t>
            </w:r>
          </w:p>
        </w:tc>
      </w:tr>
    </w:tbl>
    <w:p w:rsidR="00C50E17" w:rsidRDefault="00C50E17" w:rsidP="00C50E17">
      <w:pPr>
        <w:pStyle w:val="Heading3"/>
        <w:spacing w:before="0" w:beforeAutospacing="0"/>
        <w:ind w:right="477"/>
        <w:jc w:val="both"/>
        <w:rPr>
          <w:rFonts w:ascii="Arial" w:hAnsi="Arial" w:cs="Arial"/>
          <w:color w:val="auto"/>
        </w:rPr>
      </w:pPr>
    </w:p>
    <w:p w:rsidR="00C50E17" w:rsidRDefault="00C50E17" w:rsidP="00C50E17">
      <w:pPr>
        <w:pStyle w:val="Heading3"/>
        <w:spacing w:before="0" w:beforeAutospacing="0"/>
        <w:ind w:right="475"/>
        <w:jc w:val="both"/>
        <w:rPr>
          <w:rFonts w:ascii="Arial" w:hAnsi="Arial" w:cs="Arial"/>
          <w:color w:val="auto"/>
        </w:rPr>
      </w:pPr>
      <w:r w:rsidRPr="00B6732A">
        <w:rPr>
          <w:rFonts w:ascii="Arial" w:hAnsi="Arial" w:cs="Arial"/>
          <w:color w:val="auto"/>
        </w:rPr>
        <w:t xml:space="preserve">Maximum Mortgage before Loan Guarantee Fee is </w:t>
      </w:r>
      <w:proofErr w:type="gramStart"/>
      <w:r w:rsidRPr="00B6732A">
        <w:rPr>
          <w:rFonts w:ascii="Arial" w:hAnsi="Arial" w:cs="Arial"/>
          <w:color w:val="auto"/>
        </w:rPr>
        <w:t>Lesser</w:t>
      </w:r>
      <w:proofErr w:type="gramEnd"/>
      <w:r w:rsidRPr="00B6732A">
        <w:rPr>
          <w:rFonts w:ascii="Arial" w:hAnsi="Arial" w:cs="Arial"/>
          <w:color w:val="auto"/>
        </w:rPr>
        <w:t xml:space="preserve"> of 4-A or 4-B</w:t>
      </w:r>
    </w:p>
    <w:p w:rsidR="00C50E17" w:rsidRPr="00B6732A" w:rsidRDefault="00C50E17" w:rsidP="00C50E17">
      <w:pPr>
        <w:pStyle w:val="Heading3"/>
        <w:keepLines w:val="0"/>
        <w:numPr>
          <w:ilvl w:val="0"/>
          <w:numId w:val="1"/>
        </w:numPr>
        <w:tabs>
          <w:tab w:val="clear" w:pos="1440"/>
          <w:tab w:val="num" w:pos="360"/>
        </w:tabs>
        <w:spacing w:before="0" w:beforeAutospacing="0"/>
        <w:ind w:left="360" w:right="475"/>
        <w:rPr>
          <w:rFonts w:ascii="Arial" w:hAnsi="Arial" w:cs="Arial"/>
          <w:color w:val="auto"/>
        </w:rPr>
      </w:pPr>
      <w:r w:rsidRPr="00B6732A">
        <w:rPr>
          <w:rFonts w:ascii="Arial" w:hAnsi="Arial" w:cs="Arial"/>
          <w:color w:val="auto"/>
        </w:rPr>
        <w:t>Lowest of 4-A, 4-B, or FHA loan limit as of March 3, 2008 is placed on MCAW, Line 14g</w:t>
      </w:r>
    </w:p>
    <w:p w:rsidR="00C50E17" w:rsidRDefault="00C50E17" w:rsidP="00C50E17">
      <w:pPr>
        <w:pStyle w:val="Heading3"/>
        <w:keepLines w:val="0"/>
        <w:numPr>
          <w:ilvl w:val="0"/>
          <w:numId w:val="1"/>
        </w:numPr>
        <w:tabs>
          <w:tab w:val="clear" w:pos="1440"/>
          <w:tab w:val="num" w:pos="360"/>
        </w:tabs>
        <w:spacing w:before="0" w:beforeAutospacing="0"/>
        <w:ind w:left="360" w:right="475"/>
        <w:rPr>
          <w:rFonts w:ascii="Arial" w:hAnsi="Arial" w:cs="Arial"/>
          <w:color w:val="auto"/>
        </w:rPr>
      </w:pPr>
      <w:r w:rsidRPr="00B6732A">
        <w:rPr>
          <w:rFonts w:ascii="Arial" w:hAnsi="Arial" w:cs="Arial"/>
          <w:color w:val="auto"/>
        </w:rPr>
        <w:t>Payoff of Existing Mortgage is placed on MCAW, Line 14a</w:t>
      </w:r>
    </w:p>
    <w:p w:rsidR="00C50E17" w:rsidRDefault="00C50E17" w:rsidP="00C50E17">
      <w:pPr>
        <w:spacing w:before="0" w:beforeAutospacing="0" w:after="0"/>
        <w:ind w:right="475"/>
        <w:rPr>
          <w:rFonts w:ascii="Arial" w:hAnsi="Arial" w:cs="Arial"/>
          <w:b/>
        </w:rPr>
      </w:pPr>
    </w:p>
    <w:p w:rsidR="00C50E17" w:rsidRPr="00B6732A" w:rsidRDefault="00C50E17" w:rsidP="00C50E17">
      <w:pPr>
        <w:spacing w:before="0" w:beforeAutospacing="0" w:after="0"/>
        <w:ind w:left="0" w:right="475"/>
        <w:rPr>
          <w:rFonts w:ascii="Arial" w:hAnsi="Arial" w:cs="Arial"/>
        </w:rPr>
      </w:pPr>
      <w:r w:rsidRPr="00B6732A">
        <w:rPr>
          <w:rFonts w:ascii="Arial" w:hAnsi="Arial" w:cs="Arial"/>
          <w:b/>
        </w:rPr>
        <w:t xml:space="preserve">Section 184A to Section 184A Refinance </w:t>
      </w:r>
      <w:r w:rsidRPr="00B6732A">
        <w:rPr>
          <w:rFonts w:ascii="Arial" w:hAnsi="Arial" w:cs="Arial"/>
        </w:rPr>
        <w:t>(file must contain proof that existing mortgage is 184A guaranteed)</w:t>
      </w:r>
    </w:p>
    <w:p w:rsidR="00C50E17" w:rsidRPr="00B6732A" w:rsidRDefault="00C50E17" w:rsidP="00C50E17">
      <w:pPr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360" w:right="477" w:hanging="180"/>
        <w:rPr>
          <w:rFonts w:ascii="Arial" w:hAnsi="Arial" w:cs="Arial"/>
          <w:b/>
        </w:rPr>
      </w:pPr>
      <w:r w:rsidRPr="00B6732A">
        <w:rPr>
          <w:rFonts w:ascii="Arial" w:hAnsi="Arial" w:cs="Arial"/>
        </w:rPr>
        <w:t>Term of the new loan can be up to 30 years.</w:t>
      </w:r>
    </w:p>
    <w:p w:rsidR="00C50E17" w:rsidRPr="00B6732A" w:rsidRDefault="00C50E17" w:rsidP="00C50E17">
      <w:pPr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360" w:right="477" w:hanging="180"/>
        <w:rPr>
          <w:rFonts w:ascii="Arial" w:hAnsi="Arial" w:cs="Arial"/>
          <w:b/>
        </w:rPr>
      </w:pPr>
      <w:r w:rsidRPr="00B6732A">
        <w:rPr>
          <w:rFonts w:ascii="Arial" w:hAnsi="Arial" w:cs="Arial"/>
        </w:rPr>
        <w:t>Owner-occupant and DHHL institutional loans.</w:t>
      </w:r>
    </w:p>
    <w:p w:rsidR="00C50E17" w:rsidRPr="00B6732A" w:rsidRDefault="00C50E17" w:rsidP="00C50E17">
      <w:pPr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360" w:right="477" w:hanging="180"/>
        <w:rPr>
          <w:rFonts w:ascii="Arial" w:hAnsi="Arial" w:cs="Arial"/>
          <w:b/>
        </w:rPr>
      </w:pPr>
      <w:r w:rsidRPr="00B6732A">
        <w:rPr>
          <w:rFonts w:ascii="Arial" w:hAnsi="Arial" w:cs="Arial"/>
        </w:rPr>
        <w:t xml:space="preserve">An existing 30-year mortgage may be refinanced to a shorter term provided that the new monthly payment to principal and interest increases no more than $50.  </w:t>
      </w:r>
    </w:p>
    <w:p w:rsidR="00C50E17" w:rsidRPr="00B6732A" w:rsidRDefault="00C50E17" w:rsidP="00C50E17">
      <w:pPr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360" w:right="477" w:hanging="180"/>
        <w:rPr>
          <w:rFonts w:ascii="Arial" w:hAnsi="Arial" w:cs="Arial"/>
          <w:b/>
        </w:rPr>
      </w:pPr>
      <w:r w:rsidRPr="00B6732A">
        <w:rPr>
          <w:rFonts w:ascii="Arial" w:hAnsi="Arial" w:cs="Arial"/>
        </w:rPr>
        <w:t xml:space="preserve">Social Security numbers must be verified for all borrowers (see paragraph </w:t>
      </w:r>
      <w:proofErr w:type="gramStart"/>
      <w:r w:rsidRPr="00B6732A">
        <w:rPr>
          <w:rFonts w:ascii="Arial" w:hAnsi="Arial" w:cs="Arial"/>
        </w:rPr>
        <w:t>5.23c(</w:t>
      </w:r>
      <w:proofErr w:type="gramEnd"/>
      <w:r w:rsidRPr="00B6732A">
        <w:rPr>
          <w:rFonts w:ascii="Arial" w:hAnsi="Arial" w:cs="Arial"/>
        </w:rPr>
        <w:t>12)).</w:t>
      </w:r>
    </w:p>
    <w:p w:rsidR="00C50E17" w:rsidRPr="00B6732A" w:rsidRDefault="00C50E17" w:rsidP="00C50E17">
      <w:pPr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360" w:right="477" w:hanging="180"/>
        <w:rPr>
          <w:rFonts w:ascii="Arial" w:hAnsi="Arial" w:cs="Arial"/>
          <w:b/>
        </w:rPr>
      </w:pPr>
      <w:r w:rsidRPr="00B6732A">
        <w:rPr>
          <w:rFonts w:ascii="Arial" w:hAnsi="Arial" w:cs="Arial"/>
        </w:rPr>
        <w:t>VOM or other documentation is required which includes principal balance, date loan originated, names of original borrowers and type of loan.</w:t>
      </w:r>
    </w:p>
    <w:p w:rsidR="00C50E17" w:rsidRPr="00B6732A" w:rsidRDefault="00C50E17" w:rsidP="00C50E17">
      <w:pPr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360" w:right="477" w:hanging="180"/>
        <w:rPr>
          <w:rFonts w:ascii="Arial" w:hAnsi="Arial" w:cs="Arial"/>
          <w:b/>
        </w:rPr>
      </w:pPr>
      <w:r w:rsidRPr="00B6732A">
        <w:rPr>
          <w:rFonts w:ascii="Arial" w:hAnsi="Arial" w:cs="Arial"/>
        </w:rPr>
        <w:t>Subordinate financing may remain in place provided the combined loan to value does not exceed the appraised value.  A subordination agreement must be executed and recorded at closing.</w:t>
      </w:r>
    </w:p>
    <w:p w:rsidR="00C50E17" w:rsidRPr="00B6732A" w:rsidRDefault="00C50E17" w:rsidP="00C50E17">
      <w:pPr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360" w:right="477" w:hanging="180"/>
        <w:rPr>
          <w:rFonts w:ascii="Arial" w:hAnsi="Arial" w:cs="Arial"/>
          <w:b/>
        </w:rPr>
      </w:pPr>
      <w:r w:rsidRPr="00B6732A">
        <w:rPr>
          <w:rFonts w:ascii="Arial" w:hAnsi="Arial" w:cs="Arial"/>
        </w:rPr>
        <w:t>A pay-off statement from the previous lender showing the unpaid principal balance for the month of the closing for the existing loan must be included in the credit package.</w:t>
      </w:r>
    </w:p>
    <w:p w:rsidR="00A2025D" w:rsidRDefault="00C50E17" w:rsidP="00C50E17">
      <w:pPr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/>
        <w:ind w:left="360" w:right="477" w:hanging="180"/>
      </w:pPr>
      <w:r w:rsidRPr="00B6732A">
        <w:rPr>
          <w:rFonts w:ascii="Arial" w:hAnsi="Arial" w:cs="Arial"/>
        </w:rPr>
        <w:t>If an appraisal is ordered but the borrower decides to proceed with a streamline without an appraisal, the appraisal may be voided.</w:t>
      </w:r>
    </w:p>
    <w:sectPr w:rsidR="00A2025D" w:rsidSect="008D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15BB9"/>
    <w:multiLevelType w:val="hybridMultilevel"/>
    <w:tmpl w:val="FB9AD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B55DCC"/>
    <w:multiLevelType w:val="hybridMultilevel"/>
    <w:tmpl w:val="7AC2009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50E17"/>
    <w:rsid w:val="000D4AA9"/>
    <w:rsid w:val="000F5565"/>
    <w:rsid w:val="00111E0E"/>
    <w:rsid w:val="001349C9"/>
    <w:rsid w:val="0027418F"/>
    <w:rsid w:val="002C7A98"/>
    <w:rsid w:val="002D108C"/>
    <w:rsid w:val="002E5AE9"/>
    <w:rsid w:val="00335047"/>
    <w:rsid w:val="00341FE7"/>
    <w:rsid w:val="00355B27"/>
    <w:rsid w:val="00375EF2"/>
    <w:rsid w:val="003C67B0"/>
    <w:rsid w:val="003D0DD6"/>
    <w:rsid w:val="005D19CB"/>
    <w:rsid w:val="006F2DE4"/>
    <w:rsid w:val="00856E89"/>
    <w:rsid w:val="0088292B"/>
    <w:rsid w:val="008D2043"/>
    <w:rsid w:val="00956646"/>
    <w:rsid w:val="009B646F"/>
    <w:rsid w:val="009F3709"/>
    <w:rsid w:val="00A03D3A"/>
    <w:rsid w:val="00A53BEC"/>
    <w:rsid w:val="00A8759A"/>
    <w:rsid w:val="00C50E17"/>
    <w:rsid w:val="00C9607B"/>
    <w:rsid w:val="00CC0EE6"/>
    <w:rsid w:val="00CD1DD8"/>
    <w:rsid w:val="00D11E96"/>
    <w:rsid w:val="00D81292"/>
    <w:rsid w:val="00DD270C"/>
    <w:rsid w:val="00E96C40"/>
    <w:rsid w:val="00EA41A8"/>
    <w:rsid w:val="00EC1F13"/>
    <w:rsid w:val="00EF2E19"/>
    <w:rsid w:val="00F2325F"/>
    <w:rsid w:val="00F67CDA"/>
    <w:rsid w:val="00F731A9"/>
    <w:rsid w:val="00F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E17"/>
    <w:pPr>
      <w:spacing w:before="100" w:beforeAutospacing="1" w:after="240" w:line="240" w:lineRule="auto"/>
      <w:ind w:left="245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E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0E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qFormat/>
    <w:rsid w:val="00C50E17"/>
    <w:pPr>
      <w:spacing w:before="0" w:beforeAutospacing="0" w:after="0"/>
      <w:ind w:left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50E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C50E17"/>
    <w:pPr>
      <w:tabs>
        <w:tab w:val="left" w:pos="0"/>
      </w:tabs>
      <w:suppressAutoHyphens/>
      <w:overflowPunct w:val="0"/>
      <w:autoSpaceDE w:val="0"/>
      <w:autoSpaceDN w:val="0"/>
      <w:adjustRightInd w:val="0"/>
      <w:spacing w:before="0" w:beforeAutospacing="0" w:after="0"/>
      <w:ind w:left="0"/>
      <w:textAlignment w:val="baseline"/>
    </w:pPr>
    <w:rPr>
      <w:rFonts w:ascii="Arial" w:eastAsia="Times New Roman" w:hAnsi="Arial"/>
      <w:b/>
      <w:bCs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C50E17"/>
    <w:rPr>
      <w:rFonts w:ascii="Arial" w:eastAsia="Times New Roman" w:hAnsi="Arial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Company>Housing and Urban Development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H23132</dc:creator>
  <cp:keywords/>
  <dc:description/>
  <cp:lastModifiedBy>H23132</cp:lastModifiedBy>
  <cp:revision>1</cp:revision>
  <dcterms:created xsi:type="dcterms:W3CDTF">2012-10-15T15:07:00Z</dcterms:created>
  <dcterms:modified xsi:type="dcterms:W3CDTF">2012-10-15T15:09:00Z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-1269550149</vt:i4>
  </property>
  <property fmtid="{D5CDD505-2E9C-101B-9397-08002B2CF9AE}" pid="3" name="_NewReviewCycle">
    <vt:lpwstr/>
  </property>
  <property fmtid="{D5CDD505-2E9C-101B-9397-08002B2CF9AE}" pid="4" name="_EmailSubject">
    <vt:lpwstr>Section 184 PRA</vt:lpwstr>
  </property>
  <property fmtid="{D5CDD505-2E9C-101B-9397-08002B2CF9AE}" pid="5" name="_AuthorEmail">
    <vt:lpwstr>Nora.C.McArdle@hud.gov</vt:lpwstr>
  </property>
  <property fmtid="{D5CDD505-2E9C-101B-9397-08002B2CF9AE}" pid="6" name="_AuthorEmailDisplayName">
    <vt:lpwstr>McArdle, Nora C</vt:lpwstr>
  </property>
</Properties>
</file>