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57AF" w:rsidRPr="001A0A30" w:rsidRDefault="00580DE8" w:rsidP="003A708B">
      <w:pPr>
        <w:widowControl/>
        <w:jc w:val="center"/>
        <w:rPr>
          <w:rFonts w:ascii="Times New Roman" w:hAnsi="Times New Roman"/>
          <w:b/>
          <w:bCs/>
          <w:szCs w:val="24"/>
        </w:rPr>
      </w:pPr>
      <w:r w:rsidRPr="001A0A30">
        <w:rPr>
          <w:rFonts w:ascii="Times New Roman" w:hAnsi="Times New Roman"/>
          <w:b/>
          <w:bCs/>
          <w:szCs w:val="24"/>
        </w:rPr>
        <w:t>Supporting Statement for the</w:t>
      </w:r>
    </w:p>
    <w:p w:rsidR="000279C7" w:rsidRPr="001A0A30" w:rsidRDefault="00DB57AF" w:rsidP="003A708B">
      <w:pPr>
        <w:widowControl/>
        <w:jc w:val="center"/>
        <w:rPr>
          <w:rFonts w:ascii="Times New Roman" w:hAnsi="Times New Roman"/>
          <w:b/>
          <w:bCs/>
          <w:szCs w:val="24"/>
        </w:rPr>
      </w:pPr>
      <w:r w:rsidRPr="001A0A30">
        <w:rPr>
          <w:rFonts w:ascii="Times New Roman" w:hAnsi="Times New Roman"/>
          <w:b/>
          <w:bCs/>
          <w:szCs w:val="24"/>
        </w:rPr>
        <w:t>Country Exposure Report</w:t>
      </w:r>
      <w:r w:rsidR="000279C7" w:rsidRPr="001A0A30">
        <w:rPr>
          <w:rFonts w:ascii="Times New Roman" w:hAnsi="Times New Roman"/>
          <w:b/>
          <w:bCs/>
          <w:szCs w:val="24"/>
        </w:rPr>
        <w:t xml:space="preserve"> </w:t>
      </w:r>
      <w:r w:rsidRPr="001A0A30">
        <w:rPr>
          <w:rFonts w:ascii="Times New Roman" w:hAnsi="Times New Roman"/>
          <w:b/>
          <w:bCs/>
          <w:szCs w:val="24"/>
        </w:rPr>
        <w:t>(FFIEC</w:t>
      </w:r>
      <w:r w:rsidR="00DC68B5" w:rsidRPr="001A0A30">
        <w:rPr>
          <w:rFonts w:ascii="Times New Roman" w:hAnsi="Times New Roman"/>
          <w:b/>
        </w:rPr>
        <w:t> </w:t>
      </w:r>
      <w:r w:rsidRPr="001A0A30">
        <w:rPr>
          <w:rFonts w:ascii="Times New Roman" w:hAnsi="Times New Roman"/>
          <w:b/>
          <w:bCs/>
          <w:szCs w:val="24"/>
        </w:rPr>
        <w:t>009; OMB No. 7100-0035)</w:t>
      </w:r>
      <w:r w:rsidR="000279C7" w:rsidRPr="001A0A30">
        <w:rPr>
          <w:rFonts w:ascii="Times New Roman" w:hAnsi="Times New Roman"/>
          <w:b/>
          <w:bCs/>
          <w:szCs w:val="24"/>
        </w:rPr>
        <w:t xml:space="preserve"> </w:t>
      </w:r>
      <w:r w:rsidRPr="001A0A30">
        <w:rPr>
          <w:rFonts w:ascii="Times New Roman" w:hAnsi="Times New Roman"/>
          <w:b/>
          <w:bCs/>
          <w:szCs w:val="24"/>
        </w:rPr>
        <w:t>and</w:t>
      </w:r>
    </w:p>
    <w:p w:rsidR="00DB57AF" w:rsidRPr="001A0A30" w:rsidRDefault="00DB57AF" w:rsidP="003A708B">
      <w:pPr>
        <w:widowControl/>
        <w:jc w:val="center"/>
        <w:rPr>
          <w:rFonts w:ascii="Times New Roman" w:hAnsi="Times New Roman"/>
          <w:b/>
          <w:bCs/>
          <w:szCs w:val="24"/>
        </w:rPr>
      </w:pPr>
      <w:r w:rsidRPr="001A0A30">
        <w:rPr>
          <w:rFonts w:ascii="Times New Roman" w:hAnsi="Times New Roman"/>
          <w:b/>
          <w:bCs/>
          <w:szCs w:val="24"/>
        </w:rPr>
        <w:t>Country Exposure Information Report</w:t>
      </w:r>
      <w:r w:rsidR="000279C7" w:rsidRPr="001A0A30">
        <w:rPr>
          <w:rFonts w:ascii="Times New Roman" w:hAnsi="Times New Roman"/>
          <w:b/>
          <w:bCs/>
          <w:szCs w:val="24"/>
        </w:rPr>
        <w:t xml:space="preserve"> </w:t>
      </w:r>
      <w:r w:rsidRPr="001A0A30">
        <w:rPr>
          <w:rFonts w:ascii="Times New Roman" w:hAnsi="Times New Roman"/>
          <w:b/>
          <w:bCs/>
          <w:szCs w:val="24"/>
        </w:rPr>
        <w:t>(FFIEC</w:t>
      </w:r>
      <w:r w:rsidR="00DC68B5" w:rsidRPr="001A0A30">
        <w:rPr>
          <w:rFonts w:ascii="Times New Roman" w:hAnsi="Times New Roman"/>
          <w:b/>
        </w:rPr>
        <w:t> </w:t>
      </w:r>
      <w:r w:rsidRPr="001A0A30">
        <w:rPr>
          <w:rFonts w:ascii="Times New Roman" w:hAnsi="Times New Roman"/>
          <w:b/>
          <w:bCs/>
          <w:szCs w:val="24"/>
        </w:rPr>
        <w:t>009a; OMB No. 7100-0035)</w:t>
      </w:r>
    </w:p>
    <w:p w:rsidR="00DB57AF" w:rsidRPr="001A0A30" w:rsidRDefault="00DB57AF" w:rsidP="003A708B">
      <w:pPr>
        <w:widowControl/>
        <w:rPr>
          <w:rFonts w:ascii="Times New Roman" w:hAnsi="Times New Roman"/>
          <w:szCs w:val="24"/>
        </w:rPr>
      </w:pPr>
    </w:p>
    <w:p w:rsidR="00DB57AF" w:rsidRPr="001A0A30" w:rsidRDefault="00DB57AF" w:rsidP="003A708B">
      <w:pPr>
        <w:widowControl/>
        <w:rPr>
          <w:rFonts w:ascii="Times New Roman" w:hAnsi="Times New Roman"/>
          <w:b/>
          <w:szCs w:val="24"/>
        </w:rPr>
      </w:pPr>
      <w:r w:rsidRPr="001A0A30">
        <w:rPr>
          <w:rFonts w:ascii="Times New Roman" w:hAnsi="Times New Roman"/>
          <w:b/>
          <w:szCs w:val="24"/>
        </w:rPr>
        <w:t>Summary</w:t>
      </w:r>
    </w:p>
    <w:p w:rsidR="00DB57AF" w:rsidRPr="001A0A30" w:rsidRDefault="00DB57AF" w:rsidP="003A708B">
      <w:pPr>
        <w:widowControl/>
        <w:rPr>
          <w:rFonts w:ascii="Times New Roman" w:hAnsi="Times New Roman"/>
          <w:szCs w:val="24"/>
        </w:rPr>
      </w:pPr>
    </w:p>
    <w:p w:rsidR="00DB57AF" w:rsidRPr="001A0A30" w:rsidRDefault="00DB57AF" w:rsidP="003A708B">
      <w:pPr>
        <w:pStyle w:val="BodyTextIndent"/>
        <w:jc w:val="left"/>
        <w:rPr>
          <w:rFonts w:ascii="Times New Roman" w:hAnsi="Times New Roman"/>
          <w:szCs w:val="24"/>
        </w:rPr>
      </w:pPr>
      <w:r w:rsidRPr="001A0A30">
        <w:rPr>
          <w:rFonts w:ascii="Times New Roman" w:hAnsi="Times New Roman"/>
          <w:szCs w:val="24"/>
        </w:rPr>
        <w:t xml:space="preserve">The Board of Governors of the Federal Reserve System (Board) </w:t>
      </w:r>
      <w:r w:rsidR="00044C6F" w:rsidRPr="001A0A30">
        <w:rPr>
          <w:rFonts w:ascii="Times New Roman" w:hAnsi="Times New Roman"/>
        </w:rPr>
        <w:t xml:space="preserve">requests approval from the Office of Management and Budget (OMB) </w:t>
      </w:r>
      <w:r w:rsidRPr="001A0A30">
        <w:rPr>
          <w:rFonts w:ascii="Times New Roman" w:hAnsi="Times New Roman"/>
          <w:szCs w:val="24"/>
        </w:rPr>
        <w:t xml:space="preserve">to </w:t>
      </w:r>
      <w:r w:rsidR="007D702E">
        <w:rPr>
          <w:rFonts w:ascii="Times New Roman" w:hAnsi="Times New Roman"/>
          <w:szCs w:val="24"/>
        </w:rPr>
        <w:t>extend</w:t>
      </w:r>
      <w:r w:rsidR="00044C6F" w:rsidRPr="001A0A30">
        <w:rPr>
          <w:rFonts w:ascii="Times New Roman" w:hAnsi="Times New Roman"/>
          <w:szCs w:val="24"/>
        </w:rPr>
        <w:t xml:space="preserve">, without </w:t>
      </w:r>
      <w:r w:rsidR="007D702E">
        <w:rPr>
          <w:rFonts w:ascii="Times New Roman" w:hAnsi="Times New Roman"/>
          <w:szCs w:val="24"/>
        </w:rPr>
        <w:t>r</w:t>
      </w:r>
      <w:r w:rsidR="00044C6F" w:rsidRPr="001A0A30">
        <w:rPr>
          <w:rFonts w:ascii="Times New Roman" w:hAnsi="Times New Roman"/>
          <w:szCs w:val="24"/>
        </w:rPr>
        <w:t>e</w:t>
      </w:r>
      <w:r w:rsidR="007D702E">
        <w:rPr>
          <w:rFonts w:ascii="Times New Roman" w:hAnsi="Times New Roman"/>
          <w:szCs w:val="24"/>
        </w:rPr>
        <w:t>vi</w:t>
      </w:r>
      <w:r w:rsidR="00044C6F" w:rsidRPr="001A0A30">
        <w:rPr>
          <w:rFonts w:ascii="Times New Roman" w:hAnsi="Times New Roman"/>
          <w:szCs w:val="24"/>
        </w:rPr>
        <w:t>sion,</w:t>
      </w:r>
      <w:r w:rsidRPr="001A0A30">
        <w:rPr>
          <w:rFonts w:ascii="Times New Roman" w:hAnsi="Times New Roman"/>
          <w:szCs w:val="24"/>
        </w:rPr>
        <w:t xml:space="preserve"> the </w:t>
      </w:r>
      <w:r w:rsidR="00044C6F" w:rsidRPr="001A0A30">
        <w:rPr>
          <w:rFonts w:ascii="Times New Roman" w:hAnsi="Times New Roman"/>
        </w:rPr>
        <w:t xml:space="preserve">Federal Financial Institutions Examination Council (FFIEC) </w:t>
      </w:r>
      <w:r w:rsidR="00044C6F" w:rsidRPr="001A0A30">
        <w:rPr>
          <w:rFonts w:ascii="Times New Roman" w:hAnsi="Times New Roman"/>
          <w:szCs w:val="24"/>
        </w:rPr>
        <w:t>Country Exposure Report (FFIEC</w:t>
      </w:r>
      <w:r w:rsidR="00044C6F" w:rsidRPr="001A0A30">
        <w:rPr>
          <w:rFonts w:ascii="Times New Roman" w:hAnsi="Times New Roman"/>
        </w:rPr>
        <w:t> </w:t>
      </w:r>
      <w:r w:rsidR="00044C6F" w:rsidRPr="001A0A30">
        <w:rPr>
          <w:rFonts w:ascii="Times New Roman" w:hAnsi="Times New Roman"/>
          <w:szCs w:val="24"/>
        </w:rPr>
        <w:t xml:space="preserve">009; OMB No. 7100-0035) </w:t>
      </w:r>
      <w:r w:rsidRPr="001A0A30">
        <w:rPr>
          <w:rFonts w:ascii="Times New Roman" w:hAnsi="Times New Roman"/>
          <w:szCs w:val="24"/>
        </w:rPr>
        <w:t xml:space="preserve">and the </w:t>
      </w:r>
      <w:r w:rsidR="00044C6F" w:rsidRPr="001A0A30">
        <w:rPr>
          <w:rFonts w:ascii="Times New Roman" w:hAnsi="Times New Roman"/>
          <w:szCs w:val="24"/>
        </w:rPr>
        <w:t>Country Exposure Information Report (FFIEC</w:t>
      </w:r>
      <w:r w:rsidR="00044C6F" w:rsidRPr="001A0A30">
        <w:rPr>
          <w:rFonts w:ascii="Times New Roman" w:hAnsi="Times New Roman"/>
        </w:rPr>
        <w:t> </w:t>
      </w:r>
      <w:r w:rsidR="00044C6F" w:rsidRPr="001A0A30">
        <w:rPr>
          <w:rFonts w:ascii="Times New Roman" w:hAnsi="Times New Roman"/>
          <w:szCs w:val="24"/>
        </w:rPr>
        <w:t>009a; OMB No. 7100-0035)</w:t>
      </w:r>
      <w:r w:rsidR="00D04FE9" w:rsidRPr="001A0A30">
        <w:rPr>
          <w:rFonts w:ascii="Times New Roman" w:hAnsi="Times New Roman"/>
          <w:szCs w:val="24"/>
        </w:rPr>
        <w:t>.</w:t>
      </w:r>
    </w:p>
    <w:p w:rsidR="00DB57AF" w:rsidRPr="001A0A30" w:rsidRDefault="00DB57AF" w:rsidP="003A708B">
      <w:pPr>
        <w:widowControl/>
        <w:rPr>
          <w:rFonts w:ascii="Times New Roman" w:hAnsi="Times New Roman"/>
          <w:szCs w:val="24"/>
        </w:rPr>
      </w:pPr>
    </w:p>
    <w:p w:rsidR="00B37EBE" w:rsidRPr="001A0A30" w:rsidRDefault="00B37EBE" w:rsidP="003A708B">
      <w:pPr>
        <w:widowControl/>
        <w:ind w:firstLine="720"/>
        <w:rPr>
          <w:rFonts w:ascii="Times New Roman" w:hAnsi="Times New Roman"/>
          <w:szCs w:val="24"/>
        </w:rPr>
      </w:pPr>
      <w:r w:rsidRPr="001A0A30">
        <w:rPr>
          <w:rFonts w:ascii="Times New Roman" w:hAnsi="Times New Roman"/>
          <w:szCs w:val="24"/>
        </w:rPr>
        <w:t>The reporting and disclosure provisions of the International Lending Supervision Act of 1983 (</w:t>
      </w:r>
      <w:r w:rsidR="00BA7510">
        <w:rPr>
          <w:rFonts w:ascii="Times New Roman" w:hAnsi="Times New Roman"/>
          <w:szCs w:val="24"/>
        </w:rPr>
        <w:t xml:space="preserve">the </w:t>
      </w:r>
      <w:r w:rsidRPr="001A0A30">
        <w:rPr>
          <w:rFonts w:ascii="Times New Roman" w:hAnsi="Times New Roman"/>
          <w:szCs w:val="24"/>
        </w:rPr>
        <w:t>Act) authorize the Federal Reserve to require these reports.  The FFIEC mandates both reports and the Federal Deposit Insurance Corporation (FDIC) and the Office of the Comptroller of the Currency (OCC) collect identical reports from institutions under their supervision.  The FDIC and the OCC also are submitting a similar request for OMB review for banks under their supervision.</w:t>
      </w:r>
    </w:p>
    <w:p w:rsidR="00B37EBE" w:rsidRPr="001A0A30" w:rsidRDefault="00B37EBE" w:rsidP="003A708B">
      <w:pPr>
        <w:widowControl/>
        <w:rPr>
          <w:rFonts w:ascii="Times New Roman" w:hAnsi="Times New Roman"/>
          <w:szCs w:val="24"/>
        </w:rPr>
      </w:pPr>
    </w:p>
    <w:p w:rsidR="00E9143D" w:rsidRDefault="00F02CC8" w:rsidP="003A708B">
      <w:pPr>
        <w:pStyle w:val="BodyTextIndent"/>
        <w:jc w:val="left"/>
        <w:rPr>
          <w:rFonts w:ascii="Times New Roman" w:hAnsi="Times New Roman"/>
        </w:rPr>
      </w:pPr>
      <w:r>
        <w:rPr>
          <w:rFonts w:ascii="Times New Roman" w:hAnsi="Times New Roman"/>
          <w:szCs w:val="24"/>
        </w:rPr>
        <w:t>U.S. commercial banks and bank holding companies that meet certain criteria</w:t>
      </w:r>
      <w:r w:rsidRPr="001A0A30">
        <w:rPr>
          <w:rFonts w:ascii="Times New Roman" w:hAnsi="Times New Roman"/>
          <w:szCs w:val="24"/>
        </w:rPr>
        <w:t xml:space="preserve"> </w:t>
      </w:r>
      <w:r>
        <w:rPr>
          <w:rFonts w:ascii="Times New Roman" w:hAnsi="Times New Roman"/>
          <w:szCs w:val="24"/>
        </w:rPr>
        <w:t xml:space="preserve">file </w:t>
      </w:r>
      <w:r w:rsidRPr="001A0A30">
        <w:rPr>
          <w:rFonts w:ascii="Times New Roman" w:hAnsi="Times New Roman"/>
          <w:szCs w:val="24"/>
        </w:rPr>
        <w:t>quarterly</w:t>
      </w:r>
      <w:r>
        <w:rPr>
          <w:rFonts w:ascii="Times New Roman" w:hAnsi="Times New Roman"/>
          <w:szCs w:val="24"/>
        </w:rPr>
        <w:t xml:space="preserve"> t</w:t>
      </w:r>
      <w:r w:rsidR="00B1042D" w:rsidRPr="001A0A30">
        <w:rPr>
          <w:rFonts w:ascii="Times New Roman" w:hAnsi="Times New Roman"/>
          <w:szCs w:val="24"/>
        </w:rPr>
        <w:t xml:space="preserve">he Country Exposure Report (FFIEC 009) with the </w:t>
      </w:r>
      <w:r w:rsidR="001D18ED" w:rsidRPr="001A0A30">
        <w:rPr>
          <w:rFonts w:ascii="Times New Roman" w:hAnsi="Times New Roman"/>
          <w:szCs w:val="24"/>
        </w:rPr>
        <w:t xml:space="preserve">Board, </w:t>
      </w:r>
      <w:r w:rsidR="001D18ED" w:rsidRPr="001A0A30">
        <w:rPr>
          <w:rFonts w:ascii="Times New Roman" w:hAnsi="Times New Roman"/>
        </w:rPr>
        <w:t>the FDIC, and the OCC (</w:t>
      </w:r>
      <w:r w:rsidR="008F16BD" w:rsidRPr="00B2330D">
        <w:rPr>
          <w:rFonts w:ascii="Times New Roman" w:hAnsi="Times New Roman"/>
          <w:szCs w:val="24"/>
        </w:rPr>
        <w:t>collectively the agencies</w:t>
      </w:r>
      <w:r w:rsidR="001D18ED" w:rsidRPr="001A0A30">
        <w:rPr>
          <w:rFonts w:ascii="Times New Roman" w:hAnsi="Times New Roman"/>
        </w:rPr>
        <w:t>)</w:t>
      </w:r>
      <w:r w:rsidR="00B1042D" w:rsidRPr="001A0A30">
        <w:rPr>
          <w:rFonts w:ascii="Times New Roman" w:hAnsi="Times New Roman"/>
          <w:szCs w:val="24"/>
        </w:rPr>
        <w:t xml:space="preserve"> and provide information on international claims of U.S. banks and bank holding companies that is used for supervisory and analytical purposes.  The information is used to monitor country exposure of banks to determine the degree of </w:t>
      </w:r>
      <w:r w:rsidR="00CB1EA2">
        <w:rPr>
          <w:rFonts w:ascii="Times New Roman" w:hAnsi="Times New Roman"/>
          <w:szCs w:val="24"/>
        </w:rPr>
        <w:t xml:space="preserve">country </w:t>
      </w:r>
      <w:r w:rsidR="00B1042D" w:rsidRPr="001A0A30">
        <w:rPr>
          <w:rFonts w:ascii="Times New Roman" w:hAnsi="Times New Roman"/>
          <w:szCs w:val="24"/>
        </w:rPr>
        <w:t>risk</w:t>
      </w:r>
      <w:r w:rsidR="00CB1EA2">
        <w:rPr>
          <w:rFonts w:ascii="Times New Roman" w:hAnsi="Times New Roman"/>
          <w:szCs w:val="24"/>
        </w:rPr>
        <w:t xml:space="preserve"> and transfer risk</w:t>
      </w:r>
      <w:r w:rsidR="00B1042D" w:rsidRPr="001A0A30">
        <w:rPr>
          <w:rFonts w:ascii="Times New Roman" w:hAnsi="Times New Roman"/>
          <w:szCs w:val="24"/>
        </w:rPr>
        <w:t xml:space="preserve"> in their portfolios and the possible impact on </w:t>
      </w:r>
      <w:smartTag w:uri="urn:schemas-microsoft-com:office:smarttags" w:element="country-region">
        <w:smartTag w:uri="urn:schemas-microsoft-com:office:smarttags" w:element="place">
          <w:r w:rsidR="00B1042D" w:rsidRPr="001A0A30">
            <w:rPr>
              <w:rFonts w:ascii="Times New Roman" w:hAnsi="Times New Roman"/>
              <w:szCs w:val="24"/>
            </w:rPr>
            <w:t>U.S.</w:t>
          </w:r>
        </w:smartTag>
      </w:smartTag>
      <w:r w:rsidR="00B1042D" w:rsidRPr="001A0A30">
        <w:rPr>
          <w:rFonts w:ascii="Times New Roman" w:hAnsi="Times New Roman"/>
          <w:szCs w:val="24"/>
        </w:rPr>
        <w:t xml:space="preserve"> banks of adverse developments in particular countries.  The Country Exposure Information Report (FFIEC 009a) is a supplement to the FFIEC 009 and provides publicly available information on material foreign country exposures (all exposures to a country in excess of 1 percent of total assets or 20 percent of capital, whichever is less) of U.S. banks and bank holding companies that file the FFIEC 009 report. As part of the Country Exposure Information Report, reporting institutions must also furnish a list of countries in which they have lending exposures above 0.75 percent of total assets or 15 percent of total capital, whichever is less.</w:t>
      </w:r>
      <w:r w:rsidR="00900603">
        <w:rPr>
          <w:rFonts w:ascii="Times New Roman" w:hAnsi="Times New Roman"/>
          <w:szCs w:val="24"/>
        </w:rPr>
        <w:t xml:space="preserve">  </w:t>
      </w:r>
      <w:r w:rsidR="004F7F38" w:rsidRPr="007D03D6">
        <w:rPr>
          <w:rFonts w:ascii="Times New Roman" w:hAnsi="Times New Roman"/>
        </w:rPr>
        <w:t xml:space="preserve">The annual reporting burden for the </w:t>
      </w:r>
      <w:r w:rsidR="004F7F38" w:rsidRPr="001A0A30">
        <w:rPr>
          <w:rFonts w:ascii="Times New Roman" w:hAnsi="Times New Roman"/>
          <w:szCs w:val="24"/>
        </w:rPr>
        <w:t>FFIEC 009 and the FFIEC 009a</w:t>
      </w:r>
      <w:r w:rsidR="004F7F38" w:rsidRPr="007D03D6">
        <w:rPr>
          <w:rFonts w:ascii="Times New Roman" w:hAnsi="Times New Roman"/>
        </w:rPr>
        <w:t xml:space="preserve"> reports is estimated to be </w:t>
      </w:r>
      <w:r w:rsidR="000E1CFB">
        <w:rPr>
          <w:rFonts w:ascii="Times New Roman" w:hAnsi="Times New Roman"/>
        </w:rPr>
        <w:t>10,304</w:t>
      </w:r>
      <w:r w:rsidR="006178FA">
        <w:rPr>
          <w:rFonts w:ascii="Times New Roman" w:hAnsi="Times New Roman"/>
        </w:rPr>
        <w:t xml:space="preserve"> </w:t>
      </w:r>
      <w:r w:rsidR="004F7F38" w:rsidRPr="007D03D6">
        <w:rPr>
          <w:rFonts w:ascii="Times New Roman" w:hAnsi="Times New Roman"/>
        </w:rPr>
        <w:t>hours.</w:t>
      </w:r>
      <w:r w:rsidR="00446544">
        <w:rPr>
          <w:rFonts w:ascii="Times New Roman" w:hAnsi="Times New Roman"/>
        </w:rPr>
        <w:t xml:space="preserve"> </w:t>
      </w:r>
      <w:r w:rsidR="00446544" w:rsidRPr="001A0A30">
        <w:rPr>
          <w:rFonts w:ascii="Times New Roman" w:hAnsi="Times New Roman"/>
        </w:rPr>
        <w:t xml:space="preserve"> </w:t>
      </w:r>
    </w:p>
    <w:p w:rsidR="0096065D" w:rsidRDefault="0096065D" w:rsidP="003A708B">
      <w:pPr>
        <w:pStyle w:val="BodyTextIndent"/>
        <w:jc w:val="left"/>
        <w:rPr>
          <w:rFonts w:ascii="Times New Roman" w:hAnsi="Times New Roman"/>
        </w:rPr>
      </w:pPr>
    </w:p>
    <w:p w:rsidR="0096065D" w:rsidRPr="001A0A30" w:rsidRDefault="0096065D" w:rsidP="009606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rPr>
          <w:rFonts w:ascii="Times New Roman" w:hAnsi="Times New Roman"/>
          <w:szCs w:val="24"/>
        </w:rPr>
      </w:pPr>
      <w:r>
        <w:rPr>
          <w:rFonts w:cs="Courier New"/>
        </w:rPr>
        <w:t>The banking agencies are not planning any revisions at this time.  However, the banking agencies expect to propose revisions in the near future, including potential changes to the Country Codes used in the FFIEC 009 report in order to more closely match the Country Codes on the Department of the Treasury’s Treasury International Capital (TIC) reports (OMB Nos.: 1505-0016, 0017, 0018, 0019, 0020, and 0024).</w:t>
      </w:r>
    </w:p>
    <w:p w:rsidR="00DB57AF" w:rsidRPr="001A0A30" w:rsidRDefault="00DB57AF" w:rsidP="003A708B">
      <w:pPr>
        <w:widowControl/>
        <w:rPr>
          <w:rFonts w:ascii="Times New Roman" w:hAnsi="Times New Roman"/>
          <w:szCs w:val="24"/>
        </w:rPr>
      </w:pPr>
    </w:p>
    <w:p w:rsidR="00DB57AF" w:rsidRPr="001A0A30" w:rsidRDefault="00DB57AF" w:rsidP="003A708B">
      <w:pPr>
        <w:widowControl/>
        <w:rPr>
          <w:rFonts w:ascii="Times New Roman" w:hAnsi="Times New Roman"/>
          <w:b/>
          <w:szCs w:val="24"/>
        </w:rPr>
      </w:pPr>
      <w:r w:rsidRPr="001A0A30">
        <w:rPr>
          <w:rFonts w:ascii="Times New Roman" w:hAnsi="Times New Roman"/>
          <w:b/>
          <w:szCs w:val="24"/>
        </w:rPr>
        <w:t>Background and Justification</w:t>
      </w:r>
    </w:p>
    <w:p w:rsidR="000279C7" w:rsidRPr="001A0A30" w:rsidRDefault="000279C7" w:rsidP="003A708B">
      <w:pPr>
        <w:widowControl/>
        <w:rPr>
          <w:rFonts w:ascii="Times New Roman" w:hAnsi="Times New Roman"/>
          <w:szCs w:val="24"/>
        </w:rPr>
      </w:pPr>
    </w:p>
    <w:p w:rsidR="00DB57AF" w:rsidRPr="001A0A30" w:rsidRDefault="00DB57AF" w:rsidP="003A708B">
      <w:pPr>
        <w:widowControl/>
        <w:ind w:firstLine="720"/>
        <w:rPr>
          <w:rFonts w:ascii="Times New Roman" w:hAnsi="Times New Roman"/>
          <w:szCs w:val="24"/>
        </w:rPr>
      </w:pPr>
      <w:r w:rsidRPr="001A0A30">
        <w:rPr>
          <w:rFonts w:ascii="Times New Roman" w:hAnsi="Times New Roman"/>
          <w:szCs w:val="24"/>
        </w:rPr>
        <w:t>The banking agencies use the FFIEC</w:t>
      </w:r>
      <w:r w:rsidR="00580DE8" w:rsidRPr="001A0A30">
        <w:rPr>
          <w:rFonts w:ascii="Times New Roman" w:hAnsi="Times New Roman"/>
        </w:rPr>
        <w:t> </w:t>
      </w:r>
      <w:r w:rsidRPr="001A0A30">
        <w:rPr>
          <w:rFonts w:ascii="Times New Roman" w:hAnsi="Times New Roman"/>
          <w:szCs w:val="24"/>
        </w:rPr>
        <w:t xml:space="preserve">009 report in carrying out their supervisory and regulatory responsibilities to collect information on overseas lending activities of </w:t>
      </w:r>
      <w:smartTag w:uri="urn:schemas-microsoft-com:office:smarttags" w:element="country-region">
        <w:smartTag w:uri="urn:schemas-microsoft-com:office:smarttags" w:element="place">
          <w:r w:rsidRPr="001A0A30">
            <w:rPr>
              <w:rFonts w:ascii="Times New Roman" w:hAnsi="Times New Roman"/>
              <w:szCs w:val="24"/>
            </w:rPr>
            <w:t>U.S.</w:t>
          </w:r>
        </w:smartTag>
      </w:smartTag>
      <w:r w:rsidRPr="001A0A30">
        <w:rPr>
          <w:rFonts w:ascii="Times New Roman" w:hAnsi="Times New Roman"/>
          <w:szCs w:val="24"/>
        </w:rPr>
        <w:t xml:space="preserve"> banks to customers in individual countries.  The information is used to monitor and analyze banks</w:t>
      </w:r>
      <w:r w:rsidR="00973F66">
        <w:rPr>
          <w:rFonts w:ascii="Times New Roman" w:hAnsi="Times New Roman"/>
          <w:szCs w:val="24"/>
        </w:rPr>
        <w:t>’</w:t>
      </w:r>
      <w:r w:rsidRPr="001A0A30">
        <w:rPr>
          <w:rFonts w:ascii="Times New Roman" w:hAnsi="Times New Roman"/>
          <w:szCs w:val="24"/>
        </w:rPr>
        <w:t xml:space="preserve"> country exposure in order to determine the possible impact on individual banks and on the entire </w:t>
      </w:r>
      <w:smartTag w:uri="urn:schemas-microsoft-com:office:smarttags" w:element="country-region">
        <w:smartTag w:uri="urn:schemas-microsoft-com:office:smarttags" w:element="place">
          <w:r w:rsidRPr="001A0A30">
            <w:rPr>
              <w:rFonts w:ascii="Times New Roman" w:hAnsi="Times New Roman"/>
              <w:szCs w:val="24"/>
            </w:rPr>
            <w:t>U.S.</w:t>
          </w:r>
        </w:smartTag>
      </w:smartTag>
      <w:r w:rsidRPr="001A0A30">
        <w:rPr>
          <w:rFonts w:ascii="Times New Roman" w:hAnsi="Times New Roman"/>
          <w:szCs w:val="24"/>
        </w:rPr>
        <w:t xml:space="preserve"> banking system of adverse developments in particular countries.  It is a basic source of information on the geographic distribution of bank claims that is provided to other </w:t>
      </w:r>
      <w:smartTag w:uri="urn:schemas-microsoft-com:office:smarttags" w:element="country-region">
        <w:smartTag w:uri="urn:schemas-microsoft-com:office:smarttags" w:element="place">
          <w:r w:rsidRPr="001A0A30">
            <w:rPr>
              <w:rFonts w:ascii="Times New Roman" w:hAnsi="Times New Roman"/>
              <w:szCs w:val="24"/>
            </w:rPr>
            <w:t>U.S.</w:t>
          </w:r>
        </w:smartTag>
      </w:smartTag>
      <w:r w:rsidRPr="001A0A30">
        <w:rPr>
          <w:rFonts w:ascii="Times New Roman" w:hAnsi="Times New Roman"/>
          <w:szCs w:val="24"/>
        </w:rPr>
        <w:t xml:space="preserve"> </w:t>
      </w:r>
      <w:r w:rsidRPr="001A0A30">
        <w:rPr>
          <w:rFonts w:ascii="Times New Roman" w:hAnsi="Times New Roman"/>
          <w:szCs w:val="24"/>
        </w:rPr>
        <w:lastRenderedPageBreak/>
        <w:t xml:space="preserve">government agencies and to the </w:t>
      </w:r>
      <w:r w:rsidR="00CB1EA2" w:rsidRPr="001A0A30">
        <w:rPr>
          <w:rFonts w:ascii="Times New Roman" w:hAnsi="Times New Roman"/>
          <w:szCs w:val="24"/>
        </w:rPr>
        <w:t>Bank for International Settlements</w:t>
      </w:r>
      <w:r w:rsidR="00CB1EA2">
        <w:rPr>
          <w:rFonts w:ascii="Times New Roman" w:hAnsi="Times New Roman"/>
          <w:szCs w:val="24"/>
        </w:rPr>
        <w:t xml:space="preserve"> (</w:t>
      </w:r>
      <w:r w:rsidRPr="001A0A30">
        <w:rPr>
          <w:rFonts w:ascii="Times New Roman" w:hAnsi="Times New Roman"/>
          <w:szCs w:val="24"/>
        </w:rPr>
        <w:t>BIS</w:t>
      </w:r>
      <w:r w:rsidR="00CB1EA2">
        <w:rPr>
          <w:rFonts w:ascii="Times New Roman" w:hAnsi="Times New Roman"/>
          <w:szCs w:val="24"/>
        </w:rPr>
        <w:t>)</w:t>
      </w:r>
      <w:r w:rsidRPr="001A0A30">
        <w:rPr>
          <w:rFonts w:ascii="Times New Roman" w:hAnsi="Times New Roman"/>
          <w:szCs w:val="24"/>
        </w:rPr>
        <w:t>.  The information collected in the report is not available from any other source.</w:t>
      </w:r>
    </w:p>
    <w:p w:rsidR="00DB57AF" w:rsidRPr="001A0A30" w:rsidRDefault="00DB57AF" w:rsidP="003A708B">
      <w:pPr>
        <w:widowControl/>
        <w:rPr>
          <w:rFonts w:ascii="Times New Roman" w:hAnsi="Times New Roman"/>
          <w:szCs w:val="24"/>
        </w:rPr>
      </w:pPr>
    </w:p>
    <w:p w:rsidR="00DB57AF" w:rsidRPr="001A0A30" w:rsidRDefault="00DB57AF" w:rsidP="003A708B">
      <w:pPr>
        <w:widowControl/>
        <w:ind w:firstLine="720"/>
        <w:rPr>
          <w:rFonts w:ascii="Times New Roman" w:hAnsi="Times New Roman"/>
          <w:szCs w:val="24"/>
        </w:rPr>
      </w:pPr>
      <w:r w:rsidRPr="001A0A30">
        <w:rPr>
          <w:rFonts w:ascii="Times New Roman" w:hAnsi="Times New Roman"/>
          <w:szCs w:val="24"/>
        </w:rPr>
        <w:t>The FFIEC</w:t>
      </w:r>
      <w:r w:rsidR="00580DE8" w:rsidRPr="001A0A30">
        <w:rPr>
          <w:rFonts w:ascii="Times New Roman" w:hAnsi="Times New Roman"/>
        </w:rPr>
        <w:t> </w:t>
      </w:r>
      <w:r w:rsidRPr="001A0A30">
        <w:rPr>
          <w:rFonts w:ascii="Times New Roman" w:hAnsi="Times New Roman"/>
          <w:szCs w:val="24"/>
        </w:rPr>
        <w:t xml:space="preserve">009 report originated in </w:t>
      </w:r>
      <w:smartTag w:uri="urn:schemas-microsoft-com:office:smarttags" w:element="metricconverter">
        <w:smartTagPr>
          <w:attr w:name="ProductID" w:val="1977 in"/>
        </w:smartTagPr>
        <w:r w:rsidRPr="001A0A30">
          <w:rPr>
            <w:rFonts w:ascii="Times New Roman" w:hAnsi="Times New Roman"/>
            <w:szCs w:val="24"/>
          </w:rPr>
          <w:t>1977 in</w:t>
        </w:r>
      </w:smartTag>
      <w:r w:rsidRPr="001A0A30">
        <w:rPr>
          <w:rFonts w:ascii="Times New Roman" w:hAnsi="Times New Roman"/>
          <w:szCs w:val="24"/>
        </w:rPr>
        <w:t xml:space="preserve"> response to concerns about the lack of information on banks</w:t>
      </w:r>
      <w:r w:rsidR="00973F66">
        <w:rPr>
          <w:rFonts w:ascii="Times New Roman" w:hAnsi="Times New Roman"/>
          <w:szCs w:val="24"/>
        </w:rPr>
        <w:t>’</w:t>
      </w:r>
      <w:r w:rsidRPr="001A0A30">
        <w:rPr>
          <w:rFonts w:ascii="Times New Roman" w:hAnsi="Times New Roman"/>
          <w:szCs w:val="24"/>
        </w:rPr>
        <w:t xml:space="preserve"> country risk exposures, in view of the substantial growth in international lending by U.S. banks in the mid-1970s.  In 1984 the FFIEC increased the frequency from semiannual to quarterly, implementing reporting requirements of the International Lending Supervision Act, to obtain more frequent and timely data on changes in the composition and maturity of banks</w:t>
      </w:r>
      <w:r w:rsidR="00973F66">
        <w:rPr>
          <w:rFonts w:ascii="Times New Roman" w:hAnsi="Times New Roman"/>
          <w:szCs w:val="24"/>
        </w:rPr>
        <w:t>’</w:t>
      </w:r>
      <w:r w:rsidRPr="001A0A30">
        <w:rPr>
          <w:rFonts w:ascii="Times New Roman" w:hAnsi="Times New Roman"/>
          <w:szCs w:val="24"/>
        </w:rPr>
        <w:t xml:space="preserve"> loan portfolios subject to transfer risk.  The FFIEC revised the report in 1985 to provide greater sector detail on third-country guarantors for country redistribution of guaranteed claims and to obtain information on trade finance.</w:t>
      </w:r>
    </w:p>
    <w:p w:rsidR="00DB57AF" w:rsidRPr="001A0A30" w:rsidRDefault="00DB57AF" w:rsidP="003A708B">
      <w:pPr>
        <w:widowControl/>
        <w:rPr>
          <w:rFonts w:ascii="Times New Roman" w:hAnsi="Times New Roman"/>
          <w:szCs w:val="24"/>
        </w:rPr>
      </w:pPr>
    </w:p>
    <w:p w:rsidR="00DB57AF" w:rsidRDefault="00DB57AF" w:rsidP="003A708B">
      <w:pPr>
        <w:widowControl/>
        <w:ind w:firstLine="720"/>
        <w:rPr>
          <w:rFonts w:ascii="Times New Roman" w:hAnsi="Times New Roman"/>
          <w:szCs w:val="24"/>
        </w:rPr>
      </w:pPr>
      <w:r w:rsidRPr="001A0A30">
        <w:rPr>
          <w:rFonts w:ascii="Times New Roman" w:hAnsi="Times New Roman"/>
          <w:szCs w:val="24"/>
        </w:rPr>
        <w:t>The FFIEC</w:t>
      </w:r>
      <w:r w:rsidR="00580DE8" w:rsidRPr="001A0A30">
        <w:rPr>
          <w:rFonts w:ascii="Times New Roman" w:hAnsi="Times New Roman"/>
        </w:rPr>
        <w:t> </w:t>
      </w:r>
      <w:r w:rsidRPr="001A0A30">
        <w:rPr>
          <w:rFonts w:ascii="Times New Roman" w:hAnsi="Times New Roman"/>
          <w:szCs w:val="24"/>
        </w:rPr>
        <w:t>009a report was implemented in 1984 as a supplement to the FFIEC</w:t>
      </w:r>
      <w:r w:rsidR="00580DE8" w:rsidRPr="001A0A30">
        <w:rPr>
          <w:rFonts w:ascii="Times New Roman" w:hAnsi="Times New Roman"/>
        </w:rPr>
        <w:t> </w:t>
      </w:r>
      <w:r w:rsidRPr="001A0A30">
        <w:rPr>
          <w:rFonts w:ascii="Times New Roman" w:hAnsi="Times New Roman"/>
          <w:szCs w:val="24"/>
        </w:rPr>
        <w:t>009 report to provide public disclosure of information regarding material country risk exposure in accordance with the Act.  Section 907 of the Act provides that the federal banking agencies shall require and publicly disclose certain reports from banking institutions with foreign country exposure.  The F</w:t>
      </w:r>
      <w:r w:rsidR="00E609CA">
        <w:rPr>
          <w:rFonts w:ascii="Times New Roman" w:hAnsi="Times New Roman"/>
          <w:szCs w:val="24"/>
        </w:rPr>
        <w:t>F</w:t>
      </w:r>
      <w:r w:rsidRPr="001A0A30">
        <w:rPr>
          <w:rFonts w:ascii="Times New Roman" w:hAnsi="Times New Roman"/>
          <w:szCs w:val="24"/>
        </w:rPr>
        <w:t>IEC</w:t>
      </w:r>
      <w:r w:rsidR="00580DE8" w:rsidRPr="001A0A30">
        <w:rPr>
          <w:rFonts w:ascii="Times New Roman" w:hAnsi="Times New Roman"/>
        </w:rPr>
        <w:t> </w:t>
      </w:r>
      <w:r w:rsidRPr="001A0A30">
        <w:rPr>
          <w:rFonts w:ascii="Times New Roman" w:hAnsi="Times New Roman"/>
          <w:szCs w:val="24"/>
        </w:rPr>
        <w:t xml:space="preserve">009a is available to the public and requires respondents to report all exposures to a country in excess of 1 percent of the total assets </w:t>
      </w:r>
      <w:r w:rsidRPr="00E609CA">
        <w:rPr>
          <w:rFonts w:ascii="Times New Roman" w:hAnsi="Times New Roman"/>
          <w:szCs w:val="24"/>
        </w:rPr>
        <w:t>or</w:t>
      </w:r>
      <w:r w:rsidRPr="001A0A30">
        <w:rPr>
          <w:rFonts w:ascii="Times New Roman" w:hAnsi="Times New Roman"/>
          <w:szCs w:val="24"/>
        </w:rPr>
        <w:t xml:space="preserve"> 20 percent of capital of the reporting institution, whichever is less.  In addition, each institution furnishes a list of the countries in which exposures are between </w:t>
      </w:r>
      <w:r w:rsidR="00A452DC">
        <w:rPr>
          <w:rFonts w:ascii="Times New Roman" w:hAnsi="Times New Roman"/>
          <w:szCs w:val="24"/>
        </w:rPr>
        <w:t>0</w:t>
      </w:r>
      <w:r w:rsidRPr="001A0A30">
        <w:rPr>
          <w:rFonts w:ascii="Times New Roman" w:hAnsi="Times New Roman"/>
          <w:szCs w:val="24"/>
        </w:rPr>
        <w:t>.75 percent and 1 percent of total assets or between 15 and 20 percent of capital, whichever is less.  Data are reported net of adjustments for transfers of exposure, f</w:t>
      </w:r>
      <w:r w:rsidR="00BA7510">
        <w:rPr>
          <w:rFonts w:ascii="Times New Roman" w:hAnsi="Times New Roman"/>
          <w:szCs w:val="24"/>
        </w:rPr>
        <w:t xml:space="preserve">or example through guarantees. </w:t>
      </w:r>
      <w:r w:rsidRPr="001A0A30">
        <w:rPr>
          <w:rFonts w:ascii="Times New Roman" w:hAnsi="Times New Roman"/>
          <w:szCs w:val="24"/>
        </w:rPr>
        <w:t>The FFIEC initially established this reporting basis, which is consistent with the approach taken by the Securities and Exchange Commission, following consultation with bankers.</w:t>
      </w:r>
    </w:p>
    <w:p w:rsidR="00E609CA" w:rsidRDefault="00E609CA" w:rsidP="003A708B">
      <w:pPr>
        <w:widowControl/>
        <w:rPr>
          <w:rFonts w:ascii="Times New Roman" w:hAnsi="Times New Roman"/>
          <w:szCs w:val="24"/>
        </w:rPr>
      </w:pPr>
    </w:p>
    <w:p w:rsidR="00B97D0C" w:rsidRPr="00B97D0C" w:rsidRDefault="00B97D0C" w:rsidP="003A708B">
      <w:pPr>
        <w:widowControl/>
        <w:ind w:firstLine="720"/>
        <w:rPr>
          <w:rFonts w:ascii="Times New Roman" w:hAnsi="Times New Roman"/>
          <w:szCs w:val="24"/>
        </w:rPr>
      </w:pPr>
      <w:r>
        <w:rPr>
          <w:rFonts w:ascii="Times New Roman" w:hAnsi="Times New Roman"/>
          <w:szCs w:val="24"/>
        </w:rPr>
        <w:t xml:space="preserve">Effective </w:t>
      </w:r>
      <w:r>
        <w:t>with the March 31, 1997, report date, t</w:t>
      </w:r>
      <w:r w:rsidRPr="00B97D0C">
        <w:rPr>
          <w:rFonts w:ascii="Times New Roman" w:hAnsi="Times New Roman"/>
          <w:szCs w:val="24"/>
        </w:rPr>
        <w:t xml:space="preserve">he </w:t>
      </w:r>
      <w:r>
        <w:t>FFIEC</w:t>
      </w:r>
      <w:r w:rsidRPr="00B97D0C">
        <w:rPr>
          <w:rFonts w:ascii="Times New Roman" w:hAnsi="Times New Roman"/>
          <w:szCs w:val="24"/>
        </w:rPr>
        <w:t xml:space="preserve"> </w:t>
      </w:r>
      <w:r>
        <w:rPr>
          <w:rFonts w:ascii="Times New Roman" w:hAnsi="Times New Roman"/>
          <w:szCs w:val="24"/>
        </w:rPr>
        <w:t>incorporated</w:t>
      </w:r>
      <w:r w:rsidRPr="00B97D0C">
        <w:rPr>
          <w:rFonts w:ascii="Times New Roman" w:hAnsi="Times New Roman"/>
          <w:szCs w:val="24"/>
        </w:rPr>
        <w:t xml:space="preserve"> the following revisions to the FFIEC</w:t>
      </w:r>
      <w:r w:rsidR="000C7CB4">
        <w:rPr>
          <w:rFonts w:ascii="Times New Roman" w:hAnsi="Times New Roman"/>
          <w:szCs w:val="24"/>
        </w:rPr>
        <w:t> </w:t>
      </w:r>
      <w:r w:rsidRPr="00B97D0C">
        <w:rPr>
          <w:rFonts w:ascii="Times New Roman" w:hAnsi="Times New Roman"/>
          <w:szCs w:val="24"/>
        </w:rPr>
        <w:t>009:  add</w:t>
      </w:r>
      <w:r>
        <w:rPr>
          <w:rFonts w:ascii="Times New Roman" w:hAnsi="Times New Roman"/>
          <w:szCs w:val="24"/>
        </w:rPr>
        <w:t>ed</w:t>
      </w:r>
      <w:r w:rsidRPr="00B97D0C">
        <w:rPr>
          <w:rFonts w:ascii="Times New Roman" w:hAnsi="Times New Roman"/>
          <w:szCs w:val="24"/>
        </w:rPr>
        <w:t xml:space="preserve"> a new schedule to collect information on the respondent</w:t>
      </w:r>
      <w:r w:rsidR="00973F66">
        <w:rPr>
          <w:rFonts w:ascii="Times New Roman" w:hAnsi="Times New Roman"/>
          <w:szCs w:val="24"/>
        </w:rPr>
        <w:t>’</w:t>
      </w:r>
      <w:r w:rsidRPr="00B97D0C">
        <w:rPr>
          <w:rFonts w:ascii="Times New Roman" w:hAnsi="Times New Roman"/>
          <w:szCs w:val="24"/>
        </w:rPr>
        <w:t>s country exposure resulting from revaluation gains on foreign exchange and derivative contracts held in the trading account; add</w:t>
      </w:r>
      <w:r>
        <w:rPr>
          <w:rFonts w:ascii="Times New Roman" w:hAnsi="Times New Roman"/>
          <w:szCs w:val="24"/>
        </w:rPr>
        <w:t>ed</w:t>
      </w:r>
      <w:r w:rsidRPr="00B97D0C">
        <w:rPr>
          <w:rFonts w:ascii="Times New Roman" w:hAnsi="Times New Roman"/>
          <w:szCs w:val="24"/>
        </w:rPr>
        <w:t xml:space="preserve"> a new item, Assets Held for Trading (new </w:t>
      </w:r>
      <w:r w:rsidR="003F6369">
        <w:rPr>
          <w:rFonts w:ascii="Times New Roman" w:hAnsi="Times New Roman"/>
          <w:szCs w:val="24"/>
        </w:rPr>
        <w:t>c</w:t>
      </w:r>
      <w:r w:rsidRPr="00B97D0C">
        <w:rPr>
          <w:rFonts w:ascii="Times New Roman" w:hAnsi="Times New Roman"/>
          <w:szCs w:val="24"/>
        </w:rPr>
        <w:t>olumn</w:t>
      </w:r>
      <w:r w:rsidR="003D023D">
        <w:rPr>
          <w:rFonts w:ascii="Times New Roman" w:hAnsi="Times New Roman"/>
          <w:szCs w:val="24"/>
        </w:rPr>
        <w:t> </w:t>
      </w:r>
      <w:r w:rsidRPr="00B97D0C">
        <w:rPr>
          <w:rFonts w:ascii="Times New Roman" w:hAnsi="Times New Roman"/>
          <w:szCs w:val="24"/>
        </w:rPr>
        <w:t>20); delete</w:t>
      </w:r>
      <w:r>
        <w:rPr>
          <w:rFonts w:ascii="Times New Roman" w:hAnsi="Times New Roman"/>
          <w:szCs w:val="24"/>
        </w:rPr>
        <w:t>d</w:t>
      </w:r>
      <w:r w:rsidRPr="00B97D0C">
        <w:rPr>
          <w:rFonts w:ascii="Times New Roman" w:hAnsi="Times New Roman"/>
          <w:szCs w:val="24"/>
        </w:rPr>
        <w:t xml:space="preserve"> an item, Amount of Claims that Represent Guarantees Issued by the U.S. Government and its Agencies (old </w:t>
      </w:r>
      <w:r w:rsidR="003F6369">
        <w:rPr>
          <w:rFonts w:ascii="Times New Roman" w:hAnsi="Times New Roman"/>
          <w:szCs w:val="24"/>
        </w:rPr>
        <w:t>c</w:t>
      </w:r>
      <w:r w:rsidRPr="00B97D0C">
        <w:rPr>
          <w:rFonts w:ascii="Times New Roman" w:hAnsi="Times New Roman"/>
          <w:szCs w:val="24"/>
        </w:rPr>
        <w:t>olumn</w:t>
      </w:r>
      <w:r w:rsidR="003D023D">
        <w:rPr>
          <w:rFonts w:ascii="Times New Roman" w:hAnsi="Times New Roman"/>
          <w:szCs w:val="24"/>
        </w:rPr>
        <w:t> </w:t>
      </w:r>
      <w:r w:rsidRPr="00B97D0C">
        <w:rPr>
          <w:rFonts w:ascii="Times New Roman" w:hAnsi="Times New Roman"/>
          <w:szCs w:val="24"/>
        </w:rPr>
        <w:t>13); combine</w:t>
      </w:r>
      <w:r>
        <w:rPr>
          <w:rFonts w:ascii="Times New Roman" w:hAnsi="Times New Roman"/>
          <w:szCs w:val="24"/>
        </w:rPr>
        <w:t>d</w:t>
      </w:r>
      <w:r w:rsidRPr="00B97D0C">
        <w:rPr>
          <w:rFonts w:ascii="Times New Roman" w:hAnsi="Times New Roman"/>
          <w:szCs w:val="24"/>
        </w:rPr>
        <w:t xml:space="preserve"> three columns, Commercial Letters of Credit (old </w:t>
      </w:r>
      <w:r w:rsidR="003F6369">
        <w:rPr>
          <w:rFonts w:ascii="Times New Roman" w:hAnsi="Times New Roman"/>
          <w:szCs w:val="24"/>
        </w:rPr>
        <w:t>c</w:t>
      </w:r>
      <w:r w:rsidRPr="00B97D0C">
        <w:rPr>
          <w:rFonts w:ascii="Times New Roman" w:hAnsi="Times New Roman"/>
          <w:szCs w:val="24"/>
        </w:rPr>
        <w:t>olumn</w:t>
      </w:r>
      <w:r w:rsidR="003D023D">
        <w:rPr>
          <w:rFonts w:ascii="Times New Roman" w:hAnsi="Times New Roman"/>
          <w:szCs w:val="24"/>
        </w:rPr>
        <w:t> </w:t>
      </w:r>
      <w:r w:rsidRPr="00B97D0C">
        <w:rPr>
          <w:rFonts w:ascii="Times New Roman" w:hAnsi="Times New Roman"/>
          <w:szCs w:val="24"/>
        </w:rPr>
        <w:t xml:space="preserve">20),  Standby Letters of Credit and Risk Participations Purchased (old </w:t>
      </w:r>
      <w:r w:rsidR="003F6369">
        <w:rPr>
          <w:rFonts w:ascii="Times New Roman" w:hAnsi="Times New Roman"/>
          <w:szCs w:val="24"/>
        </w:rPr>
        <w:t>c</w:t>
      </w:r>
      <w:r w:rsidRPr="00B97D0C">
        <w:rPr>
          <w:rFonts w:ascii="Times New Roman" w:hAnsi="Times New Roman"/>
          <w:szCs w:val="24"/>
        </w:rPr>
        <w:t>olumn</w:t>
      </w:r>
      <w:r w:rsidR="003D023D">
        <w:rPr>
          <w:rFonts w:ascii="Times New Roman" w:hAnsi="Times New Roman"/>
          <w:szCs w:val="24"/>
        </w:rPr>
        <w:t> </w:t>
      </w:r>
      <w:r w:rsidRPr="00B97D0C">
        <w:rPr>
          <w:rFonts w:ascii="Times New Roman" w:hAnsi="Times New Roman"/>
          <w:szCs w:val="24"/>
        </w:rPr>
        <w:t xml:space="preserve">21), and All Other Commitments (old </w:t>
      </w:r>
      <w:r w:rsidR="003F6369">
        <w:rPr>
          <w:rFonts w:ascii="Times New Roman" w:hAnsi="Times New Roman"/>
          <w:szCs w:val="24"/>
        </w:rPr>
        <w:t>c</w:t>
      </w:r>
      <w:r w:rsidRPr="00B97D0C">
        <w:rPr>
          <w:rFonts w:ascii="Times New Roman" w:hAnsi="Times New Roman"/>
          <w:szCs w:val="24"/>
        </w:rPr>
        <w:t>olumn</w:t>
      </w:r>
      <w:r w:rsidR="003D023D">
        <w:rPr>
          <w:rFonts w:ascii="Times New Roman" w:hAnsi="Times New Roman"/>
          <w:szCs w:val="24"/>
        </w:rPr>
        <w:t> </w:t>
      </w:r>
      <w:r w:rsidRPr="00B97D0C">
        <w:rPr>
          <w:rFonts w:ascii="Times New Roman" w:hAnsi="Times New Roman"/>
          <w:szCs w:val="24"/>
        </w:rPr>
        <w:t xml:space="preserve">22), into one column Commitments (new </w:t>
      </w:r>
      <w:r w:rsidR="003F6369">
        <w:rPr>
          <w:rFonts w:ascii="Times New Roman" w:hAnsi="Times New Roman"/>
          <w:szCs w:val="24"/>
        </w:rPr>
        <w:t>c</w:t>
      </w:r>
      <w:r w:rsidRPr="00B97D0C">
        <w:rPr>
          <w:rFonts w:ascii="Times New Roman" w:hAnsi="Times New Roman"/>
          <w:szCs w:val="24"/>
        </w:rPr>
        <w:t>olumn</w:t>
      </w:r>
      <w:r w:rsidR="003D023D">
        <w:rPr>
          <w:rFonts w:ascii="Times New Roman" w:hAnsi="Times New Roman"/>
          <w:szCs w:val="24"/>
        </w:rPr>
        <w:t> </w:t>
      </w:r>
      <w:r w:rsidRPr="00B97D0C">
        <w:rPr>
          <w:rFonts w:ascii="Times New Roman" w:hAnsi="Times New Roman"/>
          <w:szCs w:val="24"/>
        </w:rPr>
        <w:t>15); redefine</w:t>
      </w:r>
      <w:r>
        <w:rPr>
          <w:rFonts w:ascii="Times New Roman" w:hAnsi="Times New Roman"/>
          <w:szCs w:val="24"/>
        </w:rPr>
        <w:t>d</w:t>
      </w:r>
      <w:r w:rsidRPr="00B97D0C">
        <w:rPr>
          <w:rFonts w:ascii="Times New Roman" w:hAnsi="Times New Roman"/>
          <w:szCs w:val="24"/>
        </w:rPr>
        <w:t xml:space="preserve"> the column Trade Financing to contain all items reported in </w:t>
      </w:r>
      <w:r w:rsidR="003F6369">
        <w:rPr>
          <w:rFonts w:ascii="Times New Roman" w:hAnsi="Times New Roman"/>
          <w:szCs w:val="24"/>
        </w:rPr>
        <w:t>c</w:t>
      </w:r>
      <w:r w:rsidRPr="00B97D0C">
        <w:rPr>
          <w:rFonts w:ascii="Times New Roman" w:hAnsi="Times New Roman"/>
          <w:szCs w:val="24"/>
        </w:rPr>
        <w:t>olumn</w:t>
      </w:r>
      <w:r w:rsidR="003D023D">
        <w:rPr>
          <w:rFonts w:ascii="Times New Roman" w:hAnsi="Times New Roman"/>
          <w:szCs w:val="24"/>
        </w:rPr>
        <w:t> </w:t>
      </w:r>
      <w:r w:rsidRPr="00B97D0C">
        <w:rPr>
          <w:rFonts w:ascii="Times New Roman" w:hAnsi="Times New Roman"/>
          <w:szCs w:val="24"/>
        </w:rPr>
        <w:t xml:space="preserve">9, Trade Financing and </w:t>
      </w:r>
      <w:r w:rsidR="003F6369">
        <w:rPr>
          <w:rFonts w:ascii="Times New Roman" w:hAnsi="Times New Roman"/>
          <w:szCs w:val="24"/>
        </w:rPr>
        <w:t>c</w:t>
      </w:r>
      <w:r w:rsidRPr="00B97D0C">
        <w:rPr>
          <w:rFonts w:ascii="Times New Roman" w:hAnsi="Times New Roman"/>
          <w:szCs w:val="24"/>
        </w:rPr>
        <w:t>olumn</w:t>
      </w:r>
      <w:r w:rsidR="003D023D">
        <w:rPr>
          <w:rFonts w:ascii="Times New Roman" w:hAnsi="Times New Roman"/>
          <w:szCs w:val="24"/>
        </w:rPr>
        <w:t> </w:t>
      </w:r>
      <w:r w:rsidRPr="00B97D0C">
        <w:rPr>
          <w:rFonts w:ascii="Times New Roman" w:hAnsi="Times New Roman"/>
          <w:szCs w:val="24"/>
        </w:rPr>
        <w:t>20, Commercial Letters of Credit and renumber</w:t>
      </w:r>
      <w:r>
        <w:rPr>
          <w:rFonts w:ascii="Times New Roman" w:hAnsi="Times New Roman"/>
          <w:szCs w:val="24"/>
        </w:rPr>
        <w:t>ed</w:t>
      </w:r>
      <w:r w:rsidRPr="00B97D0C">
        <w:rPr>
          <w:rFonts w:ascii="Times New Roman" w:hAnsi="Times New Roman"/>
          <w:szCs w:val="24"/>
        </w:rPr>
        <w:t xml:space="preserve"> as </w:t>
      </w:r>
      <w:r w:rsidR="003F6369">
        <w:rPr>
          <w:rFonts w:ascii="Times New Roman" w:hAnsi="Times New Roman"/>
          <w:szCs w:val="24"/>
        </w:rPr>
        <w:t>c</w:t>
      </w:r>
      <w:r w:rsidRPr="00B97D0C">
        <w:rPr>
          <w:rFonts w:ascii="Times New Roman" w:hAnsi="Times New Roman"/>
          <w:szCs w:val="24"/>
        </w:rPr>
        <w:t>olumn</w:t>
      </w:r>
      <w:r w:rsidR="003D023D">
        <w:rPr>
          <w:rFonts w:ascii="Times New Roman" w:hAnsi="Times New Roman"/>
          <w:szCs w:val="24"/>
        </w:rPr>
        <w:t> </w:t>
      </w:r>
      <w:r w:rsidRPr="00B97D0C">
        <w:rPr>
          <w:rFonts w:ascii="Times New Roman" w:hAnsi="Times New Roman"/>
          <w:szCs w:val="24"/>
        </w:rPr>
        <w:t>21;  combine</w:t>
      </w:r>
      <w:r>
        <w:rPr>
          <w:rFonts w:ascii="Times New Roman" w:hAnsi="Times New Roman"/>
          <w:szCs w:val="24"/>
        </w:rPr>
        <w:t>d</w:t>
      </w:r>
      <w:r w:rsidRPr="00B97D0C">
        <w:rPr>
          <w:rFonts w:ascii="Times New Roman" w:hAnsi="Times New Roman"/>
          <w:szCs w:val="24"/>
        </w:rPr>
        <w:t xml:space="preserve"> columns for the breakdown of time remaining to maturity for total claims on foreign residents for Over One Year to Two Years and Over Two Years to Five Years into a single column for Over One Year to Five Years; and revise</w:t>
      </w:r>
      <w:r>
        <w:rPr>
          <w:rFonts w:ascii="Times New Roman" w:hAnsi="Times New Roman"/>
          <w:szCs w:val="24"/>
        </w:rPr>
        <w:t>d</w:t>
      </w:r>
      <w:r w:rsidRPr="00B97D0C">
        <w:rPr>
          <w:rFonts w:ascii="Times New Roman" w:hAnsi="Times New Roman"/>
          <w:szCs w:val="24"/>
        </w:rPr>
        <w:t xml:space="preserve"> the instructions to require all claims consisting of available-for-sale securities to be reported at amortized cost rather than at fair value.  In addition, minor instructional clarifications and a revision of the reporting form to reflect country code changes </w:t>
      </w:r>
      <w:r>
        <w:rPr>
          <w:rFonts w:ascii="Times New Roman" w:hAnsi="Times New Roman"/>
          <w:szCs w:val="24"/>
        </w:rPr>
        <w:t>were changed</w:t>
      </w:r>
      <w:r w:rsidRPr="00B97D0C">
        <w:rPr>
          <w:rFonts w:ascii="Times New Roman" w:hAnsi="Times New Roman"/>
          <w:szCs w:val="24"/>
        </w:rPr>
        <w:t>.</w:t>
      </w:r>
      <w:r>
        <w:rPr>
          <w:rFonts w:ascii="Times New Roman" w:hAnsi="Times New Roman"/>
          <w:szCs w:val="24"/>
        </w:rPr>
        <w:t xml:space="preserve">  The</w:t>
      </w:r>
      <w:r w:rsidRPr="00B97D0C">
        <w:rPr>
          <w:rFonts w:ascii="Times New Roman" w:hAnsi="Times New Roman"/>
          <w:szCs w:val="24"/>
        </w:rPr>
        <w:t xml:space="preserve"> revisions to the FFIEC</w:t>
      </w:r>
      <w:r w:rsidR="000C7CB4">
        <w:rPr>
          <w:rFonts w:ascii="Times New Roman" w:hAnsi="Times New Roman"/>
          <w:szCs w:val="24"/>
        </w:rPr>
        <w:t> </w:t>
      </w:r>
      <w:r w:rsidRPr="00B97D0C">
        <w:rPr>
          <w:rFonts w:ascii="Times New Roman" w:hAnsi="Times New Roman"/>
          <w:szCs w:val="24"/>
        </w:rPr>
        <w:t>009a report include</w:t>
      </w:r>
      <w:r w:rsidR="000C7CB4">
        <w:rPr>
          <w:rFonts w:ascii="Times New Roman" w:hAnsi="Times New Roman"/>
          <w:szCs w:val="24"/>
        </w:rPr>
        <w:t>d</w:t>
      </w:r>
      <w:r w:rsidRPr="00B97D0C">
        <w:rPr>
          <w:rFonts w:ascii="Times New Roman" w:hAnsi="Times New Roman"/>
          <w:szCs w:val="24"/>
        </w:rPr>
        <w:t xml:space="preserve"> the addition of a new column to collect the Amount of Cross-border Claims Outstanding from Derivative Products after Mandated Adjustments for Transfer of Exposure and Amount of Net Local Country claims from Derivative Products (new </w:t>
      </w:r>
      <w:r w:rsidR="003F6369">
        <w:rPr>
          <w:rFonts w:ascii="Times New Roman" w:hAnsi="Times New Roman"/>
          <w:szCs w:val="24"/>
        </w:rPr>
        <w:t>c</w:t>
      </w:r>
      <w:r w:rsidRPr="00B97D0C">
        <w:rPr>
          <w:rFonts w:ascii="Times New Roman" w:hAnsi="Times New Roman"/>
          <w:szCs w:val="24"/>
        </w:rPr>
        <w:t>olumn</w:t>
      </w:r>
      <w:r w:rsidR="003D023D">
        <w:rPr>
          <w:rFonts w:ascii="Times New Roman" w:hAnsi="Times New Roman"/>
          <w:szCs w:val="24"/>
        </w:rPr>
        <w:t> </w:t>
      </w:r>
      <w:r w:rsidRPr="00B97D0C">
        <w:rPr>
          <w:rFonts w:ascii="Times New Roman" w:hAnsi="Times New Roman"/>
          <w:szCs w:val="24"/>
        </w:rPr>
        <w:t>3).</w:t>
      </w:r>
    </w:p>
    <w:p w:rsidR="00B97D0C" w:rsidRDefault="00B97D0C" w:rsidP="003A708B">
      <w:pPr>
        <w:widowControl/>
        <w:rPr>
          <w:rFonts w:ascii="Times New Roman" w:hAnsi="Times New Roman"/>
          <w:szCs w:val="24"/>
        </w:rPr>
      </w:pPr>
    </w:p>
    <w:p w:rsidR="006472CF" w:rsidRDefault="00E609CA" w:rsidP="003A708B">
      <w:pPr>
        <w:widowControl/>
        <w:ind w:firstLine="720"/>
      </w:pPr>
      <w:r>
        <w:rPr>
          <w:rFonts w:ascii="Times New Roman" w:hAnsi="Times New Roman"/>
          <w:szCs w:val="24"/>
        </w:rPr>
        <w:t xml:space="preserve">Effective </w:t>
      </w:r>
      <w:r>
        <w:t xml:space="preserve">with the </w:t>
      </w:r>
      <w:smartTag w:uri="urn:schemas-microsoft-com:office:smarttags" w:element="date">
        <w:smartTagPr>
          <w:attr w:name="Year" w:val="2003"/>
          <w:attr w:name="Day" w:val="31"/>
          <w:attr w:name="Month" w:val="3"/>
        </w:smartTagPr>
        <w:r>
          <w:t>March 31, 2003</w:t>
        </w:r>
      </w:smartTag>
      <w:r>
        <w:t>, report date, the FFIEC required electronic submission of all FFIEC</w:t>
      </w:r>
      <w:r w:rsidR="008F21A7" w:rsidRPr="001A0A30">
        <w:rPr>
          <w:rFonts w:ascii="Times New Roman" w:hAnsi="Times New Roman"/>
        </w:rPr>
        <w:t> </w:t>
      </w:r>
      <w:r>
        <w:t xml:space="preserve">009 and </w:t>
      </w:r>
      <w:r w:rsidR="008F21A7">
        <w:t>FFIEC</w:t>
      </w:r>
      <w:r w:rsidR="008F21A7" w:rsidRPr="001A0A30">
        <w:rPr>
          <w:rFonts w:ascii="Times New Roman" w:hAnsi="Times New Roman"/>
        </w:rPr>
        <w:t> </w:t>
      </w:r>
      <w:r>
        <w:t>009a reports.</w:t>
      </w:r>
    </w:p>
    <w:p w:rsidR="004F4232" w:rsidRDefault="004F4232" w:rsidP="003A708B">
      <w:pPr>
        <w:widowControl/>
      </w:pPr>
    </w:p>
    <w:p w:rsidR="00594CD9" w:rsidRDefault="00CC0CD1" w:rsidP="003A708B">
      <w:pPr>
        <w:ind w:firstLine="720"/>
        <w:rPr>
          <w:rFonts w:ascii="Times New Roman" w:hAnsi="Times New Roman"/>
          <w:szCs w:val="24"/>
        </w:rPr>
      </w:pPr>
      <w:r>
        <w:rPr>
          <w:rFonts w:ascii="Times New Roman" w:hAnsi="Times New Roman"/>
          <w:szCs w:val="24"/>
        </w:rPr>
        <w:lastRenderedPageBreak/>
        <w:t xml:space="preserve">Effective </w:t>
      </w:r>
      <w:r>
        <w:t xml:space="preserve">with the </w:t>
      </w:r>
      <w:smartTag w:uri="urn:schemas-microsoft-com:office:smarttags" w:element="date">
        <w:smartTagPr>
          <w:attr w:name="Year" w:val="2006"/>
          <w:attr w:name="Day" w:val="31"/>
          <w:attr w:name="Month" w:val="3"/>
        </w:smartTagPr>
        <w:r>
          <w:t>March 31, 2006</w:t>
        </w:r>
      </w:smartTag>
      <w:r>
        <w:t xml:space="preserve">, report date, </w:t>
      </w:r>
      <w:r w:rsidR="00BD4827">
        <w:t>t</w:t>
      </w:r>
      <w:r w:rsidR="00594CD9" w:rsidRPr="001A0A30">
        <w:rPr>
          <w:rFonts w:ascii="Times New Roman" w:hAnsi="Times New Roman"/>
          <w:szCs w:val="24"/>
        </w:rPr>
        <w:t xml:space="preserve">he </w:t>
      </w:r>
      <w:r w:rsidR="00BD4827">
        <w:rPr>
          <w:rFonts w:ascii="Times New Roman" w:hAnsi="Times New Roman"/>
          <w:szCs w:val="24"/>
        </w:rPr>
        <w:t>FFIEC</w:t>
      </w:r>
      <w:r w:rsidR="00594CD9" w:rsidRPr="001A0A30">
        <w:rPr>
          <w:rFonts w:ascii="Times New Roman" w:hAnsi="Times New Roman"/>
          <w:szCs w:val="24"/>
        </w:rPr>
        <w:t xml:space="preserve"> revise</w:t>
      </w:r>
      <w:r w:rsidR="00BD4827">
        <w:rPr>
          <w:rFonts w:ascii="Times New Roman" w:hAnsi="Times New Roman"/>
          <w:szCs w:val="24"/>
        </w:rPr>
        <w:t>d</w:t>
      </w:r>
      <w:r w:rsidR="00594CD9" w:rsidRPr="001A0A30">
        <w:rPr>
          <w:rFonts w:ascii="Times New Roman" w:hAnsi="Times New Roman"/>
          <w:szCs w:val="24"/>
        </w:rPr>
        <w:t xml:space="preserve"> the FFIEC 009 in order to harmonize </w:t>
      </w:r>
      <w:smartTag w:uri="urn:schemas-microsoft-com:office:smarttags" w:element="country-region">
        <w:smartTag w:uri="urn:schemas-microsoft-com:office:smarttags" w:element="place">
          <w:r w:rsidR="00594CD9" w:rsidRPr="001A0A30">
            <w:rPr>
              <w:rFonts w:ascii="Times New Roman" w:hAnsi="Times New Roman"/>
              <w:szCs w:val="24"/>
            </w:rPr>
            <w:t>U.S.</w:t>
          </w:r>
        </w:smartTag>
      </w:smartTag>
      <w:r w:rsidR="00594CD9" w:rsidRPr="001A0A30">
        <w:rPr>
          <w:rFonts w:ascii="Times New Roman" w:hAnsi="Times New Roman"/>
          <w:szCs w:val="24"/>
        </w:rPr>
        <w:t xml:space="preserve"> data with data on cross-border exposures collected by other countries and disseminated by the BIS as their </w:t>
      </w:r>
      <w:r w:rsidR="00973F66">
        <w:rPr>
          <w:rFonts w:ascii="Times New Roman" w:hAnsi="Times New Roman"/>
          <w:szCs w:val="24"/>
        </w:rPr>
        <w:t>“</w:t>
      </w:r>
      <w:r w:rsidR="00594CD9" w:rsidRPr="001A0A30">
        <w:rPr>
          <w:rFonts w:ascii="Times New Roman" w:hAnsi="Times New Roman"/>
          <w:szCs w:val="24"/>
        </w:rPr>
        <w:t>consolidated banking statistics.</w:t>
      </w:r>
      <w:r w:rsidR="00973F66">
        <w:rPr>
          <w:rFonts w:ascii="Times New Roman" w:hAnsi="Times New Roman"/>
          <w:szCs w:val="24"/>
        </w:rPr>
        <w:t>”</w:t>
      </w:r>
      <w:r w:rsidR="00594CD9" w:rsidRPr="001A0A30">
        <w:rPr>
          <w:rFonts w:ascii="Times New Roman" w:hAnsi="Times New Roman"/>
          <w:szCs w:val="24"/>
        </w:rPr>
        <w:t xml:space="preserve">  The revisions provide</w:t>
      </w:r>
      <w:r w:rsidR="00BD4827">
        <w:rPr>
          <w:rFonts w:ascii="Times New Roman" w:hAnsi="Times New Roman"/>
          <w:szCs w:val="24"/>
        </w:rPr>
        <w:t>d</w:t>
      </w:r>
      <w:r w:rsidR="00594CD9" w:rsidRPr="001A0A30">
        <w:rPr>
          <w:rFonts w:ascii="Times New Roman" w:hAnsi="Times New Roman"/>
          <w:szCs w:val="24"/>
        </w:rPr>
        <w:t xml:space="preserve"> additional information about </w:t>
      </w:r>
      <w:smartTag w:uri="urn:schemas-microsoft-com:office:smarttags" w:element="country-region">
        <w:smartTag w:uri="urn:schemas-microsoft-com:office:smarttags" w:element="place">
          <w:r w:rsidR="00594CD9" w:rsidRPr="001A0A30">
            <w:rPr>
              <w:rFonts w:ascii="Times New Roman" w:hAnsi="Times New Roman"/>
              <w:szCs w:val="24"/>
            </w:rPr>
            <w:t>U.S.</w:t>
          </w:r>
        </w:smartTag>
      </w:smartTag>
      <w:r w:rsidR="00594CD9" w:rsidRPr="001A0A30">
        <w:rPr>
          <w:rFonts w:ascii="Times New Roman" w:hAnsi="Times New Roman"/>
          <w:szCs w:val="24"/>
        </w:rPr>
        <w:t xml:space="preserve"> banks</w:t>
      </w:r>
      <w:r w:rsidR="00973F66">
        <w:rPr>
          <w:rFonts w:ascii="Times New Roman" w:hAnsi="Times New Roman"/>
          <w:szCs w:val="24"/>
        </w:rPr>
        <w:t>’</w:t>
      </w:r>
      <w:r w:rsidR="00594CD9" w:rsidRPr="001A0A30">
        <w:rPr>
          <w:rFonts w:ascii="Times New Roman" w:hAnsi="Times New Roman"/>
          <w:szCs w:val="24"/>
        </w:rPr>
        <w:t xml:space="preserve"> exposure to country risk, transfer risk, and foreign-exchange risk.  The revisions collect</w:t>
      </w:r>
      <w:r w:rsidR="00BD4827">
        <w:rPr>
          <w:rFonts w:ascii="Times New Roman" w:hAnsi="Times New Roman"/>
          <w:szCs w:val="24"/>
        </w:rPr>
        <w:t>ed</w:t>
      </w:r>
      <w:r w:rsidR="00594CD9" w:rsidRPr="001A0A30">
        <w:rPr>
          <w:rFonts w:ascii="Times New Roman" w:hAnsi="Times New Roman"/>
          <w:szCs w:val="24"/>
        </w:rPr>
        <w:t xml:space="preserve"> additional detail on foreign-office claims of </w:t>
      </w:r>
      <w:smartTag w:uri="urn:schemas-microsoft-com:office:smarttags" w:element="country-region">
        <w:smartTag w:uri="urn:schemas-microsoft-com:office:smarttags" w:element="place">
          <w:r w:rsidR="00594CD9" w:rsidRPr="001A0A30">
            <w:rPr>
              <w:rFonts w:ascii="Times New Roman" w:hAnsi="Times New Roman"/>
              <w:szCs w:val="24"/>
            </w:rPr>
            <w:t>U.S.</w:t>
          </w:r>
        </w:smartTag>
      </w:smartTag>
      <w:r w:rsidR="00594CD9" w:rsidRPr="001A0A30">
        <w:rPr>
          <w:rFonts w:ascii="Times New Roman" w:hAnsi="Times New Roman"/>
          <w:szCs w:val="24"/>
        </w:rPr>
        <w:t xml:space="preserve"> banks on local residents, including sector breakdowns and a currency split; a split between commitments and guarantees plus credit derivatives; </w:t>
      </w:r>
      <w:r w:rsidR="00CB1EA2">
        <w:rPr>
          <w:rFonts w:ascii="Times New Roman" w:hAnsi="Times New Roman"/>
          <w:szCs w:val="24"/>
        </w:rPr>
        <w:t xml:space="preserve">additional detail on foreign-office liabilities; </w:t>
      </w:r>
      <w:r w:rsidR="00594CD9" w:rsidRPr="001A0A30">
        <w:rPr>
          <w:rFonts w:ascii="Times New Roman" w:hAnsi="Times New Roman"/>
          <w:szCs w:val="24"/>
        </w:rPr>
        <w:t xml:space="preserve">and trade finance after adjustments for collateral and guarantees.  </w:t>
      </w:r>
      <w:r w:rsidR="00BD4827">
        <w:rPr>
          <w:rFonts w:ascii="Times New Roman" w:hAnsi="Times New Roman"/>
          <w:szCs w:val="24"/>
        </w:rPr>
        <w:t>T</w:t>
      </w:r>
      <w:r w:rsidR="00594CD9" w:rsidRPr="001A0A30">
        <w:rPr>
          <w:rFonts w:ascii="Times New Roman" w:hAnsi="Times New Roman"/>
          <w:szCs w:val="24"/>
        </w:rPr>
        <w:t>he definition of the public (i.e., government) sector w</w:t>
      </w:r>
      <w:r w:rsidR="00BD4827">
        <w:rPr>
          <w:rFonts w:ascii="Times New Roman" w:hAnsi="Times New Roman"/>
          <w:szCs w:val="24"/>
        </w:rPr>
        <w:t>as</w:t>
      </w:r>
      <w:r w:rsidR="00594CD9" w:rsidRPr="001A0A30">
        <w:rPr>
          <w:rFonts w:ascii="Times New Roman" w:hAnsi="Times New Roman"/>
          <w:szCs w:val="24"/>
        </w:rPr>
        <w:t xml:space="preserve"> brought into agreement with the definition used in the Consolidated Reports of Condition and Income (FFIEC 031 and FFIEC 041; OMB No. 7100-003</w:t>
      </w:r>
      <w:r w:rsidR="00594CD9">
        <w:rPr>
          <w:rFonts w:ascii="Times New Roman" w:hAnsi="Times New Roman"/>
          <w:szCs w:val="24"/>
        </w:rPr>
        <w:t>6</w:t>
      </w:r>
      <w:r w:rsidR="00594CD9" w:rsidRPr="001A0A30">
        <w:rPr>
          <w:rFonts w:ascii="Times New Roman" w:hAnsi="Times New Roman"/>
          <w:szCs w:val="24"/>
        </w:rPr>
        <w:t xml:space="preserve">) (Call Report) that banks file quarterly.  </w:t>
      </w:r>
      <w:r w:rsidR="00CB1EA2">
        <w:rPr>
          <w:rFonts w:ascii="Times New Roman" w:hAnsi="Times New Roman"/>
          <w:szCs w:val="24"/>
        </w:rPr>
        <w:t xml:space="preserve">The instructions were changed to collect data on exposures arising from all derivatives contracts, not just those held in the trading account.  </w:t>
      </w:r>
      <w:r w:rsidR="00BD4827">
        <w:rPr>
          <w:rFonts w:ascii="Times New Roman" w:hAnsi="Times New Roman"/>
          <w:szCs w:val="24"/>
        </w:rPr>
        <w:t>There were n</w:t>
      </w:r>
      <w:r w:rsidR="00594CD9" w:rsidRPr="001A0A30">
        <w:rPr>
          <w:rFonts w:ascii="Times New Roman" w:hAnsi="Times New Roman"/>
          <w:szCs w:val="24"/>
        </w:rPr>
        <w:t>o changes to the FFIEC 009a, although the change in the definition of the public sector on the FFIEC 009 change</w:t>
      </w:r>
      <w:r w:rsidR="00BD4827">
        <w:rPr>
          <w:rFonts w:ascii="Times New Roman" w:hAnsi="Times New Roman"/>
          <w:szCs w:val="24"/>
        </w:rPr>
        <w:t>d</w:t>
      </w:r>
      <w:r w:rsidR="00594CD9" w:rsidRPr="001A0A30">
        <w:rPr>
          <w:rFonts w:ascii="Times New Roman" w:hAnsi="Times New Roman"/>
          <w:szCs w:val="24"/>
        </w:rPr>
        <w:t xml:space="preserve"> the amounts reported in </w:t>
      </w:r>
      <w:r w:rsidR="00594CD9">
        <w:rPr>
          <w:rFonts w:ascii="Times New Roman" w:hAnsi="Times New Roman"/>
          <w:szCs w:val="24"/>
        </w:rPr>
        <w:t>c</w:t>
      </w:r>
      <w:r w:rsidR="00594CD9" w:rsidRPr="001A0A30">
        <w:rPr>
          <w:rFonts w:ascii="Times New Roman" w:hAnsi="Times New Roman"/>
          <w:szCs w:val="24"/>
        </w:rPr>
        <w:t>olumns</w:t>
      </w:r>
      <w:r w:rsidR="00594CD9">
        <w:rPr>
          <w:rFonts w:ascii="Times New Roman" w:hAnsi="Times New Roman"/>
          <w:szCs w:val="24"/>
        </w:rPr>
        <w:t> </w:t>
      </w:r>
      <w:r w:rsidR="00594CD9" w:rsidRPr="001A0A30">
        <w:rPr>
          <w:rFonts w:ascii="Times New Roman" w:hAnsi="Times New Roman"/>
          <w:szCs w:val="24"/>
        </w:rPr>
        <w:t>6 and 7 o</w:t>
      </w:r>
      <w:r w:rsidR="00BD4827">
        <w:rPr>
          <w:rFonts w:ascii="Times New Roman" w:hAnsi="Times New Roman"/>
          <w:szCs w:val="24"/>
        </w:rPr>
        <w:t>n</w:t>
      </w:r>
      <w:r w:rsidR="00594CD9" w:rsidRPr="001A0A30">
        <w:rPr>
          <w:rFonts w:ascii="Times New Roman" w:hAnsi="Times New Roman"/>
          <w:szCs w:val="24"/>
        </w:rPr>
        <w:t xml:space="preserve"> the FFIEC 009a by corresponding amounts.  The instructions to the FFIEC 009a reporting form w</w:t>
      </w:r>
      <w:r w:rsidR="00BD4827">
        <w:rPr>
          <w:rFonts w:ascii="Times New Roman" w:hAnsi="Times New Roman"/>
          <w:szCs w:val="24"/>
        </w:rPr>
        <w:t>ere</w:t>
      </w:r>
      <w:r w:rsidR="00594CD9" w:rsidRPr="001A0A30">
        <w:rPr>
          <w:rFonts w:ascii="Times New Roman" w:hAnsi="Times New Roman"/>
          <w:szCs w:val="24"/>
        </w:rPr>
        <w:t xml:space="preserve"> changed to reflect column changes on the FFIEC 009.</w:t>
      </w:r>
    </w:p>
    <w:p w:rsidR="00594CD9" w:rsidRDefault="00594CD9" w:rsidP="003A708B">
      <w:pPr>
        <w:rPr>
          <w:rFonts w:ascii="Times New Roman" w:hAnsi="Times New Roman"/>
          <w:szCs w:val="24"/>
        </w:rPr>
      </w:pPr>
    </w:p>
    <w:p w:rsidR="00DB57AF" w:rsidRPr="001A0A30" w:rsidRDefault="00DB57AF" w:rsidP="003A708B">
      <w:pPr>
        <w:widowControl/>
        <w:rPr>
          <w:rFonts w:ascii="Times New Roman" w:hAnsi="Times New Roman"/>
          <w:b/>
          <w:szCs w:val="24"/>
        </w:rPr>
      </w:pPr>
      <w:r w:rsidRPr="001A0A30">
        <w:rPr>
          <w:rFonts w:ascii="Times New Roman" w:hAnsi="Times New Roman"/>
          <w:b/>
          <w:szCs w:val="24"/>
        </w:rPr>
        <w:t>Description of Information Collection</w:t>
      </w:r>
    </w:p>
    <w:p w:rsidR="00DB57AF" w:rsidRPr="001A0A30" w:rsidRDefault="00DB57AF" w:rsidP="003A708B">
      <w:pPr>
        <w:widowControl/>
        <w:rPr>
          <w:rFonts w:ascii="Times New Roman" w:hAnsi="Times New Roman"/>
          <w:szCs w:val="24"/>
        </w:rPr>
      </w:pPr>
    </w:p>
    <w:p w:rsidR="00DB57AF" w:rsidRPr="001A0A30" w:rsidRDefault="00DB57AF" w:rsidP="003A708B">
      <w:pPr>
        <w:widowControl/>
        <w:ind w:firstLine="720"/>
        <w:rPr>
          <w:rFonts w:ascii="Times New Roman" w:hAnsi="Times New Roman"/>
          <w:szCs w:val="24"/>
        </w:rPr>
      </w:pPr>
      <w:r w:rsidRPr="001A0A30">
        <w:rPr>
          <w:rFonts w:ascii="Times New Roman" w:hAnsi="Times New Roman"/>
          <w:szCs w:val="24"/>
        </w:rPr>
        <w:t>The FFIEC</w:t>
      </w:r>
      <w:r w:rsidR="00580DE8" w:rsidRPr="001A0A30">
        <w:rPr>
          <w:rFonts w:ascii="Times New Roman" w:hAnsi="Times New Roman"/>
        </w:rPr>
        <w:t> </w:t>
      </w:r>
      <w:r w:rsidRPr="001A0A30">
        <w:rPr>
          <w:rFonts w:ascii="Times New Roman" w:hAnsi="Times New Roman"/>
          <w:szCs w:val="24"/>
        </w:rPr>
        <w:t xml:space="preserve">009 report is filed as of the last business day of each quarter by any state member bank and bank holding company that (a) has at least one of the following:  (1) a branch in a foreign country; (2) a subsidiary in a foreign country; (3) an Edge or </w:t>
      </w:r>
      <w:r w:rsidR="001A0A30" w:rsidRPr="001A0A30">
        <w:rPr>
          <w:rFonts w:ascii="Times New Roman" w:hAnsi="Times New Roman"/>
          <w:szCs w:val="24"/>
        </w:rPr>
        <w:t>A</w:t>
      </w:r>
      <w:r w:rsidRPr="001A0A30">
        <w:rPr>
          <w:rFonts w:ascii="Times New Roman" w:hAnsi="Times New Roman"/>
          <w:szCs w:val="24"/>
        </w:rPr>
        <w:t>greement subsidiary; (4) an International Banking Facility (IBF) subsidiary; or (5) a branch in Puerto Rico or any U.S. territory or possession; and (b) has, on a fully consolidated basis, total outstanding claims of at least $30 million on residents of foreign countries.</w:t>
      </w:r>
    </w:p>
    <w:p w:rsidR="00DB57AF" w:rsidRPr="001A0A30" w:rsidRDefault="00DB57AF" w:rsidP="003A708B">
      <w:pPr>
        <w:widowControl/>
        <w:rPr>
          <w:rFonts w:ascii="Times New Roman" w:hAnsi="Times New Roman"/>
          <w:szCs w:val="24"/>
        </w:rPr>
      </w:pPr>
    </w:p>
    <w:p w:rsidR="00DB57AF" w:rsidRPr="00BF5175" w:rsidRDefault="00BF5175" w:rsidP="003A708B">
      <w:pPr>
        <w:widowControl/>
        <w:ind w:firstLine="720"/>
        <w:rPr>
          <w:rFonts w:ascii="Times New Roman" w:hAnsi="Times New Roman"/>
          <w:szCs w:val="24"/>
        </w:rPr>
      </w:pPr>
      <w:r w:rsidRPr="00BF5175">
        <w:rPr>
          <w:rFonts w:ascii="Times New Roman" w:hAnsi="Times New Roman"/>
          <w:szCs w:val="24"/>
        </w:rPr>
        <w:t>The FFIEC 009 report collects information, by country</w:t>
      </w:r>
      <w:r w:rsidR="00DB57AF" w:rsidRPr="001A0A30">
        <w:rPr>
          <w:rStyle w:val="FootnoteReference"/>
          <w:rFonts w:ascii="Times New Roman" w:hAnsi="Times New Roman"/>
          <w:szCs w:val="24"/>
          <w:vertAlign w:val="superscript"/>
        </w:rPr>
        <w:footnoteReference w:id="1"/>
      </w:r>
      <w:r>
        <w:rPr>
          <w:rFonts w:ascii="Times New Roman" w:hAnsi="Times New Roman"/>
          <w:szCs w:val="24"/>
        </w:rPr>
        <w:t>,</w:t>
      </w:r>
      <w:r w:rsidR="00DB57AF" w:rsidRPr="001A0A30">
        <w:rPr>
          <w:rFonts w:ascii="Times New Roman" w:hAnsi="Times New Roman"/>
          <w:szCs w:val="24"/>
        </w:rPr>
        <w:t xml:space="preserve"> </w:t>
      </w:r>
      <w:r w:rsidRPr="00BF5175">
        <w:rPr>
          <w:rFonts w:ascii="Times New Roman" w:hAnsi="Times New Roman"/>
          <w:szCs w:val="24"/>
        </w:rPr>
        <w:t>on three schedules.  Schedule 1 collects information on the respondent</w:t>
      </w:r>
      <w:r w:rsidR="00973F66">
        <w:rPr>
          <w:rFonts w:ascii="Times New Roman" w:hAnsi="Times New Roman"/>
          <w:szCs w:val="24"/>
        </w:rPr>
        <w:t>’</w:t>
      </w:r>
      <w:r w:rsidRPr="00BF5175">
        <w:rPr>
          <w:rFonts w:ascii="Times New Roman" w:hAnsi="Times New Roman"/>
          <w:szCs w:val="24"/>
        </w:rPr>
        <w:t>s country exposure excluding claims resulting from the positive fair value of derivatives contracts, which are reported in Schedule 2.  Specifically, Schedule</w:t>
      </w:r>
      <w:r w:rsidR="00973F66">
        <w:rPr>
          <w:rFonts w:ascii="Times New Roman" w:hAnsi="Times New Roman"/>
          <w:szCs w:val="24"/>
        </w:rPr>
        <w:t> </w:t>
      </w:r>
      <w:r w:rsidRPr="00BF5175">
        <w:rPr>
          <w:rFonts w:ascii="Times New Roman" w:hAnsi="Times New Roman"/>
          <w:szCs w:val="24"/>
        </w:rPr>
        <w:t>1 collects information on the respondent</w:t>
      </w:r>
      <w:r w:rsidR="00973F66">
        <w:rPr>
          <w:rFonts w:ascii="Times New Roman" w:hAnsi="Times New Roman"/>
          <w:szCs w:val="24"/>
        </w:rPr>
        <w:t>’</w:t>
      </w:r>
      <w:r w:rsidRPr="00BF5175">
        <w:rPr>
          <w:rFonts w:ascii="Times New Roman" w:hAnsi="Times New Roman"/>
          <w:szCs w:val="24"/>
        </w:rPr>
        <w:t>s cross-border claims on residents of foreign countries and their foreign-office claims on local residents.  These claims are reported on an immediate-counterparty basis and on an ultimate-risk basis (i.e., after adjustments for guarantees and collateral), and inward and outward risk transfers are also reported.  The sector (bank, public, or other) of the borrower is broken out, as are claims with a remaining maturity up to and including one year.  Cross-border and foreign-office commitments to and guarantees (including credit derivatives) on foreigners are reported on an ultimate-risk basis.  Schedule 1.a collects information on the respondent</w:t>
      </w:r>
      <w:r w:rsidR="00973F66">
        <w:rPr>
          <w:rFonts w:ascii="Times New Roman" w:hAnsi="Times New Roman"/>
          <w:szCs w:val="24"/>
        </w:rPr>
        <w:t>’</w:t>
      </w:r>
      <w:r w:rsidRPr="00BF5175">
        <w:rPr>
          <w:rFonts w:ascii="Times New Roman" w:hAnsi="Times New Roman"/>
          <w:szCs w:val="24"/>
        </w:rPr>
        <w:t>s foreign-office liabilities in non-local currency and in local currency by country of the foreign office and total liabilities booked at the respondent</w:t>
      </w:r>
      <w:r w:rsidR="00973F66">
        <w:rPr>
          <w:rFonts w:ascii="Times New Roman" w:hAnsi="Times New Roman"/>
          <w:szCs w:val="24"/>
        </w:rPr>
        <w:t>’</w:t>
      </w:r>
      <w:r w:rsidRPr="00BF5175">
        <w:rPr>
          <w:rFonts w:ascii="Times New Roman" w:hAnsi="Times New Roman"/>
          <w:szCs w:val="24"/>
        </w:rPr>
        <w:t xml:space="preserve">s foreign offices by country of the liability-holder.  </w:t>
      </w:r>
      <w:r w:rsidR="00CB1EA2">
        <w:rPr>
          <w:rFonts w:ascii="Times New Roman" w:hAnsi="Times New Roman"/>
          <w:szCs w:val="24"/>
        </w:rPr>
        <w:t>As memorandum items, i</w:t>
      </w:r>
      <w:r w:rsidRPr="00BF5175">
        <w:rPr>
          <w:rFonts w:ascii="Times New Roman" w:hAnsi="Times New Roman"/>
          <w:szCs w:val="24"/>
        </w:rPr>
        <w:t>t collects the net liabilities due from own related offices in other countries, assets held for trading, and trade finance.  Schedule 2 collects information on the respondent</w:t>
      </w:r>
      <w:r w:rsidR="00973F66">
        <w:rPr>
          <w:rFonts w:ascii="Times New Roman" w:hAnsi="Times New Roman"/>
          <w:szCs w:val="24"/>
        </w:rPr>
        <w:t>’</w:t>
      </w:r>
      <w:r w:rsidRPr="00BF5175">
        <w:rPr>
          <w:rFonts w:ascii="Times New Roman" w:hAnsi="Times New Roman"/>
          <w:szCs w:val="24"/>
        </w:rPr>
        <w:t>s cross-border claims on foreigners that result from the positive fair value of all the respondent</w:t>
      </w:r>
      <w:r w:rsidR="00973F66">
        <w:rPr>
          <w:rFonts w:ascii="Times New Roman" w:hAnsi="Times New Roman"/>
          <w:szCs w:val="24"/>
        </w:rPr>
        <w:t>’</w:t>
      </w:r>
      <w:r w:rsidRPr="00BF5175">
        <w:rPr>
          <w:rFonts w:ascii="Times New Roman" w:hAnsi="Times New Roman"/>
          <w:szCs w:val="24"/>
        </w:rPr>
        <w:t xml:space="preserve">s derivative contracts.  This information includes the sector (bank, public, and other) of the obligor and optional information on the </w:t>
      </w:r>
      <w:r w:rsidRPr="00BF5175">
        <w:rPr>
          <w:rFonts w:ascii="Times New Roman" w:hAnsi="Times New Roman"/>
          <w:szCs w:val="24"/>
        </w:rPr>
        <w:lastRenderedPageBreak/>
        <w:t>positive and negative fair value of derivatives contracts of foreign offices vis-à-vis local residents.  In addition, claims on bank branches that are not formally guaranteed by the head offices of the branches are identified by country of the location of the branch.</w:t>
      </w:r>
    </w:p>
    <w:p w:rsidR="00BD4827" w:rsidRDefault="00BD4827" w:rsidP="003A708B">
      <w:pPr>
        <w:widowControl/>
        <w:rPr>
          <w:rFonts w:ascii="Times New Roman" w:hAnsi="Times New Roman"/>
          <w:szCs w:val="24"/>
        </w:rPr>
      </w:pPr>
    </w:p>
    <w:p w:rsidR="00DB57AF" w:rsidRPr="001A0A30" w:rsidRDefault="00DB57AF" w:rsidP="003A708B">
      <w:pPr>
        <w:widowControl/>
        <w:ind w:firstLine="720"/>
        <w:rPr>
          <w:rFonts w:ascii="Times New Roman" w:hAnsi="Times New Roman"/>
        </w:rPr>
      </w:pPr>
      <w:r w:rsidRPr="001A0A30">
        <w:rPr>
          <w:rFonts w:ascii="Times New Roman" w:hAnsi="Times New Roman"/>
          <w:szCs w:val="24"/>
        </w:rPr>
        <w:t xml:space="preserve">The </w:t>
      </w:r>
      <w:r w:rsidR="00B0045A">
        <w:rPr>
          <w:rFonts w:ascii="Times New Roman" w:hAnsi="Times New Roman"/>
          <w:szCs w:val="24"/>
        </w:rPr>
        <w:t>FFIEC 009a</w:t>
      </w:r>
      <w:r w:rsidRPr="001A0A30">
        <w:rPr>
          <w:rFonts w:ascii="Times New Roman" w:hAnsi="Times New Roman"/>
          <w:szCs w:val="24"/>
        </w:rPr>
        <w:t xml:space="preserve"> is a quarterly supplement to the FFIEC 009 report and implements public disclosure provisions of the Act.  Respondents provide detail on all exposures to a country in excess of 1 percent of the total assets or 20 percent of capital of the reporting institution, whichever is less.  Each FFIEC</w:t>
      </w:r>
      <w:r w:rsidR="00580DE8" w:rsidRPr="001A0A30">
        <w:rPr>
          <w:rFonts w:ascii="Times New Roman" w:hAnsi="Times New Roman"/>
        </w:rPr>
        <w:t> </w:t>
      </w:r>
      <w:r w:rsidRPr="001A0A30">
        <w:rPr>
          <w:rFonts w:ascii="Times New Roman" w:hAnsi="Times New Roman"/>
          <w:szCs w:val="24"/>
        </w:rPr>
        <w:t xml:space="preserve">009a respondent also furnishes a list of the countries in which exposures are between </w:t>
      </w:r>
      <w:r w:rsidR="00536621">
        <w:rPr>
          <w:rFonts w:ascii="Times New Roman" w:hAnsi="Times New Roman"/>
          <w:szCs w:val="24"/>
        </w:rPr>
        <w:t>0</w:t>
      </w:r>
      <w:r w:rsidRPr="001A0A30">
        <w:rPr>
          <w:rFonts w:ascii="Times New Roman" w:hAnsi="Times New Roman"/>
          <w:szCs w:val="24"/>
        </w:rPr>
        <w:t>.75 percent and 1 percent of total assets or between 15 and 20 percent of capital, whichever is less.  In addition, Section 910(a</w:t>
      </w:r>
      <w:proofErr w:type="gramStart"/>
      <w:r w:rsidRPr="001A0A30">
        <w:rPr>
          <w:rFonts w:ascii="Times New Roman" w:hAnsi="Times New Roman"/>
          <w:szCs w:val="24"/>
        </w:rPr>
        <w:t>)(</w:t>
      </w:r>
      <w:proofErr w:type="gramEnd"/>
      <w:r w:rsidRPr="001A0A30">
        <w:rPr>
          <w:rFonts w:ascii="Times New Roman" w:hAnsi="Times New Roman"/>
          <w:szCs w:val="24"/>
        </w:rPr>
        <w:t>1) of the Act authorizes the federal</w:t>
      </w:r>
      <w:r w:rsidRPr="001A0A30">
        <w:rPr>
          <w:rFonts w:ascii="Times New Roman" w:hAnsi="Times New Roman"/>
        </w:rPr>
        <w:t xml:space="preserve"> banking agencies to interpret and define the terms used in the Act.  Thus, the agencies have the right to order a banking institution to file the FFIEC</w:t>
      </w:r>
      <w:r w:rsidR="00580DE8" w:rsidRPr="001A0A30">
        <w:rPr>
          <w:rFonts w:ascii="Times New Roman" w:hAnsi="Times New Roman"/>
        </w:rPr>
        <w:t> </w:t>
      </w:r>
      <w:r w:rsidRPr="001A0A30">
        <w:rPr>
          <w:rFonts w:ascii="Times New Roman" w:hAnsi="Times New Roman"/>
        </w:rPr>
        <w:t xml:space="preserve">009 and </w:t>
      </w:r>
      <w:r w:rsidR="00580DE8" w:rsidRPr="001A0A30">
        <w:rPr>
          <w:rFonts w:ascii="Times New Roman" w:hAnsi="Times New Roman"/>
        </w:rPr>
        <w:t>FFIEC </w:t>
      </w:r>
      <w:r w:rsidRPr="001A0A30">
        <w:rPr>
          <w:rFonts w:ascii="Times New Roman" w:hAnsi="Times New Roman"/>
        </w:rPr>
        <w:t>009a quarterly, even if the specified reporting criteria are not met, if the agencies deem the institution</w:t>
      </w:r>
      <w:r w:rsidR="00973F66">
        <w:rPr>
          <w:rFonts w:ascii="Times New Roman" w:hAnsi="Times New Roman"/>
        </w:rPr>
        <w:t>’</w:t>
      </w:r>
      <w:r w:rsidRPr="001A0A30">
        <w:rPr>
          <w:rFonts w:ascii="Times New Roman" w:hAnsi="Times New Roman"/>
        </w:rPr>
        <w:t>s country exposure to be material in relation to its capital and assets.</w:t>
      </w:r>
    </w:p>
    <w:p w:rsidR="00DB57AF" w:rsidRPr="00E609CA" w:rsidRDefault="00DB57AF" w:rsidP="003A708B">
      <w:pPr>
        <w:suppressAutoHyphens/>
        <w:rPr>
          <w:rFonts w:ascii="Times New Roman" w:hAnsi="Times New Roman"/>
        </w:rPr>
      </w:pPr>
    </w:p>
    <w:p w:rsidR="00DB57AF" w:rsidRPr="001A0A30" w:rsidRDefault="00DB57AF" w:rsidP="003A708B">
      <w:pPr>
        <w:autoSpaceDE w:val="0"/>
        <w:autoSpaceDN w:val="0"/>
        <w:adjustRightInd w:val="0"/>
        <w:rPr>
          <w:rFonts w:ascii="Times New Roman" w:hAnsi="Times New Roman"/>
          <w:b/>
        </w:rPr>
      </w:pPr>
      <w:r w:rsidRPr="001A0A30">
        <w:rPr>
          <w:rFonts w:ascii="Times New Roman" w:hAnsi="Times New Roman"/>
          <w:b/>
        </w:rPr>
        <w:t>Time Schedule for Information Collection</w:t>
      </w:r>
    </w:p>
    <w:p w:rsidR="00DB57AF" w:rsidRPr="001A0A30" w:rsidRDefault="00DB57AF" w:rsidP="003A708B">
      <w:pPr>
        <w:widowControl/>
        <w:rPr>
          <w:rFonts w:ascii="Times New Roman" w:hAnsi="Times New Roman"/>
        </w:rPr>
      </w:pPr>
    </w:p>
    <w:p w:rsidR="00DB57AF" w:rsidRPr="001A0A30" w:rsidRDefault="00DB57AF" w:rsidP="003A708B">
      <w:pPr>
        <w:widowControl/>
        <w:ind w:firstLine="720"/>
        <w:rPr>
          <w:rFonts w:ascii="Times New Roman" w:hAnsi="Times New Roman"/>
        </w:rPr>
      </w:pPr>
      <w:r w:rsidRPr="001A0A30">
        <w:rPr>
          <w:rFonts w:ascii="Times New Roman" w:hAnsi="Times New Roman"/>
        </w:rPr>
        <w:t xml:space="preserve">The time schedule for filing both reports is quarterly as of the end of March, June, September, and December, and each report should be submitted within 45 days of the reporting date. The Federal Reserve is responsible for </w:t>
      </w:r>
      <w:r w:rsidR="007F35FA">
        <w:rPr>
          <w:rFonts w:ascii="Times New Roman" w:hAnsi="Times New Roman"/>
        </w:rPr>
        <w:t xml:space="preserve">collecting, </w:t>
      </w:r>
      <w:r w:rsidRPr="001A0A30">
        <w:rPr>
          <w:rFonts w:ascii="Times New Roman" w:hAnsi="Times New Roman"/>
        </w:rPr>
        <w:t>editing</w:t>
      </w:r>
      <w:r w:rsidR="007F35FA">
        <w:rPr>
          <w:rFonts w:ascii="Times New Roman" w:hAnsi="Times New Roman"/>
        </w:rPr>
        <w:t>,</w:t>
      </w:r>
      <w:r w:rsidRPr="001A0A30">
        <w:rPr>
          <w:rFonts w:ascii="Times New Roman" w:hAnsi="Times New Roman"/>
        </w:rPr>
        <w:t xml:space="preserve"> and compiling the data on behalf</w:t>
      </w:r>
      <w:r w:rsidR="00DC68B5" w:rsidRPr="001A0A30">
        <w:rPr>
          <w:rFonts w:ascii="Times New Roman" w:hAnsi="Times New Roman"/>
        </w:rPr>
        <w:t xml:space="preserve"> of all three banking agencies.</w:t>
      </w:r>
    </w:p>
    <w:p w:rsidR="00DB57AF" w:rsidRPr="001A0A30" w:rsidRDefault="00DB57AF" w:rsidP="003A708B">
      <w:pPr>
        <w:widowControl/>
        <w:rPr>
          <w:rFonts w:ascii="Times New Roman" w:hAnsi="Times New Roman"/>
        </w:rPr>
      </w:pPr>
    </w:p>
    <w:p w:rsidR="00DB57AF" w:rsidRPr="001A0A30" w:rsidRDefault="00DB57AF" w:rsidP="003A708B">
      <w:pPr>
        <w:widowControl/>
        <w:ind w:firstLine="720"/>
        <w:rPr>
          <w:rFonts w:ascii="Times New Roman" w:hAnsi="Times New Roman"/>
        </w:rPr>
      </w:pPr>
      <w:r w:rsidRPr="001A0A30">
        <w:rPr>
          <w:rFonts w:ascii="Times New Roman" w:hAnsi="Times New Roman"/>
        </w:rPr>
        <w:t>The F</w:t>
      </w:r>
      <w:r w:rsidR="00E6055F">
        <w:rPr>
          <w:rFonts w:ascii="Times New Roman" w:hAnsi="Times New Roman"/>
        </w:rPr>
        <w:t>FIEC</w:t>
      </w:r>
      <w:r w:rsidRPr="001A0A30">
        <w:rPr>
          <w:rFonts w:ascii="Times New Roman" w:hAnsi="Times New Roman"/>
        </w:rPr>
        <w:t xml:space="preserve"> publishes aggregate data from the FFIEC</w:t>
      </w:r>
      <w:r w:rsidR="00580DE8" w:rsidRPr="001A0A30">
        <w:rPr>
          <w:rFonts w:ascii="Times New Roman" w:hAnsi="Times New Roman"/>
        </w:rPr>
        <w:t> </w:t>
      </w:r>
      <w:r w:rsidRPr="001A0A30">
        <w:rPr>
          <w:rFonts w:ascii="Times New Roman" w:hAnsi="Times New Roman"/>
        </w:rPr>
        <w:t>009 in the</w:t>
      </w:r>
      <w:r w:rsidR="00C5242F">
        <w:rPr>
          <w:rFonts w:ascii="Times New Roman" w:hAnsi="Times New Roman"/>
        </w:rPr>
        <w:t xml:space="preserve"> </w:t>
      </w:r>
      <w:r w:rsidR="00C5242F" w:rsidRPr="001A0A30">
        <w:rPr>
          <w:rFonts w:ascii="Times New Roman" w:hAnsi="Times New Roman"/>
        </w:rPr>
        <w:t>quarterly</w:t>
      </w:r>
      <w:r w:rsidRPr="001A0A30">
        <w:rPr>
          <w:rFonts w:ascii="Times New Roman" w:hAnsi="Times New Roman"/>
        </w:rPr>
        <w:t xml:space="preserve"> E.16 statistical release, </w:t>
      </w:r>
      <w:r w:rsidRPr="00973F66">
        <w:rPr>
          <w:rFonts w:ascii="Times New Roman" w:hAnsi="Times New Roman"/>
          <w:i/>
        </w:rPr>
        <w:t>Country Exposure Lending Survey</w:t>
      </w:r>
      <w:r w:rsidRPr="001A0A30">
        <w:rPr>
          <w:rFonts w:ascii="Times New Roman" w:hAnsi="Times New Roman"/>
        </w:rPr>
        <w:t xml:space="preserve">.  In addition, the Federal Reserve makes aggregate data available to the BIS.  </w:t>
      </w:r>
      <w:r w:rsidR="00E6055F" w:rsidRPr="00E6055F">
        <w:rPr>
          <w:rFonts w:ascii="Times New Roman" w:hAnsi="Times New Roman"/>
        </w:rPr>
        <w:t xml:space="preserve">The BIS then publishes statistical data on consolidated bank claims on foreign borrowers as its </w:t>
      </w:r>
      <w:r w:rsidR="00973F66">
        <w:rPr>
          <w:rFonts w:ascii="Times New Roman" w:hAnsi="Times New Roman"/>
        </w:rPr>
        <w:t>“c</w:t>
      </w:r>
      <w:r w:rsidR="00E6055F" w:rsidRPr="00E6055F">
        <w:rPr>
          <w:rFonts w:ascii="Times New Roman" w:hAnsi="Times New Roman"/>
        </w:rPr>
        <w:t>onsolidated international banking statistics</w:t>
      </w:r>
      <w:r w:rsidR="00973F66">
        <w:rPr>
          <w:rFonts w:ascii="Times New Roman" w:hAnsi="Times New Roman"/>
        </w:rPr>
        <w:t>”</w:t>
      </w:r>
      <w:r w:rsidR="00E6055F" w:rsidRPr="00E6055F">
        <w:rPr>
          <w:rFonts w:ascii="Times New Roman" w:hAnsi="Times New Roman"/>
        </w:rPr>
        <w:t xml:space="preserve"> on its website and in its </w:t>
      </w:r>
      <w:r w:rsidR="00E6055F" w:rsidRPr="00973F66">
        <w:rPr>
          <w:rFonts w:ascii="Times New Roman" w:hAnsi="Times New Roman"/>
          <w:i/>
        </w:rPr>
        <w:t>Quarterly Review</w:t>
      </w:r>
      <w:r w:rsidRPr="001A0A30">
        <w:rPr>
          <w:rFonts w:ascii="Times New Roman" w:hAnsi="Times New Roman"/>
        </w:rPr>
        <w:t>.</w:t>
      </w:r>
      <w:r w:rsidR="006B7A90">
        <w:rPr>
          <w:rFonts w:ascii="Times New Roman" w:hAnsi="Times New Roman"/>
        </w:rPr>
        <w:t xml:space="preserve">  </w:t>
      </w:r>
      <w:r w:rsidRPr="001A0A30">
        <w:rPr>
          <w:rFonts w:ascii="Times New Roman" w:hAnsi="Times New Roman"/>
        </w:rPr>
        <w:t>Data from the FFIEC</w:t>
      </w:r>
      <w:r w:rsidR="00580DE8" w:rsidRPr="001A0A30">
        <w:rPr>
          <w:rFonts w:ascii="Times New Roman" w:hAnsi="Times New Roman"/>
        </w:rPr>
        <w:t> </w:t>
      </w:r>
      <w:r w:rsidRPr="001A0A30">
        <w:rPr>
          <w:rFonts w:ascii="Times New Roman" w:hAnsi="Times New Roman"/>
        </w:rPr>
        <w:t>009a are published</w:t>
      </w:r>
      <w:r w:rsidR="00E6055F">
        <w:rPr>
          <w:rFonts w:ascii="Times New Roman" w:hAnsi="Times New Roman"/>
        </w:rPr>
        <w:t xml:space="preserve"> on the FFIEC website</w:t>
      </w:r>
      <w:r w:rsidRPr="001A0A30">
        <w:rPr>
          <w:rFonts w:ascii="Times New Roman" w:hAnsi="Times New Roman"/>
        </w:rPr>
        <w:t>.</w:t>
      </w:r>
    </w:p>
    <w:p w:rsidR="00DB57AF" w:rsidRPr="001A0A30" w:rsidRDefault="00DB57AF" w:rsidP="003A708B">
      <w:pPr>
        <w:widowControl/>
        <w:rPr>
          <w:rFonts w:ascii="Times New Roman" w:hAnsi="Times New Roman"/>
        </w:rPr>
      </w:pPr>
    </w:p>
    <w:p w:rsidR="00DB57AF" w:rsidRPr="001A0A30" w:rsidRDefault="00DB57AF" w:rsidP="003A708B">
      <w:pPr>
        <w:widowControl/>
        <w:rPr>
          <w:rFonts w:ascii="Times New Roman" w:hAnsi="Times New Roman"/>
        </w:rPr>
      </w:pPr>
      <w:r w:rsidRPr="001A0A30">
        <w:rPr>
          <w:rFonts w:ascii="Times New Roman" w:hAnsi="Times New Roman"/>
          <w:b/>
        </w:rPr>
        <w:t>Legal Status</w:t>
      </w:r>
    </w:p>
    <w:p w:rsidR="00DB57AF" w:rsidRPr="001A0A30" w:rsidRDefault="00DB57AF" w:rsidP="003A708B">
      <w:pPr>
        <w:widowControl/>
        <w:rPr>
          <w:rFonts w:ascii="Times New Roman" w:hAnsi="Times New Roman"/>
        </w:rPr>
      </w:pPr>
    </w:p>
    <w:p w:rsidR="00DB57AF" w:rsidRPr="001A0A30" w:rsidRDefault="00DB57AF" w:rsidP="003A708B">
      <w:pPr>
        <w:widowControl/>
        <w:ind w:firstLine="720"/>
        <w:rPr>
          <w:rFonts w:ascii="Times New Roman" w:hAnsi="Times New Roman"/>
        </w:rPr>
      </w:pPr>
      <w:r w:rsidRPr="001A0A30">
        <w:rPr>
          <w:rFonts w:ascii="Times New Roman" w:hAnsi="Times New Roman"/>
        </w:rPr>
        <w:t>The Board</w:t>
      </w:r>
      <w:r w:rsidR="00973F66">
        <w:rPr>
          <w:rFonts w:ascii="Times New Roman" w:hAnsi="Times New Roman"/>
        </w:rPr>
        <w:t>’</w:t>
      </w:r>
      <w:r w:rsidRPr="001A0A30">
        <w:rPr>
          <w:rFonts w:ascii="Times New Roman" w:hAnsi="Times New Roman"/>
        </w:rPr>
        <w:t>s Legal Division has determined that Section 11</w:t>
      </w:r>
      <w:r w:rsidR="00735AF7">
        <w:rPr>
          <w:rFonts w:ascii="Times New Roman" w:hAnsi="Times New Roman"/>
        </w:rPr>
        <w:t>(a) of the Federal Reserve Act (</w:t>
      </w:r>
      <w:r w:rsidRPr="001A0A30">
        <w:rPr>
          <w:rFonts w:ascii="Times New Roman" w:hAnsi="Times New Roman"/>
        </w:rPr>
        <w:t>12 U.S.C. 248(a)</w:t>
      </w:r>
      <w:r w:rsidR="00735AF7">
        <w:rPr>
          <w:rFonts w:ascii="Times New Roman" w:hAnsi="Times New Roman"/>
        </w:rPr>
        <w:t>)</w:t>
      </w:r>
      <w:r w:rsidRPr="001A0A30">
        <w:rPr>
          <w:rFonts w:ascii="Times New Roman" w:hAnsi="Times New Roman"/>
        </w:rPr>
        <w:t>, Section 5(c) of the Ba</w:t>
      </w:r>
      <w:r w:rsidR="00735AF7">
        <w:rPr>
          <w:rFonts w:ascii="Times New Roman" w:hAnsi="Times New Roman"/>
        </w:rPr>
        <w:t>nk Holding Company Act of 1956 (12 U.S. 1844(c))</w:t>
      </w:r>
      <w:r w:rsidRPr="001A0A30">
        <w:rPr>
          <w:rFonts w:ascii="Times New Roman" w:hAnsi="Times New Roman"/>
        </w:rPr>
        <w:t>, and Section 907 of the International L</w:t>
      </w:r>
      <w:r w:rsidR="00735AF7">
        <w:rPr>
          <w:rFonts w:ascii="Times New Roman" w:hAnsi="Times New Roman"/>
        </w:rPr>
        <w:t>ending Supervision Act of 1983 (</w:t>
      </w:r>
      <w:r w:rsidRPr="001A0A30">
        <w:rPr>
          <w:rFonts w:ascii="Times New Roman" w:hAnsi="Times New Roman"/>
        </w:rPr>
        <w:t>12 U.S.C. 3906</w:t>
      </w:r>
      <w:r w:rsidR="00735AF7">
        <w:rPr>
          <w:rFonts w:ascii="Times New Roman" w:hAnsi="Times New Roman"/>
        </w:rPr>
        <w:t>)</w:t>
      </w:r>
      <w:r w:rsidRPr="001A0A30">
        <w:rPr>
          <w:rFonts w:ascii="Times New Roman" w:hAnsi="Times New Roman"/>
        </w:rPr>
        <w:t xml:space="preserve"> authorize the Federal Reserve to require both reports.  Individual respondent data reported on the FFIEC</w:t>
      </w:r>
      <w:r w:rsidR="00580DE8" w:rsidRPr="001A0A30">
        <w:rPr>
          <w:rFonts w:ascii="Times New Roman" w:hAnsi="Times New Roman"/>
        </w:rPr>
        <w:t> </w:t>
      </w:r>
      <w:r w:rsidRPr="001A0A30">
        <w:rPr>
          <w:rFonts w:ascii="Times New Roman" w:hAnsi="Times New Roman"/>
        </w:rPr>
        <w:t xml:space="preserve">009 are exempt from disclosure under </w:t>
      </w:r>
      <w:r w:rsidR="00735AF7">
        <w:rPr>
          <w:rFonts w:ascii="Times New Roman" w:hAnsi="Times New Roman"/>
        </w:rPr>
        <w:t>the Freedom of Information Act (</w:t>
      </w:r>
      <w:r w:rsidRPr="001A0A30">
        <w:rPr>
          <w:rFonts w:ascii="Times New Roman" w:hAnsi="Times New Roman"/>
        </w:rPr>
        <w:t>5</w:t>
      </w:r>
      <w:r w:rsidR="00735AF7">
        <w:rPr>
          <w:rFonts w:ascii="Times New Roman" w:hAnsi="Times New Roman"/>
        </w:rPr>
        <w:t xml:space="preserve"> U.S.C. 552(b</w:t>
      </w:r>
      <w:proofErr w:type="gramStart"/>
      <w:r w:rsidR="00735AF7">
        <w:rPr>
          <w:rFonts w:ascii="Times New Roman" w:hAnsi="Times New Roman"/>
        </w:rPr>
        <w:t>)(</w:t>
      </w:r>
      <w:proofErr w:type="gramEnd"/>
      <w:r w:rsidR="00735AF7">
        <w:rPr>
          <w:rFonts w:ascii="Times New Roman" w:hAnsi="Times New Roman"/>
        </w:rPr>
        <w:t>4) and (b)(8))</w:t>
      </w:r>
      <w:r w:rsidR="007F35FA">
        <w:rPr>
          <w:rFonts w:ascii="Times New Roman" w:hAnsi="Times New Roman"/>
        </w:rPr>
        <w:t>.</w:t>
      </w:r>
    </w:p>
    <w:p w:rsidR="000279C7" w:rsidRPr="001A0A30" w:rsidRDefault="000279C7" w:rsidP="003A708B">
      <w:pPr>
        <w:widowControl/>
        <w:rPr>
          <w:rFonts w:ascii="Times New Roman" w:hAnsi="Times New Roman"/>
        </w:rPr>
      </w:pPr>
    </w:p>
    <w:p w:rsidR="000279C7" w:rsidRPr="001A0A30" w:rsidRDefault="000279C7" w:rsidP="003A708B">
      <w:pPr>
        <w:widowControl/>
        <w:rPr>
          <w:rFonts w:ascii="Times New Roman" w:hAnsi="Times New Roman"/>
          <w:b/>
        </w:rPr>
      </w:pPr>
      <w:r w:rsidRPr="001A0A30">
        <w:rPr>
          <w:rFonts w:ascii="Times New Roman" w:hAnsi="Times New Roman"/>
          <w:b/>
        </w:rPr>
        <w:t xml:space="preserve">Consultation </w:t>
      </w:r>
      <w:proofErr w:type="gramStart"/>
      <w:r w:rsidRPr="001A0A30">
        <w:rPr>
          <w:rFonts w:ascii="Times New Roman" w:hAnsi="Times New Roman"/>
          <w:b/>
        </w:rPr>
        <w:t>Outside</w:t>
      </w:r>
      <w:proofErr w:type="gramEnd"/>
      <w:r w:rsidRPr="001A0A30">
        <w:rPr>
          <w:rFonts w:ascii="Times New Roman" w:hAnsi="Times New Roman"/>
          <w:b/>
        </w:rPr>
        <w:t xml:space="preserve"> the Agency</w:t>
      </w:r>
    </w:p>
    <w:p w:rsidR="000279C7" w:rsidRPr="001A0A30" w:rsidRDefault="000279C7" w:rsidP="003A708B">
      <w:pPr>
        <w:widowControl/>
        <w:rPr>
          <w:rFonts w:ascii="Times New Roman" w:hAnsi="Times New Roman"/>
        </w:rPr>
      </w:pPr>
    </w:p>
    <w:p w:rsidR="00E9082D" w:rsidRDefault="001D18ED" w:rsidP="00AF2689">
      <w:pPr>
        <w:widowControl/>
        <w:ind w:firstLine="720"/>
        <w:rPr>
          <w:rFonts w:ascii="Times New Roman" w:hAnsi="Times New Roman"/>
          <w:szCs w:val="24"/>
        </w:rPr>
      </w:pPr>
      <w:r w:rsidRPr="001A0A30">
        <w:rPr>
          <w:rFonts w:ascii="Times New Roman" w:hAnsi="Times New Roman"/>
        </w:rPr>
        <w:t xml:space="preserve">On </w:t>
      </w:r>
      <w:r w:rsidR="00735AF7">
        <w:rPr>
          <w:rFonts w:ascii="Times New Roman" w:hAnsi="Times New Roman"/>
        </w:rPr>
        <w:t>November</w:t>
      </w:r>
      <w:r w:rsidRPr="001A0A30">
        <w:rPr>
          <w:rFonts w:ascii="Times New Roman" w:hAnsi="Times New Roman"/>
        </w:rPr>
        <w:t xml:space="preserve"> </w:t>
      </w:r>
      <w:r w:rsidR="00534F4C">
        <w:rPr>
          <w:rFonts w:ascii="Times New Roman" w:hAnsi="Times New Roman"/>
        </w:rPr>
        <w:t>23</w:t>
      </w:r>
      <w:r w:rsidRPr="001A0A30">
        <w:rPr>
          <w:rFonts w:ascii="Times New Roman" w:hAnsi="Times New Roman"/>
        </w:rPr>
        <w:t>, 20</w:t>
      </w:r>
      <w:r w:rsidR="00735AF7">
        <w:rPr>
          <w:rFonts w:ascii="Times New Roman" w:hAnsi="Times New Roman"/>
        </w:rPr>
        <w:t>11</w:t>
      </w:r>
      <w:r w:rsidRPr="001A0A30">
        <w:rPr>
          <w:rFonts w:ascii="Times New Roman" w:hAnsi="Times New Roman"/>
        </w:rPr>
        <w:t xml:space="preserve">, the agencies jointly published a </w:t>
      </w:r>
      <w:r w:rsidR="00E70333">
        <w:rPr>
          <w:rFonts w:ascii="Times New Roman" w:hAnsi="Times New Roman"/>
        </w:rPr>
        <w:t>60</w:t>
      </w:r>
      <w:r w:rsidR="00B0045A">
        <w:rPr>
          <w:rFonts w:ascii="Times New Roman" w:hAnsi="Times New Roman"/>
        </w:rPr>
        <w:t>-</w:t>
      </w:r>
      <w:r w:rsidR="00F24D47" w:rsidRPr="001A0A30">
        <w:rPr>
          <w:rFonts w:ascii="Times New Roman" w:hAnsi="Times New Roman"/>
        </w:rPr>
        <w:t xml:space="preserve">day </w:t>
      </w:r>
      <w:r w:rsidRPr="001A0A30">
        <w:rPr>
          <w:rFonts w:ascii="Times New Roman" w:hAnsi="Times New Roman"/>
        </w:rPr>
        <w:t xml:space="preserve">notice </w:t>
      </w:r>
      <w:r w:rsidR="00F24D47">
        <w:rPr>
          <w:rFonts w:ascii="Times New Roman" w:hAnsi="Times New Roman"/>
        </w:rPr>
        <w:t xml:space="preserve">in the </w:t>
      </w:r>
      <w:r w:rsidR="00F24D47" w:rsidRPr="00F24D47">
        <w:rPr>
          <w:rFonts w:ascii="Times New Roman" w:hAnsi="Times New Roman"/>
          <w:i/>
        </w:rPr>
        <w:t>Federal</w:t>
      </w:r>
      <w:r w:rsidR="002531B3">
        <w:rPr>
          <w:rFonts w:ascii="Times New Roman" w:hAnsi="Times New Roman"/>
          <w:i/>
        </w:rPr>
        <w:t> </w:t>
      </w:r>
      <w:r w:rsidR="00F24D47" w:rsidRPr="00F24D47">
        <w:rPr>
          <w:rFonts w:ascii="Times New Roman" w:hAnsi="Times New Roman"/>
          <w:i/>
        </w:rPr>
        <w:t>Register</w:t>
      </w:r>
      <w:r w:rsidR="00F24D47">
        <w:rPr>
          <w:rFonts w:ascii="Times New Roman" w:hAnsi="Times New Roman"/>
        </w:rPr>
        <w:t xml:space="preserve"> (</w:t>
      </w:r>
      <w:r w:rsidR="0034474A">
        <w:rPr>
          <w:rFonts w:ascii="Times New Roman" w:hAnsi="Times New Roman"/>
        </w:rPr>
        <w:t>76</w:t>
      </w:r>
      <w:r w:rsidR="00F24D47">
        <w:rPr>
          <w:rFonts w:ascii="Times New Roman" w:hAnsi="Times New Roman"/>
        </w:rPr>
        <w:t xml:space="preserve"> FR </w:t>
      </w:r>
      <w:r w:rsidR="0034474A">
        <w:rPr>
          <w:rFonts w:ascii="Times New Roman" w:hAnsi="Times New Roman"/>
        </w:rPr>
        <w:t>7249</w:t>
      </w:r>
      <w:r w:rsidR="004E536B">
        <w:rPr>
          <w:rFonts w:ascii="Times New Roman" w:hAnsi="Times New Roman"/>
        </w:rPr>
        <w:t>7</w:t>
      </w:r>
      <w:r w:rsidR="00662ABC">
        <w:rPr>
          <w:rFonts w:ascii="Times New Roman" w:hAnsi="Times New Roman"/>
        </w:rPr>
        <w:t>)</w:t>
      </w:r>
      <w:r w:rsidR="00F24D47">
        <w:rPr>
          <w:rFonts w:ascii="Times New Roman" w:hAnsi="Times New Roman"/>
        </w:rPr>
        <w:t xml:space="preserve"> </w:t>
      </w:r>
      <w:r w:rsidRPr="001A0A30">
        <w:rPr>
          <w:rFonts w:ascii="Times New Roman" w:hAnsi="Times New Roman"/>
        </w:rPr>
        <w:t xml:space="preserve">soliciting comments </w:t>
      </w:r>
      <w:r w:rsidR="005F7BE9">
        <w:rPr>
          <w:rFonts w:ascii="Times New Roman" w:hAnsi="Times New Roman"/>
        </w:rPr>
        <w:t xml:space="preserve">on </w:t>
      </w:r>
      <w:r w:rsidR="002531B3">
        <w:rPr>
          <w:rFonts w:ascii="Times New Roman" w:hAnsi="Times New Roman"/>
        </w:rPr>
        <w:t xml:space="preserve">the extension of </w:t>
      </w:r>
      <w:r w:rsidRPr="001A0A30">
        <w:rPr>
          <w:rFonts w:ascii="Times New Roman" w:hAnsi="Times New Roman"/>
        </w:rPr>
        <w:t xml:space="preserve">the </w:t>
      </w:r>
      <w:r w:rsidR="005F7BE9" w:rsidRPr="001A0A30">
        <w:rPr>
          <w:rFonts w:ascii="Times New Roman" w:hAnsi="Times New Roman"/>
          <w:szCs w:val="24"/>
        </w:rPr>
        <w:t>FFIEC</w:t>
      </w:r>
      <w:r w:rsidR="005F7BE9" w:rsidRPr="001A0A30">
        <w:rPr>
          <w:rFonts w:ascii="Times New Roman" w:hAnsi="Times New Roman"/>
        </w:rPr>
        <w:t> </w:t>
      </w:r>
      <w:r w:rsidR="005F7BE9" w:rsidRPr="001A0A30">
        <w:rPr>
          <w:rFonts w:ascii="Times New Roman" w:hAnsi="Times New Roman"/>
          <w:szCs w:val="24"/>
        </w:rPr>
        <w:t>009 and the FFIEC</w:t>
      </w:r>
      <w:r w:rsidR="005F7BE9" w:rsidRPr="001A0A30">
        <w:rPr>
          <w:rFonts w:ascii="Times New Roman" w:hAnsi="Times New Roman"/>
        </w:rPr>
        <w:t> </w:t>
      </w:r>
      <w:r w:rsidR="005F7BE9" w:rsidRPr="001A0A30">
        <w:rPr>
          <w:rFonts w:ascii="Times New Roman" w:hAnsi="Times New Roman"/>
          <w:szCs w:val="24"/>
        </w:rPr>
        <w:t>009a</w:t>
      </w:r>
      <w:r w:rsidRPr="001A0A30">
        <w:rPr>
          <w:rFonts w:ascii="Times New Roman" w:hAnsi="Times New Roman"/>
        </w:rPr>
        <w:t>.</w:t>
      </w:r>
      <w:r w:rsidR="002531B3">
        <w:rPr>
          <w:rFonts w:ascii="Times New Roman" w:hAnsi="Times New Roman"/>
        </w:rPr>
        <w:t xml:space="preserve">  </w:t>
      </w:r>
      <w:r w:rsidR="00E70333" w:rsidRPr="007C10B7">
        <w:rPr>
          <w:rFonts w:ascii="Times New Roman" w:hAnsi="Times New Roman"/>
          <w:szCs w:val="24"/>
        </w:rPr>
        <w:t>The comment period for this notice expire</w:t>
      </w:r>
      <w:r w:rsidR="00AF2689">
        <w:rPr>
          <w:rFonts w:ascii="Times New Roman" w:hAnsi="Times New Roman"/>
          <w:szCs w:val="24"/>
        </w:rPr>
        <w:t>d</w:t>
      </w:r>
      <w:r w:rsidR="00E70333" w:rsidRPr="007C10B7">
        <w:rPr>
          <w:rFonts w:ascii="Times New Roman" w:hAnsi="Times New Roman"/>
          <w:szCs w:val="24"/>
        </w:rPr>
        <w:t xml:space="preserve"> on </w:t>
      </w:r>
      <w:r w:rsidR="00534F4C">
        <w:rPr>
          <w:rFonts w:ascii="Times New Roman" w:hAnsi="Times New Roman"/>
          <w:szCs w:val="24"/>
        </w:rPr>
        <w:t>January 2</w:t>
      </w:r>
      <w:r w:rsidR="00E70333">
        <w:rPr>
          <w:rFonts w:ascii="Times New Roman" w:hAnsi="Times New Roman"/>
          <w:szCs w:val="24"/>
        </w:rPr>
        <w:t>3</w:t>
      </w:r>
      <w:r w:rsidR="00E70333" w:rsidRPr="007C10B7">
        <w:rPr>
          <w:rFonts w:ascii="Times New Roman" w:hAnsi="Times New Roman"/>
          <w:szCs w:val="24"/>
        </w:rPr>
        <w:t>, 20</w:t>
      </w:r>
      <w:r w:rsidR="00735AF7">
        <w:rPr>
          <w:rFonts w:ascii="Times New Roman" w:hAnsi="Times New Roman"/>
          <w:szCs w:val="24"/>
        </w:rPr>
        <w:t>12</w:t>
      </w:r>
      <w:r w:rsidR="00E70333" w:rsidRPr="007C10B7">
        <w:rPr>
          <w:rFonts w:ascii="Times New Roman" w:hAnsi="Times New Roman"/>
          <w:szCs w:val="24"/>
        </w:rPr>
        <w:t>.</w:t>
      </w:r>
      <w:r w:rsidR="00703CF6">
        <w:rPr>
          <w:rFonts w:ascii="Times New Roman" w:hAnsi="Times New Roman"/>
          <w:szCs w:val="24"/>
        </w:rPr>
        <w:t xml:space="preserve">  </w:t>
      </w:r>
      <w:r w:rsidR="00AF2689" w:rsidRPr="00BC42AC">
        <w:rPr>
          <w:rFonts w:ascii="Times New Roman" w:hAnsi="Times New Roman"/>
        </w:rPr>
        <w:t xml:space="preserve">The </w:t>
      </w:r>
      <w:r w:rsidR="00AF2689">
        <w:rPr>
          <w:rFonts w:ascii="Times New Roman" w:hAnsi="Times New Roman"/>
        </w:rPr>
        <w:t>agencies</w:t>
      </w:r>
      <w:r w:rsidR="00AF2689" w:rsidRPr="00BC42AC">
        <w:rPr>
          <w:rFonts w:ascii="Times New Roman" w:hAnsi="Times New Roman"/>
        </w:rPr>
        <w:t xml:space="preserve"> did not receive any </w:t>
      </w:r>
      <w:r w:rsidR="00AF2689">
        <w:rPr>
          <w:rFonts w:ascii="Times New Roman" w:hAnsi="Times New Roman"/>
        </w:rPr>
        <w:t xml:space="preserve">public </w:t>
      </w:r>
      <w:r w:rsidR="00AF2689" w:rsidRPr="00BC42AC">
        <w:rPr>
          <w:rFonts w:ascii="Times New Roman" w:hAnsi="Times New Roman"/>
        </w:rPr>
        <w:t xml:space="preserve">comments.  On </w:t>
      </w:r>
      <w:r w:rsidR="00AF2689">
        <w:rPr>
          <w:rFonts w:ascii="Times New Roman" w:hAnsi="Times New Roman"/>
        </w:rPr>
        <w:t>February</w:t>
      </w:r>
      <w:r w:rsidR="00AF2689" w:rsidRPr="00BC42AC">
        <w:rPr>
          <w:rFonts w:ascii="Times New Roman" w:hAnsi="Times New Roman"/>
        </w:rPr>
        <w:t xml:space="preserve"> </w:t>
      </w:r>
      <w:r w:rsidR="00061A67">
        <w:rPr>
          <w:rFonts w:ascii="Times New Roman" w:hAnsi="Times New Roman"/>
        </w:rPr>
        <w:t>2</w:t>
      </w:r>
      <w:r w:rsidR="00AF2689" w:rsidRPr="00BC42AC">
        <w:rPr>
          <w:rFonts w:ascii="Times New Roman" w:hAnsi="Times New Roman"/>
        </w:rPr>
        <w:t>, 20</w:t>
      </w:r>
      <w:r w:rsidR="00AF2689">
        <w:rPr>
          <w:rFonts w:ascii="Times New Roman" w:hAnsi="Times New Roman"/>
        </w:rPr>
        <w:t>12</w:t>
      </w:r>
      <w:r w:rsidR="00AF2689" w:rsidRPr="00BC42AC">
        <w:rPr>
          <w:rFonts w:ascii="Times New Roman" w:hAnsi="Times New Roman"/>
        </w:rPr>
        <w:t xml:space="preserve">, the </w:t>
      </w:r>
      <w:r w:rsidR="00AF2689" w:rsidRPr="001A0A30">
        <w:rPr>
          <w:rFonts w:ascii="Times New Roman" w:hAnsi="Times New Roman"/>
        </w:rPr>
        <w:t>agencies</w:t>
      </w:r>
      <w:r w:rsidR="00AF2689">
        <w:rPr>
          <w:rFonts w:ascii="Times New Roman" w:hAnsi="Times New Roman"/>
        </w:rPr>
        <w:t xml:space="preserve"> jointly</w:t>
      </w:r>
      <w:r w:rsidR="00AF2689" w:rsidRPr="00BC42AC">
        <w:rPr>
          <w:rFonts w:ascii="Times New Roman" w:hAnsi="Times New Roman"/>
        </w:rPr>
        <w:t xml:space="preserve"> published a final </w:t>
      </w:r>
      <w:r w:rsidR="00AF2689">
        <w:rPr>
          <w:rFonts w:ascii="Times New Roman" w:hAnsi="Times New Roman"/>
        </w:rPr>
        <w:t>30-</w:t>
      </w:r>
      <w:r w:rsidR="00AF2689" w:rsidRPr="001A0A30">
        <w:rPr>
          <w:rFonts w:ascii="Times New Roman" w:hAnsi="Times New Roman"/>
        </w:rPr>
        <w:t>day</w:t>
      </w:r>
      <w:r w:rsidR="00AF2689" w:rsidRPr="00BC42AC">
        <w:rPr>
          <w:rFonts w:ascii="Times New Roman" w:hAnsi="Times New Roman"/>
        </w:rPr>
        <w:t xml:space="preserve"> notice in the </w:t>
      </w:r>
      <w:r w:rsidR="00AF2689" w:rsidRPr="00703CF6">
        <w:rPr>
          <w:rFonts w:ascii="Times New Roman" w:hAnsi="Times New Roman"/>
          <w:i/>
        </w:rPr>
        <w:t>Federal Register</w:t>
      </w:r>
      <w:r w:rsidR="00AF2689" w:rsidRPr="00BC42AC">
        <w:rPr>
          <w:rFonts w:ascii="Times New Roman" w:hAnsi="Times New Roman"/>
        </w:rPr>
        <w:t xml:space="preserve"> (</w:t>
      </w:r>
      <w:r w:rsidR="00AF2689">
        <w:rPr>
          <w:rFonts w:ascii="Times New Roman" w:hAnsi="Times New Roman"/>
        </w:rPr>
        <w:t>77</w:t>
      </w:r>
      <w:r w:rsidR="00AF2689" w:rsidRPr="00BC42AC">
        <w:rPr>
          <w:rFonts w:ascii="Times New Roman" w:hAnsi="Times New Roman"/>
        </w:rPr>
        <w:t> FR </w:t>
      </w:r>
      <w:r w:rsidR="00061A67">
        <w:rPr>
          <w:rFonts w:ascii="Times New Roman" w:hAnsi="Times New Roman"/>
        </w:rPr>
        <w:t>5250</w:t>
      </w:r>
      <w:r w:rsidR="00AF2689" w:rsidRPr="00BC42AC">
        <w:rPr>
          <w:rFonts w:ascii="Times New Roman" w:hAnsi="Times New Roman"/>
        </w:rPr>
        <w:t xml:space="preserve">) </w:t>
      </w:r>
      <w:r w:rsidR="00AF2689">
        <w:rPr>
          <w:rFonts w:ascii="Times New Roman" w:hAnsi="Times New Roman"/>
        </w:rPr>
        <w:t xml:space="preserve">for </w:t>
      </w:r>
      <w:r w:rsidR="00AF2689" w:rsidRPr="0032270A">
        <w:rPr>
          <w:rFonts w:ascii="Times New Roman" w:hAnsi="Times New Roman"/>
        </w:rPr>
        <w:t xml:space="preserve">the </w:t>
      </w:r>
      <w:r w:rsidR="00AF2689" w:rsidRPr="001A0A30">
        <w:rPr>
          <w:rFonts w:ascii="Times New Roman" w:hAnsi="Times New Roman"/>
          <w:szCs w:val="24"/>
        </w:rPr>
        <w:t>FFIEC</w:t>
      </w:r>
      <w:r w:rsidR="00AF2689" w:rsidRPr="001A0A30">
        <w:rPr>
          <w:rFonts w:ascii="Times New Roman" w:hAnsi="Times New Roman"/>
        </w:rPr>
        <w:t> </w:t>
      </w:r>
      <w:r w:rsidR="00AF2689" w:rsidRPr="001A0A30">
        <w:rPr>
          <w:rFonts w:ascii="Times New Roman" w:hAnsi="Times New Roman"/>
          <w:szCs w:val="24"/>
        </w:rPr>
        <w:t>009 and the FFIEC</w:t>
      </w:r>
      <w:r w:rsidR="00AF2689" w:rsidRPr="001A0A30">
        <w:rPr>
          <w:rFonts w:ascii="Times New Roman" w:hAnsi="Times New Roman"/>
        </w:rPr>
        <w:t> </w:t>
      </w:r>
      <w:r w:rsidR="00AF2689" w:rsidRPr="001A0A30">
        <w:rPr>
          <w:rFonts w:ascii="Times New Roman" w:hAnsi="Times New Roman"/>
          <w:szCs w:val="24"/>
        </w:rPr>
        <w:t>009a</w:t>
      </w:r>
      <w:r w:rsidR="00AF2689" w:rsidRPr="0032270A">
        <w:rPr>
          <w:rFonts w:ascii="Times New Roman" w:hAnsi="Times New Roman"/>
        </w:rPr>
        <w:t>.</w:t>
      </w:r>
      <w:r w:rsidR="00AF2689">
        <w:rPr>
          <w:rFonts w:ascii="Times New Roman" w:hAnsi="Times New Roman"/>
        </w:rPr>
        <w:t xml:space="preserve">  </w:t>
      </w:r>
      <w:r w:rsidR="00AF2689" w:rsidRPr="007C10B7">
        <w:rPr>
          <w:rFonts w:ascii="Times New Roman" w:hAnsi="Times New Roman"/>
          <w:szCs w:val="24"/>
        </w:rPr>
        <w:t>The comment period for this notice expire</w:t>
      </w:r>
      <w:r w:rsidR="00AF2689">
        <w:rPr>
          <w:rFonts w:ascii="Times New Roman" w:hAnsi="Times New Roman"/>
          <w:szCs w:val="24"/>
        </w:rPr>
        <w:t>s</w:t>
      </w:r>
      <w:r w:rsidR="00AF2689" w:rsidRPr="007C10B7">
        <w:rPr>
          <w:rFonts w:ascii="Times New Roman" w:hAnsi="Times New Roman"/>
          <w:szCs w:val="24"/>
        </w:rPr>
        <w:t xml:space="preserve"> on </w:t>
      </w:r>
      <w:r w:rsidR="00AF2689">
        <w:rPr>
          <w:rFonts w:ascii="Times New Roman" w:hAnsi="Times New Roman"/>
          <w:szCs w:val="24"/>
        </w:rPr>
        <w:t>March</w:t>
      </w:r>
      <w:r w:rsidR="00AF2689" w:rsidRPr="007C10B7">
        <w:rPr>
          <w:rFonts w:ascii="Times New Roman" w:hAnsi="Times New Roman"/>
          <w:szCs w:val="24"/>
        </w:rPr>
        <w:t xml:space="preserve"> </w:t>
      </w:r>
      <w:r w:rsidR="00061A67">
        <w:rPr>
          <w:rFonts w:ascii="Times New Roman" w:hAnsi="Times New Roman"/>
          <w:szCs w:val="24"/>
        </w:rPr>
        <w:t>5</w:t>
      </w:r>
      <w:r w:rsidR="00AF2689" w:rsidRPr="007C10B7">
        <w:rPr>
          <w:rFonts w:ascii="Times New Roman" w:hAnsi="Times New Roman"/>
          <w:szCs w:val="24"/>
        </w:rPr>
        <w:t>, 20</w:t>
      </w:r>
      <w:r w:rsidR="00AF2689">
        <w:rPr>
          <w:rFonts w:ascii="Times New Roman" w:hAnsi="Times New Roman"/>
          <w:szCs w:val="24"/>
        </w:rPr>
        <w:t>12</w:t>
      </w:r>
      <w:r w:rsidR="00AF2689" w:rsidRPr="007C10B7">
        <w:rPr>
          <w:rFonts w:ascii="Times New Roman" w:hAnsi="Times New Roman"/>
          <w:szCs w:val="24"/>
        </w:rPr>
        <w:t>.</w:t>
      </w:r>
    </w:p>
    <w:p w:rsidR="00AF2689" w:rsidRDefault="00AF2689" w:rsidP="00AF2689">
      <w:pPr>
        <w:widowControl/>
        <w:ind w:firstLine="720"/>
        <w:rPr>
          <w:rFonts w:ascii="Times New Roman" w:hAnsi="Times New Roman"/>
          <w:szCs w:val="24"/>
        </w:rPr>
      </w:pPr>
    </w:p>
    <w:p w:rsidR="00AF2689" w:rsidRDefault="00AF2689" w:rsidP="00AF2689">
      <w:pPr>
        <w:widowControl/>
        <w:ind w:firstLine="720"/>
        <w:rPr>
          <w:rFonts w:ascii="Times New Roman" w:hAnsi="Times New Roman"/>
          <w:szCs w:val="24"/>
        </w:rPr>
      </w:pPr>
    </w:p>
    <w:p w:rsidR="00AF2689" w:rsidRDefault="00AF2689" w:rsidP="00AF2689">
      <w:pPr>
        <w:widowControl/>
        <w:ind w:firstLine="720"/>
        <w:rPr>
          <w:rFonts w:ascii="Times New Roman" w:hAnsi="Times New Roman"/>
          <w:b/>
        </w:rPr>
      </w:pPr>
    </w:p>
    <w:p w:rsidR="00DB57AF" w:rsidRPr="001A0A30" w:rsidRDefault="00DB57AF" w:rsidP="003A708B">
      <w:pPr>
        <w:widowControl/>
        <w:rPr>
          <w:rFonts w:ascii="Times New Roman" w:hAnsi="Times New Roman"/>
        </w:rPr>
      </w:pPr>
      <w:r w:rsidRPr="001A0A30">
        <w:rPr>
          <w:rFonts w:ascii="Times New Roman" w:hAnsi="Times New Roman"/>
          <w:b/>
        </w:rPr>
        <w:lastRenderedPageBreak/>
        <w:t>Estimate of Respondent Burden</w:t>
      </w:r>
    </w:p>
    <w:p w:rsidR="00DB57AF" w:rsidRPr="001A0A30" w:rsidRDefault="00DB57AF" w:rsidP="003A708B">
      <w:pPr>
        <w:widowControl/>
        <w:rPr>
          <w:rFonts w:ascii="Times New Roman" w:hAnsi="Times New Roman"/>
        </w:rPr>
      </w:pPr>
    </w:p>
    <w:p w:rsidR="00823D8E" w:rsidRPr="004C3FF9" w:rsidRDefault="00884639" w:rsidP="003A708B">
      <w:pPr>
        <w:widowControl/>
        <w:ind w:firstLine="720"/>
        <w:rPr>
          <w:rFonts w:ascii="Times New Roman" w:hAnsi="Times New Roman"/>
        </w:rPr>
      </w:pPr>
      <w:r w:rsidRPr="004C3FF9">
        <w:rPr>
          <w:rFonts w:ascii="Times New Roman" w:hAnsi="Times New Roman"/>
          <w:szCs w:val="24"/>
          <w:lang w:val="en-CA"/>
        </w:rPr>
        <w:fldChar w:fldCharType="begin"/>
      </w:r>
      <w:r w:rsidR="00823D8E" w:rsidRPr="004C3FF9">
        <w:rPr>
          <w:rFonts w:ascii="Times New Roman" w:hAnsi="Times New Roman"/>
          <w:szCs w:val="24"/>
          <w:lang w:val="en-CA"/>
        </w:rPr>
        <w:instrText xml:space="preserve"> SEQ CHAPTER \h \r 1</w:instrText>
      </w:r>
      <w:r w:rsidRPr="004C3FF9">
        <w:rPr>
          <w:rFonts w:ascii="Times New Roman" w:hAnsi="Times New Roman"/>
          <w:szCs w:val="24"/>
          <w:lang w:val="en-CA"/>
        </w:rPr>
        <w:fldChar w:fldCharType="end"/>
      </w:r>
      <w:r w:rsidR="00823D8E" w:rsidRPr="004C3FF9">
        <w:rPr>
          <w:rFonts w:ascii="Times New Roman" w:hAnsi="Times New Roman"/>
          <w:szCs w:val="24"/>
        </w:rPr>
        <w:t>The reporting burden associated with the current FFIEC</w:t>
      </w:r>
      <w:r w:rsidR="006D3C8A" w:rsidRPr="004C3FF9">
        <w:rPr>
          <w:rFonts w:ascii="Times New Roman" w:hAnsi="Times New Roman"/>
          <w:szCs w:val="24"/>
        </w:rPr>
        <w:t> </w:t>
      </w:r>
      <w:r w:rsidR="00823D8E" w:rsidRPr="004C3FF9">
        <w:rPr>
          <w:rFonts w:ascii="Times New Roman" w:hAnsi="Times New Roman"/>
          <w:szCs w:val="24"/>
        </w:rPr>
        <w:t xml:space="preserve">009 is estimated to require an average of </w:t>
      </w:r>
      <w:r w:rsidR="00E6166D" w:rsidRPr="004C3FF9">
        <w:rPr>
          <w:rFonts w:ascii="Times New Roman" w:hAnsi="Times New Roman"/>
          <w:szCs w:val="24"/>
        </w:rPr>
        <w:t>7</w:t>
      </w:r>
      <w:r w:rsidR="00823D8E" w:rsidRPr="004C3FF9">
        <w:rPr>
          <w:rFonts w:ascii="Times New Roman" w:hAnsi="Times New Roman"/>
          <w:szCs w:val="24"/>
        </w:rPr>
        <w:t xml:space="preserve">0 hours per response, for a total burden of </w:t>
      </w:r>
      <w:r w:rsidR="00936E34" w:rsidRPr="004C3FF9">
        <w:rPr>
          <w:rFonts w:ascii="Times New Roman" w:hAnsi="Times New Roman"/>
        </w:rPr>
        <w:t>9,800</w:t>
      </w:r>
      <w:r w:rsidR="003A708B" w:rsidRPr="004C3FF9">
        <w:rPr>
          <w:rFonts w:ascii="Times New Roman" w:hAnsi="Times New Roman"/>
        </w:rPr>
        <w:t xml:space="preserve"> </w:t>
      </w:r>
      <w:r w:rsidR="00823D8E" w:rsidRPr="004C3FF9">
        <w:rPr>
          <w:rFonts w:ascii="Times New Roman" w:hAnsi="Times New Roman"/>
          <w:szCs w:val="24"/>
        </w:rPr>
        <w:t>hours annually.  The reporting burden associated with the current FFIEC</w:t>
      </w:r>
      <w:r w:rsidR="006D3C8A" w:rsidRPr="004C3FF9">
        <w:rPr>
          <w:rFonts w:ascii="Times New Roman" w:hAnsi="Times New Roman"/>
          <w:szCs w:val="24"/>
        </w:rPr>
        <w:t> </w:t>
      </w:r>
      <w:r w:rsidR="00823D8E" w:rsidRPr="004C3FF9">
        <w:rPr>
          <w:rFonts w:ascii="Times New Roman" w:hAnsi="Times New Roman"/>
          <w:szCs w:val="24"/>
        </w:rPr>
        <w:t xml:space="preserve">009a is estimated to require an average 5.25 hours per response, for a total of </w:t>
      </w:r>
      <w:r w:rsidR="00936E34" w:rsidRPr="004C3FF9">
        <w:rPr>
          <w:rFonts w:ascii="Times New Roman" w:hAnsi="Times New Roman"/>
          <w:noProof/>
        </w:rPr>
        <w:t xml:space="preserve">504 </w:t>
      </w:r>
      <w:r w:rsidR="00823D8E" w:rsidRPr="004C3FF9">
        <w:rPr>
          <w:rFonts w:ascii="Times New Roman" w:hAnsi="Times New Roman"/>
          <w:szCs w:val="24"/>
        </w:rPr>
        <w:t>hours annually.</w:t>
      </w:r>
      <w:r w:rsidR="00E6166D" w:rsidRPr="004C3FF9">
        <w:rPr>
          <w:rFonts w:ascii="Times New Roman" w:hAnsi="Times New Roman"/>
          <w:szCs w:val="24"/>
        </w:rPr>
        <w:t xml:space="preserve"> </w:t>
      </w:r>
      <w:r w:rsidR="002A461A" w:rsidRPr="004C3FF9">
        <w:rPr>
          <w:rFonts w:ascii="Times New Roman" w:hAnsi="Times New Roman"/>
          <w:szCs w:val="24"/>
        </w:rPr>
        <w:t xml:space="preserve"> </w:t>
      </w:r>
      <w:r w:rsidR="00823D8E" w:rsidRPr="004C3FF9">
        <w:rPr>
          <w:rFonts w:ascii="Times New Roman" w:hAnsi="Times New Roman"/>
        </w:rPr>
        <w:t>The total burden represents less than 1 percent of the total Federal Reserve System burden.</w:t>
      </w:r>
    </w:p>
    <w:p w:rsidR="003A708B" w:rsidRPr="004C3FF9" w:rsidRDefault="003A708B" w:rsidP="003A708B">
      <w:pPr>
        <w:widowControl/>
        <w:ind w:firstLine="720"/>
        <w:rPr>
          <w:rFonts w:ascii="Times New Roman" w:hAnsi="Times New Roman"/>
        </w:rPr>
      </w:pPr>
    </w:p>
    <w:tbl>
      <w:tblPr>
        <w:tblW w:w="0" w:type="auto"/>
        <w:tblInd w:w="120" w:type="dxa"/>
        <w:tblBorders>
          <w:top w:val="single" w:sz="6" w:space="0" w:color="auto"/>
          <w:bottom w:val="single" w:sz="6" w:space="0" w:color="auto"/>
        </w:tblBorders>
        <w:tblLayout w:type="fixed"/>
        <w:tblCellMar>
          <w:left w:w="120" w:type="dxa"/>
          <w:right w:w="120" w:type="dxa"/>
        </w:tblCellMar>
        <w:tblLook w:val="0000"/>
      </w:tblPr>
      <w:tblGrid>
        <w:gridCol w:w="2160"/>
        <w:gridCol w:w="1799"/>
        <w:gridCol w:w="1800"/>
        <w:gridCol w:w="1800"/>
        <w:gridCol w:w="1800"/>
      </w:tblGrid>
      <w:tr w:rsidR="00677DDF" w:rsidRPr="004C3FF9">
        <w:tc>
          <w:tcPr>
            <w:tcW w:w="2160" w:type="dxa"/>
            <w:vAlign w:val="center"/>
          </w:tcPr>
          <w:p w:rsidR="00677DDF" w:rsidRPr="004C3FF9" w:rsidRDefault="00BF5175" w:rsidP="003A708B">
            <w:pPr>
              <w:widowControl/>
              <w:tabs>
                <w:tab w:val="left" w:pos="360"/>
              </w:tabs>
              <w:rPr>
                <w:rFonts w:ascii="Times New Roman" w:hAnsi="Times New Roman"/>
              </w:rPr>
            </w:pPr>
            <w:r w:rsidRPr="004C3FF9">
              <w:rPr>
                <w:rFonts w:ascii="Times New Roman" w:hAnsi="Times New Roman"/>
              </w:rPr>
              <w:br w:type="page"/>
            </w:r>
          </w:p>
        </w:tc>
        <w:tc>
          <w:tcPr>
            <w:tcW w:w="1799" w:type="dxa"/>
            <w:vAlign w:val="center"/>
          </w:tcPr>
          <w:p w:rsidR="00677DDF" w:rsidRPr="004C3FF9" w:rsidRDefault="00677DDF" w:rsidP="0012673B">
            <w:pPr>
              <w:pStyle w:val="Heading3"/>
            </w:pPr>
            <w:r w:rsidRPr="004C3FF9">
              <w:t>Number</w:t>
            </w:r>
            <w:r w:rsidR="00A96285" w:rsidRPr="004C3FF9">
              <w:t xml:space="preserve"> of</w:t>
            </w:r>
          </w:p>
          <w:p w:rsidR="00677DDF" w:rsidRPr="004C3FF9" w:rsidRDefault="00B0045A" w:rsidP="0012673B">
            <w:pPr>
              <w:widowControl/>
              <w:tabs>
                <w:tab w:val="left" w:pos="360"/>
              </w:tabs>
              <w:jc w:val="center"/>
              <w:rPr>
                <w:rFonts w:ascii="Times New Roman" w:hAnsi="Times New Roman"/>
              </w:rPr>
            </w:pPr>
            <w:r w:rsidRPr="004C3FF9">
              <w:rPr>
                <w:rFonts w:ascii="Times New Roman" w:hAnsi="Times New Roman"/>
                <w:i/>
              </w:rPr>
              <w:t>r</w:t>
            </w:r>
            <w:r w:rsidR="00677DDF" w:rsidRPr="004C3FF9">
              <w:rPr>
                <w:rFonts w:ascii="Times New Roman" w:hAnsi="Times New Roman"/>
                <w:i/>
              </w:rPr>
              <w:t>espondents</w:t>
            </w:r>
          </w:p>
        </w:tc>
        <w:tc>
          <w:tcPr>
            <w:tcW w:w="1800" w:type="dxa"/>
            <w:vAlign w:val="center"/>
          </w:tcPr>
          <w:p w:rsidR="00677DDF" w:rsidRPr="004C3FF9" w:rsidRDefault="00677DDF" w:rsidP="0012673B">
            <w:pPr>
              <w:pStyle w:val="Heading3"/>
            </w:pPr>
            <w:r w:rsidRPr="004C3FF9">
              <w:t>Annual</w:t>
            </w:r>
          </w:p>
          <w:p w:rsidR="00677DDF" w:rsidRPr="004C3FF9" w:rsidRDefault="00B0045A" w:rsidP="0012673B">
            <w:pPr>
              <w:widowControl/>
              <w:tabs>
                <w:tab w:val="left" w:pos="360"/>
              </w:tabs>
              <w:jc w:val="center"/>
              <w:rPr>
                <w:rFonts w:ascii="Times New Roman" w:hAnsi="Times New Roman"/>
              </w:rPr>
            </w:pPr>
            <w:r w:rsidRPr="004C3FF9">
              <w:rPr>
                <w:rFonts w:ascii="Times New Roman" w:hAnsi="Times New Roman"/>
                <w:i/>
              </w:rPr>
              <w:t>f</w:t>
            </w:r>
            <w:r w:rsidR="00677DDF" w:rsidRPr="004C3FF9">
              <w:rPr>
                <w:rFonts w:ascii="Times New Roman" w:hAnsi="Times New Roman"/>
                <w:i/>
              </w:rPr>
              <w:t>requency</w:t>
            </w:r>
          </w:p>
        </w:tc>
        <w:tc>
          <w:tcPr>
            <w:tcW w:w="1800" w:type="dxa"/>
            <w:vAlign w:val="center"/>
          </w:tcPr>
          <w:p w:rsidR="00677DDF" w:rsidRPr="004C3FF9" w:rsidRDefault="00677DDF" w:rsidP="00544B4A">
            <w:pPr>
              <w:widowControl/>
              <w:tabs>
                <w:tab w:val="left" w:pos="360"/>
              </w:tabs>
              <w:jc w:val="center"/>
              <w:rPr>
                <w:rFonts w:ascii="Times New Roman" w:hAnsi="Times New Roman"/>
                <w:i/>
              </w:rPr>
            </w:pPr>
            <w:r w:rsidRPr="004C3FF9">
              <w:rPr>
                <w:rFonts w:ascii="Times New Roman" w:hAnsi="Times New Roman"/>
                <w:i/>
              </w:rPr>
              <w:t>Estimated</w:t>
            </w:r>
          </w:p>
          <w:p w:rsidR="00677DDF" w:rsidRPr="004C3FF9" w:rsidRDefault="00B0045A" w:rsidP="00544B4A">
            <w:pPr>
              <w:widowControl/>
              <w:tabs>
                <w:tab w:val="left" w:pos="360"/>
              </w:tabs>
              <w:jc w:val="center"/>
              <w:rPr>
                <w:rFonts w:ascii="Times New Roman" w:hAnsi="Times New Roman"/>
                <w:i/>
              </w:rPr>
            </w:pPr>
            <w:r w:rsidRPr="004C3FF9">
              <w:rPr>
                <w:rFonts w:ascii="Times New Roman" w:hAnsi="Times New Roman"/>
                <w:i/>
              </w:rPr>
              <w:t>a</w:t>
            </w:r>
            <w:r w:rsidR="00677DDF" w:rsidRPr="004C3FF9">
              <w:rPr>
                <w:rFonts w:ascii="Times New Roman" w:hAnsi="Times New Roman"/>
                <w:i/>
              </w:rPr>
              <w:t xml:space="preserve">verage </w:t>
            </w:r>
            <w:r w:rsidRPr="004C3FF9">
              <w:rPr>
                <w:rFonts w:ascii="Times New Roman" w:hAnsi="Times New Roman"/>
                <w:i/>
              </w:rPr>
              <w:t>h</w:t>
            </w:r>
            <w:r w:rsidR="00677DDF" w:rsidRPr="004C3FF9">
              <w:rPr>
                <w:rFonts w:ascii="Times New Roman" w:hAnsi="Times New Roman"/>
                <w:i/>
              </w:rPr>
              <w:t>ours</w:t>
            </w:r>
          </w:p>
          <w:p w:rsidR="00677DDF" w:rsidRPr="004C3FF9" w:rsidRDefault="00B0045A" w:rsidP="00544B4A">
            <w:pPr>
              <w:widowControl/>
              <w:tabs>
                <w:tab w:val="left" w:pos="360"/>
              </w:tabs>
              <w:jc w:val="center"/>
              <w:rPr>
                <w:rFonts w:ascii="Times New Roman" w:hAnsi="Times New Roman"/>
              </w:rPr>
            </w:pPr>
            <w:r w:rsidRPr="004C3FF9">
              <w:rPr>
                <w:rFonts w:ascii="Times New Roman" w:hAnsi="Times New Roman"/>
                <w:i/>
              </w:rPr>
              <w:t>p</w:t>
            </w:r>
            <w:r w:rsidR="00677DDF" w:rsidRPr="004C3FF9">
              <w:rPr>
                <w:rFonts w:ascii="Times New Roman" w:hAnsi="Times New Roman"/>
                <w:i/>
              </w:rPr>
              <w:t xml:space="preserve">er </w:t>
            </w:r>
            <w:r w:rsidRPr="004C3FF9">
              <w:rPr>
                <w:rFonts w:ascii="Times New Roman" w:hAnsi="Times New Roman"/>
                <w:i/>
              </w:rPr>
              <w:t>r</w:t>
            </w:r>
            <w:r w:rsidR="00677DDF" w:rsidRPr="004C3FF9">
              <w:rPr>
                <w:rFonts w:ascii="Times New Roman" w:hAnsi="Times New Roman"/>
                <w:i/>
              </w:rPr>
              <w:t>esponse</w:t>
            </w:r>
          </w:p>
        </w:tc>
        <w:tc>
          <w:tcPr>
            <w:tcW w:w="1800" w:type="dxa"/>
            <w:vAlign w:val="center"/>
          </w:tcPr>
          <w:p w:rsidR="00677DDF" w:rsidRPr="004C3FF9" w:rsidRDefault="00677DDF" w:rsidP="00544B4A">
            <w:pPr>
              <w:widowControl/>
              <w:tabs>
                <w:tab w:val="left" w:pos="360"/>
              </w:tabs>
              <w:jc w:val="center"/>
              <w:rPr>
                <w:rFonts w:ascii="Times New Roman" w:hAnsi="Times New Roman"/>
                <w:i/>
                <w:iCs/>
              </w:rPr>
            </w:pPr>
            <w:r w:rsidRPr="004C3FF9">
              <w:rPr>
                <w:rFonts w:ascii="Times New Roman" w:hAnsi="Times New Roman"/>
                <w:i/>
                <w:iCs/>
              </w:rPr>
              <w:t>Estimated</w:t>
            </w:r>
          </w:p>
          <w:p w:rsidR="00A96285" w:rsidRPr="004C3FF9" w:rsidRDefault="00B0045A" w:rsidP="00544B4A">
            <w:pPr>
              <w:widowControl/>
              <w:tabs>
                <w:tab w:val="left" w:pos="360"/>
              </w:tabs>
              <w:jc w:val="center"/>
              <w:rPr>
                <w:rFonts w:ascii="Times New Roman" w:hAnsi="Times New Roman"/>
                <w:i/>
                <w:iCs/>
              </w:rPr>
            </w:pPr>
            <w:r w:rsidRPr="004C3FF9">
              <w:rPr>
                <w:rFonts w:ascii="Times New Roman" w:hAnsi="Times New Roman"/>
                <w:i/>
                <w:iCs/>
              </w:rPr>
              <w:t>a</w:t>
            </w:r>
            <w:r w:rsidR="00677DDF" w:rsidRPr="004C3FF9">
              <w:rPr>
                <w:rFonts w:ascii="Times New Roman" w:hAnsi="Times New Roman"/>
                <w:i/>
                <w:iCs/>
              </w:rPr>
              <w:t>nnual</w:t>
            </w:r>
          </w:p>
          <w:p w:rsidR="00677DDF" w:rsidRPr="004C3FF9" w:rsidRDefault="00B0045A" w:rsidP="00544B4A">
            <w:pPr>
              <w:widowControl/>
              <w:tabs>
                <w:tab w:val="left" w:pos="360"/>
              </w:tabs>
              <w:jc w:val="center"/>
              <w:rPr>
                <w:rFonts w:ascii="Times New Roman" w:hAnsi="Times New Roman"/>
              </w:rPr>
            </w:pPr>
            <w:r w:rsidRPr="004C3FF9">
              <w:rPr>
                <w:rFonts w:ascii="Times New Roman" w:hAnsi="Times New Roman"/>
                <w:i/>
                <w:iCs/>
              </w:rPr>
              <w:t>b</w:t>
            </w:r>
            <w:r w:rsidR="00677DDF" w:rsidRPr="004C3FF9">
              <w:rPr>
                <w:rFonts w:ascii="Times New Roman" w:hAnsi="Times New Roman"/>
                <w:i/>
                <w:iCs/>
              </w:rPr>
              <w:t>urden</w:t>
            </w:r>
            <w:r w:rsidR="00A96285" w:rsidRPr="004C3FF9">
              <w:rPr>
                <w:rFonts w:ascii="Times New Roman" w:hAnsi="Times New Roman"/>
                <w:i/>
                <w:iCs/>
              </w:rPr>
              <w:t xml:space="preserve"> </w:t>
            </w:r>
            <w:r w:rsidRPr="004C3FF9">
              <w:rPr>
                <w:rFonts w:ascii="Times New Roman" w:hAnsi="Times New Roman"/>
                <w:i/>
                <w:iCs/>
              </w:rPr>
              <w:t>h</w:t>
            </w:r>
            <w:r w:rsidR="00677DDF" w:rsidRPr="004C3FF9">
              <w:rPr>
                <w:rFonts w:ascii="Times New Roman" w:hAnsi="Times New Roman"/>
                <w:i/>
                <w:iCs/>
              </w:rPr>
              <w:t>ours</w:t>
            </w:r>
          </w:p>
        </w:tc>
      </w:tr>
      <w:tr w:rsidR="0040084E" w:rsidRPr="004C3FF9">
        <w:trPr>
          <w:trHeight w:val="300"/>
        </w:trPr>
        <w:tc>
          <w:tcPr>
            <w:tcW w:w="2160" w:type="dxa"/>
          </w:tcPr>
          <w:p w:rsidR="0040084E" w:rsidRPr="004C3FF9" w:rsidRDefault="0040084E" w:rsidP="003A708B">
            <w:pPr>
              <w:pStyle w:val="Heading2"/>
              <w:jc w:val="left"/>
              <w:rPr>
                <w:b/>
                <w:i w:val="0"/>
              </w:rPr>
            </w:pPr>
          </w:p>
        </w:tc>
        <w:tc>
          <w:tcPr>
            <w:tcW w:w="1799" w:type="dxa"/>
            <w:vAlign w:val="center"/>
          </w:tcPr>
          <w:p w:rsidR="0040084E" w:rsidRPr="004C3FF9" w:rsidRDefault="0040084E" w:rsidP="003A708B">
            <w:pPr>
              <w:widowControl/>
              <w:spacing w:after="19"/>
              <w:rPr>
                <w:rFonts w:ascii="Times New Roman" w:hAnsi="Times New Roman"/>
              </w:rPr>
            </w:pPr>
          </w:p>
        </w:tc>
        <w:tc>
          <w:tcPr>
            <w:tcW w:w="1800" w:type="dxa"/>
            <w:vAlign w:val="center"/>
          </w:tcPr>
          <w:p w:rsidR="0040084E" w:rsidRPr="004C3FF9" w:rsidRDefault="0040084E" w:rsidP="003A708B">
            <w:pPr>
              <w:widowControl/>
              <w:spacing w:after="19"/>
              <w:rPr>
                <w:rFonts w:ascii="Times New Roman" w:hAnsi="Times New Roman"/>
              </w:rPr>
            </w:pPr>
          </w:p>
        </w:tc>
        <w:tc>
          <w:tcPr>
            <w:tcW w:w="1800" w:type="dxa"/>
            <w:vAlign w:val="center"/>
          </w:tcPr>
          <w:p w:rsidR="0040084E" w:rsidRPr="004C3FF9" w:rsidRDefault="0040084E" w:rsidP="00544B4A">
            <w:pPr>
              <w:widowControl/>
              <w:spacing w:after="19"/>
              <w:jc w:val="center"/>
              <w:rPr>
                <w:rFonts w:ascii="Times New Roman" w:hAnsi="Times New Roman"/>
              </w:rPr>
            </w:pPr>
          </w:p>
        </w:tc>
        <w:tc>
          <w:tcPr>
            <w:tcW w:w="1800" w:type="dxa"/>
            <w:vAlign w:val="bottom"/>
          </w:tcPr>
          <w:p w:rsidR="0040084E" w:rsidRPr="004C3FF9" w:rsidRDefault="0040084E" w:rsidP="00544B4A">
            <w:pPr>
              <w:tabs>
                <w:tab w:val="right" w:pos="1152"/>
              </w:tabs>
              <w:jc w:val="center"/>
              <w:rPr>
                <w:rFonts w:ascii="Times New Roman" w:hAnsi="Times New Roman"/>
                <w:noProof/>
                <w:snapToGrid/>
                <w:sz w:val="20"/>
              </w:rPr>
            </w:pPr>
          </w:p>
        </w:tc>
      </w:tr>
      <w:tr w:rsidR="0040084E" w:rsidRPr="004C3FF9">
        <w:trPr>
          <w:trHeight w:val="300"/>
        </w:trPr>
        <w:tc>
          <w:tcPr>
            <w:tcW w:w="2160" w:type="dxa"/>
          </w:tcPr>
          <w:p w:rsidR="0040084E" w:rsidRPr="004C3FF9" w:rsidRDefault="0040084E" w:rsidP="003A708B">
            <w:pPr>
              <w:pStyle w:val="Heading1"/>
              <w:widowControl w:val="0"/>
              <w:jc w:val="left"/>
              <w:rPr>
                <w:rFonts w:ascii="Times New Roman" w:hAnsi="Times New Roman"/>
                <w:b w:val="0"/>
                <w:bCs w:val="0"/>
              </w:rPr>
            </w:pPr>
            <w:r w:rsidRPr="004C3FF9">
              <w:rPr>
                <w:rFonts w:ascii="Times New Roman" w:hAnsi="Times New Roman"/>
                <w:b w:val="0"/>
              </w:rPr>
              <w:t>FFIEC 009</w:t>
            </w:r>
          </w:p>
        </w:tc>
        <w:tc>
          <w:tcPr>
            <w:tcW w:w="1799" w:type="dxa"/>
            <w:vAlign w:val="center"/>
          </w:tcPr>
          <w:p w:rsidR="0040084E" w:rsidRPr="004C3FF9" w:rsidRDefault="00675AF3" w:rsidP="003A708B">
            <w:pPr>
              <w:pStyle w:val="Header"/>
              <w:tabs>
                <w:tab w:val="clear" w:pos="4320"/>
                <w:tab w:val="clear" w:pos="8640"/>
                <w:tab w:val="right" w:pos="870"/>
              </w:tabs>
              <w:jc w:val="center"/>
              <w:rPr>
                <w:rFonts w:ascii="Times New Roman" w:hAnsi="Times New Roman"/>
              </w:rPr>
            </w:pPr>
            <w:r w:rsidRPr="004C3FF9">
              <w:rPr>
                <w:rFonts w:ascii="Times New Roman" w:hAnsi="Times New Roman"/>
              </w:rPr>
              <w:t>35</w:t>
            </w:r>
          </w:p>
        </w:tc>
        <w:tc>
          <w:tcPr>
            <w:tcW w:w="1800" w:type="dxa"/>
            <w:vAlign w:val="center"/>
          </w:tcPr>
          <w:p w:rsidR="0040084E" w:rsidRPr="004C3FF9" w:rsidRDefault="0040084E" w:rsidP="003A708B">
            <w:pPr>
              <w:ind w:right="-2"/>
              <w:jc w:val="center"/>
              <w:rPr>
                <w:rFonts w:ascii="Times New Roman" w:hAnsi="Times New Roman"/>
              </w:rPr>
            </w:pPr>
            <w:r w:rsidRPr="004C3FF9">
              <w:rPr>
                <w:rFonts w:ascii="Times New Roman" w:hAnsi="Times New Roman"/>
              </w:rPr>
              <w:t>4</w:t>
            </w:r>
          </w:p>
        </w:tc>
        <w:tc>
          <w:tcPr>
            <w:tcW w:w="1800" w:type="dxa"/>
            <w:vAlign w:val="center"/>
          </w:tcPr>
          <w:p w:rsidR="0040084E" w:rsidRPr="004C3FF9" w:rsidRDefault="00A96285" w:rsidP="00544B4A">
            <w:pPr>
              <w:pStyle w:val="Header"/>
              <w:tabs>
                <w:tab w:val="clear" w:pos="4320"/>
                <w:tab w:val="clear" w:pos="8640"/>
                <w:tab w:val="decimal" w:pos="662"/>
                <w:tab w:val="left" w:pos="997"/>
              </w:tabs>
              <w:jc w:val="center"/>
              <w:rPr>
                <w:rFonts w:ascii="Times New Roman" w:hAnsi="Times New Roman"/>
              </w:rPr>
            </w:pPr>
            <w:r w:rsidRPr="004C3FF9">
              <w:rPr>
                <w:rFonts w:ascii="Times New Roman" w:hAnsi="Times New Roman"/>
              </w:rPr>
              <w:t>70</w:t>
            </w:r>
          </w:p>
        </w:tc>
        <w:tc>
          <w:tcPr>
            <w:tcW w:w="1800" w:type="dxa"/>
          </w:tcPr>
          <w:p w:rsidR="0040084E" w:rsidRPr="004C3FF9" w:rsidRDefault="00675AF3" w:rsidP="00544B4A">
            <w:pPr>
              <w:tabs>
                <w:tab w:val="right" w:pos="1152"/>
              </w:tabs>
              <w:jc w:val="center"/>
              <w:rPr>
                <w:rFonts w:ascii="Times New Roman" w:hAnsi="Times New Roman"/>
              </w:rPr>
            </w:pPr>
            <w:r w:rsidRPr="004C3FF9">
              <w:rPr>
                <w:rFonts w:ascii="Times New Roman" w:hAnsi="Times New Roman"/>
              </w:rPr>
              <w:t>9,800</w:t>
            </w:r>
          </w:p>
        </w:tc>
      </w:tr>
      <w:tr w:rsidR="0040084E" w:rsidRPr="004C3FF9">
        <w:trPr>
          <w:trHeight w:val="300"/>
        </w:trPr>
        <w:tc>
          <w:tcPr>
            <w:tcW w:w="2160" w:type="dxa"/>
          </w:tcPr>
          <w:p w:rsidR="0040084E" w:rsidRPr="004C3FF9" w:rsidRDefault="0040084E" w:rsidP="003A708B">
            <w:pPr>
              <w:pStyle w:val="Heading1"/>
              <w:widowControl w:val="0"/>
              <w:jc w:val="left"/>
              <w:rPr>
                <w:rFonts w:ascii="Times New Roman" w:hAnsi="Times New Roman"/>
                <w:b w:val="0"/>
                <w:bCs w:val="0"/>
              </w:rPr>
            </w:pPr>
            <w:r w:rsidRPr="004C3FF9">
              <w:rPr>
                <w:rFonts w:ascii="Times New Roman" w:hAnsi="Times New Roman"/>
                <w:b w:val="0"/>
              </w:rPr>
              <w:t>FFIEC 009a</w:t>
            </w:r>
          </w:p>
        </w:tc>
        <w:tc>
          <w:tcPr>
            <w:tcW w:w="1799" w:type="dxa"/>
            <w:vAlign w:val="center"/>
          </w:tcPr>
          <w:p w:rsidR="0040084E" w:rsidRPr="004C3FF9" w:rsidRDefault="00675AF3" w:rsidP="003A708B">
            <w:pPr>
              <w:tabs>
                <w:tab w:val="right" w:pos="870"/>
              </w:tabs>
              <w:jc w:val="center"/>
              <w:rPr>
                <w:rFonts w:ascii="Times New Roman" w:hAnsi="Times New Roman"/>
              </w:rPr>
            </w:pPr>
            <w:r w:rsidRPr="004C3FF9">
              <w:rPr>
                <w:rFonts w:ascii="Times New Roman" w:hAnsi="Times New Roman"/>
              </w:rPr>
              <w:t>24</w:t>
            </w:r>
          </w:p>
        </w:tc>
        <w:tc>
          <w:tcPr>
            <w:tcW w:w="1800" w:type="dxa"/>
            <w:vAlign w:val="center"/>
          </w:tcPr>
          <w:p w:rsidR="0040084E" w:rsidRPr="004C3FF9" w:rsidRDefault="0040084E" w:rsidP="003A708B">
            <w:pPr>
              <w:ind w:right="-2"/>
              <w:jc w:val="center"/>
              <w:rPr>
                <w:rFonts w:ascii="Times New Roman" w:hAnsi="Times New Roman"/>
              </w:rPr>
            </w:pPr>
            <w:r w:rsidRPr="004C3FF9">
              <w:rPr>
                <w:rFonts w:ascii="Times New Roman" w:hAnsi="Times New Roman"/>
              </w:rPr>
              <w:t>4</w:t>
            </w:r>
          </w:p>
        </w:tc>
        <w:tc>
          <w:tcPr>
            <w:tcW w:w="1800" w:type="dxa"/>
            <w:vAlign w:val="center"/>
          </w:tcPr>
          <w:p w:rsidR="0040084E" w:rsidRPr="004C3FF9" w:rsidRDefault="0040084E" w:rsidP="00544B4A">
            <w:pPr>
              <w:pStyle w:val="Header"/>
              <w:tabs>
                <w:tab w:val="clear" w:pos="4320"/>
                <w:tab w:val="clear" w:pos="8640"/>
                <w:tab w:val="decimal" w:pos="662"/>
                <w:tab w:val="left" w:pos="1093"/>
              </w:tabs>
              <w:jc w:val="center"/>
              <w:rPr>
                <w:rFonts w:ascii="Times New Roman" w:hAnsi="Times New Roman"/>
              </w:rPr>
            </w:pPr>
            <w:r w:rsidRPr="004C3FF9">
              <w:rPr>
                <w:rFonts w:ascii="Times New Roman" w:hAnsi="Times New Roman"/>
              </w:rPr>
              <w:t>5.25</w:t>
            </w:r>
          </w:p>
        </w:tc>
        <w:tc>
          <w:tcPr>
            <w:tcW w:w="1800" w:type="dxa"/>
          </w:tcPr>
          <w:p w:rsidR="0040084E" w:rsidRPr="004C3FF9" w:rsidRDefault="00884639" w:rsidP="00544B4A">
            <w:pPr>
              <w:tabs>
                <w:tab w:val="right" w:pos="1152"/>
              </w:tabs>
              <w:jc w:val="center"/>
              <w:rPr>
                <w:rFonts w:ascii="Times New Roman" w:hAnsi="Times New Roman"/>
                <w:u w:val="single"/>
              </w:rPr>
            </w:pPr>
            <w:r w:rsidRPr="00884639">
              <w:rPr>
                <w:rFonts w:ascii="Times New Roman" w:hAnsi="Times New Roman"/>
              </w:rPr>
              <w:fldChar w:fldCharType="begin"/>
            </w:r>
            <w:r w:rsidR="0040084E" w:rsidRPr="004C3FF9">
              <w:rPr>
                <w:rFonts w:ascii="Times New Roman" w:hAnsi="Times New Roman"/>
              </w:rPr>
              <w:instrText xml:space="preserve"> =b</w:instrText>
            </w:r>
            <w:r w:rsidR="00DA5F37" w:rsidRPr="004C3FF9">
              <w:rPr>
                <w:rFonts w:ascii="Times New Roman" w:hAnsi="Times New Roman"/>
              </w:rPr>
              <w:instrText>4</w:instrText>
            </w:r>
            <w:r w:rsidR="0040084E" w:rsidRPr="004C3FF9">
              <w:rPr>
                <w:rFonts w:ascii="Times New Roman" w:hAnsi="Times New Roman"/>
              </w:rPr>
              <w:instrText>*c</w:instrText>
            </w:r>
            <w:r w:rsidR="00DA5F37" w:rsidRPr="004C3FF9">
              <w:rPr>
                <w:rFonts w:ascii="Times New Roman" w:hAnsi="Times New Roman"/>
              </w:rPr>
              <w:instrText>4</w:instrText>
            </w:r>
            <w:r w:rsidR="0040084E" w:rsidRPr="004C3FF9">
              <w:rPr>
                <w:rFonts w:ascii="Times New Roman" w:hAnsi="Times New Roman"/>
              </w:rPr>
              <w:instrText>*d</w:instrText>
            </w:r>
            <w:r w:rsidR="00DA5F37" w:rsidRPr="004C3FF9">
              <w:rPr>
                <w:rFonts w:ascii="Times New Roman" w:hAnsi="Times New Roman"/>
              </w:rPr>
              <w:instrText>4</w:instrText>
            </w:r>
            <w:r w:rsidR="0040084E" w:rsidRPr="004C3FF9">
              <w:rPr>
                <w:rFonts w:ascii="Times New Roman" w:hAnsi="Times New Roman"/>
              </w:rPr>
              <w:instrText xml:space="preserve"> \# "#,##0" </w:instrText>
            </w:r>
            <w:r w:rsidRPr="00884639">
              <w:rPr>
                <w:rFonts w:ascii="Times New Roman" w:hAnsi="Times New Roman"/>
              </w:rPr>
              <w:fldChar w:fldCharType="separate"/>
            </w:r>
            <w:r w:rsidR="00DA5F37" w:rsidRPr="004C3FF9">
              <w:rPr>
                <w:rFonts w:ascii="Times New Roman" w:hAnsi="Times New Roman"/>
                <w:noProof/>
              </w:rPr>
              <w:t xml:space="preserve"> </w:t>
            </w:r>
            <w:r w:rsidR="004E536B" w:rsidRPr="004C3FF9">
              <w:rPr>
                <w:rFonts w:ascii="Times New Roman" w:hAnsi="Times New Roman"/>
                <w:noProof/>
              </w:rPr>
              <w:t xml:space="preserve">  </w:t>
            </w:r>
            <w:r w:rsidR="00675AF3" w:rsidRPr="004C3FF9">
              <w:rPr>
                <w:rFonts w:ascii="Times New Roman" w:hAnsi="Times New Roman"/>
                <w:noProof/>
                <w:u w:val="single"/>
              </w:rPr>
              <w:t>504</w:t>
            </w:r>
            <w:r w:rsidRPr="004C3FF9">
              <w:rPr>
                <w:rFonts w:ascii="Times New Roman" w:hAnsi="Times New Roman"/>
                <w:u w:val="single"/>
              </w:rPr>
              <w:fldChar w:fldCharType="end"/>
            </w:r>
          </w:p>
        </w:tc>
      </w:tr>
      <w:tr w:rsidR="004A4D45" w:rsidRPr="004C3FF9">
        <w:trPr>
          <w:trHeight w:val="300"/>
        </w:trPr>
        <w:tc>
          <w:tcPr>
            <w:tcW w:w="2160" w:type="dxa"/>
            <w:vAlign w:val="bottom"/>
          </w:tcPr>
          <w:p w:rsidR="004A4D45" w:rsidRPr="004C3FF9" w:rsidRDefault="004631FD" w:rsidP="003A708B">
            <w:pPr>
              <w:pStyle w:val="Heading1"/>
              <w:widowControl w:val="0"/>
              <w:jc w:val="right"/>
              <w:rPr>
                <w:rFonts w:ascii="Times New Roman" w:hAnsi="Times New Roman"/>
                <w:b w:val="0"/>
                <w:i/>
                <w:szCs w:val="24"/>
              </w:rPr>
            </w:pPr>
            <w:r w:rsidRPr="004C3FF9">
              <w:rPr>
                <w:rFonts w:ascii="Times New Roman" w:hAnsi="Times New Roman"/>
                <w:b w:val="0"/>
                <w:i/>
              </w:rPr>
              <w:t>Total</w:t>
            </w:r>
          </w:p>
        </w:tc>
        <w:tc>
          <w:tcPr>
            <w:tcW w:w="1799" w:type="dxa"/>
            <w:vAlign w:val="center"/>
          </w:tcPr>
          <w:p w:rsidR="004A4D45" w:rsidRPr="004C3FF9" w:rsidRDefault="004A4D45" w:rsidP="003A708B">
            <w:pPr>
              <w:jc w:val="center"/>
              <w:rPr>
                <w:rFonts w:ascii="Times New Roman" w:hAnsi="Times New Roman"/>
              </w:rPr>
            </w:pPr>
          </w:p>
        </w:tc>
        <w:tc>
          <w:tcPr>
            <w:tcW w:w="1800" w:type="dxa"/>
            <w:vAlign w:val="center"/>
          </w:tcPr>
          <w:p w:rsidR="004A4D45" w:rsidRPr="004C3FF9" w:rsidRDefault="004A4D45" w:rsidP="003A708B">
            <w:pPr>
              <w:tabs>
                <w:tab w:val="right" w:pos="960"/>
              </w:tabs>
              <w:ind w:right="-2"/>
              <w:jc w:val="center"/>
              <w:rPr>
                <w:rFonts w:ascii="Times New Roman" w:hAnsi="Times New Roman"/>
              </w:rPr>
            </w:pPr>
          </w:p>
        </w:tc>
        <w:tc>
          <w:tcPr>
            <w:tcW w:w="1800" w:type="dxa"/>
            <w:vAlign w:val="center"/>
          </w:tcPr>
          <w:p w:rsidR="004A4D45" w:rsidRPr="004C3FF9" w:rsidRDefault="004A4D45" w:rsidP="003A708B">
            <w:pPr>
              <w:pStyle w:val="Header"/>
              <w:tabs>
                <w:tab w:val="clear" w:pos="4320"/>
                <w:tab w:val="clear" w:pos="8640"/>
                <w:tab w:val="decimal" w:pos="662"/>
              </w:tabs>
              <w:jc w:val="center"/>
              <w:rPr>
                <w:rFonts w:ascii="Times New Roman" w:hAnsi="Times New Roman"/>
              </w:rPr>
            </w:pPr>
          </w:p>
        </w:tc>
        <w:tc>
          <w:tcPr>
            <w:tcW w:w="1800" w:type="dxa"/>
            <w:vAlign w:val="bottom"/>
          </w:tcPr>
          <w:p w:rsidR="004A4D45" w:rsidRPr="004C3FF9" w:rsidRDefault="00544B4A" w:rsidP="00544B4A">
            <w:pPr>
              <w:tabs>
                <w:tab w:val="right" w:pos="1152"/>
              </w:tabs>
              <w:rPr>
                <w:rFonts w:ascii="Times New Roman" w:hAnsi="Times New Roman"/>
                <w:noProof/>
              </w:rPr>
            </w:pPr>
            <w:r>
              <w:rPr>
                <w:rFonts w:ascii="Times New Roman" w:hAnsi="Times New Roman"/>
              </w:rPr>
              <w:t xml:space="preserve">       </w:t>
            </w:r>
            <w:r w:rsidR="00675AF3" w:rsidRPr="004C3FF9">
              <w:rPr>
                <w:rFonts w:ascii="Times New Roman" w:hAnsi="Times New Roman"/>
              </w:rPr>
              <w:t>10,304</w:t>
            </w:r>
          </w:p>
        </w:tc>
      </w:tr>
    </w:tbl>
    <w:p w:rsidR="00677DDF" w:rsidRPr="004C3FF9" w:rsidRDefault="00677DDF" w:rsidP="003A708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3D2CAD" w:rsidRPr="004C3FF9" w:rsidRDefault="003D2CAD" w:rsidP="003A708B">
      <w:pPr>
        <w:widowControl/>
        <w:rPr>
          <w:rFonts w:ascii="Times New Roman" w:hAnsi="Times New Roman"/>
        </w:rPr>
      </w:pPr>
      <w:r w:rsidRPr="004C3FF9">
        <w:rPr>
          <w:rFonts w:ascii="Times New Roman" w:hAnsi="Times New Roman"/>
        </w:rPr>
        <w:t xml:space="preserve">The total cost to the public is estimated to </w:t>
      </w:r>
      <w:r w:rsidR="0025036A" w:rsidRPr="004C3FF9">
        <w:rPr>
          <w:rFonts w:ascii="Times New Roman" w:hAnsi="Times New Roman"/>
        </w:rPr>
        <w:t>be</w:t>
      </w:r>
      <w:r w:rsidRPr="004C3FF9">
        <w:rPr>
          <w:rFonts w:ascii="Times New Roman" w:hAnsi="Times New Roman"/>
        </w:rPr>
        <w:t xml:space="preserve"> $</w:t>
      </w:r>
      <w:r w:rsidR="00500B8A" w:rsidRPr="004C3FF9">
        <w:rPr>
          <w:rFonts w:ascii="Times New Roman" w:hAnsi="Times New Roman"/>
        </w:rPr>
        <w:t xml:space="preserve">447,194 </w:t>
      </w:r>
      <w:r w:rsidRPr="004C3FF9">
        <w:rPr>
          <w:rFonts w:ascii="Times New Roman" w:hAnsi="Times New Roman"/>
        </w:rPr>
        <w:t xml:space="preserve">for the </w:t>
      </w:r>
      <w:r w:rsidR="0025036A" w:rsidRPr="004C3FF9">
        <w:rPr>
          <w:rFonts w:ascii="Times New Roman" w:hAnsi="Times New Roman"/>
        </w:rPr>
        <w:t>FFIEC 009 and the FFIEC 009a</w:t>
      </w:r>
      <w:r w:rsidRPr="004C3FF9">
        <w:rPr>
          <w:rFonts w:ascii="Times New Roman" w:hAnsi="Times New Roman"/>
        </w:rPr>
        <w:t>.</w:t>
      </w:r>
      <w:r w:rsidR="003A708B" w:rsidRPr="004C3FF9">
        <w:rPr>
          <w:rStyle w:val="FootnoteReference"/>
          <w:rFonts w:ascii="Times New Roman" w:hAnsi="Times New Roman"/>
          <w:vertAlign w:val="superscript"/>
        </w:rPr>
        <w:footnoteReference w:id="2"/>
      </w:r>
    </w:p>
    <w:p w:rsidR="0061252F" w:rsidRPr="001A0A30" w:rsidRDefault="0061252F" w:rsidP="003A708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0279C7" w:rsidRPr="001A0A30" w:rsidRDefault="000279C7" w:rsidP="003A708B">
      <w:pPr>
        <w:widowControl/>
        <w:rPr>
          <w:rFonts w:ascii="Times New Roman" w:hAnsi="Times New Roman"/>
          <w:b/>
        </w:rPr>
      </w:pPr>
      <w:r w:rsidRPr="001A0A30">
        <w:rPr>
          <w:rFonts w:ascii="Times New Roman" w:hAnsi="Times New Roman"/>
          <w:b/>
        </w:rPr>
        <w:t>Sensitive Questions</w:t>
      </w:r>
    </w:p>
    <w:p w:rsidR="000279C7" w:rsidRPr="001A0A30" w:rsidRDefault="000279C7" w:rsidP="003A708B">
      <w:pPr>
        <w:widowControl/>
        <w:rPr>
          <w:rFonts w:ascii="Times New Roman" w:hAnsi="Times New Roman"/>
        </w:rPr>
      </w:pPr>
    </w:p>
    <w:p w:rsidR="000279C7" w:rsidRPr="001A0A30" w:rsidRDefault="000279C7" w:rsidP="003A708B">
      <w:pPr>
        <w:pStyle w:val="BodyTextIndent"/>
        <w:jc w:val="left"/>
        <w:rPr>
          <w:rFonts w:ascii="Times New Roman" w:hAnsi="Times New Roman"/>
        </w:rPr>
      </w:pPr>
      <w:r w:rsidRPr="001A0A30">
        <w:rPr>
          <w:rFonts w:ascii="Times New Roman" w:hAnsi="Times New Roman"/>
        </w:rPr>
        <w:t>This information collection contains no questions of a sensitive nature, as defined by OMB guidelines.</w:t>
      </w:r>
    </w:p>
    <w:p w:rsidR="000279C7" w:rsidRPr="001A0A30" w:rsidRDefault="000279C7" w:rsidP="003A708B">
      <w:pPr>
        <w:widowControl/>
        <w:rPr>
          <w:rFonts w:ascii="Times New Roman" w:hAnsi="Times New Roman"/>
        </w:rPr>
      </w:pPr>
    </w:p>
    <w:p w:rsidR="00DB57AF" w:rsidRPr="001A0A30" w:rsidRDefault="00DB57AF" w:rsidP="003A708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1A0A30">
        <w:rPr>
          <w:rFonts w:ascii="Times New Roman" w:hAnsi="Times New Roman"/>
          <w:b/>
        </w:rPr>
        <w:t>Estimate of Cost to the Federal Reserve System</w:t>
      </w:r>
    </w:p>
    <w:p w:rsidR="00DB57AF" w:rsidRPr="001A0A30" w:rsidRDefault="00DB57AF" w:rsidP="003A708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B614E6" w:rsidRPr="001A0A30" w:rsidRDefault="00B614E6" w:rsidP="003A708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rPr>
      </w:pPr>
      <w:r w:rsidRPr="00A25D61">
        <w:rPr>
          <w:szCs w:val="24"/>
          <w:lang w:val="en-CA"/>
        </w:rPr>
        <w:t>The</w:t>
      </w:r>
      <w:r w:rsidR="004631FD">
        <w:rPr>
          <w:szCs w:val="24"/>
          <w:lang w:val="en-CA"/>
        </w:rPr>
        <w:t xml:space="preserve"> current</w:t>
      </w:r>
      <w:r w:rsidRPr="00A25D61">
        <w:rPr>
          <w:szCs w:val="24"/>
          <w:lang w:val="en-CA"/>
        </w:rPr>
        <w:t xml:space="preserve"> </w:t>
      </w:r>
      <w:r w:rsidR="00884639" w:rsidRPr="00A25D61">
        <w:rPr>
          <w:szCs w:val="24"/>
          <w:lang w:val="en-CA"/>
        </w:rPr>
        <w:fldChar w:fldCharType="begin"/>
      </w:r>
      <w:r w:rsidRPr="00A25D61">
        <w:rPr>
          <w:szCs w:val="24"/>
          <w:lang w:val="en-CA"/>
        </w:rPr>
        <w:instrText xml:space="preserve"> SEQ CHAPTER \h \r 1</w:instrText>
      </w:r>
      <w:r w:rsidR="00884639" w:rsidRPr="00A25D61">
        <w:rPr>
          <w:szCs w:val="24"/>
          <w:lang w:val="en-CA"/>
        </w:rPr>
        <w:fldChar w:fldCharType="end"/>
      </w:r>
      <w:r w:rsidRPr="00A25D61">
        <w:rPr>
          <w:szCs w:val="24"/>
        </w:rPr>
        <w:t xml:space="preserve">cost to the Federal Reserve System for collecting and processing the </w:t>
      </w:r>
      <w:r w:rsidRPr="001A0A30">
        <w:rPr>
          <w:rFonts w:ascii="Times New Roman" w:hAnsi="Times New Roman"/>
        </w:rPr>
        <w:t>FFIEC 009 and FFIEC 009a</w:t>
      </w:r>
      <w:r w:rsidRPr="00A25D61">
        <w:rPr>
          <w:szCs w:val="24"/>
        </w:rPr>
        <w:t xml:space="preserve"> is estimated to be $</w:t>
      </w:r>
      <w:r w:rsidR="00AE01AA">
        <w:rPr>
          <w:szCs w:val="24"/>
        </w:rPr>
        <w:t>84,000</w:t>
      </w:r>
      <w:r w:rsidRPr="00A25D61">
        <w:rPr>
          <w:szCs w:val="24"/>
        </w:rPr>
        <w:t xml:space="preserve"> per year.</w:t>
      </w:r>
      <w:bookmarkStart w:id="0" w:name="_GoBack"/>
      <w:bookmarkEnd w:id="0"/>
    </w:p>
    <w:sectPr w:rsidR="00B614E6" w:rsidRPr="001A0A30" w:rsidSect="008F05C2">
      <w:footerReference w:type="even" r:id="rId7"/>
      <w:footerReference w:type="default" r:id="rId8"/>
      <w:endnotePr>
        <w:numFmt w:val="decimal"/>
      </w:endnotePr>
      <w:type w:val="continuous"/>
      <w:pgSz w:w="12240" w:h="15840" w:code="1"/>
      <w:pgMar w:top="1080" w:right="1440" w:bottom="1440" w:left="1440" w:header="720" w:footer="720" w:gutter="0"/>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7164" w:rsidRDefault="009C7164">
      <w:r>
        <w:separator/>
      </w:r>
    </w:p>
  </w:endnote>
  <w:endnote w:type="continuationSeparator" w:id="0">
    <w:p w:rsidR="009C7164" w:rsidRDefault="009C716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Times">
    <w:panose1 w:val="020206030504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7164" w:rsidRDefault="00884639">
    <w:pPr>
      <w:pStyle w:val="Footer"/>
      <w:framePr w:wrap="around" w:vAnchor="text" w:hAnchor="margin" w:xAlign="center" w:y="1"/>
      <w:rPr>
        <w:rStyle w:val="PageNumber"/>
      </w:rPr>
    </w:pPr>
    <w:r>
      <w:rPr>
        <w:rStyle w:val="PageNumber"/>
      </w:rPr>
      <w:fldChar w:fldCharType="begin"/>
    </w:r>
    <w:r w:rsidR="009C7164">
      <w:rPr>
        <w:rStyle w:val="PageNumber"/>
      </w:rPr>
      <w:instrText xml:space="preserve">PAGE  </w:instrText>
    </w:r>
    <w:r>
      <w:rPr>
        <w:rStyle w:val="PageNumber"/>
      </w:rPr>
      <w:fldChar w:fldCharType="end"/>
    </w:r>
  </w:p>
  <w:p w:rsidR="009C7164" w:rsidRDefault="009C7164">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7164" w:rsidRDefault="00884639" w:rsidP="000279C7">
    <w:pPr>
      <w:ind w:right="360"/>
      <w:jc w:val="center"/>
    </w:pPr>
    <w:r>
      <w:rPr>
        <w:rStyle w:val="PageNumber"/>
      </w:rPr>
      <w:fldChar w:fldCharType="begin"/>
    </w:r>
    <w:r w:rsidR="009C7164">
      <w:rPr>
        <w:rStyle w:val="PageNumber"/>
      </w:rPr>
      <w:instrText xml:space="preserve"> PAGE </w:instrText>
    </w:r>
    <w:r>
      <w:rPr>
        <w:rStyle w:val="PageNumber"/>
      </w:rPr>
      <w:fldChar w:fldCharType="separate"/>
    </w:r>
    <w:r w:rsidR="00662ABC">
      <w:rPr>
        <w:rStyle w:val="PageNumber"/>
        <w:noProof/>
      </w:rPr>
      <w:t>5</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7164" w:rsidRDefault="009C7164">
      <w:r>
        <w:separator/>
      </w:r>
    </w:p>
  </w:footnote>
  <w:footnote w:type="continuationSeparator" w:id="0">
    <w:p w:rsidR="009C7164" w:rsidRDefault="009C7164">
      <w:r>
        <w:continuationSeparator/>
      </w:r>
    </w:p>
  </w:footnote>
  <w:footnote w:id="1">
    <w:p w:rsidR="009C7164" w:rsidRPr="002C3C9A" w:rsidRDefault="009C7164" w:rsidP="00082124">
      <w:pPr>
        <w:spacing w:after="240"/>
        <w:jc w:val="both"/>
        <w:rPr>
          <w:rFonts w:ascii="Times New Roman" w:hAnsi="Times New Roman"/>
          <w:sz w:val="20"/>
        </w:rPr>
      </w:pPr>
      <w:r w:rsidRPr="002C3C9A">
        <w:rPr>
          <w:rStyle w:val="FootnoteReference"/>
          <w:rFonts w:ascii="Times New Roman" w:hAnsi="Times New Roman"/>
          <w:vertAlign w:val="superscript"/>
        </w:rPr>
        <w:footnoteRef/>
      </w:r>
      <w:r w:rsidRPr="002C3C9A">
        <w:rPr>
          <w:rFonts w:ascii="Times New Roman" w:hAnsi="Times New Roman"/>
          <w:sz w:val="20"/>
        </w:rPr>
        <w:t xml:space="preserve">  Country names and country codes used for reporting FFIEC 009 data are based on the geographical classification published by the Department of the Treasury.  The reporting form may be modified, from time to time, to reflect country consolidations or countries that have recently gained independence.</w:t>
      </w:r>
    </w:p>
  </w:footnote>
  <w:footnote w:id="2">
    <w:p w:rsidR="009C7164" w:rsidRPr="003A708B" w:rsidRDefault="009C7164">
      <w:pPr>
        <w:pStyle w:val="FootnoteText"/>
        <w:rPr>
          <w:rFonts w:ascii="Times New Roman" w:hAnsi="Times New Roman"/>
        </w:rPr>
      </w:pPr>
      <w:r w:rsidRPr="003A708B">
        <w:rPr>
          <w:rStyle w:val="FootnoteReference"/>
          <w:vertAlign w:val="superscript"/>
        </w:rPr>
        <w:footnoteRef/>
      </w:r>
      <w:r>
        <w:t xml:space="preserve"> </w:t>
      </w:r>
      <w:r w:rsidRPr="003A708B">
        <w:rPr>
          <w:rFonts w:ascii="Times New Roman" w:hAnsi="Times New Roman"/>
        </w:rPr>
        <w:t xml:space="preserve">Total cost to the public was estimated using the following formula: percent of staff time, multiplied by annual burden hours, multiplied by hourly rate (30% Office &amp; Administrative Support @ $16, 45% Financial Managers @ $50, 15% Legal Counsel @ $54, and 10% Chief Executives @ $80).  Hourly rate for each occupational group are the median hourly wages (rounded up) from the Bureau of Labor and Statistics (BLS), Occupational Employment and Wages 2010, www.bls.gov/news.release/ocwage.nr0.htm  Occupations are defined using the BLS Occupational Classification System,  www.bls.gov/soc/  </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rsids>
    <w:rsidRoot w:val="009B07D5"/>
    <w:rsid w:val="000279C7"/>
    <w:rsid w:val="0004073D"/>
    <w:rsid w:val="00044C6F"/>
    <w:rsid w:val="00053C1C"/>
    <w:rsid w:val="00061A67"/>
    <w:rsid w:val="00066137"/>
    <w:rsid w:val="00081AB3"/>
    <w:rsid w:val="00082124"/>
    <w:rsid w:val="000C174E"/>
    <w:rsid w:val="000C7CB4"/>
    <w:rsid w:val="000D4855"/>
    <w:rsid w:val="000E1CFB"/>
    <w:rsid w:val="0012673B"/>
    <w:rsid w:val="00157474"/>
    <w:rsid w:val="001610B3"/>
    <w:rsid w:val="001A0A30"/>
    <w:rsid w:val="001A7636"/>
    <w:rsid w:val="001B2578"/>
    <w:rsid w:val="001B6E68"/>
    <w:rsid w:val="001C6E2A"/>
    <w:rsid w:val="001D18ED"/>
    <w:rsid w:val="001E7D7C"/>
    <w:rsid w:val="001F2613"/>
    <w:rsid w:val="00245002"/>
    <w:rsid w:val="0025036A"/>
    <w:rsid w:val="00251829"/>
    <w:rsid w:val="002531B3"/>
    <w:rsid w:val="00285F21"/>
    <w:rsid w:val="0028738C"/>
    <w:rsid w:val="00291DF0"/>
    <w:rsid w:val="00294FAF"/>
    <w:rsid w:val="002A461A"/>
    <w:rsid w:val="002C251F"/>
    <w:rsid w:val="002C3C9A"/>
    <w:rsid w:val="002C5DD0"/>
    <w:rsid w:val="002D2AAE"/>
    <w:rsid w:val="002E0AB7"/>
    <w:rsid w:val="002E7E81"/>
    <w:rsid w:val="0034474A"/>
    <w:rsid w:val="00346AB1"/>
    <w:rsid w:val="00383C93"/>
    <w:rsid w:val="003A708B"/>
    <w:rsid w:val="003B49A0"/>
    <w:rsid w:val="003C7AC6"/>
    <w:rsid w:val="003D023D"/>
    <w:rsid w:val="003D1437"/>
    <w:rsid w:val="003D2CAD"/>
    <w:rsid w:val="003D2E15"/>
    <w:rsid w:val="003E53DD"/>
    <w:rsid w:val="003F6369"/>
    <w:rsid w:val="0040084E"/>
    <w:rsid w:val="00446544"/>
    <w:rsid w:val="004631FD"/>
    <w:rsid w:val="00487A73"/>
    <w:rsid w:val="004A4D45"/>
    <w:rsid w:val="004B6146"/>
    <w:rsid w:val="004C3FF9"/>
    <w:rsid w:val="004E536B"/>
    <w:rsid w:val="004F4232"/>
    <w:rsid w:val="004F7F38"/>
    <w:rsid w:val="00500B8A"/>
    <w:rsid w:val="00534F1D"/>
    <w:rsid w:val="00534F4C"/>
    <w:rsid w:val="00536621"/>
    <w:rsid w:val="00544B4A"/>
    <w:rsid w:val="0057209A"/>
    <w:rsid w:val="00580DE8"/>
    <w:rsid w:val="00586CAE"/>
    <w:rsid w:val="005936F1"/>
    <w:rsid w:val="00594CD9"/>
    <w:rsid w:val="005B5059"/>
    <w:rsid w:val="005B7240"/>
    <w:rsid w:val="005C44F2"/>
    <w:rsid w:val="005F7BE9"/>
    <w:rsid w:val="0060669A"/>
    <w:rsid w:val="0061252F"/>
    <w:rsid w:val="006178FA"/>
    <w:rsid w:val="00637BC0"/>
    <w:rsid w:val="006472CF"/>
    <w:rsid w:val="00656BDE"/>
    <w:rsid w:val="0066079C"/>
    <w:rsid w:val="00662ABC"/>
    <w:rsid w:val="00675AF3"/>
    <w:rsid w:val="006774C2"/>
    <w:rsid w:val="00677DDF"/>
    <w:rsid w:val="006B6098"/>
    <w:rsid w:val="006B7A90"/>
    <w:rsid w:val="006D3C8A"/>
    <w:rsid w:val="006E2ABB"/>
    <w:rsid w:val="00703CF6"/>
    <w:rsid w:val="00705B63"/>
    <w:rsid w:val="00735AF7"/>
    <w:rsid w:val="00757AB5"/>
    <w:rsid w:val="007A6BB1"/>
    <w:rsid w:val="007B03EB"/>
    <w:rsid w:val="007B5BF7"/>
    <w:rsid w:val="007C053A"/>
    <w:rsid w:val="007D702E"/>
    <w:rsid w:val="007F0F9E"/>
    <w:rsid w:val="007F35FA"/>
    <w:rsid w:val="00823D8E"/>
    <w:rsid w:val="00852947"/>
    <w:rsid w:val="00852E86"/>
    <w:rsid w:val="0086023E"/>
    <w:rsid w:val="00863B6D"/>
    <w:rsid w:val="008824AF"/>
    <w:rsid w:val="0088394A"/>
    <w:rsid w:val="00884639"/>
    <w:rsid w:val="00887A31"/>
    <w:rsid w:val="008B58B9"/>
    <w:rsid w:val="008C32C7"/>
    <w:rsid w:val="008D0DC7"/>
    <w:rsid w:val="008F05C2"/>
    <w:rsid w:val="008F16BD"/>
    <w:rsid w:val="008F21A7"/>
    <w:rsid w:val="00900603"/>
    <w:rsid w:val="00930FD2"/>
    <w:rsid w:val="00936E34"/>
    <w:rsid w:val="0095023A"/>
    <w:rsid w:val="0096065D"/>
    <w:rsid w:val="00973F66"/>
    <w:rsid w:val="0097494F"/>
    <w:rsid w:val="00987B10"/>
    <w:rsid w:val="009B07D5"/>
    <w:rsid w:val="009C7164"/>
    <w:rsid w:val="009C7726"/>
    <w:rsid w:val="009D439B"/>
    <w:rsid w:val="009D4885"/>
    <w:rsid w:val="009D6CB9"/>
    <w:rsid w:val="009E0714"/>
    <w:rsid w:val="00A452DC"/>
    <w:rsid w:val="00A50D3B"/>
    <w:rsid w:val="00A96285"/>
    <w:rsid w:val="00AC03A6"/>
    <w:rsid w:val="00AE01AA"/>
    <w:rsid w:val="00AF2689"/>
    <w:rsid w:val="00B0045A"/>
    <w:rsid w:val="00B1042D"/>
    <w:rsid w:val="00B17E4B"/>
    <w:rsid w:val="00B25F04"/>
    <w:rsid w:val="00B37EBE"/>
    <w:rsid w:val="00B452A1"/>
    <w:rsid w:val="00B45F5D"/>
    <w:rsid w:val="00B614E6"/>
    <w:rsid w:val="00B623C4"/>
    <w:rsid w:val="00B71ED4"/>
    <w:rsid w:val="00B7388C"/>
    <w:rsid w:val="00B97D0C"/>
    <w:rsid w:val="00BA7510"/>
    <w:rsid w:val="00BC4734"/>
    <w:rsid w:val="00BD4827"/>
    <w:rsid w:val="00BF5175"/>
    <w:rsid w:val="00C5242F"/>
    <w:rsid w:val="00CB1EA2"/>
    <w:rsid w:val="00CC0CD1"/>
    <w:rsid w:val="00CC0E3E"/>
    <w:rsid w:val="00CC1355"/>
    <w:rsid w:val="00CC760A"/>
    <w:rsid w:val="00D04FE9"/>
    <w:rsid w:val="00D161FF"/>
    <w:rsid w:val="00D219DF"/>
    <w:rsid w:val="00D644EF"/>
    <w:rsid w:val="00DA5F37"/>
    <w:rsid w:val="00DB1A6A"/>
    <w:rsid w:val="00DB4840"/>
    <w:rsid w:val="00DB57AF"/>
    <w:rsid w:val="00DB6457"/>
    <w:rsid w:val="00DC68B5"/>
    <w:rsid w:val="00DE0701"/>
    <w:rsid w:val="00E01114"/>
    <w:rsid w:val="00E01FD9"/>
    <w:rsid w:val="00E55548"/>
    <w:rsid w:val="00E6055F"/>
    <w:rsid w:val="00E609CA"/>
    <w:rsid w:val="00E6166D"/>
    <w:rsid w:val="00E70333"/>
    <w:rsid w:val="00E9082D"/>
    <w:rsid w:val="00E9143D"/>
    <w:rsid w:val="00EA540A"/>
    <w:rsid w:val="00ED0634"/>
    <w:rsid w:val="00ED1B02"/>
    <w:rsid w:val="00EF32E3"/>
    <w:rsid w:val="00EF4464"/>
    <w:rsid w:val="00EF5131"/>
    <w:rsid w:val="00F02CC8"/>
    <w:rsid w:val="00F24D47"/>
    <w:rsid w:val="00F3664B"/>
    <w:rsid w:val="00F60FF5"/>
    <w:rsid w:val="00F75009"/>
    <w:rsid w:val="00F86B0F"/>
    <w:rsid w:val="00F93F8F"/>
    <w:rsid w:val="00FA3A9B"/>
    <w:rsid w:val="00FA7B42"/>
    <w:rsid w:val="00FD17CE"/>
    <w:rsid w:val="00FE587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metricconverter"/>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5DD0"/>
    <w:pPr>
      <w:widowControl w:val="0"/>
    </w:pPr>
    <w:rPr>
      <w:rFonts w:ascii="Times" w:hAnsi="Times"/>
      <w:snapToGrid w:val="0"/>
      <w:sz w:val="24"/>
    </w:rPr>
  </w:style>
  <w:style w:type="paragraph" w:styleId="Heading1">
    <w:name w:val="heading 1"/>
    <w:basedOn w:val="Normal"/>
    <w:next w:val="Normal"/>
    <w:qFormat/>
    <w:rsid w:val="002C5DD0"/>
    <w:pPr>
      <w:keepNext/>
      <w:widowControl/>
      <w:jc w:val="both"/>
      <w:outlineLvl w:val="0"/>
    </w:pPr>
    <w:rPr>
      <w:b/>
      <w:bCs/>
    </w:rPr>
  </w:style>
  <w:style w:type="paragraph" w:styleId="Heading2">
    <w:name w:val="heading 2"/>
    <w:basedOn w:val="Normal"/>
    <w:next w:val="Normal"/>
    <w:qFormat/>
    <w:rsid w:val="00677DDF"/>
    <w:pPr>
      <w:keepNext/>
      <w:widowControl/>
      <w:tabs>
        <w:tab w:val="left" w:pos="360"/>
      </w:tabs>
      <w:jc w:val="right"/>
      <w:outlineLvl w:val="1"/>
    </w:pPr>
    <w:rPr>
      <w:rFonts w:ascii="Times New Roman" w:hAnsi="Times New Roman"/>
      <w:i/>
    </w:rPr>
  </w:style>
  <w:style w:type="paragraph" w:styleId="Heading3">
    <w:name w:val="heading 3"/>
    <w:basedOn w:val="Normal"/>
    <w:next w:val="Normal"/>
    <w:qFormat/>
    <w:rsid w:val="00677DDF"/>
    <w:pPr>
      <w:keepNext/>
      <w:widowControl/>
      <w:tabs>
        <w:tab w:val="left" w:pos="360"/>
      </w:tabs>
      <w:jc w:val="center"/>
      <w:outlineLvl w:val="2"/>
    </w:pPr>
    <w:rPr>
      <w:rFonts w:ascii="Times New Roman" w:hAnsi="Times New Roman"/>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2C5DD0"/>
  </w:style>
  <w:style w:type="paragraph" w:styleId="FootnoteText">
    <w:name w:val="footnote text"/>
    <w:basedOn w:val="Normal"/>
    <w:semiHidden/>
    <w:rsid w:val="002C5DD0"/>
    <w:rPr>
      <w:sz w:val="20"/>
    </w:rPr>
  </w:style>
  <w:style w:type="paragraph" w:styleId="BodyTextIndent">
    <w:name w:val="Body Text Indent"/>
    <w:basedOn w:val="Normal"/>
    <w:rsid w:val="002C5DD0"/>
    <w:pPr>
      <w:widowControl/>
      <w:ind w:firstLine="720"/>
      <w:jc w:val="both"/>
    </w:pPr>
  </w:style>
  <w:style w:type="character" w:styleId="Hyperlink">
    <w:name w:val="Hyperlink"/>
    <w:basedOn w:val="DefaultParagraphFont"/>
    <w:rsid w:val="002C5DD0"/>
    <w:rPr>
      <w:color w:val="0000FF"/>
      <w:u w:val="single"/>
    </w:rPr>
  </w:style>
  <w:style w:type="paragraph" w:styleId="BodyTextIndent2">
    <w:name w:val="Body Text Indent 2"/>
    <w:basedOn w:val="Normal"/>
    <w:rsid w:val="002C5DD0"/>
    <w:pPr>
      <w:ind w:firstLine="504"/>
    </w:pPr>
  </w:style>
  <w:style w:type="paragraph" w:styleId="Footer">
    <w:name w:val="footer"/>
    <w:basedOn w:val="Normal"/>
    <w:rsid w:val="002C5DD0"/>
    <w:pPr>
      <w:tabs>
        <w:tab w:val="center" w:pos="4320"/>
        <w:tab w:val="right" w:pos="8640"/>
      </w:tabs>
    </w:pPr>
  </w:style>
  <w:style w:type="character" w:styleId="PageNumber">
    <w:name w:val="page number"/>
    <w:basedOn w:val="DefaultParagraphFont"/>
    <w:rsid w:val="002C5DD0"/>
  </w:style>
  <w:style w:type="paragraph" w:styleId="Header">
    <w:name w:val="header"/>
    <w:basedOn w:val="Normal"/>
    <w:link w:val="HeaderChar"/>
    <w:rsid w:val="000279C7"/>
    <w:pPr>
      <w:tabs>
        <w:tab w:val="center" w:pos="4320"/>
        <w:tab w:val="right" w:pos="8640"/>
      </w:tabs>
    </w:pPr>
  </w:style>
  <w:style w:type="paragraph" w:styleId="BalloonText">
    <w:name w:val="Balloon Text"/>
    <w:basedOn w:val="Normal"/>
    <w:semiHidden/>
    <w:rsid w:val="00EA540A"/>
    <w:rPr>
      <w:rFonts w:ascii="Tahoma" w:hAnsi="Tahoma" w:cs="Tahoma"/>
      <w:sz w:val="16"/>
      <w:szCs w:val="16"/>
    </w:rPr>
  </w:style>
  <w:style w:type="character" w:customStyle="1" w:styleId="HeaderChar">
    <w:name w:val="Header Char"/>
    <w:basedOn w:val="DefaultParagraphFont"/>
    <w:link w:val="Header"/>
    <w:rsid w:val="004A4D45"/>
    <w:rPr>
      <w:rFonts w:ascii="Times" w:hAnsi="Times"/>
      <w:snapToGrid w:val="0"/>
      <w:sz w:val="24"/>
      <w:lang w:val="en-US" w:eastAsia="en-US" w:bidi="ar-SA"/>
    </w:rPr>
  </w:style>
  <w:style w:type="character" w:styleId="CommentReference">
    <w:name w:val="annotation reference"/>
    <w:basedOn w:val="DefaultParagraphFont"/>
    <w:uiPriority w:val="99"/>
    <w:semiHidden/>
    <w:unhideWhenUsed/>
    <w:rsid w:val="005B5059"/>
    <w:rPr>
      <w:sz w:val="16"/>
      <w:szCs w:val="16"/>
    </w:rPr>
  </w:style>
  <w:style w:type="paragraph" w:styleId="CommentText">
    <w:name w:val="annotation text"/>
    <w:basedOn w:val="Normal"/>
    <w:link w:val="CommentTextChar"/>
    <w:uiPriority w:val="99"/>
    <w:semiHidden/>
    <w:unhideWhenUsed/>
    <w:rsid w:val="005B5059"/>
    <w:rPr>
      <w:sz w:val="20"/>
    </w:rPr>
  </w:style>
  <w:style w:type="character" w:customStyle="1" w:styleId="CommentTextChar">
    <w:name w:val="Comment Text Char"/>
    <w:basedOn w:val="DefaultParagraphFont"/>
    <w:link w:val="CommentText"/>
    <w:uiPriority w:val="99"/>
    <w:semiHidden/>
    <w:rsid w:val="005B5059"/>
    <w:rPr>
      <w:rFonts w:ascii="Times" w:hAnsi="Times"/>
      <w:snapToGrid w:val="0"/>
    </w:rPr>
  </w:style>
  <w:style w:type="paragraph" w:styleId="CommentSubject">
    <w:name w:val="annotation subject"/>
    <w:basedOn w:val="CommentText"/>
    <w:next w:val="CommentText"/>
    <w:link w:val="CommentSubjectChar"/>
    <w:uiPriority w:val="99"/>
    <w:semiHidden/>
    <w:unhideWhenUsed/>
    <w:rsid w:val="005B5059"/>
    <w:rPr>
      <w:b/>
      <w:bCs/>
    </w:rPr>
  </w:style>
  <w:style w:type="character" w:customStyle="1" w:styleId="CommentSubjectChar">
    <w:name w:val="Comment Subject Char"/>
    <w:basedOn w:val="CommentTextChar"/>
    <w:link w:val="CommentSubject"/>
    <w:uiPriority w:val="99"/>
    <w:semiHidden/>
    <w:rsid w:val="005B5059"/>
    <w:rPr>
      <w:rFonts w:ascii="Times" w:hAnsi="Times"/>
      <w:b/>
      <w:bCs/>
      <w:snapToGrid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10B81B-EAC9-4043-88C5-110DBCE46C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2290</Words>
  <Characters>12480</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Federal Reserve Board</Company>
  <LinksUpToDate>false</LinksUpToDate>
  <CharactersWithSpaces>14741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 William Farmer</dc:creator>
  <cp:lastModifiedBy>Scott William Farmer</cp:lastModifiedBy>
  <cp:revision>6</cp:revision>
  <cp:lastPrinted>2012-01-31T20:51:00Z</cp:lastPrinted>
  <dcterms:created xsi:type="dcterms:W3CDTF">2012-02-02T19:26:00Z</dcterms:created>
  <dcterms:modified xsi:type="dcterms:W3CDTF">2012-02-02T20:00:00Z</dcterms:modified>
</cp:coreProperties>
</file>