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73" w:rsidRPr="00EC0D55" w:rsidRDefault="00C43E02" w:rsidP="007A42E6">
      <w:pPr>
        <w:jc w:val="center"/>
        <w:rPr>
          <w:b/>
          <w:sz w:val="24"/>
          <w:szCs w:val="24"/>
        </w:rPr>
      </w:pPr>
      <w:r w:rsidRPr="00EC0D55">
        <w:rPr>
          <w:b/>
          <w:sz w:val="24"/>
          <w:szCs w:val="24"/>
        </w:rPr>
        <w:t>Supporting Statement for Pa</w:t>
      </w:r>
      <w:r w:rsidR="00906873" w:rsidRPr="00EC0D55">
        <w:rPr>
          <w:b/>
          <w:sz w:val="24"/>
          <w:szCs w:val="24"/>
        </w:rPr>
        <w:t>perwork Reduction Act</w:t>
      </w:r>
    </w:p>
    <w:p w:rsidR="008B7D95" w:rsidRPr="00922233" w:rsidRDefault="008071B5" w:rsidP="008B7D95">
      <w:pPr>
        <w:jc w:val="center"/>
        <w:rPr>
          <w:b/>
          <w:sz w:val="24"/>
          <w:szCs w:val="24"/>
        </w:rPr>
      </w:pPr>
      <w:r>
        <w:rPr>
          <w:b/>
          <w:sz w:val="24"/>
          <w:szCs w:val="24"/>
        </w:rPr>
        <w:t>Hunger</w:t>
      </w:r>
      <w:r w:rsidR="00D80AB6">
        <w:rPr>
          <w:b/>
          <w:sz w:val="24"/>
          <w:szCs w:val="24"/>
        </w:rPr>
        <w:t>-</w:t>
      </w:r>
      <w:r>
        <w:rPr>
          <w:b/>
          <w:sz w:val="24"/>
          <w:szCs w:val="24"/>
        </w:rPr>
        <w:t>Free Commun</w:t>
      </w:r>
      <w:r w:rsidR="00D80AB6">
        <w:rPr>
          <w:b/>
          <w:sz w:val="24"/>
          <w:szCs w:val="24"/>
        </w:rPr>
        <w:t>ities</w:t>
      </w:r>
      <w:r>
        <w:rPr>
          <w:b/>
          <w:sz w:val="24"/>
          <w:szCs w:val="24"/>
        </w:rPr>
        <w:t xml:space="preserve"> Grants</w:t>
      </w:r>
      <w:r w:rsidR="00FA24D2">
        <w:rPr>
          <w:b/>
          <w:sz w:val="24"/>
          <w:szCs w:val="24"/>
        </w:rPr>
        <w:t xml:space="preserve"> Program</w:t>
      </w:r>
    </w:p>
    <w:p w:rsidR="008B7D95" w:rsidRPr="00922233" w:rsidRDefault="008B7D95" w:rsidP="008B7D95">
      <w:pPr>
        <w:jc w:val="center"/>
        <w:rPr>
          <w:b/>
          <w:sz w:val="24"/>
          <w:szCs w:val="24"/>
        </w:rPr>
      </w:pPr>
    </w:p>
    <w:p w:rsidR="00E730B8" w:rsidRDefault="003B4BFE" w:rsidP="00E730B8">
      <w:pPr>
        <w:jc w:val="center"/>
        <w:rPr>
          <w:b/>
          <w:sz w:val="24"/>
        </w:rPr>
      </w:pPr>
      <w:r>
        <w:rPr>
          <w:b/>
          <w:sz w:val="24"/>
        </w:rPr>
        <w:t>Justification</w:t>
      </w:r>
      <w:r w:rsidR="00032DFF">
        <w:rPr>
          <w:b/>
          <w:sz w:val="24"/>
        </w:rPr>
        <w:t xml:space="preserve"> </w:t>
      </w:r>
      <w:r w:rsidR="001670D8">
        <w:rPr>
          <w:b/>
          <w:sz w:val="24"/>
        </w:rPr>
        <w:t>f</w:t>
      </w:r>
      <w:r w:rsidR="00032DFF">
        <w:rPr>
          <w:b/>
          <w:sz w:val="24"/>
        </w:rPr>
        <w:t>or Adding</w:t>
      </w:r>
      <w:r w:rsidR="001670D8">
        <w:rPr>
          <w:b/>
          <w:sz w:val="24"/>
        </w:rPr>
        <w:t xml:space="preserve"> </w:t>
      </w:r>
    </w:p>
    <w:p w:rsidR="00E730B8" w:rsidRPr="00922233" w:rsidRDefault="00EF5131" w:rsidP="00E730B8">
      <w:pPr>
        <w:jc w:val="center"/>
        <w:rPr>
          <w:b/>
          <w:sz w:val="24"/>
          <w:szCs w:val="24"/>
        </w:rPr>
      </w:pPr>
      <w:r>
        <w:rPr>
          <w:b/>
          <w:sz w:val="24"/>
          <w:szCs w:val="24"/>
        </w:rPr>
        <w:t>Hunger-</w:t>
      </w:r>
      <w:r w:rsidR="008071B5">
        <w:rPr>
          <w:b/>
          <w:sz w:val="24"/>
          <w:szCs w:val="24"/>
        </w:rPr>
        <w:t>Free Communit</w:t>
      </w:r>
      <w:r>
        <w:rPr>
          <w:b/>
          <w:sz w:val="24"/>
          <w:szCs w:val="24"/>
        </w:rPr>
        <w:t>ies</w:t>
      </w:r>
      <w:r w:rsidR="008071B5">
        <w:rPr>
          <w:b/>
          <w:sz w:val="24"/>
          <w:szCs w:val="24"/>
        </w:rPr>
        <w:t xml:space="preserve"> Grants</w:t>
      </w:r>
      <w:r w:rsidR="00FA24D2">
        <w:rPr>
          <w:b/>
          <w:sz w:val="24"/>
          <w:szCs w:val="24"/>
        </w:rPr>
        <w:t xml:space="preserve"> Program </w:t>
      </w:r>
    </w:p>
    <w:p w:rsidR="00E730B8" w:rsidRDefault="002360A0" w:rsidP="001670D8">
      <w:pPr>
        <w:jc w:val="center"/>
        <w:rPr>
          <w:b/>
          <w:sz w:val="24"/>
          <w:szCs w:val="24"/>
        </w:rPr>
      </w:pPr>
      <w:r w:rsidRPr="001670D8">
        <w:rPr>
          <w:b/>
          <w:sz w:val="24"/>
          <w:szCs w:val="24"/>
        </w:rPr>
        <w:t>T</w:t>
      </w:r>
      <w:r w:rsidR="001670D8" w:rsidRPr="001670D8">
        <w:rPr>
          <w:b/>
          <w:sz w:val="24"/>
          <w:szCs w:val="24"/>
        </w:rPr>
        <w:t>o</w:t>
      </w:r>
      <w:r>
        <w:rPr>
          <w:b/>
          <w:sz w:val="24"/>
          <w:szCs w:val="24"/>
        </w:rPr>
        <w:t xml:space="preserve"> the</w:t>
      </w:r>
      <w:r w:rsidR="00032DFF">
        <w:rPr>
          <w:b/>
          <w:sz w:val="24"/>
        </w:rPr>
        <w:t xml:space="preserve"> List of Approved Programs Using</w:t>
      </w:r>
      <w:r w:rsidR="001670D8">
        <w:rPr>
          <w:b/>
          <w:sz w:val="24"/>
        </w:rPr>
        <w:t xml:space="preserve"> </w:t>
      </w:r>
      <w:r w:rsidR="00032DFF">
        <w:rPr>
          <w:b/>
          <w:sz w:val="24"/>
        </w:rPr>
        <w:t xml:space="preserve">Uniform </w:t>
      </w:r>
      <w:r w:rsidR="00032DFF" w:rsidRPr="00032DFF">
        <w:rPr>
          <w:b/>
          <w:sz w:val="24"/>
          <w:szCs w:val="24"/>
        </w:rPr>
        <w:t xml:space="preserve">Grant Application for </w:t>
      </w:r>
    </w:p>
    <w:p w:rsidR="001670D8" w:rsidRDefault="00032DFF" w:rsidP="001670D8">
      <w:pPr>
        <w:jc w:val="center"/>
        <w:rPr>
          <w:b/>
          <w:sz w:val="24"/>
          <w:szCs w:val="24"/>
        </w:rPr>
      </w:pPr>
      <w:r w:rsidRPr="00032DFF">
        <w:rPr>
          <w:b/>
          <w:sz w:val="24"/>
          <w:szCs w:val="24"/>
        </w:rPr>
        <w:t>Non-Entitlement Discretionary Grants,</w:t>
      </w:r>
    </w:p>
    <w:p w:rsidR="00032DFF" w:rsidRPr="001670D8" w:rsidRDefault="001670D8" w:rsidP="001670D8">
      <w:pPr>
        <w:jc w:val="center"/>
        <w:rPr>
          <w:b/>
          <w:i/>
          <w:sz w:val="24"/>
          <w:szCs w:val="24"/>
        </w:rPr>
      </w:pPr>
      <w:r>
        <w:rPr>
          <w:b/>
          <w:sz w:val="24"/>
          <w:szCs w:val="24"/>
        </w:rPr>
        <w:t xml:space="preserve"> </w:t>
      </w:r>
      <w:r w:rsidR="00032DFF" w:rsidRPr="00032DFF">
        <w:rPr>
          <w:b/>
          <w:sz w:val="24"/>
          <w:szCs w:val="24"/>
        </w:rPr>
        <w:t xml:space="preserve">OMB </w:t>
      </w:r>
      <w:r w:rsidR="00C01D0F">
        <w:rPr>
          <w:b/>
          <w:sz w:val="24"/>
          <w:szCs w:val="24"/>
        </w:rPr>
        <w:t xml:space="preserve">Control Number </w:t>
      </w:r>
      <w:r w:rsidR="00032DFF" w:rsidRPr="00032DFF">
        <w:rPr>
          <w:b/>
          <w:sz w:val="24"/>
          <w:szCs w:val="24"/>
        </w:rPr>
        <w:t>0584-0512</w:t>
      </w:r>
    </w:p>
    <w:p w:rsidR="003B4BFE" w:rsidRDefault="003B4BFE" w:rsidP="003B4BFE">
      <w:pPr>
        <w:widowControl w:val="0"/>
        <w:rPr>
          <w:sz w:val="24"/>
        </w:rPr>
      </w:pPr>
    </w:p>
    <w:p w:rsidR="003B4BFE" w:rsidRPr="002963BF" w:rsidRDefault="003B4BFE" w:rsidP="002963BF">
      <w:pPr>
        <w:pStyle w:val="Heading1"/>
        <w:rPr>
          <w:rFonts w:ascii="Times New Roman" w:hAnsi="Times New Roman"/>
          <w:kern w:val="0"/>
          <w:sz w:val="24"/>
        </w:rPr>
      </w:pPr>
      <w:bookmarkStart w:id="0" w:name="_Toc249930411"/>
      <w:r w:rsidRPr="002963BF">
        <w:rPr>
          <w:rFonts w:ascii="Times New Roman" w:hAnsi="Times New Roman"/>
          <w:kern w:val="0"/>
          <w:sz w:val="24"/>
        </w:rPr>
        <w:t xml:space="preserve">1.   </w:t>
      </w:r>
      <w:r w:rsidR="00530809" w:rsidRPr="002963BF">
        <w:rPr>
          <w:rFonts w:ascii="Times New Roman" w:hAnsi="Times New Roman"/>
          <w:kern w:val="0"/>
          <w:sz w:val="24"/>
        </w:rPr>
        <w:t>C</w:t>
      </w:r>
      <w:r w:rsidR="005138A9" w:rsidRPr="002963BF">
        <w:rPr>
          <w:rFonts w:ascii="Times New Roman" w:hAnsi="Times New Roman"/>
          <w:kern w:val="0"/>
          <w:sz w:val="24"/>
        </w:rPr>
        <w:t xml:space="preserve">ircumstances making </w:t>
      </w:r>
      <w:r w:rsidRPr="002963BF">
        <w:rPr>
          <w:rFonts w:ascii="Times New Roman" w:hAnsi="Times New Roman"/>
          <w:kern w:val="0"/>
          <w:sz w:val="24"/>
        </w:rPr>
        <w:t>the collection of information necessary</w:t>
      </w:r>
      <w:r w:rsidR="005138A9" w:rsidRPr="002963BF">
        <w:rPr>
          <w:rFonts w:ascii="Times New Roman" w:hAnsi="Times New Roman"/>
          <w:kern w:val="0"/>
          <w:sz w:val="24"/>
        </w:rPr>
        <w:t>.</w:t>
      </w:r>
      <w:bookmarkEnd w:id="0"/>
      <w:r w:rsidRPr="002963BF">
        <w:rPr>
          <w:rFonts w:ascii="Times New Roman" w:hAnsi="Times New Roman"/>
          <w:kern w:val="0"/>
          <w:sz w:val="24"/>
        </w:rPr>
        <w:t xml:space="preserve">  </w:t>
      </w:r>
    </w:p>
    <w:p w:rsidR="002D1172" w:rsidRPr="002D1172" w:rsidRDefault="002D1172" w:rsidP="003B4BFE">
      <w:pPr>
        <w:pStyle w:val="bodytextblack"/>
        <w:tabs>
          <w:tab w:val="left" w:pos="360"/>
        </w:tabs>
        <w:ind w:left="360"/>
        <w:rPr>
          <w:rFonts w:ascii="Times New Roman" w:hAnsi="Times New Roman"/>
          <w:sz w:val="24"/>
          <w:szCs w:val="24"/>
        </w:rPr>
      </w:pPr>
      <w:r w:rsidRPr="002D1172">
        <w:rPr>
          <w:rFonts w:ascii="Times New Roman" w:hAnsi="Times New Roman"/>
          <w:sz w:val="24"/>
          <w:szCs w:val="24"/>
        </w:rPr>
        <w:t>The Fiscal Year 2010 Agriculture Appropriations provides $5 million for purposes authorized by section 4405 of the Food, Conservation, and Energy Act of 2008</w:t>
      </w:r>
      <w:r w:rsidRPr="002D1172">
        <w:rPr>
          <w:rFonts w:ascii="Times New Roman" w:hAnsi="Times New Roman"/>
          <w:i/>
          <w:sz w:val="24"/>
          <w:szCs w:val="24"/>
        </w:rPr>
        <w:t xml:space="preserve">. </w:t>
      </w:r>
      <w:r w:rsidRPr="002D1172">
        <w:rPr>
          <w:rFonts w:ascii="Times New Roman" w:hAnsi="Times New Roman"/>
          <w:sz w:val="24"/>
          <w:szCs w:val="24"/>
        </w:rPr>
        <w:t xml:space="preserve"> Section 4405 </w:t>
      </w:r>
      <w:r w:rsidRPr="002D1172">
        <w:rPr>
          <w:rFonts w:ascii="Times New Roman" w:hAnsi="Times New Roman"/>
          <w:i/>
          <w:sz w:val="24"/>
          <w:szCs w:val="24"/>
        </w:rPr>
        <w:t>Hunger-Free Communities</w:t>
      </w:r>
      <w:r w:rsidRPr="002D1172">
        <w:rPr>
          <w:rFonts w:ascii="Times New Roman" w:hAnsi="Times New Roman"/>
          <w:sz w:val="24"/>
          <w:szCs w:val="24"/>
        </w:rPr>
        <w:t xml:space="preserve"> authorizes grants to food program service providers and local nonprofit organizations for the federal share (up to 80 percent) of projects that assess community hunger</w:t>
      </w:r>
    </w:p>
    <w:p w:rsidR="0025560F" w:rsidRPr="00AD238E" w:rsidRDefault="001268CB" w:rsidP="003B4BFE">
      <w:pPr>
        <w:pStyle w:val="bodytextblack"/>
        <w:tabs>
          <w:tab w:val="left" w:pos="360"/>
        </w:tabs>
        <w:ind w:left="360"/>
        <w:rPr>
          <w:rFonts w:ascii="Times New Roman" w:hAnsi="Times New Roman"/>
          <w:sz w:val="24"/>
          <w:szCs w:val="24"/>
        </w:rPr>
      </w:pPr>
      <w:r w:rsidRPr="0015797A">
        <w:rPr>
          <w:rFonts w:ascii="Times New Roman" w:hAnsi="Times New Roman"/>
          <w:sz w:val="24"/>
          <w:szCs w:val="24"/>
        </w:rPr>
        <w:t xml:space="preserve">FNS intends to competitively award </w:t>
      </w:r>
      <w:r w:rsidR="00332E1F" w:rsidRPr="0015797A">
        <w:rPr>
          <w:rFonts w:ascii="Times New Roman" w:hAnsi="Times New Roman"/>
          <w:sz w:val="24"/>
          <w:szCs w:val="24"/>
        </w:rPr>
        <w:t>grant</w:t>
      </w:r>
      <w:r w:rsidR="006A4EA8">
        <w:rPr>
          <w:rFonts w:ascii="Times New Roman" w:hAnsi="Times New Roman"/>
          <w:sz w:val="24"/>
          <w:szCs w:val="24"/>
        </w:rPr>
        <w:t>s</w:t>
      </w:r>
      <w:r w:rsidR="008B7D95" w:rsidRPr="0015797A">
        <w:rPr>
          <w:rFonts w:ascii="Times New Roman" w:hAnsi="Times New Roman"/>
          <w:sz w:val="24"/>
          <w:szCs w:val="24"/>
        </w:rPr>
        <w:t xml:space="preserve"> to </w:t>
      </w:r>
      <w:r w:rsidR="002D7BFA">
        <w:rPr>
          <w:rFonts w:ascii="Times New Roman" w:hAnsi="Times New Roman"/>
          <w:sz w:val="24"/>
          <w:szCs w:val="24"/>
        </w:rPr>
        <w:t>public entities and nonprofit organizations to impleme</w:t>
      </w:r>
      <w:r w:rsidR="00B86D2E">
        <w:rPr>
          <w:rFonts w:ascii="Times New Roman" w:hAnsi="Times New Roman"/>
          <w:sz w:val="24"/>
          <w:szCs w:val="24"/>
        </w:rPr>
        <w:t>nt hunger free communities</w:t>
      </w:r>
      <w:r w:rsidR="002D7BFA">
        <w:rPr>
          <w:rFonts w:ascii="Times New Roman" w:hAnsi="Times New Roman"/>
          <w:sz w:val="24"/>
          <w:szCs w:val="24"/>
        </w:rPr>
        <w:t xml:space="preserve"> projects</w:t>
      </w:r>
      <w:r w:rsidR="0015797A" w:rsidRPr="0015797A">
        <w:rPr>
          <w:rFonts w:ascii="Times New Roman" w:hAnsi="Times New Roman"/>
          <w:sz w:val="24"/>
          <w:szCs w:val="24"/>
        </w:rPr>
        <w:t xml:space="preserve">.  </w:t>
      </w:r>
      <w:r w:rsidR="00010AA1" w:rsidRPr="0015797A">
        <w:rPr>
          <w:rFonts w:ascii="Times New Roman" w:hAnsi="Times New Roman"/>
          <w:sz w:val="24"/>
          <w:szCs w:val="24"/>
        </w:rPr>
        <w:t>Each applicant will be required to submit a proposal to FNS describing the projec</w:t>
      </w:r>
      <w:r w:rsidR="0015797A">
        <w:rPr>
          <w:rFonts w:ascii="Times New Roman" w:hAnsi="Times New Roman"/>
          <w:sz w:val="24"/>
          <w:szCs w:val="24"/>
        </w:rPr>
        <w:t xml:space="preserve">t, </w:t>
      </w:r>
      <w:r w:rsidR="00AD238E">
        <w:rPr>
          <w:rFonts w:ascii="Times New Roman" w:hAnsi="Times New Roman"/>
          <w:sz w:val="24"/>
          <w:szCs w:val="24"/>
        </w:rPr>
        <w:t xml:space="preserve">the proposed activities, </w:t>
      </w:r>
      <w:r w:rsidR="00BB79DE">
        <w:rPr>
          <w:rFonts w:ascii="Times New Roman" w:hAnsi="Times New Roman"/>
          <w:sz w:val="24"/>
          <w:szCs w:val="24"/>
        </w:rPr>
        <w:t>a</w:t>
      </w:r>
      <w:r w:rsidR="00BB79DE" w:rsidRPr="0015797A">
        <w:rPr>
          <w:rFonts w:ascii="Times New Roman" w:hAnsi="Times New Roman"/>
          <w:sz w:val="24"/>
          <w:szCs w:val="24"/>
        </w:rPr>
        <w:t>nd</w:t>
      </w:r>
      <w:r w:rsidR="00010AA1" w:rsidRPr="0015797A">
        <w:rPr>
          <w:rFonts w:ascii="Times New Roman" w:hAnsi="Times New Roman"/>
          <w:sz w:val="24"/>
          <w:szCs w:val="24"/>
        </w:rPr>
        <w:t xml:space="preserve"> associated budget.  A panel of experts from FNS will evaluate and score each proposal received, and make a final determination of the best proposals for the award</w:t>
      </w:r>
      <w:r w:rsidR="002360A0" w:rsidRPr="0015797A">
        <w:rPr>
          <w:rFonts w:ascii="Times New Roman" w:hAnsi="Times New Roman"/>
          <w:sz w:val="24"/>
          <w:szCs w:val="24"/>
        </w:rPr>
        <w:t>.</w:t>
      </w:r>
      <w:r w:rsidR="002360A0">
        <w:rPr>
          <w:rFonts w:ascii="Times New Roman" w:hAnsi="Times New Roman"/>
          <w:sz w:val="24"/>
          <w:szCs w:val="24"/>
        </w:rPr>
        <w:t xml:space="preserve">  </w:t>
      </w:r>
      <w:r w:rsidR="00010AA1" w:rsidRPr="00AD238E">
        <w:rPr>
          <w:rFonts w:ascii="Times New Roman" w:hAnsi="Times New Roman"/>
          <w:sz w:val="24"/>
          <w:szCs w:val="24"/>
        </w:rPr>
        <w:t xml:space="preserve">The information to be collected is not mandated by law or regulation. </w:t>
      </w:r>
    </w:p>
    <w:p w:rsidR="000E31EF" w:rsidRDefault="00F604D3" w:rsidP="0015797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rPr>
      </w:pPr>
      <w:r w:rsidRPr="00AD238E">
        <w:rPr>
          <w:sz w:val="24"/>
        </w:rPr>
        <w:t>FNS will</w:t>
      </w:r>
      <w:r w:rsidR="00D6243F" w:rsidRPr="00AD238E">
        <w:rPr>
          <w:sz w:val="24"/>
        </w:rPr>
        <w:t xml:space="preserve"> </w:t>
      </w:r>
      <w:r w:rsidRPr="00AD238E">
        <w:rPr>
          <w:sz w:val="24"/>
        </w:rPr>
        <w:t>post</w:t>
      </w:r>
      <w:r w:rsidR="00013F22" w:rsidRPr="00AD238E">
        <w:rPr>
          <w:sz w:val="24"/>
        </w:rPr>
        <w:t xml:space="preserve"> the </w:t>
      </w:r>
      <w:r w:rsidR="003B4BFE" w:rsidRPr="00AD238E">
        <w:rPr>
          <w:sz w:val="24"/>
        </w:rPr>
        <w:t xml:space="preserve">Request for Application (RFA) </w:t>
      </w:r>
      <w:r w:rsidR="00013F22" w:rsidRPr="00AD238E">
        <w:rPr>
          <w:sz w:val="24"/>
        </w:rPr>
        <w:t>p</w:t>
      </w:r>
      <w:r w:rsidR="00B86D2E">
        <w:rPr>
          <w:sz w:val="24"/>
        </w:rPr>
        <w:t>ackage for the Hunger</w:t>
      </w:r>
      <w:r w:rsidR="00EF5131">
        <w:rPr>
          <w:sz w:val="24"/>
        </w:rPr>
        <w:t>-</w:t>
      </w:r>
      <w:r w:rsidR="00B86D2E">
        <w:rPr>
          <w:sz w:val="24"/>
        </w:rPr>
        <w:t xml:space="preserve">Free </w:t>
      </w:r>
      <w:r w:rsidR="002D7BFA">
        <w:rPr>
          <w:sz w:val="24"/>
        </w:rPr>
        <w:t>Communit</w:t>
      </w:r>
      <w:r w:rsidR="00B86D2E">
        <w:rPr>
          <w:sz w:val="24"/>
        </w:rPr>
        <w:t xml:space="preserve">ies </w:t>
      </w:r>
      <w:r w:rsidR="002D7BFA">
        <w:rPr>
          <w:sz w:val="24"/>
        </w:rPr>
        <w:t>Grants</w:t>
      </w:r>
      <w:r w:rsidR="0015797A" w:rsidRPr="00AD238E">
        <w:rPr>
          <w:sz w:val="24"/>
        </w:rPr>
        <w:t xml:space="preserve"> </w:t>
      </w:r>
      <w:r w:rsidR="00C43E02" w:rsidRPr="00AD238E">
        <w:rPr>
          <w:sz w:val="24"/>
        </w:rPr>
        <w:t xml:space="preserve">on its website on </w:t>
      </w:r>
      <w:r w:rsidR="00BD0F0A" w:rsidRPr="00AD238E">
        <w:rPr>
          <w:sz w:val="24"/>
        </w:rPr>
        <w:t>or about</w:t>
      </w:r>
      <w:r w:rsidR="000E31EF" w:rsidRPr="00AD238E">
        <w:rPr>
          <w:sz w:val="24"/>
        </w:rPr>
        <w:t xml:space="preserve"> </w:t>
      </w:r>
      <w:r w:rsidR="0015797A" w:rsidRPr="00AD238E">
        <w:rPr>
          <w:sz w:val="24"/>
        </w:rPr>
        <w:t>Ma</w:t>
      </w:r>
      <w:r w:rsidR="00EF5131">
        <w:rPr>
          <w:sz w:val="24"/>
        </w:rPr>
        <w:t>y 3</w:t>
      </w:r>
      <w:r w:rsidR="0015797A" w:rsidRPr="00AD238E">
        <w:rPr>
          <w:sz w:val="24"/>
        </w:rPr>
        <w:t xml:space="preserve">, 2010.  The RFA will also be posted on </w:t>
      </w:r>
      <w:hyperlink r:id="rId7" w:history="1">
        <w:r w:rsidR="0015797A" w:rsidRPr="00AD238E">
          <w:rPr>
            <w:rStyle w:val="Hyperlink"/>
            <w:sz w:val="24"/>
          </w:rPr>
          <w:t>www.grants.gov</w:t>
        </w:r>
      </w:hyperlink>
      <w:r w:rsidR="0015797A" w:rsidRPr="00AD238E">
        <w:rPr>
          <w:sz w:val="24"/>
        </w:rPr>
        <w:t xml:space="preserve">.  </w:t>
      </w:r>
    </w:p>
    <w:p w:rsidR="0015797A" w:rsidRDefault="0015797A" w:rsidP="00115F2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115F2C" w:rsidRPr="002963BF" w:rsidRDefault="00115F2C" w:rsidP="002963BF">
      <w:pPr>
        <w:pStyle w:val="Heading1"/>
        <w:rPr>
          <w:rFonts w:ascii="Times New Roman" w:hAnsi="Times New Roman"/>
          <w:kern w:val="0"/>
          <w:sz w:val="24"/>
        </w:rPr>
      </w:pPr>
      <w:bookmarkStart w:id="1" w:name="_Toc249930412"/>
      <w:r w:rsidRPr="002963BF">
        <w:rPr>
          <w:rFonts w:ascii="Times New Roman" w:hAnsi="Times New Roman"/>
          <w:kern w:val="0"/>
          <w:sz w:val="24"/>
        </w:rPr>
        <w:t xml:space="preserve">2.  </w:t>
      </w:r>
      <w:r w:rsidR="00C90FBA" w:rsidRPr="002963BF">
        <w:rPr>
          <w:rFonts w:ascii="Times New Roman" w:hAnsi="Times New Roman"/>
          <w:kern w:val="0"/>
          <w:sz w:val="24"/>
        </w:rPr>
        <w:t xml:space="preserve"> </w:t>
      </w:r>
      <w:r w:rsidRPr="002963BF">
        <w:rPr>
          <w:rFonts w:ascii="Times New Roman" w:hAnsi="Times New Roman"/>
          <w:kern w:val="0"/>
          <w:sz w:val="24"/>
        </w:rPr>
        <w:t xml:space="preserve">Purpose </w:t>
      </w:r>
      <w:r w:rsidR="00A76AB8" w:rsidRPr="002963BF">
        <w:rPr>
          <w:rFonts w:ascii="Times New Roman" w:hAnsi="Times New Roman"/>
          <w:kern w:val="0"/>
          <w:sz w:val="24"/>
        </w:rPr>
        <w:t xml:space="preserve">and Use of </w:t>
      </w:r>
      <w:r w:rsidRPr="002963BF">
        <w:rPr>
          <w:rFonts w:ascii="Times New Roman" w:hAnsi="Times New Roman"/>
          <w:kern w:val="0"/>
          <w:sz w:val="24"/>
        </w:rPr>
        <w:t xml:space="preserve">the </w:t>
      </w:r>
      <w:r w:rsidR="000F058B" w:rsidRPr="002963BF">
        <w:rPr>
          <w:rFonts w:ascii="Times New Roman" w:hAnsi="Times New Roman"/>
          <w:kern w:val="0"/>
          <w:sz w:val="24"/>
        </w:rPr>
        <w:t>I</w:t>
      </w:r>
      <w:r w:rsidRPr="002963BF">
        <w:rPr>
          <w:rFonts w:ascii="Times New Roman" w:hAnsi="Times New Roman"/>
          <w:kern w:val="0"/>
          <w:sz w:val="24"/>
        </w:rPr>
        <w:t>nformation</w:t>
      </w:r>
      <w:r w:rsidR="005138A9" w:rsidRPr="002963BF">
        <w:rPr>
          <w:rFonts w:ascii="Times New Roman" w:hAnsi="Times New Roman"/>
          <w:kern w:val="0"/>
          <w:sz w:val="24"/>
        </w:rPr>
        <w:t>.</w:t>
      </w:r>
      <w:bookmarkEnd w:id="1"/>
    </w:p>
    <w:p w:rsidR="00C90FBA" w:rsidRDefault="00C90FBA" w:rsidP="00115F2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2A283B" w:rsidRPr="00A76AB8" w:rsidRDefault="002A283B" w:rsidP="00A76AB8">
      <w:pPr>
        <w:ind w:left="360" w:right="180"/>
        <w:rPr>
          <w:sz w:val="24"/>
        </w:rPr>
      </w:pPr>
      <w:r w:rsidRPr="00A76AB8">
        <w:rPr>
          <w:sz w:val="24"/>
        </w:rPr>
        <w:t xml:space="preserve">The primary users of the information collected from the applicants are FNS staff </w:t>
      </w:r>
      <w:r w:rsidR="0045414E">
        <w:rPr>
          <w:sz w:val="24"/>
        </w:rPr>
        <w:t>who</w:t>
      </w:r>
      <w:r w:rsidRPr="00A76AB8">
        <w:rPr>
          <w:sz w:val="24"/>
        </w:rPr>
        <w:t xml:space="preserve"> </w:t>
      </w:r>
      <w:r w:rsidR="004F5511">
        <w:rPr>
          <w:sz w:val="24"/>
        </w:rPr>
        <w:t>will</w:t>
      </w:r>
      <w:r w:rsidR="00010AA1">
        <w:rPr>
          <w:sz w:val="24"/>
        </w:rPr>
        <w:t xml:space="preserve"> serve on a panel to systematically</w:t>
      </w:r>
      <w:r w:rsidR="004F5511">
        <w:rPr>
          <w:sz w:val="24"/>
        </w:rPr>
        <w:t xml:space="preserve"> </w:t>
      </w:r>
      <w:r w:rsidRPr="00A76AB8">
        <w:rPr>
          <w:sz w:val="24"/>
        </w:rPr>
        <w:t xml:space="preserve">review, evaluate and approve </w:t>
      </w:r>
      <w:r w:rsidR="004F5511">
        <w:rPr>
          <w:sz w:val="24"/>
        </w:rPr>
        <w:t xml:space="preserve">the </w:t>
      </w:r>
      <w:r w:rsidRPr="00A76AB8">
        <w:rPr>
          <w:sz w:val="24"/>
        </w:rPr>
        <w:t>grant</w:t>
      </w:r>
      <w:r w:rsidR="004F5511">
        <w:rPr>
          <w:sz w:val="24"/>
        </w:rPr>
        <w:t>/</w:t>
      </w:r>
      <w:r w:rsidRPr="00A76AB8">
        <w:rPr>
          <w:sz w:val="24"/>
        </w:rPr>
        <w:t xml:space="preserve">cooperative agreement applications and recommend the </w:t>
      </w:r>
      <w:r w:rsidR="004447D8">
        <w:rPr>
          <w:sz w:val="24"/>
        </w:rPr>
        <w:t>applicants</w:t>
      </w:r>
      <w:r w:rsidR="00E37E47" w:rsidRPr="00A76AB8">
        <w:rPr>
          <w:sz w:val="24"/>
        </w:rPr>
        <w:t xml:space="preserve"> </w:t>
      </w:r>
      <w:r w:rsidRPr="00A76AB8">
        <w:rPr>
          <w:sz w:val="24"/>
        </w:rPr>
        <w:t xml:space="preserve">most likely to meet program </w:t>
      </w:r>
      <w:r w:rsidR="00010AA1">
        <w:rPr>
          <w:sz w:val="24"/>
        </w:rPr>
        <w:t xml:space="preserve">objectives and most responsive to the solicitation. </w:t>
      </w:r>
      <w:r w:rsidRPr="00A76AB8">
        <w:rPr>
          <w:sz w:val="24"/>
        </w:rPr>
        <w:t xml:space="preserve"> The selection criteria are contained in the RFA package</w:t>
      </w:r>
      <w:r w:rsidR="00BB79DE">
        <w:rPr>
          <w:sz w:val="24"/>
        </w:rPr>
        <w:t xml:space="preserve">.  </w:t>
      </w:r>
      <w:r w:rsidR="00032DFF">
        <w:rPr>
          <w:sz w:val="24"/>
        </w:rPr>
        <w:t xml:space="preserve">This process will occur only once this year. </w:t>
      </w:r>
    </w:p>
    <w:p w:rsidR="004606C3" w:rsidRDefault="004606C3" w:rsidP="00115F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606C3" w:rsidRPr="002963BF" w:rsidRDefault="004606C3" w:rsidP="002963BF">
      <w:pPr>
        <w:pStyle w:val="Heading1"/>
        <w:rPr>
          <w:rFonts w:ascii="Times New Roman" w:hAnsi="Times New Roman"/>
          <w:kern w:val="0"/>
          <w:sz w:val="24"/>
        </w:rPr>
      </w:pPr>
      <w:bookmarkStart w:id="2" w:name="_Toc249930413"/>
      <w:r w:rsidRPr="002963BF">
        <w:rPr>
          <w:rFonts w:ascii="Times New Roman" w:hAnsi="Times New Roman"/>
          <w:kern w:val="0"/>
          <w:sz w:val="24"/>
        </w:rPr>
        <w:t xml:space="preserve">3. </w:t>
      </w:r>
      <w:r w:rsidR="00B5645A" w:rsidRPr="002963BF">
        <w:rPr>
          <w:rFonts w:ascii="Times New Roman" w:hAnsi="Times New Roman"/>
          <w:kern w:val="0"/>
          <w:sz w:val="24"/>
        </w:rPr>
        <w:t xml:space="preserve">  </w:t>
      </w:r>
      <w:r w:rsidRPr="002963BF">
        <w:rPr>
          <w:rFonts w:ascii="Times New Roman" w:hAnsi="Times New Roman"/>
          <w:kern w:val="0"/>
          <w:sz w:val="24"/>
        </w:rPr>
        <w:t>Use of Information Technology</w:t>
      </w:r>
      <w:r w:rsidR="005138A9" w:rsidRPr="002963BF">
        <w:rPr>
          <w:rFonts w:ascii="Times New Roman" w:hAnsi="Times New Roman"/>
          <w:kern w:val="0"/>
          <w:sz w:val="24"/>
        </w:rPr>
        <w:t xml:space="preserve"> and Burden Reduction.</w:t>
      </w:r>
      <w:bookmarkEnd w:id="2"/>
    </w:p>
    <w:p w:rsidR="00B5645A" w:rsidRDefault="00B5645A" w:rsidP="004606C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2F2CE7" w:rsidRDefault="00E37E47" w:rsidP="002F2C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In compliance with E-Government Act 2002, </w:t>
      </w:r>
      <w:r w:rsidR="004606C3">
        <w:rPr>
          <w:sz w:val="24"/>
        </w:rPr>
        <w:t xml:space="preserve">FNS </w:t>
      </w:r>
      <w:r>
        <w:rPr>
          <w:sz w:val="24"/>
        </w:rPr>
        <w:t>offers</w:t>
      </w:r>
      <w:r w:rsidR="004606C3">
        <w:rPr>
          <w:sz w:val="24"/>
        </w:rPr>
        <w:t xml:space="preserve"> applicants </w:t>
      </w:r>
      <w:r>
        <w:rPr>
          <w:sz w:val="24"/>
        </w:rPr>
        <w:t xml:space="preserve">the opportunity </w:t>
      </w:r>
      <w:r w:rsidR="004606C3">
        <w:rPr>
          <w:sz w:val="24"/>
        </w:rPr>
        <w:t xml:space="preserve">to receive and provide information </w:t>
      </w:r>
      <w:r w:rsidR="004606C3" w:rsidRPr="0006596E">
        <w:rPr>
          <w:sz w:val="24"/>
          <w:szCs w:val="24"/>
        </w:rPr>
        <w:t>electronically</w:t>
      </w:r>
      <w:r w:rsidR="00D47DFF">
        <w:rPr>
          <w:sz w:val="24"/>
          <w:szCs w:val="24"/>
        </w:rPr>
        <w:t>.</w:t>
      </w:r>
      <w:r w:rsidR="004606C3">
        <w:rPr>
          <w:sz w:val="24"/>
        </w:rPr>
        <w:t xml:space="preserve">  Applica</w:t>
      </w:r>
      <w:r w:rsidR="00013F22">
        <w:rPr>
          <w:sz w:val="24"/>
        </w:rPr>
        <w:t xml:space="preserve">nts may receive the RFA </w:t>
      </w:r>
      <w:r w:rsidR="004606C3">
        <w:rPr>
          <w:sz w:val="24"/>
        </w:rPr>
        <w:t>package by downloading the application from the FNS web</w:t>
      </w:r>
      <w:r w:rsidR="00A12039">
        <w:rPr>
          <w:sz w:val="24"/>
        </w:rPr>
        <w:t>site</w:t>
      </w:r>
      <w:r w:rsidR="004606C3">
        <w:rPr>
          <w:sz w:val="24"/>
        </w:rPr>
        <w:t xml:space="preserve"> </w:t>
      </w:r>
      <w:r w:rsidR="004606C3" w:rsidRPr="007E113B">
        <w:rPr>
          <w:sz w:val="24"/>
        </w:rPr>
        <w:t xml:space="preserve">or by downloading the application from the </w:t>
      </w:r>
      <w:hyperlink r:id="rId8" w:history="1">
        <w:r w:rsidR="003B4BFE" w:rsidRPr="00287C42">
          <w:rPr>
            <w:rStyle w:val="Hyperlink"/>
            <w:sz w:val="24"/>
          </w:rPr>
          <w:t>www.grants.gov</w:t>
        </w:r>
      </w:hyperlink>
      <w:r w:rsidR="003B4BFE">
        <w:rPr>
          <w:sz w:val="24"/>
        </w:rPr>
        <w:t xml:space="preserve"> </w:t>
      </w:r>
      <w:r w:rsidR="004606C3" w:rsidRPr="007E113B">
        <w:rPr>
          <w:sz w:val="24"/>
        </w:rPr>
        <w:t xml:space="preserve"> website.  Additionally, applicants may apply for this </w:t>
      </w:r>
      <w:r w:rsidR="00891E15">
        <w:rPr>
          <w:sz w:val="24"/>
        </w:rPr>
        <w:t>opportunity</w:t>
      </w:r>
      <w:r w:rsidR="004606C3" w:rsidRPr="007E113B">
        <w:rPr>
          <w:sz w:val="24"/>
        </w:rPr>
        <w:t xml:space="preserve"> directly through </w:t>
      </w:r>
      <w:hyperlink r:id="rId9" w:history="1">
        <w:r w:rsidR="003B4BFE" w:rsidRPr="00287C42">
          <w:rPr>
            <w:rStyle w:val="Hyperlink"/>
            <w:sz w:val="24"/>
          </w:rPr>
          <w:t>www.grants.gov</w:t>
        </w:r>
      </w:hyperlink>
      <w:r w:rsidR="00F93716">
        <w:rPr>
          <w:sz w:val="24"/>
        </w:rPr>
        <w:t xml:space="preserve"> .  Applicants may also submit their applications via e-mail</w:t>
      </w:r>
      <w:r w:rsidR="00BB79DE">
        <w:rPr>
          <w:sz w:val="24"/>
        </w:rPr>
        <w:t xml:space="preserve">.  </w:t>
      </w:r>
      <w:r w:rsidR="004447D8">
        <w:rPr>
          <w:sz w:val="24"/>
        </w:rPr>
        <w:lastRenderedPageBreak/>
        <w:t>Applicants</w:t>
      </w:r>
      <w:r w:rsidR="003B4BFE">
        <w:rPr>
          <w:sz w:val="24"/>
        </w:rPr>
        <w:t xml:space="preserve"> </w:t>
      </w:r>
      <w:r w:rsidR="004606C3" w:rsidRPr="007E113B">
        <w:rPr>
          <w:sz w:val="24"/>
        </w:rPr>
        <w:t>that send in their applications via mail or courier are required to submit an original hard copy and two copies of their proposals</w:t>
      </w:r>
      <w:r w:rsidR="00F8466C">
        <w:rPr>
          <w:sz w:val="24"/>
        </w:rPr>
        <w:t xml:space="preserve"> to the address listed on the RFA</w:t>
      </w:r>
      <w:r w:rsidR="004606C3" w:rsidRPr="007E113B">
        <w:rPr>
          <w:sz w:val="24"/>
        </w:rPr>
        <w:t xml:space="preserve">.  FNS will not accept faxed </w:t>
      </w:r>
      <w:r w:rsidR="008D0C82" w:rsidRPr="007E113B">
        <w:rPr>
          <w:sz w:val="24"/>
        </w:rPr>
        <w:t>applications</w:t>
      </w:r>
      <w:r w:rsidR="00D47DFF">
        <w:rPr>
          <w:sz w:val="24"/>
        </w:rPr>
        <w:t>.</w:t>
      </w:r>
      <w:r w:rsidR="002F2CE7">
        <w:rPr>
          <w:sz w:val="24"/>
        </w:rPr>
        <w:t xml:space="preserve">  </w:t>
      </w:r>
    </w:p>
    <w:p w:rsidR="002F2CE7" w:rsidRDefault="002F2CE7" w:rsidP="002F2C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2F2CE7" w:rsidRDefault="002F2CE7" w:rsidP="002F2C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35770">
        <w:rPr>
          <w:sz w:val="24"/>
          <w:szCs w:val="24"/>
        </w:rPr>
        <w:t xml:space="preserve">FNS will require each grantee to submit semi-annual and final Financial Status Report using SF- 425 and SF-425A.  The Recipient is required to enter the SF-425 reporting information into the Food Program Reporting System (FPRS) </w:t>
      </w:r>
      <w:r>
        <w:rPr>
          <w:sz w:val="24"/>
          <w:szCs w:val="24"/>
        </w:rPr>
        <w:t xml:space="preserve">at </w:t>
      </w:r>
      <w:hyperlink r:id="rId10" w:history="1">
        <w:r w:rsidRPr="00592ADA">
          <w:rPr>
            <w:rStyle w:val="Hyperlink"/>
            <w:sz w:val="24"/>
            <w:szCs w:val="24"/>
          </w:rPr>
          <w:t>www.fprs.fns.usda.gov</w:t>
        </w:r>
      </w:hyperlink>
      <w:r w:rsidRPr="00E35770">
        <w:rPr>
          <w:sz w:val="24"/>
          <w:szCs w:val="24"/>
        </w:rPr>
        <w:t xml:space="preserve">.  </w:t>
      </w:r>
      <w:r w:rsidRPr="007514C1">
        <w:rPr>
          <w:sz w:val="24"/>
          <w:szCs w:val="24"/>
        </w:rPr>
        <w:t xml:space="preserve">Standard forms required SF-424, SF-424A, SF-424B, SF-424C, SF-424D </w:t>
      </w:r>
      <w:r w:rsidRPr="00705C7E">
        <w:rPr>
          <w:sz w:val="24"/>
          <w:szCs w:val="24"/>
        </w:rPr>
        <w:t>and SF LLL</w:t>
      </w:r>
      <w:r>
        <w:t xml:space="preserve"> </w:t>
      </w:r>
      <w:r w:rsidRPr="007514C1">
        <w:rPr>
          <w:sz w:val="24"/>
          <w:szCs w:val="24"/>
        </w:rPr>
        <w:t xml:space="preserve">are fillable </w:t>
      </w:r>
      <w:r>
        <w:rPr>
          <w:sz w:val="24"/>
          <w:szCs w:val="24"/>
        </w:rPr>
        <w:t>and can be submitted online at</w:t>
      </w:r>
      <w:r w:rsidRPr="007514C1">
        <w:rPr>
          <w:sz w:val="24"/>
          <w:szCs w:val="24"/>
        </w:rPr>
        <w:t xml:space="preserve"> </w:t>
      </w:r>
      <w:hyperlink r:id="rId11" w:history="1">
        <w:r w:rsidRPr="00592ADA">
          <w:rPr>
            <w:rStyle w:val="Hyperlink"/>
            <w:sz w:val="24"/>
            <w:szCs w:val="24"/>
          </w:rPr>
          <w:t>www.grants.gov</w:t>
        </w:r>
      </w:hyperlink>
      <w:r>
        <w:rPr>
          <w:sz w:val="24"/>
          <w:szCs w:val="24"/>
        </w:rPr>
        <w:t>.</w:t>
      </w:r>
      <w:r w:rsidRPr="005C4F31">
        <w:t xml:space="preserve">  </w:t>
      </w:r>
      <w:r>
        <w:rPr>
          <w:sz w:val="24"/>
        </w:rPr>
        <w:t xml:space="preserve">FNS anticipates that approximately </w:t>
      </w:r>
      <w:r w:rsidR="00B54104">
        <w:rPr>
          <w:sz w:val="24"/>
        </w:rPr>
        <w:t>2</w:t>
      </w:r>
      <w:r>
        <w:rPr>
          <w:sz w:val="24"/>
        </w:rPr>
        <w:t>0 percent of applications will be submitted electronically, or 10 out of 50 organizations.</w:t>
      </w:r>
    </w:p>
    <w:p w:rsidR="002F2CE7" w:rsidRDefault="002F2CE7" w:rsidP="002F2C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F2CE7" w:rsidRDefault="002F2CE7" w:rsidP="002F2CE7">
      <w:pPr>
        <w:pStyle w:val="ListParagraph"/>
        <w:ind w:left="1080" w:hanging="720"/>
      </w:pPr>
      <w:r>
        <w:t>USDA Grant Certification Forms:</w:t>
      </w:r>
    </w:p>
    <w:p w:rsidR="002F2CE7" w:rsidRDefault="002F2CE7" w:rsidP="002F2CE7">
      <w:pPr>
        <w:pStyle w:val="ListParagraph"/>
        <w:ind w:left="1080" w:hanging="720"/>
      </w:pPr>
    </w:p>
    <w:p w:rsidR="002F2CE7" w:rsidRDefault="002F2CE7" w:rsidP="002F2CE7">
      <w:pPr>
        <w:pStyle w:val="ListParagraph"/>
        <w:numPr>
          <w:ilvl w:val="0"/>
          <w:numId w:val="15"/>
        </w:numPr>
      </w:pPr>
      <w:r>
        <w:t xml:space="preserve">AD-1047 Certification Regarding Debarment, Suspension, and Other Responsibility Matters; </w:t>
      </w:r>
      <w:hyperlink r:id="rId12" w:history="1"/>
    </w:p>
    <w:p w:rsidR="002F2CE7" w:rsidRDefault="002F2CE7" w:rsidP="002F2CE7">
      <w:pPr>
        <w:pStyle w:val="ListParagraph"/>
        <w:numPr>
          <w:ilvl w:val="0"/>
          <w:numId w:val="15"/>
        </w:numPr>
      </w:pPr>
      <w:r>
        <w:t xml:space="preserve">AD-1048 Certification Regarding Debarment, Suspension, Ineligibility and Voluntary Exclusion-Lower Tier Covered Transaction (Must submit with application only if a Sole Source Contractor is identified);  </w:t>
      </w:r>
    </w:p>
    <w:p w:rsidR="002F2CE7" w:rsidRDefault="002F2CE7" w:rsidP="002F2CE7">
      <w:pPr>
        <w:pStyle w:val="ListParagraph"/>
        <w:numPr>
          <w:ilvl w:val="0"/>
          <w:numId w:val="15"/>
        </w:numPr>
      </w:pPr>
      <w:r>
        <w:t>AD-1049 Certification Regarding Drug-Free Workplace Requirements</w:t>
      </w:r>
      <w:r w:rsidR="00A908BC">
        <w:t xml:space="preserve"> (Except ; individuals and State governments); and</w:t>
      </w:r>
      <w:r>
        <w:t xml:space="preserve">  </w:t>
      </w:r>
    </w:p>
    <w:p w:rsidR="00A908BC" w:rsidRDefault="00A908BC" w:rsidP="002F2CE7">
      <w:pPr>
        <w:pStyle w:val="ListParagraph"/>
        <w:numPr>
          <w:ilvl w:val="0"/>
          <w:numId w:val="15"/>
        </w:numPr>
      </w:pPr>
      <w:r>
        <w:t xml:space="preserve">AD-1052 Certification Regarding Drug Free Workplace Requirements, State and State Agencies. </w:t>
      </w:r>
    </w:p>
    <w:p w:rsidR="002F2CE7" w:rsidRDefault="000D1582" w:rsidP="002F2CE7">
      <w:pPr>
        <w:pStyle w:val="ListParagraph"/>
        <w:ind w:left="1080"/>
      </w:pPr>
      <w:hyperlink r:id="rId13" w:history="1"/>
    </w:p>
    <w:p w:rsidR="002F2CE7" w:rsidRPr="00E35770" w:rsidRDefault="002F2CE7" w:rsidP="002F2C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FF0000"/>
          <w:sz w:val="24"/>
          <w:szCs w:val="24"/>
        </w:rPr>
      </w:pPr>
      <w:r w:rsidRPr="00E35770">
        <w:rPr>
          <w:sz w:val="24"/>
          <w:szCs w:val="24"/>
        </w:rPr>
        <w:t>In addition a final report will be required.</w:t>
      </w:r>
    </w:p>
    <w:p w:rsidR="002F2CE7" w:rsidRDefault="002F2CE7" w:rsidP="002F2C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 w:val="24"/>
        </w:rPr>
      </w:pPr>
    </w:p>
    <w:p w:rsidR="004606C3" w:rsidRPr="002963BF" w:rsidRDefault="001F2B65" w:rsidP="002963BF">
      <w:pPr>
        <w:pStyle w:val="Heading1"/>
        <w:rPr>
          <w:rFonts w:ascii="Times New Roman" w:hAnsi="Times New Roman"/>
          <w:kern w:val="0"/>
          <w:sz w:val="24"/>
        </w:rPr>
      </w:pPr>
      <w:bookmarkStart w:id="3" w:name="_Toc249930414"/>
      <w:r w:rsidRPr="002963BF">
        <w:rPr>
          <w:rFonts w:ascii="Times New Roman" w:hAnsi="Times New Roman"/>
          <w:kern w:val="0"/>
          <w:sz w:val="24"/>
        </w:rPr>
        <w:t xml:space="preserve">4. </w:t>
      </w:r>
      <w:r w:rsidR="00B5645A" w:rsidRPr="002963BF">
        <w:rPr>
          <w:rFonts w:ascii="Times New Roman" w:hAnsi="Times New Roman"/>
          <w:kern w:val="0"/>
          <w:sz w:val="24"/>
        </w:rPr>
        <w:t xml:space="preserve"> </w:t>
      </w:r>
      <w:r w:rsidRPr="002963BF">
        <w:rPr>
          <w:rFonts w:ascii="Times New Roman" w:hAnsi="Times New Roman"/>
          <w:kern w:val="0"/>
          <w:sz w:val="24"/>
        </w:rPr>
        <w:t xml:space="preserve"> </w:t>
      </w:r>
      <w:r w:rsidR="00A76AB8" w:rsidRPr="002963BF">
        <w:rPr>
          <w:rFonts w:ascii="Times New Roman" w:hAnsi="Times New Roman"/>
          <w:kern w:val="0"/>
          <w:sz w:val="24"/>
        </w:rPr>
        <w:t xml:space="preserve">Effort to Identify </w:t>
      </w:r>
      <w:r w:rsidR="004606C3" w:rsidRPr="002963BF">
        <w:rPr>
          <w:rFonts w:ascii="Times New Roman" w:hAnsi="Times New Roman"/>
          <w:kern w:val="0"/>
          <w:sz w:val="24"/>
        </w:rPr>
        <w:t>Duplication</w:t>
      </w:r>
      <w:r w:rsidR="00A76AB8" w:rsidRPr="002963BF">
        <w:rPr>
          <w:rFonts w:ascii="Times New Roman" w:hAnsi="Times New Roman"/>
          <w:kern w:val="0"/>
          <w:sz w:val="24"/>
        </w:rPr>
        <w:t xml:space="preserve"> </w:t>
      </w:r>
      <w:r w:rsidR="005138A9" w:rsidRPr="002963BF">
        <w:rPr>
          <w:rFonts w:ascii="Times New Roman" w:hAnsi="Times New Roman"/>
          <w:kern w:val="0"/>
          <w:sz w:val="24"/>
        </w:rPr>
        <w:t>and Use of Similar Information.</w:t>
      </w:r>
      <w:bookmarkEnd w:id="3"/>
    </w:p>
    <w:p w:rsidR="00B5645A" w:rsidRDefault="00B5645A" w:rsidP="004606C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4606C3" w:rsidRDefault="00F8466C" w:rsidP="00A12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There is no similar data collection effort available</w:t>
      </w:r>
      <w:r w:rsidR="00C60A3E">
        <w:rPr>
          <w:sz w:val="24"/>
        </w:rPr>
        <w:t xml:space="preserve">.  </w:t>
      </w:r>
      <w:r w:rsidR="00010AA1">
        <w:rPr>
          <w:sz w:val="24"/>
        </w:rPr>
        <w:t>This program solicitation is new and unique.</w:t>
      </w:r>
    </w:p>
    <w:p w:rsidR="006937FD" w:rsidRDefault="006937FD" w:rsidP="004606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F58E2" w:rsidRPr="002963BF" w:rsidRDefault="006937FD" w:rsidP="002963BF">
      <w:pPr>
        <w:pStyle w:val="Heading1"/>
        <w:rPr>
          <w:rFonts w:ascii="Times New Roman" w:hAnsi="Times New Roman"/>
          <w:kern w:val="0"/>
          <w:sz w:val="24"/>
        </w:rPr>
      </w:pPr>
      <w:bookmarkStart w:id="4" w:name="_Toc249930415"/>
      <w:r w:rsidRPr="002963BF">
        <w:rPr>
          <w:rFonts w:ascii="Times New Roman" w:hAnsi="Times New Roman"/>
          <w:kern w:val="0"/>
          <w:sz w:val="24"/>
        </w:rPr>
        <w:t xml:space="preserve">5. </w:t>
      </w:r>
      <w:r w:rsidR="00B5645A" w:rsidRPr="002963BF">
        <w:rPr>
          <w:rFonts w:ascii="Times New Roman" w:hAnsi="Times New Roman"/>
          <w:kern w:val="0"/>
          <w:sz w:val="24"/>
        </w:rPr>
        <w:t xml:space="preserve">  </w:t>
      </w:r>
      <w:r w:rsidR="00A76AB8" w:rsidRPr="002963BF">
        <w:rPr>
          <w:rFonts w:ascii="Times New Roman" w:hAnsi="Times New Roman"/>
          <w:kern w:val="0"/>
          <w:sz w:val="24"/>
        </w:rPr>
        <w:t>Impact</w:t>
      </w:r>
      <w:r w:rsidR="005138A9" w:rsidRPr="002963BF">
        <w:rPr>
          <w:rFonts w:ascii="Times New Roman" w:hAnsi="Times New Roman"/>
          <w:kern w:val="0"/>
          <w:sz w:val="24"/>
        </w:rPr>
        <w:t>s</w:t>
      </w:r>
      <w:r w:rsidR="00A76AB8" w:rsidRPr="002963BF">
        <w:rPr>
          <w:rFonts w:ascii="Times New Roman" w:hAnsi="Times New Roman"/>
          <w:kern w:val="0"/>
          <w:sz w:val="24"/>
        </w:rPr>
        <w:t xml:space="preserve"> </w:t>
      </w:r>
      <w:r w:rsidRPr="002963BF">
        <w:rPr>
          <w:rFonts w:ascii="Times New Roman" w:hAnsi="Times New Roman"/>
          <w:kern w:val="0"/>
          <w:sz w:val="24"/>
        </w:rPr>
        <w:t>Small Business</w:t>
      </w:r>
      <w:r w:rsidR="00A76AB8" w:rsidRPr="002963BF">
        <w:rPr>
          <w:rFonts w:ascii="Times New Roman" w:hAnsi="Times New Roman"/>
          <w:kern w:val="0"/>
          <w:sz w:val="24"/>
        </w:rPr>
        <w:t>es or Other Small Entities</w:t>
      </w:r>
      <w:r w:rsidR="005138A9" w:rsidRPr="002963BF">
        <w:rPr>
          <w:rFonts w:ascii="Times New Roman" w:hAnsi="Times New Roman"/>
          <w:kern w:val="0"/>
          <w:sz w:val="24"/>
        </w:rPr>
        <w:t>.</w:t>
      </w:r>
      <w:bookmarkEnd w:id="4"/>
      <w:r w:rsidRPr="002963BF">
        <w:rPr>
          <w:rFonts w:ascii="Times New Roman" w:hAnsi="Times New Roman"/>
          <w:kern w:val="0"/>
          <w:sz w:val="24"/>
        </w:rPr>
        <w:t xml:space="preserve">  </w:t>
      </w:r>
    </w:p>
    <w:p w:rsidR="00B5645A" w:rsidRDefault="00B5645A" w:rsidP="00CF5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 w:val="24"/>
          <w:szCs w:val="24"/>
        </w:rPr>
      </w:pPr>
    </w:p>
    <w:p w:rsidR="006937FD" w:rsidRDefault="00A76AB8" w:rsidP="00A12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The information request is held to the minimum amount required.  </w:t>
      </w:r>
    </w:p>
    <w:p w:rsidR="006937FD" w:rsidRDefault="006937FD" w:rsidP="004606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5645A" w:rsidRPr="002963BF" w:rsidRDefault="00A46CAD" w:rsidP="002963BF">
      <w:pPr>
        <w:pStyle w:val="Heading1"/>
        <w:rPr>
          <w:rFonts w:ascii="Times New Roman" w:hAnsi="Times New Roman"/>
          <w:kern w:val="0"/>
          <w:sz w:val="24"/>
        </w:rPr>
      </w:pPr>
      <w:bookmarkStart w:id="5" w:name="_Toc249930416"/>
      <w:r w:rsidRPr="002963BF">
        <w:rPr>
          <w:rFonts w:ascii="Times New Roman" w:hAnsi="Times New Roman"/>
          <w:kern w:val="0"/>
          <w:sz w:val="24"/>
        </w:rPr>
        <w:t xml:space="preserve">6. </w:t>
      </w:r>
      <w:r w:rsidR="00B5645A" w:rsidRPr="002963BF">
        <w:rPr>
          <w:rFonts w:ascii="Times New Roman" w:hAnsi="Times New Roman"/>
          <w:kern w:val="0"/>
          <w:sz w:val="24"/>
        </w:rPr>
        <w:t xml:space="preserve">  </w:t>
      </w:r>
      <w:r w:rsidR="000F058B" w:rsidRPr="002963BF">
        <w:rPr>
          <w:rFonts w:ascii="Times New Roman" w:hAnsi="Times New Roman"/>
          <w:kern w:val="0"/>
          <w:sz w:val="24"/>
        </w:rPr>
        <w:t>Consequences for C</w:t>
      </w:r>
      <w:r w:rsidR="005138A9" w:rsidRPr="002963BF">
        <w:rPr>
          <w:rFonts w:ascii="Times New Roman" w:hAnsi="Times New Roman"/>
          <w:kern w:val="0"/>
          <w:sz w:val="24"/>
        </w:rPr>
        <w:t xml:space="preserve">ollecting the </w:t>
      </w:r>
      <w:r w:rsidR="000F058B" w:rsidRPr="002963BF">
        <w:rPr>
          <w:rFonts w:ascii="Times New Roman" w:hAnsi="Times New Roman"/>
          <w:kern w:val="0"/>
          <w:sz w:val="24"/>
        </w:rPr>
        <w:t>Information Less Frequently</w:t>
      </w:r>
      <w:r w:rsidR="005138A9" w:rsidRPr="002963BF">
        <w:rPr>
          <w:rFonts w:ascii="Times New Roman" w:hAnsi="Times New Roman"/>
          <w:kern w:val="0"/>
          <w:sz w:val="24"/>
        </w:rPr>
        <w:t>.</w:t>
      </w:r>
      <w:bookmarkEnd w:id="5"/>
    </w:p>
    <w:p w:rsidR="000F058B" w:rsidRDefault="000F058B" w:rsidP="00A46CA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4F292A" w:rsidRDefault="00A46CAD" w:rsidP="002D11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32E1F">
        <w:rPr>
          <w:sz w:val="24"/>
        </w:rPr>
        <w:t xml:space="preserve">FNS </w:t>
      </w:r>
      <w:r w:rsidR="00512DDA" w:rsidRPr="00332E1F">
        <w:rPr>
          <w:sz w:val="24"/>
        </w:rPr>
        <w:t>will seek m</w:t>
      </w:r>
      <w:r w:rsidRPr="00332E1F">
        <w:rPr>
          <w:sz w:val="24"/>
        </w:rPr>
        <w:t>inimal information</w:t>
      </w:r>
      <w:r w:rsidR="00512DDA" w:rsidRPr="00332E1F">
        <w:rPr>
          <w:sz w:val="24"/>
        </w:rPr>
        <w:t xml:space="preserve"> </w:t>
      </w:r>
      <w:r w:rsidR="00ED4F9F" w:rsidRPr="00332E1F">
        <w:rPr>
          <w:sz w:val="24"/>
        </w:rPr>
        <w:t xml:space="preserve">that will be critical in selecting the most promising grantees. </w:t>
      </w:r>
      <w:r w:rsidR="00512DDA" w:rsidRPr="00332E1F">
        <w:rPr>
          <w:sz w:val="24"/>
        </w:rPr>
        <w:t xml:space="preserve"> Reduced frequency is not possible as the annual frequency of applications coincides with the annual appropriat</w:t>
      </w:r>
      <w:r w:rsidR="00101AD7" w:rsidRPr="00332E1F">
        <w:rPr>
          <w:sz w:val="24"/>
        </w:rPr>
        <w:t>ion</w:t>
      </w:r>
      <w:r w:rsidR="00512DDA" w:rsidRPr="00332E1F">
        <w:rPr>
          <w:sz w:val="24"/>
        </w:rPr>
        <w:t xml:space="preserve"> of funds.</w:t>
      </w:r>
      <w:r w:rsidR="004F292A" w:rsidRPr="00332E1F">
        <w:rPr>
          <w:sz w:val="24"/>
        </w:rPr>
        <w:t xml:space="preserve"> </w:t>
      </w:r>
      <w:r w:rsidR="00080BB4" w:rsidRPr="00332E1F">
        <w:rPr>
          <w:sz w:val="24"/>
        </w:rPr>
        <w:t xml:space="preserve"> The consequence for not collecting the information is the inability to </w:t>
      </w:r>
      <w:r w:rsidR="00F93716" w:rsidRPr="00332E1F">
        <w:rPr>
          <w:sz w:val="24"/>
        </w:rPr>
        <w:t xml:space="preserve">award </w:t>
      </w:r>
      <w:r w:rsidR="00332E1F" w:rsidRPr="00332E1F">
        <w:rPr>
          <w:sz w:val="24"/>
        </w:rPr>
        <w:t>grant funds</w:t>
      </w:r>
      <w:r w:rsidR="00FE6309" w:rsidRPr="00332E1F">
        <w:rPr>
          <w:sz w:val="24"/>
        </w:rPr>
        <w:t xml:space="preserve"> </w:t>
      </w:r>
      <w:r w:rsidR="0008123A">
        <w:rPr>
          <w:sz w:val="24"/>
        </w:rPr>
        <w:t xml:space="preserve">for the development of </w:t>
      </w:r>
      <w:r w:rsidR="002D1172">
        <w:rPr>
          <w:sz w:val="24"/>
        </w:rPr>
        <w:t xml:space="preserve"> hunger free communities as stipulated in</w:t>
      </w:r>
      <w:r w:rsidR="002D1172" w:rsidRPr="002D1172">
        <w:rPr>
          <w:sz w:val="24"/>
          <w:szCs w:val="24"/>
        </w:rPr>
        <w:t xml:space="preserve"> section 4405 of the Food, Conservation, and Energy Act of 2008</w:t>
      </w:r>
      <w:r w:rsidR="002D1172" w:rsidRPr="002D1172">
        <w:rPr>
          <w:i/>
          <w:sz w:val="24"/>
          <w:szCs w:val="24"/>
        </w:rPr>
        <w:t>.</w:t>
      </w:r>
    </w:p>
    <w:p w:rsidR="009730CA" w:rsidRPr="002963BF" w:rsidRDefault="00080BB4" w:rsidP="002963BF">
      <w:pPr>
        <w:pStyle w:val="Heading1"/>
        <w:rPr>
          <w:rFonts w:ascii="Times New Roman" w:hAnsi="Times New Roman"/>
          <w:kern w:val="0"/>
          <w:sz w:val="24"/>
        </w:rPr>
      </w:pPr>
      <w:r w:rsidRPr="002963BF">
        <w:rPr>
          <w:rFonts w:ascii="Times New Roman" w:hAnsi="Times New Roman"/>
          <w:kern w:val="0"/>
          <w:sz w:val="24"/>
        </w:rPr>
        <w:lastRenderedPageBreak/>
        <w:t xml:space="preserve"> </w:t>
      </w:r>
      <w:bookmarkStart w:id="6" w:name="_Toc249930417"/>
      <w:r w:rsidR="009730CA" w:rsidRPr="002963BF">
        <w:rPr>
          <w:rFonts w:ascii="Times New Roman" w:hAnsi="Times New Roman"/>
          <w:kern w:val="0"/>
          <w:sz w:val="24"/>
        </w:rPr>
        <w:t xml:space="preserve">7. </w:t>
      </w:r>
      <w:r w:rsidR="00B5645A" w:rsidRPr="002963BF">
        <w:rPr>
          <w:rFonts w:ascii="Times New Roman" w:hAnsi="Times New Roman"/>
          <w:kern w:val="0"/>
          <w:sz w:val="24"/>
        </w:rPr>
        <w:t xml:space="preserve"> </w:t>
      </w:r>
      <w:r w:rsidR="009730CA" w:rsidRPr="002963BF">
        <w:rPr>
          <w:rFonts w:ascii="Times New Roman" w:hAnsi="Times New Roman"/>
          <w:kern w:val="0"/>
          <w:sz w:val="24"/>
        </w:rPr>
        <w:t xml:space="preserve"> </w:t>
      </w:r>
      <w:r w:rsidR="005138A9" w:rsidRPr="002963BF">
        <w:rPr>
          <w:rFonts w:ascii="Times New Roman" w:hAnsi="Times New Roman"/>
          <w:kern w:val="0"/>
          <w:sz w:val="24"/>
        </w:rPr>
        <w:t>Special C</w:t>
      </w:r>
      <w:r w:rsidR="009730CA" w:rsidRPr="002963BF">
        <w:rPr>
          <w:rFonts w:ascii="Times New Roman" w:hAnsi="Times New Roman"/>
          <w:kern w:val="0"/>
          <w:sz w:val="24"/>
        </w:rPr>
        <w:t xml:space="preserve">ircumstances </w:t>
      </w:r>
      <w:r w:rsidR="000F058B" w:rsidRPr="002963BF">
        <w:rPr>
          <w:rFonts w:ascii="Times New Roman" w:hAnsi="Times New Roman"/>
          <w:kern w:val="0"/>
          <w:sz w:val="24"/>
        </w:rPr>
        <w:t>R</w:t>
      </w:r>
      <w:r w:rsidR="009730CA" w:rsidRPr="002963BF">
        <w:rPr>
          <w:rFonts w:ascii="Times New Roman" w:hAnsi="Times New Roman"/>
          <w:kern w:val="0"/>
          <w:sz w:val="24"/>
        </w:rPr>
        <w:t>e</w:t>
      </w:r>
      <w:r w:rsidR="005138A9" w:rsidRPr="002963BF">
        <w:rPr>
          <w:rFonts w:ascii="Times New Roman" w:hAnsi="Times New Roman"/>
          <w:kern w:val="0"/>
          <w:sz w:val="24"/>
        </w:rPr>
        <w:t xml:space="preserve">lating to the Guideline of 5 </w:t>
      </w:r>
      <w:smartTag w:uri="urn:schemas-microsoft-com:office:smarttags" w:element="stockticker">
        <w:r w:rsidR="005138A9" w:rsidRPr="002963BF">
          <w:rPr>
            <w:rFonts w:ascii="Times New Roman" w:hAnsi="Times New Roman"/>
            <w:kern w:val="0"/>
            <w:sz w:val="24"/>
          </w:rPr>
          <w:t>CFR</w:t>
        </w:r>
      </w:smartTag>
      <w:r w:rsidR="005138A9" w:rsidRPr="002963BF">
        <w:rPr>
          <w:rFonts w:ascii="Times New Roman" w:hAnsi="Times New Roman"/>
          <w:kern w:val="0"/>
          <w:sz w:val="24"/>
        </w:rPr>
        <w:t xml:space="preserve"> 1320.5.</w:t>
      </w:r>
      <w:bookmarkEnd w:id="6"/>
      <w:r w:rsidR="009730CA" w:rsidRPr="002963BF">
        <w:rPr>
          <w:rFonts w:ascii="Times New Roman" w:hAnsi="Times New Roman"/>
          <w:kern w:val="0"/>
          <w:sz w:val="24"/>
        </w:rPr>
        <w:t xml:space="preserve">  </w:t>
      </w:r>
    </w:p>
    <w:p w:rsidR="00B5645A" w:rsidRDefault="00B5645A" w:rsidP="00A120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906873" w:rsidRPr="00A15FDD" w:rsidRDefault="00A12039" w:rsidP="009730C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sz w:val="24"/>
        </w:rPr>
        <w:t xml:space="preserve">      </w:t>
      </w:r>
      <w:r w:rsidR="00A15FDD" w:rsidRPr="00A15FDD">
        <w:rPr>
          <w:sz w:val="24"/>
          <w:szCs w:val="24"/>
        </w:rPr>
        <w:t xml:space="preserve">There are no special circumstances.  The collection of information is conducted in a manner consistent with the guidelines in 5 </w:t>
      </w:r>
      <w:smartTag w:uri="urn:schemas-microsoft-com:office:smarttags" w:element="stockticker">
        <w:r w:rsidR="00A15FDD" w:rsidRPr="00A15FDD">
          <w:rPr>
            <w:sz w:val="24"/>
            <w:szCs w:val="24"/>
          </w:rPr>
          <w:t>CFR</w:t>
        </w:r>
      </w:smartTag>
      <w:r w:rsidR="00A15FDD" w:rsidRPr="00A15FDD">
        <w:rPr>
          <w:sz w:val="24"/>
          <w:szCs w:val="24"/>
        </w:rPr>
        <w:t xml:space="preserve"> </w:t>
      </w:r>
      <w:r w:rsidR="009D73DA">
        <w:rPr>
          <w:sz w:val="24"/>
          <w:szCs w:val="24"/>
        </w:rPr>
        <w:t>1320.5</w:t>
      </w:r>
      <w:r w:rsidR="00ED4F9F" w:rsidRPr="00A15FDD">
        <w:rPr>
          <w:sz w:val="24"/>
          <w:szCs w:val="24"/>
        </w:rPr>
        <w:t>.</w:t>
      </w:r>
      <w:r w:rsidR="009730CA" w:rsidRPr="00A15FDD">
        <w:rPr>
          <w:sz w:val="24"/>
          <w:szCs w:val="24"/>
        </w:rPr>
        <w:t xml:space="preserve"> </w:t>
      </w:r>
    </w:p>
    <w:p w:rsidR="00906873" w:rsidRPr="00906873" w:rsidRDefault="009730CA" w:rsidP="0006307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rPr>
      </w:pPr>
      <w:r w:rsidRPr="00906873">
        <w:rPr>
          <w:sz w:val="24"/>
        </w:rPr>
        <w:t xml:space="preserve">  </w:t>
      </w:r>
    </w:p>
    <w:p w:rsidR="00B5645A" w:rsidRPr="002963BF" w:rsidRDefault="00163F2B" w:rsidP="002963BF">
      <w:pPr>
        <w:pStyle w:val="Heading1"/>
        <w:rPr>
          <w:rFonts w:ascii="Times New Roman" w:hAnsi="Times New Roman"/>
          <w:kern w:val="0"/>
          <w:sz w:val="24"/>
        </w:rPr>
      </w:pPr>
      <w:bookmarkStart w:id="7" w:name="_Toc249930418"/>
      <w:r w:rsidRPr="002963BF">
        <w:rPr>
          <w:rFonts w:ascii="Times New Roman" w:hAnsi="Times New Roman"/>
          <w:kern w:val="0"/>
          <w:sz w:val="24"/>
        </w:rPr>
        <w:t xml:space="preserve">8. </w:t>
      </w:r>
      <w:r w:rsidR="00B5645A" w:rsidRPr="002963BF">
        <w:rPr>
          <w:rFonts w:ascii="Times New Roman" w:hAnsi="Times New Roman"/>
          <w:kern w:val="0"/>
          <w:sz w:val="24"/>
        </w:rPr>
        <w:t xml:space="preserve">  </w:t>
      </w:r>
      <w:r w:rsidR="005138A9" w:rsidRPr="002963BF">
        <w:rPr>
          <w:rFonts w:ascii="Times New Roman" w:hAnsi="Times New Roman"/>
          <w:kern w:val="0"/>
          <w:sz w:val="24"/>
        </w:rPr>
        <w:t>Comments in Response to the Federal Register Notice and Efforts to Consult Outside Agency.</w:t>
      </w:r>
      <w:bookmarkEnd w:id="7"/>
    </w:p>
    <w:p w:rsidR="005138A9" w:rsidRDefault="005138A9" w:rsidP="00163F2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ED4F9F" w:rsidRPr="00ED4F9F" w:rsidRDefault="00ED4F9F" w:rsidP="00ED4F9F">
      <w:pPr>
        <w:ind w:left="360"/>
        <w:rPr>
          <w:sz w:val="24"/>
          <w:szCs w:val="24"/>
        </w:rPr>
      </w:pPr>
      <w:r w:rsidRPr="00ED4F9F">
        <w:rPr>
          <w:sz w:val="24"/>
          <w:szCs w:val="24"/>
        </w:rPr>
        <w:t xml:space="preserve">A </w:t>
      </w:r>
      <w:r w:rsidR="009D73DA">
        <w:rPr>
          <w:sz w:val="24"/>
          <w:szCs w:val="24"/>
        </w:rPr>
        <w:t xml:space="preserve">60-day </w:t>
      </w:r>
      <w:r w:rsidRPr="00ED4F9F">
        <w:rPr>
          <w:sz w:val="24"/>
          <w:szCs w:val="24"/>
        </w:rPr>
        <w:t xml:space="preserve">notice was </w:t>
      </w:r>
      <w:r w:rsidR="009D73DA">
        <w:rPr>
          <w:sz w:val="24"/>
          <w:szCs w:val="24"/>
        </w:rPr>
        <w:t>published</w:t>
      </w:r>
      <w:r w:rsidR="009D73DA" w:rsidRPr="00ED4F9F">
        <w:rPr>
          <w:sz w:val="24"/>
          <w:szCs w:val="24"/>
        </w:rPr>
        <w:t xml:space="preserve"> </w:t>
      </w:r>
      <w:r w:rsidRPr="00ED4F9F">
        <w:rPr>
          <w:sz w:val="24"/>
          <w:szCs w:val="24"/>
        </w:rPr>
        <w:t xml:space="preserve">in the Federal Register on </w:t>
      </w:r>
      <w:smartTag w:uri="urn:schemas-microsoft-com:office:smarttags" w:element="date">
        <w:smartTagPr>
          <w:attr w:name="ls" w:val="trans"/>
          <w:attr w:name="Month" w:val="8"/>
          <w:attr w:name="Day" w:val="20"/>
          <w:attr w:name="Year" w:val="2008"/>
        </w:smartTagPr>
        <w:r w:rsidRPr="00ED4F9F">
          <w:rPr>
            <w:sz w:val="24"/>
            <w:szCs w:val="24"/>
          </w:rPr>
          <w:t>August</w:t>
        </w:r>
        <w:r w:rsidRPr="00ED4F9F">
          <w:rPr>
            <w:b/>
            <w:sz w:val="24"/>
            <w:szCs w:val="24"/>
          </w:rPr>
          <w:t xml:space="preserve"> </w:t>
        </w:r>
        <w:r w:rsidRPr="00ED4F9F">
          <w:rPr>
            <w:sz w:val="24"/>
            <w:szCs w:val="24"/>
          </w:rPr>
          <w:t>20, 2008</w:t>
        </w:r>
      </w:smartTag>
      <w:r w:rsidRPr="00ED4F9F">
        <w:rPr>
          <w:sz w:val="24"/>
          <w:szCs w:val="24"/>
        </w:rPr>
        <w:t xml:space="preserve">, (Volume </w:t>
      </w:r>
      <w:r w:rsidRPr="00ED4F9F">
        <w:rPr>
          <w:rFonts w:ascii="Calisto MT" w:hAnsi="Calisto MT"/>
          <w:sz w:val="24"/>
          <w:szCs w:val="24"/>
        </w:rPr>
        <w:t>73</w:t>
      </w:r>
      <w:r w:rsidRPr="00ED4F9F">
        <w:rPr>
          <w:sz w:val="24"/>
          <w:szCs w:val="24"/>
        </w:rPr>
        <w:t>, Number 162, page 49159-49160) soliciting comments on FNS’s intent to request O</w:t>
      </w:r>
      <w:r w:rsidR="005138A9">
        <w:rPr>
          <w:sz w:val="24"/>
          <w:szCs w:val="24"/>
        </w:rPr>
        <w:t>ffice of Management and Budget (O</w:t>
      </w:r>
      <w:r w:rsidRPr="00ED4F9F">
        <w:rPr>
          <w:sz w:val="24"/>
          <w:szCs w:val="24"/>
        </w:rPr>
        <w:t>MB</w:t>
      </w:r>
      <w:r w:rsidR="005138A9">
        <w:rPr>
          <w:sz w:val="24"/>
          <w:szCs w:val="24"/>
        </w:rPr>
        <w:t>)</w:t>
      </w:r>
      <w:r w:rsidRPr="00ED4F9F">
        <w:rPr>
          <w:sz w:val="24"/>
          <w:szCs w:val="24"/>
        </w:rPr>
        <w:t xml:space="preserve"> approval for a uniform grant application package for FNS discretionary grant programs</w:t>
      </w:r>
      <w:r w:rsidR="00470C4A">
        <w:rPr>
          <w:sz w:val="24"/>
          <w:szCs w:val="24"/>
        </w:rPr>
        <w:t xml:space="preserve"> that is a revision of the previously approved package.</w:t>
      </w:r>
      <w:r w:rsidRPr="00ED4F9F">
        <w:rPr>
          <w:sz w:val="24"/>
          <w:szCs w:val="24"/>
        </w:rPr>
        <w:t xml:space="preserve">  FNS received one public comment in response to the Federal Register notice.</w:t>
      </w:r>
    </w:p>
    <w:p w:rsidR="00ED4F9F" w:rsidRPr="00ED4F9F" w:rsidRDefault="00ED4F9F" w:rsidP="00ED4F9F">
      <w:pPr>
        <w:ind w:left="900"/>
        <w:rPr>
          <w:sz w:val="24"/>
          <w:szCs w:val="24"/>
        </w:rPr>
      </w:pPr>
    </w:p>
    <w:p w:rsidR="00470C4A" w:rsidRDefault="00ED4F9F" w:rsidP="00ED4F9F">
      <w:pPr>
        <w:ind w:left="360"/>
        <w:rPr>
          <w:sz w:val="24"/>
          <w:szCs w:val="24"/>
        </w:rPr>
      </w:pPr>
      <w:r w:rsidRPr="00ED4F9F">
        <w:rPr>
          <w:sz w:val="24"/>
          <w:szCs w:val="24"/>
        </w:rPr>
        <w:t>FNS staff often discuss</w:t>
      </w:r>
      <w:r w:rsidR="000F058B">
        <w:rPr>
          <w:sz w:val="24"/>
          <w:szCs w:val="24"/>
        </w:rPr>
        <w:t>es</w:t>
      </w:r>
      <w:r w:rsidRPr="00ED4F9F">
        <w:rPr>
          <w:sz w:val="24"/>
          <w:szCs w:val="24"/>
        </w:rPr>
        <w:t xml:space="preserve"> the availability of the various grant opportunities and th</w:t>
      </w:r>
      <w:r w:rsidR="000F058B">
        <w:rPr>
          <w:sz w:val="24"/>
          <w:szCs w:val="24"/>
        </w:rPr>
        <w:t xml:space="preserve">e grant application requirements </w:t>
      </w:r>
      <w:r w:rsidRPr="00ED4F9F">
        <w:rPr>
          <w:sz w:val="24"/>
          <w:szCs w:val="24"/>
        </w:rPr>
        <w:t>with potential applicants at vario</w:t>
      </w:r>
      <w:r w:rsidR="005138A9">
        <w:rPr>
          <w:sz w:val="24"/>
          <w:szCs w:val="24"/>
        </w:rPr>
        <w:t>us national or regional meeting</w:t>
      </w:r>
      <w:r w:rsidR="004B3CEE">
        <w:rPr>
          <w:sz w:val="24"/>
          <w:szCs w:val="24"/>
        </w:rPr>
        <w:t>s</w:t>
      </w:r>
      <w:r w:rsidRPr="00ED4F9F">
        <w:rPr>
          <w:sz w:val="24"/>
          <w:szCs w:val="24"/>
        </w:rPr>
        <w:t>.</w:t>
      </w:r>
    </w:p>
    <w:p w:rsidR="00ED4F9F" w:rsidRPr="00ED4F9F" w:rsidRDefault="00ED4F9F" w:rsidP="00ED4F9F">
      <w:pPr>
        <w:ind w:left="360"/>
        <w:rPr>
          <w:sz w:val="24"/>
          <w:szCs w:val="24"/>
        </w:rPr>
      </w:pPr>
      <w:r w:rsidRPr="00ED4F9F">
        <w:rPr>
          <w:sz w:val="24"/>
          <w:szCs w:val="24"/>
        </w:rPr>
        <w:t xml:space="preserve">  </w:t>
      </w:r>
    </w:p>
    <w:p w:rsidR="00ED4F9F" w:rsidRPr="002963BF" w:rsidRDefault="00063076" w:rsidP="002963BF">
      <w:pPr>
        <w:pStyle w:val="Heading1"/>
        <w:rPr>
          <w:rFonts w:ascii="Times New Roman" w:hAnsi="Times New Roman"/>
          <w:kern w:val="0"/>
          <w:sz w:val="24"/>
        </w:rPr>
      </w:pPr>
      <w:bookmarkStart w:id="8" w:name="_Toc249930419"/>
      <w:r w:rsidRPr="002963BF">
        <w:rPr>
          <w:rFonts w:ascii="Times New Roman" w:hAnsi="Times New Roman"/>
          <w:kern w:val="0"/>
          <w:sz w:val="24"/>
        </w:rPr>
        <w:t xml:space="preserve">9. </w:t>
      </w:r>
      <w:r w:rsidR="000F058B" w:rsidRPr="002963BF">
        <w:rPr>
          <w:rFonts w:ascii="Times New Roman" w:hAnsi="Times New Roman"/>
          <w:kern w:val="0"/>
          <w:sz w:val="24"/>
        </w:rPr>
        <w:t xml:space="preserve"> </w:t>
      </w:r>
      <w:r w:rsidRPr="002963BF">
        <w:rPr>
          <w:rFonts w:ascii="Times New Roman" w:hAnsi="Times New Roman"/>
          <w:kern w:val="0"/>
          <w:sz w:val="24"/>
        </w:rPr>
        <w:t xml:space="preserve"> </w:t>
      </w:r>
      <w:r w:rsidR="005138A9" w:rsidRPr="002963BF">
        <w:rPr>
          <w:rFonts w:ascii="Times New Roman" w:hAnsi="Times New Roman"/>
          <w:kern w:val="0"/>
          <w:sz w:val="24"/>
        </w:rPr>
        <w:t>Explanation of Any Pa</w:t>
      </w:r>
      <w:r w:rsidRPr="002963BF">
        <w:rPr>
          <w:rFonts w:ascii="Times New Roman" w:hAnsi="Times New Roman"/>
          <w:kern w:val="0"/>
          <w:sz w:val="24"/>
        </w:rPr>
        <w:t xml:space="preserve">yment or </w:t>
      </w:r>
      <w:r w:rsidR="005138A9" w:rsidRPr="002963BF">
        <w:rPr>
          <w:rFonts w:ascii="Times New Roman" w:hAnsi="Times New Roman"/>
          <w:kern w:val="0"/>
          <w:sz w:val="24"/>
        </w:rPr>
        <w:t>G</w:t>
      </w:r>
      <w:r w:rsidRPr="002963BF">
        <w:rPr>
          <w:rFonts w:ascii="Times New Roman" w:hAnsi="Times New Roman"/>
          <w:kern w:val="0"/>
          <w:sz w:val="24"/>
        </w:rPr>
        <w:t xml:space="preserve">ift to </w:t>
      </w:r>
      <w:r w:rsidR="005138A9" w:rsidRPr="002963BF">
        <w:rPr>
          <w:rFonts w:ascii="Times New Roman" w:hAnsi="Times New Roman"/>
          <w:kern w:val="0"/>
          <w:sz w:val="24"/>
        </w:rPr>
        <w:t>R</w:t>
      </w:r>
      <w:r w:rsidRPr="002963BF">
        <w:rPr>
          <w:rFonts w:ascii="Times New Roman" w:hAnsi="Times New Roman"/>
          <w:kern w:val="0"/>
          <w:sz w:val="24"/>
        </w:rPr>
        <w:t>espondents</w:t>
      </w:r>
      <w:r w:rsidR="005138A9" w:rsidRPr="002963BF">
        <w:rPr>
          <w:rFonts w:ascii="Times New Roman" w:hAnsi="Times New Roman"/>
          <w:kern w:val="0"/>
          <w:sz w:val="24"/>
        </w:rPr>
        <w:t>.</w:t>
      </w:r>
      <w:bookmarkEnd w:id="8"/>
      <w:r w:rsidR="00B5645A" w:rsidRPr="002963BF">
        <w:rPr>
          <w:rFonts w:ascii="Times New Roman" w:hAnsi="Times New Roman"/>
          <w:kern w:val="0"/>
          <w:sz w:val="24"/>
        </w:rPr>
        <w:t xml:space="preserve"> </w:t>
      </w:r>
    </w:p>
    <w:p w:rsidR="000F058B" w:rsidRDefault="000F058B" w:rsidP="000F058B">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9E3EEB" w:rsidRDefault="000F058B" w:rsidP="00F9371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r w:rsidR="00ED4F9F" w:rsidRPr="00ED4F9F">
        <w:rPr>
          <w:sz w:val="24"/>
        </w:rPr>
        <w:t xml:space="preserve">There are no plans to provide </w:t>
      </w:r>
      <w:r w:rsidR="00E400D9">
        <w:rPr>
          <w:sz w:val="24"/>
        </w:rPr>
        <w:t xml:space="preserve">cash </w:t>
      </w:r>
      <w:r w:rsidR="00ED4F9F" w:rsidRPr="00ED4F9F">
        <w:rPr>
          <w:sz w:val="24"/>
        </w:rPr>
        <w:t>payment</w:t>
      </w:r>
      <w:r w:rsidR="004F5511">
        <w:rPr>
          <w:sz w:val="24"/>
        </w:rPr>
        <w:t>s</w:t>
      </w:r>
      <w:r w:rsidR="00ED4F9F" w:rsidRPr="00ED4F9F">
        <w:rPr>
          <w:sz w:val="24"/>
        </w:rPr>
        <w:t xml:space="preserve"> or gifts to respondents</w:t>
      </w:r>
      <w:r w:rsidR="004F5511">
        <w:rPr>
          <w:sz w:val="24"/>
        </w:rPr>
        <w:t>.</w:t>
      </w:r>
      <w:r w:rsidR="00E400D9">
        <w:rPr>
          <w:sz w:val="24"/>
        </w:rPr>
        <w:t xml:space="preserve"> </w:t>
      </w:r>
    </w:p>
    <w:p w:rsidR="004B3CEE" w:rsidRDefault="004B3CEE" w:rsidP="009E3E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9E3EEB" w:rsidRPr="002963BF" w:rsidRDefault="009E3EEB" w:rsidP="002963BF">
      <w:pPr>
        <w:pStyle w:val="Heading1"/>
        <w:rPr>
          <w:rFonts w:ascii="Times New Roman" w:hAnsi="Times New Roman"/>
          <w:kern w:val="0"/>
          <w:sz w:val="24"/>
        </w:rPr>
      </w:pPr>
      <w:bookmarkStart w:id="9" w:name="_Toc249930420"/>
      <w:r w:rsidRPr="002963BF">
        <w:rPr>
          <w:rFonts w:ascii="Times New Roman" w:hAnsi="Times New Roman"/>
          <w:kern w:val="0"/>
          <w:sz w:val="24"/>
        </w:rPr>
        <w:t xml:space="preserve">10.  Assurance of </w:t>
      </w:r>
      <w:r w:rsidR="000F058B" w:rsidRPr="002963BF">
        <w:rPr>
          <w:rFonts w:ascii="Times New Roman" w:hAnsi="Times New Roman"/>
          <w:kern w:val="0"/>
          <w:sz w:val="24"/>
        </w:rPr>
        <w:t>C</w:t>
      </w:r>
      <w:r w:rsidRPr="002963BF">
        <w:rPr>
          <w:rFonts w:ascii="Times New Roman" w:hAnsi="Times New Roman"/>
          <w:kern w:val="0"/>
          <w:sz w:val="24"/>
        </w:rPr>
        <w:t>onfidentiality</w:t>
      </w:r>
      <w:r w:rsidR="000F058B" w:rsidRPr="002963BF">
        <w:rPr>
          <w:rFonts w:ascii="Times New Roman" w:hAnsi="Times New Roman"/>
          <w:kern w:val="0"/>
          <w:sz w:val="24"/>
        </w:rPr>
        <w:t xml:space="preserve"> Provided to Respondents</w:t>
      </w:r>
      <w:r w:rsidR="005138A9" w:rsidRPr="002963BF">
        <w:rPr>
          <w:rFonts w:ascii="Times New Roman" w:hAnsi="Times New Roman"/>
          <w:kern w:val="0"/>
          <w:sz w:val="24"/>
        </w:rPr>
        <w:t>.</w:t>
      </w:r>
      <w:bookmarkEnd w:id="9"/>
    </w:p>
    <w:p w:rsidR="000F058B" w:rsidRDefault="000F058B" w:rsidP="009E3E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84F36" w:rsidRDefault="008842FD" w:rsidP="00A12039">
      <w:pPr>
        <w:ind w:left="360"/>
        <w:rPr>
          <w:rFonts w:cs="Arial"/>
        </w:rPr>
      </w:pPr>
      <w:r>
        <w:rPr>
          <w:sz w:val="24"/>
        </w:rPr>
        <w:t>Provision of the information requested i</w:t>
      </w:r>
      <w:r w:rsidR="00101AD7">
        <w:rPr>
          <w:sz w:val="24"/>
        </w:rPr>
        <w:t>s</w:t>
      </w:r>
      <w:r>
        <w:rPr>
          <w:sz w:val="24"/>
        </w:rPr>
        <w:t xml:space="preserve"> entirely voluntarily.  The collection of this information is for the purpose of aiding in the review of applications prior to grant award decisions and for management of grants.  This information will be used within FNS and may also be disclosed outside FNS as permitted by the Privacy Act under certain situations, including disclosures to the public as required by the Freedom of Information Act.  </w:t>
      </w:r>
      <w:r w:rsidR="00A22D05" w:rsidRPr="00CC6922">
        <w:rPr>
          <w:sz w:val="24"/>
        </w:rPr>
        <w:t>A</w:t>
      </w:r>
      <w:r w:rsidR="009E3EEB" w:rsidRPr="00CC6922">
        <w:rPr>
          <w:sz w:val="24"/>
        </w:rPr>
        <w:t>ll acti</w:t>
      </w:r>
      <w:r w:rsidR="00F355D0">
        <w:rPr>
          <w:sz w:val="24"/>
        </w:rPr>
        <w:t xml:space="preserve">vities associated with the </w:t>
      </w:r>
      <w:r>
        <w:rPr>
          <w:sz w:val="24"/>
        </w:rPr>
        <w:t>agreement</w:t>
      </w:r>
      <w:r w:rsidR="009E3EEB" w:rsidRPr="00CC6922">
        <w:rPr>
          <w:sz w:val="24"/>
        </w:rPr>
        <w:t xml:space="preserve"> </w:t>
      </w:r>
      <w:r w:rsidR="00377623" w:rsidRPr="00CC6922">
        <w:rPr>
          <w:sz w:val="24"/>
        </w:rPr>
        <w:t>respect</w:t>
      </w:r>
      <w:r w:rsidR="009E3EEB" w:rsidRPr="00CC6922">
        <w:rPr>
          <w:sz w:val="24"/>
        </w:rPr>
        <w:t xml:space="preserve"> the existing policy with regard to c</w:t>
      </w:r>
      <w:r w:rsidR="00A61D97">
        <w:rPr>
          <w:sz w:val="24"/>
        </w:rPr>
        <w:t>onfidentiality.</w:t>
      </w:r>
      <w:r w:rsidR="00F355D0">
        <w:rPr>
          <w:sz w:val="24"/>
        </w:rPr>
        <w:t xml:space="preserve">  FNS will work with the </w:t>
      </w:r>
      <w:r>
        <w:rPr>
          <w:sz w:val="24"/>
        </w:rPr>
        <w:t>Grantee</w:t>
      </w:r>
      <w:r w:rsidR="004B3CEE">
        <w:rPr>
          <w:sz w:val="24"/>
        </w:rPr>
        <w:t>(s)</w:t>
      </w:r>
      <w:r w:rsidR="009E3EEB" w:rsidRPr="00CC6922">
        <w:rPr>
          <w:sz w:val="24"/>
        </w:rPr>
        <w:t xml:space="preserve"> </w:t>
      </w:r>
      <w:r>
        <w:rPr>
          <w:sz w:val="24"/>
        </w:rPr>
        <w:t xml:space="preserve">and ensure </w:t>
      </w:r>
      <w:r w:rsidR="009E3EEB" w:rsidRPr="00CC6922">
        <w:rPr>
          <w:sz w:val="24"/>
        </w:rPr>
        <w:t xml:space="preserve">that any release of such information is done under the terms and conditions of </w:t>
      </w:r>
      <w:r>
        <w:rPr>
          <w:sz w:val="24"/>
        </w:rPr>
        <w:t xml:space="preserve">the </w:t>
      </w:r>
      <w:r w:rsidR="009E3EEB" w:rsidRPr="00CC6922">
        <w:rPr>
          <w:sz w:val="24"/>
        </w:rPr>
        <w:t xml:space="preserve">existing </w:t>
      </w:r>
      <w:r>
        <w:rPr>
          <w:sz w:val="24"/>
        </w:rPr>
        <w:t xml:space="preserve">Freedom of Information Act </w:t>
      </w:r>
      <w:r w:rsidR="009E3EEB" w:rsidRPr="00CC6922">
        <w:rPr>
          <w:sz w:val="24"/>
        </w:rPr>
        <w:t xml:space="preserve">which requires that </w:t>
      </w:r>
      <w:r>
        <w:rPr>
          <w:sz w:val="24"/>
        </w:rPr>
        <w:t>Grantee</w:t>
      </w:r>
      <w:r w:rsidR="009E3EEB" w:rsidRPr="00CC6922">
        <w:rPr>
          <w:sz w:val="24"/>
        </w:rPr>
        <w:t xml:space="preserve"> provide</w:t>
      </w:r>
      <w:r>
        <w:rPr>
          <w:sz w:val="24"/>
        </w:rPr>
        <w:t>s</w:t>
      </w:r>
      <w:r w:rsidR="009E3EEB" w:rsidRPr="00CC6922">
        <w:rPr>
          <w:sz w:val="24"/>
        </w:rPr>
        <w:t xml:space="preserve"> release permission and are informed of the use of the information.</w:t>
      </w:r>
      <w:r w:rsidR="00284F36">
        <w:rPr>
          <w:sz w:val="24"/>
        </w:rPr>
        <w:t xml:space="preserve">  </w:t>
      </w:r>
    </w:p>
    <w:p w:rsidR="00CF58E2" w:rsidRDefault="00CF58E2" w:rsidP="009E3E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rPr>
      </w:pPr>
    </w:p>
    <w:p w:rsidR="009E3EEB" w:rsidRPr="002963BF" w:rsidRDefault="009E3EEB" w:rsidP="002963BF">
      <w:pPr>
        <w:pStyle w:val="Heading1"/>
        <w:rPr>
          <w:rFonts w:ascii="Times New Roman" w:hAnsi="Times New Roman"/>
          <w:kern w:val="0"/>
          <w:sz w:val="24"/>
        </w:rPr>
      </w:pPr>
      <w:bookmarkStart w:id="10" w:name="_Toc249930421"/>
      <w:r w:rsidRPr="002963BF">
        <w:rPr>
          <w:rFonts w:ascii="Times New Roman" w:hAnsi="Times New Roman"/>
          <w:kern w:val="0"/>
          <w:sz w:val="24"/>
        </w:rPr>
        <w:t xml:space="preserve">11. </w:t>
      </w:r>
      <w:r w:rsidR="000F058B" w:rsidRPr="002963BF">
        <w:rPr>
          <w:rFonts w:ascii="Times New Roman" w:hAnsi="Times New Roman"/>
          <w:kern w:val="0"/>
          <w:sz w:val="24"/>
        </w:rPr>
        <w:t xml:space="preserve">Justification for </w:t>
      </w:r>
      <w:r w:rsidR="005138A9" w:rsidRPr="002963BF">
        <w:rPr>
          <w:rFonts w:ascii="Times New Roman" w:hAnsi="Times New Roman"/>
          <w:kern w:val="0"/>
          <w:sz w:val="24"/>
        </w:rPr>
        <w:t xml:space="preserve">Sensitive </w:t>
      </w:r>
      <w:r w:rsidRPr="002963BF">
        <w:rPr>
          <w:rFonts w:ascii="Times New Roman" w:hAnsi="Times New Roman"/>
          <w:kern w:val="0"/>
          <w:sz w:val="24"/>
        </w:rPr>
        <w:t>Questions</w:t>
      </w:r>
      <w:r w:rsidR="005138A9" w:rsidRPr="002963BF">
        <w:rPr>
          <w:rFonts w:ascii="Times New Roman" w:hAnsi="Times New Roman"/>
          <w:kern w:val="0"/>
          <w:sz w:val="24"/>
        </w:rPr>
        <w:t>.</w:t>
      </w:r>
      <w:bookmarkEnd w:id="10"/>
    </w:p>
    <w:p w:rsidR="000F058B" w:rsidRDefault="000F058B" w:rsidP="009E3E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CF58E2" w:rsidRDefault="008842FD" w:rsidP="007B0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There are no questions of a sensitive nature include</w:t>
      </w:r>
      <w:r w:rsidR="00101AD7">
        <w:rPr>
          <w:sz w:val="24"/>
        </w:rPr>
        <w:t>d</w:t>
      </w:r>
      <w:r>
        <w:rPr>
          <w:sz w:val="24"/>
        </w:rPr>
        <w:t xml:space="preserve"> in th</w:t>
      </w:r>
      <w:r w:rsidR="005E0D45">
        <w:rPr>
          <w:sz w:val="24"/>
        </w:rPr>
        <w:t>is data collection.</w:t>
      </w:r>
    </w:p>
    <w:p w:rsidR="00A12039" w:rsidRDefault="00A12039" w:rsidP="00CF5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E3EEB" w:rsidRPr="002963BF" w:rsidRDefault="005138A9" w:rsidP="002963BF">
      <w:pPr>
        <w:pStyle w:val="Heading1"/>
        <w:rPr>
          <w:rFonts w:ascii="Times New Roman" w:hAnsi="Times New Roman"/>
          <w:kern w:val="0"/>
          <w:sz w:val="24"/>
        </w:rPr>
      </w:pPr>
      <w:bookmarkStart w:id="11" w:name="_Toc249930422"/>
      <w:r w:rsidRPr="002963BF">
        <w:rPr>
          <w:rFonts w:ascii="Times New Roman" w:hAnsi="Times New Roman"/>
          <w:kern w:val="0"/>
          <w:sz w:val="24"/>
        </w:rPr>
        <w:t>12.  Estimate of Hour</w:t>
      </w:r>
      <w:r w:rsidR="001670D8" w:rsidRPr="002963BF">
        <w:rPr>
          <w:rFonts w:ascii="Times New Roman" w:hAnsi="Times New Roman"/>
          <w:kern w:val="0"/>
          <w:sz w:val="24"/>
        </w:rPr>
        <w:t>s</w:t>
      </w:r>
      <w:r w:rsidR="00470C4A" w:rsidRPr="002963BF">
        <w:rPr>
          <w:rFonts w:ascii="Times New Roman" w:hAnsi="Times New Roman"/>
          <w:kern w:val="0"/>
          <w:sz w:val="24"/>
        </w:rPr>
        <w:t xml:space="preserve"> </w:t>
      </w:r>
      <w:r w:rsidR="000F058B" w:rsidRPr="002963BF">
        <w:rPr>
          <w:rFonts w:ascii="Times New Roman" w:hAnsi="Times New Roman"/>
          <w:kern w:val="0"/>
          <w:sz w:val="24"/>
        </w:rPr>
        <w:t>B</w:t>
      </w:r>
      <w:r w:rsidR="009E3EEB" w:rsidRPr="002963BF">
        <w:rPr>
          <w:rFonts w:ascii="Times New Roman" w:hAnsi="Times New Roman"/>
          <w:kern w:val="0"/>
          <w:sz w:val="24"/>
        </w:rPr>
        <w:t>urden</w:t>
      </w:r>
      <w:r w:rsidR="00470C4A" w:rsidRPr="002963BF">
        <w:rPr>
          <w:rFonts w:ascii="Times New Roman" w:hAnsi="Times New Roman"/>
          <w:kern w:val="0"/>
          <w:sz w:val="24"/>
        </w:rPr>
        <w:t xml:space="preserve"> </w:t>
      </w:r>
      <w:r w:rsidR="000F058B" w:rsidRPr="002963BF">
        <w:rPr>
          <w:rFonts w:ascii="Times New Roman" w:hAnsi="Times New Roman"/>
          <w:kern w:val="0"/>
          <w:sz w:val="24"/>
        </w:rPr>
        <w:t>Including Annualized Hourly Costs</w:t>
      </w:r>
      <w:bookmarkEnd w:id="11"/>
      <w:r w:rsidR="00B6044A">
        <w:rPr>
          <w:rFonts w:ascii="Times New Roman" w:hAnsi="Times New Roman"/>
          <w:kern w:val="0"/>
          <w:sz w:val="24"/>
        </w:rPr>
        <w:t>.</w:t>
      </w:r>
    </w:p>
    <w:p w:rsidR="000F058B" w:rsidRDefault="000F058B" w:rsidP="000F058B">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AA1A95" w:rsidRDefault="00AA1A95" w:rsidP="00225F2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C60A3E">
        <w:rPr>
          <w:sz w:val="24"/>
        </w:rPr>
        <w:t>FNS estimates that approximately</w:t>
      </w:r>
      <w:r w:rsidR="00977D64" w:rsidRPr="00C60A3E">
        <w:rPr>
          <w:sz w:val="24"/>
        </w:rPr>
        <w:t xml:space="preserve"> </w:t>
      </w:r>
      <w:r w:rsidR="002D1172">
        <w:rPr>
          <w:sz w:val="24"/>
        </w:rPr>
        <w:t>fifty</w:t>
      </w:r>
      <w:r w:rsidRPr="00C60A3E">
        <w:rPr>
          <w:sz w:val="24"/>
        </w:rPr>
        <w:t xml:space="preserve"> respondents </w:t>
      </w:r>
      <w:r w:rsidR="005E0D45" w:rsidRPr="00C60A3E">
        <w:rPr>
          <w:sz w:val="24"/>
        </w:rPr>
        <w:t xml:space="preserve">will </w:t>
      </w:r>
      <w:r w:rsidR="002F4C98" w:rsidRPr="00C60A3E">
        <w:rPr>
          <w:sz w:val="24"/>
        </w:rPr>
        <w:t xml:space="preserve">submit an application for the </w:t>
      </w:r>
      <w:r w:rsidR="00EF5131">
        <w:rPr>
          <w:sz w:val="24"/>
        </w:rPr>
        <w:lastRenderedPageBreak/>
        <w:t>Hunger-Free Communities</w:t>
      </w:r>
      <w:r w:rsidR="005A1168">
        <w:rPr>
          <w:sz w:val="24"/>
        </w:rPr>
        <w:t xml:space="preserve"> </w:t>
      </w:r>
      <w:r w:rsidR="00EF5131">
        <w:rPr>
          <w:sz w:val="24"/>
        </w:rPr>
        <w:t>G</w:t>
      </w:r>
      <w:r w:rsidR="00C60A3E" w:rsidRPr="00C60A3E">
        <w:rPr>
          <w:sz w:val="24"/>
        </w:rPr>
        <w:t>rant</w:t>
      </w:r>
      <w:r w:rsidR="002F4C98" w:rsidRPr="00C60A3E">
        <w:rPr>
          <w:sz w:val="24"/>
        </w:rPr>
        <w:t>.  It is e</w:t>
      </w:r>
      <w:r w:rsidRPr="00C60A3E">
        <w:rPr>
          <w:sz w:val="24"/>
        </w:rPr>
        <w:t>stimated that the averag</w:t>
      </w:r>
      <w:r w:rsidR="002F4C98" w:rsidRPr="00C60A3E">
        <w:rPr>
          <w:sz w:val="24"/>
        </w:rPr>
        <w:t xml:space="preserve">e applicant will spend </w:t>
      </w:r>
      <w:r w:rsidR="00EF5131">
        <w:rPr>
          <w:sz w:val="24"/>
        </w:rPr>
        <w:t>60</w:t>
      </w:r>
      <w:r w:rsidR="00C60A3E" w:rsidRPr="00C60A3E">
        <w:rPr>
          <w:sz w:val="24"/>
        </w:rPr>
        <w:t xml:space="preserve"> </w:t>
      </w:r>
      <w:r w:rsidR="002F4C98" w:rsidRPr="00C60A3E">
        <w:rPr>
          <w:sz w:val="24"/>
        </w:rPr>
        <w:t>hours</w:t>
      </w:r>
      <w:r w:rsidR="00A12039" w:rsidRPr="00C60A3E">
        <w:rPr>
          <w:sz w:val="24"/>
        </w:rPr>
        <w:t xml:space="preserve"> </w:t>
      </w:r>
      <w:r w:rsidRPr="00C60A3E">
        <w:rPr>
          <w:sz w:val="24"/>
        </w:rPr>
        <w:t>designing and constructing their proposals.  This is based on the ge</w:t>
      </w:r>
      <w:r w:rsidR="002F4C98" w:rsidRPr="00C60A3E">
        <w:rPr>
          <w:sz w:val="24"/>
        </w:rPr>
        <w:t>neral fact that</w:t>
      </w:r>
      <w:r w:rsidR="00A12039" w:rsidRPr="00C60A3E">
        <w:rPr>
          <w:sz w:val="24"/>
        </w:rPr>
        <w:t xml:space="preserve"> </w:t>
      </w:r>
      <w:r w:rsidR="001C55C3" w:rsidRPr="00C60A3E">
        <w:rPr>
          <w:sz w:val="24"/>
        </w:rPr>
        <w:t xml:space="preserve">applicants will have </w:t>
      </w:r>
      <w:r w:rsidR="00DF43CB" w:rsidRPr="00C60A3E">
        <w:rPr>
          <w:sz w:val="24"/>
        </w:rPr>
        <w:t xml:space="preserve">about </w:t>
      </w:r>
      <w:r w:rsidR="002D1172">
        <w:rPr>
          <w:sz w:val="24"/>
        </w:rPr>
        <w:t>thirty</w:t>
      </w:r>
      <w:r w:rsidR="00C60A3E" w:rsidRPr="00C60A3E">
        <w:rPr>
          <w:sz w:val="24"/>
        </w:rPr>
        <w:t xml:space="preserve"> days</w:t>
      </w:r>
      <w:r w:rsidRPr="00C60A3E">
        <w:rPr>
          <w:sz w:val="24"/>
        </w:rPr>
        <w:t xml:space="preserve"> to complet</w:t>
      </w:r>
      <w:r w:rsidR="00F355D0" w:rsidRPr="00C60A3E">
        <w:rPr>
          <w:sz w:val="24"/>
        </w:rPr>
        <w:t>e their proposals</w:t>
      </w:r>
      <w:r w:rsidRPr="00C60A3E">
        <w:rPr>
          <w:sz w:val="24"/>
        </w:rPr>
        <w:t>.</w:t>
      </w:r>
      <w:r>
        <w:rPr>
          <w:sz w:val="24"/>
        </w:rPr>
        <w:t xml:space="preserve"> </w:t>
      </w:r>
      <w:r w:rsidR="005138A9">
        <w:rPr>
          <w:sz w:val="24"/>
        </w:rPr>
        <w:t xml:space="preserve"> </w:t>
      </w:r>
      <w:r>
        <w:rPr>
          <w:sz w:val="24"/>
        </w:rPr>
        <w:t xml:space="preserve">  </w:t>
      </w:r>
    </w:p>
    <w:p w:rsidR="00EF710A" w:rsidRDefault="00EF710A" w:rsidP="00225F2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737EE7" w:rsidRPr="006D6E9C" w:rsidRDefault="00225F24" w:rsidP="006D6E9C">
      <w:pPr>
        <w:pStyle w:val="StyleHeading2TimesNewRoman12pt"/>
      </w:pPr>
      <w:r>
        <w:t xml:space="preserve"> </w:t>
      </w:r>
      <w:r>
        <w:tab/>
      </w:r>
      <w:bookmarkStart w:id="12" w:name="_Toc249930423"/>
      <w:r w:rsidR="00CB3E4B" w:rsidRPr="006D6E9C">
        <w:t xml:space="preserve">A.12.1 </w:t>
      </w:r>
      <w:r w:rsidR="00FC759B">
        <w:t xml:space="preserve">Pre and Post-Award </w:t>
      </w:r>
      <w:r w:rsidR="00EC7617" w:rsidRPr="006D6E9C">
        <w:t>Estimate of Hour</w:t>
      </w:r>
      <w:r w:rsidR="001670D8" w:rsidRPr="006D6E9C">
        <w:t>s</w:t>
      </w:r>
      <w:r w:rsidR="00EC7617" w:rsidRPr="006D6E9C">
        <w:t xml:space="preserve"> Burden on Respondents</w:t>
      </w:r>
      <w:bookmarkEnd w:id="12"/>
      <w:r w:rsidR="00B6044A">
        <w:t>.</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1790"/>
        <w:gridCol w:w="1740"/>
        <w:gridCol w:w="1335"/>
        <w:gridCol w:w="1490"/>
        <w:gridCol w:w="1396"/>
      </w:tblGrid>
      <w:tr w:rsidR="000D3E28" w:rsidRPr="00F93716" w:rsidTr="003167FD">
        <w:trPr>
          <w:trHeight w:val="1411"/>
        </w:trPr>
        <w:tc>
          <w:tcPr>
            <w:tcW w:w="1902" w:type="dxa"/>
            <w:vAlign w:val="center"/>
          </w:tcPr>
          <w:p w:rsidR="000D3E28" w:rsidRPr="00C60A3E" w:rsidRDefault="000D3E28" w:rsidP="001A5332">
            <w:pPr>
              <w:jc w:val="center"/>
              <w:rPr>
                <w:b/>
                <w:sz w:val="24"/>
                <w:szCs w:val="24"/>
              </w:rPr>
            </w:pPr>
          </w:p>
          <w:p w:rsidR="000D3E28" w:rsidRPr="00C60A3E" w:rsidRDefault="000D3E28" w:rsidP="001A5332">
            <w:pPr>
              <w:jc w:val="center"/>
              <w:rPr>
                <w:b/>
                <w:sz w:val="24"/>
                <w:szCs w:val="24"/>
              </w:rPr>
            </w:pPr>
            <w:r w:rsidRPr="00C60A3E">
              <w:rPr>
                <w:b/>
                <w:sz w:val="24"/>
                <w:szCs w:val="24"/>
              </w:rPr>
              <w:t>Type of Respondent</w:t>
            </w:r>
            <w:r w:rsidR="00A5116D">
              <w:rPr>
                <w:b/>
                <w:sz w:val="24"/>
                <w:szCs w:val="24"/>
              </w:rPr>
              <w:t xml:space="preserve"> and Activity</w:t>
            </w:r>
          </w:p>
          <w:p w:rsidR="000D3E28" w:rsidRPr="00C60A3E" w:rsidRDefault="000D3E28" w:rsidP="001A5332">
            <w:pPr>
              <w:jc w:val="center"/>
              <w:rPr>
                <w:b/>
                <w:sz w:val="24"/>
                <w:szCs w:val="24"/>
              </w:rPr>
            </w:pPr>
          </w:p>
        </w:tc>
        <w:tc>
          <w:tcPr>
            <w:tcW w:w="1790" w:type="dxa"/>
            <w:vAlign w:val="center"/>
          </w:tcPr>
          <w:p w:rsidR="000D3E28" w:rsidRPr="00C60A3E" w:rsidRDefault="000D3E28" w:rsidP="006A4EA8">
            <w:pPr>
              <w:ind w:left="-109"/>
              <w:jc w:val="center"/>
              <w:rPr>
                <w:b/>
                <w:sz w:val="24"/>
                <w:szCs w:val="24"/>
              </w:rPr>
            </w:pPr>
            <w:r w:rsidRPr="00C60A3E">
              <w:rPr>
                <w:b/>
                <w:sz w:val="24"/>
                <w:szCs w:val="24"/>
              </w:rPr>
              <w:t>Estimated No. of  Grant Applications (Responses )</w:t>
            </w:r>
          </w:p>
        </w:tc>
        <w:tc>
          <w:tcPr>
            <w:tcW w:w="1740" w:type="dxa"/>
            <w:vAlign w:val="center"/>
          </w:tcPr>
          <w:p w:rsidR="001670D8" w:rsidRPr="00C60A3E" w:rsidRDefault="001670D8" w:rsidP="001A5332">
            <w:pPr>
              <w:jc w:val="center"/>
              <w:rPr>
                <w:b/>
                <w:sz w:val="24"/>
                <w:szCs w:val="24"/>
              </w:rPr>
            </w:pPr>
          </w:p>
          <w:p w:rsidR="000D3E28" w:rsidRPr="00C60A3E" w:rsidRDefault="000D3E28" w:rsidP="001A5332">
            <w:pPr>
              <w:jc w:val="center"/>
              <w:rPr>
                <w:b/>
                <w:sz w:val="24"/>
                <w:szCs w:val="24"/>
              </w:rPr>
            </w:pPr>
            <w:r w:rsidRPr="00C60A3E">
              <w:rPr>
                <w:b/>
                <w:sz w:val="24"/>
                <w:szCs w:val="24"/>
              </w:rPr>
              <w:t>Frequency of Response</w:t>
            </w:r>
            <w:r w:rsidRPr="00C60A3E" w:rsidDel="000D3E28">
              <w:rPr>
                <w:b/>
                <w:sz w:val="24"/>
                <w:szCs w:val="24"/>
              </w:rPr>
              <w:t xml:space="preserve"> </w:t>
            </w:r>
          </w:p>
        </w:tc>
        <w:tc>
          <w:tcPr>
            <w:tcW w:w="1335" w:type="dxa"/>
          </w:tcPr>
          <w:p w:rsidR="001670D8" w:rsidRPr="00C60A3E" w:rsidRDefault="001670D8" w:rsidP="001A5332">
            <w:pPr>
              <w:jc w:val="center"/>
              <w:rPr>
                <w:b/>
                <w:sz w:val="24"/>
                <w:szCs w:val="24"/>
              </w:rPr>
            </w:pPr>
          </w:p>
          <w:p w:rsidR="000D3E28" w:rsidRPr="00C60A3E" w:rsidRDefault="000D3E28" w:rsidP="001A5332">
            <w:pPr>
              <w:jc w:val="center"/>
              <w:rPr>
                <w:b/>
                <w:sz w:val="24"/>
                <w:szCs w:val="24"/>
              </w:rPr>
            </w:pPr>
            <w:r w:rsidRPr="00C60A3E">
              <w:rPr>
                <w:b/>
                <w:sz w:val="24"/>
                <w:szCs w:val="24"/>
              </w:rPr>
              <w:t>Total Annual Responses</w:t>
            </w:r>
          </w:p>
        </w:tc>
        <w:tc>
          <w:tcPr>
            <w:tcW w:w="1490" w:type="dxa"/>
            <w:vAlign w:val="center"/>
          </w:tcPr>
          <w:p w:rsidR="000D3E28" w:rsidRPr="00C60A3E" w:rsidRDefault="000D3E28" w:rsidP="001A5332">
            <w:pPr>
              <w:jc w:val="center"/>
              <w:rPr>
                <w:b/>
                <w:sz w:val="24"/>
                <w:szCs w:val="24"/>
              </w:rPr>
            </w:pPr>
            <w:r w:rsidRPr="00C60A3E">
              <w:rPr>
                <w:b/>
                <w:sz w:val="24"/>
                <w:szCs w:val="24"/>
              </w:rPr>
              <w:t>Estimated Time to Complete each Application</w:t>
            </w:r>
          </w:p>
        </w:tc>
        <w:tc>
          <w:tcPr>
            <w:tcW w:w="1396" w:type="dxa"/>
            <w:vAlign w:val="center"/>
          </w:tcPr>
          <w:p w:rsidR="000D3E28" w:rsidRPr="00C60A3E" w:rsidRDefault="000D3E28" w:rsidP="001A5332">
            <w:pPr>
              <w:jc w:val="center"/>
              <w:rPr>
                <w:b/>
                <w:sz w:val="24"/>
                <w:szCs w:val="24"/>
              </w:rPr>
            </w:pPr>
            <w:r w:rsidRPr="00C60A3E">
              <w:rPr>
                <w:b/>
                <w:sz w:val="24"/>
                <w:szCs w:val="24"/>
              </w:rPr>
              <w:t>Total Estimated Burden Hours</w:t>
            </w:r>
          </w:p>
        </w:tc>
      </w:tr>
      <w:tr w:rsidR="000D3E28" w:rsidRPr="00F93716" w:rsidTr="003167FD">
        <w:trPr>
          <w:trHeight w:val="1423"/>
        </w:trPr>
        <w:tc>
          <w:tcPr>
            <w:tcW w:w="1902" w:type="dxa"/>
          </w:tcPr>
          <w:p w:rsidR="000D3E28" w:rsidRPr="00C60A3E" w:rsidRDefault="000D3E28" w:rsidP="00C60A3E">
            <w:pPr>
              <w:rPr>
                <w:sz w:val="24"/>
                <w:szCs w:val="24"/>
              </w:rPr>
            </w:pPr>
            <w:r w:rsidRPr="00C60A3E">
              <w:rPr>
                <w:sz w:val="24"/>
                <w:szCs w:val="24"/>
              </w:rPr>
              <w:t>Grantee (</w:t>
            </w:r>
            <w:r w:rsidR="00C60A3E" w:rsidRPr="00C60A3E">
              <w:rPr>
                <w:sz w:val="24"/>
                <w:szCs w:val="24"/>
              </w:rPr>
              <w:t>Not-for-Profit</w:t>
            </w:r>
            <w:r w:rsidR="0008123A">
              <w:rPr>
                <w:sz w:val="24"/>
                <w:szCs w:val="24"/>
              </w:rPr>
              <w:t xml:space="preserve"> and Public </w:t>
            </w:r>
            <w:r w:rsidR="00C60A3E" w:rsidRPr="00C60A3E">
              <w:rPr>
                <w:sz w:val="24"/>
                <w:szCs w:val="24"/>
              </w:rPr>
              <w:t xml:space="preserve"> agencies</w:t>
            </w:r>
            <w:r w:rsidRPr="00823E62">
              <w:rPr>
                <w:i/>
                <w:sz w:val="24"/>
                <w:szCs w:val="24"/>
              </w:rPr>
              <w:t xml:space="preserve">) </w:t>
            </w:r>
            <w:r w:rsidR="00FC759B" w:rsidRPr="00823E62">
              <w:rPr>
                <w:i/>
                <w:sz w:val="24"/>
                <w:szCs w:val="24"/>
              </w:rPr>
              <w:t xml:space="preserve"> Pre-award</w:t>
            </w:r>
          </w:p>
        </w:tc>
        <w:tc>
          <w:tcPr>
            <w:tcW w:w="1790" w:type="dxa"/>
          </w:tcPr>
          <w:p w:rsidR="001670D8" w:rsidRPr="00C60A3E" w:rsidRDefault="001670D8" w:rsidP="00F9654F">
            <w:pPr>
              <w:jc w:val="center"/>
              <w:rPr>
                <w:sz w:val="24"/>
                <w:szCs w:val="24"/>
              </w:rPr>
            </w:pPr>
          </w:p>
          <w:p w:rsidR="000D3E28" w:rsidRPr="00C60A3E" w:rsidRDefault="0008123A" w:rsidP="0008123A">
            <w:pPr>
              <w:jc w:val="center"/>
              <w:rPr>
                <w:sz w:val="24"/>
                <w:szCs w:val="24"/>
              </w:rPr>
            </w:pPr>
            <w:r>
              <w:rPr>
                <w:sz w:val="24"/>
                <w:szCs w:val="24"/>
              </w:rPr>
              <w:t>5</w:t>
            </w:r>
            <w:r w:rsidR="00C60A3E" w:rsidRPr="00C60A3E">
              <w:rPr>
                <w:sz w:val="24"/>
                <w:szCs w:val="24"/>
              </w:rPr>
              <w:t>0</w:t>
            </w:r>
          </w:p>
        </w:tc>
        <w:tc>
          <w:tcPr>
            <w:tcW w:w="1740" w:type="dxa"/>
          </w:tcPr>
          <w:p w:rsidR="000D3E28" w:rsidRPr="00C60A3E" w:rsidRDefault="000D3E28" w:rsidP="00F9654F">
            <w:pPr>
              <w:jc w:val="center"/>
              <w:rPr>
                <w:sz w:val="24"/>
                <w:szCs w:val="24"/>
              </w:rPr>
            </w:pPr>
          </w:p>
          <w:p w:rsidR="000D3E28" w:rsidRPr="00C60A3E" w:rsidRDefault="000D3E28" w:rsidP="00F9654F">
            <w:pPr>
              <w:jc w:val="center"/>
              <w:rPr>
                <w:sz w:val="24"/>
                <w:szCs w:val="24"/>
              </w:rPr>
            </w:pPr>
            <w:r w:rsidRPr="00C60A3E">
              <w:rPr>
                <w:sz w:val="24"/>
                <w:szCs w:val="24"/>
              </w:rPr>
              <w:t>1</w:t>
            </w:r>
          </w:p>
        </w:tc>
        <w:tc>
          <w:tcPr>
            <w:tcW w:w="1335" w:type="dxa"/>
          </w:tcPr>
          <w:p w:rsidR="000D3E28" w:rsidRPr="00C60A3E" w:rsidRDefault="000D3E28" w:rsidP="00F9654F">
            <w:pPr>
              <w:jc w:val="center"/>
              <w:rPr>
                <w:sz w:val="24"/>
                <w:szCs w:val="24"/>
              </w:rPr>
            </w:pPr>
          </w:p>
          <w:p w:rsidR="000D3E28" w:rsidRPr="00C60A3E" w:rsidRDefault="0008123A" w:rsidP="0008123A">
            <w:pPr>
              <w:jc w:val="center"/>
              <w:rPr>
                <w:sz w:val="24"/>
                <w:szCs w:val="24"/>
              </w:rPr>
            </w:pPr>
            <w:r>
              <w:rPr>
                <w:sz w:val="24"/>
                <w:szCs w:val="24"/>
              </w:rPr>
              <w:t>5</w:t>
            </w:r>
            <w:r w:rsidR="00C60A3E" w:rsidRPr="00C60A3E">
              <w:rPr>
                <w:sz w:val="24"/>
                <w:szCs w:val="24"/>
              </w:rPr>
              <w:t>0</w:t>
            </w:r>
          </w:p>
        </w:tc>
        <w:tc>
          <w:tcPr>
            <w:tcW w:w="1490" w:type="dxa"/>
          </w:tcPr>
          <w:p w:rsidR="00C60A3E" w:rsidRPr="00C60A3E" w:rsidRDefault="00C60A3E" w:rsidP="00F9654F">
            <w:pPr>
              <w:jc w:val="center"/>
              <w:rPr>
                <w:sz w:val="24"/>
                <w:szCs w:val="24"/>
              </w:rPr>
            </w:pPr>
          </w:p>
          <w:p w:rsidR="000D3E28" w:rsidRPr="00C60A3E" w:rsidRDefault="00E10521" w:rsidP="001A5332">
            <w:pPr>
              <w:jc w:val="center"/>
              <w:rPr>
                <w:sz w:val="24"/>
                <w:szCs w:val="24"/>
              </w:rPr>
            </w:pPr>
            <w:r>
              <w:rPr>
                <w:sz w:val="24"/>
                <w:szCs w:val="24"/>
              </w:rPr>
              <w:t>60</w:t>
            </w:r>
          </w:p>
        </w:tc>
        <w:tc>
          <w:tcPr>
            <w:tcW w:w="1396" w:type="dxa"/>
          </w:tcPr>
          <w:p w:rsidR="000D3E28" w:rsidRPr="00C60A3E" w:rsidRDefault="000D3E28" w:rsidP="00F9654F">
            <w:pPr>
              <w:jc w:val="center"/>
              <w:rPr>
                <w:sz w:val="24"/>
                <w:szCs w:val="24"/>
              </w:rPr>
            </w:pPr>
          </w:p>
          <w:p w:rsidR="000D3E28" w:rsidRPr="00C60A3E" w:rsidRDefault="00E10521" w:rsidP="0008123A">
            <w:pPr>
              <w:jc w:val="center"/>
              <w:rPr>
                <w:sz w:val="24"/>
                <w:szCs w:val="24"/>
              </w:rPr>
            </w:pPr>
            <w:r>
              <w:rPr>
                <w:sz w:val="24"/>
                <w:szCs w:val="24"/>
              </w:rPr>
              <w:t>3</w:t>
            </w:r>
            <w:r w:rsidR="00FC759B">
              <w:rPr>
                <w:sz w:val="24"/>
                <w:szCs w:val="24"/>
              </w:rPr>
              <w:t>,</w:t>
            </w:r>
            <w:r>
              <w:rPr>
                <w:sz w:val="24"/>
                <w:szCs w:val="24"/>
              </w:rPr>
              <w:t>000</w:t>
            </w:r>
          </w:p>
        </w:tc>
      </w:tr>
    </w:tbl>
    <w:tbl>
      <w:tblPr>
        <w:tblpPr w:leftFromText="180" w:rightFromText="180" w:vertAnchor="text" w:horzAnchor="margin" w:tblpY="45"/>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800"/>
        <w:gridCol w:w="1710"/>
        <w:gridCol w:w="1350"/>
        <w:gridCol w:w="1530"/>
        <w:gridCol w:w="1344"/>
      </w:tblGrid>
      <w:tr w:rsidR="003167FD" w:rsidRPr="001A5332" w:rsidTr="003167FD">
        <w:trPr>
          <w:trHeight w:val="1561"/>
        </w:trPr>
        <w:tc>
          <w:tcPr>
            <w:tcW w:w="1908" w:type="dxa"/>
          </w:tcPr>
          <w:p w:rsidR="003167FD" w:rsidRDefault="003167FD" w:rsidP="003167FD">
            <w:pPr>
              <w:rPr>
                <w:sz w:val="24"/>
                <w:szCs w:val="24"/>
              </w:rPr>
            </w:pPr>
            <w:r>
              <w:rPr>
                <w:sz w:val="24"/>
                <w:szCs w:val="24"/>
              </w:rPr>
              <w:t>Grantee Quarterly Progress and Financial Reports (</w:t>
            </w:r>
            <w:r w:rsidRPr="00823E62">
              <w:rPr>
                <w:i/>
                <w:sz w:val="24"/>
                <w:szCs w:val="24"/>
              </w:rPr>
              <w:t>Post-award)</w:t>
            </w:r>
          </w:p>
        </w:tc>
        <w:tc>
          <w:tcPr>
            <w:tcW w:w="1800" w:type="dxa"/>
          </w:tcPr>
          <w:p w:rsidR="003167FD" w:rsidRDefault="003167FD" w:rsidP="003167FD">
            <w:pPr>
              <w:ind w:left="-109"/>
              <w:jc w:val="center"/>
              <w:rPr>
                <w:sz w:val="24"/>
                <w:szCs w:val="24"/>
              </w:rPr>
            </w:pPr>
          </w:p>
          <w:p w:rsidR="003167FD" w:rsidRPr="001A5332" w:rsidRDefault="003167FD" w:rsidP="003167FD">
            <w:pPr>
              <w:ind w:left="-109"/>
              <w:jc w:val="center"/>
              <w:rPr>
                <w:sz w:val="24"/>
                <w:szCs w:val="24"/>
              </w:rPr>
            </w:pPr>
            <w:r>
              <w:rPr>
                <w:sz w:val="24"/>
                <w:szCs w:val="24"/>
              </w:rPr>
              <w:t>5 Grantees selected</w:t>
            </w:r>
          </w:p>
        </w:tc>
        <w:tc>
          <w:tcPr>
            <w:tcW w:w="1710" w:type="dxa"/>
          </w:tcPr>
          <w:p w:rsidR="003167FD" w:rsidRDefault="003167FD" w:rsidP="003167FD">
            <w:pPr>
              <w:jc w:val="center"/>
              <w:rPr>
                <w:sz w:val="24"/>
                <w:szCs w:val="24"/>
              </w:rPr>
            </w:pPr>
          </w:p>
          <w:p w:rsidR="003167FD" w:rsidRPr="001A5332" w:rsidRDefault="003167FD" w:rsidP="003167FD">
            <w:pPr>
              <w:jc w:val="center"/>
              <w:rPr>
                <w:sz w:val="24"/>
                <w:szCs w:val="24"/>
              </w:rPr>
            </w:pPr>
            <w:r>
              <w:rPr>
                <w:sz w:val="24"/>
                <w:szCs w:val="24"/>
              </w:rPr>
              <w:t>4</w:t>
            </w:r>
          </w:p>
        </w:tc>
        <w:tc>
          <w:tcPr>
            <w:tcW w:w="1350" w:type="dxa"/>
          </w:tcPr>
          <w:p w:rsidR="003167FD" w:rsidRDefault="003167FD" w:rsidP="003167FD">
            <w:pPr>
              <w:jc w:val="center"/>
              <w:rPr>
                <w:sz w:val="24"/>
                <w:szCs w:val="24"/>
              </w:rPr>
            </w:pPr>
          </w:p>
          <w:p w:rsidR="003167FD" w:rsidRPr="001A5332" w:rsidRDefault="003167FD" w:rsidP="003167FD">
            <w:pPr>
              <w:jc w:val="center"/>
              <w:rPr>
                <w:sz w:val="24"/>
                <w:szCs w:val="24"/>
              </w:rPr>
            </w:pPr>
            <w:r>
              <w:rPr>
                <w:sz w:val="24"/>
                <w:szCs w:val="24"/>
              </w:rPr>
              <w:t>20</w:t>
            </w:r>
          </w:p>
        </w:tc>
        <w:tc>
          <w:tcPr>
            <w:tcW w:w="1530" w:type="dxa"/>
          </w:tcPr>
          <w:p w:rsidR="003167FD" w:rsidRDefault="003167FD" w:rsidP="003167FD">
            <w:pPr>
              <w:jc w:val="center"/>
              <w:rPr>
                <w:sz w:val="24"/>
                <w:szCs w:val="24"/>
              </w:rPr>
            </w:pPr>
          </w:p>
          <w:p w:rsidR="003167FD" w:rsidRPr="001A5332" w:rsidRDefault="003167FD" w:rsidP="003167FD">
            <w:pPr>
              <w:jc w:val="center"/>
              <w:rPr>
                <w:sz w:val="24"/>
                <w:szCs w:val="24"/>
              </w:rPr>
            </w:pPr>
            <w:r>
              <w:rPr>
                <w:sz w:val="24"/>
                <w:szCs w:val="24"/>
              </w:rPr>
              <w:t>2</w:t>
            </w:r>
          </w:p>
        </w:tc>
        <w:tc>
          <w:tcPr>
            <w:tcW w:w="1344" w:type="dxa"/>
          </w:tcPr>
          <w:p w:rsidR="003167FD" w:rsidRDefault="003167FD" w:rsidP="003167FD">
            <w:pPr>
              <w:jc w:val="center"/>
              <w:rPr>
                <w:sz w:val="24"/>
                <w:szCs w:val="24"/>
              </w:rPr>
            </w:pPr>
          </w:p>
          <w:p w:rsidR="003167FD" w:rsidRPr="001A5332" w:rsidRDefault="003167FD" w:rsidP="003167FD">
            <w:pPr>
              <w:jc w:val="center"/>
              <w:rPr>
                <w:sz w:val="24"/>
                <w:szCs w:val="24"/>
              </w:rPr>
            </w:pPr>
            <w:r>
              <w:rPr>
                <w:sz w:val="24"/>
                <w:szCs w:val="24"/>
              </w:rPr>
              <w:t>40</w:t>
            </w:r>
          </w:p>
        </w:tc>
      </w:tr>
      <w:tr w:rsidR="003167FD" w:rsidRPr="001A5332" w:rsidTr="003167FD">
        <w:trPr>
          <w:trHeight w:val="1054"/>
        </w:trPr>
        <w:tc>
          <w:tcPr>
            <w:tcW w:w="1908" w:type="dxa"/>
          </w:tcPr>
          <w:p w:rsidR="003167FD" w:rsidRDefault="003167FD" w:rsidP="003167FD">
            <w:pPr>
              <w:rPr>
                <w:sz w:val="24"/>
                <w:szCs w:val="24"/>
              </w:rPr>
            </w:pPr>
            <w:r>
              <w:rPr>
                <w:sz w:val="24"/>
                <w:szCs w:val="24"/>
              </w:rPr>
              <w:t>Final Report</w:t>
            </w:r>
          </w:p>
          <w:p w:rsidR="003167FD" w:rsidRDefault="003167FD" w:rsidP="003167FD">
            <w:pPr>
              <w:rPr>
                <w:sz w:val="24"/>
                <w:szCs w:val="24"/>
              </w:rPr>
            </w:pPr>
            <w:r>
              <w:rPr>
                <w:sz w:val="24"/>
                <w:szCs w:val="24"/>
              </w:rPr>
              <w:t>(progress and financial (</w:t>
            </w:r>
            <w:r w:rsidRPr="00823E62">
              <w:rPr>
                <w:i/>
                <w:sz w:val="24"/>
                <w:szCs w:val="24"/>
              </w:rPr>
              <w:t>Post-award))</w:t>
            </w:r>
          </w:p>
        </w:tc>
        <w:tc>
          <w:tcPr>
            <w:tcW w:w="1800" w:type="dxa"/>
          </w:tcPr>
          <w:p w:rsidR="003167FD" w:rsidRDefault="003167FD" w:rsidP="003167FD">
            <w:pPr>
              <w:ind w:left="-109"/>
              <w:jc w:val="center"/>
              <w:rPr>
                <w:sz w:val="24"/>
                <w:szCs w:val="24"/>
              </w:rPr>
            </w:pPr>
            <w:r>
              <w:rPr>
                <w:sz w:val="24"/>
                <w:szCs w:val="24"/>
              </w:rPr>
              <w:t>5</w:t>
            </w:r>
          </w:p>
        </w:tc>
        <w:tc>
          <w:tcPr>
            <w:tcW w:w="1710" w:type="dxa"/>
          </w:tcPr>
          <w:p w:rsidR="003167FD" w:rsidRDefault="003167FD" w:rsidP="003167FD">
            <w:pPr>
              <w:jc w:val="center"/>
              <w:rPr>
                <w:sz w:val="24"/>
                <w:szCs w:val="24"/>
              </w:rPr>
            </w:pPr>
            <w:r>
              <w:rPr>
                <w:sz w:val="24"/>
                <w:szCs w:val="24"/>
              </w:rPr>
              <w:t>1</w:t>
            </w:r>
          </w:p>
        </w:tc>
        <w:tc>
          <w:tcPr>
            <w:tcW w:w="1350" w:type="dxa"/>
          </w:tcPr>
          <w:p w:rsidR="003167FD" w:rsidRPr="001A5332" w:rsidRDefault="003167FD" w:rsidP="003167FD">
            <w:pPr>
              <w:jc w:val="center"/>
              <w:rPr>
                <w:sz w:val="24"/>
                <w:szCs w:val="24"/>
              </w:rPr>
            </w:pPr>
            <w:r>
              <w:rPr>
                <w:sz w:val="24"/>
                <w:szCs w:val="24"/>
              </w:rPr>
              <w:t>5</w:t>
            </w:r>
          </w:p>
        </w:tc>
        <w:tc>
          <w:tcPr>
            <w:tcW w:w="1530" w:type="dxa"/>
          </w:tcPr>
          <w:p w:rsidR="003167FD" w:rsidRPr="001A5332" w:rsidRDefault="003167FD" w:rsidP="003167FD">
            <w:pPr>
              <w:jc w:val="center"/>
              <w:rPr>
                <w:sz w:val="24"/>
                <w:szCs w:val="24"/>
              </w:rPr>
            </w:pPr>
            <w:r>
              <w:rPr>
                <w:sz w:val="24"/>
                <w:szCs w:val="24"/>
              </w:rPr>
              <w:t>3</w:t>
            </w:r>
          </w:p>
        </w:tc>
        <w:tc>
          <w:tcPr>
            <w:tcW w:w="1344" w:type="dxa"/>
          </w:tcPr>
          <w:p w:rsidR="003167FD" w:rsidRPr="001A5332" w:rsidRDefault="003167FD" w:rsidP="003167FD">
            <w:pPr>
              <w:jc w:val="center"/>
              <w:rPr>
                <w:sz w:val="24"/>
                <w:szCs w:val="24"/>
              </w:rPr>
            </w:pPr>
            <w:r>
              <w:rPr>
                <w:sz w:val="24"/>
                <w:szCs w:val="24"/>
              </w:rPr>
              <w:t>15</w:t>
            </w:r>
          </w:p>
        </w:tc>
      </w:tr>
      <w:tr w:rsidR="003167FD" w:rsidRPr="001A5332" w:rsidTr="003167FD">
        <w:trPr>
          <w:trHeight w:val="269"/>
        </w:trPr>
        <w:tc>
          <w:tcPr>
            <w:tcW w:w="1908" w:type="dxa"/>
          </w:tcPr>
          <w:p w:rsidR="003167FD" w:rsidRDefault="003167FD" w:rsidP="003167FD">
            <w:pPr>
              <w:rPr>
                <w:sz w:val="24"/>
                <w:szCs w:val="24"/>
              </w:rPr>
            </w:pPr>
            <w:r>
              <w:rPr>
                <w:sz w:val="24"/>
                <w:szCs w:val="24"/>
              </w:rPr>
              <w:t>Total Hours</w:t>
            </w:r>
          </w:p>
        </w:tc>
        <w:tc>
          <w:tcPr>
            <w:tcW w:w="1800" w:type="dxa"/>
          </w:tcPr>
          <w:p w:rsidR="003167FD" w:rsidRDefault="003167FD" w:rsidP="003167FD">
            <w:pPr>
              <w:ind w:left="-109"/>
              <w:jc w:val="center"/>
              <w:rPr>
                <w:sz w:val="24"/>
                <w:szCs w:val="24"/>
              </w:rPr>
            </w:pPr>
            <w:r>
              <w:rPr>
                <w:sz w:val="24"/>
                <w:szCs w:val="24"/>
              </w:rPr>
              <w:t>50</w:t>
            </w:r>
          </w:p>
        </w:tc>
        <w:tc>
          <w:tcPr>
            <w:tcW w:w="1710" w:type="dxa"/>
          </w:tcPr>
          <w:p w:rsidR="003167FD" w:rsidRDefault="003167FD" w:rsidP="003167FD">
            <w:pPr>
              <w:jc w:val="center"/>
              <w:rPr>
                <w:sz w:val="24"/>
                <w:szCs w:val="24"/>
              </w:rPr>
            </w:pPr>
            <w:r>
              <w:rPr>
                <w:sz w:val="24"/>
                <w:szCs w:val="24"/>
              </w:rPr>
              <w:t>-</w:t>
            </w:r>
          </w:p>
        </w:tc>
        <w:tc>
          <w:tcPr>
            <w:tcW w:w="1350" w:type="dxa"/>
          </w:tcPr>
          <w:p w:rsidR="003167FD" w:rsidRPr="001A5332" w:rsidRDefault="003167FD" w:rsidP="003167FD">
            <w:pPr>
              <w:jc w:val="center"/>
              <w:rPr>
                <w:sz w:val="24"/>
                <w:szCs w:val="24"/>
              </w:rPr>
            </w:pPr>
            <w:r>
              <w:rPr>
                <w:sz w:val="24"/>
                <w:szCs w:val="24"/>
              </w:rPr>
              <w:t>75</w:t>
            </w:r>
          </w:p>
        </w:tc>
        <w:tc>
          <w:tcPr>
            <w:tcW w:w="1530" w:type="dxa"/>
          </w:tcPr>
          <w:p w:rsidR="003167FD" w:rsidRPr="001A5332" w:rsidRDefault="003167FD" w:rsidP="003167FD">
            <w:pPr>
              <w:jc w:val="center"/>
              <w:rPr>
                <w:sz w:val="24"/>
                <w:szCs w:val="24"/>
              </w:rPr>
            </w:pPr>
            <w:r>
              <w:rPr>
                <w:sz w:val="24"/>
                <w:szCs w:val="24"/>
              </w:rPr>
              <w:t>-</w:t>
            </w:r>
          </w:p>
        </w:tc>
        <w:tc>
          <w:tcPr>
            <w:tcW w:w="1344" w:type="dxa"/>
          </w:tcPr>
          <w:p w:rsidR="003167FD" w:rsidRPr="00475E66" w:rsidRDefault="003167FD" w:rsidP="003167FD">
            <w:pPr>
              <w:jc w:val="center"/>
              <w:rPr>
                <w:b/>
                <w:sz w:val="24"/>
                <w:szCs w:val="24"/>
              </w:rPr>
            </w:pPr>
            <w:r>
              <w:rPr>
                <w:b/>
                <w:sz w:val="24"/>
                <w:szCs w:val="24"/>
              </w:rPr>
              <w:t>3,055</w:t>
            </w:r>
          </w:p>
        </w:tc>
      </w:tr>
    </w:tbl>
    <w:p w:rsidR="00FC759B" w:rsidRPr="00F93716" w:rsidRDefault="007B042C" w:rsidP="0053080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highlight w:val="yellow"/>
        </w:rPr>
      </w:pPr>
      <w:r w:rsidRPr="00F93716">
        <w:rPr>
          <w:sz w:val="24"/>
          <w:highlight w:val="yellow"/>
        </w:rPr>
        <w:t xml:space="preserve"> </w:t>
      </w:r>
    </w:p>
    <w:p w:rsidR="00FC759B" w:rsidRDefault="00FC759B" w:rsidP="00B9315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891249" w:rsidRDefault="00891249" w:rsidP="00B9315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C60A3E">
        <w:rPr>
          <w:sz w:val="24"/>
        </w:rPr>
        <w:t xml:space="preserve">Respondents have a full range of discretion in how they design and develop a proposal.  </w:t>
      </w:r>
      <w:r w:rsidR="007B042C" w:rsidRPr="00C60A3E">
        <w:rPr>
          <w:sz w:val="24"/>
        </w:rPr>
        <w:t>FNS has provided guidance in the RFA on the information that is needed to evaluate the proposals and select the most promising grantee</w:t>
      </w:r>
      <w:r w:rsidR="004B3CEE" w:rsidRPr="00C60A3E">
        <w:rPr>
          <w:sz w:val="24"/>
        </w:rPr>
        <w:t>(</w:t>
      </w:r>
      <w:r w:rsidR="007B042C" w:rsidRPr="00C60A3E">
        <w:rPr>
          <w:sz w:val="24"/>
        </w:rPr>
        <w:t>s</w:t>
      </w:r>
      <w:r w:rsidR="004B3CEE" w:rsidRPr="00C60A3E">
        <w:rPr>
          <w:sz w:val="24"/>
        </w:rPr>
        <w:t>)</w:t>
      </w:r>
      <w:r w:rsidR="007B042C" w:rsidRPr="00C60A3E">
        <w:rPr>
          <w:sz w:val="24"/>
        </w:rPr>
        <w:t xml:space="preserve">.  </w:t>
      </w:r>
      <w:r w:rsidR="00F21D56" w:rsidRPr="00C60A3E">
        <w:rPr>
          <w:sz w:val="24"/>
        </w:rPr>
        <w:t xml:space="preserve">Hourly estimates </w:t>
      </w:r>
      <w:r w:rsidRPr="00C60A3E">
        <w:rPr>
          <w:sz w:val="24"/>
        </w:rPr>
        <w:t xml:space="preserve">identified above </w:t>
      </w:r>
      <w:r w:rsidR="00B01D2C" w:rsidRPr="00C60A3E">
        <w:rPr>
          <w:sz w:val="24"/>
        </w:rPr>
        <w:t xml:space="preserve">are </w:t>
      </w:r>
      <w:r w:rsidRPr="00C60A3E">
        <w:rPr>
          <w:sz w:val="24"/>
        </w:rPr>
        <w:t xml:space="preserve">used as the basis for determining total annual cost burden to respondents </w:t>
      </w:r>
      <w:r w:rsidR="00475E66" w:rsidRPr="00C60A3E">
        <w:rPr>
          <w:sz w:val="24"/>
        </w:rPr>
        <w:t>of the application.</w:t>
      </w:r>
      <w:r w:rsidRPr="00C60A3E">
        <w:rPr>
          <w:sz w:val="24"/>
        </w:rPr>
        <w:t xml:space="preserve">  </w:t>
      </w:r>
    </w:p>
    <w:p w:rsidR="00FC759B" w:rsidRDefault="00FC759B" w:rsidP="00B9315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BD1359" w:rsidRDefault="00FC759B" w:rsidP="00BD1359">
      <w:pPr>
        <w:ind w:left="360" w:right="547"/>
        <w:rPr>
          <w:sz w:val="24"/>
        </w:rPr>
      </w:pPr>
      <w:r>
        <w:rPr>
          <w:sz w:val="24"/>
        </w:rPr>
        <w:t xml:space="preserve">FNS intends to fund eligible projects until the $5 million appropriation is depleted.  The potential for variation in project design is high resulting in a high potential for variation in project costs.  Therefore, the number of grantees that will be selected for funding is difficult to estimate.  For the purpose of this burden estimate, FNS assumes that 10 percent of anticipated applicants or 5 grantees will be awarded funds.  The total estimated burden on the 5 winning grantees of post award burden is reflected in the table above:  </w:t>
      </w:r>
    </w:p>
    <w:p w:rsidR="00FC759B" w:rsidRDefault="00FC759B" w:rsidP="00FC759B">
      <w:pPr>
        <w:ind w:left="547" w:right="547"/>
        <w:rPr>
          <w:sz w:val="24"/>
        </w:rPr>
      </w:pPr>
    </w:p>
    <w:p w:rsidR="00FC759B" w:rsidRDefault="00FC759B" w:rsidP="00FC759B">
      <w:pPr>
        <w:ind w:left="547" w:right="547"/>
        <w:rPr>
          <w:sz w:val="24"/>
        </w:rPr>
      </w:pPr>
    </w:p>
    <w:p w:rsidR="00FC759B" w:rsidRDefault="00FC759B" w:rsidP="00FC759B">
      <w:pPr>
        <w:ind w:left="547" w:right="547"/>
        <w:rPr>
          <w:sz w:val="24"/>
        </w:rPr>
      </w:pPr>
    </w:p>
    <w:p w:rsidR="00FC759B" w:rsidRDefault="00FC759B" w:rsidP="00FC759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FC759B" w:rsidRDefault="00FC759B" w:rsidP="00FC759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FC759B" w:rsidRPr="00276587" w:rsidRDefault="00FC759B" w:rsidP="00FC759B">
      <w:pPr>
        <w:ind w:left="547" w:right="547"/>
        <w:rPr>
          <w:sz w:val="24"/>
        </w:rPr>
      </w:pPr>
      <w:r w:rsidRPr="00276587">
        <w:rPr>
          <w:sz w:val="24"/>
        </w:rPr>
        <w:lastRenderedPageBreak/>
        <w:t xml:space="preserve">Total Pre-award cost to the public is </w:t>
      </w:r>
      <w:r>
        <w:rPr>
          <w:sz w:val="24"/>
        </w:rPr>
        <w:t>3,000</w:t>
      </w:r>
      <w:r w:rsidRPr="00276587">
        <w:rPr>
          <w:sz w:val="24"/>
        </w:rPr>
        <w:t xml:space="preserve"> hours x $2</w:t>
      </w:r>
      <w:r>
        <w:rPr>
          <w:sz w:val="24"/>
        </w:rPr>
        <w:t>9.12</w:t>
      </w:r>
      <w:r w:rsidRPr="00276587">
        <w:rPr>
          <w:sz w:val="24"/>
        </w:rPr>
        <w:t xml:space="preserve"> hourly wage = $</w:t>
      </w:r>
      <w:r>
        <w:rPr>
          <w:sz w:val="24"/>
        </w:rPr>
        <w:t>87,360</w:t>
      </w:r>
      <w:r w:rsidRPr="00276587">
        <w:rPr>
          <w:sz w:val="24"/>
        </w:rPr>
        <w:t>.</w:t>
      </w:r>
    </w:p>
    <w:p w:rsidR="00FC759B" w:rsidRPr="00276587" w:rsidRDefault="00FC759B" w:rsidP="00FC759B">
      <w:pPr>
        <w:ind w:left="547" w:right="547"/>
        <w:rPr>
          <w:sz w:val="24"/>
        </w:rPr>
      </w:pPr>
      <w:r w:rsidRPr="00276587">
        <w:rPr>
          <w:sz w:val="24"/>
        </w:rPr>
        <w:t>Pre-award costs are one-time only costs.</w:t>
      </w:r>
    </w:p>
    <w:p w:rsidR="00FC759B" w:rsidRPr="00276587" w:rsidRDefault="00FC759B" w:rsidP="00FC759B">
      <w:pPr>
        <w:ind w:left="547" w:right="547"/>
        <w:rPr>
          <w:sz w:val="24"/>
        </w:rPr>
      </w:pPr>
    </w:p>
    <w:p w:rsidR="00FC759B" w:rsidRPr="00C01D0F" w:rsidRDefault="00FC759B" w:rsidP="00FC759B">
      <w:pPr>
        <w:ind w:left="547" w:right="547"/>
        <w:rPr>
          <w:sz w:val="24"/>
          <w:szCs w:val="24"/>
        </w:rPr>
      </w:pPr>
      <w:r w:rsidRPr="00276587">
        <w:rPr>
          <w:sz w:val="24"/>
        </w:rPr>
        <w:t>Total Post-award annual costs</w:t>
      </w:r>
      <w:r>
        <w:rPr>
          <w:sz w:val="24"/>
        </w:rPr>
        <w:t xml:space="preserve"> for routine reporting are 55</w:t>
      </w:r>
      <w:r w:rsidRPr="00276587">
        <w:rPr>
          <w:sz w:val="24"/>
        </w:rPr>
        <w:t xml:space="preserve"> hours x $2</w:t>
      </w:r>
      <w:r>
        <w:rPr>
          <w:sz w:val="24"/>
        </w:rPr>
        <w:t>9.12</w:t>
      </w:r>
      <w:r w:rsidRPr="00276587">
        <w:rPr>
          <w:sz w:val="24"/>
        </w:rPr>
        <w:t xml:space="preserve"> = $</w:t>
      </w:r>
      <w:r>
        <w:rPr>
          <w:sz w:val="24"/>
        </w:rPr>
        <w:t>1,601.60</w:t>
      </w:r>
      <w:r w:rsidRPr="00276587">
        <w:rPr>
          <w:sz w:val="24"/>
        </w:rPr>
        <w:t xml:space="preserve">.  </w:t>
      </w:r>
      <w:r w:rsidRPr="00276587">
        <w:rPr>
          <w:sz w:val="24"/>
          <w:szCs w:val="24"/>
        </w:rPr>
        <w:t>Post award costs are annual costs for the duration of the project</w:t>
      </w:r>
      <w:r>
        <w:rPr>
          <w:sz w:val="24"/>
          <w:szCs w:val="24"/>
        </w:rPr>
        <w:t>) 3,000 + 55 = 3,055 total annual burden for this grant</w:t>
      </w:r>
      <w:r w:rsidR="0006266C">
        <w:rPr>
          <w:sz w:val="24"/>
          <w:szCs w:val="24"/>
        </w:rPr>
        <w:t xml:space="preserve"> and the first year annual cost of $88,962.00</w:t>
      </w:r>
    </w:p>
    <w:p w:rsidR="00FC759B" w:rsidRPr="00C60A3E" w:rsidRDefault="00FC759B" w:rsidP="00B9315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4E6051" w:rsidRPr="00F93716" w:rsidRDefault="004E6051" w:rsidP="005308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highlight w:val="yellow"/>
        </w:rPr>
      </w:pPr>
    </w:p>
    <w:p w:rsidR="004E6051" w:rsidRPr="00EC0D55" w:rsidRDefault="00B9315E" w:rsidP="00EC0D55">
      <w:pPr>
        <w:pStyle w:val="StyleHeading2TimesNewRoman12pt"/>
        <w:rPr>
          <w:iCs w:val="0"/>
        </w:rPr>
      </w:pPr>
      <w:r w:rsidRPr="00C60A3E">
        <w:tab/>
      </w:r>
      <w:bookmarkStart w:id="13" w:name="_Toc249930424"/>
      <w:r w:rsidR="00CB3E4B" w:rsidRPr="00EC0D55">
        <w:rPr>
          <w:iCs w:val="0"/>
        </w:rPr>
        <w:t xml:space="preserve">A.12.2 </w:t>
      </w:r>
      <w:r w:rsidR="001A5332" w:rsidRPr="00EC0D55">
        <w:rPr>
          <w:iCs w:val="0"/>
        </w:rPr>
        <w:t xml:space="preserve">Estimates of </w:t>
      </w:r>
      <w:r w:rsidR="00A46B66" w:rsidRPr="00EC0D55">
        <w:rPr>
          <w:iCs w:val="0"/>
        </w:rPr>
        <w:t>Annualized Cost to Respondents</w:t>
      </w:r>
      <w:r w:rsidR="00A27A2C" w:rsidRPr="00EC0D55">
        <w:rPr>
          <w:iCs w:val="0"/>
        </w:rPr>
        <w:t xml:space="preserve"> for </w:t>
      </w:r>
      <w:r w:rsidR="00475E66" w:rsidRPr="00EC0D55">
        <w:rPr>
          <w:iCs w:val="0"/>
        </w:rPr>
        <w:t>A</w:t>
      </w:r>
      <w:r w:rsidR="00A27A2C" w:rsidRPr="00EC0D55">
        <w:rPr>
          <w:iCs w:val="0"/>
        </w:rPr>
        <w:t>pplication</w:t>
      </w:r>
      <w:bookmarkEnd w:id="13"/>
      <w:r w:rsidR="00B6044A">
        <w:rPr>
          <w:iCs w:val="0"/>
        </w:rPr>
        <w:t>.</w:t>
      </w:r>
    </w:p>
    <w:tbl>
      <w:tblPr>
        <w:tblW w:w="80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440"/>
        <w:gridCol w:w="1260"/>
        <w:gridCol w:w="1350"/>
        <w:gridCol w:w="990"/>
        <w:gridCol w:w="1440"/>
      </w:tblGrid>
      <w:tr w:rsidR="001A5332" w:rsidRPr="00C60A3E">
        <w:tc>
          <w:tcPr>
            <w:tcW w:w="1530" w:type="dxa"/>
            <w:vAlign w:val="center"/>
          </w:tcPr>
          <w:p w:rsidR="001A5332" w:rsidRPr="00C60A3E" w:rsidRDefault="001A5332" w:rsidP="00A46B66">
            <w:pPr>
              <w:jc w:val="center"/>
              <w:rPr>
                <w:b/>
                <w:sz w:val="24"/>
                <w:szCs w:val="24"/>
              </w:rPr>
            </w:pPr>
          </w:p>
          <w:p w:rsidR="001A5332" w:rsidRPr="00C60A3E" w:rsidRDefault="001670D8" w:rsidP="00A46B66">
            <w:pPr>
              <w:jc w:val="center"/>
              <w:rPr>
                <w:b/>
                <w:sz w:val="24"/>
                <w:szCs w:val="24"/>
              </w:rPr>
            </w:pPr>
            <w:r w:rsidRPr="00C60A3E">
              <w:rPr>
                <w:b/>
                <w:sz w:val="24"/>
                <w:szCs w:val="24"/>
              </w:rPr>
              <w:t>Type of Respondent</w:t>
            </w:r>
          </w:p>
        </w:tc>
        <w:tc>
          <w:tcPr>
            <w:tcW w:w="1440" w:type="dxa"/>
            <w:vAlign w:val="center"/>
          </w:tcPr>
          <w:p w:rsidR="001A5332" w:rsidRPr="00C60A3E" w:rsidRDefault="001A5332" w:rsidP="00B9315E">
            <w:pPr>
              <w:ind w:left="-109"/>
              <w:jc w:val="center"/>
              <w:rPr>
                <w:b/>
                <w:sz w:val="24"/>
                <w:szCs w:val="24"/>
              </w:rPr>
            </w:pPr>
            <w:r w:rsidRPr="00C60A3E">
              <w:rPr>
                <w:b/>
                <w:sz w:val="24"/>
                <w:szCs w:val="24"/>
              </w:rPr>
              <w:t>Number of Respondents</w:t>
            </w:r>
          </w:p>
        </w:tc>
        <w:tc>
          <w:tcPr>
            <w:tcW w:w="1260" w:type="dxa"/>
            <w:vAlign w:val="center"/>
          </w:tcPr>
          <w:p w:rsidR="001A5332" w:rsidRDefault="001A5332" w:rsidP="00E10521">
            <w:pPr>
              <w:jc w:val="center"/>
              <w:rPr>
                <w:b/>
                <w:sz w:val="24"/>
                <w:szCs w:val="24"/>
              </w:rPr>
            </w:pPr>
          </w:p>
          <w:p w:rsidR="00E10521" w:rsidRPr="00C60A3E" w:rsidRDefault="00E10521" w:rsidP="00E10521">
            <w:pPr>
              <w:jc w:val="center"/>
              <w:rPr>
                <w:b/>
                <w:sz w:val="24"/>
                <w:szCs w:val="24"/>
              </w:rPr>
            </w:pPr>
            <w:r>
              <w:rPr>
                <w:b/>
                <w:sz w:val="24"/>
                <w:szCs w:val="24"/>
              </w:rPr>
              <w:t>Burden Hours</w:t>
            </w:r>
          </w:p>
        </w:tc>
        <w:tc>
          <w:tcPr>
            <w:tcW w:w="1350" w:type="dxa"/>
            <w:vAlign w:val="center"/>
          </w:tcPr>
          <w:p w:rsidR="001A5332" w:rsidRPr="00C60A3E" w:rsidRDefault="001A5332" w:rsidP="00A46B66">
            <w:pPr>
              <w:jc w:val="center"/>
              <w:rPr>
                <w:b/>
                <w:sz w:val="24"/>
                <w:szCs w:val="24"/>
              </w:rPr>
            </w:pPr>
            <w:r w:rsidRPr="00C60A3E">
              <w:rPr>
                <w:b/>
                <w:sz w:val="24"/>
                <w:szCs w:val="24"/>
              </w:rPr>
              <w:t>Frequency of Response</w:t>
            </w:r>
          </w:p>
        </w:tc>
        <w:tc>
          <w:tcPr>
            <w:tcW w:w="990" w:type="dxa"/>
            <w:vAlign w:val="center"/>
          </w:tcPr>
          <w:p w:rsidR="001A5332" w:rsidRPr="00C60A3E" w:rsidRDefault="001A5332" w:rsidP="00A46B66">
            <w:pPr>
              <w:jc w:val="center"/>
              <w:rPr>
                <w:b/>
                <w:sz w:val="24"/>
                <w:szCs w:val="24"/>
              </w:rPr>
            </w:pPr>
            <w:r w:rsidRPr="00C60A3E">
              <w:rPr>
                <w:b/>
                <w:sz w:val="24"/>
                <w:szCs w:val="24"/>
              </w:rPr>
              <w:t>Hourly Wage Rate</w:t>
            </w:r>
          </w:p>
        </w:tc>
        <w:tc>
          <w:tcPr>
            <w:tcW w:w="1440" w:type="dxa"/>
            <w:vAlign w:val="center"/>
          </w:tcPr>
          <w:p w:rsidR="00475E66" w:rsidRPr="00C60A3E" w:rsidRDefault="00475E66" w:rsidP="00A46B66">
            <w:pPr>
              <w:jc w:val="center"/>
              <w:rPr>
                <w:b/>
                <w:sz w:val="24"/>
                <w:szCs w:val="24"/>
              </w:rPr>
            </w:pPr>
            <w:r w:rsidRPr="00C60A3E">
              <w:rPr>
                <w:b/>
                <w:sz w:val="24"/>
                <w:szCs w:val="24"/>
              </w:rPr>
              <w:t>Total</w:t>
            </w:r>
          </w:p>
          <w:p w:rsidR="001A5332" w:rsidRPr="00C60A3E" w:rsidRDefault="001A5332" w:rsidP="00A46B66">
            <w:pPr>
              <w:jc w:val="center"/>
              <w:rPr>
                <w:b/>
                <w:sz w:val="24"/>
                <w:szCs w:val="24"/>
              </w:rPr>
            </w:pPr>
            <w:r w:rsidRPr="00C60A3E">
              <w:rPr>
                <w:b/>
                <w:sz w:val="24"/>
                <w:szCs w:val="24"/>
              </w:rPr>
              <w:t>Respondent Cost</w:t>
            </w:r>
          </w:p>
        </w:tc>
      </w:tr>
      <w:tr w:rsidR="001A5332" w:rsidRPr="00C60A3E">
        <w:tc>
          <w:tcPr>
            <w:tcW w:w="1530" w:type="dxa"/>
          </w:tcPr>
          <w:p w:rsidR="001A5332" w:rsidRPr="00C60A3E" w:rsidRDefault="001A5332" w:rsidP="001A5332">
            <w:pPr>
              <w:rPr>
                <w:sz w:val="24"/>
                <w:szCs w:val="24"/>
              </w:rPr>
            </w:pPr>
          </w:p>
          <w:p w:rsidR="001A5332" w:rsidRPr="00C60A3E" w:rsidRDefault="001A5332" w:rsidP="001A5332">
            <w:pPr>
              <w:rPr>
                <w:sz w:val="24"/>
                <w:szCs w:val="24"/>
              </w:rPr>
            </w:pPr>
            <w:r w:rsidRPr="00C60A3E">
              <w:rPr>
                <w:sz w:val="24"/>
                <w:szCs w:val="24"/>
              </w:rPr>
              <w:t>Grantee</w:t>
            </w:r>
          </w:p>
        </w:tc>
        <w:tc>
          <w:tcPr>
            <w:tcW w:w="1440" w:type="dxa"/>
          </w:tcPr>
          <w:p w:rsidR="001A5332" w:rsidRPr="00C60A3E" w:rsidRDefault="001A5332" w:rsidP="001A5332">
            <w:pPr>
              <w:ind w:left="-109"/>
              <w:jc w:val="center"/>
              <w:rPr>
                <w:sz w:val="24"/>
                <w:szCs w:val="24"/>
              </w:rPr>
            </w:pPr>
          </w:p>
          <w:p w:rsidR="001A5332" w:rsidRPr="00C60A3E" w:rsidRDefault="0008123A" w:rsidP="0008123A">
            <w:pPr>
              <w:ind w:left="-109"/>
              <w:jc w:val="center"/>
              <w:rPr>
                <w:sz w:val="24"/>
                <w:szCs w:val="24"/>
              </w:rPr>
            </w:pPr>
            <w:r>
              <w:rPr>
                <w:sz w:val="24"/>
                <w:szCs w:val="24"/>
              </w:rPr>
              <w:t>5</w:t>
            </w:r>
            <w:r w:rsidR="00C60A3E" w:rsidRPr="00C60A3E">
              <w:rPr>
                <w:sz w:val="24"/>
                <w:szCs w:val="24"/>
              </w:rPr>
              <w:t>0</w:t>
            </w:r>
          </w:p>
        </w:tc>
        <w:tc>
          <w:tcPr>
            <w:tcW w:w="1260" w:type="dxa"/>
          </w:tcPr>
          <w:p w:rsidR="001A5332" w:rsidRPr="00C60A3E" w:rsidRDefault="001A5332" w:rsidP="00A46B66">
            <w:pPr>
              <w:jc w:val="center"/>
              <w:rPr>
                <w:sz w:val="24"/>
                <w:szCs w:val="24"/>
              </w:rPr>
            </w:pPr>
          </w:p>
          <w:p w:rsidR="00C60A3E" w:rsidRPr="00C60A3E" w:rsidRDefault="00AE3C63" w:rsidP="00C60A3E">
            <w:pPr>
              <w:jc w:val="center"/>
              <w:rPr>
                <w:sz w:val="24"/>
                <w:szCs w:val="24"/>
              </w:rPr>
            </w:pPr>
            <w:r>
              <w:rPr>
                <w:sz w:val="24"/>
                <w:szCs w:val="24"/>
              </w:rPr>
              <w:t>3000</w:t>
            </w:r>
          </w:p>
        </w:tc>
        <w:tc>
          <w:tcPr>
            <w:tcW w:w="1350" w:type="dxa"/>
          </w:tcPr>
          <w:p w:rsidR="001A5332" w:rsidRPr="00C60A3E" w:rsidRDefault="001A5332" w:rsidP="00A46B66">
            <w:pPr>
              <w:jc w:val="center"/>
              <w:rPr>
                <w:sz w:val="24"/>
                <w:szCs w:val="24"/>
              </w:rPr>
            </w:pPr>
          </w:p>
          <w:p w:rsidR="001A5332" w:rsidRPr="00C60A3E" w:rsidRDefault="001A5332" w:rsidP="00A46B66">
            <w:pPr>
              <w:jc w:val="center"/>
              <w:rPr>
                <w:sz w:val="24"/>
                <w:szCs w:val="24"/>
              </w:rPr>
            </w:pPr>
            <w:r w:rsidRPr="00C60A3E">
              <w:rPr>
                <w:sz w:val="24"/>
                <w:szCs w:val="24"/>
              </w:rPr>
              <w:t>1</w:t>
            </w:r>
          </w:p>
        </w:tc>
        <w:tc>
          <w:tcPr>
            <w:tcW w:w="990" w:type="dxa"/>
          </w:tcPr>
          <w:p w:rsidR="001A5332" w:rsidRPr="00C60A3E" w:rsidRDefault="001A5332" w:rsidP="00A46B66">
            <w:pPr>
              <w:jc w:val="center"/>
              <w:rPr>
                <w:sz w:val="24"/>
                <w:szCs w:val="24"/>
              </w:rPr>
            </w:pPr>
          </w:p>
          <w:p w:rsidR="001A5332" w:rsidRPr="00C60A3E" w:rsidRDefault="001A5332" w:rsidP="007D07AC">
            <w:pPr>
              <w:jc w:val="center"/>
              <w:rPr>
                <w:sz w:val="24"/>
                <w:szCs w:val="24"/>
              </w:rPr>
            </w:pPr>
            <w:r w:rsidRPr="00C60A3E">
              <w:rPr>
                <w:sz w:val="24"/>
                <w:szCs w:val="24"/>
              </w:rPr>
              <w:t>$</w:t>
            </w:r>
            <w:r w:rsidR="00DE7280">
              <w:rPr>
                <w:sz w:val="24"/>
                <w:szCs w:val="24"/>
              </w:rPr>
              <w:t>2</w:t>
            </w:r>
            <w:r w:rsidR="00AE3C63">
              <w:rPr>
                <w:sz w:val="24"/>
                <w:szCs w:val="24"/>
              </w:rPr>
              <w:t>9.12</w:t>
            </w:r>
          </w:p>
        </w:tc>
        <w:tc>
          <w:tcPr>
            <w:tcW w:w="1440" w:type="dxa"/>
          </w:tcPr>
          <w:p w:rsidR="001A5332" w:rsidRPr="00C60A3E" w:rsidRDefault="001A5332" w:rsidP="00A46B66">
            <w:pPr>
              <w:jc w:val="center"/>
              <w:rPr>
                <w:sz w:val="24"/>
                <w:szCs w:val="24"/>
              </w:rPr>
            </w:pPr>
          </w:p>
          <w:p w:rsidR="001A5332" w:rsidRPr="00C60A3E" w:rsidRDefault="004B3CEE" w:rsidP="007D07AC">
            <w:pPr>
              <w:jc w:val="center"/>
              <w:rPr>
                <w:sz w:val="24"/>
                <w:szCs w:val="24"/>
              </w:rPr>
            </w:pPr>
            <w:r w:rsidRPr="00C60A3E">
              <w:rPr>
                <w:sz w:val="24"/>
                <w:szCs w:val="24"/>
              </w:rPr>
              <w:t>$</w:t>
            </w:r>
            <w:r w:rsidR="0087306D">
              <w:rPr>
                <w:sz w:val="24"/>
                <w:szCs w:val="24"/>
              </w:rPr>
              <w:t>87,360</w:t>
            </w:r>
          </w:p>
        </w:tc>
      </w:tr>
    </w:tbl>
    <w:p w:rsidR="004E6051" w:rsidRPr="00C60A3E" w:rsidRDefault="004E6051" w:rsidP="00530809">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525EC3" w:rsidRDefault="00891249" w:rsidP="004F292A">
      <w:pPr>
        <w:ind w:left="547" w:right="547"/>
        <w:rPr>
          <w:sz w:val="24"/>
        </w:rPr>
      </w:pPr>
      <w:r w:rsidRPr="00C60A3E">
        <w:rPr>
          <w:sz w:val="24"/>
        </w:rPr>
        <w:t>FNS estimates that</w:t>
      </w:r>
      <w:r w:rsidR="00E13C88" w:rsidRPr="00C60A3E">
        <w:rPr>
          <w:sz w:val="24"/>
        </w:rPr>
        <w:t xml:space="preserve"> each respondent will utilize at</w:t>
      </w:r>
      <w:r w:rsidRPr="00C60A3E">
        <w:rPr>
          <w:sz w:val="24"/>
        </w:rPr>
        <w:t xml:space="preserve"> least one </w:t>
      </w:r>
      <w:r w:rsidR="002F2F3E" w:rsidRPr="00C60A3E">
        <w:rPr>
          <w:sz w:val="24"/>
        </w:rPr>
        <w:t>full time</w:t>
      </w:r>
      <w:r w:rsidRPr="00C60A3E">
        <w:rPr>
          <w:sz w:val="24"/>
        </w:rPr>
        <w:t xml:space="preserve"> member at a cost of $</w:t>
      </w:r>
      <w:r w:rsidR="002D1172">
        <w:rPr>
          <w:sz w:val="24"/>
        </w:rPr>
        <w:t>2</w:t>
      </w:r>
      <w:r w:rsidR="0087306D">
        <w:rPr>
          <w:sz w:val="24"/>
        </w:rPr>
        <w:t>9.12</w:t>
      </w:r>
      <w:r w:rsidRPr="00C60A3E">
        <w:rPr>
          <w:sz w:val="24"/>
        </w:rPr>
        <w:t xml:space="preserve"> per hour.  The range for this estimate</w:t>
      </w:r>
      <w:r w:rsidR="00843EE6" w:rsidRPr="00C60A3E">
        <w:rPr>
          <w:sz w:val="24"/>
        </w:rPr>
        <w:t xml:space="preserve"> may vary significantly</w:t>
      </w:r>
      <w:r w:rsidR="00E111C3" w:rsidRPr="00C60A3E">
        <w:rPr>
          <w:sz w:val="24"/>
        </w:rPr>
        <w:t xml:space="preserve"> but</w:t>
      </w:r>
      <w:r w:rsidRPr="00C60A3E">
        <w:rPr>
          <w:sz w:val="24"/>
        </w:rPr>
        <w:t xml:space="preserve"> FNS believes the cost-per-hour estimate is the most practicable.  </w:t>
      </w:r>
      <w:r w:rsidR="00E111C3" w:rsidRPr="00C60A3E">
        <w:rPr>
          <w:sz w:val="24"/>
        </w:rPr>
        <w:t xml:space="preserve">Wage rates were determined using </w:t>
      </w:r>
      <w:r w:rsidR="001670D8" w:rsidRPr="00C60A3E">
        <w:rPr>
          <w:sz w:val="24"/>
        </w:rPr>
        <w:t xml:space="preserve">the </w:t>
      </w:r>
      <w:hyperlink r:id="rId14" w:history="1">
        <w:r w:rsidR="00AE3C63" w:rsidRPr="00AE3C63">
          <w:rPr>
            <w:rStyle w:val="Hyperlink"/>
            <w:sz w:val="24"/>
            <w:szCs w:val="24"/>
          </w:rPr>
          <w:t>http://www.bls.gov/oes/2008/may/oes119151.htm</w:t>
        </w:r>
      </w:hyperlink>
      <w:r w:rsidR="00AE3C63">
        <w:rPr>
          <w:color w:val="000000"/>
        </w:rPr>
        <w:t xml:space="preserve"> </w:t>
      </w:r>
      <w:r w:rsidR="00E111C3" w:rsidRPr="00C60A3E">
        <w:rPr>
          <w:sz w:val="24"/>
        </w:rPr>
        <w:t xml:space="preserve"> website</w:t>
      </w:r>
      <w:r w:rsidR="00E1531E">
        <w:rPr>
          <w:sz w:val="24"/>
        </w:rPr>
        <w:t xml:space="preserve">, and reflects </w:t>
      </w:r>
      <w:r w:rsidR="00AD4390">
        <w:rPr>
          <w:sz w:val="24"/>
        </w:rPr>
        <w:t xml:space="preserve">average hourly wage for </w:t>
      </w:r>
      <w:r w:rsidR="007D07AC">
        <w:rPr>
          <w:sz w:val="24"/>
        </w:rPr>
        <w:t xml:space="preserve">occupational code </w:t>
      </w:r>
      <w:r w:rsidR="00AE3C63">
        <w:rPr>
          <w:sz w:val="24"/>
        </w:rPr>
        <w:t>11-9151</w:t>
      </w:r>
      <w:r w:rsidR="007D07AC">
        <w:rPr>
          <w:sz w:val="24"/>
        </w:rPr>
        <w:t xml:space="preserve">, </w:t>
      </w:r>
      <w:r w:rsidR="00AE3C63">
        <w:rPr>
          <w:sz w:val="24"/>
        </w:rPr>
        <w:t xml:space="preserve">Social and Community Service Managers </w:t>
      </w:r>
      <w:r w:rsidR="007D07AC">
        <w:rPr>
          <w:sz w:val="24"/>
        </w:rPr>
        <w:t xml:space="preserve"> occupations</w:t>
      </w:r>
      <w:r w:rsidR="00E1531E">
        <w:rPr>
          <w:sz w:val="24"/>
        </w:rPr>
        <w:t xml:space="preserve">,  May </w:t>
      </w:r>
      <w:r w:rsidR="00E1531E" w:rsidRPr="00E1531E">
        <w:rPr>
          <w:sz w:val="24"/>
          <w:szCs w:val="24"/>
        </w:rPr>
        <w:t>2008</w:t>
      </w:r>
      <w:r w:rsidR="00E1531E">
        <w:rPr>
          <w:sz w:val="24"/>
          <w:szCs w:val="24"/>
        </w:rPr>
        <w:t xml:space="preserve"> </w:t>
      </w:r>
      <w:r w:rsidR="00E1531E" w:rsidRPr="00E1531E">
        <w:rPr>
          <w:kern w:val="36"/>
          <w:sz w:val="24"/>
          <w:szCs w:val="24"/>
        </w:rPr>
        <w:t>National Occupational Employment and Wage Estimates</w:t>
      </w:r>
      <w:r w:rsidR="006A4EA8">
        <w:rPr>
          <w:kern w:val="36"/>
          <w:sz w:val="24"/>
          <w:szCs w:val="24"/>
        </w:rPr>
        <w:t>.</w:t>
      </w:r>
    </w:p>
    <w:p w:rsidR="00064D49" w:rsidRDefault="00064D49" w:rsidP="004F292A">
      <w:pPr>
        <w:ind w:left="547" w:right="547"/>
        <w:rPr>
          <w:sz w:val="24"/>
        </w:rPr>
      </w:pPr>
    </w:p>
    <w:p w:rsidR="00525EC3" w:rsidRDefault="00525EC3" w:rsidP="004F292A">
      <w:pPr>
        <w:ind w:left="547" w:right="547"/>
        <w:rPr>
          <w:sz w:val="24"/>
        </w:rPr>
      </w:pPr>
      <w:r>
        <w:rPr>
          <w:sz w:val="24"/>
        </w:rPr>
        <w:t>Post-award burden hours are based on the production of the quarterly</w:t>
      </w:r>
      <w:r w:rsidR="00AD4390">
        <w:rPr>
          <w:sz w:val="24"/>
        </w:rPr>
        <w:t xml:space="preserve"> and </w:t>
      </w:r>
      <w:r>
        <w:rPr>
          <w:sz w:val="24"/>
        </w:rPr>
        <w:t>final progress reports and financial reports that are submitted to FNS</w:t>
      </w:r>
      <w:r w:rsidR="00064D49">
        <w:rPr>
          <w:sz w:val="24"/>
        </w:rPr>
        <w:t xml:space="preserve"> by the grantees selected for the project</w:t>
      </w:r>
      <w:r w:rsidR="00E1531E">
        <w:rPr>
          <w:sz w:val="24"/>
        </w:rPr>
        <w:t xml:space="preserve">.  </w:t>
      </w:r>
      <w:r>
        <w:rPr>
          <w:sz w:val="24"/>
        </w:rPr>
        <w:t>The</w:t>
      </w:r>
      <w:r w:rsidR="00276587">
        <w:rPr>
          <w:sz w:val="24"/>
        </w:rPr>
        <w:t xml:space="preserve"> progress</w:t>
      </w:r>
      <w:r>
        <w:rPr>
          <w:sz w:val="24"/>
        </w:rPr>
        <w:t xml:space="preserve"> reports will ask for a description of the activities that took place during the previous quarter and report any deviations and difficulties.  </w:t>
      </w:r>
      <w:r w:rsidR="00BB79DE">
        <w:rPr>
          <w:sz w:val="24"/>
        </w:rPr>
        <w:t xml:space="preserve">The financial reports will be the SF-425, which is the short form for reporting the financial status for the previous quarter, with the last SF-425 serving as the final financial status report.  </w:t>
      </w:r>
      <w:r>
        <w:rPr>
          <w:sz w:val="24"/>
        </w:rPr>
        <w:t>The</w:t>
      </w:r>
      <w:r w:rsidR="00520150">
        <w:rPr>
          <w:sz w:val="24"/>
        </w:rPr>
        <w:t>s</w:t>
      </w:r>
      <w:r>
        <w:rPr>
          <w:sz w:val="24"/>
        </w:rPr>
        <w:t xml:space="preserve">e reports are routine in nature and only request necessary information to monitor the progress and funds spent during the period of performance of the </w:t>
      </w:r>
      <w:r w:rsidR="00FE6309">
        <w:rPr>
          <w:sz w:val="24"/>
        </w:rPr>
        <w:t>grant</w:t>
      </w:r>
      <w:r>
        <w:rPr>
          <w:sz w:val="24"/>
        </w:rPr>
        <w:t xml:space="preserve">.  </w:t>
      </w:r>
    </w:p>
    <w:p w:rsidR="00525EC3" w:rsidRDefault="00525EC3" w:rsidP="004F292A">
      <w:pPr>
        <w:ind w:left="547" w:right="547"/>
        <w:rPr>
          <w:sz w:val="24"/>
        </w:rPr>
      </w:pPr>
    </w:p>
    <w:p w:rsidR="002F2CE7" w:rsidRDefault="002F2CE7" w:rsidP="002F2CE7">
      <w:pPr>
        <w:pStyle w:val="Heading1"/>
        <w:rPr>
          <w:rFonts w:ascii="Times New Roman" w:hAnsi="Times New Roman"/>
          <w:kern w:val="0"/>
          <w:sz w:val="24"/>
        </w:rPr>
      </w:pPr>
      <w:bookmarkStart w:id="14" w:name="_Toc249930425"/>
      <w:r w:rsidRPr="00EC0D55">
        <w:rPr>
          <w:rFonts w:ascii="Times New Roman" w:hAnsi="Times New Roman"/>
          <w:kern w:val="0"/>
          <w:sz w:val="24"/>
        </w:rPr>
        <w:t>13. Estimates of Other Total Annual Cost Burden to Respondents or Record Keepers.</w:t>
      </w:r>
      <w:bookmarkEnd w:id="14"/>
    </w:p>
    <w:p w:rsidR="002F2CE7" w:rsidRPr="002F2CE7" w:rsidRDefault="002F2CE7" w:rsidP="002F2CE7"/>
    <w:p w:rsidR="002F2CE7" w:rsidRPr="003A61A2" w:rsidRDefault="002F2CE7" w:rsidP="002F2C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A61A2">
        <w:rPr>
          <w:sz w:val="24"/>
        </w:rPr>
        <w:t>There are no capital/start-up or ongoing operation/maintenance costs associated with this information collection.</w:t>
      </w:r>
    </w:p>
    <w:p w:rsidR="00891249" w:rsidRPr="00EC0D55" w:rsidRDefault="00B9315E" w:rsidP="00EC0D55">
      <w:pPr>
        <w:pStyle w:val="Heading1"/>
        <w:rPr>
          <w:rFonts w:ascii="Times New Roman" w:hAnsi="Times New Roman"/>
          <w:kern w:val="0"/>
          <w:sz w:val="24"/>
        </w:rPr>
      </w:pPr>
      <w:bookmarkStart w:id="15" w:name="_Toc249930426"/>
      <w:r w:rsidRPr="00EC0D55">
        <w:rPr>
          <w:rFonts w:ascii="Times New Roman" w:hAnsi="Times New Roman"/>
          <w:kern w:val="0"/>
          <w:sz w:val="24"/>
        </w:rPr>
        <w:t xml:space="preserve">14. </w:t>
      </w:r>
      <w:r w:rsidR="00225F24" w:rsidRPr="00EC0D55">
        <w:rPr>
          <w:rFonts w:ascii="Times New Roman" w:hAnsi="Times New Roman"/>
          <w:kern w:val="0"/>
          <w:sz w:val="24"/>
        </w:rPr>
        <w:t>A</w:t>
      </w:r>
      <w:r w:rsidR="00891249" w:rsidRPr="00EC0D55">
        <w:rPr>
          <w:rFonts w:ascii="Times New Roman" w:hAnsi="Times New Roman"/>
          <w:kern w:val="0"/>
          <w:sz w:val="24"/>
        </w:rPr>
        <w:t xml:space="preserve">nnualized </w:t>
      </w:r>
      <w:r w:rsidR="00225F24" w:rsidRPr="00EC0D55">
        <w:rPr>
          <w:rFonts w:ascii="Times New Roman" w:hAnsi="Times New Roman"/>
          <w:kern w:val="0"/>
          <w:sz w:val="24"/>
        </w:rPr>
        <w:t>Cost</w:t>
      </w:r>
      <w:r w:rsidR="00891249" w:rsidRPr="00EC0D55">
        <w:rPr>
          <w:rFonts w:ascii="Times New Roman" w:hAnsi="Times New Roman"/>
          <w:kern w:val="0"/>
          <w:sz w:val="24"/>
        </w:rPr>
        <w:t xml:space="preserve"> to the Federal </w:t>
      </w:r>
      <w:r w:rsidR="00225F24" w:rsidRPr="00EC0D55">
        <w:rPr>
          <w:rFonts w:ascii="Times New Roman" w:hAnsi="Times New Roman"/>
          <w:kern w:val="0"/>
          <w:sz w:val="24"/>
        </w:rPr>
        <w:t>G</w:t>
      </w:r>
      <w:r w:rsidR="00891249" w:rsidRPr="00EC0D55">
        <w:rPr>
          <w:rFonts w:ascii="Times New Roman" w:hAnsi="Times New Roman"/>
          <w:kern w:val="0"/>
          <w:sz w:val="24"/>
        </w:rPr>
        <w:t>overnment</w:t>
      </w:r>
      <w:r w:rsidR="00225F24" w:rsidRPr="00EC0D55">
        <w:rPr>
          <w:rFonts w:ascii="Times New Roman" w:hAnsi="Times New Roman"/>
          <w:kern w:val="0"/>
          <w:sz w:val="24"/>
        </w:rPr>
        <w:t>.</w:t>
      </w:r>
      <w:bookmarkEnd w:id="15"/>
    </w:p>
    <w:p w:rsidR="00225F24" w:rsidRDefault="00225F24" w:rsidP="00225F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5F24" w:rsidRPr="001B2FC9" w:rsidRDefault="00B9315E" w:rsidP="00B9315E">
      <w:pPr>
        <w:widowControl w:val="0"/>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175DA5" w:rsidRPr="001B2FC9">
        <w:rPr>
          <w:sz w:val="24"/>
        </w:rPr>
        <w:t xml:space="preserve">Costs are estimated </w:t>
      </w:r>
      <w:r w:rsidR="00084B53" w:rsidRPr="001B2FC9">
        <w:rPr>
          <w:sz w:val="24"/>
        </w:rPr>
        <w:t>for</w:t>
      </w:r>
      <w:r w:rsidR="00175DA5" w:rsidRPr="001B2FC9">
        <w:rPr>
          <w:sz w:val="24"/>
        </w:rPr>
        <w:t xml:space="preserve"> two categories</w:t>
      </w:r>
      <w:r w:rsidR="0039060F" w:rsidRPr="001B2FC9">
        <w:rPr>
          <w:sz w:val="24"/>
        </w:rPr>
        <w:t>:</w:t>
      </w:r>
    </w:p>
    <w:p w:rsidR="00225F24" w:rsidRPr="00FE6309" w:rsidRDefault="00225F24" w:rsidP="00AF2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highlight w:val="yellow"/>
        </w:rPr>
      </w:pPr>
    </w:p>
    <w:p w:rsidR="000B45F0" w:rsidRDefault="00B9315E" w:rsidP="000B45F0">
      <w:pPr>
        <w:widowControl w:val="0"/>
        <w:numPr>
          <w:ilvl w:val="0"/>
          <w:numId w:val="14"/>
        </w:numPr>
        <w:tabs>
          <w:tab w:val="left" w:pos="-495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B2FC9">
        <w:rPr>
          <w:sz w:val="24"/>
        </w:rPr>
        <w:t>G</w:t>
      </w:r>
      <w:r w:rsidR="00E03CBF" w:rsidRPr="001B2FC9">
        <w:rPr>
          <w:sz w:val="24"/>
        </w:rPr>
        <w:t>rant costs are expected to total about $</w:t>
      </w:r>
      <w:r w:rsidR="00B86D2E">
        <w:rPr>
          <w:sz w:val="24"/>
        </w:rPr>
        <w:t>5</w:t>
      </w:r>
      <w:r w:rsidR="00E03CBF" w:rsidRPr="001B2FC9">
        <w:rPr>
          <w:sz w:val="24"/>
        </w:rPr>
        <w:t xml:space="preserve"> million</w:t>
      </w:r>
      <w:r w:rsidR="00084B53" w:rsidRPr="001B2FC9">
        <w:rPr>
          <w:sz w:val="24"/>
        </w:rPr>
        <w:t xml:space="preserve"> based on the assumption </w:t>
      </w:r>
      <w:r w:rsidR="00276587">
        <w:rPr>
          <w:sz w:val="24"/>
        </w:rPr>
        <w:t xml:space="preserve">that enough </w:t>
      </w:r>
      <w:r w:rsidR="00276587">
        <w:rPr>
          <w:sz w:val="24"/>
        </w:rPr>
        <w:lastRenderedPageBreak/>
        <w:t xml:space="preserve">qualified applications will be received to use all of the appropriated funding.  </w:t>
      </w:r>
      <w:r w:rsidR="004B3CEE" w:rsidRPr="001B2FC9">
        <w:rPr>
          <w:sz w:val="24"/>
        </w:rPr>
        <w:t>A</w:t>
      </w:r>
      <w:r w:rsidR="00084B53" w:rsidRPr="001B2FC9">
        <w:rPr>
          <w:sz w:val="24"/>
        </w:rPr>
        <w:t xml:space="preserve">ctual awards will </w:t>
      </w:r>
      <w:r w:rsidR="00E03CBF" w:rsidRPr="001B2FC9">
        <w:rPr>
          <w:sz w:val="24"/>
        </w:rPr>
        <w:t>depend on how many grants are funded on a competitive basis and the merits of the proposals received</w:t>
      </w:r>
      <w:r w:rsidR="004B3CEE" w:rsidRPr="001B2FC9">
        <w:rPr>
          <w:sz w:val="24"/>
        </w:rPr>
        <w:t xml:space="preserve">.  </w:t>
      </w:r>
    </w:p>
    <w:p w:rsidR="001B2FC9" w:rsidRPr="001B2FC9" w:rsidRDefault="001B2FC9" w:rsidP="001B2FC9">
      <w:pPr>
        <w:widowControl w:val="0"/>
        <w:tabs>
          <w:tab w:val="left" w:pos="-495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E03CBF" w:rsidRPr="00B22DF3" w:rsidRDefault="000B45F0" w:rsidP="00B9315E">
      <w:pPr>
        <w:widowControl w:val="0"/>
        <w:tabs>
          <w:tab w:val="left" w:pos="-495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630"/>
        <w:rPr>
          <w:sz w:val="24"/>
        </w:rPr>
      </w:pPr>
      <w:r w:rsidRPr="00B22DF3">
        <w:rPr>
          <w:sz w:val="24"/>
        </w:rPr>
        <w:t xml:space="preserve"> </w:t>
      </w:r>
      <w:r w:rsidR="00E03CBF" w:rsidRPr="00B22DF3">
        <w:rPr>
          <w:sz w:val="24"/>
        </w:rPr>
        <w:t xml:space="preserve"> </w:t>
      </w:r>
      <w:r w:rsidR="00AF24F7" w:rsidRPr="00B22DF3">
        <w:rPr>
          <w:sz w:val="24"/>
        </w:rPr>
        <w:t>(2)</w:t>
      </w:r>
      <w:r w:rsidR="00E03CBF" w:rsidRPr="00B22DF3">
        <w:rPr>
          <w:sz w:val="24"/>
        </w:rPr>
        <w:t xml:space="preserve"> </w:t>
      </w:r>
      <w:r w:rsidRPr="00B22DF3">
        <w:rPr>
          <w:sz w:val="24"/>
        </w:rPr>
        <w:t>F</w:t>
      </w:r>
      <w:r w:rsidR="00E03CBF" w:rsidRPr="00B22DF3">
        <w:rPr>
          <w:sz w:val="24"/>
        </w:rPr>
        <w:t>NS st</w:t>
      </w:r>
      <w:r w:rsidR="00175DA5" w:rsidRPr="00B22DF3">
        <w:rPr>
          <w:sz w:val="24"/>
        </w:rPr>
        <w:t>affing costs, which are identified below.</w:t>
      </w:r>
      <w:r w:rsidR="009760EF" w:rsidRPr="00B22DF3">
        <w:rPr>
          <w:sz w:val="24"/>
        </w:rPr>
        <w:t xml:space="preserve"> </w:t>
      </w:r>
    </w:p>
    <w:p w:rsidR="00A81E33" w:rsidRPr="00B22DF3" w:rsidRDefault="00A81E33" w:rsidP="00A81E33">
      <w:pPr>
        <w:rPr>
          <w:sz w:val="24"/>
        </w:rPr>
      </w:pPr>
    </w:p>
    <w:p w:rsidR="009F30D5" w:rsidRDefault="00994B7E" w:rsidP="009F30D5">
      <w:pPr>
        <w:ind w:left="450"/>
        <w:rPr>
          <w:sz w:val="24"/>
          <w:szCs w:val="24"/>
        </w:rPr>
      </w:pPr>
      <w:r w:rsidRPr="007E0611">
        <w:rPr>
          <w:sz w:val="24"/>
          <w:szCs w:val="24"/>
        </w:rPr>
        <w:t xml:space="preserve">The processing and reviewing of the applications is estimated to cost $41,692.80.  The estimate assumes an hourly cost per staff person of $51.60 per hour (the average salary for GS-13 grade level including overhead and benefits) and assumes that 50 applications will be received.  It is estimated that a total of 808 hours including 11 hours of labor to process </w:t>
      </w:r>
      <w:r w:rsidRPr="007E0611">
        <w:rPr>
          <w:i/>
          <w:iCs/>
          <w:sz w:val="24"/>
          <w:szCs w:val="24"/>
        </w:rPr>
        <w:t xml:space="preserve">each </w:t>
      </w:r>
      <w:r w:rsidRPr="007E0611">
        <w:rPr>
          <w:sz w:val="24"/>
          <w:szCs w:val="24"/>
        </w:rPr>
        <w:t>application package will be needed. This labor estimate also includes 250 hours total by 10 FNS staff to conduct a thorough technical review of each application and 8</w:t>
      </w:r>
      <w:r w:rsidR="009F30D5">
        <w:rPr>
          <w:sz w:val="24"/>
          <w:szCs w:val="24"/>
        </w:rPr>
        <w:t xml:space="preserve"> hours by the panel chairperson to document the technical reviews and prepare the recommendations for award. Costs other than salary costs are negligible.</w:t>
      </w:r>
    </w:p>
    <w:p w:rsidR="009F30D5" w:rsidRDefault="009F30D5" w:rsidP="009F30D5">
      <w:pPr>
        <w:rPr>
          <w:color w:val="0000FF"/>
          <w:sz w:val="24"/>
          <w:szCs w:val="24"/>
        </w:rPr>
      </w:pPr>
    </w:p>
    <w:p w:rsidR="00A81E33" w:rsidRPr="00B22DF3" w:rsidRDefault="00A81E33" w:rsidP="00225F24">
      <w:pPr>
        <w:ind w:left="540" w:hanging="540"/>
        <w:rPr>
          <w:sz w:val="24"/>
        </w:rPr>
      </w:pPr>
    </w:p>
    <w:tbl>
      <w:tblPr>
        <w:tblW w:w="0" w:type="auto"/>
        <w:tblInd w:w="2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2"/>
        <w:gridCol w:w="1716"/>
      </w:tblGrid>
      <w:tr w:rsidR="00225F24" w:rsidRPr="00D86029">
        <w:trPr>
          <w:trHeight w:val="377"/>
        </w:trPr>
        <w:tc>
          <w:tcPr>
            <w:tcW w:w="3072" w:type="dxa"/>
          </w:tcPr>
          <w:p w:rsidR="00225F24" w:rsidRPr="00B22DF3" w:rsidRDefault="00225F24" w:rsidP="00D860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22DF3">
              <w:rPr>
                <w:b/>
                <w:sz w:val="24"/>
                <w:szCs w:val="24"/>
              </w:rPr>
              <w:t>Total hours:</w:t>
            </w:r>
          </w:p>
        </w:tc>
        <w:tc>
          <w:tcPr>
            <w:tcW w:w="1716" w:type="dxa"/>
          </w:tcPr>
          <w:p w:rsidR="00225F24" w:rsidRPr="00D86029" w:rsidRDefault="00225F24" w:rsidP="00BF1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22DF3">
              <w:rPr>
                <w:b/>
                <w:sz w:val="24"/>
                <w:szCs w:val="24"/>
              </w:rPr>
              <w:t xml:space="preserve">  </w:t>
            </w:r>
            <w:r w:rsidR="003C2C1C">
              <w:rPr>
                <w:b/>
                <w:sz w:val="24"/>
                <w:szCs w:val="24"/>
              </w:rPr>
              <w:t>808</w:t>
            </w:r>
            <w:r w:rsidR="00BF152C" w:rsidRPr="00B22DF3">
              <w:rPr>
                <w:b/>
                <w:sz w:val="24"/>
                <w:szCs w:val="24"/>
              </w:rPr>
              <w:t xml:space="preserve"> </w:t>
            </w:r>
            <w:r w:rsidRPr="00B22DF3">
              <w:rPr>
                <w:b/>
                <w:sz w:val="24"/>
                <w:szCs w:val="24"/>
              </w:rPr>
              <w:t>hours</w:t>
            </w:r>
            <w:r w:rsidRPr="00D86029">
              <w:rPr>
                <w:b/>
                <w:sz w:val="24"/>
                <w:szCs w:val="24"/>
              </w:rPr>
              <w:t xml:space="preserve">                </w:t>
            </w:r>
          </w:p>
        </w:tc>
      </w:tr>
      <w:tr w:rsidR="00225F24" w:rsidRPr="00D86029">
        <w:tc>
          <w:tcPr>
            <w:tcW w:w="3072" w:type="dxa"/>
          </w:tcPr>
          <w:p w:rsidR="00225F24" w:rsidRPr="00D86029" w:rsidRDefault="00225F24" w:rsidP="00D860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86029">
              <w:rPr>
                <w:b/>
                <w:sz w:val="24"/>
                <w:szCs w:val="24"/>
              </w:rPr>
              <w:t>Total Annualized Cost to the Federal Government:</w:t>
            </w:r>
          </w:p>
        </w:tc>
        <w:tc>
          <w:tcPr>
            <w:tcW w:w="1716" w:type="dxa"/>
          </w:tcPr>
          <w:p w:rsidR="00C01D0F" w:rsidRDefault="00225F24" w:rsidP="00D860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86029">
              <w:rPr>
                <w:b/>
                <w:sz w:val="24"/>
                <w:szCs w:val="24"/>
              </w:rPr>
              <w:t xml:space="preserve"> </w:t>
            </w:r>
          </w:p>
          <w:p w:rsidR="00225F24" w:rsidRPr="00D86029" w:rsidRDefault="00C01D0F" w:rsidP="00BF15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 xml:space="preserve">  </w:t>
            </w:r>
            <w:r w:rsidR="00225F24" w:rsidRPr="00D86029">
              <w:rPr>
                <w:b/>
                <w:sz w:val="24"/>
                <w:szCs w:val="24"/>
              </w:rPr>
              <w:t>$</w:t>
            </w:r>
            <w:r w:rsidR="003C2C1C">
              <w:rPr>
                <w:b/>
                <w:sz w:val="24"/>
                <w:szCs w:val="24"/>
              </w:rPr>
              <w:t>41,692.80</w:t>
            </w:r>
          </w:p>
        </w:tc>
      </w:tr>
    </w:tbl>
    <w:p w:rsidR="00891249" w:rsidRDefault="00891249" w:rsidP="008912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E0D9A" w:rsidRPr="00EC0D55" w:rsidRDefault="002E0D9A" w:rsidP="00EC0D55">
      <w:pPr>
        <w:pStyle w:val="Heading1"/>
        <w:rPr>
          <w:rFonts w:ascii="Times New Roman" w:hAnsi="Times New Roman"/>
          <w:kern w:val="0"/>
          <w:sz w:val="24"/>
        </w:rPr>
      </w:pPr>
      <w:bookmarkStart w:id="16" w:name="_Toc249930427"/>
      <w:r w:rsidRPr="00EC0D55">
        <w:rPr>
          <w:rFonts w:ascii="Times New Roman" w:hAnsi="Times New Roman"/>
          <w:kern w:val="0"/>
          <w:sz w:val="24"/>
        </w:rPr>
        <w:t>1</w:t>
      </w:r>
      <w:r w:rsidR="00B9315E" w:rsidRPr="00EC0D55">
        <w:rPr>
          <w:rFonts w:ascii="Times New Roman" w:hAnsi="Times New Roman"/>
          <w:kern w:val="0"/>
          <w:sz w:val="24"/>
        </w:rPr>
        <w:t>5</w:t>
      </w:r>
      <w:r w:rsidRPr="00EC0D55">
        <w:rPr>
          <w:rFonts w:ascii="Times New Roman" w:hAnsi="Times New Roman"/>
          <w:kern w:val="0"/>
          <w:sz w:val="24"/>
        </w:rPr>
        <w:t xml:space="preserve">. </w:t>
      </w:r>
      <w:r w:rsidR="00B9315E" w:rsidRPr="00EC0D55">
        <w:rPr>
          <w:rFonts w:ascii="Times New Roman" w:hAnsi="Times New Roman"/>
          <w:kern w:val="0"/>
          <w:sz w:val="24"/>
        </w:rPr>
        <w:t xml:space="preserve"> Explanation for Program Changes or Adjustments</w:t>
      </w:r>
      <w:bookmarkEnd w:id="16"/>
      <w:r w:rsidR="00B6044A">
        <w:rPr>
          <w:rFonts w:ascii="Times New Roman" w:hAnsi="Times New Roman"/>
          <w:kern w:val="0"/>
          <w:sz w:val="24"/>
        </w:rPr>
        <w:t>.</w:t>
      </w:r>
      <w:r w:rsidR="00737EE7" w:rsidRPr="00EC0D55">
        <w:rPr>
          <w:rFonts w:ascii="Times New Roman" w:hAnsi="Times New Roman"/>
          <w:kern w:val="0"/>
          <w:sz w:val="24"/>
        </w:rPr>
        <w:br/>
      </w:r>
    </w:p>
    <w:p w:rsidR="00C54ED7" w:rsidRPr="00C54ED7" w:rsidRDefault="00C54ED7" w:rsidP="00C54ED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sz w:val="24"/>
        </w:rPr>
      </w:pPr>
      <w:r>
        <w:rPr>
          <w:b/>
          <w:sz w:val="24"/>
        </w:rPr>
        <w:tab/>
      </w:r>
      <w:r w:rsidRPr="00C54ED7">
        <w:rPr>
          <w:sz w:val="24"/>
        </w:rPr>
        <w:t xml:space="preserve">There are no changes of the information collection since the last OMB approval. </w:t>
      </w:r>
    </w:p>
    <w:p w:rsidR="00EE76FC" w:rsidRDefault="00797C54" w:rsidP="00C54ED7">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rPr>
      </w:pPr>
      <w:r>
        <w:rPr>
          <w:sz w:val="24"/>
        </w:rPr>
        <w:tab/>
      </w:r>
    </w:p>
    <w:p w:rsidR="002E0D9A" w:rsidRPr="00EC0D55" w:rsidRDefault="002E0D9A" w:rsidP="00EC0D55">
      <w:pPr>
        <w:pStyle w:val="Heading1"/>
        <w:rPr>
          <w:rFonts w:ascii="Times New Roman" w:hAnsi="Times New Roman"/>
          <w:kern w:val="0"/>
          <w:sz w:val="24"/>
        </w:rPr>
      </w:pPr>
      <w:bookmarkStart w:id="17" w:name="_Toc249930428"/>
      <w:r w:rsidRPr="00EC0D55">
        <w:rPr>
          <w:rFonts w:ascii="Times New Roman" w:hAnsi="Times New Roman"/>
          <w:kern w:val="0"/>
          <w:sz w:val="24"/>
        </w:rPr>
        <w:t>1</w:t>
      </w:r>
      <w:r w:rsidR="00C54ED7" w:rsidRPr="00EC0D55">
        <w:rPr>
          <w:rFonts w:ascii="Times New Roman" w:hAnsi="Times New Roman"/>
          <w:kern w:val="0"/>
          <w:sz w:val="24"/>
        </w:rPr>
        <w:t xml:space="preserve">6.  Plans for Tabulation and </w:t>
      </w:r>
      <w:r w:rsidRPr="00EC0D55">
        <w:rPr>
          <w:rFonts w:ascii="Times New Roman" w:hAnsi="Times New Roman"/>
          <w:kern w:val="0"/>
          <w:sz w:val="24"/>
        </w:rPr>
        <w:t>Publication</w:t>
      </w:r>
      <w:r w:rsidR="003435CA" w:rsidRPr="00EC0D55">
        <w:rPr>
          <w:rFonts w:ascii="Times New Roman" w:hAnsi="Times New Roman"/>
          <w:kern w:val="0"/>
          <w:sz w:val="24"/>
        </w:rPr>
        <w:t xml:space="preserve"> and Project Time Schedule.</w:t>
      </w:r>
      <w:bookmarkEnd w:id="17"/>
    </w:p>
    <w:p w:rsidR="00737EE7" w:rsidRDefault="00737EE7" w:rsidP="002E0D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4F292A" w:rsidRDefault="00637856" w:rsidP="004F29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FNS will publicize summary information of the applicants that receive grant funding</w:t>
      </w:r>
      <w:r w:rsidR="004F292A">
        <w:rPr>
          <w:sz w:val="24"/>
        </w:rPr>
        <w:t xml:space="preserve"> </w:t>
      </w:r>
      <w:r w:rsidR="00B6044A">
        <w:rPr>
          <w:sz w:val="24"/>
        </w:rPr>
        <w:t>on the FNS website.</w:t>
      </w:r>
    </w:p>
    <w:p w:rsidR="002E0D9A" w:rsidRPr="00EC0D55" w:rsidRDefault="002E0D9A" w:rsidP="00EC0D55">
      <w:pPr>
        <w:pStyle w:val="Heading1"/>
        <w:rPr>
          <w:rFonts w:ascii="Times New Roman" w:hAnsi="Times New Roman"/>
          <w:kern w:val="0"/>
          <w:sz w:val="24"/>
        </w:rPr>
      </w:pPr>
      <w:bookmarkStart w:id="18" w:name="_Toc249930429"/>
      <w:r w:rsidRPr="00EC0D55">
        <w:rPr>
          <w:rFonts w:ascii="Times New Roman" w:hAnsi="Times New Roman"/>
          <w:kern w:val="0"/>
          <w:sz w:val="24"/>
        </w:rPr>
        <w:t>1</w:t>
      </w:r>
      <w:r w:rsidR="003435CA" w:rsidRPr="00EC0D55">
        <w:rPr>
          <w:rFonts w:ascii="Times New Roman" w:hAnsi="Times New Roman"/>
          <w:kern w:val="0"/>
          <w:sz w:val="24"/>
        </w:rPr>
        <w:t>7</w:t>
      </w:r>
      <w:r w:rsidRPr="00EC0D55">
        <w:rPr>
          <w:rFonts w:ascii="Times New Roman" w:hAnsi="Times New Roman"/>
          <w:kern w:val="0"/>
          <w:sz w:val="24"/>
        </w:rPr>
        <w:t xml:space="preserve">. </w:t>
      </w:r>
      <w:r w:rsidR="003435CA" w:rsidRPr="00EC0D55">
        <w:rPr>
          <w:rFonts w:ascii="Times New Roman" w:hAnsi="Times New Roman"/>
          <w:kern w:val="0"/>
          <w:sz w:val="24"/>
        </w:rPr>
        <w:t xml:space="preserve">Reason(s) </w:t>
      </w:r>
      <w:r w:rsidRPr="00EC0D55">
        <w:rPr>
          <w:rFonts w:ascii="Times New Roman" w:hAnsi="Times New Roman"/>
          <w:kern w:val="0"/>
          <w:sz w:val="24"/>
        </w:rPr>
        <w:t xml:space="preserve">Display of </w:t>
      </w:r>
      <w:r w:rsidR="003435CA" w:rsidRPr="00EC0D55">
        <w:rPr>
          <w:rFonts w:ascii="Times New Roman" w:hAnsi="Times New Roman"/>
          <w:kern w:val="0"/>
          <w:sz w:val="24"/>
        </w:rPr>
        <w:t xml:space="preserve">OMB </w:t>
      </w:r>
      <w:r w:rsidRPr="00EC0D55">
        <w:rPr>
          <w:rFonts w:ascii="Times New Roman" w:hAnsi="Times New Roman"/>
          <w:kern w:val="0"/>
          <w:sz w:val="24"/>
        </w:rPr>
        <w:t>Expiration Date</w:t>
      </w:r>
      <w:r w:rsidR="003435CA" w:rsidRPr="00EC0D55">
        <w:rPr>
          <w:rFonts w:ascii="Times New Roman" w:hAnsi="Times New Roman"/>
          <w:kern w:val="0"/>
          <w:sz w:val="24"/>
        </w:rPr>
        <w:t xml:space="preserve"> Is Inappropriate.</w:t>
      </w:r>
      <w:bookmarkEnd w:id="18"/>
      <w:r w:rsidR="003435CA" w:rsidRPr="00EC0D55">
        <w:rPr>
          <w:rFonts w:ascii="Times New Roman" w:hAnsi="Times New Roman"/>
          <w:kern w:val="0"/>
          <w:sz w:val="24"/>
        </w:rPr>
        <w:t xml:space="preserve"> </w:t>
      </w:r>
    </w:p>
    <w:p w:rsidR="00737EE7" w:rsidRDefault="00737EE7" w:rsidP="002E0D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rPr>
      </w:pPr>
    </w:p>
    <w:p w:rsidR="002E0D9A" w:rsidRPr="00C01D0F" w:rsidRDefault="00A10B6D" w:rsidP="004F29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C01D0F">
        <w:rPr>
          <w:sz w:val="24"/>
          <w:szCs w:val="24"/>
        </w:rPr>
        <w:t>The agency plans to display the expiration date for OMB approval of the information collection on all instruments.</w:t>
      </w:r>
    </w:p>
    <w:p w:rsidR="00CE1A22" w:rsidRDefault="00CE1A22" w:rsidP="002E0D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737EE7" w:rsidRPr="00EC0D55" w:rsidRDefault="002E0D9A" w:rsidP="00EC0D55">
      <w:pPr>
        <w:pStyle w:val="Heading1"/>
        <w:rPr>
          <w:rFonts w:ascii="Times New Roman" w:hAnsi="Times New Roman"/>
          <w:kern w:val="0"/>
          <w:sz w:val="24"/>
        </w:rPr>
      </w:pPr>
      <w:bookmarkStart w:id="19" w:name="_Toc249930430"/>
      <w:r w:rsidRPr="00EC0D55">
        <w:rPr>
          <w:rFonts w:ascii="Times New Roman" w:hAnsi="Times New Roman"/>
          <w:kern w:val="0"/>
          <w:sz w:val="24"/>
        </w:rPr>
        <w:t>1</w:t>
      </w:r>
      <w:r w:rsidR="003435CA" w:rsidRPr="00EC0D55">
        <w:rPr>
          <w:rFonts w:ascii="Times New Roman" w:hAnsi="Times New Roman"/>
          <w:kern w:val="0"/>
          <w:sz w:val="24"/>
        </w:rPr>
        <w:t>8.</w:t>
      </w:r>
      <w:r w:rsidRPr="00EC0D55">
        <w:rPr>
          <w:rFonts w:ascii="Times New Roman" w:hAnsi="Times New Roman"/>
          <w:kern w:val="0"/>
          <w:sz w:val="24"/>
        </w:rPr>
        <w:t xml:space="preserve"> Exception to Certification </w:t>
      </w:r>
      <w:r w:rsidR="003435CA" w:rsidRPr="00EC0D55">
        <w:rPr>
          <w:rFonts w:ascii="Times New Roman" w:hAnsi="Times New Roman"/>
          <w:kern w:val="0"/>
          <w:sz w:val="24"/>
        </w:rPr>
        <w:t>for paperwork Reduction Act Submissions.</w:t>
      </w:r>
      <w:bookmarkEnd w:id="19"/>
    </w:p>
    <w:p w:rsidR="003435CA" w:rsidRDefault="003435CA" w:rsidP="002E0D9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rPr>
      </w:pPr>
    </w:p>
    <w:p w:rsidR="00552EFC" w:rsidRPr="00C01D0F" w:rsidRDefault="009760EF" w:rsidP="00A000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rPr>
        <w:t xml:space="preserve">      </w:t>
      </w:r>
      <w:r w:rsidR="00A10B6D" w:rsidRPr="00A10B6D">
        <w:rPr>
          <w:sz w:val="24"/>
          <w:szCs w:val="24"/>
        </w:rPr>
        <w:t>There are no exceptions to the certification statement</w:t>
      </w:r>
      <w:r w:rsidR="00E111C3">
        <w:rPr>
          <w:sz w:val="24"/>
          <w:szCs w:val="24"/>
        </w:rPr>
        <w:t>.</w:t>
      </w:r>
    </w:p>
    <w:sectPr w:rsidR="00552EFC" w:rsidRPr="00C01D0F" w:rsidSect="002472E2">
      <w:footerReference w:type="even"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148" w:rsidRDefault="00156148">
      <w:r>
        <w:separator/>
      </w:r>
    </w:p>
  </w:endnote>
  <w:endnote w:type="continuationSeparator" w:id="0">
    <w:p w:rsidR="00156148" w:rsidRDefault="00156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FD" w:rsidRDefault="000D1582" w:rsidP="00464C2E">
    <w:pPr>
      <w:pStyle w:val="Footer"/>
      <w:framePr w:wrap="around" w:vAnchor="text" w:hAnchor="margin" w:xAlign="center" w:y="1"/>
      <w:rPr>
        <w:rStyle w:val="PageNumber"/>
      </w:rPr>
    </w:pPr>
    <w:r>
      <w:rPr>
        <w:rStyle w:val="PageNumber"/>
      </w:rPr>
      <w:fldChar w:fldCharType="begin"/>
    </w:r>
    <w:r w:rsidR="003167FD">
      <w:rPr>
        <w:rStyle w:val="PageNumber"/>
      </w:rPr>
      <w:instrText xml:space="preserve">PAGE  </w:instrText>
    </w:r>
    <w:r>
      <w:rPr>
        <w:rStyle w:val="PageNumber"/>
      </w:rPr>
      <w:fldChar w:fldCharType="end"/>
    </w:r>
  </w:p>
  <w:p w:rsidR="003167FD" w:rsidRDefault="003167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FD" w:rsidRDefault="000D1582" w:rsidP="00464C2E">
    <w:pPr>
      <w:pStyle w:val="Footer"/>
      <w:framePr w:wrap="around" w:vAnchor="text" w:hAnchor="margin" w:xAlign="center" w:y="1"/>
      <w:rPr>
        <w:rStyle w:val="PageNumber"/>
      </w:rPr>
    </w:pPr>
    <w:r>
      <w:rPr>
        <w:rStyle w:val="PageNumber"/>
      </w:rPr>
      <w:fldChar w:fldCharType="begin"/>
    </w:r>
    <w:r w:rsidR="003167FD">
      <w:rPr>
        <w:rStyle w:val="PageNumber"/>
      </w:rPr>
      <w:instrText xml:space="preserve">PAGE  </w:instrText>
    </w:r>
    <w:r>
      <w:rPr>
        <w:rStyle w:val="PageNumber"/>
      </w:rPr>
      <w:fldChar w:fldCharType="separate"/>
    </w:r>
    <w:r w:rsidR="00337FC9">
      <w:rPr>
        <w:rStyle w:val="PageNumber"/>
        <w:noProof/>
      </w:rPr>
      <w:t>2</w:t>
    </w:r>
    <w:r>
      <w:rPr>
        <w:rStyle w:val="PageNumber"/>
      </w:rPr>
      <w:fldChar w:fldCharType="end"/>
    </w:r>
  </w:p>
  <w:p w:rsidR="003167FD" w:rsidRDefault="003167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FD" w:rsidRDefault="000D1582">
    <w:pPr>
      <w:pStyle w:val="Footer"/>
      <w:jc w:val="center"/>
    </w:pPr>
    <w:fldSimple w:instr=" PAGE   \* MERGEFORMAT ">
      <w:r w:rsidR="00337FC9">
        <w:rPr>
          <w:noProof/>
        </w:rPr>
        <w:t>1</w:t>
      </w:r>
    </w:fldSimple>
  </w:p>
  <w:p w:rsidR="003167FD" w:rsidRDefault="00316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148" w:rsidRDefault="00156148">
      <w:r>
        <w:separator/>
      </w:r>
    </w:p>
  </w:footnote>
  <w:footnote w:type="continuationSeparator" w:id="0">
    <w:p w:rsidR="00156148" w:rsidRDefault="00156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DBA"/>
    <w:multiLevelType w:val="hybridMultilevel"/>
    <w:tmpl w:val="AE5CA59C"/>
    <w:lvl w:ilvl="0" w:tplc="D1E24E4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93D1604"/>
    <w:multiLevelType w:val="hybridMultilevel"/>
    <w:tmpl w:val="75A6D2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DAE5C21"/>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A565CD3"/>
    <w:multiLevelType w:val="hybridMultilevel"/>
    <w:tmpl w:val="B64E84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2B5356"/>
    <w:multiLevelType w:val="hybridMultilevel"/>
    <w:tmpl w:val="80888702"/>
    <w:lvl w:ilvl="0" w:tplc="B900B5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567B6C57"/>
    <w:multiLevelType w:val="hybridMultilevel"/>
    <w:tmpl w:val="149AC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7A0786"/>
    <w:multiLevelType w:val="hybridMultilevel"/>
    <w:tmpl w:val="B67A16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DAA155C"/>
    <w:multiLevelType w:val="hybridMultilevel"/>
    <w:tmpl w:val="5B9CCF7E"/>
    <w:lvl w:ilvl="0" w:tplc="FFFFFFFF">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nsid w:val="5E314A27"/>
    <w:multiLevelType w:val="hybridMultilevel"/>
    <w:tmpl w:val="18CEDDAC"/>
    <w:lvl w:ilvl="0" w:tplc="B900B5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nsid w:val="65A82BF4"/>
    <w:multiLevelType w:val="hybridMultilevel"/>
    <w:tmpl w:val="FB38544C"/>
    <w:lvl w:ilvl="0" w:tplc="6964B8BA">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09729E"/>
    <w:multiLevelType w:val="hybridMultilevel"/>
    <w:tmpl w:val="8C7AC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385179"/>
    <w:multiLevelType w:val="multilevel"/>
    <w:tmpl w:val="18CEDDA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11"/>
  </w:num>
  <w:num w:numId="7">
    <w:abstractNumId w:val="6"/>
  </w:num>
  <w:num w:numId="8">
    <w:abstractNumId w:val="10"/>
  </w:num>
  <w:num w:numId="9">
    <w:abstractNumId w:val="13"/>
  </w:num>
  <w:num w:numId="10">
    <w:abstractNumId w:val="9"/>
  </w:num>
  <w:num w:numId="11">
    <w:abstractNumId w:val="7"/>
  </w:num>
  <w:num w:numId="12">
    <w:abstractNumId w:val="2"/>
  </w:num>
  <w:num w:numId="13">
    <w:abstractNumId w:val="0"/>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C43E02"/>
    <w:rsid w:val="00006C9D"/>
    <w:rsid w:val="00010AA1"/>
    <w:rsid w:val="0001138A"/>
    <w:rsid w:val="00013F22"/>
    <w:rsid w:val="00032DFF"/>
    <w:rsid w:val="00033107"/>
    <w:rsid w:val="00034537"/>
    <w:rsid w:val="000371E7"/>
    <w:rsid w:val="00046B53"/>
    <w:rsid w:val="00052F89"/>
    <w:rsid w:val="000622E4"/>
    <w:rsid w:val="0006266C"/>
    <w:rsid w:val="00063076"/>
    <w:rsid w:val="00064758"/>
    <w:rsid w:val="00064D49"/>
    <w:rsid w:val="0006596E"/>
    <w:rsid w:val="00067945"/>
    <w:rsid w:val="0007442C"/>
    <w:rsid w:val="00076B12"/>
    <w:rsid w:val="00080BB4"/>
    <w:rsid w:val="0008123A"/>
    <w:rsid w:val="00084B53"/>
    <w:rsid w:val="0009793F"/>
    <w:rsid w:val="000A25D0"/>
    <w:rsid w:val="000B08DA"/>
    <w:rsid w:val="000B45F0"/>
    <w:rsid w:val="000D1582"/>
    <w:rsid w:val="000D3E28"/>
    <w:rsid w:val="000D77A9"/>
    <w:rsid w:val="000E31EF"/>
    <w:rsid w:val="000E565E"/>
    <w:rsid w:val="000F058B"/>
    <w:rsid w:val="00101AD7"/>
    <w:rsid w:val="00107F78"/>
    <w:rsid w:val="00114F84"/>
    <w:rsid w:val="00115F2C"/>
    <w:rsid w:val="001268CB"/>
    <w:rsid w:val="00131696"/>
    <w:rsid w:val="00141C08"/>
    <w:rsid w:val="001509FD"/>
    <w:rsid w:val="00150BCF"/>
    <w:rsid w:val="00156148"/>
    <w:rsid w:val="0015797A"/>
    <w:rsid w:val="00163F2B"/>
    <w:rsid w:val="0016564D"/>
    <w:rsid w:val="001670D8"/>
    <w:rsid w:val="00170AA8"/>
    <w:rsid w:val="00172A84"/>
    <w:rsid w:val="001732B1"/>
    <w:rsid w:val="00175DA5"/>
    <w:rsid w:val="0017670A"/>
    <w:rsid w:val="00197E03"/>
    <w:rsid w:val="001A5332"/>
    <w:rsid w:val="001B17F9"/>
    <w:rsid w:val="001B2FC9"/>
    <w:rsid w:val="001C55C3"/>
    <w:rsid w:val="001D51A5"/>
    <w:rsid w:val="001E1B7C"/>
    <w:rsid w:val="001F2B65"/>
    <w:rsid w:val="00206083"/>
    <w:rsid w:val="0022433E"/>
    <w:rsid w:val="00225F24"/>
    <w:rsid w:val="0022606B"/>
    <w:rsid w:val="00235152"/>
    <w:rsid w:val="002360A0"/>
    <w:rsid w:val="0024116B"/>
    <w:rsid w:val="002441C1"/>
    <w:rsid w:val="00244608"/>
    <w:rsid w:val="002472E2"/>
    <w:rsid w:val="0025560F"/>
    <w:rsid w:val="00255A5D"/>
    <w:rsid w:val="00276587"/>
    <w:rsid w:val="00284F36"/>
    <w:rsid w:val="00286034"/>
    <w:rsid w:val="00290C77"/>
    <w:rsid w:val="002963BF"/>
    <w:rsid w:val="002A283B"/>
    <w:rsid w:val="002B3733"/>
    <w:rsid w:val="002B7B1D"/>
    <w:rsid w:val="002C05F7"/>
    <w:rsid w:val="002D1172"/>
    <w:rsid w:val="002D6A0F"/>
    <w:rsid w:val="002D7351"/>
    <w:rsid w:val="002D7BFA"/>
    <w:rsid w:val="002E0D9A"/>
    <w:rsid w:val="002F2CE7"/>
    <w:rsid w:val="002F2F3E"/>
    <w:rsid w:val="002F4C98"/>
    <w:rsid w:val="00312273"/>
    <w:rsid w:val="00315125"/>
    <w:rsid w:val="003167FD"/>
    <w:rsid w:val="00332E1F"/>
    <w:rsid w:val="00337FC9"/>
    <w:rsid w:val="003435CA"/>
    <w:rsid w:val="00345D70"/>
    <w:rsid w:val="00347EAE"/>
    <w:rsid w:val="00350A4E"/>
    <w:rsid w:val="00356BC2"/>
    <w:rsid w:val="00357DAC"/>
    <w:rsid w:val="003728B1"/>
    <w:rsid w:val="003737F5"/>
    <w:rsid w:val="00377623"/>
    <w:rsid w:val="00390003"/>
    <w:rsid w:val="0039060F"/>
    <w:rsid w:val="003A7085"/>
    <w:rsid w:val="003B4BFE"/>
    <w:rsid w:val="003C2C1C"/>
    <w:rsid w:val="003D0275"/>
    <w:rsid w:val="003D7450"/>
    <w:rsid w:val="003E075F"/>
    <w:rsid w:val="003E7839"/>
    <w:rsid w:val="003F0E3D"/>
    <w:rsid w:val="004228AE"/>
    <w:rsid w:val="00425204"/>
    <w:rsid w:val="00427F62"/>
    <w:rsid w:val="0043278F"/>
    <w:rsid w:val="004447D8"/>
    <w:rsid w:val="0045414E"/>
    <w:rsid w:val="004606C3"/>
    <w:rsid w:val="00464C2E"/>
    <w:rsid w:val="0047075A"/>
    <w:rsid w:val="004707A1"/>
    <w:rsid w:val="00470C4A"/>
    <w:rsid w:val="00475E66"/>
    <w:rsid w:val="004772B6"/>
    <w:rsid w:val="004805B2"/>
    <w:rsid w:val="0048159B"/>
    <w:rsid w:val="00487948"/>
    <w:rsid w:val="00495ED4"/>
    <w:rsid w:val="004B3CEE"/>
    <w:rsid w:val="004D7E17"/>
    <w:rsid w:val="004E3509"/>
    <w:rsid w:val="004E391E"/>
    <w:rsid w:val="004E6051"/>
    <w:rsid w:val="004E76DE"/>
    <w:rsid w:val="004F002C"/>
    <w:rsid w:val="004F0A81"/>
    <w:rsid w:val="004F292A"/>
    <w:rsid w:val="004F5511"/>
    <w:rsid w:val="00500D2D"/>
    <w:rsid w:val="00501506"/>
    <w:rsid w:val="0050352A"/>
    <w:rsid w:val="005126CC"/>
    <w:rsid w:val="00512DDA"/>
    <w:rsid w:val="005138A9"/>
    <w:rsid w:val="00520150"/>
    <w:rsid w:val="0052286C"/>
    <w:rsid w:val="005229FC"/>
    <w:rsid w:val="00523538"/>
    <w:rsid w:val="005249CE"/>
    <w:rsid w:val="00524C17"/>
    <w:rsid w:val="00525C25"/>
    <w:rsid w:val="00525EC3"/>
    <w:rsid w:val="0053078A"/>
    <w:rsid w:val="00530809"/>
    <w:rsid w:val="005327F5"/>
    <w:rsid w:val="00534333"/>
    <w:rsid w:val="00552258"/>
    <w:rsid w:val="00552EFC"/>
    <w:rsid w:val="0055577A"/>
    <w:rsid w:val="00561BB1"/>
    <w:rsid w:val="00564777"/>
    <w:rsid w:val="00572785"/>
    <w:rsid w:val="00575D47"/>
    <w:rsid w:val="00591521"/>
    <w:rsid w:val="00595D7B"/>
    <w:rsid w:val="005A1168"/>
    <w:rsid w:val="005A3F88"/>
    <w:rsid w:val="005E0D45"/>
    <w:rsid w:val="005E33AB"/>
    <w:rsid w:val="005E73F7"/>
    <w:rsid w:val="005F4FB6"/>
    <w:rsid w:val="005F6628"/>
    <w:rsid w:val="006021F0"/>
    <w:rsid w:val="00602FCE"/>
    <w:rsid w:val="00616868"/>
    <w:rsid w:val="00616B7C"/>
    <w:rsid w:val="00637856"/>
    <w:rsid w:val="00647D1E"/>
    <w:rsid w:val="006623EC"/>
    <w:rsid w:val="006665EF"/>
    <w:rsid w:val="00671077"/>
    <w:rsid w:val="006742D3"/>
    <w:rsid w:val="006743E1"/>
    <w:rsid w:val="006750FA"/>
    <w:rsid w:val="006937FD"/>
    <w:rsid w:val="006A09A2"/>
    <w:rsid w:val="006A4EA8"/>
    <w:rsid w:val="006B17EA"/>
    <w:rsid w:val="006C35D9"/>
    <w:rsid w:val="006D6E9C"/>
    <w:rsid w:val="006D7008"/>
    <w:rsid w:val="00721F03"/>
    <w:rsid w:val="0072463E"/>
    <w:rsid w:val="00735FA3"/>
    <w:rsid w:val="00737EE7"/>
    <w:rsid w:val="00741793"/>
    <w:rsid w:val="00762CE9"/>
    <w:rsid w:val="007643C3"/>
    <w:rsid w:val="00765848"/>
    <w:rsid w:val="007738CA"/>
    <w:rsid w:val="00787A93"/>
    <w:rsid w:val="00792D8F"/>
    <w:rsid w:val="00797C54"/>
    <w:rsid w:val="007A233C"/>
    <w:rsid w:val="007A42E6"/>
    <w:rsid w:val="007B042C"/>
    <w:rsid w:val="007B4980"/>
    <w:rsid w:val="007B5ADD"/>
    <w:rsid w:val="007C385F"/>
    <w:rsid w:val="007C7313"/>
    <w:rsid w:val="007D07AC"/>
    <w:rsid w:val="007D4315"/>
    <w:rsid w:val="007E0611"/>
    <w:rsid w:val="007E775E"/>
    <w:rsid w:val="007F4FDB"/>
    <w:rsid w:val="007F7626"/>
    <w:rsid w:val="008071B5"/>
    <w:rsid w:val="008110C4"/>
    <w:rsid w:val="008136A5"/>
    <w:rsid w:val="00823393"/>
    <w:rsid w:val="00823447"/>
    <w:rsid w:val="00823E62"/>
    <w:rsid w:val="00843EE6"/>
    <w:rsid w:val="00852CF1"/>
    <w:rsid w:val="00870931"/>
    <w:rsid w:val="0087306D"/>
    <w:rsid w:val="00873CFB"/>
    <w:rsid w:val="008842FD"/>
    <w:rsid w:val="00886F19"/>
    <w:rsid w:val="00891249"/>
    <w:rsid w:val="00891E15"/>
    <w:rsid w:val="008B071E"/>
    <w:rsid w:val="008B1C1E"/>
    <w:rsid w:val="008B5964"/>
    <w:rsid w:val="008B7D95"/>
    <w:rsid w:val="008D0C82"/>
    <w:rsid w:val="008D4F39"/>
    <w:rsid w:val="008D6859"/>
    <w:rsid w:val="008F3927"/>
    <w:rsid w:val="00906873"/>
    <w:rsid w:val="00910E79"/>
    <w:rsid w:val="00914929"/>
    <w:rsid w:val="0092560B"/>
    <w:rsid w:val="0093096D"/>
    <w:rsid w:val="009334FD"/>
    <w:rsid w:val="009351DD"/>
    <w:rsid w:val="00937911"/>
    <w:rsid w:val="00952A0D"/>
    <w:rsid w:val="009569A1"/>
    <w:rsid w:val="009730CA"/>
    <w:rsid w:val="00975DBF"/>
    <w:rsid w:val="009760EF"/>
    <w:rsid w:val="00977984"/>
    <w:rsid w:val="00977D64"/>
    <w:rsid w:val="009935F5"/>
    <w:rsid w:val="00994B7E"/>
    <w:rsid w:val="009957BA"/>
    <w:rsid w:val="00995D83"/>
    <w:rsid w:val="009A4145"/>
    <w:rsid w:val="009B26D3"/>
    <w:rsid w:val="009B6E7C"/>
    <w:rsid w:val="009B75E3"/>
    <w:rsid w:val="009C4697"/>
    <w:rsid w:val="009D36A3"/>
    <w:rsid w:val="009D73DA"/>
    <w:rsid w:val="009E3EEB"/>
    <w:rsid w:val="009F05B0"/>
    <w:rsid w:val="009F30D5"/>
    <w:rsid w:val="009F49E5"/>
    <w:rsid w:val="00A00015"/>
    <w:rsid w:val="00A10B6D"/>
    <w:rsid w:val="00A12039"/>
    <w:rsid w:val="00A12E6E"/>
    <w:rsid w:val="00A15FDD"/>
    <w:rsid w:val="00A20F4A"/>
    <w:rsid w:val="00A2111C"/>
    <w:rsid w:val="00A22D05"/>
    <w:rsid w:val="00A27A2C"/>
    <w:rsid w:val="00A36A65"/>
    <w:rsid w:val="00A4589A"/>
    <w:rsid w:val="00A46B66"/>
    <w:rsid w:val="00A46CAD"/>
    <w:rsid w:val="00A5116D"/>
    <w:rsid w:val="00A51DA4"/>
    <w:rsid w:val="00A615EB"/>
    <w:rsid w:val="00A61D97"/>
    <w:rsid w:val="00A63A27"/>
    <w:rsid w:val="00A64798"/>
    <w:rsid w:val="00A72389"/>
    <w:rsid w:val="00A76AB8"/>
    <w:rsid w:val="00A81E33"/>
    <w:rsid w:val="00A876E3"/>
    <w:rsid w:val="00A908BC"/>
    <w:rsid w:val="00A9657D"/>
    <w:rsid w:val="00AA1A95"/>
    <w:rsid w:val="00AA75DF"/>
    <w:rsid w:val="00AB600E"/>
    <w:rsid w:val="00AC2CA7"/>
    <w:rsid w:val="00AD238E"/>
    <w:rsid w:val="00AD4390"/>
    <w:rsid w:val="00AE3C63"/>
    <w:rsid w:val="00AF21AF"/>
    <w:rsid w:val="00AF24F7"/>
    <w:rsid w:val="00B01D2C"/>
    <w:rsid w:val="00B07F3B"/>
    <w:rsid w:val="00B22DF3"/>
    <w:rsid w:val="00B22F1B"/>
    <w:rsid w:val="00B260E6"/>
    <w:rsid w:val="00B30DA4"/>
    <w:rsid w:val="00B3621D"/>
    <w:rsid w:val="00B45538"/>
    <w:rsid w:val="00B53F8D"/>
    <w:rsid w:val="00B54104"/>
    <w:rsid w:val="00B5645A"/>
    <w:rsid w:val="00B6044A"/>
    <w:rsid w:val="00B71440"/>
    <w:rsid w:val="00B8254A"/>
    <w:rsid w:val="00B86D2E"/>
    <w:rsid w:val="00B92A6D"/>
    <w:rsid w:val="00B9315E"/>
    <w:rsid w:val="00B96BBE"/>
    <w:rsid w:val="00B9768A"/>
    <w:rsid w:val="00BA0E6C"/>
    <w:rsid w:val="00BB79DE"/>
    <w:rsid w:val="00BC394B"/>
    <w:rsid w:val="00BC4C6B"/>
    <w:rsid w:val="00BD0F0A"/>
    <w:rsid w:val="00BD1359"/>
    <w:rsid w:val="00BE19F3"/>
    <w:rsid w:val="00BE26D8"/>
    <w:rsid w:val="00BE313A"/>
    <w:rsid w:val="00BF152C"/>
    <w:rsid w:val="00C01D0F"/>
    <w:rsid w:val="00C07E36"/>
    <w:rsid w:val="00C1024C"/>
    <w:rsid w:val="00C153CB"/>
    <w:rsid w:val="00C159EC"/>
    <w:rsid w:val="00C21020"/>
    <w:rsid w:val="00C25207"/>
    <w:rsid w:val="00C253F8"/>
    <w:rsid w:val="00C279E8"/>
    <w:rsid w:val="00C357A9"/>
    <w:rsid w:val="00C43662"/>
    <w:rsid w:val="00C43E02"/>
    <w:rsid w:val="00C444FD"/>
    <w:rsid w:val="00C52D41"/>
    <w:rsid w:val="00C54ED7"/>
    <w:rsid w:val="00C60A3E"/>
    <w:rsid w:val="00C61FB5"/>
    <w:rsid w:val="00C62A2D"/>
    <w:rsid w:val="00C64EBD"/>
    <w:rsid w:val="00C64EFB"/>
    <w:rsid w:val="00C7319F"/>
    <w:rsid w:val="00C82719"/>
    <w:rsid w:val="00C90FBA"/>
    <w:rsid w:val="00C96E76"/>
    <w:rsid w:val="00C975DB"/>
    <w:rsid w:val="00CA6453"/>
    <w:rsid w:val="00CB3E4B"/>
    <w:rsid w:val="00CB401D"/>
    <w:rsid w:val="00CC295A"/>
    <w:rsid w:val="00CC36A5"/>
    <w:rsid w:val="00CC6922"/>
    <w:rsid w:val="00CE1A22"/>
    <w:rsid w:val="00CE20BC"/>
    <w:rsid w:val="00CE4057"/>
    <w:rsid w:val="00CF3E47"/>
    <w:rsid w:val="00CF58E2"/>
    <w:rsid w:val="00D0044C"/>
    <w:rsid w:val="00D0153D"/>
    <w:rsid w:val="00D1397F"/>
    <w:rsid w:val="00D162D6"/>
    <w:rsid w:val="00D23064"/>
    <w:rsid w:val="00D462DA"/>
    <w:rsid w:val="00D47DFF"/>
    <w:rsid w:val="00D50E26"/>
    <w:rsid w:val="00D618BF"/>
    <w:rsid w:val="00D6243F"/>
    <w:rsid w:val="00D80AB6"/>
    <w:rsid w:val="00D86029"/>
    <w:rsid w:val="00D96D19"/>
    <w:rsid w:val="00D97805"/>
    <w:rsid w:val="00DA5C9A"/>
    <w:rsid w:val="00DB0EDA"/>
    <w:rsid w:val="00DC0811"/>
    <w:rsid w:val="00DD27ED"/>
    <w:rsid w:val="00DE2A0E"/>
    <w:rsid w:val="00DE59C4"/>
    <w:rsid w:val="00DE5B17"/>
    <w:rsid w:val="00DE6BB0"/>
    <w:rsid w:val="00DE7280"/>
    <w:rsid w:val="00DF43CB"/>
    <w:rsid w:val="00DF687B"/>
    <w:rsid w:val="00DF7042"/>
    <w:rsid w:val="00E03CBF"/>
    <w:rsid w:val="00E04403"/>
    <w:rsid w:val="00E10521"/>
    <w:rsid w:val="00E111C3"/>
    <w:rsid w:val="00E12338"/>
    <w:rsid w:val="00E13C88"/>
    <w:rsid w:val="00E1531E"/>
    <w:rsid w:val="00E259E6"/>
    <w:rsid w:val="00E25D61"/>
    <w:rsid w:val="00E26C2F"/>
    <w:rsid w:val="00E37E47"/>
    <w:rsid w:val="00E400D9"/>
    <w:rsid w:val="00E62397"/>
    <w:rsid w:val="00E6439F"/>
    <w:rsid w:val="00E65A02"/>
    <w:rsid w:val="00E666FA"/>
    <w:rsid w:val="00E730B8"/>
    <w:rsid w:val="00E824A4"/>
    <w:rsid w:val="00E825BA"/>
    <w:rsid w:val="00E85005"/>
    <w:rsid w:val="00E87186"/>
    <w:rsid w:val="00E97020"/>
    <w:rsid w:val="00EA7641"/>
    <w:rsid w:val="00EB0AE0"/>
    <w:rsid w:val="00EB3A9B"/>
    <w:rsid w:val="00EC0D55"/>
    <w:rsid w:val="00EC7617"/>
    <w:rsid w:val="00ED4F9F"/>
    <w:rsid w:val="00EE76FC"/>
    <w:rsid w:val="00EF5131"/>
    <w:rsid w:val="00EF710A"/>
    <w:rsid w:val="00F17A68"/>
    <w:rsid w:val="00F21D56"/>
    <w:rsid w:val="00F23526"/>
    <w:rsid w:val="00F238EE"/>
    <w:rsid w:val="00F331B5"/>
    <w:rsid w:val="00F355D0"/>
    <w:rsid w:val="00F42703"/>
    <w:rsid w:val="00F56402"/>
    <w:rsid w:val="00F604D3"/>
    <w:rsid w:val="00F8190A"/>
    <w:rsid w:val="00F8466C"/>
    <w:rsid w:val="00F93716"/>
    <w:rsid w:val="00F948B4"/>
    <w:rsid w:val="00F9654F"/>
    <w:rsid w:val="00F96693"/>
    <w:rsid w:val="00FA24D2"/>
    <w:rsid w:val="00FB49C5"/>
    <w:rsid w:val="00FB731B"/>
    <w:rsid w:val="00FC759B"/>
    <w:rsid w:val="00FD2F11"/>
    <w:rsid w:val="00FD3161"/>
    <w:rsid w:val="00FE5938"/>
    <w:rsid w:val="00FE6309"/>
    <w:rsid w:val="00FF7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E02"/>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EC0D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C0D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43E02"/>
    <w:rPr>
      <w:color w:val="0000FF"/>
      <w:u w:val="single"/>
    </w:rPr>
  </w:style>
  <w:style w:type="character" w:styleId="FollowedHyperlink">
    <w:name w:val="FollowedHyperlink"/>
    <w:basedOn w:val="DefaultParagraphFont"/>
    <w:rsid w:val="00D23064"/>
    <w:rPr>
      <w:color w:val="800080"/>
      <w:u w:val="single"/>
    </w:rPr>
  </w:style>
  <w:style w:type="character" w:customStyle="1" w:styleId="EmailStyle17">
    <w:name w:val="EmailStyle171"/>
    <w:aliases w:val="EmailStyle171"/>
    <w:basedOn w:val="DefaultParagraphFont"/>
    <w:semiHidden/>
    <w:personal/>
    <w:personalReply/>
    <w:rsid w:val="006937FD"/>
    <w:rPr>
      <w:rFonts w:ascii="Arial" w:hAnsi="Arial" w:cs="Arial"/>
      <w:color w:val="000080"/>
      <w:sz w:val="20"/>
      <w:szCs w:val="20"/>
    </w:rPr>
  </w:style>
  <w:style w:type="paragraph" w:styleId="DocumentMap">
    <w:name w:val="Document Map"/>
    <w:basedOn w:val="Normal"/>
    <w:semiHidden/>
    <w:rsid w:val="00E87186"/>
    <w:pPr>
      <w:shd w:val="clear" w:color="auto" w:fill="000080"/>
    </w:pPr>
    <w:rPr>
      <w:rFonts w:ascii="Tahoma" w:hAnsi="Tahoma" w:cs="Tahoma"/>
    </w:rPr>
  </w:style>
  <w:style w:type="paragraph" w:styleId="Footer">
    <w:name w:val="footer"/>
    <w:basedOn w:val="Normal"/>
    <w:link w:val="FooterChar"/>
    <w:uiPriority w:val="99"/>
    <w:rsid w:val="005327F5"/>
    <w:pPr>
      <w:tabs>
        <w:tab w:val="center" w:pos="4320"/>
        <w:tab w:val="right" w:pos="8640"/>
      </w:tabs>
    </w:pPr>
  </w:style>
  <w:style w:type="character" w:styleId="PageNumber">
    <w:name w:val="page number"/>
    <w:basedOn w:val="DefaultParagraphFont"/>
    <w:rsid w:val="005327F5"/>
  </w:style>
  <w:style w:type="paragraph" w:styleId="NormalWeb">
    <w:name w:val="Normal (Web)"/>
    <w:basedOn w:val="Normal"/>
    <w:rsid w:val="006A09A2"/>
    <w:pPr>
      <w:overflowPunct/>
      <w:autoSpaceDE/>
      <w:autoSpaceDN/>
      <w:adjustRightInd/>
      <w:spacing w:before="100" w:beforeAutospacing="1" w:after="100" w:afterAutospacing="1"/>
      <w:textAlignment w:val="auto"/>
    </w:pPr>
    <w:rPr>
      <w:rFonts w:ascii="Verdana" w:hAnsi="Verdana"/>
      <w:color w:val="000000"/>
      <w:sz w:val="17"/>
      <w:szCs w:val="17"/>
    </w:rPr>
  </w:style>
  <w:style w:type="paragraph" w:customStyle="1" w:styleId="bodytextblack">
    <w:name w:val="bodytextblack"/>
    <w:basedOn w:val="Normal"/>
    <w:rsid w:val="006A09A2"/>
    <w:pPr>
      <w:overflowPunct/>
      <w:autoSpaceDE/>
      <w:autoSpaceDN/>
      <w:adjustRightInd/>
      <w:spacing w:before="100" w:beforeAutospacing="1" w:after="100" w:afterAutospacing="1"/>
      <w:textAlignment w:val="auto"/>
    </w:pPr>
    <w:rPr>
      <w:rFonts w:ascii="Verdana" w:hAnsi="Verdana"/>
      <w:color w:val="000000"/>
      <w:sz w:val="17"/>
      <w:szCs w:val="17"/>
    </w:rPr>
  </w:style>
  <w:style w:type="character" w:styleId="CommentReference">
    <w:name w:val="annotation reference"/>
    <w:basedOn w:val="DefaultParagraphFont"/>
    <w:semiHidden/>
    <w:rsid w:val="006A09A2"/>
    <w:rPr>
      <w:sz w:val="16"/>
      <w:szCs w:val="16"/>
    </w:rPr>
  </w:style>
  <w:style w:type="paragraph" w:styleId="CommentText">
    <w:name w:val="annotation text"/>
    <w:basedOn w:val="Normal"/>
    <w:link w:val="CommentTextChar"/>
    <w:semiHidden/>
    <w:rsid w:val="006A09A2"/>
    <w:pPr>
      <w:overflowPunct/>
      <w:autoSpaceDE/>
      <w:autoSpaceDN/>
      <w:adjustRightInd/>
      <w:textAlignment w:val="auto"/>
    </w:pPr>
  </w:style>
  <w:style w:type="paragraph" w:styleId="BalloonText">
    <w:name w:val="Balloon Text"/>
    <w:basedOn w:val="Normal"/>
    <w:semiHidden/>
    <w:rsid w:val="006A09A2"/>
    <w:rPr>
      <w:rFonts w:ascii="Tahoma" w:hAnsi="Tahoma" w:cs="Tahoma"/>
      <w:sz w:val="16"/>
      <w:szCs w:val="16"/>
    </w:rPr>
  </w:style>
  <w:style w:type="table" w:styleId="TableGrid">
    <w:name w:val="Table Grid"/>
    <w:basedOn w:val="TableNormal"/>
    <w:rsid w:val="00EC7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8B7D95"/>
    <w:pPr>
      <w:widowControl w:val="0"/>
      <w:overflowPunct w:val="0"/>
      <w:autoSpaceDE w:val="0"/>
      <w:autoSpaceDN w:val="0"/>
      <w:adjustRightInd w:val="0"/>
      <w:textAlignment w:val="baseline"/>
    </w:pPr>
    <w:rPr>
      <w:rFonts w:ascii="Arial" w:hAnsi="Arial"/>
      <w:b/>
      <w:bCs/>
    </w:rPr>
  </w:style>
  <w:style w:type="character" w:customStyle="1" w:styleId="CommentTextChar">
    <w:name w:val="Comment Text Char"/>
    <w:basedOn w:val="DefaultParagraphFont"/>
    <w:link w:val="CommentText"/>
    <w:semiHidden/>
    <w:rsid w:val="008B7D95"/>
  </w:style>
  <w:style w:type="character" w:customStyle="1" w:styleId="CommentSubjectChar">
    <w:name w:val="Comment Subject Char"/>
    <w:basedOn w:val="CommentTextChar"/>
    <w:link w:val="CommentSubject"/>
    <w:rsid w:val="008B7D95"/>
  </w:style>
  <w:style w:type="paragraph" w:styleId="FootnoteText">
    <w:name w:val="footnote text"/>
    <w:basedOn w:val="Normal"/>
    <w:link w:val="FootnoteTextChar"/>
    <w:uiPriority w:val="99"/>
    <w:rsid w:val="008B7D95"/>
    <w:pPr>
      <w:widowControl w:val="0"/>
    </w:pPr>
    <w:rPr>
      <w:rFonts w:ascii="Arial" w:hAnsi="Arial"/>
    </w:rPr>
  </w:style>
  <w:style w:type="character" w:customStyle="1" w:styleId="FootnoteTextChar">
    <w:name w:val="Footnote Text Char"/>
    <w:basedOn w:val="DefaultParagraphFont"/>
    <w:link w:val="FootnoteText"/>
    <w:uiPriority w:val="99"/>
    <w:rsid w:val="008B7D95"/>
    <w:rPr>
      <w:rFonts w:ascii="Arial" w:hAnsi="Arial"/>
    </w:rPr>
  </w:style>
  <w:style w:type="character" w:styleId="FootnoteReference">
    <w:name w:val="footnote reference"/>
    <w:basedOn w:val="DefaultParagraphFont"/>
    <w:uiPriority w:val="99"/>
    <w:rsid w:val="008B7D95"/>
    <w:rPr>
      <w:vertAlign w:val="superscript"/>
    </w:rPr>
  </w:style>
  <w:style w:type="paragraph" w:styleId="Header">
    <w:name w:val="header"/>
    <w:basedOn w:val="Normal"/>
    <w:link w:val="HeaderChar"/>
    <w:uiPriority w:val="99"/>
    <w:semiHidden/>
    <w:unhideWhenUsed/>
    <w:rsid w:val="00BB79DE"/>
    <w:pPr>
      <w:tabs>
        <w:tab w:val="center" w:pos="4680"/>
        <w:tab w:val="right" w:pos="9360"/>
      </w:tabs>
    </w:pPr>
  </w:style>
  <w:style w:type="character" w:customStyle="1" w:styleId="HeaderChar">
    <w:name w:val="Header Char"/>
    <w:basedOn w:val="DefaultParagraphFont"/>
    <w:link w:val="Header"/>
    <w:uiPriority w:val="99"/>
    <w:semiHidden/>
    <w:rsid w:val="00BB79DE"/>
  </w:style>
  <w:style w:type="character" w:customStyle="1" w:styleId="FooterChar">
    <w:name w:val="Footer Char"/>
    <w:basedOn w:val="DefaultParagraphFont"/>
    <w:link w:val="Footer"/>
    <w:uiPriority w:val="99"/>
    <w:rsid w:val="00BB79DE"/>
  </w:style>
  <w:style w:type="character" w:customStyle="1" w:styleId="Heading1Char">
    <w:name w:val="Heading 1 Char"/>
    <w:basedOn w:val="DefaultParagraphFont"/>
    <w:link w:val="Heading1"/>
    <w:uiPriority w:val="9"/>
    <w:rsid w:val="00EC0D55"/>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C0D55"/>
    <w:pPr>
      <w:keepLines/>
      <w:overflowPunct/>
      <w:autoSpaceDE/>
      <w:autoSpaceDN/>
      <w:adjustRightInd/>
      <w:spacing w:before="480" w:after="0" w:line="276" w:lineRule="auto"/>
      <w:textAlignment w:val="auto"/>
      <w:outlineLvl w:val="9"/>
    </w:pPr>
    <w:rPr>
      <w:color w:val="365F91"/>
      <w:kern w:val="0"/>
      <w:sz w:val="28"/>
      <w:szCs w:val="28"/>
    </w:rPr>
  </w:style>
  <w:style w:type="paragraph" w:styleId="TOC1">
    <w:name w:val="toc 1"/>
    <w:basedOn w:val="Normal"/>
    <w:next w:val="Normal"/>
    <w:autoRedefine/>
    <w:uiPriority w:val="39"/>
    <w:unhideWhenUsed/>
    <w:rsid w:val="00EC0D55"/>
  </w:style>
  <w:style w:type="paragraph" w:customStyle="1" w:styleId="StyleHeading2TimesNewRoman12pt">
    <w:name w:val="Style Heading 2 + Times New Roman 12 pt"/>
    <w:basedOn w:val="Heading2"/>
    <w:rsid w:val="006D6E9C"/>
    <w:rPr>
      <w:rFonts w:ascii="Times New Roman" w:hAnsi="Times New Roman"/>
      <w:i w:val="0"/>
      <w:sz w:val="24"/>
    </w:rPr>
  </w:style>
  <w:style w:type="paragraph" w:styleId="TOC2">
    <w:name w:val="toc 2"/>
    <w:basedOn w:val="Normal"/>
    <w:next w:val="Normal"/>
    <w:autoRedefine/>
    <w:uiPriority w:val="39"/>
    <w:unhideWhenUsed/>
    <w:rsid w:val="00EC0D55"/>
    <w:pPr>
      <w:ind w:left="200"/>
    </w:pPr>
  </w:style>
  <w:style w:type="character" w:customStyle="1" w:styleId="Heading2Char">
    <w:name w:val="Heading 2 Char"/>
    <w:basedOn w:val="DefaultParagraphFont"/>
    <w:link w:val="Heading2"/>
    <w:uiPriority w:val="9"/>
    <w:semiHidden/>
    <w:rsid w:val="00EC0D55"/>
    <w:rPr>
      <w:rFonts w:ascii="Cambria" w:eastAsia="Times New Roman" w:hAnsi="Cambria" w:cs="Times New Roman"/>
      <w:b/>
      <w:bCs/>
      <w:i/>
      <w:iCs/>
      <w:sz w:val="28"/>
      <w:szCs w:val="28"/>
    </w:rPr>
  </w:style>
  <w:style w:type="paragraph" w:styleId="ListParagraph">
    <w:name w:val="List Paragraph"/>
    <w:basedOn w:val="Normal"/>
    <w:uiPriority w:val="34"/>
    <w:qFormat/>
    <w:rsid w:val="002F2CE7"/>
    <w:pPr>
      <w:overflowPunct/>
      <w:autoSpaceDE/>
      <w:autoSpaceDN/>
      <w:adjustRightInd/>
      <w:ind w:left="720"/>
      <w:contextualSpacing/>
      <w:textAlignment w:val="auto"/>
    </w:pPr>
    <w:rPr>
      <w:sz w:val="24"/>
      <w:szCs w:val="24"/>
    </w:rPr>
  </w:style>
  <w:style w:type="paragraph" w:styleId="Revision">
    <w:name w:val="Revision"/>
    <w:hidden/>
    <w:uiPriority w:val="99"/>
    <w:semiHidden/>
    <w:rsid w:val="007B4980"/>
  </w:style>
</w:styles>
</file>

<file path=word/webSettings.xml><?xml version="1.0" encoding="utf-8"?>
<w:webSettings xmlns:r="http://schemas.openxmlformats.org/officeDocument/2006/relationships" xmlns:w="http://schemas.openxmlformats.org/wordprocessingml/2006/main">
  <w:divs>
    <w:div w:id="167988041">
      <w:bodyDiv w:val="1"/>
      <w:marLeft w:val="0"/>
      <w:marRight w:val="0"/>
      <w:marTop w:val="0"/>
      <w:marBottom w:val="0"/>
      <w:divBdr>
        <w:top w:val="none" w:sz="0" w:space="0" w:color="auto"/>
        <w:left w:val="none" w:sz="0" w:space="0" w:color="auto"/>
        <w:bottom w:val="none" w:sz="0" w:space="0" w:color="auto"/>
        <w:right w:val="none" w:sz="0" w:space="0" w:color="auto"/>
      </w:divBdr>
    </w:div>
    <w:div w:id="366951998">
      <w:bodyDiv w:val="1"/>
      <w:marLeft w:val="0"/>
      <w:marRight w:val="0"/>
      <w:marTop w:val="0"/>
      <w:marBottom w:val="0"/>
      <w:divBdr>
        <w:top w:val="none" w:sz="0" w:space="0" w:color="auto"/>
        <w:left w:val="none" w:sz="0" w:space="0" w:color="auto"/>
        <w:bottom w:val="none" w:sz="0" w:space="0" w:color="auto"/>
        <w:right w:val="none" w:sz="0" w:space="0" w:color="auto"/>
      </w:divBdr>
    </w:div>
    <w:div w:id="567811117">
      <w:bodyDiv w:val="1"/>
      <w:marLeft w:val="0"/>
      <w:marRight w:val="0"/>
      <w:marTop w:val="0"/>
      <w:marBottom w:val="0"/>
      <w:divBdr>
        <w:top w:val="none" w:sz="0" w:space="0" w:color="auto"/>
        <w:left w:val="none" w:sz="0" w:space="0" w:color="auto"/>
        <w:bottom w:val="none" w:sz="0" w:space="0" w:color="auto"/>
        <w:right w:val="none" w:sz="0" w:space="0" w:color="auto"/>
      </w:divBdr>
    </w:div>
    <w:div w:id="1391611678">
      <w:bodyDiv w:val="1"/>
      <w:marLeft w:val="0"/>
      <w:marRight w:val="0"/>
      <w:marTop w:val="0"/>
      <w:marBottom w:val="0"/>
      <w:divBdr>
        <w:top w:val="none" w:sz="0" w:space="0" w:color="auto"/>
        <w:left w:val="none" w:sz="0" w:space="0" w:color="auto"/>
        <w:bottom w:val="none" w:sz="0" w:space="0" w:color="auto"/>
        <w:right w:val="none" w:sz="0" w:space="0" w:color="auto"/>
      </w:divBdr>
    </w:div>
    <w:div w:id="1557934697">
      <w:bodyDiv w:val="1"/>
      <w:marLeft w:val="0"/>
      <w:marRight w:val="0"/>
      <w:marTop w:val="0"/>
      <w:marBottom w:val="0"/>
      <w:divBdr>
        <w:top w:val="none" w:sz="0" w:space="0" w:color="auto"/>
        <w:left w:val="none" w:sz="0" w:space="0" w:color="auto"/>
        <w:bottom w:val="none" w:sz="0" w:space="0" w:color="auto"/>
        <w:right w:val="none" w:sz="0" w:space="0" w:color="auto"/>
      </w:divBdr>
    </w:div>
    <w:div w:id="16537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ocio.usda.gov/forms/doc/AD1049-F-05-9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ts.gov" TargetMode="External"/><Relationship Id="rId12" Type="http://schemas.openxmlformats.org/officeDocument/2006/relationships/hyperlink" Target="http://www.ocio.usda.gov/forms/doc/AD1047-F-01-92.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t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prs.fns.usd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ants.gov" TargetMode="External"/><Relationship Id="rId14" Type="http://schemas.openxmlformats.org/officeDocument/2006/relationships/hyperlink" Target="http://www.bls.gov/oes/2008/may/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LinksUpToDate>false</LinksUpToDate>
  <CharactersWithSpaces>12648</CharactersWithSpaces>
  <SharedDoc>false</SharedDoc>
  <HLinks>
    <vt:vector size="24" baseType="variant">
      <vt:variant>
        <vt:i4>6029391</vt:i4>
      </vt:variant>
      <vt:variant>
        <vt:i4>9</vt:i4>
      </vt:variant>
      <vt:variant>
        <vt:i4>0</vt:i4>
      </vt:variant>
      <vt:variant>
        <vt:i4>5</vt:i4>
      </vt:variant>
      <vt:variant>
        <vt:lpwstr>http://www.bls.gov/bls/wages.htm</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Owner</dc:creator>
  <cp:keywords/>
  <dc:description/>
  <cp:lastModifiedBy>rgreene</cp:lastModifiedBy>
  <cp:revision>2</cp:revision>
  <cp:lastPrinted>2010-04-29T19:20:00Z</cp:lastPrinted>
  <dcterms:created xsi:type="dcterms:W3CDTF">2010-04-29T20:26:00Z</dcterms:created>
  <dcterms:modified xsi:type="dcterms:W3CDTF">2010-04-29T20:26:00Z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