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77" w:rsidRDefault="005A1812" w:rsidP="000B41E7">
      <w:pPr>
        <w:keepLines/>
        <w:widowControl/>
        <w:tabs>
          <w:tab w:val="center" w:pos="4680"/>
        </w:tabs>
        <w:jc w:val="center"/>
        <w:rPr>
          <w:b/>
          <w:bCs/>
        </w:rPr>
      </w:pPr>
      <w:r>
        <w:rPr>
          <w:b/>
          <w:bCs/>
        </w:rPr>
        <w:t>JUSTIFICATION</w:t>
      </w:r>
    </w:p>
    <w:p w:rsidR="00B01177" w:rsidRPr="003C746E" w:rsidRDefault="00B01177" w:rsidP="000B41E7">
      <w:pPr>
        <w:tabs>
          <w:tab w:val="center" w:pos="4680"/>
        </w:tabs>
        <w:jc w:val="center"/>
        <w:rPr>
          <w:b/>
          <w:bCs/>
        </w:rPr>
      </w:pPr>
      <w:r w:rsidRPr="003C746E">
        <w:rPr>
          <w:b/>
          <w:bCs/>
        </w:rPr>
        <w:t>WESTERN ALASKA COMMUNITY DEVELOPMENT QUOTA (CDQ) PROGRAM</w:t>
      </w:r>
    </w:p>
    <w:p w:rsidR="00B01177" w:rsidRDefault="00B01177" w:rsidP="000B41E7">
      <w:pPr>
        <w:tabs>
          <w:tab w:val="center" w:pos="4680"/>
        </w:tabs>
        <w:jc w:val="center"/>
        <w:rPr>
          <w:b/>
          <w:bCs/>
        </w:rPr>
      </w:pPr>
      <w:proofErr w:type="gramStart"/>
      <w:r w:rsidRPr="003C746E">
        <w:rPr>
          <w:b/>
          <w:bCs/>
        </w:rPr>
        <w:t>OMB CONTROL NO.</w:t>
      </w:r>
      <w:proofErr w:type="gramEnd"/>
      <w:r w:rsidRPr="003C746E">
        <w:rPr>
          <w:b/>
          <w:bCs/>
        </w:rPr>
        <w:t xml:space="preserve"> 0648-0269</w:t>
      </w:r>
    </w:p>
    <w:p w:rsidR="00A71251" w:rsidRDefault="00A71251">
      <w:pPr>
        <w:tabs>
          <w:tab w:val="center" w:pos="4680"/>
        </w:tabs>
        <w:rPr>
          <w:b/>
          <w:bCs/>
          <w:sz w:val="22"/>
          <w:szCs w:val="22"/>
        </w:rPr>
      </w:pPr>
    </w:p>
    <w:p w:rsidR="000B41E7" w:rsidRPr="0006100A" w:rsidRDefault="000B41E7">
      <w:pPr>
        <w:tabs>
          <w:tab w:val="center" w:pos="4680"/>
        </w:tabs>
        <w:rPr>
          <w:b/>
          <w:bCs/>
          <w:sz w:val="22"/>
          <w:szCs w:val="22"/>
        </w:rPr>
      </w:pPr>
    </w:p>
    <w:p w:rsidR="00A71251" w:rsidRPr="0097405D" w:rsidRDefault="00A71251" w:rsidP="00A71251">
      <w:pPr>
        <w:tabs>
          <w:tab w:val="center" w:pos="4680"/>
        </w:tabs>
        <w:rPr>
          <w:bCs/>
        </w:rPr>
      </w:pPr>
      <w:r w:rsidRPr="0097405D">
        <w:rPr>
          <w:b/>
          <w:bCs/>
        </w:rPr>
        <w:t xml:space="preserve">JUSTIFICATION:  </w:t>
      </w:r>
      <w:r w:rsidRPr="0097405D">
        <w:rPr>
          <w:bCs/>
        </w:rPr>
        <w:t xml:space="preserve">This action will integrate </w:t>
      </w:r>
      <w:r w:rsidR="00FC47CA" w:rsidRPr="0097405D">
        <w:rPr>
          <w:bCs/>
        </w:rPr>
        <w:t>two</w:t>
      </w:r>
      <w:r w:rsidRPr="0097405D">
        <w:rPr>
          <w:bCs/>
        </w:rPr>
        <w:t xml:space="preserve"> collections</w:t>
      </w:r>
      <w:r w:rsidR="005A1812" w:rsidRPr="0097405D">
        <w:rPr>
          <w:bCs/>
        </w:rPr>
        <w:t xml:space="preserve"> (OMB</w:t>
      </w:r>
      <w:r w:rsidR="00A96756" w:rsidRPr="0097405D">
        <w:rPr>
          <w:bCs/>
        </w:rPr>
        <w:t xml:space="preserve"> Control No.</w:t>
      </w:r>
      <w:r w:rsidR="005A1812" w:rsidRPr="0097405D">
        <w:rPr>
          <w:bCs/>
        </w:rPr>
        <w:t xml:space="preserve"> 0648-0609 and </w:t>
      </w:r>
      <w:r w:rsidR="00A96756" w:rsidRPr="0097405D">
        <w:rPr>
          <w:bCs/>
        </w:rPr>
        <w:t>OMB Control No. 0648-</w:t>
      </w:r>
      <w:r w:rsidR="005A1812" w:rsidRPr="0097405D">
        <w:rPr>
          <w:bCs/>
        </w:rPr>
        <w:t>0616)</w:t>
      </w:r>
      <w:r w:rsidRPr="0097405D">
        <w:rPr>
          <w:bCs/>
        </w:rPr>
        <w:t xml:space="preserve"> into </w:t>
      </w:r>
      <w:r w:rsidR="00A96756" w:rsidRPr="0097405D">
        <w:rPr>
          <w:bCs/>
        </w:rPr>
        <w:t xml:space="preserve">OMB Control No. </w:t>
      </w:r>
      <w:r w:rsidRPr="0097405D">
        <w:rPr>
          <w:bCs/>
        </w:rPr>
        <w:t>0648-0269</w:t>
      </w:r>
      <w:r w:rsidR="00FC47CA" w:rsidRPr="0097405D">
        <w:rPr>
          <w:bCs/>
        </w:rPr>
        <w:t>.  A</w:t>
      </w:r>
      <w:r w:rsidRPr="0097405D">
        <w:rPr>
          <w:bCs/>
        </w:rPr>
        <w:t xml:space="preserve">ll of </w:t>
      </w:r>
      <w:r w:rsidR="00FC47CA" w:rsidRPr="0097405D">
        <w:rPr>
          <w:bCs/>
        </w:rPr>
        <w:t xml:space="preserve">these collections </w:t>
      </w:r>
      <w:r w:rsidRPr="0097405D">
        <w:rPr>
          <w:bCs/>
        </w:rPr>
        <w:t xml:space="preserve">describe the </w:t>
      </w:r>
      <w:r w:rsidR="00A96756" w:rsidRPr="0097405D">
        <w:t>Western Alaska Community Development Quota (</w:t>
      </w:r>
      <w:r w:rsidRPr="0097405D">
        <w:rPr>
          <w:bCs/>
        </w:rPr>
        <w:t>CDQ</w:t>
      </w:r>
      <w:r w:rsidR="00A96756" w:rsidRPr="0097405D">
        <w:rPr>
          <w:bCs/>
        </w:rPr>
        <w:t>)</w:t>
      </w:r>
      <w:r w:rsidRPr="0097405D">
        <w:rPr>
          <w:bCs/>
        </w:rPr>
        <w:t xml:space="preserve"> Program, but due to timing were given different OMB </w:t>
      </w:r>
      <w:r w:rsidR="003123C4" w:rsidRPr="0097405D">
        <w:rPr>
          <w:bCs/>
        </w:rPr>
        <w:t>Control N</w:t>
      </w:r>
      <w:r w:rsidRPr="0097405D">
        <w:rPr>
          <w:bCs/>
        </w:rPr>
        <w:t xml:space="preserve">umbers. </w:t>
      </w:r>
    </w:p>
    <w:p w:rsidR="00B01177" w:rsidRPr="0097405D" w:rsidRDefault="00B01177">
      <w:pPr>
        <w:rPr>
          <w:b/>
          <w:bCs/>
        </w:rPr>
      </w:pPr>
    </w:p>
    <w:p w:rsidR="00986176" w:rsidRPr="0097405D" w:rsidRDefault="00B01177" w:rsidP="00D12413">
      <w:pPr>
        <w:numPr>
          <w:ilvl w:val="12"/>
          <w:numId w:val="0"/>
        </w:numPr>
      </w:pPr>
      <w:r w:rsidRPr="0097405D">
        <w:t xml:space="preserve">The CDQ </w:t>
      </w:r>
      <w:r w:rsidR="00EE724E" w:rsidRPr="0097405D">
        <w:t>P</w:t>
      </w:r>
      <w:r w:rsidRPr="0097405D">
        <w:t xml:space="preserve">rogram </w:t>
      </w:r>
      <w:r w:rsidR="001A438F" w:rsidRPr="0097405D">
        <w:t xml:space="preserve">(OMB Control No. 0648-0269) </w:t>
      </w:r>
      <w:r w:rsidRPr="0097405D">
        <w:t xml:space="preserve">is </w:t>
      </w:r>
      <w:r w:rsidR="00886FE5" w:rsidRPr="0097405D">
        <w:t xml:space="preserve">an economic development program </w:t>
      </w:r>
      <w:r w:rsidRPr="0097405D">
        <w:t>implemented under the Magnuson</w:t>
      </w:r>
      <w:r w:rsidR="00EE724E" w:rsidRPr="0097405D">
        <w:t>-</w:t>
      </w:r>
      <w:r w:rsidRPr="0097405D">
        <w:t>Stevens Act</w:t>
      </w:r>
      <w:r w:rsidR="00CB61FA" w:rsidRPr="0097405D">
        <w:t xml:space="preserve"> and the</w:t>
      </w:r>
      <w:r w:rsidR="00027F50" w:rsidRPr="0097405D">
        <w:t xml:space="preserve"> Fishery Management Plan </w:t>
      </w:r>
      <w:r w:rsidR="00026498" w:rsidRPr="0097405D">
        <w:t xml:space="preserve">(FMP) </w:t>
      </w:r>
      <w:r w:rsidR="00027F50" w:rsidRPr="0097405D">
        <w:t xml:space="preserve">for </w:t>
      </w:r>
      <w:proofErr w:type="spellStart"/>
      <w:r w:rsidR="00027F50" w:rsidRPr="0097405D">
        <w:t>Groundfish</w:t>
      </w:r>
      <w:proofErr w:type="spellEnd"/>
      <w:r w:rsidR="00027F50" w:rsidRPr="0097405D">
        <w:t xml:space="preserve"> of the Bering Sea and Aleutian Islands (BSAI)</w:t>
      </w:r>
      <w:r w:rsidRPr="0097405D">
        <w:t xml:space="preserve">.  </w:t>
      </w:r>
      <w:r w:rsidR="001A438F" w:rsidRPr="0097405D">
        <w:t xml:space="preserve">The CDQ Program was developed to redistribute some of the BSAI fisheries’ economic benefits to adjacent communities by allocating a portion of commercially important BSAI fisheries species to such communities.  </w:t>
      </w:r>
      <w:r w:rsidR="00886FE5" w:rsidRPr="0097405D">
        <w:t xml:space="preserve">The </w:t>
      </w:r>
      <w:r w:rsidR="00FC47CA" w:rsidRPr="0097405D">
        <w:t>objectives</w:t>
      </w:r>
      <w:r w:rsidR="00886FE5" w:rsidRPr="0097405D">
        <w:t xml:space="preserve"> of the </w:t>
      </w:r>
      <w:r w:rsidR="009C304C" w:rsidRPr="0097405D">
        <w:t xml:space="preserve">CDQ </w:t>
      </w:r>
      <w:r w:rsidR="00C43501" w:rsidRPr="0097405D">
        <w:t>P</w:t>
      </w:r>
      <w:r w:rsidR="00886FE5" w:rsidRPr="0097405D">
        <w:t xml:space="preserve">rogram </w:t>
      </w:r>
      <w:r w:rsidR="00C43501" w:rsidRPr="0097405D">
        <w:t>are</w:t>
      </w:r>
      <w:r w:rsidR="00886FE5" w:rsidRPr="0097405D">
        <w:t xml:space="preserve"> to provide western Alaska communities the opportunity to participate and invest in BSAI fisheries, to support economic development in western Alaska, to alleviate poverty and provide economic and social benefits for residents of western Alaska, and to achieve sustainable and diversified local economies in western Alaska.  </w:t>
      </w:r>
      <w:r w:rsidR="00986176" w:rsidRPr="0097405D">
        <w:t>The renewal of OMB</w:t>
      </w:r>
      <w:r w:rsidR="00027F50" w:rsidRPr="0097405D">
        <w:t xml:space="preserve"> Control No.</w:t>
      </w:r>
      <w:r w:rsidR="00986176" w:rsidRPr="0097405D">
        <w:t xml:space="preserve"> 0648-0269 was approved by OMB</w:t>
      </w:r>
      <w:r w:rsidR="00027F50" w:rsidRPr="0097405D">
        <w:t xml:space="preserve"> on</w:t>
      </w:r>
      <w:r w:rsidR="00DE0AAC" w:rsidRPr="0097405D">
        <w:t xml:space="preserve"> December 7, 2010.</w:t>
      </w:r>
    </w:p>
    <w:p w:rsidR="00B42A6F" w:rsidRPr="0097405D" w:rsidRDefault="00B42A6F" w:rsidP="00D12413">
      <w:pPr>
        <w:numPr>
          <w:ilvl w:val="12"/>
          <w:numId w:val="0"/>
        </w:numPr>
      </w:pPr>
    </w:p>
    <w:p w:rsidR="00B42A6F" w:rsidRPr="0097405D" w:rsidRDefault="008804B5" w:rsidP="00D12413">
      <w:pPr>
        <w:numPr>
          <w:ilvl w:val="12"/>
          <w:numId w:val="0"/>
        </w:numPr>
        <w:rPr>
          <w:u w:val="single"/>
        </w:rPr>
      </w:pPr>
      <w:r w:rsidRPr="0097405D">
        <w:rPr>
          <w:u w:val="single"/>
        </w:rPr>
        <w:t xml:space="preserve">OMB </w:t>
      </w:r>
      <w:r w:rsidR="00027F50" w:rsidRPr="0097405D">
        <w:rPr>
          <w:u w:val="single"/>
        </w:rPr>
        <w:t xml:space="preserve">Control. </w:t>
      </w:r>
      <w:r w:rsidRPr="0097405D">
        <w:rPr>
          <w:u w:val="single"/>
        </w:rPr>
        <w:t>No. 0648-0609</w:t>
      </w:r>
      <w:r w:rsidR="00E710FF">
        <w:rPr>
          <w:u w:val="single"/>
        </w:rPr>
        <w:t>, approved by OMB on August 30, 2010</w:t>
      </w:r>
    </w:p>
    <w:p w:rsidR="00CE2DAB" w:rsidRPr="0097405D" w:rsidRDefault="00CE2DAB" w:rsidP="00267AC8">
      <w:pPr>
        <w:numPr>
          <w:ilvl w:val="12"/>
          <w:numId w:val="0"/>
        </w:numPr>
      </w:pPr>
      <w:r w:rsidRPr="0097405D">
        <w:t xml:space="preserve">This </w:t>
      </w:r>
      <w:r w:rsidR="00027F50" w:rsidRPr="0097405D">
        <w:t xml:space="preserve">temporary </w:t>
      </w:r>
      <w:r w:rsidR="003123C4" w:rsidRPr="0097405D">
        <w:t>information collection</w:t>
      </w:r>
      <w:r w:rsidR="00027F50" w:rsidRPr="0097405D">
        <w:t xml:space="preserve"> was requested in lieu of</w:t>
      </w:r>
      <w:r w:rsidRPr="0097405D">
        <w:t xml:space="preserve"> revis</w:t>
      </w:r>
      <w:r w:rsidR="00027F50" w:rsidRPr="0097405D">
        <w:t xml:space="preserve">ing OMB Control No. 0648-0269 </w:t>
      </w:r>
      <w:r w:rsidRPr="0097405D">
        <w:t xml:space="preserve">to support the Chinook </w:t>
      </w:r>
      <w:r w:rsidR="008E7391" w:rsidRPr="0097405D">
        <w:t xml:space="preserve">Salmon </w:t>
      </w:r>
      <w:proofErr w:type="spellStart"/>
      <w:r w:rsidR="008E7391" w:rsidRPr="0097405D">
        <w:t>Bycatch</w:t>
      </w:r>
      <w:proofErr w:type="spellEnd"/>
      <w:r w:rsidR="008E7391" w:rsidRPr="0097405D">
        <w:t xml:space="preserve"> Program</w:t>
      </w:r>
      <w:r w:rsidRPr="0097405D">
        <w:t xml:space="preserve">, a new program created for the management of Chinook salmon prohibited species catch in the Bering Sea </w:t>
      </w:r>
      <w:proofErr w:type="spellStart"/>
      <w:r w:rsidRPr="0097405D">
        <w:t>pollock</w:t>
      </w:r>
      <w:proofErr w:type="spellEnd"/>
      <w:r w:rsidRPr="0097405D">
        <w:t xml:space="preserve"> fishery managed under th</w:t>
      </w:r>
      <w:r w:rsidR="00267AC8" w:rsidRPr="0097405D">
        <w:t>e American Fisheries Act (AFA) through a final rule</w:t>
      </w:r>
      <w:r w:rsidR="0033452A" w:rsidRPr="0097405D">
        <w:t xml:space="preserve"> </w:t>
      </w:r>
      <w:r w:rsidR="009D2CF8" w:rsidRPr="0097405D">
        <w:t xml:space="preserve">RIN No. </w:t>
      </w:r>
      <w:r w:rsidR="0033452A" w:rsidRPr="0097405D">
        <w:t>0648-AX89</w:t>
      </w:r>
      <w:r w:rsidR="00267AC8" w:rsidRPr="0097405D">
        <w:t xml:space="preserve"> (75 FR 53026, August 30, 2010)</w:t>
      </w:r>
      <w:r w:rsidR="009D2CF8" w:rsidRPr="0097405D">
        <w:t>, implementing Amendment 91 to the FMP.</w:t>
      </w:r>
    </w:p>
    <w:p w:rsidR="009D2CF8" w:rsidRPr="0097405D" w:rsidRDefault="009D2CF8" w:rsidP="00D12413">
      <w:pPr>
        <w:numPr>
          <w:ilvl w:val="12"/>
          <w:numId w:val="0"/>
        </w:numPr>
      </w:pPr>
      <w:bookmarkStart w:id="0" w:name="_GoBack"/>
      <w:bookmarkEnd w:id="0"/>
    </w:p>
    <w:p w:rsidR="006270A8" w:rsidRPr="0097405D" w:rsidRDefault="00CE2DAB" w:rsidP="00D12413">
      <w:pPr>
        <w:numPr>
          <w:ilvl w:val="12"/>
          <w:numId w:val="0"/>
        </w:numPr>
      </w:pPr>
      <w:r w:rsidRPr="0097405D">
        <w:t xml:space="preserve">The CDQ group transfer procedure </w:t>
      </w:r>
      <w:r w:rsidR="009D2CF8" w:rsidRPr="0097405D">
        <w:t xml:space="preserve">was </w:t>
      </w:r>
      <w:r w:rsidRPr="0097405D">
        <w:t xml:space="preserve">revised to incorporate Chinook Salmon </w:t>
      </w:r>
      <w:proofErr w:type="spellStart"/>
      <w:r w:rsidRPr="0097405D">
        <w:t>Bycatch</w:t>
      </w:r>
      <w:proofErr w:type="spellEnd"/>
      <w:r w:rsidRPr="0097405D">
        <w:t>.  Under Amendment 91</w:t>
      </w:r>
      <w:r w:rsidR="00026498" w:rsidRPr="0097405D">
        <w:t xml:space="preserve"> to the FMP</w:t>
      </w:r>
      <w:r w:rsidRPr="0097405D">
        <w:t xml:space="preserve">, NMFS would issue additional transferable Chinook salmon </w:t>
      </w:r>
      <w:r w:rsidR="008E7391" w:rsidRPr="0097405D">
        <w:t xml:space="preserve">prohibited species quota (PSQ) </w:t>
      </w:r>
      <w:r w:rsidRPr="0097405D">
        <w:t xml:space="preserve">allocations to eligible entities representing the AFA catcher/processor sector, the AFA </w:t>
      </w:r>
      <w:proofErr w:type="spellStart"/>
      <w:r w:rsidRPr="0097405D">
        <w:t>mothership</w:t>
      </w:r>
      <w:proofErr w:type="spellEnd"/>
      <w:r w:rsidRPr="0097405D">
        <w:t xml:space="preserve"> sector, and to AFA inshore cooper</w:t>
      </w:r>
      <w:r w:rsidR="000C0D82" w:rsidRPr="0097405D">
        <w:t xml:space="preserve">atives.  </w:t>
      </w:r>
      <w:r w:rsidR="000F19C4" w:rsidRPr="0097405D">
        <w:t>A new requirement</w:t>
      </w:r>
      <w:r w:rsidR="000C0D82" w:rsidRPr="0097405D">
        <w:t xml:space="preserve"> </w:t>
      </w:r>
      <w:r w:rsidRPr="0097405D">
        <w:t xml:space="preserve">is the authorization for the CDQ groups to transfer Chinook salmon PSQ allocations to anyone other than another CDQ group.  CDQ groups may transfer to and receive transfer from any of the other eligible entities; the AFA inshore cooperatives, the AFA catcher/processor sector, and the AFA </w:t>
      </w:r>
      <w:proofErr w:type="spellStart"/>
      <w:r w:rsidRPr="0097405D">
        <w:t>mothership</w:t>
      </w:r>
      <w:proofErr w:type="spellEnd"/>
      <w:r w:rsidRPr="0097405D">
        <w:t xml:space="preserve"> sector</w:t>
      </w:r>
      <w:r w:rsidR="00C11010" w:rsidRPr="0097405D">
        <w:t xml:space="preserve"> via </w:t>
      </w:r>
      <w:r w:rsidR="00AE1588" w:rsidRPr="0097405D">
        <w:t xml:space="preserve">the “CDQ or PSQ non-Chinook Transfer Request.”  </w:t>
      </w:r>
    </w:p>
    <w:p w:rsidR="009D2CF8" w:rsidRPr="0097405D" w:rsidRDefault="009D2CF8" w:rsidP="00D12413">
      <w:pPr>
        <w:numPr>
          <w:ilvl w:val="12"/>
          <w:numId w:val="0"/>
        </w:numPr>
      </w:pPr>
    </w:p>
    <w:p w:rsidR="009D2CF8" w:rsidRPr="0097405D" w:rsidRDefault="009D2CF8" w:rsidP="009D2CF8">
      <w:pPr>
        <w:numPr>
          <w:ilvl w:val="12"/>
          <w:numId w:val="0"/>
        </w:numPr>
        <w:rPr>
          <w:u w:val="single"/>
        </w:rPr>
      </w:pPr>
      <w:r w:rsidRPr="0097405D">
        <w:rPr>
          <w:u w:val="single"/>
        </w:rPr>
        <w:t>OMB Control No. 0648-0616</w:t>
      </w:r>
      <w:r w:rsidR="00E710FF">
        <w:rPr>
          <w:u w:val="single"/>
        </w:rPr>
        <w:t>, approved by OMB on February 8, 2012</w:t>
      </w:r>
    </w:p>
    <w:p w:rsidR="00D92A75" w:rsidRDefault="009D2CF8" w:rsidP="009D2CF8">
      <w:pPr>
        <w:numPr>
          <w:ilvl w:val="12"/>
          <w:numId w:val="0"/>
        </w:numPr>
      </w:pPr>
      <w:r w:rsidRPr="0097405D">
        <w:t xml:space="preserve">The United States Coast Guard (USCG) Act, through a proposed and final rule (RIN No. 0648-AV33), made certain changes to the Magnuson-Stevens Act which caused the removal of regulations at 50 CFR part 679 and a </w:t>
      </w:r>
      <w:r w:rsidR="003123C4" w:rsidRPr="0097405D">
        <w:t xml:space="preserve"> temporary information collection in lieu of a </w:t>
      </w:r>
      <w:r w:rsidRPr="0097405D">
        <w:t xml:space="preserve">revision to the existing OMB Control No. 0648-0269 information collection. </w:t>
      </w:r>
      <w:r w:rsidR="00CC6C86" w:rsidRPr="0097405D">
        <w:t xml:space="preserve"> The </w:t>
      </w:r>
      <w:r w:rsidR="003123C4" w:rsidRPr="0097405D">
        <w:t>0648-</w:t>
      </w:r>
      <w:r w:rsidR="00CC6C86" w:rsidRPr="0097405D">
        <w:t xml:space="preserve">616 </w:t>
      </w:r>
      <w:r w:rsidR="003123C4" w:rsidRPr="0097405D">
        <w:t>request</w:t>
      </w:r>
      <w:r w:rsidR="00CC6C86" w:rsidRPr="0097405D">
        <w:t xml:space="preserve"> moved the “Prior notice to observer, </w:t>
      </w:r>
      <w:proofErr w:type="spellStart"/>
      <w:r w:rsidR="00CC6C86" w:rsidRPr="0097405D">
        <w:t>shoreside</w:t>
      </w:r>
      <w:proofErr w:type="spellEnd"/>
      <w:r w:rsidR="00CC6C86" w:rsidRPr="0097405D">
        <w:t xml:space="preserve">” and the “Prior notice to observer, vessel” to the </w:t>
      </w:r>
      <w:r w:rsidR="00C11010" w:rsidRPr="0097405D">
        <w:t>OMB Control No. 0648-</w:t>
      </w:r>
      <w:r w:rsidR="00CC6C86" w:rsidRPr="0097405D">
        <w:t>0330 collection.</w:t>
      </w:r>
      <w:r w:rsidRPr="0097405D">
        <w:t xml:space="preserve"> </w:t>
      </w:r>
      <w:r w:rsidR="00E710FF">
        <w:t xml:space="preserve">The final rule </w:t>
      </w:r>
      <w:r w:rsidR="00AE1588" w:rsidRPr="0097405D">
        <w:t xml:space="preserve">removed all </w:t>
      </w:r>
      <w:r w:rsidR="00CC6C86" w:rsidRPr="0097405D">
        <w:t xml:space="preserve">of the other </w:t>
      </w:r>
      <w:r w:rsidR="00AE1588" w:rsidRPr="0097405D">
        <w:t xml:space="preserve">data requirements from </w:t>
      </w:r>
    </w:p>
    <w:p w:rsidR="00D92A75" w:rsidRDefault="00D92A75">
      <w:pPr>
        <w:widowControl/>
        <w:autoSpaceDE/>
        <w:autoSpaceDN/>
        <w:adjustRightInd/>
      </w:pPr>
      <w:r>
        <w:br w:type="page"/>
      </w:r>
    </w:p>
    <w:p w:rsidR="009D2CF8" w:rsidRPr="0097405D" w:rsidRDefault="00AE1588" w:rsidP="009D2CF8">
      <w:pPr>
        <w:numPr>
          <w:ilvl w:val="12"/>
          <w:numId w:val="0"/>
        </w:numPr>
      </w:pPr>
      <w:proofErr w:type="gramStart"/>
      <w:r w:rsidRPr="0097405D">
        <w:lastRenderedPageBreak/>
        <w:t>this</w:t>
      </w:r>
      <w:proofErr w:type="gramEnd"/>
      <w:r w:rsidRPr="0097405D">
        <w:t xml:space="preserve"> collection except </w:t>
      </w:r>
      <w:r w:rsidR="00CC6C86" w:rsidRPr="0097405D">
        <w:t>“A</w:t>
      </w:r>
      <w:r w:rsidR="009D2CF8" w:rsidRPr="0097405D">
        <w:t>lternative fishing plan</w:t>
      </w:r>
      <w:r w:rsidR="00CC6C86" w:rsidRPr="0097405D">
        <w:t xml:space="preserve">.”  </w:t>
      </w:r>
      <w:r w:rsidR="00462733" w:rsidRPr="0097405D">
        <w:t>The rule added one new form</w:t>
      </w:r>
      <w:r w:rsidR="00DF4EB8" w:rsidRPr="0097405D">
        <w:t xml:space="preserve"> “Application for Approval of Use of Non-CDQ Harvest </w:t>
      </w:r>
      <w:r w:rsidR="007D2D05" w:rsidRPr="0097405D">
        <w:t>R</w:t>
      </w:r>
      <w:r w:rsidR="00DF4EB8" w:rsidRPr="0097405D">
        <w:t xml:space="preserve">egulations.”  </w:t>
      </w:r>
    </w:p>
    <w:p w:rsidR="00E710FF" w:rsidRDefault="00E710FF" w:rsidP="00D47C44">
      <w:pPr>
        <w:numPr>
          <w:ilvl w:val="12"/>
          <w:numId w:val="0"/>
        </w:numPr>
      </w:pPr>
    </w:p>
    <w:p w:rsidR="00D47C44" w:rsidRPr="0097405D" w:rsidRDefault="00D47C44" w:rsidP="00D47C44">
      <w:pPr>
        <w:numPr>
          <w:ilvl w:val="12"/>
          <w:numId w:val="0"/>
        </w:numPr>
      </w:pPr>
      <w:r w:rsidRPr="0097405D">
        <w:t xml:space="preserve">The new </w:t>
      </w:r>
      <w:r w:rsidR="003123C4" w:rsidRPr="0097405D">
        <w:t>form</w:t>
      </w:r>
      <w:r w:rsidR="00E710FF">
        <w:t>, approved as part of Final R</w:t>
      </w:r>
      <w:r w:rsidR="00E710FF" w:rsidRPr="0097405D">
        <w:t>ule 0648-AV33</w:t>
      </w:r>
      <w:r w:rsidR="00E710FF">
        <w:t xml:space="preserve">, but not added before the rule was finalized, </w:t>
      </w:r>
      <w:r w:rsidR="003123C4" w:rsidRPr="0097405D">
        <w:t xml:space="preserve">has only one respondent, </w:t>
      </w:r>
      <w:r w:rsidRPr="0097405D">
        <w:t>a cooperative</w:t>
      </w:r>
      <w:r w:rsidR="00E710FF">
        <w:t xml:space="preserve"> (one of the existing respondents)</w:t>
      </w:r>
      <w:r w:rsidRPr="0097405D">
        <w:t>, and the form is a one-time submittal.</w:t>
      </w:r>
      <w:r w:rsidR="00E710FF">
        <w:t xml:space="preserve"> </w:t>
      </w:r>
      <w:r w:rsidRPr="0097405D">
        <w:t xml:space="preserve">Burden is estimated to be 5 hours, from one respondent.  </w:t>
      </w:r>
      <w:r w:rsidR="00756C02" w:rsidRPr="0097405D">
        <w:t>T</w:t>
      </w:r>
      <w:r w:rsidRPr="0097405D">
        <w:t>he form is filed in order to obtain less restrictive regulations.</w:t>
      </w:r>
    </w:p>
    <w:p w:rsidR="00D47C44" w:rsidRPr="0097405D" w:rsidRDefault="00D47C44" w:rsidP="00D47C44">
      <w:pPr>
        <w:numPr>
          <w:ilvl w:val="12"/>
          <w:numId w:val="0"/>
        </w:numPr>
      </w:pPr>
    </w:p>
    <w:p w:rsidR="00756C02" w:rsidRPr="0097405D" w:rsidRDefault="00C11010" w:rsidP="00D47C44">
      <w:pPr>
        <w:numPr>
          <w:ilvl w:val="12"/>
          <w:numId w:val="0"/>
        </w:numPr>
      </w:pPr>
      <w:r w:rsidRPr="0097405D">
        <w:t>In the</w:t>
      </w:r>
      <w:r w:rsidR="00E710FF">
        <w:t xml:space="preserve"> final rule</w:t>
      </w:r>
      <w:r w:rsidRPr="0097405D">
        <w:t xml:space="preserve">, </w:t>
      </w:r>
      <w:r w:rsidR="00E710FF">
        <w:t xml:space="preserve">a new paragraph was </w:t>
      </w:r>
      <w:r w:rsidR="00D47C44" w:rsidRPr="0097405D">
        <w:t xml:space="preserve">added to § 679.32 to provide a process for relief from more restrictive CDQ regulations if a voluntary cooperative forms in a non-CDQ sector.  Section 679.32(e) allows a CDQ group, a representative of an association representing the CDQ groups, or a representative of a voluntary fishing cooperative to request approval from NMFS to use non-CDQ harvest regulations while </w:t>
      </w:r>
      <w:proofErr w:type="spellStart"/>
      <w:r w:rsidR="00D47C44" w:rsidRPr="0097405D">
        <w:t>groundfish</w:t>
      </w:r>
      <w:proofErr w:type="spellEnd"/>
      <w:r w:rsidR="00D47C44" w:rsidRPr="0097405D">
        <w:t xml:space="preserve"> CDQ fishing.  </w:t>
      </w:r>
    </w:p>
    <w:p w:rsidR="00756C02" w:rsidRPr="0097405D" w:rsidRDefault="00756C02" w:rsidP="00D47C44">
      <w:pPr>
        <w:numPr>
          <w:ilvl w:val="12"/>
          <w:numId w:val="0"/>
        </w:numPr>
      </w:pPr>
    </w:p>
    <w:p w:rsidR="00756C02" w:rsidRPr="0097405D" w:rsidRDefault="00D47C44" w:rsidP="00D47C44">
      <w:pPr>
        <w:numPr>
          <w:ilvl w:val="12"/>
          <w:numId w:val="0"/>
        </w:numPr>
        <w:rPr>
          <w:vertAlign w:val="superscript"/>
        </w:rPr>
      </w:pPr>
      <w:r w:rsidRPr="0097405D">
        <w:t xml:space="preserve">A person requesting approval to use non-CDQ harvest regulations must submit to NMFS an application that will provide NMFS with information about the submitting entity, the applicable cooperative and the fisheries in which that cooperative participates, the vessels participating in that cooperative, and a copy of the contract or affidavit documenting the formal existence of the cooperative.  NMFS will review this information and make determinations about whether a majority of the participants in the sector in which the voluntary cooperative has formed are participants in the cooperative and whether the CDQ regulations are more restrictive than the non-CDQ regulations applicable to that sector.  </w:t>
      </w:r>
      <w:r w:rsidR="0097405D" w:rsidRPr="0097405D">
        <w:rPr>
          <w:rStyle w:val="FootnoteReference"/>
          <w:vertAlign w:val="superscript"/>
        </w:rPr>
        <w:footnoteReference w:id="1"/>
      </w:r>
    </w:p>
    <w:p w:rsidR="00756C02" w:rsidRPr="0097405D" w:rsidRDefault="00756C02" w:rsidP="00D47C44">
      <w:pPr>
        <w:numPr>
          <w:ilvl w:val="12"/>
          <w:numId w:val="0"/>
        </w:numPr>
      </w:pPr>
    </w:p>
    <w:p w:rsidR="0097405D" w:rsidRPr="0097405D" w:rsidRDefault="0097405D" w:rsidP="00D47C44">
      <w:pPr>
        <w:numPr>
          <w:ilvl w:val="12"/>
          <w:numId w:val="0"/>
        </w:numPr>
      </w:pPr>
      <w:r w:rsidRPr="0097405D">
        <w:rPr>
          <w:u w:val="single"/>
        </w:rPr>
        <w:t>Previous and revised burden</w:t>
      </w:r>
    </w:p>
    <w:p w:rsidR="0097405D" w:rsidRPr="0097405D" w:rsidRDefault="0097405D" w:rsidP="00D47C44">
      <w:pPr>
        <w:numPr>
          <w:ilvl w:val="12"/>
          <w:numId w:val="0"/>
        </w:numPr>
      </w:pPr>
    </w:p>
    <w:p w:rsidR="00A6154A" w:rsidRPr="0097405D" w:rsidRDefault="003123C4" w:rsidP="00D47C44">
      <w:pPr>
        <w:numPr>
          <w:ilvl w:val="12"/>
          <w:numId w:val="0"/>
        </w:numPr>
      </w:pPr>
      <w:r w:rsidRPr="0097405D">
        <w:t xml:space="preserve">In the December </w:t>
      </w:r>
      <w:r w:rsidR="00D92A75">
        <w:t>20</w:t>
      </w:r>
      <w:r w:rsidRPr="0097405D">
        <w:t>1</w:t>
      </w:r>
      <w:r w:rsidR="00D92A75">
        <w:t>1</w:t>
      </w:r>
      <w:r w:rsidRPr="0097405D">
        <w:t xml:space="preserve"> renewal of OMB Control No. 0648-0269, there were 93 re</w:t>
      </w:r>
      <w:r w:rsidR="000F19C4" w:rsidRPr="0097405D">
        <w:t>s</w:t>
      </w:r>
      <w:r w:rsidRPr="0097405D">
        <w:t>pondents, 4,802 responses, 2</w:t>
      </w:r>
      <w:r w:rsidR="00D120CE">
        <w:t>,</w:t>
      </w:r>
      <w:r w:rsidRPr="0097405D">
        <w:t xml:space="preserve">193 hours and $197 in reporting/recordkeeping costs. With the two temporary collections, respondents were reduced to 6; responses, </w:t>
      </w:r>
      <w:r w:rsidR="00967EC5">
        <w:t>24; hours, 54</w:t>
      </w:r>
      <w:r w:rsidR="000F19C4" w:rsidRPr="0097405D">
        <w:t xml:space="preserve"> and costs, $62</w:t>
      </w:r>
      <w:r w:rsidR="00D92A75">
        <w:t xml:space="preserve">, for the remaining: </w:t>
      </w:r>
      <w:r w:rsidR="00160D7B">
        <w:t xml:space="preserve">1) </w:t>
      </w:r>
      <w:r w:rsidR="00C11010" w:rsidRPr="0097405D">
        <w:t>Alt</w:t>
      </w:r>
      <w:r w:rsidR="00160D7B">
        <w:t xml:space="preserve">ernative fishing plan and 2) </w:t>
      </w:r>
      <w:r w:rsidR="00C11010" w:rsidRPr="0097405D">
        <w:t>CDQ or P</w:t>
      </w:r>
      <w:r w:rsidR="00160D7B">
        <w:t>SQ non-Chinook Transfer Request.</w:t>
      </w:r>
    </w:p>
    <w:p w:rsidR="00756C02" w:rsidRPr="0097405D" w:rsidRDefault="00756C02">
      <w:pPr>
        <w:widowControl/>
        <w:autoSpaceDE/>
        <w:autoSpaceDN/>
        <w:adjustRightInd/>
      </w:pPr>
    </w:p>
    <w:p w:rsidR="00694DAF" w:rsidRPr="0097405D" w:rsidRDefault="000F19C4" w:rsidP="00DE2F1C">
      <w:pPr>
        <w:widowControl/>
        <w:autoSpaceDE/>
        <w:autoSpaceDN/>
        <w:adjustRightInd/>
      </w:pPr>
      <w:r w:rsidRPr="0097405D">
        <w:t xml:space="preserve">With the addition of the </w:t>
      </w:r>
      <w:r w:rsidR="00C11010" w:rsidRPr="0097405D">
        <w:t>new form, Application for Approval of Use of Non-CDQ Harvest Regulations, a one-time burden of one 5-hour response</w:t>
      </w:r>
      <w:r w:rsidR="0097405D">
        <w:t xml:space="preserve"> with $1 for postage </w:t>
      </w:r>
      <w:r w:rsidR="00C11010" w:rsidRPr="0097405D">
        <w:t xml:space="preserve">is added, </w:t>
      </w:r>
      <w:r w:rsidR="00C11010" w:rsidRPr="0097405D">
        <w:rPr>
          <w:b/>
        </w:rPr>
        <w:t xml:space="preserve">bringing </w:t>
      </w:r>
      <w:r w:rsidR="00967EC5">
        <w:rPr>
          <w:b/>
        </w:rPr>
        <w:t>the totals to: 6 respondents, 25</w:t>
      </w:r>
      <w:r w:rsidR="00C11010" w:rsidRPr="0097405D">
        <w:rPr>
          <w:b/>
        </w:rPr>
        <w:t xml:space="preserve"> responses, </w:t>
      </w:r>
      <w:r w:rsidR="00967EC5">
        <w:rPr>
          <w:b/>
        </w:rPr>
        <w:t>59</w:t>
      </w:r>
      <w:r w:rsidR="00C11010" w:rsidRPr="0097405D">
        <w:rPr>
          <w:b/>
        </w:rPr>
        <w:t xml:space="preserve"> hours and </w:t>
      </w:r>
      <w:r w:rsidR="0097405D">
        <w:rPr>
          <w:b/>
        </w:rPr>
        <w:t>$</w:t>
      </w:r>
      <w:r w:rsidR="000826A5">
        <w:rPr>
          <w:b/>
        </w:rPr>
        <w:t>63</w:t>
      </w:r>
      <w:r w:rsidR="0097405D">
        <w:rPr>
          <w:b/>
        </w:rPr>
        <w:t>.</w:t>
      </w:r>
    </w:p>
    <w:sectPr w:rsidR="00694DAF" w:rsidRPr="0097405D" w:rsidSect="000B41E7">
      <w:footerReference w:type="default" r:id="rId8"/>
      <w:pgSz w:w="12240" w:h="15840"/>
      <w:pgMar w:top="1440" w:right="1440" w:bottom="72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AC9" w:rsidRDefault="00862AC9">
      <w:r>
        <w:separator/>
      </w:r>
    </w:p>
  </w:endnote>
  <w:endnote w:type="continuationSeparator" w:id="0">
    <w:p w:rsidR="00862AC9" w:rsidRDefault="00862AC9">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E7" w:rsidRDefault="000B41E7">
    <w:pPr>
      <w:spacing w:line="240" w:lineRule="exact"/>
    </w:pPr>
  </w:p>
  <w:p w:rsidR="000B41E7" w:rsidRDefault="002B61C0">
    <w:pPr>
      <w:framePr w:w="9361" w:wrap="notBeside" w:vAnchor="text" w:hAnchor="text" w:x="1" w:y="1"/>
      <w:jc w:val="center"/>
    </w:pPr>
    <w:r>
      <w:fldChar w:fldCharType="begin"/>
    </w:r>
    <w:r w:rsidR="000B41E7">
      <w:instrText xml:space="preserve">PAGE </w:instrText>
    </w:r>
    <w:r>
      <w:fldChar w:fldCharType="separate"/>
    </w:r>
    <w:r w:rsidR="00967EC5">
      <w:rPr>
        <w:noProof/>
      </w:rPr>
      <w:t>2</w:t>
    </w:r>
    <w:r>
      <w:fldChar w:fldCharType="end"/>
    </w:r>
  </w:p>
  <w:p w:rsidR="000B41E7" w:rsidRDefault="000B41E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AC9" w:rsidRDefault="00862AC9">
      <w:r>
        <w:separator/>
      </w:r>
    </w:p>
  </w:footnote>
  <w:footnote w:type="continuationSeparator" w:id="0">
    <w:p w:rsidR="00862AC9" w:rsidRDefault="00862AC9">
      <w:r>
        <w:continuationSeparator/>
      </w:r>
    </w:p>
  </w:footnote>
  <w:footnote w:id="1">
    <w:p w:rsidR="000B41E7" w:rsidRPr="0097405D" w:rsidRDefault="000B41E7" w:rsidP="0097405D">
      <w:pPr>
        <w:numPr>
          <w:ilvl w:val="12"/>
          <w:numId w:val="0"/>
        </w:numPr>
        <w:rPr>
          <w:sz w:val="20"/>
          <w:szCs w:val="20"/>
        </w:rPr>
      </w:pPr>
      <w:r>
        <w:rPr>
          <w:rStyle w:val="FootnoteReference"/>
        </w:rPr>
        <w:footnoteRef/>
      </w:r>
      <w:r>
        <w:t xml:space="preserve"> </w:t>
      </w:r>
      <w:proofErr w:type="gramStart"/>
      <w:r w:rsidRPr="0097405D">
        <w:rPr>
          <w:sz w:val="20"/>
          <w:szCs w:val="20"/>
        </w:rPr>
        <w:t xml:space="preserve">If </w:t>
      </w:r>
      <w:r>
        <w:rPr>
          <w:sz w:val="20"/>
          <w:szCs w:val="20"/>
        </w:rPr>
        <w:t xml:space="preserve"> </w:t>
      </w:r>
      <w:r w:rsidRPr="0097405D">
        <w:rPr>
          <w:sz w:val="20"/>
          <w:szCs w:val="20"/>
        </w:rPr>
        <w:t>NMFS</w:t>
      </w:r>
      <w:proofErr w:type="gramEnd"/>
      <w:r w:rsidRPr="0097405D">
        <w:rPr>
          <w:sz w:val="20"/>
          <w:szCs w:val="20"/>
        </w:rPr>
        <w:t xml:space="preserve"> approves an application, vessel operators operating in the cooperative would have to comply with the applicable regulations in place for a particular non-CDQ </w:t>
      </w:r>
      <w:proofErr w:type="spellStart"/>
      <w:r w:rsidRPr="0097405D">
        <w:rPr>
          <w:sz w:val="20"/>
          <w:szCs w:val="20"/>
        </w:rPr>
        <w:t>groundfish</w:t>
      </w:r>
      <w:proofErr w:type="spellEnd"/>
      <w:r w:rsidRPr="0097405D">
        <w:rPr>
          <w:sz w:val="20"/>
          <w:szCs w:val="20"/>
        </w:rPr>
        <w:t xml:space="preserve"> fishery based on their vessel’s operational category and the directed </w:t>
      </w:r>
      <w:proofErr w:type="spellStart"/>
      <w:r w:rsidRPr="0097405D">
        <w:rPr>
          <w:sz w:val="20"/>
          <w:szCs w:val="20"/>
        </w:rPr>
        <w:t>groundfish</w:t>
      </w:r>
      <w:proofErr w:type="spellEnd"/>
      <w:r w:rsidRPr="0097405D">
        <w:rPr>
          <w:sz w:val="20"/>
          <w:szCs w:val="20"/>
        </w:rPr>
        <w:t xml:space="preserve"> fisheries in which they participated.  Specifically, vessel operators would not have to comply with the applicable operational requirements in § 679.32(c</w:t>
      </w:r>
      <w:proofErr w:type="gramStart"/>
      <w:r w:rsidRPr="0097405D">
        <w:rPr>
          <w:sz w:val="20"/>
          <w:szCs w:val="20"/>
        </w:rPr>
        <w:t>)(</w:t>
      </w:r>
      <w:proofErr w:type="gramEnd"/>
      <w:r w:rsidRPr="0097405D">
        <w:rPr>
          <w:sz w:val="20"/>
          <w:szCs w:val="20"/>
        </w:rPr>
        <w:t>3)(</w:t>
      </w:r>
      <w:proofErr w:type="spellStart"/>
      <w:r w:rsidRPr="0097405D">
        <w:rPr>
          <w:sz w:val="20"/>
          <w:szCs w:val="20"/>
        </w:rPr>
        <w:t>i</w:t>
      </w:r>
      <w:proofErr w:type="spellEnd"/>
      <w:r w:rsidRPr="0097405D">
        <w:rPr>
          <w:sz w:val="20"/>
          <w:szCs w:val="20"/>
        </w:rPr>
        <w:t>) associated with (1) observer coverage levels and experience requirements (OMB Control No. 0648-0318), (2) observer sampling stations (OMB Control No. 0648-0330), and (3) the information used to accrue catch against the CDQ allocations.  Operators also would not have to comply with CDQ observer coverage requirements in § 679.50(c</w:t>
      </w:r>
      <w:proofErr w:type="gramStart"/>
      <w:r w:rsidRPr="0097405D">
        <w:rPr>
          <w:sz w:val="20"/>
          <w:szCs w:val="20"/>
        </w:rPr>
        <w:t>)(</w:t>
      </w:r>
      <w:proofErr w:type="gramEnd"/>
      <w:r w:rsidRPr="0097405D">
        <w:rPr>
          <w:sz w:val="20"/>
          <w:szCs w:val="20"/>
        </w:rPr>
        <w:t>4), but would have to comply with the more general observer requirements detailed in other paragraphs of § 679.50 that apply when these vessels are fishing in the non-CDQ fisheries (OMB Control No. 0648-0318).</w:t>
      </w:r>
    </w:p>
    <w:p w:rsidR="000B41E7" w:rsidRDefault="000B41E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C497F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01177"/>
    <w:rsid w:val="00025FBE"/>
    <w:rsid w:val="00026498"/>
    <w:rsid w:val="00027F50"/>
    <w:rsid w:val="00044CCC"/>
    <w:rsid w:val="00055C38"/>
    <w:rsid w:val="00056670"/>
    <w:rsid w:val="000577E4"/>
    <w:rsid w:val="0006100A"/>
    <w:rsid w:val="000770F7"/>
    <w:rsid w:val="000826A5"/>
    <w:rsid w:val="000B41E7"/>
    <w:rsid w:val="000C0424"/>
    <w:rsid w:val="000C0D82"/>
    <w:rsid w:val="000E60AA"/>
    <w:rsid w:val="000F19C4"/>
    <w:rsid w:val="001122AA"/>
    <w:rsid w:val="001468B5"/>
    <w:rsid w:val="00152AC0"/>
    <w:rsid w:val="001609AB"/>
    <w:rsid w:val="00160D7B"/>
    <w:rsid w:val="00164144"/>
    <w:rsid w:val="00175272"/>
    <w:rsid w:val="00177434"/>
    <w:rsid w:val="00185AEE"/>
    <w:rsid w:val="001934D2"/>
    <w:rsid w:val="001A3F17"/>
    <w:rsid w:val="001A438F"/>
    <w:rsid w:val="001C41E4"/>
    <w:rsid w:val="001F1CF3"/>
    <w:rsid w:val="00200E85"/>
    <w:rsid w:val="00204FB3"/>
    <w:rsid w:val="002141A3"/>
    <w:rsid w:val="002269D7"/>
    <w:rsid w:val="00243B94"/>
    <w:rsid w:val="00244F99"/>
    <w:rsid w:val="00251973"/>
    <w:rsid w:val="0026609A"/>
    <w:rsid w:val="00267AC8"/>
    <w:rsid w:val="002B027C"/>
    <w:rsid w:val="002B61C0"/>
    <w:rsid w:val="002C1054"/>
    <w:rsid w:val="003123C4"/>
    <w:rsid w:val="003159A2"/>
    <w:rsid w:val="00320284"/>
    <w:rsid w:val="00324E32"/>
    <w:rsid w:val="00327E01"/>
    <w:rsid w:val="0033452A"/>
    <w:rsid w:val="003374E7"/>
    <w:rsid w:val="003518AF"/>
    <w:rsid w:val="003632FA"/>
    <w:rsid w:val="00364782"/>
    <w:rsid w:val="003C20BD"/>
    <w:rsid w:val="003C746E"/>
    <w:rsid w:val="003D6C34"/>
    <w:rsid w:val="003E2293"/>
    <w:rsid w:val="003E2CB8"/>
    <w:rsid w:val="003E3543"/>
    <w:rsid w:val="00413C0A"/>
    <w:rsid w:val="00462733"/>
    <w:rsid w:val="00491397"/>
    <w:rsid w:val="004C522F"/>
    <w:rsid w:val="004D2018"/>
    <w:rsid w:val="00516E30"/>
    <w:rsid w:val="005509AA"/>
    <w:rsid w:val="00550A70"/>
    <w:rsid w:val="00570E69"/>
    <w:rsid w:val="005916BB"/>
    <w:rsid w:val="005948E0"/>
    <w:rsid w:val="005A1812"/>
    <w:rsid w:val="005B6D23"/>
    <w:rsid w:val="005C3025"/>
    <w:rsid w:val="005E379F"/>
    <w:rsid w:val="006013C6"/>
    <w:rsid w:val="006270A8"/>
    <w:rsid w:val="006575C8"/>
    <w:rsid w:val="00694DAF"/>
    <w:rsid w:val="006B70EF"/>
    <w:rsid w:val="006E0AE4"/>
    <w:rsid w:val="006F58EF"/>
    <w:rsid w:val="00711C47"/>
    <w:rsid w:val="0073596D"/>
    <w:rsid w:val="00735FB1"/>
    <w:rsid w:val="00750C32"/>
    <w:rsid w:val="00756C02"/>
    <w:rsid w:val="00761B65"/>
    <w:rsid w:val="007908D1"/>
    <w:rsid w:val="007B0A00"/>
    <w:rsid w:val="007D2D05"/>
    <w:rsid w:val="007E438A"/>
    <w:rsid w:val="007F65C5"/>
    <w:rsid w:val="00830E50"/>
    <w:rsid w:val="00862AC9"/>
    <w:rsid w:val="00874154"/>
    <w:rsid w:val="008749BB"/>
    <w:rsid w:val="008804B5"/>
    <w:rsid w:val="00886FE5"/>
    <w:rsid w:val="008B1EBC"/>
    <w:rsid w:val="008C0FFA"/>
    <w:rsid w:val="008C1533"/>
    <w:rsid w:val="008C68A5"/>
    <w:rsid w:val="008D44D3"/>
    <w:rsid w:val="008E7391"/>
    <w:rsid w:val="008F2858"/>
    <w:rsid w:val="00967EC5"/>
    <w:rsid w:val="0097405D"/>
    <w:rsid w:val="00986176"/>
    <w:rsid w:val="00987B15"/>
    <w:rsid w:val="009A5D0D"/>
    <w:rsid w:val="009C304C"/>
    <w:rsid w:val="009D2CF8"/>
    <w:rsid w:val="00A01C25"/>
    <w:rsid w:val="00A02372"/>
    <w:rsid w:val="00A04471"/>
    <w:rsid w:val="00A2276A"/>
    <w:rsid w:val="00A252BA"/>
    <w:rsid w:val="00A26255"/>
    <w:rsid w:val="00A278EF"/>
    <w:rsid w:val="00A56219"/>
    <w:rsid w:val="00A6154A"/>
    <w:rsid w:val="00A66FDA"/>
    <w:rsid w:val="00A71251"/>
    <w:rsid w:val="00A73170"/>
    <w:rsid w:val="00A75561"/>
    <w:rsid w:val="00A925A7"/>
    <w:rsid w:val="00A96756"/>
    <w:rsid w:val="00AB4489"/>
    <w:rsid w:val="00AB736F"/>
    <w:rsid w:val="00AE1588"/>
    <w:rsid w:val="00AE3FED"/>
    <w:rsid w:val="00B01177"/>
    <w:rsid w:val="00B17595"/>
    <w:rsid w:val="00B42A6F"/>
    <w:rsid w:val="00B87272"/>
    <w:rsid w:val="00BA7DEC"/>
    <w:rsid w:val="00C014B3"/>
    <w:rsid w:val="00C11010"/>
    <w:rsid w:val="00C43501"/>
    <w:rsid w:val="00C645FA"/>
    <w:rsid w:val="00C66335"/>
    <w:rsid w:val="00C76DF8"/>
    <w:rsid w:val="00CA133D"/>
    <w:rsid w:val="00CA1AB9"/>
    <w:rsid w:val="00CB61FA"/>
    <w:rsid w:val="00CC6C86"/>
    <w:rsid w:val="00CE0EEF"/>
    <w:rsid w:val="00CE2DAB"/>
    <w:rsid w:val="00D03A61"/>
    <w:rsid w:val="00D120CE"/>
    <w:rsid w:val="00D12413"/>
    <w:rsid w:val="00D14463"/>
    <w:rsid w:val="00D277C7"/>
    <w:rsid w:val="00D47C44"/>
    <w:rsid w:val="00D557F8"/>
    <w:rsid w:val="00D65BBE"/>
    <w:rsid w:val="00D67365"/>
    <w:rsid w:val="00D705DE"/>
    <w:rsid w:val="00D92A75"/>
    <w:rsid w:val="00DA5676"/>
    <w:rsid w:val="00DC27F7"/>
    <w:rsid w:val="00DC4495"/>
    <w:rsid w:val="00DE0AAC"/>
    <w:rsid w:val="00DE210B"/>
    <w:rsid w:val="00DE2F1C"/>
    <w:rsid w:val="00DE569A"/>
    <w:rsid w:val="00DE6F26"/>
    <w:rsid w:val="00DF3F21"/>
    <w:rsid w:val="00DF4EB8"/>
    <w:rsid w:val="00E267C3"/>
    <w:rsid w:val="00E375BF"/>
    <w:rsid w:val="00E4008E"/>
    <w:rsid w:val="00E42859"/>
    <w:rsid w:val="00E612C0"/>
    <w:rsid w:val="00E710FF"/>
    <w:rsid w:val="00E858F7"/>
    <w:rsid w:val="00E940B5"/>
    <w:rsid w:val="00EA341B"/>
    <w:rsid w:val="00EE724E"/>
    <w:rsid w:val="00EF0D65"/>
    <w:rsid w:val="00EF16C7"/>
    <w:rsid w:val="00F151C7"/>
    <w:rsid w:val="00F4176F"/>
    <w:rsid w:val="00F5278D"/>
    <w:rsid w:val="00F71EF6"/>
    <w:rsid w:val="00F816B0"/>
    <w:rsid w:val="00F83993"/>
    <w:rsid w:val="00F97D88"/>
    <w:rsid w:val="00FC4011"/>
    <w:rsid w:val="00FC47CA"/>
    <w:rsid w:val="00FE3B77"/>
    <w:rsid w:val="00FE3C83"/>
    <w:rsid w:val="00FE4280"/>
    <w:rsid w:val="00FE7D21"/>
    <w:rsid w:val="00FF6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B7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E3B77"/>
  </w:style>
  <w:style w:type="character" w:customStyle="1" w:styleId="Hypertext">
    <w:name w:val="Hypertext"/>
    <w:rsid w:val="00FE3B77"/>
    <w:rPr>
      <w:color w:val="0000FF"/>
      <w:u w:val="single"/>
    </w:rPr>
  </w:style>
  <w:style w:type="paragraph" w:customStyle="1" w:styleId="Level1">
    <w:name w:val="Level 1"/>
    <w:basedOn w:val="Normal"/>
    <w:rsid w:val="00FE3B77"/>
    <w:pPr>
      <w:ind w:left="360" w:hanging="360"/>
    </w:pPr>
  </w:style>
  <w:style w:type="character" w:styleId="CommentReference">
    <w:name w:val="annotation reference"/>
    <w:basedOn w:val="DefaultParagraphFont"/>
    <w:rsid w:val="00CA133D"/>
    <w:rPr>
      <w:sz w:val="16"/>
      <w:szCs w:val="16"/>
    </w:rPr>
  </w:style>
  <w:style w:type="paragraph" w:styleId="CommentText">
    <w:name w:val="annotation text"/>
    <w:basedOn w:val="Normal"/>
    <w:link w:val="CommentTextChar"/>
    <w:rsid w:val="00CA133D"/>
    <w:rPr>
      <w:sz w:val="20"/>
      <w:szCs w:val="20"/>
    </w:rPr>
  </w:style>
  <w:style w:type="character" w:customStyle="1" w:styleId="CommentTextChar">
    <w:name w:val="Comment Text Char"/>
    <w:basedOn w:val="DefaultParagraphFont"/>
    <w:link w:val="CommentText"/>
    <w:rsid w:val="00CA133D"/>
  </w:style>
  <w:style w:type="paragraph" w:styleId="CommentSubject">
    <w:name w:val="annotation subject"/>
    <w:basedOn w:val="CommentText"/>
    <w:next w:val="CommentText"/>
    <w:link w:val="CommentSubjectChar"/>
    <w:rsid w:val="00CA133D"/>
    <w:rPr>
      <w:b/>
      <w:bCs/>
    </w:rPr>
  </w:style>
  <w:style w:type="character" w:customStyle="1" w:styleId="CommentSubjectChar">
    <w:name w:val="Comment Subject Char"/>
    <w:basedOn w:val="CommentTextChar"/>
    <w:link w:val="CommentSubject"/>
    <w:rsid w:val="00CA133D"/>
    <w:rPr>
      <w:b/>
      <w:bCs/>
    </w:rPr>
  </w:style>
  <w:style w:type="paragraph" w:styleId="BalloonText">
    <w:name w:val="Balloon Text"/>
    <w:basedOn w:val="Normal"/>
    <w:link w:val="BalloonTextChar"/>
    <w:rsid w:val="00CA133D"/>
    <w:rPr>
      <w:rFonts w:ascii="Tahoma" w:hAnsi="Tahoma" w:cs="Tahoma"/>
      <w:sz w:val="16"/>
      <w:szCs w:val="16"/>
    </w:rPr>
  </w:style>
  <w:style w:type="character" w:customStyle="1" w:styleId="BalloonTextChar">
    <w:name w:val="Balloon Text Char"/>
    <w:basedOn w:val="DefaultParagraphFont"/>
    <w:link w:val="BalloonText"/>
    <w:rsid w:val="00CA133D"/>
    <w:rPr>
      <w:rFonts w:ascii="Tahoma" w:hAnsi="Tahoma" w:cs="Tahoma"/>
      <w:sz w:val="16"/>
      <w:szCs w:val="16"/>
    </w:rPr>
  </w:style>
  <w:style w:type="character" w:styleId="Hyperlink">
    <w:name w:val="Hyperlink"/>
    <w:basedOn w:val="DefaultParagraphFont"/>
    <w:rsid w:val="00D705DE"/>
    <w:rPr>
      <w:color w:val="0000FF"/>
      <w:u w:val="single"/>
    </w:rPr>
  </w:style>
  <w:style w:type="paragraph" w:customStyle="1" w:styleId="Default">
    <w:name w:val="Default"/>
    <w:rsid w:val="00D65BBE"/>
    <w:pPr>
      <w:autoSpaceDE w:val="0"/>
      <w:autoSpaceDN w:val="0"/>
      <w:adjustRightInd w:val="0"/>
    </w:pPr>
    <w:rPr>
      <w:color w:val="000000"/>
      <w:sz w:val="24"/>
      <w:szCs w:val="24"/>
    </w:rPr>
  </w:style>
  <w:style w:type="table" w:styleId="TableGrid">
    <w:name w:val="Table Grid"/>
    <w:basedOn w:val="TableNormal"/>
    <w:rsid w:val="00627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7405D"/>
    <w:rPr>
      <w:sz w:val="20"/>
      <w:szCs w:val="20"/>
    </w:rPr>
  </w:style>
  <w:style w:type="character" w:customStyle="1" w:styleId="FootnoteTextChar">
    <w:name w:val="Footnote Text Char"/>
    <w:basedOn w:val="DefaultParagraphFont"/>
    <w:link w:val="FootnoteText"/>
    <w:rsid w:val="00974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CommentReference">
    <w:name w:val="annotation reference"/>
    <w:basedOn w:val="DefaultParagraphFont"/>
    <w:rsid w:val="00CA133D"/>
    <w:rPr>
      <w:sz w:val="16"/>
      <w:szCs w:val="16"/>
    </w:rPr>
  </w:style>
  <w:style w:type="paragraph" w:styleId="CommentText">
    <w:name w:val="annotation text"/>
    <w:basedOn w:val="Normal"/>
    <w:link w:val="CommentTextChar"/>
    <w:rsid w:val="00CA133D"/>
    <w:rPr>
      <w:sz w:val="20"/>
      <w:szCs w:val="20"/>
    </w:rPr>
  </w:style>
  <w:style w:type="character" w:customStyle="1" w:styleId="CommentTextChar">
    <w:name w:val="Comment Text Char"/>
    <w:basedOn w:val="DefaultParagraphFont"/>
    <w:link w:val="CommentText"/>
    <w:rsid w:val="00CA133D"/>
  </w:style>
  <w:style w:type="paragraph" w:styleId="CommentSubject">
    <w:name w:val="annotation subject"/>
    <w:basedOn w:val="CommentText"/>
    <w:next w:val="CommentText"/>
    <w:link w:val="CommentSubjectChar"/>
    <w:rsid w:val="00CA133D"/>
    <w:rPr>
      <w:b/>
      <w:bCs/>
    </w:rPr>
  </w:style>
  <w:style w:type="character" w:customStyle="1" w:styleId="CommentSubjectChar">
    <w:name w:val="Comment Subject Char"/>
    <w:basedOn w:val="CommentTextChar"/>
    <w:link w:val="CommentSubject"/>
    <w:rsid w:val="00CA133D"/>
    <w:rPr>
      <w:b/>
      <w:bCs/>
    </w:rPr>
  </w:style>
  <w:style w:type="paragraph" w:styleId="BalloonText">
    <w:name w:val="Balloon Text"/>
    <w:basedOn w:val="Normal"/>
    <w:link w:val="BalloonTextChar"/>
    <w:rsid w:val="00CA133D"/>
    <w:rPr>
      <w:rFonts w:ascii="Tahoma" w:hAnsi="Tahoma" w:cs="Tahoma"/>
      <w:sz w:val="16"/>
      <w:szCs w:val="16"/>
    </w:rPr>
  </w:style>
  <w:style w:type="character" w:customStyle="1" w:styleId="BalloonTextChar">
    <w:name w:val="Balloon Text Char"/>
    <w:basedOn w:val="DefaultParagraphFont"/>
    <w:link w:val="BalloonText"/>
    <w:rsid w:val="00CA133D"/>
    <w:rPr>
      <w:rFonts w:ascii="Tahoma" w:hAnsi="Tahoma" w:cs="Tahoma"/>
      <w:sz w:val="16"/>
      <w:szCs w:val="16"/>
    </w:rPr>
  </w:style>
  <w:style w:type="character" w:styleId="Hyperlink">
    <w:name w:val="Hyperlink"/>
    <w:basedOn w:val="DefaultParagraphFont"/>
    <w:rsid w:val="00D705DE"/>
    <w:rPr>
      <w:color w:val="0000FF"/>
      <w:u w:val="single"/>
    </w:rPr>
  </w:style>
  <w:style w:type="paragraph" w:customStyle="1" w:styleId="Default">
    <w:name w:val="Default"/>
    <w:rsid w:val="00D65BBE"/>
    <w:pPr>
      <w:autoSpaceDE w:val="0"/>
      <w:autoSpaceDN w:val="0"/>
      <w:adjustRightInd w:val="0"/>
    </w:pPr>
    <w:rPr>
      <w:color w:val="000000"/>
      <w:sz w:val="24"/>
      <w:szCs w:val="24"/>
    </w:rPr>
  </w:style>
  <w:style w:type="table" w:styleId="TableGrid">
    <w:name w:val="Table Grid"/>
    <w:basedOn w:val="TableNormal"/>
    <w:rsid w:val="00627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3D91-C463-42BD-B179-389B2514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826</Words>
  <Characters>4548</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Links>
    <vt:vector size="18" baseType="variant">
      <vt:variant>
        <vt:i4>4915209</vt:i4>
      </vt:variant>
      <vt:variant>
        <vt:i4>6</vt:i4>
      </vt:variant>
      <vt:variant>
        <vt:i4>0</vt:i4>
      </vt:variant>
      <vt:variant>
        <vt:i4>5</vt:i4>
      </vt:variant>
      <vt:variant>
        <vt:lpwstr>http://www.alaskafisheries.noaa.gov/</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sarah.brabson</cp:lastModifiedBy>
  <cp:revision>14</cp:revision>
  <cp:lastPrinted>2012-03-26T16:27:00Z</cp:lastPrinted>
  <dcterms:created xsi:type="dcterms:W3CDTF">2012-03-15T18:18:00Z</dcterms:created>
  <dcterms:modified xsi:type="dcterms:W3CDTF">2012-03-27T19:50:00Z</dcterms:modified>
</cp:coreProperties>
</file>