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5" w:rsidRPr="007976D5" w:rsidRDefault="004D48F5" w:rsidP="004D48F5">
      <w:pPr>
        <w:spacing w:after="0"/>
        <w:rPr>
          <w:rFonts w:ascii="Times New Roman" w:hAnsi="Times New Roman" w:cs="Times New Roman"/>
          <w:b/>
          <w:sz w:val="24"/>
          <w:szCs w:val="24"/>
        </w:rPr>
      </w:pPr>
      <w:bookmarkStart w:id="0" w:name="_GoBack"/>
      <w:bookmarkEnd w:id="0"/>
    </w:p>
    <w:p w:rsidR="004D48F5" w:rsidRPr="007976D5" w:rsidRDefault="004D48F5" w:rsidP="009B6527">
      <w:pPr>
        <w:spacing w:after="0"/>
        <w:rPr>
          <w:rFonts w:ascii="Times New Roman" w:hAnsi="Times New Roman" w:cs="Times New Roman"/>
          <w:sz w:val="24"/>
          <w:szCs w:val="24"/>
        </w:rPr>
      </w:pPr>
    </w:p>
    <w:p w:rsidR="00D41C68" w:rsidRPr="007976D5" w:rsidRDefault="00D41C68" w:rsidP="004D48F5">
      <w:pPr>
        <w:spacing w:after="0"/>
        <w:jc w:val="center"/>
        <w:rPr>
          <w:rFonts w:ascii="Times New Roman" w:hAnsi="Times New Roman" w:cs="Times New Roman"/>
          <w:b/>
          <w:sz w:val="24"/>
          <w:szCs w:val="24"/>
        </w:rPr>
      </w:pPr>
    </w:p>
    <w:p w:rsidR="00905D7F" w:rsidRDefault="003A0E59" w:rsidP="004D48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Information</w:t>
      </w:r>
      <w:r w:rsidR="004D48F5" w:rsidRPr="00905D7F">
        <w:rPr>
          <w:rFonts w:ascii="Times New Roman" w:eastAsia="Calibri" w:hAnsi="Times New Roman" w:cs="Times New Roman"/>
          <w:b/>
          <w:sz w:val="24"/>
          <w:szCs w:val="24"/>
        </w:rPr>
        <w:t xml:space="preserve"> Collection for</w:t>
      </w:r>
      <w:r w:rsidR="00534F7B" w:rsidRPr="00905D7F">
        <w:rPr>
          <w:rFonts w:ascii="Times New Roman" w:eastAsia="Calibri" w:hAnsi="Times New Roman" w:cs="Times New Roman"/>
          <w:b/>
          <w:sz w:val="24"/>
          <w:szCs w:val="24"/>
        </w:rPr>
        <w:t xml:space="preserve"> </w:t>
      </w:r>
      <w:r w:rsidR="004D48F5" w:rsidRPr="00905D7F">
        <w:rPr>
          <w:rFonts w:ascii="Times New Roman" w:eastAsia="Calibri" w:hAnsi="Times New Roman" w:cs="Times New Roman"/>
          <w:b/>
          <w:sz w:val="24"/>
          <w:szCs w:val="24"/>
        </w:rPr>
        <w:t xml:space="preserve">Evaluation of Education, Communication, and Training (ECT) Activities for </w:t>
      </w:r>
      <w:r w:rsidR="00905D7F" w:rsidRPr="00905D7F">
        <w:rPr>
          <w:rFonts w:ascii="Times New Roman" w:hAnsi="Times New Roman" w:cs="Times New Roman"/>
          <w:b/>
          <w:bCs/>
          <w:color w:val="000000"/>
          <w:sz w:val="24"/>
          <w:szCs w:val="24"/>
        </w:rPr>
        <w:t>the Division of Global Migration and Quarantine</w:t>
      </w:r>
    </w:p>
    <w:p w:rsidR="00905D7F" w:rsidRDefault="00905D7F" w:rsidP="004D48F5">
      <w:pPr>
        <w:spacing w:after="0"/>
        <w:jc w:val="center"/>
        <w:rPr>
          <w:rFonts w:ascii="Times New Roman" w:eastAsia="Calibri" w:hAnsi="Times New Roman" w:cs="Times New Roman"/>
          <w:b/>
          <w:sz w:val="24"/>
          <w:szCs w:val="24"/>
        </w:rPr>
      </w:pPr>
    </w:p>
    <w:p w:rsidR="003A0E59" w:rsidRDefault="00E30787" w:rsidP="003A0E59">
      <w:pPr>
        <w:spacing w:after="0"/>
        <w:jc w:val="center"/>
        <w:rPr>
          <w:rFonts w:ascii="Times New Roman" w:eastAsia="Calibri" w:hAnsi="Times New Roman" w:cs="Times New Roman"/>
          <w:b/>
          <w:sz w:val="24"/>
          <w:szCs w:val="24"/>
        </w:rPr>
      </w:pPr>
      <w:r w:rsidRPr="00E30787">
        <w:rPr>
          <w:rFonts w:ascii="Times New Roman" w:eastAsia="Calibri" w:hAnsi="Times New Roman" w:cs="Times New Roman"/>
          <w:b/>
          <w:sz w:val="24"/>
          <w:szCs w:val="24"/>
        </w:rPr>
        <w:t xml:space="preserve">Evaluating the </w:t>
      </w:r>
      <w:r w:rsidR="004F5301">
        <w:rPr>
          <w:rFonts w:ascii="Times New Roman" w:eastAsia="Calibri" w:hAnsi="Times New Roman" w:cs="Times New Roman"/>
          <w:b/>
          <w:sz w:val="24"/>
          <w:szCs w:val="24"/>
        </w:rPr>
        <w:t>E</w:t>
      </w:r>
      <w:r w:rsidR="004F5301" w:rsidRPr="00E30787">
        <w:rPr>
          <w:rFonts w:ascii="Times New Roman" w:eastAsia="Calibri" w:hAnsi="Times New Roman" w:cs="Times New Roman"/>
          <w:b/>
          <w:sz w:val="24"/>
          <w:szCs w:val="24"/>
        </w:rPr>
        <w:t xml:space="preserve">ffectiveness </w:t>
      </w:r>
      <w:r w:rsidRPr="00E30787">
        <w:rPr>
          <w:rFonts w:ascii="Times New Roman" w:eastAsia="Calibri" w:hAnsi="Times New Roman" w:cs="Times New Roman"/>
          <w:b/>
          <w:sz w:val="24"/>
          <w:szCs w:val="24"/>
        </w:rPr>
        <w:t xml:space="preserve">of Quick Response </w:t>
      </w:r>
      <w:r w:rsidR="004F5301">
        <w:rPr>
          <w:rFonts w:ascii="Times New Roman" w:eastAsia="Calibri" w:hAnsi="Times New Roman" w:cs="Times New Roman"/>
          <w:b/>
          <w:sz w:val="24"/>
          <w:szCs w:val="24"/>
        </w:rPr>
        <w:t>C</w:t>
      </w:r>
      <w:r w:rsidR="004F5301" w:rsidRPr="00E30787">
        <w:rPr>
          <w:rFonts w:ascii="Times New Roman" w:eastAsia="Calibri" w:hAnsi="Times New Roman" w:cs="Times New Roman"/>
          <w:b/>
          <w:sz w:val="24"/>
          <w:szCs w:val="24"/>
        </w:rPr>
        <w:t xml:space="preserve">odes </w:t>
      </w:r>
      <w:r w:rsidRPr="00E30787">
        <w:rPr>
          <w:rFonts w:ascii="Times New Roman" w:eastAsia="Calibri" w:hAnsi="Times New Roman" w:cs="Times New Roman"/>
          <w:b/>
          <w:sz w:val="24"/>
          <w:szCs w:val="24"/>
        </w:rPr>
        <w:t xml:space="preserve">in </w:t>
      </w:r>
      <w:r w:rsidR="004F5301">
        <w:rPr>
          <w:rFonts w:ascii="Times New Roman" w:eastAsia="Calibri" w:hAnsi="Times New Roman" w:cs="Times New Roman"/>
          <w:b/>
          <w:sz w:val="24"/>
          <w:szCs w:val="24"/>
        </w:rPr>
        <w:t>E</w:t>
      </w:r>
      <w:r w:rsidR="004F5301" w:rsidRPr="00E30787">
        <w:rPr>
          <w:rFonts w:ascii="Times New Roman" w:eastAsia="Calibri" w:hAnsi="Times New Roman" w:cs="Times New Roman"/>
          <w:b/>
          <w:sz w:val="24"/>
          <w:szCs w:val="24"/>
        </w:rPr>
        <w:t xml:space="preserve">ducating </w:t>
      </w:r>
      <w:r w:rsidRPr="00E30787">
        <w:rPr>
          <w:rFonts w:ascii="Times New Roman" w:eastAsia="Calibri" w:hAnsi="Times New Roman" w:cs="Times New Roman"/>
          <w:b/>
          <w:sz w:val="24"/>
          <w:szCs w:val="24"/>
        </w:rPr>
        <w:t>Panel Physicians</w:t>
      </w:r>
    </w:p>
    <w:p w:rsidR="003A0E59" w:rsidRDefault="003A0E59" w:rsidP="004D48F5">
      <w:pPr>
        <w:spacing w:after="0"/>
        <w:jc w:val="center"/>
        <w:rPr>
          <w:rFonts w:ascii="Times New Roman" w:eastAsia="Calibri" w:hAnsi="Times New Roman" w:cs="Times New Roman"/>
          <w:b/>
          <w:sz w:val="24"/>
          <w:szCs w:val="24"/>
        </w:rPr>
      </w:pPr>
    </w:p>
    <w:p w:rsidR="004D48F5" w:rsidRPr="00905D7F" w:rsidRDefault="004D48F5" w:rsidP="004D48F5">
      <w:pPr>
        <w:spacing w:after="0"/>
        <w:jc w:val="center"/>
        <w:rPr>
          <w:rFonts w:ascii="Times New Roman" w:eastAsia="Calibri" w:hAnsi="Times New Roman" w:cs="Times New Roman"/>
          <w:b/>
          <w:sz w:val="24"/>
          <w:szCs w:val="24"/>
        </w:rPr>
      </w:pPr>
      <w:r w:rsidRPr="00905D7F">
        <w:rPr>
          <w:rFonts w:ascii="Times New Roman" w:eastAsia="Calibri" w:hAnsi="Times New Roman" w:cs="Times New Roman"/>
          <w:b/>
          <w:sz w:val="24"/>
          <w:szCs w:val="24"/>
        </w:rPr>
        <w:t>Generic Information Collection Request</w:t>
      </w:r>
    </w:p>
    <w:p w:rsidR="004D48F5" w:rsidRDefault="004D48F5" w:rsidP="004D48F5">
      <w:pPr>
        <w:pStyle w:val="Header"/>
        <w:tabs>
          <w:tab w:val="clear" w:pos="4680"/>
        </w:tabs>
        <w:jc w:val="center"/>
        <w:rPr>
          <w:rFonts w:ascii="Times New Roman" w:eastAsia="Calibri" w:hAnsi="Times New Roman" w:cs="Times New Roman"/>
          <w:b/>
          <w:sz w:val="24"/>
          <w:szCs w:val="24"/>
        </w:rPr>
      </w:pPr>
      <w:r w:rsidRPr="00905D7F">
        <w:rPr>
          <w:rFonts w:ascii="Times New Roman" w:eastAsia="Calibri" w:hAnsi="Times New Roman" w:cs="Times New Roman"/>
          <w:b/>
          <w:sz w:val="24"/>
          <w:szCs w:val="24"/>
        </w:rPr>
        <w:t>OMB No. 0920-</w:t>
      </w:r>
      <w:r w:rsidR="00806D0A" w:rsidRPr="00905D7F">
        <w:rPr>
          <w:rFonts w:ascii="Times New Roman" w:eastAsia="Calibri" w:hAnsi="Times New Roman" w:cs="Times New Roman"/>
          <w:b/>
          <w:sz w:val="24"/>
          <w:szCs w:val="24"/>
        </w:rPr>
        <w:t>0932</w:t>
      </w:r>
    </w:p>
    <w:p w:rsidR="004D48F5" w:rsidRPr="007976D5" w:rsidRDefault="004D48F5" w:rsidP="004D48F5">
      <w:pPr>
        <w:spacing w:after="0"/>
        <w:rPr>
          <w:rFonts w:ascii="Times New Roman" w:hAnsi="Times New Roman" w:cs="Times New Roman"/>
          <w:b/>
          <w:sz w:val="24"/>
          <w:szCs w:val="24"/>
        </w:rPr>
      </w:pPr>
    </w:p>
    <w:p w:rsidR="004D48F5" w:rsidRPr="007976D5" w:rsidRDefault="004D48F5" w:rsidP="004D48F5">
      <w:pPr>
        <w:spacing w:after="0"/>
        <w:rPr>
          <w:rFonts w:ascii="Times New Roman" w:hAnsi="Times New Roman" w:cs="Times New Roman"/>
          <w:b/>
          <w:sz w:val="24"/>
          <w:szCs w:val="24"/>
        </w:rPr>
      </w:pPr>
    </w:p>
    <w:p w:rsidR="008A637E" w:rsidRDefault="008A637E" w:rsidP="00905D7F">
      <w:pPr>
        <w:spacing w:after="0"/>
        <w:jc w:val="center"/>
        <w:rPr>
          <w:rFonts w:ascii="Times New Roman" w:hAnsi="Times New Roman" w:cs="Times New Roman"/>
          <w:b/>
          <w:sz w:val="24"/>
          <w:szCs w:val="24"/>
        </w:rPr>
      </w:pPr>
    </w:p>
    <w:p w:rsidR="008A637E" w:rsidRDefault="0070687F" w:rsidP="00905D7F">
      <w:pPr>
        <w:spacing w:after="0"/>
        <w:jc w:val="center"/>
        <w:rPr>
          <w:rFonts w:ascii="Times New Roman" w:hAnsi="Times New Roman" w:cs="Times New Roman"/>
          <w:b/>
          <w:sz w:val="24"/>
          <w:szCs w:val="24"/>
        </w:rPr>
      </w:pPr>
      <w:r>
        <w:rPr>
          <w:rFonts w:ascii="Times New Roman" w:hAnsi="Times New Roman" w:cs="Times New Roman"/>
          <w:b/>
          <w:sz w:val="24"/>
          <w:szCs w:val="24"/>
        </w:rPr>
        <w:t>June</w:t>
      </w:r>
      <w:r w:rsidR="00264B81">
        <w:rPr>
          <w:rFonts w:ascii="Times New Roman" w:hAnsi="Times New Roman" w:cs="Times New Roman"/>
          <w:b/>
          <w:sz w:val="24"/>
          <w:szCs w:val="24"/>
        </w:rPr>
        <w:t xml:space="preserve"> 11,</w:t>
      </w:r>
      <w:r w:rsidR="008A637E">
        <w:rPr>
          <w:rFonts w:ascii="Times New Roman" w:hAnsi="Times New Roman" w:cs="Times New Roman"/>
          <w:b/>
          <w:sz w:val="24"/>
          <w:szCs w:val="24"/>
        </w:rPr>
        <w:t xml:space="preserve"> 2013</w:t>
      </w:r>
    </w:p>
    <w:p w:rsidR="00905D7F" w:rsidRPr="00905D7F" w:rsidRDefault="00905D7F" w:rsidP="00905D7F">
      <w:pPr>
        <w:spacing w:after="0"/>
        <w:jc w:val="center"/>
        <w:rPr>
          <w:rFonts w:ascii="Times New Roman" w:hAnsi="Times New Roman" w:cs="Times New Roman"/>
          <w:b/>
          <w:sz w:val="24"/>
          <w:szCs w:val="24"/>
        </w:rPr>
      </w:pPr>
      <w:r>
        <w:rPr>
          <w:rFonts w:ascii="Times New Roman" w:hAnsi="Times New Roman" w:cs="Times New Roman"/>
          <w:b/>
          <w:sz w:val="24"/>
          <w:szCs w:val="24"/>
        </w:rPr>
        <w:t>Statement A</w:t>
      </w:r>
    </w:p>
    <w:p w:rsidR="004D48F5" w:rsidRDefault="004D48F5"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Default="008A637E" w:rsidP="004D48F5">
      <w:pPr>
        <w:spacing w:after="0"/>
        <w:rPr>
          <w:rFonts w:ascii="Times New Roman" w:hAnsi="Times New Roman" w:cs="Times New Roman"/>
          <w:b/>
          <w:sz w:val="24"/>
          <w:szCs w:val="24"/>
        </w:rPr>
      </w:pPr>
    </w:p>
    <w:p w:rsidR="008A637E" w:rsidRPr="007976D5" w:rsidRDefault="008A637E" w:rsidP="004D48F5">
      <w:pPr>
        <w:spacing w:after="0"/>
        <w:rPr>
          <w:rFonts w:ascii="Times New Roman" w:hAnsi="Times New Roman" w:cs="Times New Roman"/>
          <w:b/>
          <w:sz w:val="24"/>
          <w:szCs w:val="24"/>
        </w:rPr>
      </w:pPr>
    </w:p>
    <w:p w:rsidR="004D48F5" w:rsidRPr="007976D5" w:rsidRDefault="004D48F5" w:rsidP="004D48F5">
      <w:pPr>
        <w:spacing w:after="0"/>
        <w:rPr>
          <w:rFonts w:ascii="Times New Roman" w:hAnsi="Times New Roman" w:cs="Times New Roman"/>
          <w:b/>
          <w:sz w:val="24"/>
          <w:szCs w:val="24"/>
        </w:rPr>
      </w:pPr>
    </w:p>
    <w:p w:rsidR="004D48F5" w:rsidRPr="007976D5" w:rsidRDefault="004D48F5" w:rsidP="004D48F5">
      <w:pPr>
        <w:spacing w:after="0"/>
        <w:rPr>
          <w:rFonts w:ascii="Times New Roman" w:hAnsi="Times New Roman" w:cs="Times New Roman"/>
          <w:sz w:val="24"/>
          <w:szCs w:val="24"/>
        </w:rPr>
      </w:pPr>
      <w:r w:rsidRPr="007976D5">
        <w:rPr>
          <w:rFonts w:ascii="Times New Roman" w:hAnsi="Times New Roman" w:cs="Times New Roman"/>
          <w:b/>
          <w:sz w:val="24"/>
          <w:szCs w:val="24"/>
          <w:u w:val="single"/>
        </w:rPr>
        <w:t>Program Official/Project Officer</w:t>
      </w:r>
      <w:r w:rsidRPr="007976D5">
        <w:rPr>
          <w:rFonts w:ascii="Times New Roman" w:hAnsi="Times New Roman" w:cs="Times New Roman"/>
          <w:sz w:val="24"/>
          <w:szCs w:val="24"/>
        </w:rPr>
        <w:tab/>
      </w:r>
    </w:p>
    <w:p w:rsidR="004D48F5" w:rsidRPr="007976D5" w:rsidRDefault="007976D5" w:rsidP="004D48F5">
      <w:pPr>
        <w:spacing w:after="0" w:line="240" w:lineRule="auto"/>
        <w:rPr>
          <w:rFonts w:ascii="Times New Roman" w:hAnsi="Times New Roman" w:cs="Times New Roman"/>
          <w:bCs/>
          <w:sz w:val="24"/>
          <w:szCs w:val="24"/>
        </w:rPr>
      </w:pPr>
      <w:r w:rsidRPr="007976D5">
        <w:rPr>
          <w:rFonts w:ascii="Times New Roman" w:hAnsi="Times New Roman" w:cs="Times New Roman"/>
          <w:bCs/>
          <w:sz w:val="24"/>
          <w:szCs w:val="24"/>
        </w:rPr>
        <w:t>Amy McMillen</w:t>
      </w:r>
    </w:p>
    <w:p w:rsidR="004D48F5" w:rsidRPr="007976D5" w:rsidRDefault="007976D5" w:rsidP="004D48F5">
      <w:pPr>
        <w:spacing w:after="0" w:line="240" w:lineRule="auto"/>
        <w:rPr>
          <w:rFonts w:ascii="Times New Roman" w:hAnsi="Times New Roman" w:cs="Times New Roman"/>
          <w:sz w:val="24"/>
          <w:szCs w:val="24"/>
        </w:rPr>
      </w:pPr>
      <w:r w:rsidRPr="007976D5">
        <w:rPr>
          <w:rFonts w:ascii="Times New Roman" w:hAnsi="Times New Roman" w:cs="Times New Roman"/>
          <w:sz w:val="24"/>
          <w:szCs w:val="24"/>
        </w:rPr>
        <w:t>OMB Specialist</w:t>
      </w:r>
    </w:p>
    <w:p w:rsidR="004D48F5" w:rsidRPr="007976D5" w:rsidRDefault="007976D5" w:rsidP="004D48F5">
      <w:pPr>
        <w:spacing w:after="0" w:line="240" w:lineRule="auto"/>
        <w:rPr>
          <w:rFonts w:ascii="Times New Roman" w:hAnsi="Times New Roman" w:cs="Times New Roman"/>
          <w:sz w:val="24"/>
          <w:szCs w:val="24"/>
        </w:rPr>
      </w:pPr>
      <w:r w:rsidRPr="007976D5">
        <w:rPr>
          <w:rFonts w:ascii="Times New Roman" w:hAnsi="Times New Roman" w:cs="Times New Roman"/>
          <w:sz w:val="24"/>
          <w:szCs w:val="24"/>
        </w:rPr>
        <w:t xml:space="preserve">Office of </w:t>
      </w:r>
      <w:r>
        <w:rPr>
          <w:rFonts w:ascii="Times New Roman" w:hAnsi="Times New Roman" w:cs="Times New Roman"/>
          <w:sz w:val="24"/>
          <w:szCs w:val="24"/>
        </w:rPr>
        <w:t>the Director</w:t>
      </w:r>
    </w:p>
    <w:p w:rsidR="007976D5" w:rsidRPr="007976D5" w:rsidRDefault="007976D5" w:rsidP="004D48F5">
      <w:pPr>
        <w:spacing w:after="0" w:line="240" w:lineRule="auto"/>
        <w:rPr>
          <w:rFonts w:ascii="Times New Roman" w:hAnsi="Times New Roman" w:cs="Times New Roman"/>
          <w:sz w:val="24"/>
          <w:szCs w:val="24"/>
        </w:rPr>
      </w:pPr>
      <w:r w:rsidRPr="007976D5">
        <w:rPr>
          <w:rFonts w:ascii="Times New Roman" w:hAnsi="Times New Roman" w:cs="Times New Roman"/>
          <w:sz w:val="24"/>
          <w:szCs w:val="24"/>
        </w:rPr>
        <w:t>National Center for Emerging and Zoonotic Infectious Diseases</w:t>
      </w:r>
    </w:p>
    <w:p w:rsidR="004D48F5" w:rsidRPr="007976D5" w:rsidRDefault="007976D5" w:rsidP="004D48F5">
      <w:pPr>
        <w:spacing w:after="0" w:line="240" w:lineRule="auto"/>
        <w:rPr>
          <w:rFonts w:ascii="Times New Roman" w:hAnsi="Times New Roman" w:cs="Times New Roman"/>
          <w:sz w:val="24"/>
          <w:szCs w:val="24"/>
        </w:rPr>
      </w:pPr>
      <w:r w:rsidRPr="007976D5">
        <w:rPr>
          <w:rFonts w:ascii="Times New Roman" w:hAnsi="Times New Roman" w:cs="Times New Roman"/>
          <w:sz w:val="24"/>
          <w:szCs w:val="24"/>
        </w:rPr>
        <w:t>1600 Clifton Road, NE, MS C12</w:t>
      </w:r>
    </w:p>
    <w:p w:rsidR="007976D5" w:rsidRPr="007976D5" w:rsidRDefault="007976D5" w:rsidP="004D48F5">
      <w:pPr>
        <w:spacing w:after="0" w:line="240" w:lineRule="auto"/>
        <w:rPr>
          <w:rFonts w:ascii="Times New Roman" w:hAnsi="Times New Roman" w:cs="Times New Roman"/>
          <w:sz w:val="24"/>
          <w:szCs w:val="24"/>
        </w:rPr>
      </w:pPr>
      <w:r w:rsidRPr="007976D5">
        <w:rPr>
          <w:rFonts w:ascii="Times New Roman" w:hAnsi="Times New Roman" w:cs="Times New Roman"/>
          <w:sz w:val="24"/>
          <w:szCs w:val="24"/>
        </w:rPr>
        <w:t>Atlanta, Georgia 30333</w:t>
      </w:r>
    </w:p>
    <w:p w:rsidR="004D48F5" w:rsidRPr="007976D5" w:rsidRDefault="004D48F5" w:rsidP="004D48F5">
      <w:pPr>
        <w:spacing w:after="0" w:line="240" w:lineRule="auto"/>
        <w:rPr>
          <w:rFonts w:ascii="Times New Roman" w:hAnsi="Times New Roman" w:cs="Times New Roman"/>
          <w:sz w:val="24"/>
          <w:szCs w:val="24"/>
        </w:rPr>
      </w:pPr>
      <w:r w:rsidRPr="007976D5">
        <w:rPr>
          <w:rFonts w:ascii="Times New Roman" w:hAnsi="Times New Roman" w:cs="Times New Roman"/>
          <w:sz w:val="24"/>
          <w:szCs w:val="24"/>
        </w:rPr>
        <w:t>Phone</w:t>
      </w:r>
      <w:r w:rsidR="007976D5" w:rsidRPr="007976D5">
        <w:rPr>
          <w:rFonts w:ascii="Times New Roman" w:hAnsi="Times New Roman" w:cs="Times New Roman"/>
          <w:sz w:val="24"/>
          <w:szCs w:val="24"/>
        </w:rPr>
        <w:t>: 404-639-1045</w:t>
      </w:r>
    </w:p>
    <w:p w:rsidR="004D48F5" w:rsidRPr="007976D5" w:rsidRDefault="004D48F5" w:rsidP="004D48F5">
      <w:pPr>
        <w:spacing w:after="0" w:line="240" w:lineRule="auto"/>
        <w:rPr>
          <w:rFonts w:ascii="Times New Roman" w:hAnsi="Times New Roman" w:cs="Times New Roman"/>
          <w:sz w:val="24"/>
          <w:szCs w:val="24"/>
        </w:rPr>
      </w:pPr>
      <w:r w:rsidRPr="007976D5">
        <w:rPr>
          <w:rFonts w:ascii="Times New Roman" w:hAnsi="Times New Roman" w:cs="Times New Roman"/>
          <w:sz w:val="24"/>
          <w:szCs w:val="24"/>
        </w:rPr>
        <w:t>Fax Number</w:t>
      </w:r>
      <w:r w:rsidR="007976D5" w:rsidRPr="007976D5">
        <w:rPr>
          <w:rFonts w:ascii="Times New Roman" w:hAnsi="Times New Roman" w:cs="Times New Roman"/>
          <w:sz w:val="24"/>
          <w:szCs w:val="24"/>
        </w:rPr>
        <w:t>: 404-639-7090</w:t>
      </w:r>
    </w:p>
    <w:p w:rsidR="004D48F5" w:rsidRPr="007976D5" w:rsidRDefault="004D48F5" w:rsidP="004D48F5">
      <w:pPr>
        <w:spacing w:after="0" w:line="240" w:lineRule="auto"/>
        <w:rPr>
          <w:rFonts w:ascii="Times New Roman" w:hAnsi="Times New Roman" w:cs="Times New Roman"/>
          <w:sz w:val="24"/>
          <w:szCs w:val="24"/>
        </w:rPr>
      </w:pPr>
      <w:r w:rsidRPr="007976D5">
        <w:rPr>
          <w:rFonts w:ascii="Times New Roman" w:hAnsi="Times New Roman" w:cs="Times New Roman"/>
          <w:sz w:val="24"/>
          <w:szCs w:val="24"/>
        </w:rPr>
        <w:t>Email</w:t>
      </w:r>
      <w:r w:rsidR="007976D5" w:rsidRPr="007976D5">
        <w:rPr>
          <w:rFonts w:ascii="Times New Roman" w:hAnsi="Times New Roman" w:cs="Times New Roman"/>
          <w:sz w:val="24"/>
          <w:szCs w:val="24"/>
        </w:rPr>
        <w:t xml:space="preserve">: </w:t>
      </w:r>
      <w:hyperlink r:id="rId12" w:history="1">
        <w:r w:rsidR="007976D5" w:rsidRPr="007976D5">
          <w:rPr>
            <w:rStyle w:val="Hyperlink"/>
            <w:rFonts w:ascii="Times New Roman" w:hAnsi="Times New Roman" w:cs="Times New Roman"/>
            <w:sz w:val="24"/>
            <w:szCs w:val="24"/>
            <w:bdr w:val="none" w:sz="0" w:space="0" w:color="auto" w:frame="1"/>
          </w:rPr>
          <w:t>AUH1@cdc.gov</w:t>
        </w:r>
      </w:hyperlink>
    </w:p>
    <w:p w:rsidR="004D48F5" w:rsidRPr="007976D5" w:rsidRDefault="004D48F5" w:rsidP="004D48F5">
      <w:pPr>
        <w:spacing w:after="0"/>
        <w:rPr>
          <w:rFonts w:ascii="Times New Roman" w:hAnsi="Times New Roman" w:cs="Times New Roman"/>
          <w:sz w:val="24"/>
          <w:szCs w:val="24"/>
        </w:rPr>
      </w:pPr>
    </w:p>
    <w:p w:rsidR="00E9108E" w:rsidRDefault="00E9108E" w:rsidP="00E9108E">
      <w:pPr>
        <w:rPr>
          <w:rFonts w:ascii="Times New Roman" w:hAnsi="Times New Roman" w:cs="Times New Roman"/>
          <w:b/>
          <w:sz w:val="24"/>
          <w:szCs w:val="24"/>
        </w:rPr>
        <w:sectPr w:rsidR="00E9108E" w:rsidSect="00B45600">
          <w:pgSz w:w="12240" w:h="15840" w:code="1"/>
          <w:pgMar w:top="1440" w:right="1008" w:bottom="1008" w:left="1440" w:header="720" w:footer="720" w:gutter="0"/>
          <w:cols w:space="720"/>
          <w:noEndnote/>
          <w:titlePg/>
        </w:sectPr>
      </w:pPr>
    </w:p>
    <w:sdt>
      <w:sdtPr>
        <w:rPr>
          <w:rFonts w:ascii="Times New Roman" w:eastAsia="Times New Roman" w:hAnsi="Times New Roman" w:cs="Times New Roman"/>
          <w:b w:val="0"/>
          <w:bCs w:val="0"/>
          <w:color w:val="auto"/>
          <w:sz w:val="24"/>
          <w:szCs w:val="24"/>
        </w:rPr>
        <w:id w:val="126347713"/>
        <w:docPartObj>
          <w:docPartGallery w:val="Table of Contents"/>
          <w:docPartUnique/>
        </w:docPartObj>
      </w:sdtPr>
      <w:sdtEndPr/>
      <w:sdtContent>
        <w:p w:rsidR="009E4483" w:rsidRPr="009E4483" w:rsidRDefault="009E4483" w:rsidP="009E4483">
          <w:pPr>
            <w:pStyle w:val="TOCHeading"/>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t>TABLE OF CONTENTS</w:t>
          </w:r>
        </w:p>
        <w:p w:rsidR="00C8731F" w:rsidRPr="00C8731F" w:rsidRDefault="009E4483" w:rsidP="00C8731F">
          <w:pPr>
            <w:pStyle w:val="TOC1"/>
            <w:rPr>
              <w:noProof/>
            </w:rPr>
          </w:pPr>
          <w:r>
            <w:fldChar w:fldCharType="begin"/>
          </w:r>
          <w:r>
            <w:instrText xml:space="preserve"> TOC \o "1-3" \h \z \u </w:instrText>
          </w:r>
          <w:r>
            <w:fldChar w:fldCharType="separate"/>
          </w:r>
          <w:hyperlink w:anchor="_Toc299967992" w:history="1">
            <w:r w:rsidRPr="001D77ED">
              <w:rPr>
                <w:rStyle w:val="Hyperlink"/>
                <w:b/>
                <w:noProof/>
              </w:rPr>
              <w:t>PART A. JUSTIFICATION</w:t>
            </w:r>
            <w:r>
              <w:rPr>
                <w:noProof/>
                <w:webHidden/>
              </w:rPr>
              <w:tab/>
            </w:r>
          </w:hyperlink>
          <w:r w:rsidR="00EB5C1B">
            <w:rPr>
              <w:noProof/>
            </w:rPr>
            <w:t>2</w:t>
          </w:r>
        </w:p>
        <w:p w:rsidR="009E4483" w:rsidRPr="001D77ED" w:rsidRDefault="009E4483" w:rsidP="009E4483">
          <w:pPr>
            <w:pStyle w:val="TOC1"/>
            <w:rPr>
              <w:rFonts w:asciiTheme="minorHAnsi" w:eastAsiaTheme="minorEastAsia" w:hAnsiTheme="minorHAnsi" w:cstheme="minorBidi"/>
              <w:noProof/>
              <w:sz w:val="22"/>
              <w:szCs w:val="22"/>
            </w:rPr>
          </w:pPr>
          <w:r>
            <w:rPr>
              <w:noProof/>
            </w:rPr>
            <w:tab/>
          </w:r>
          <w:hyperlink w:anchor="_Toc299967993" w:history="1">
            <w:r w:rsidRPr="001D77ED">
              <w:rPr>
                <w:rStyle w:val="Hyperlink"/>
                <w:noProof/>
              </w:rPr>
              <w:t>1. Circumstances Making the Collection of Information Necessary</w:t>
            </w:r>
            <w:r w:rsidRPr="001D77ED">
              <w:rPr>
                <w:noProof/>
                <w:webHidden/>
              </w:rPr>
              <w:tab/>
            </w:r>
          </w:hyperlink>
          <w:r w:rsidR="00EB5C1B">
            <w:rPr>
              <w:noProof/>
            </w:rPr>
            <w:t>2</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7994" w:history="1">
            <w:r w:rsidRPr="001D77ED">
              <w:rPr>
                <w:rStyle w:val="Hyperlink"/>
                <w:bCs/>
                <w:iCs/>
                <w:noProof/>
              </w:rPr>
              <w:t>2. Purpose and Use of Information Collection</w:t>
            </w:r>
            <w:r w:rsidRPr="001D77ED">
              <w:rPr>
                <w:noProof/>
                <w:webHidden/>
              </w:rPr>
              <w:tab/>
            </w:r>
          </w:hyperlink>
          <w:r w:rsidR="00C8731F">
            <w:rPr>
              <w:noProof/>
            </w:rPr>
            <w:t>5</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7995" w:history="1">
            <w:r w:rsidRPr="001D77ED">
              <w:rPr>
                <w:rStyle w:val="Hyperlink"/>
                <w:bCs/>
                <w:iCs/>
                <w:noProof/>
              </w:rPr>
              <w:t>3. Use of Improved Information Technology and Burden Reduction</w:t>
            </w:r>
            <w:r w:rsidRPr="001D77ED">
              <w:rPr>
                <w:noProof/>
                <w:webHidden/>
              </w:rPr>
              <w:tab/>
            </w:r>
          </w:hyperlink>
          <w:r w:rsidR="00EB5C1B">
            <w:rPr>
              <w:noProof/>
            </w:rPr>
            <w:t>8</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7996" w:history="1">
            <w:r w:rsidRPr="001D77ED">
              <w:rPr>
                <w:rStyle w:val="Hyperlink"/>
                <w:bCs/>
                <w:iCs/>
                <w:noProof/>
              </w:rPr>
              <w:t>4. Efforts to Identify Duplication and Use of Similar Information</w:t>
            </w:r>
            <w:r w:rsidRPr="001D77ED">
              <w:rPr>
                <w:noProof/>
                <w:webHidden/>
              </w:rPr>
              <w:tab/>
            </w:r>
          </w:hyperlink>
          <w:r w:rsidR="00C8731F">
            <w:rPr>
              <w:noProof/>
            </w:rPr>
            <w:t>8</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7997" w:history="1">
            <w:r w:rsidRPr="001D77ED">
              <w:rPr>
                <w:rStyle w:val="Hyperlink"/>
                <w:bCs/>
                <w:iCs/>
                <w:noProof/>
              </w:rPr>
              <w:t>5. Impact on Small Businesses or Other Small Entities</w:t>
            </w:r>
            <w:r w:rsidRPr="001D77ED">
              <w:rPr>
                <w:noProof/>
                <w:webHidden/>
              </w:rPr>
              <w:tab/>
            </w:r>
          </w:hyperlink>
          <w:r w:rsidR="00C8731F">
            <w:rPr>
              <w:noProof/>
            </w:rPr>
            <w:t>8</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7998" w:history="1">
            <w:r w:rsidRPr="001D77ED">
              <w:rPr>
                <w:rStyle w:val="Hyperlink"/>
                <w:bCs/>
                <w:iCs/>
                <w:noProof/>
              </w:rPr>
              <w:t>6. Consequences of Collecting the Information Less Frequently</w:t>
            </w:r>
            <w:r w:rsidRPr="001D77ED">
              <w:rPr>
                <w:noProof/>
                <w:webHidden/>
              </w:rPr>
              <w:tab/>
            </w:r>
          </w:hyperlink>
          <w:r w:rsidR="00EB5C1B">
            <w:rPr>
              <w:noProof/>
            </w:rPr>
            <w:t>9</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7999" w:history="1">
            <w:r w:rsidRPr="001D77ED">
              <w:rPr>
                <w:rStyle w:val="Hyperlink"/>
                <w:bCs/>
                <w:iCs/>
                <w:noProof/>
              </w:rPr>
              <w:t>7. Special Circumstances Relating to the Guidelines of 5 CFR 1320.5</w:t>
            </w:r>
            <w:r w:rsidRPr="001D77ED">
              <w:rPr>
                <w:noProof/>
                <w:webHidden/>
              </w:rPr>
              <w:tab/>
            </w:r>
          </w:hyperlink>
          <w:r w:rsidR="00C8731F">
            <w:rPr>
              <w:noProof/>
            </w:rPr>
            <w:t>9</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00" w:history="1">
            <w:r w:rsidRPr="001D77ED">
              <w:rPr>
                <w:rStyle w:val="Hyperlink"/>
                <w:bCs/>
                <w:iCs/>
                <w:noProof/>
              </w:rPr>
              <w:t xml:space="preserve">8. Comments in Response to the Federal Register Notice and Efforts to Consult Outside </w:t>
            </w:r>
            <w:r w:rsidR="00FA269B">
              <w:rPr>
                <w:rStyle w:val="Hyperlink"/>
                <w:bCs/>
                <w:iCs/>
                <w:noProof/>
              </w:rPr>
              <w:t xml:space="preserve">                                                                   </w:t>
            </w:r>
            <w:r w:rsidRPr="001D77ED">
              <w:rPr>
                <w:rStyle w:val="Hyperlink"/>
                <w:bCs/>
                <w:iCs/>
                <w:noProof/>
              </w:rPr>
              <w:t>the Agency</w:t>
            </w:r>
            <w:r w:rsidRPr="001D77ED">
              <w:rPr>
                <w:noProof/>
                <w:webHidden/>
              </w:rPr>
              <w:tab/>
            </w:r>
          </w:hyperlink>
          <w:r w:rsidR="00B073A0">
            <w:rPr>
              <w:noProof/>
            </w:rPr>
            <w:t>10</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01" w:history="1">
            <w:r w:rsidRPr="001D77ED">
              <w:rPr>
                <w:rStyle w:val="Hyperlink"/>
                <w:bCs/>
                <w:iCs/>
                <w:noProof/>
              </w:rPr>
              <w:t>9. Explanation of Any Payment or Gift to Respondents</w:t>
            </w:r>
            <w:r w:rsidRPr="001D77ED">
              <w:rPr>
                <w:noProof/>
                <w:webHidden/>
              </w:rPr>
              <w:tab/>
            </w:r>
          </w:hyperlink>
          <w:r w:rsidR="00EB5C1B">
            <w:rPr>
              <w:noProof/>
            </w:rPr>
            <w:t>10</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02" w:history="1">
            <w:r w:rsidRPr="001D77ED">
              <w:rPr>
                <w:rStyle w:val="Hyperlink"/>
                <w:bCs/>
                <w:iCs/>
                <w:noProof/>
              </w:rPr>
              <w:t>10. Assurance of Confidentiality Provided to Respondents</w:t>
            </w:r>
            <w:r w:rsidRPr="001D77ED">
              <w:rPr>
                <w:noProof/>
                <w:webHidden/>
              </w:rPr>
              <w:tab/>
            </w:r>
          </w:hyperlink>
          <w:r w:rsidR="00EB5C1B">
            <w:rPr>
              <w:noProof/>
            </w:rPr>
            <w:t>10</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03" w:history="1">
            <w:r w:rsidRPr="001D77ED">
              <w:rPr>
                <w:rStyle w:val="Hyperlink"/>
                <w:noProof/>
              </w:rPr>
              <w:t>11. Justification for Sensitive Questions</w:t>
            </w:r>
            <w:r w:rsidRPr="001D77ED">
              <w:rPr>
                <w:noProof/>
                <w:webHidden/>
              </w:rPr>
              <w:tab/>
            </w:r>
          </w:hyperlink>
          <w:r w:rsidR="00EB5C1B">
            <w:rPr>
              <w:noProof/>
            </w:rPr>
            <w:t>11</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04" w:history="1">
            <w:r w:rsidRPr="001D77ED">
              <w:rPr>
                <w:rStyle w:val="Hyperlink"/>
                <w:bCs/>
                <w:iCs/>
                <w:noProof/>
              </w:rPr>
              <w:t>12. Estimates of Annualized Burden Hours and Costs</w:t>
            </w:r>
            <w:r w:rsidRPr="001D77ED">
              <w:rPr>
                <w:noProof/>
                <w:webHidden/>
              </w:rPr>
              <w:tab/>
            </w:r>
          </w:hyperlink>
          <w:r w:rsidR="00B073A0">
            <w:rPr>
              <w:noProof/>
            </w:rPr>
            <w:t>12</w:t>
          </w:r>
        </w:p>
        <w:p w:rsidR="009E4483" w:rsidRDefault="009E4483" w:rsidP="009E4483">
          <w:pPr>
            <w:pStyle w:val="TOC1"/>
            <w:rPr>
              <w:rFonts w:asciiTheme="minorHAnsi" w:eastAsiaTheme="minorEastAsia" w:hAnsiTheme="minorHAnsi" w:cstheme="minorBidi"/>
              <w:noProof/>
              <w:sz w:val="22"/>
              <w:szCs w:val="22"/>
            </w:rPr>
          </w:pPr>
          <w:r>
            <w:rPr>
              <w:noProof/>
            </w:rPr>
            <w:tab/>
            <w:t xml:space="preserve">      </w:t>
          </w:r>
          <w:hyperlink w:anchor="_Toc299968005" w:history="1">
            <w:r w:rsidR="004F715A">
              <w:rPr>
                <w:rStyle w:val="Hyperlink"/>
                <w:bCs/>
                <w:noProof/>
              </w:rPr>
              <w:t xml:space="preserve">Table </w:t>
            </w:r>
            <w:r w:rsidR="00F2751A">
              <w:rPr>
                <w:rStyle w:val="Hyperlink"/>
                <w:bCs/>
                <w:noProof/>
              </w:rPr>
              <w:t>12</w:t>
            </w:r>
            <w:r w:rsidR="004F715A">
              <w:rPr>
                <w:rStyle w:val="Hyperlink"/>
                <w:bCs/>
                <w:noProof/>
              </w:rPr>
              <w:t>.A and B</w:t>
            </w:r>
            <w:r w:rsidRPr="00424AB5">
              <w:rPr>
                <w:rStyle w:val="Hyperlink"/>
                <w:bCs/>
                <w:noProof/>
              </w:rPr>
              <w:t xml:space="preserve">: Estimated Annualized Burden </w:t>
            </w:r>
            <w:r w:rsidR="00F2751A">
              <w:rPr>
                <w:rStyle w:val="Hyperlink"/>
                <w:bCs/>
                <w:noProof/>
              </w:rPr>
              <w:t xml:space="preserve">Hours </w:t>
            </w:r>
            <w:r w:rsidR="009E4BAB">
              <w:rPr>
                <w:rStyle w:val="Hyperlink"/>
                <w:bCs/>
                <w:noProof/>
              </w:rPr>
              <w:t>and Cost</w:t>
            </w:r>
            <w:r w:rsidR="00F2751A">
              <w:rPr>
                <w:rStyle w:val="Hyperlink"/>
                <w:bCs/>
                <w:noProof/>
              </w:rPr>
              <w:t>s</w:t>
            </w:r>
            <w:r w:rsidR="009E4BAB">
              <w:rPr>
                <w:rStyle w:val="Hyperlink"/>
                <w:bCs/>
                <w:noProof/>
              </w:rPr>
              <w:t xml:space="preserve"> </w:t>
            </w:r>
            <w:r w:rsidRPr="00424AB5">
              <w:rPr>
                <w:rStyle w:val="Hyperlink"/>
                <w:bCs/>
                <w:noProof/>
              </w:rPr>
              <w:t>to Respondents</w:t>
            </w:r>
            <w:r>
              <w:rPr>
                <w:noProof/>
                <w:webHidden/>
              </w:rPr>
              <w:tab/>
            </w:r>
          </w:hyperlink>
          <w:r w:rsidR="00EB5C1B">
            <w:rPr>
              <w:noProof/>
            </w:rPr>
            <w:t>12</w:t>
          </w:r>
        </w:p>
        <w:p w:rsidR="009E4483" w:rsidRPr="001D77ED" w:rsidRDefault="009E4BAB" w:rsidP="009E4483">
          <w:pPr>
            <w:pStyle w:val="TOC1"/>
            <w:rPr>
              <w:rFonts w:asciiTheme="minorHAnsi" w:eastAsiaTheme="minorEastAsia" w:hAnsiTheme="minorHAnsi" w:cstheme="minorBidi"/>
              <w:noProof/>
              <w:sz w:val="22"/>
              <w:szCs w:val="22"/>
            </w:rPr>
          </w:pPr>
          <w:r>
            <w:rPr>
              <w:noProof/>
            </w:rPr>
            <w:tab/>
          </w:r>
          <w:hyperlink w:anchor="_Toc299968007" w:history="1">
            <w:r w:rsidR="009E4483" w:rsidRPr="001D77ED">
              <w:rPr>
                <w:rStyle w:val="Hyperlink"/>
                <w:bCs/>
                <w:iCs/>
                <w:noProof/>
              </w:rPr>
              <w:t>13. Estimates of Other Total Annual Cost Burden to Respondents or Record Keepers</w:t>
            </w:r>
            <w:r w:rsidR="009E4483" w:rsidRPr="001D77ED">
              <w:rPr>
                <w:noProof/>
                <w:webHidden/>
              </w:rPr>
              <w:tab/>
            </w:r>
          </w:hyperlink>
          <w:r w:rsidR="00EB5C1B">
            <w:rPr>
              <w:noProof/>
            </w:rPr>
            <w:t>13</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08" w:history="1">
            <w:r w:rsidRPr="001D77ED">
              <w:rPr>
                <w:rStyle w:val="Hyperlink"/>
                <w:bCs/>
                <w:iCs/>
                <w:noProof/>
              </w:rPr>
              <w:t>14. Annualized Cost to the Government</w:t>
            </w:r>
            <w:r w:rsidRPr="001D77ED">
              <w:rPr>
                <w:noProof/>
                <w:webHidden/>
              </w:rPr>
              <w:tab/>
            </w:r>
          </w:hyperlink>
          <w:r w:rsidR="00C8731F">
            <w:rPr>
              <w:noProof/>
            </w:rPr>
            <w:t>13</w:t>
          </w:r>
        </w:p>
        <w:p w:rsidR="009E4483" w:rsidRDefault="009E4483" w:rsidP="009E4483">
          <w:pPr>
            <w:pStyle w:val="TOC1"/>
            <w:rPr>
              <w:rFonts w:asciiTheme="minorHAnsi" w:eastAsiaTheme="minorEastAsia" w:hAnsiTheme="minorHAnsi" w:cstheme="minorBidi"/>
              <w:noProof/>
              <w:sz w:val="22"/>
              <w:szCs w:val="22"/>
            </w:rPr>
          </w:pPr>
          <w:r>
            <w:rPr>
              <w:noProof/>
            </w:rPr>
            <w:tab/>
            <w:t xml:space="preserve">      </w:t>
          </w:r>
          <w:hyperlink w:anchor="_Toc299968009" w:history="1">
            <w:r w:rsidR="004F715A">
              <w:rPr>
                <w:rStyle w:val="Hyperlink"/>
                <w:bCs/>
                <w:noProof/>
              </w:rPr>
              <w:t>Table 14</w:t>
            </w:r>
            <w:r w:rsidRPr="00424AB5">
              <w:rPr>
                <w:rStyle w:val="Hyperlink"/>
                <w:bCs/>
                <w:noProof/>
              </w:rPr>
              <w:t xml:space="preserve">: Estimated Annualized Cost to the </w:t>
            </w:r>
            <w:r w:rsidR="001048BB">
              <w:rPr>
                <w:rStyle w:val="Hyperlink"/>
                <w:bCs/>
                <w:noProof/>
              </w:rPr>
              <w:t xml:space="preserve">Federal </w:t>
            </w:r>
            <w:r w:rsidRPr="00424AB5">
              <w:rPr>
                <w:rStyle w:val="Hyperlink"/>
                <w:bCs/>
                <w:noProof/>
              </w:rPr>
              <w:t>Government</w:t>
            </w:r>
            <w:r>
              <w:rPr>
                <w:noProof/>
                <w:webHidden/>
              </w:rPr>
              <w:tab/>
            </w:r>
          </w:hyperlink>
          <w:r w:rsidR="00EB5C1B">
            <w:rPr>
              <w:noProof/>
            </w:rPr>
            <w:t>14</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10" w:history="1">
            <w:r w:rsidRPr="001D77ED">
              <w:rPr>
                <w:rStyle w:val="Hyperlink"/>
                <w:bCs/>
                <w:iCs/>
                <w:noProof/>
              </w:rPr>
              <w:t>15. Explanation for Program Changes or Adjustments</w:t>
            </w:r>
            <w:r w:rsidRPr="001D77ED">
              <w:rPr>
                <w:noProof/>
                <w:webHidden/>
              </w:rPr>
              <w:tab/>
            </w:r>
          </w:hyperlink>
          <w:r w:rsidR="00EB5C1B">
            <w:rPr>
              <w:noProof/>
            </w:rPr>
            <w:t>14</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11" w:history="1">
            <w:r w:rsidRPr="001D77ED">
              <w:rPr>
                <w:rStyle w:val="Hyperlink"/>
                <w:bCs/>
                <w:iCs/>
                <w:noProof/>
              </w:rPr>
              <w:t>16. Plans for Tabulation and Publication and Project Time Schedule</w:t>
            </w:r>
            <w:r w:rsidRPr="001D77ED">
              <w:rPr>
                <w:noProof/>
                <w:webHidden/>
              </w:rPr>
              <w:tab/>
            </w:r>
          </w:hyperlink>
          <w:r w:rsidR="00B073A0">
            <w:rPr>
              <w:noProof/>
            </w:rPr>
            <w:t>15</w:t>
          </w:r>
          <w:r w:rsidR="00EB5C1B">
            <w:rPr>
              <w:noProof/>
            </w:rPr>
            <w:t>-1</w:t>
          </w:r>
          <w:r w:rsidR="00C8731F">
            <w:rPr>
              <w:noProof/>
            </w:rPr>
            <w:t>5</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12" w:history="1">
            <w:r w:rsidRPr="001D77ED">
              <w:rPr>
                <w:rStyle w:val="Hyperlink"/>
                <w:bCs/>
                <w:iCs/>
                <w:noProof/>
              </w:rPr>
              <w:t>17. Reason(s) Display of OMB Expiration Date is Inappropriate</w:t>
            </w:r>
            <w:r w:rsidRPr="001D77ED">
              <w:rPr>
                <w:noProof/>
                <w:webHidden/>
              </w:rPr>
              <w:tab/>
            </w:r>
          </w:hyperlink>
          <w:r w:rsidR="00C8731F">
            <w:rPr>
              <w:noProof/>
            </w:rPr>
            <w:t>15</w:t>
          </w:r>
        </w:p>
        <w:p w:rsidR="009E4483" w:rsidRPr="001D77ED" w:rsidRDefault="009E4483" w:rsidP="009E4483">
          <w:pPr>
            <w:pStyle w:val="TOC1"/>
            <w:rPr>
              <w:rFonts w:asciiTheme="minorHAnsi" w:eastAsiaTheme="minorEastAsia" w:hAnsiTheme="minorHAnsi" w:cstheme="minorBidi"/>
              <w:noProof/>
              <w:sz w:val="22"/>
              <w:szCs w:val="22"/>
            </w:rPr>
          </w:pPr>
          <w:r w:rsidRPr="001D77ED">
            <w:rPr>
              <w:noProof/>
            </w:rPr>
            <w:tab/>
          </w:r>
          <w:hyperlink w:anchor="_Toc299968013" w:history="1">
            <w:r w:rsidRPr="001D77ED">
              <w:rPr>
                <w:rStyle w:val="Hyperlink"/>
                <w:bCs/>
                <w:iCs/>
                <w:noProof/>
              </w:rPr>
              <w:t>18. Exceptions to Certification for Paperwork Reduction Act Submissions</w:t>
            </w:r>
            <w:r w:rsidRPr="001D77ED">
              <w:rPr>
                <w:noProof/>
                <w:webHidden/>
              </w:rPr>
              <w:tab/>
            </w:r>
          </w:hyperlink>
          <w:r w:rsidR="00C8731F">
            <w:rPr>
              <w:noProof/>
            </w:rPr>
            <w:t>15</w:t>
          </w:r>
        </w:p>
        <w:p w:rsidR="009E4483" w:rsidRDefault="00282881" w:rsidP="009E4483">
          <w:pPr>
            <w:pStyle w:val="TOC1"/>
            <w:rPr>
              <w:rFonts w:asciiTheme="minorHAnsi" w:eastAsiaTheme="minorEastAsia" w:hAnsiTheme="minorHAnsi" w:cstheme="minorBidi"/>
              <w:noProof/>
              <w:sz w:val="22"/>
              <w:szCs w:val="22"/>
            </w:rPr>
          </w:pPr>
          <w:hyperlink w:anchor="_Toc299968014" w:history="1">
            <w:r w:rsidR="009E4483" w:rsidRPr="001D77ED">
              <w:rPr>
                <w:rStyle w:val="Hyperlink"/>
                <w:b/>
                <w:noProof/>
              </w:rPr>
              <w:t>REFERENCES</w:t>
            </w:r>
            <w:r w:rsidR="009E4483">
              <w:rPr>
                <w:noProof/>
                <w:webHidden/>
              </w:rPr>
              <w:tab/>
            </w:r>
          </w:hyperlink>
          <w:r w:rsidR="00C8731F">
            <w:rPr>
              <w:noProof/>
            </w:rPr>
            <w:t>16</w:t>
          </w:r>
        </w:p>
        <w:p w:rsidR="009E4483" w:rsidRPr="009E4483" w:rsidRDefault="00282881" w:rsidP="009E4483">
          <w:pPr>
            <w:pStyle w:val="TOC1"/>
            <w:rPr>
              <w:rFonts w:asciiTheme="minorHAnsi" w:eastAsiaTheme="minorEastAsia" w:hAnsiTheme="minorHAnsi" w:cstheme="minorBidi"/>
              <w:noProof/>
              <w:sz w:val="22"/>
              <w:szCs w:val="22"/>
            </w:rPr>
          </w:pPr>
          <w:hyperlink w:anchor="_Toc299968015" w:history="1">
            <w:r w:rsidR="009E4483" w:rsidRPr="001D77ED">
              <w:rPr>
                <w:rStyle w:val="Hyperlink"/>
                <w:b/>
                <w:noProof/>
              </w:rPr>
              <w:t>ATTACHMENTS</w:t>
            </w:r>
            <w:r w:rsidR="009E4483">
              <w:rPr>
                <w:noProof/>
                <w:webHidden/>
              </w:rPr>
              <w:tab/>
            </w:r>
          </w:hyperlink>
          <w:r w:rsidR="009E4483">
            <w:fldChar w:fldCharType="end"/>
          </w:r>
          <w:r w:rsidR="00EB5C1B">
            <w:t>1</w:t>
          </w:r>
          <w:r w:rsidR="00C8731F">
            <w:t>6</w:t>
          </w:r>
        </w:p>
      </w:sdtContent>
    </w:sdt>
    <w:p w:rsidR="009E4483" w:rsidRDefault="009E4483" w:rsidP="009E4483">
      <w:pPr>
        <w:rPr>
          <w:rFonts w:ascii="Times New Roman" w:eastAsia="Times New Roman" w:hAnsi="Times New Roman" w:cs="Times New Roman"/>
          <w:color w:val="000000"/>
          <w:kern w:val="36"/>
          <w:sz w:val="32"/>
          <w:szCs w:val="32"/>
        </w:rPr>
      </w:pPr>
      <w:r>
        <w:br w:type="page"/>
      </w:r>
    </w:p>
    <w:p w:rsidR="00905D7F" w:rsidRPr="005242B1" w:rsidRDefault="00905D7F" w:rsidP="005242B1">
      <w:pPr>
        <w:pStyle w:val="Heading1"/>
        <w:spacing w:line="240" w:lineRule="auto"/>
        <w:jc w:val="left"/>
        <w:rPr>
          <w:color w:val="auto"/>
          <w:sz w:val="24"/>
          <w:szCs w:val="24"/>
        </w:rPr>
      </w:pPr>
    </w:p>
    <w:p w:rsidR="004D48F5" w:rsidRPr="005242B1" w:rsidRDefault="00CA29F3" w:rsidP="005242B1">
      <w:pPr>
        <w:pStyle w:val="Heading1"/>
        <w:spacing w:line="240" w:lineRule="auto"/>
        <w:jc w:val="left"/>
        <w:rPr>
          <w:color w:val="auto"/>
          <w:sz w:val="24"/>
          <w:szCs w:val="24"/>
        </w:rPr>
      </w:pPr>
      <w:r w:rsidRPr="005242B1">
        <w:rPr>
          <w:color w:val="auto"/>
          <w:sz w:val="24"/>
          <w:szCs w:val="24"/>
        </w:rPr>
        <w:t>PART A. JUSTIFICATION</w:t>
      </w:r>
    </w:p>
    <w:p w:rsidR="00740712" w:rsidRPr="00E9108E" w:rsidRDefault="00740712" w:rsidP="00740712">
      <w:pPr>
        <w:pStyle w:val="Heading2"/>
      </w:pPr>
      <w:r w:rsidRPr="00E9108E">
        <w:t>1</w:t>
      </w:r>
      <w:r w:rsidR="00501575">
        <w:t>.</w:t>
      </w:r>
      <w:r w:rsidRPr="00E9108E">
        <w:t xml:space="preserve"> Circumstances Making the Collection of Information Necessary</w:t>
      </w:r>
    </w:p>
    <w:p w:rsidR="00740712" w:rsidRPr="00E9108E" w:rsidRDefault="00740712" w:rsidP="00E23753">
      <w:pPr>
        <w:pStyle w:val="Heading3"/>
        <w:spacing w:line="240" w:lineRule="auto"/>
        <w:ind w:left="0"/>
      </w:pPr>
      <w:r w:rsidRPr="00E9108E">
        <w:t>Background</w:t>
      </w:r>
    </w:p>
    <w:p w:rsidR="008A637E" w:rsidRDefault="00924073" w:rsidP="00E23753">
      <w:pPr>
        <w:spacing w:after="0" w:line="240" w:lineRule="auto"/>
        <w:rPr>
          <w:rFonts w:ascii="Times New Roman" w:hAnsi="Times New Roman" w:cs="Times New Roman"/>
          <w:sz w:val="24"/>
          <w:szCs w:val="24"/>
        </w:rPr>
      </w:pPr>
      <w:r w:rsidRPr="005242B1">
        <w:rPr>
          <w:rFonts w:ascii="Times New Roman" w:eastAsia="Times New Roman" w:hAnsi="Times New Roman" w:cs="Times New Roman"/>
          <w:sz w:val="24"/>
          <w:szCs w:val="24"/>
        </w:rPr>
        <w:t>The Centers for Disease Control and Prevention</w:t>
      </w:r>
      <w:r w:rsidR="00044EE4">
        <w:rPr>
          <w:rFonts w:ascii="Times New Roman" w:eastAsia="Times New Roman" w:hAnsi="Times New Roman" w:cs="Times New Roman"/>
          <w:sz w:val="24"/>
          <w:szCs w:val="24"/>
        </w:rPr>
        <w:t>’s</w:t>
      </w:r>
      <w:r w:rsidRPr="005242B1">
        <w:rPr>
          <w:rFonts w:ascii="Times New Roman" w:eastAsia="Times New Roman" w:hAnsi="Times New Roman" w:cs="Times New Roman"/>
          <w:sz w:val="24"/>
          <w:szCs w:val="24"/>
        </w:rPr>
        <w:t xml:space="preserve"> (CDC), National Center for Emerging and Zoonotic Infectious Diseases (NCEZID), Division of Global Migration and Quarantine (DGMQ), Immigrant</w:t>
      </w:r>
      <w:r w:rsidR="00044EE4">
        <w:rPr>
          <w:rFonts w:ascii="Times New Roman" w:eastAsia="Times New Roman" w:hAnsi="Times New Roman" w:cs="Times New Roman"/>
          <w:sz w:val="24"/>
          <w:szCs w:val="24"/>
        </w:rPr>
        <w:t>,</w:t>
      </w:r>
      <w:r w:rsidRPr="005242B1">
        <w:rPr>
          <w:rFonts w:ascii="Times New Roman" w:eastAsia="Times New Roman" w:hAnsi="Times New Roman" w:cs="Times New Roman"/>
          <w:sz w:val="24"/>
          <w:szCs w:val="24"/>
        </w:rPr>
        <w:t xml:space="preserve"> Refugee, and Migrant Health Branch (IRMH), requests approval to conduct evaluation research </w:t>
      </w:r>
      <w:r w:rsidR="00C620B1" w:rsidRPr="005242B1">
        <w:rPr>
          <w:rFonts w:ascii="Times New Roman" w:eastAsia="Times New Roman" w:hAnsi="Times New Roman" w:cs="Times New Roman"/>
          <w:sz w:val="24"/>
          <w:szCs w:val="24"/>
        </w:rPr>
        <w:t>about the effectiveness of Quick Response (QR) codes for informing international panel physicians about U.S. medi</w:t>
      </w:r>
      <w:r w:rsidR="000A3085">
        <w:rPr>
          <w:rFonts w:ascii="Times New Roman" w:eastAsia="Times New Roman" w:hAnsi="Times New Roman" w:cs="Times New Roman"/>
          <w:sz w:val="24"/>
          <w:szCs w:val="24"/>
        </w:rPr>
        <w:t>cal screening policies for U.S.-</w:t>
      </w:r>
      <w:r w:rsidR="00C620B1" w:rsidRPr="005242B1">
        <w:rPr>
          <w:rFonts w:ascii="Times New Roman" w:eastAsia="Times New Roman" w:hAnsi="Times New Roman" w:cs="Times New Roman"/>
          <w:sz w:val="24"/>
          <w:szCs w:val="24"/>
        </w:rPr>
        <w:t xml:space="preserve">bound immigrants and refugees. </w:t>
      </w:r>
      <w:r w:rsidR="008A637E" w:rsidRPr="005242B1">
        <w:rPr>
          <w:rFonts w:ascii="Times New Roman" w:hAnsi="Times New Roman" w:cs="Times New Roman"/>
          <w:sz w:val="24"/>
          <w:szCs w:val="24"/>
        </w:rPr>
        <w:t>This data collection is being conducted using the Generic Infor</w:t>
      </w:r>
      <w:r w:rsidR="000A3085">
        <w:rPr>
          <w:rFonts w:ascii="Times New Roman" w:hAnsi="Times New Roman" w:cs="Times New Roman"/>
          <w:sz w:val="24"/>
          <w:szCs w:val="24"/>
        </w:rPr>
        <w:t>mation Collection mechanism of  t</w:t>
      </w:r>
      <w:r w:rsidR="008A637E" w:rsidRPr="005242B1">
        <w:rPr>
          <w:rFonts w:ascii="Times New Roman" w:hAnsi="Times New Roman" w:cs="Times New Roman"/>
          <w:sz w:val="24"/>
          <w:szCs w:val="24"/>
        </w:rPr>
        <w:t xml:space="preserve">he Data Collection for Evaluation of Education, Communication, and Training (ECT) Activities for DGMQ: – OMB No. 0920-0932. </w:t>
      </w:r>
    </w:p>
    <w:p w:rsidR="00D94BDC" w:rsidRDefault="00D94BDC" w:rsidP="00E23753">
      <w:pPr>
        <w:spacing w:after="0" w:line="240" w:lineRule="auto"/>
        <w:rPr>
          <w:rFonts w:ascii="Times New Roman" w:hAnsi="Times New Roman" w:cs="Times New Roman"/>
          <w:sz w:val="24"/>
          <w:szCs w:val="24"/>
        </w:rPr>
      </w:pPr>
    </w:p>
    <w:p w:rsidR="00D94BDC" w:rsidRPr="00C96E42" w:rsidRDefault="00D94BDC" w:rsidP="00D94BDC">
      <w:pPr>
        <w:spacing w:after="0" w:line="240" w:lineRule="auto"/>
        <w:rPr>
          <w:rFonts w:ascii="Times New Roman" w:eastAsia="Times New Roman" w:hAnsi="Times New Roman" w:cs="Times New Roman"/>
          <w:sz w:val="24"/>
          <w:szCs w:val="24"/>
        </w:rPr>
      </w:pPr>
      <w:r w:rsidRPr="005242B1">
        <w:rPr>
          <w:rFonts w:ascii="Times New Roman" w:eastAsia="Times New Roman" w:hAnsi="Times New Roman" w:cs="Times New Roman"/>
          <w:sz w:val="24"/>
          <w:szCs w:val="24"/>
        </w:rPr>
        <w:t>The information collection for which approval is sought is in accordance with DGMQ’s mission to reduce morbidity and mortality among immigrants, refugees, travelers, expatriates, and other globally mobile populations, and to prevent the introduction, transmission, or spread of communicable diseases from foreign countries into the</w:t>
      </w:r>
      <w:r>
        <w:rPr>
          <w:rFonts w:ascii="Times New Roman" w:eastAsia="Times New Roman" w:hAnsi="Times New Roman" w:cs="Times New Roman"/>
          <w:sz w:val="24"/>
          <w:szCs w:val="24"/>
        </w:rPr>
        <w:t xml:space="preserve"> U.S</w:t>
      </w:r>
      <w:r w:rsidRPr="005242B1">
        <w:rPr>
          <w:rFonts w:ascii="Times New Roman" w:eastAsia="Times New Roman" w:hAnsi="Times New Roman" w:cs="Times New Roman"/>
          <w:sz w:val="24"/>
          <w:szCs w:val="24"/>
        </w:rPr>
        <w:t>. This mission is supported by delegated legal authorities.</w:t>
      </w:r>
    </w:p>
    <w:p w:rsidR="00D94BDC" w:rsidRPr="005242B1" w:rsidRDefault="00D94BDC" w:rsidP="00D94BDC">
      <w:pPr>
        <w:autoSpaceDE w:val="0"/>
        <w:autoSpaceDN w:val="0"/>
        <w:spacing w:line="240" w:lineRule="auto"/>
        <w:rPr>
          <w:rFonts w:ascii="Times New Roman" w:hAnsi="Times New Roman" w:cs="Times New Roman"/>
          <w:sz w:val="24"/>
          <w:szCs w:val="24"/>
        </w:rPr>
      </w:pPr>
    </w:p>
    <w:p w:rsidR="00D94BDC" w:rsidRPr="0009058B" w:rsidRDefault="00D94BDC" w:rsidP="00D94BDC">
      <w:pPr>
        <w:pStyle w:val="Header"/>
        <w:tabs>
          <w:tab w:val="clear" w:pos="4680"/>
        </w:tabs>
        <w:rPr>
          <w:rFonts w:ascii="Times New Roman" w:hAnsi="Times New Roman" w:cs="Times New Roman"/>
          <w:sz w:val="24"/>
          <w:szCs w:val="24"/>
        </w:rPr>
      </w:pPr>
      <w:r w:rsidRPr="005242B1">
        <w:rPr>
          <w:rFonts w:ascii="Times New Roman" w:hAnsi="Times New Roman" w:cs="Times New Roman"/>
          <w:sz w:val="24"/>
          <w:szCs w:val="24"/>
        </w:rPr>
        <w:t>The Secretary of Health and Human Services also has the legal authority to establish regulations outlining the requirements for the medical examination of aliens before they may be admitted into the United States. This authority is provided under Section 212(a</w:t>
      </w:r>
      <w:proofErr w:type="gramStart"/>
      <w:r w:rsidRPr="005242B1">
        <w:rPr>
          <w:rFonts w:ascii="Times New Roman" w:hAnsi="Times New Roman" w:cs="Times New Roman"/>
          <w:sz w:val="24"/>
          <w:szCs w:val="24"/>
        </w:rPr>
        <w:t>)(</w:t>
      </w:r>
      <w:proofErr w:type="gramEnd"/>
      <w:r w:rsidRPr="005242B1">
        <w:rPr>
          <w:rFonts w:ascii="Times New Roman" w:hAnsi="Times New Roman" w:cs="Times New Roman"/>
          <w:sz w:val="24"/>
          <w:szCs w:val="24"/>
        </w:rPr>
        <w:t>1)(A) of the Immigration and Nationality Act (8 U.S.C. § 1182(a)(1)(A</w:t>
      </w:r>
      <w:r w:rsidR="00E81E7A">
        <w:rPr>
          <w:rFonts w:ascii="Times New Roman" w:hAnsi="Times New Roman" w:cs="Times New Roman"/>
          <w:sz w:val="24"/>
          <w:szCs w:val="24"/>
        </w:rPr>
        <w:t xml:space="preserve">)) </w:t>
      </w:r>
      <w:r w:rsidRPr="0009058B">
        <w:rPr>
          <w:rFonts w:ascii="Times New Roman" w:hAnsi="Times New Roman" w:cs="Times New Roman"/>
          <w:sz w:val="24"/>
          <w:szCs w:val="24"/>
        </w:rPr>
        <w:t xml:space="preserve">and Section 325 of the Public </w:t>
      </w:r>
      <w:r>
        <w:rPr>
          <w:rFonts w:ascii="Times New Roman" w:hAnsi="Times New Roman" w:cs="Times New Roman"/>
          <w:sz w:val="24"/>
          <w:szCs w:val="24"/>
        </w:rPr>
        <w:t>Health Service Act</w:t>
      </w:r>
      <w:r w:rsidRPr="0009058B">
        <w:rPr>
          <w:rFonts w:ascii="Times New Roman" w:hAnsi="Times New Roman" w:cs="Times New Roman"/>
          <w:sz w:val="24"/>
          <w:szCs w:val="24"/>
        </w:rPr>
        <w:t xml:space="preserve">. These regulations are codified in 42 CFR Part 34, which establish requirements that determine whether aliens can be admitted into the </w:t>
      </w:r>
      <w:r>
        <w:rPr>
          <w:rFonts w:ascii="Times New Roman" w:hAnsi="Times New Roman" w:cs="Times New Roman"/>
          <w:sz w:val="24"/>
          <w:szCs w:val="24"/>
        </w:rPr>
        <w:t>U.S.</w:t>
      </w:r>
    </w:p>
    <w:p w:rsidR="00C620B1" w:rsidRDefault="00C620B1" w:rsidP="005242B1">
      <w:pPr>
        <w:spacing w:after="0" w:line="240" w:lineRule="auto"/>
        <w:rPr>
          <w:rFonts w:ascii="Times New Roman" w:eastAsia="Times New Roman" w:hAnsi="Times New Roman" w:cs="Times New Roman"/>
          <w:sz w:val="24"/>
          <w:szCs w:val="24"/>
        </w:rPr>
      </w:pPr>
    </w:p>
    <w:p w:rsidR="00C96E42" w:rsidRDefault="00C02A14" w:rsidP="00C02A14">
      <w:pPr>
        <w:spacing w:after="0" w:line="240" w:lineRule="auto"/>
        <w:rPr>
          <w:rFonts w:ascii="Times New Roman" w:hAnsi="Times New Roman" w:cs="Times New Roman"/>
          <w:sz w:val="24"/>
          <w:szCs w:val="24"/>
        </w:rPr>
      </w:pPr>
      <w:r w:rsidRPr="005242B1">
        <w:rPr>
          <w:rFonts w:ascii="Times New Roman" w:hAnsi="Times New Roman" w:cs="Times New Roman"/>
          <w:sz w:val="24"/>
          <w:szCs w:val="24"/>
        </w:rPr>
        <w:t>To achieve DGMQ’s mission, the Immigrant, Refugee and Migrant Heal</w:t>
      </w:r>
      <w:r w:rsidR="00044EE4">
        <w:rPr>
          <w:rFonts w:ascii="Times New Roman" w:hAnsi="Times New Roman" w:cs="Times New Roman"/>
          <w:sz w:val="24"/>
          <w:szCs w:val="24"/>
        </w:rPr>
        <w:t>th b</w:t>
      </w:r>
      <w:r w:rsidR="00501575">
        <w:rPr>
          <w:rFonts w:ascii="Times New Roman" w:hAnsi="Times New Roman" w:cs="Times New Roman"/>
          <w:sz w:val="24"/>
          <w:szCs w:val="24"/>
        </w:rPr>
        <w:t>ranch (IRMH</w:t>
      </w:r>
      <w:r w:rsidRPr="005242B1">
        <w:rPr>
          <w:rFonts w:ascii="Times New Roman" w:hAnsi="Times New Roman" w:cs="Times New Roman"/>
          <w:sz w:val="24"/>
          <w:szCs w:val="24"/>
        </w:rPr>
        <w:t>) works with domestic and international program</w:t>
      </w:r>
      <w:r w:rsidR="00501575">
        <w:rPr>
          <w:rFonts w:ascii="Times New Roman" w:hAnsi="Times New Roman" w:cs="Times New Roman"/>
          <w:sz w:val="24"/>
          <w:szCs w:val="24"/>
        </w:rPr>
        <w:t>s to improve the health of U.S</w:t>
      </w:r>
      <w:r w:rsidR="00044EE4">
        <w:rPr>
          <w:rFonts w:ascii="Times New Roman" w:hAnsi="Times New Roman" w:cs="Times New Roman"/>
          <w:sz w:val="24"/>
          <w:szCs w:val="24"/>
        </w:rPr>
        <w:t>.</w:t>
      </w:r>
      <w:r w:rsidR="00501575">
        <w:rPr>
          <w:rFonts w:ascii="Times New Roman" w:hAnsi="Times New Roman" w:cs="Times New Roman"/>
          <w:sz w:val="24"/>
          <w:szCs w:val="24"/>
        </w:rPr>
        <w:t>-</w:t>
      </w:r>
      <w:r w:rsidRPr="005242B1">
        <w:rPr>
          <w:rFonts w:ascii="Times New Roman" w:hAnsi="Times New Roman" w:cs="Times New Roman"/>
          <w:sz w:val="24"/>
          <w:szCs w:val="24"/>
        </w:rPr>
        <w:t>bound immigrants and refugees to protect the U.S. public by preventing the importation of infectious disease. These goal</w:t>
      </w:r>
      <w:r w:rsidR="00501575">
        <w:rPr>
          <w:rFonts w:ascii="Times New Roman" w:hAnsi="Times New Roman" w:cs="Times New Roman"/>
          <w:sz w:val="24"/>
          <w:szCs w:val="24"/>
        </w:rPr>
        <w:t>s are accomplished through IRMH</w:t>
      </w:r>
      <w:r w:rsidRPr="005242B1">
        <w:rPr>
          <w:rFonts w:ascii="Times New Roman" w:hAnsi="Times New Roman" w:cs="Times New Roman"/>
          <w:sz w:val="24"/>
          <w:szCs w:val="24"/>
        </w:rPr>
        <w:t>’s oversight of medical exams required for all U.S.</w:t>
      </w:r>
      <w:r w:rsidR="00501575">
        <w:rPr>
          <w:rFonts w:ascii="Times New Roman" w:hAnsi="Times New Roman" w:cs="Times New Roman"/>
          <w:sz w:val="24"/>
          <w:szCs w:val="24"/>
        </w:rPr>
        <w:t xml:space="preserve"> -</w:t>
      </w:r>
      <w:r w:rsidRPr="005242B1">
        <w:rPr>
          <w:rFonts w:ascii="Times New Roman" w:hAnsi="Times New Roman" w:cs="Times New Roman"/>
          <w:sz w:val="24"/>
          <w:szCs w:val="24"/>
        </w:rPr>
        <w:t xml:space="preserve"> bound immigrants and refugees who seek permanent residence in the </w:t>
      </w:r>
      <w:r w:rsidR="00501575">
        <w:rPr>
          <w:rFonts w:ascii="Times New Roman" w:hAnsi="Times New Roman" w:cs="Times New Roman"/>
          <w:sz w:val="24"/>
          <w:szCs w:val="24"/>
        </w:rPr>
        <w:t xml:space="preserve">U.S. </w:t>
      </w:r>
      <w:r w:rsidR="00A96872">
        <w:rPr>
          <w:rFonts w:ascii="Times New Roman" w:hAnsi="Times New Roman" w:cs="Times New Roman"/>
          <w:sz w:val="24"/>
          <w:szCs w:val="24"/>
        </w:rPr>
        <w:t>IRMH</w:t>
      </w:r>
      <w:r w:rsidRPr="005242B1">
        <w:rPr>
          <w:rFonts w:ascii="Times New Roman" w:hAnsi="Times New Roman" w:cs="Times New Roman"/>
          <w:sz w:val="24"/>
          <w:szCs w:val="24"/>
        </w:rPr>
        <w:t xml:space="preserve"> is responsible for assisting and training the international panel physicians with the implementation of medical exam </w:t>
      </w:r>
      <w:r w:rsidRPr="005242B1">
        <w:rPr>
          <w:rFonts w:ascii="Times New Roman" w:hAnsi="Times New Roman" w:cs="Times New Roman"/>
          <w:i/>
          <w:sz w:val="24"/>
          <w:szCs w:val="24"/>
        </w:rPr>
        <w:t>Technical Instructions</w:t>
      </w:r>
      <w:r w:rsidRPr="005242B1">
        <w:rPr>
          <w:rFonts w:ascii="Times New Roman" w:hAnsi="Times New Roman" w:cs="Times New Roman"/>
          <w:sz w:val="24"/>
          <w:szCs w:val="24"/>
        </w:rPr>
        <w:t xml:space="preserve"> (TI). Technical Instructions are detailed requirements and national policies regarding the medical scre</w:t>
      </w:r>
      <w:r w:rsidR="0066325B">
        <w:rPr>
          <w:rFonts w:ascii="Times New Roman" w:hAnsi="Times New Roman" w:cs="Times New Roman"/>
          <w:sz w:val="24"/>
          <w:szCs w:val="24"/>
        </w:rPr>
        <w:t>ening and treatment of all U.S.</w:t>
      </w:r>
      <w:r w:rsidR="00C96E42">
        <w:rPr>
          <w:rFonts w:ascii="Times New Roman" w:hAnsi="Times New Roman" w:cs="Times New Roman"/>
          <w:sz w:val="24"/>
          <w:szCs w:val="24"/>
        </w:rPr>
        <w:t>-</w:t>
      </w:r>
      <w:r w:rsidRPr="005242B1">
        <w:rPr>
          <w:rFonts w:ascii="Times New Roman" w:hAnsi="Times New Roman" w:cs="Times New Roman"/>
          <w:sz w:val="24"/>
          <w:szCs w:val="24"/>
        </w:rPr>
        <w:t xml:space="preserve">bound immigrants and refugees. Most panel physicians currently </w:t>
      </w:r>
      <w:r w:rsidR="00E23753">
        <w:rPr>
          <w:rFonts w:ascii="Times New Roman" w:hAnsi="Times New Roman" w:cs="Times New Roman"/>
          <w:sz w:val="24"/>
          <w:szCs w:val="24"/>
        </w:rPr>
        <w:t>refer to print copies of the Technical Instructions</w:t>
      </w:r>
      <w:r w:rsidRPr="005242B1">
        <w:rPr>
          <w:rFonts w:ascii="Times New Roman" w:hAnsi="Times New Roman" w:cs="Times New Roman"/>
          <w:sz w:val="24"/>
          <w:szCs w:val="24"/>
        </w:rPr>
        <w:t xml:space="preserve"> as well as laminated reference guides to verify the medical screening requirements for immigrants and refugees. </w:t>
      </w:r>
      <w:r w:rsidR="000A3085">
        <w:rPr>
          <w:rFonts w:ascii="Times New Roman" w:hAnsi="Times New Roman" w:cs="Times New Roman"/>
          <w:sz w:val="24"/>
          <w:szCs w:val="24"/>
        </w:rPr>
        <w:t xml:space="preserve">The hard-copy reference guides </w:t>
      </w:r>
      <w:r w:rsidRPr="005242B1">
        <w:rPr>
          <w:rFonts w:ascii="Times New Roman" w:hAnsi="Times New Roman" w:cs="Times New Roman"/>
          <w:sz w:val="24"/>
          <w:szCs w:val="24"/>
        </w:rPr>
        <w:t>are synthesi</w:t>
      </w:r>
      <w:r w:rsidR="00E23753">
        <w:rPr>
          <w:rFonts w:ascii="Times New Roman" w:hAnsi="Times New Roman" w:cs="Times New Roman"/>
          <w:sz w:val="24"/>
          <w:szCs w:val="24"/>
        </w:rPr>
        <w:t>zed versions of the complete Technical Instructions</w:t>
      </w:r>
      <w:r w:rsidRPr="005242B1">
        <w:rPr>
          <w:rFonts w:ascii="Times New Roman" w:hAnsi="Times New Roman" w:cs="Times New Roman"/>
          <w:sz w:val="24"/>
          <w:szCs w:val="24"/>
        </w:rPr>
        <w:t xml:space="preserve">, and thus, do not contain in-depth information that might be needed </w:t>
      </w:r>
      <w:r w:rsidR="00C96E42">
        <w:rPr>
          <w:rFonts w:ascii="Times New Roman" w:hAnsi="Times New Roman" w:cs="Times New Roman"/>
          <w:sz w:val="24"/>
          <w:szCs w:val="24"/>
        </w:rPr>
        <w:t>to administer medical exams. More</w:t>
      </w:r>
      <w:r w:rsidRPr="005242B1">
        <w:rPr>
          <w:rFonts w:ascii="Times New Roman" w:hAnsi="Times New Roman" w:cs="Times New Roman"/>
          <w:sz w:val="24"/>
          <w:szCs w:val="24"/>
        </w:rPr>
        <w:t xml:space="preserve"> detailed information an</w:t>
      </w:r>
      <w:r w:rsidR="00E23753">
        <w:rPr>
          <w:rFonts w:ascii="Times New Roman" w:hAnsi="Times New Roman" w:cs="Times New Roman"/>
          <w:sz w:val="24"/>
          <w:szCs w:val="24"/>
        </w:rPr>
        <w:t>d complete versions of the Technical Instructions</w:t>
      </w:r>
      <w:r w:rsidR="00C96E42">
        <w:rPr>
          <w:rFonts w:ascii="Times New Roman" w:hAnsi="Times New Roman" w:cs="Times New Roman"/>
          <w:sz w:val="24"/>
          <w:szCs w:val="24"/>
        </w:rPr>
        <w:t xml:space="preserve"> are available on DGMQ’s website.</w:t>
      </w:r>
    </w:p>
    <w:p w:rsidR="00C96E42" w:rsidRPr="005242B1" w:rsidRDefault="00C96E42" w:rsidP="00C02A14">
      <w:pPr>
        <w:spacing w:after="0" w:line="240" w:lineRule="auto"/>
        <w:rPr>
          <w:rFonts w:ascii="Times New Roman" w:hAnsi="Times New Roman" w:cs="Times New Roman"/>
          <w:sz w:val="24"/>
          <w:szCs w:val="24"/>
        </w:rPr>
      </w:pPr>
    </w:p>
    <w:p w:rsidR="002301D2" w:rsidRDefault="002301D2" w:rsidP="00C02A14">
      <w:pPr>
        <w:spacing w:after="0" w:line="240" w:lineRule="auto"/>
        <w:rPr>
          <w:rFonts w:ascii="Times New Roman" w:hAnsi="Times New Roman" w:cs="Times New Roman"/>
          <w:sz w:val="24"/>
          <w:szCs w:val="24"/>
        </w:rPr>
      </w:pPr>
    </w:p>
    <w:p w:rsidR="00C02A14" w:rsidRDefault="00C02A14" w:rsidP="00C02A14">
      <w:pPr>
        <w:spacing w:after="0" w:line="240" w:lineRule="auto"/>
        <w:rPr>
          <w:rFonts w:ascii="Times New Roman" w:hAnsi="Times New Roman" w:cs="Times New Roman"/>
          <w:sz w:val="24"/>
          <w:szCs w:val="24"/>
        </w:rPr>
      </w:pPr>
      <w:r w:rsidRPr="005242B1">
        <w:rPr>
          <w:rFonts w:ascii="Times New Roman" w:hAnsi="Times New Roman" w:cs="Times New Roman"/>
          <w:sz w:val="24"/>
          <w:szCs w:val="24"/>
        </w:rPr>
        <w:lastRenderedPageBreak/>
        <w:t>Introducing Q</w:t>
      </w:r>
      <w:r w:rsidR="00C96E42">
        <w:rPr>
          <w:rFonts w:ascii="Times New Roman" w:hAnsi="Times New Roman" w:cs="Times New Roman"/>
          <w:sz w:val="24"/>
          <w:szCs w:val="24"/>
        </w:rPr>
        <w:t xml:space="preserve">uick </w:t>
      </w:r>
      <w:r w:rsidRPr="005242B1">
        <w:rPr>
          <w:rFonts w:ascii="Times New Roman" w:hAnsi="Times New Roman" w:cs="Times New Roman"/>
          <w:sz w:val="24"/>
          <w:szCs w:val="24"/>
        </w:rPr>
        <w:t>R</w:t>
      </w:r>
      <w:r w:rsidR="00C96E42">
        <w:rPr>
          <w:rFonts w:ascii="Times New Roman" w:hAnsi="Times New Roman" w:cs="Times New Roman"/>
          <w:sz w:val="24"/>
          <w:szCs w:val="24"/>
        </w:rPr>
        <w:t>esponse (QR)</w:t>
      </w:r>
      <w:r w:rsidRPr="005242B1">
        <w:rPr>
          <w:rFonts w:ascii="Times New Roman" w:hAnsi="Times New Roman" w:cs="Times New Roman"/>
          <w:sz w:val="24"/>
          <w:szCs w:val="24"/>
        </w:rPr>
        <w:t xml:space="preserve"> codes</w:t>
      </w:r>
      <w:r w:rsidR="001D0BFD">
        <w:rPr>
          <w:rFonts w:cs="Times New Roman"/>
          <w:sz w:val="24"/>
          <w:szCs w:val="24"/>
        </w:rPr>
        <w:t>—</w:t>
      </w:r>
      <w:r w:rsidR="001D0BFD" w:rsidRPr="001D0BFD">
        <w:rPr>
          <w:rFonts w:ascii="Times New Roman" w:hAnsi="Times New Roman" w:cs="Times New Roman"/>
        </w:rPr>
        <w:t>which are two-dimensional barcodes that store thousands of alphanumeric characters of information and data--</w:t>
      </w:r>
      <w:r w:rsidRPr="001D0BFD">
        <w:rPr>
          <w:rFonts w:ascii="Times New Roman" w:hAnsi="Times New Roman" w:cs="Times New Roman"/>
          <w:sz w:val="24"/>
          <w:szCs w:val="24"/>
        </w:rPr>
        <w:t xml:space="preserve">on the laminated </w:t>
      </w:r>
      <w:r w:rsidR="00D911F6" w:rsidRPr="001D0BFD">
        <w:rPr>
          <w:rFonts w:ascii="Times New Roman" w:hAnsi="Times New Roman" w:cs="Times New Roman"/>
          <w:sz w:val="24"/>
          <w:szCs w:val="24"/>
        </w:rPr>
        <w:t>reference guide</w:t>
      </w:r>
      <w:r w:rsidRPr="001D0BFD">
        <w:rPr>
          <w:rFonts w:ascii="Times New Roman" w:hAnsi="Times New Roman" w:cs="Times New Roman"/>
          <w:sz w:val="24"/>
          <w:szCs w:val="24"/>
        </w:rPr>
        <w:t>s and other DGMQ resources will allow panel physicians to immediately access the deta</w:t>
      </w:r>
      <w:r w:rsidR="00E23753" w:rsidRPr="001D0BFD">
        <w:rPr>
          <w:rFonts w:ascii="Times New Roman" w:hAnsi="Times New Roman" w:cs="Times New Roman"/>
          <w:sz w:val="24"/>
          <w:szCs w:val="24"/>
        </w:rPr>
        <w:t>iled Technical Instructions</w:t>
      </w:r>
      <w:r w:rsidRPr="001D0BFD">
        <w:rPr>
          <w:rFonts w:ascii="Times New Roman" w:hAnsi="Times New Roman" w:cs="Times New Roman"/>
          <w:sz w:val="24"/>
          <w:szCs w:val="24"/>
        </w:rPr>
        <w:t xml:space="preserve"> provided on CDC’s website</w:t>
      </w:r>
      <w:r w:rsidR="00C96E42" w:rsidRPr="001D0BFD">
        <w:rPr>
          <w:rFonts w:ascii="Times New Roman" w:hAnsi="Times New Roman" w:cs="Times New Roman"/>
          <w:sz w:val="24"/>
          <w:szCs w:val="24"/>
        </w:rPr>
        <w:t>s</w:t>
      </w:r>
      <w:r w:rsidR="001D0BFD">
        <w:rPr>
          <w:rFonts w:ascii="Times New Roman" w:hAnsi="Times New Roman" w:cs="Times New Roman"/>
          <w:sz w:val="24"/>
          <w:szCs w:val="24"/>
        </w:rPr>
        <w:t xml:space="preserve">. Furthermore, </w:t>
      </w:r>
      <w:r w:rsidRPr="001D0BFD">
        <w:rPr>
          <w:rFonts w:ascii="Times New Roman" w:hAnsi="Times New Roman" w:cs="Times New Roman"/>
          <w:sz w:val="24"/>
          <w:szCs w:val="24"/>
        </w:rPr>
        <w:t>QR codes can be designed to link users to specific sections of text on a webpage. This minimizes the time users spend searching for information. The online t</w:t>
      </w:r>
      <w:r w:rsidR="00E23753" w:rsidRPr="001D0BFD">
        <w:rPr>
          <w:rFonts w:ascii="Times New Roman" w:hAnsi="Times New Roman" w:cs="Times New Roman"/>
          <w:sz w:val="24"/>
          <w:szCs w:val="24"/>
        </w:rPr>
        <w:t>uberculosis</w:t>
      </w:r>
      <w:r w:rsidR="00943782">
        <w:rPr>
          <w:rFonts w:ascii="Times New Roman" w:hAnsi="Times New Roman" w:cs="Times New Roman"/>
          <w:sz w:val="24"/>
          <w:szCs w:val="24"/>
        </w:rPr>
        <w:t xml:space="preserve"> (TB)</w:t>
      </w:r>
      <w:r w:rsidR="00E23753" w:rsidRPr="001D0BFD">
        <w:rPr>
          <w:rFonts w:ascii="Times New Roman" w:hAnsi="Times New Roman" w:cs="Times New Roman"/>
          <w:sz w:val="24"/>
          <w:szCs w:val="24"/>
        </w:rPr>
        <w:t xml:space="preserve"> Technical Instructions</w:t>
      </w:r>
      <w:r w:rsidRPr="001D0BFD">
        <w:rPr>
          <w:rFonts w:ascii="Times New Roman" w:hAnsi="Times New Roman" w:cs="Times New Roman"/>
          <w:sz w:val="24"/>
          <w:szCs w:val="24"/>
        </w:rPr>
        <w:t>, for example, is a lengthy document that contains in-depth information about TB testing</w:t>
      </w:r>
      <w:r w:rsidRPr="005242B1">
        <w:rPr>
          <w:rFonts w:ascii="Times New Roman" w:hAnsi="Times New Roman" w:cs="Times New Roman"/>
          <w:sz w:val="24"/>
          <w:szCs w:val="24"/>
        </w:rPr>
        <w:t xml:space="preserve"> and treatment procedures (among other things). A panel physician may only be interested in verifying U.S. TB classification standards. The physician could scan the QR code on the TB T</w:t>
      </w:r>
      <w:r w:rsidR="00E23753">
        <w:rPr>
          <w:rFonts w:ascii="Times New Roman" w:hAnsi="Times New Roman" w:cs="Times New Roman"/>
          <w:sz w:val="24"/>
          <w:szCs w:val="24"/>
        </w:rPr>
        <w:t>echnical Instructions</w:t>
      </w:r>
      <w:r w:rsidRPr="005242B1">
        <w:rPr>
          <w:rFonts w:ascii="Times New Roman" w:hAnsi="Times New Roman" w:cs="Times New Roman"/>
          <w:sz w:val="24"/>
          <w:szCs w:val="24"/>
        </w:rPr>
        <w:t xml:space="preserve"> fact</w:t>
      </w:r>
      <w:r w:rsidR="00E23753">
        <w:rPr>
          <w:rFonts w:ascii="Times New Roman" w:hAnsi="Times New Roman" w:cs="Times New Roman"/>
          <w:sz w:val="24"/>
          <w:szCs w:val="24"/>
        </w:rPr>
        <w:t xml:space="preserve"> </w:t>
      </w:r>
      <w:r w:rsidRPr="005242B1">
        <w:rPr>
          <w:rFonts w:ascii="Times New Roman" w:hAnsi="Times New Roman" w:cs="Times New Roman"/>
          <w:sz w:val="24"/>
          <w:szCs w:val="24"/>
        </w:rPr>
        <w:t>sheet</w:t>
      </w:r>
      <w:r w:rsidR="00E23753">
        <w:rPr>
          <w:rFonts w:ascii="Times New Roman" w:hAnsi="Times New Roman" w:cs="Times New Roman"/>
          <w:sz w:val="24"/>
          <w:szCs w:val="24"/>
        </w:rPr>
        <w:t xml:space="preserve"> or laminated reference guide </w:t>
      </w:r>
      <w:r w:rsidRPr="005242B1">
        <w:rPr>
          <w:rFonts w:ascii="Times New Roman" w:hAnsi="Times New Roman" w:cs="Times New Roman"/>
          <w:sz w:val="24"/>
          <w:szCs w:val="24"/>
        </w:rPr>
        <w:t xml:space="preserve"> and be immediately connected to the section on the webpage that discusses U.S. TB classifications. In short, panel physicians can use their mobile devices while conducting medical screenings in the field to access up-to-date and detailed information regardin</w:t>
      </w:r>
      <w:r w:rsidR="001D0BFD">
        <w:rPr>
          <w:rFonts w:ascii="Times New Roman" w:hAnsi="Times New Roman" w:cs="Times New Roman"/>
          <w:sz w:val="24"/>
          <w:szCs w:val="24"/>
        </w:rPr>
        <w:t>g medical requirements for U.S.-</w:t>
      </w:r>
      <w:r w:rsidRPr="005242B1">
        <w:rPr>
          <w:rFonts w:ascii="Times New Roman" w:hAnsi="Times New Roman" w:cs="Times New Roman"/>
          <w:sz w:val="24"/>
          <w:szCs w:val="24"/>
        </w:rPr>
        <w:t>bound immigrants and refugees.</w:t>
      </w:r>
      <w:r w:rsidR="008F5224">
        <w:rPr>
          <w:rFonts w:ascii="Times New Roman" w:hAnsi="Times New Roman" w:cs="Times New Roman"/>
          <w:sz w:val="24"/>
          <w:szCs w:val="24"/>
        </w:rPr>
        <w:t xml:space="preserve">  The sample QR coded Panel Physician tools are included as attachments</w:t>
      </w:r>
      <w:r w:rsidR="00943782">
        <w:rPr>
          <w:rFonts w:ascii="Times New Roman" w:hAnsi="Times New Roman" w:cs="Times New Roman"/>
          <w:sz w:val="24"/>
          <w:szCs w:val="24"/>
        </w:rPr>
        <w:t>:</w:t>
      </w:r>
    </w:p>
    <w:p w:rsidR="00943782" w:rsidRPr="00C85824" w:rsidRDefault="00943782" w:rsidP="00C85824">
      <w:pPr>
        <w:pStyle w:val="ListParagraph"/>
        <w:numPr>
          <w:ilvl w:val="0"/>
          <w:numId w:val="44"/>
        </w:numPr>
        <w:spacing w:after="0" w:line="240" w:lineRule="auto"/>
        <w:rPr>
          <w:rFonts w:ascii="Times New Roman" w:hAnsi="Times New Roman" w:cs="Times New Roman"/>
          <w:sz w:val="24"/>
          <w:szCs w:val="24"/>
        </w:rPr>
      </w:pPr>
      <w:r w:rsidRPr="00C85824">
        <w:rPr>
          <w:rFonts w:ascii="Times New Roman" w:hAnsi="Times New Roman" w:cs="Times New Roman"/>
          <w:sz w:val="24"/>
          <w:szCs w:val="24"/>
        </w:rPr>
        <w:t>Attachment C(1)  Panel Physician Tool TB TI</w:t>
      </w:r>
    </w:p>
    <w:p w:rsidR="00943782" w:rsidRPr="00C85824" w:rsidRDefault="00943782" w:rsidP="00C85824">
      <w:pPr>
        <w:pStyle w:val="ListParagraph"/>
        <w:numPr>
          <w:ilvl w:val="0"/>
          <w:numId w:val="44"/>
        </w:numPr>
        <w:spacing w:after="0" w:line="240" w:lineRule="auto"/>
        <w:rPr>
          <w:rFonts w:ascii="Times New Roman" w:hAnsi="Times New Roman" w:cs="Times New Roman"/>
          <w:sz w:val="24"/>
          <w:szCs w:val="24"/>
        </w:rPr>
      </w:pPr>
      <w:r w:rsidRPr="00C85824">
        <w:rPr>
          <w:rFonts w:ascii="Times New Roman" w:hAnsi="Times New Roman" w:cs="Times New Roman"/>
          <w:sz w:val="24"/>
          <w:szCs w:val="24"/>
        </w:rPr>
        <w:t>Attachment C(2)  Panel Physician Tool Length of Validity Prior to Travel</w:t>
      </w:r>
    </w:p>
    <w:p w:rsidR="00943782" w:rsidRPr="00C85824" w:rsidRDefault="00943782" w:rsidP="00C85824">
      <w:pPr>
        <w:pStyle w:val="ListParagraph"/>
        <w:numPr>
          <w:ilvl w:val="0"/>
          <w:numId w:val="44"/>
        </w:numPr>
        <w:spacing w:after="0" w:line="240" w:lineRule="auto"/>
        <w:rPr>
          <w:rFonts w:ascii="Times New Roman" w:hAnsi="Times New Roman" w:cs="Times New Roman"/>
          <w:sz w:val="24"/>
          <w:szCs w:val="24"/>
        </w:rPr>
      </w:pPr>
      <w:r w:rsidRPr="00C85824">
        <w:rPr>
          <w:rFonts w:ascii="Times New Roman" w:hAnsi="Times New Roman" w:cs="Times New Roman"/>
          <w:sz w:val="24"/>
          <w:szCs w:val="24"/>
        </w:rPr>
        <w:t>Attachment C(3)  Panel Physician Tool Vaccination Requirements</w:t>
      </w:r>
    </w:p>
    <w:p w:rsidR="00943782" w:rsidRPr="00C85824" w:rsidRDefault="00943782" w:rsidP="00C85824">
      <w:pPr>
        <w:pStyle w:val="ListParagraph"/>
        <w:numPr>
          <w:ilvl w:val="0"/>
          <w:numId w:val="44"/>
        </w:numPr>
        <w:spacing w:after="0" w:line="240" w:lineRule="auto"/>
        <w:rPr>
          <w:rFonts w:ascii="Times New Roman" w:hAnsi="Times New Roman" w:cs="Times New Roman"/>
          <w:sz w:val="24"/>
          <w:szCs w:val="24"/>
        </w:rPr>
      </w:pPr>
      <w:r w:rsidRPr="00C85824">
        <w:rPr>
          <w:rFonts w:ascii="Times New Roman" w:hAnsi="Times New Roman" w:cs="Times New Roman"/>
          <w:sz w:val="24"/>
          <w:szCs w:val="24"/>
        </w:rPr>
        <w:t>Attachment C(4)</w:t>
      </w:r>
      <w:r w:rsidRPr="00FC2316">
        <w:t xml:space="preserve"> </w:t>
      </w:r>
      <w:r>
        <w:t xml:space="preserve"> </w:t>
      </w:r>
      <w:r w:rsidRPr="00C85824">
        <w:rPr>
          <w:rFonts w:ascii="Times New Roman" w:hAnsi="Times New Roman" w:cs="Times New Roman"/>
          <w:sz w:val="24"/>
          <w:szCs w:val="24"/>
        </w:rPr>
        <w:t>Panel Physician Tool Mental Disorders and Substance Abuse</w:t>
      </w:r>
    </w:p>
    <w:p w:rsidR="00943782" w:rsidRPr="00C85824" w:rsidRDefault="00943782" w:rsidP="00C85824">
      <w:pPr>
        <w:pStyle w:val="ListParagraph"/>
        <w:numPr>
          <w:ilvl w:val="0"/>
          <w:numId w:val="44"/>
        </w:numPr>
        <w:spacing w:after="0" w:line="240" w:lineRule="auto"/>
        <w:rPr>
          <w:rFonts w:ascii="Times New Roman" w:hAnsi="Times New Roman" w:cs="Times New Roman"/>
          <w:sz w:val="24"/>
          <w:szCs w:val="24"/>
        </w:rPr>
      </w:pPr>
      <w:r w:rsidRPr="00C85824">
        <w:rPr>
          <w:rFonts w:ascii="Times New Roman" w:hAnsi="Times New Roman" w:cs="Times New Roman"/>
          <w:sz w:val="24"/>
          <w:szCs w:val="24"/>
        </w:rPr>
        <w:t>Attachment C(5)</w:t>
      </w:r>
      <w:r w:rsidRPr="00B22DBF">
        <w:t xml:space="preserve"> </w:t>
      </w:r>
      <w:r>
        <w:t xml:space="preserve"> </w:t>
      </w:r>
      <w:r w:rsidRPr="00C85824">
        <w:rPr>
          <w:rFonts w:ascii="Times New Roman" w:hAnsi="Times New Roman" w:cs="Times New Roman"/>
          <w:sz w:val="24"/>
          <w:szCs w:val="24"/>
        </w:rPr>
        <w:t>Panel Physician Tool Contact List</w:t>
      </w:r>
    </w:p>
    <w:p w:rsidR="00943782" w:rsidRPr="00C85824" w:rsidRDefault="00943782" w:rsidP="00C85824">
      <w:pPr>
        <w:pStyle w:val="ListParagraph"/>
        <w:numPr>
          <w:ilvl w:val="0"/>
          <w:numId w:val="44"/>
        </w:numPr>
        <w:spacing w:after="0" w:line="240" w:lineRule="auto"/>
        <w:rPr>
          <w:rFonts w:ascii="Times New Roman" w:hAnsi="Times New Roman" w:cs="Times New Roman"/>
          <w:sz w:val="24"/>
          <w:szCs w:val="24"/>
        </w:rPr>
      </w:pPr>
      <w:r w:rsidRPr="00C85824">
        <w:rPr>
          <w:rFonts w:ascii="Times New Roman" w:hAnsi="Times New Roman" w:cs="Times New Roman"/>
          <w:sz w:val="24"/>
          <w:szCs w:val="24"/>
        </w:rPr>
        <w:t xml:space="preserve">Attachment C(6) </w:t>
      </w:r>
      <w:r w:rsidRPr="008063DC">
        <w:t xml:space="preserve"> </w:t>
      </w:r>
      <w:r w:rsidRPr="00C85824">
        <w:rPr>
          <w:rFonts w:ascii="Times New Roman" w:hAnsi="Times New Roman" w:cs="Times New Roman"/>
          <w:sz w:val="24"/>
          <w:szCs w:val="24"/>
        </w:rPr>
        <w:t>Panel Physician Tool Medical Examination Forms</w:t>
      </w:r>
    </w:p>
    <w:p w:rsidR="00943782" w:rsidRPr="00C85824" w:rsidRDefault="00943782" w:rsidP="00C85824">
      <w:pPr>
        <w:pStyle w:val="ListParagraph"/>
        <w:numPr>
          <w:ilvl w:val="0"/>
          <w:numId w:val="44"/>
        </w:numPr>
        <w:spacing w:after="0" w:line="240" w:lineRule="auto"/>
        <w:rPr>
          <w:rFonts w:ascii="Times New Roman" w:hAnsi="Times New Roman" w:cs="Times New Roman"/>
          <w:sz w:val="24"/>
          <w:szCs w:val="24"/>
        </w:rPr>
      </w:pPr>
      <w:r w:rsidRPr="00C85824">
        <w:rPr>
          <w:rFonts w:ascii="Times New Roman" w:hAnsi="Times New Roman" w:cs="Times New Roman"/>
          <w:sz w:val="24"/>
          <w:szCs w:val="24"/>
        </w:rPr>
        <w:t>Attachment C(7)</w:t>
      </w:r>
      <w:r w:rsidRPr="008063DC">
        <w:t xml:space="preserve"> </w:t>
      </w:r>
      <w:r>
        <w:t xml:space="preserve"> </w:t>
      </w:r>
      <w:r w:rsidRPr="00C85824">
        <w:rPr>
          <w:rFonts w:ascii="Times New Roman" w:hAnsi="Times New Roman" w:cs="Times New Roman"/>
          <w:sz w:val="24"/>
          <w:szCs w:val="24"/>
        </w:rPr>
        <w:t>Physician Panel Tool Vaccination Worksheets</w:t>
      </w:r>
    </w:p>
    <w:p w:rsidR="00C02A14" w:rsidRPr="005242B1" w:rsidRDefault="00C02A14" w:rsidP="00C02A14">
      <w:pPr>
        <w:spacing w:after="0" w:line="240" w:lineRule="auto"/>
        <w:rPr>
          <w:rFonts w:ascii="Times New Roman" w:hAnsi="Times New Roman" w:cs="Times New Roman"/>
          <w:sz w:val="24"/>
          <w:szCs w:val="24"/>
        </w:rPr>
      </w:pPr>
    </w:p>
    <w:p w:rsidR="001C588A" w:rsidRDefault="00C02A14" w:rsidP="001C588A">
      <w:pPr>
        <w:spacing w:after="0" w:line="240" w:lineRule="auto"/>
        <w:rPr>
          <w:rFonts w:ascii="Times New Roman" w:hAnsi="Times New Roman" w:cs="Times New Roman"/>
          <w:sz w:val="24"/>
          <w:szCs w:val="24"/>
        </w:rPr>
      </w:pPr>
      <w:r w:rsidRPr="005242B1">
        <w:rPr>
          <w:rFonts w:ascii="Times New Roman" w:hAnsi="Times New Roman" w:cs="Times New Roman"/>
          <w:sz w:val="24"/>
          <w:szCs w:val="24"/>
        </w:rPr>
        <w:t xml:space="preserve">Data collection is needed to evaluate if QR codes are an appropriate mechanism for linking panel physicians to U.S. immigrant and refugee medical screening guidelines. </w:t>
      </w:r>
      <w:r w:rsidR="00044EE4">
        <w:rPr>
          <w:rFonts w:ascii="Times New Roman" w:hAnsi="Times New Roman" w:cs="Times New Roman"/>
          <w:sz w:val="24"/>
          <w:szCs w:val="24"/>
        </w:rPr>
        <w:t xml:space="preserve">The </w:t>
      </w:r>
      <w:r w:rsidRPr="005242B1">
        <w:rPr>
          <w:rFonts w:ascii="Times New Roman" w:hAnsi="Times New Roman" w:cs="Times New Roman"/>
          <w:sz w:val="24"/>
          <w:szCs w:val="24"/>
        </w:rPr>
        <w:t xml:space="preserve">evaluation will inform DGMQ staff about </w:t>
      </w:r>
      <w:r>
        <w:rPr>
          <w:rFonts w:ascii="Times New Roman" w:hAnsi="Times New Roman" w:cs="Times New Roman"/>
          <w:sz w:val="24"/>
          <w:szCs w:val="24"/>
        </w:rPr>
        <w:t xml:space="preserve">how often </w:t>
      </w:r>
      <w:r w:rsidRPr="005242B1">
        <w:rPr>
          <w:rFonts w:ascii="Times New Roman" w:hAnsi="Times New Roman" w:cs="Times New Roman"/>
          <w:sz w:val="24"/>
          <w:szCs w:val="24"/>
        </w:rPr>
        <w:t xml:space="preserve">online resources </w:t>
      </w:r>
      <w:r w:rsidR="00044EE4">
        <w:rPr>
          <w:rFonts w:ascii="Times New Roman" w:hAnsi="Times New Roman" w:cs="Times New Roman"/>
          <w:sz w:val="24"/>
          <w:szCs w:val="24"/>
        </w:rPr>
        <w:t xml:space="preserve">are used </w:t>
      </w:r>
      <w:r w:rsidRPr="005242B1">
        <w:rPr>
          <w:rFonts w:ascii="Times New Roman" w:hAnsi="Times New Roman" w:cs="Times New Roman"/>
          <w:sz w:val="24"/>
          <w:szCs w:val="24"/>
        </w:rPr>
        <w:t>by panel physicians.</w:t>
      </w:r>
      <w:r w:rsidR="00044EE4">
        <w:rPr>
          <w:rFonts w:ascii="Times New Roman" w:hAnsi="Times New Roman" w:cs="Times New Roman"/>
          <w:sz w:val="24"/>
          <w:szCs w:val="24"/>
        </w:rPr>
        <w:t xml:space="preserve"> Based on the results, </w:t>
      </w:r>
      <w:r w:rsidR="001C588A">
        <w:rPr>
          <w:rFonts w:ascii="Times New Roman" w:hAnsi="Times New Roman" w:cs="Times New Roman"/>
          <w:sz w:val="24"/>
          <w:szCs w:val="24"/>
        </w:rPr>
        <w:t xml:space="preserve">we will be able to determine if the availability of QR codes on our printed health education materials increases panel physician use of our online resources. Regardless of the outcome, DGMQ staff will be better informed about appropriate and effective ways to share important medical guidelines and requirements with panel physicians and their staff. </w:t>
      </w:r>
    </w:p>
    <w:p w:rsidR="00C620B1" w:rsidRPr="005242B1" w:rsidRDefault="00C620B1" w:rsidP="005242B1">
      <w:pPr>
        <w:spacing w:after="0" w:line="240" w:lineRule="auto"/>
        <w:rPr>
          <w:rFonts w:ascii="Times New Roman" w:hAnsi="Times New Roman" w:cs="Times New Roman"/>
          <w:sz w:val="24"/>
          <w:szCs w:val="24"/>
        </w:rPr>
      </w:pPr>
    </w:p>
    <w:p w:rsidR="00B139EA" w:rsidRPr="005242B1" w:rsidRDefault="00B139EA" w:rsidP="005242B1">
      <w:pPr>
        <w:spacing w:after="0" w:line="240" w:lineRule="auto"/>
        <w:rPr>
          <w:rFonts w:ascii="Times New Roman" w:hAnsi="Times New Roman" w:cs="Times New Roman"/>
          <w:sz w:val="24"/>
          <w:szCs w:val="24"/>
          <w:u w:val="single"/>
        </w:rPr>
      </w:pPr>
    </w:p>
    <w:p w:rsidR="00B139EA" w:rsidRPr="00D911F6" w:rsidRDefault="005D53F4" w:rsidP="005242B1">
      <w:pPr>
        <w:spacing w:after="0" w:line="240" w:lineRule="auto"/>
        <w:rPr>
          <w:rFonts w:ascii="Times New Roman" w:hAnsi="Times New Roman" w:cs="Times New Roman"/>
          <w:b/>
          <w:sz w:val="24"/>
          <w:szCs w:val="24"/>
        </w:rPr>
      </w:pPr>
      <w:r w:rsidRPr="00D911F6">
        <w:rPr>
          <w:rFonts w:ascii="Times New Roman" w:hAnsi="Times New Roman" w:cs="Times New Roman"/>
          <w:b/>
          <w:sz w:val="24"/>
          <w:szCs w:val="24"/>
        </w:rPr>
        <w:t xml:space="preserve">1.1 </w:t>
      </w:r>
      <w:r w:rsidR="00D41C68" w:rsidRPr="00D911F6">
        <w:rPr>
          <w:rFonts w:ascii="Times New Roman" w:hAnsi="Times New Roman" w:cs="Times New Roman"/>
          <w:b/>
          <w:sz w:val="24"/>
          <w:szCs w:val="24"/>
        </w:rPr>
        <w:t xml:space="preserve">Privacy Impact Assessment </w:t>
      </w:r>
    </w:p>
    <w:p w:rsidR="00D97459" w:rsidRPr="0060129F" w:rsidRDefault="00D97459" w:rsidP="005242B1">
      <w:pPr>
        <w:spacing w:before="120" w:after="120" w:line="240" w:lineRule="auto"/>
        <w:rPr>
          <w:rFonts w:ascii="Times New Roman" w:hAnsi="Times New Roman" w:cs="Times New Roman"/>
          <w:sz w:val="24"/>
          <w:szCs w:val="24"/>
          <w:u w:val="single"/>
        </w:rPr>
      </w:pPr>
      <w:r w:rsidRPr="0060129F">
        <w:rPr>
          <w:rFonts w:ascii="Times New Roman" w:hAnsi="Times New Roman" w:cs="Times New Roman"/>
          <w:sz w:val="24"/>
          <w:szCs w:val="24"/>
          <w:u w:val="single"/>
        </w:rPr>
        <w:t>Overview of Data Collection System</w:t>
      </w:r>
    </w:p>
    <w:p w:rsidR="00055918" w:rsidRDefault="00492113" w:rsidP="00790514">
      <w:pPr>
        <w:spacing w:after="0" w:line="240" w:lineRule="auto"/>
        <w:rPr>
          <w:rFonts w:ascii="Times New Roman" w:hAnsi="Times New Roman" w:cs="Times New Roman"/>
          <w:sz w:val="24"/>
          <w:szCs w:val="24"/>
        </w:rPr>
      </w:pPr>
      <w:r w:rsidRPr="00492113">
        <w:rPr>
          <w:rFonts w:ascii="Times New Roman" w:hAnsi="Times New Roman" w:cs="Times New Roman"/>
          <w:sz w:val="24"/>
          <w:szCs w:val="24"/>
        </w:rPr>
        <w:t xml:space="preserve">This is a mixed-method, </w:t>
      </w:r>
      <w:r w:rsidR="0060129F">
        <w:rPr>
          <w:rFonts w:ascii="Times New Roman" w:hAnsi="Times New Roman" w:cs="Times New Roman"/>
          <w:sz w:val="24"/>
          <w:szCs w:val="24"/>
        </w:rPr>
        <w:t xml:space="preserve">randomized intervention </w:t>
      </w:r>
      <w:r w:rsidRPr="00492113">
        <w:rPr>
          <w:rFonts w:ascii="Times New Roman" w:hAnsi="Times New Roman" w:cs="Times New Roman"/>
          <w:sz w:val="24"/>
          <w:szCs w:val="24"/>
        </w:rPr>
        <w:t>consistin</w:t>
      </w:r>
      <w:r w:rsidR="00790514">
        <w:rPr>
          <w:rFonts w:ascii="Times New Roman" w:hAnsi="Times New Roman" w:cs="Times New Roman"/>
          <w:sz w:val="24"/>
          <w:szCs w:val="24"/>
        </w:rPr>
        <w:t xml:space="preserve">g of </w:t>
      </w:r>
      <w:r w:rsidR="001D0BFD">
        <w:rPr>
          <w:rFonts w:ascii="Times New Roman" w:hAnsi="Times New Roman" w:cs="Times New Roman"/>
          <w:sz w:val="24"/>
          <w:szCs w:val="24"/>
        </w:rPr>
        <w:t>three data collection instruments: a) pre-knowledge survey,</w:t>
      </w:r>
      <w:r w:rsidRPr="00492113">
        <w:rPr>
          <w:rFonts w:ascii="Times New Roman" w:hAnsi="Times New Roman" w:cs="Times New Roman"/>
          <w:sz w:val="24"/>
          <w:szCs w:val="24"/>
        </w:rPr>
        <w:t xml:space="preserve"> </w:t>
      </w:r>
      <w:r w:rsidR="00790514">
        <w:rPr>
          <w:rFonts w:ascii="Times New Roman" w:hAnsi="Times New Roman" w:cs="Times New Roman"/>
          <w:sz w:val="24"/>
          <w:szCs w:val="24"/>
        </w:rPr>
        <w:t xml:space="preserve">b) </w:t>
      </w:r>
      <w:r w:rsidRPr="00492113">
        <w:rPr>
          <w:rFonts w:ascii="Times New Roman" w:hAnsi="Times New Roman" w:cs="Times New Roman"/>
          <w:sz w:val="24"/>
          <w:szCs w:val="24"/>
        </w:rPr>
        <w:t>semi-structured questionnaire</w:t>
      </w:r>
      <w:r w:rsidR="001D0BFD">
        <w:rPr>
          <w:rFonts w:ascii="Times New Roman" w:hAnsi="Times New Roman" w:cs="Times New Roman"/>
          <w:sz w:val="24"/>
          <w:szCs w:val="24"/>
        </w:rPr>
        <w:t>,</w:t>
      </w:r>
      <w:r w:rsidRPr="00492113">
        <w:rPr>
          <w:rFonts w:ascii="Times New Roman" w:hAnsi="Times New Roman" w:cs="Times New Roman"/>
          <w:sz w:val="24"/>
          <w:szCs w:val="24"/>
        </w:rPr>
        <w:t xml:space="preserve"> </w:t>
      </w:r>
      <w:r w:rsidR="00790514">
        <w:rPr>
          <w:rFonts w:ascii="Times New Roman" w:hAnsi="Times New Roman" w:cs="Times New Roman"/>
          <w:sz w:val="24"/>
          <w:szCs w:val="24"/>
        </w:rPr>
        <w:t xml:space="preserve">and c) in-depth interviews </w:t>
      </w:r>
      <w:r w:rsidR="00D97459" w:rsidRPr="0009058B">
        <w:rPr>
          <w:rFonts w:ascii="Times New Roman" w:hAnsi="Times New Roman" w:cs="Times New Roman"/>
          <w:sz w:val="24"/>
          <w:szCs w:val="24"/>
        </w:rPr>
        <w:t>(</w:t>
      </w:r>
      <w:r w:rsidR="006F72AB" w:rsidRPr="00D12283">
        <w:rPr>
          <w:rFonts w:ascii="Times New Roman" w:hAnsi="Times New Roman" w:cs="Times New Roman"/>
          <w:sz w:val="24"/>
          <w:szCs w:val="24"/>
        </w:rPr>
        <w:t>S</w:t>
      </w:r>
      <w:r w:rsidR="00DC5BAD" w:rsidRPr="00D12283">
        <w:rPr>
          <w:rFonts w:ascii="Times New Roman" w:hAnsi="Times New Roman" w:cs="Times New Roman"/>
          <w:sz w:val="24"/>
          <w:szCs w:val="24"/>
        </w:rPr>
        <w:t>ee Attachment</w:t>
      </w:r>
      <w:r w:rsidR="00D12283">
        <w:rPr>
          <w:rFonts w:ascii="Times New Roman" w:hAnsi="Times New Roman" w:cs="Times New Roman"/>
          <w:sz w:val="24"/>
          <w:szCs w:val="24"/>
        </w:rPr>
        <w:t>s</w:t>
      </w:r>
      <w:r w:rsidR="00DC5BAD" w:rsidRPr="00D12283">
        <w:rPr>
          <w:rFonts w:ascii="Times New Roman" w:hAnsi="Times New Roman" w:cs="Times New Roman"/>
          <w:sz w:val="24"/>
          <w:szCs w:val="24"/>
        </w:rPr>
        <w:t xml:space="preserve"> </w:t>
      </w:r>
      <w:proofErr w:type="gramStart"/>
      <w:r w:rsidR="00E84462">
        <w:rPr>
          <w:rFonts w:ascii="Times New Roman" w:hAnsi="Times New Roman" w:cs="Times New Roman"/>
          <w:sz w:val="24"/>
          <w:szCs w:val="24"/>
        </w:rPr>
        <w:t>A</w:t>
      </w:r>
      <w:r w:rsidR="00D12283">
        <w:rPr>
          <w:rFonts w:ascii="Times New Roman" w:hAnsi="Times New Roman" w:cs="Times New Roman"/>
          <w:sz w:val="24"/>
          <w:szCs w:val="24"/>
        </w:rPr>
        <w:t>(</w:t>
      </w:r>
      <w:proofErr w:type="gramEnd"/>
      <w:r w:rsidR="00FC2316">
        <w:rPr>
          <w:rFonts w:ascii="Times New Roman" w:hAnsi="Times New Roman" w:cs="Times New Roman"/>
          <w:sz w:val="24"/>
          <w:szCs w:val="24"/>
        </w:rPr>
        <w:t>1</w:t>
      </w:r>
      <w:r w:rsidR="00D12283">
        <w:rPr>
          <w:rFonts w:ascii="Times New Roman" w:hAnsi="Times New Roman" w:cs="Times New Roman"/>
          <w:sz w:val="24"/>
          <w:szCs w:val="24"/>
        </w:rPr>
        <w:t xml:space="preserve">), </w:t>
      </w:r>
      <w:r w:rsidR="00E84462">
        <w:rPr>
          <w:rFonts w:ascii="Times New Roman" w:hAnsi="Times New Roman" w:cs="Times New Roman"/>
          <w:sz w:val="24"/>
          <w:szCs w:val="24"/>
        </w:rPr>
        <w:t>A</w:t>
      </w:r>
      <w:r w:rsidR="00D12283">
        <w:rPr>
          <w:rFonts w:ascii="Times New Roman" w:hAnsi="Times New Roman" w:cs="Times New Roman"/>
          <w:sz w:val="24"/>
          <w:szCs w:val="24"/>
        </w:rPr>
        <w:t>(</w:t>
      </w:r>
      <w:r w:rsidR="00FC2316">
        <w:rPr>
          <w:rFonts w:ascii="Times New Roman" w:hAnsi="Times New Roman" w:cs="Times New Roman"/>
          <w:sz w:val="24"/>
          <w:szCs w:val="24"/>
        </w:rPr>
        <w:t>2</w:t>
      </w:r>
      <w:r w:rsidR="00D12283">
        <w:rPr>
          <w:rFonts w:ascii="Times New Roman" w:hAnsi="Times New Roman" w:cs="Times New Roman"/>
          <w:sz w:val="24"/>
          <w:szCs w:val="24"/>
        </w:rPr>
        <w:t xml:space="preserve">), and </w:t>
      </w:r>
      <w:r w:rsidR="00E84462">
        <w:rPr>
          <w:rFonts w:ascii="Times New Roman" w:hAnsi="Times New Roman" w:cs="Times New Roman"/>
          <w:sz w:val="24"/>
          <w:szCs w:val="24"/>
        </w:rPr>
        <w:t>A</w:t>
      </w:r>
      <w:r w:rsidR="00D12283">
        <w:rPr>
          <w:rFonts w:ascii="Times New Roman" w:hAnsi="Times New Roman" w:cs="Times New Roman"/>
          <w:sz w:val="24"/>
          <w:szCs w:val="24"/>
        </w:rPr>
        <w:t>(</w:t>
      </w:r>
      <w:r w:rsidR="00FC2316">
        <w:rPr>
          <w:rFonts w:ascii="Times New Roman" w:hAnsi="Times New Roman" w:cs="Times New Roman"/>
          <w:sz w:val="24"/>
          <w:szCs w:val="24"/>
        </w:rPr>
        <w:t>3</w:t>
      </w:r>
      <w:r w:rsidR="00D12283">
        <w:rPr>
          <w:rFonts w:ascii="Times New Roman" w:hAnsi="Times New Roman" w:cs="Times New Roman"/>
          <w:sz w:val="24"/>
          <w:szCs w:val="24"/>
        </w:rPr>
        <w:t>) for the data collection instruments</w:t>
      </w:r>
      <w:r w:rsidR="00D97459" w:rsidRPr="0009058B">
        <w:rPr>
          <w:rFonts w:ascii="Times New Roman" w:hAnsi="Times New Roman" w:cs="Times New Roman"/>
          <w:sz w:val="24"/>
          <w:szCs w:val="24"/>
        </w:rPr>
        <w:t>).</w:t>
      </w:r>
      <w:r w:rsidR="00D97459" w:rsidRPr="005242B1">
        <w:rPr>
          <w:rFonts w:ascii="Times New Roman" w:hAnsi="Times New Roman" w:cs="Times New Roman"/>
          <w:sz w:val="24"/>
          <w:szCs w:val="24"/>
        </w:rPr>
        <w:t xml:space="preserve"> The data collection instrume</w:t>
      </w:r>
      <w:r w:rsidR="005B747C" w:rsidRPr="005242B1">
        <w:rPr>
          <w:rFonts w:ascii="Times New Roman" w:hAnsi="Times New Roman" w:cs="Times New Roman"/>
          <w:sz w:val="24"/>
          <w:szCs w:val="24"/>
        </w:rPr>
        <w:t xml:space="preserve">nts are designed to assess the effectiveness and feasibility of QR codes as a mechanism to link panel </w:t>
      </w:r>
      <w:r w:rsidR="00E23753">
        <w:rPr>
          <w:rFonts w:ascii="Times New Roman" w:hAnsi="Times New Roman" w:cs="Times New Roman"/>
          <w:sz w:val="24"/>
          <w:szCs w:val="24"/>
        </w:rPr>
        <w:t>physicians to Technical Instruction</w:t>
      </w:r>
      <w:r w:rsidR="005B747C" w:rsidRPr="005242B1">
        <w:rPr>
          <w:rFonts w:ascii="Times New Roman" w:hAnsi="Times New Roman" w:cs="Times New Roman"/>
          <w:sz w:val="24"/>
          <w:szCs w:val="24"/>
        </w:rPr>
        <w:t>s and other resources needed for conducting medical screenings</w:t>
      </w:r>
      <w:r w:rsidR="00077AB7" w:rsidRPr="005242B1">
        <w:rPr>
          <w:rFonts w:ascii="Times New Roman" w:hAnsi="Times New Roman" w:cs="Times New Roman"/>
          <w:sz w:val="24"/>
          <w:szCs w:val="24"/>
        </w:rPr>
        <w:t xml:space="preserve"> and to assess the quality and appearance of the information provided</w:t>
      </w:r>
      <w:r>
        <w:rPr>
          <w:rFonts w:ascii="Times New Roman" w:hAnsi="Times New Roman" w:cs="Times New Roman"/>
          <w:sz w:val="24"/>
          <w:szCs w:val="24"/>
        </w:rPr>
        <w:t xml:space="preserve"> on the online Panel Physician Portal</w:t>
      </w:r>
      <w:r w:rsidR="00D97459" w:rsidRPr="005242B1">
        <w:rPr>
          <w:rFonts w:ascii="Times New Roman" w:hAnsi="Times New Roman" w:cs="Times New Roman"/>
          <w:sz w:val="24"/>
          <w:szCs w:val="24"/>
        </w:rPr>
        <w:t xml:space="preserve">. </w:t>
      </w:r>
      <w:r w:rsidR="00886EA2" w:rsidRPr="005242B1">
        <w:rPr>
          <w:rFonts w:ascii="Times New Roman" w:hAnsi="Times New Roman" w:cs="Times New Roman"/>
          <w:sz w:val="24"/>
          <w:szCs w:val="24"/>
        </w:rPr>
        <w:t>Data collection m</w:t>
      </w:r>
      <w:r w:rsidR="001D0BFD">
        <w:rPr>
          <w:rFonts w:ascii="Times New Roman" w:hAnsi="Times New Roman" w:cs="Times New Roman"/>
          <w:sz w:val="24"/>
          <w:szCs w:val="24"/>
        </w:rPr>
        <w:t>ethods will be conducted online and in-person.</w:t>
      </w:r>
      <w:r w:rsidR="00886EA2" w:rsidRPr="005242B1">
        <w:rPr>
          <w:rFonts w:ascii="Times New Roman" w:hAnsi="Times New Roman" w:cs="Times New Roman"/>
          <w:sz w:val="24"/>
          <w:szCs w:val="24"/>
        </w:rPr>
        <w:t xml:space="preserve"> </w:t>
      </w:r>
      <w:r w:rsidR="00886EA2" w:rsidRPr="00CA2D5F">
        <w:rPr>
          <w:rFonts w:ascii="Times New Roman" w:hAnsi="Times New Roman" w:cs="Times New Roman"/>
          <w:sz w:val="24"/>
          <w:szCs w:val="24"/>
        </w:rPr>
        <w:t xml:space="preserve">The </w:t>
      </w:r>
      <w:r w:rsidR="0060129F" w:rsidRPr="00CA2D5F">
        <w:rPr>
          <w:rFonts w:ascii="Times New Roman" w:hAnsi="Times New Roman" w:cs="Times New Roman"/>
          <w:sz w:val="24"/>
          <w:szCs w:val="24"/>
        </w:rPr>
        <w:t xml:space="preserve">pre-knowledge survey and </w:t>
      </w:r>
      <w:r w:rsidR="001D0BFD" w:rsidRPr="00CA2D5F">
        <w:rPr>
          <w:rFonts w:ascii="Times New Roman" w:hAnsi="Times New Roman" w:cs="Times New Roman"/>
          <w:sz w:val="24"/>
          <w:szCs w:val="24"/>
        </w:rPr>
        <w:t xml:space="preserve">semi-structured questionnaire are web-based surveys. Both tools </w:t>
      </w:r>
      <w:r w:rsidR="00055918" w:rsidRPr="00CA2D5F">
        <w:rPr>
          <w:rFonts w:ascii="Times New Roman" w:hAnsi="Times New Roman" w:cs="Times New Roman"/>
          <w:sz w:val="24"/>
          <w:szCs w:val="24"/>
        </w:rPr>
        <w:t>were</w:t>
      </w:r>
      <w:r w:rsidR="00886EA2" w:rsidRPr="00CA2D5F">
        <w:rPr>
          <w:rFonts w:ascii="Times New Roman" w:hAnsi="Times New Roman" w:cs="Times New Roman"/>
          <w:sz w:val="24"/>
          <w:szCs w:val="24"/>
        </w:rPr>
        <w:t xml:space="preserve"> pilot tested by </w:t>
      </w:r>
      <w:r w:rsidR="00934C88" w:rsidRPr="00CA2D5F">
        <w:rPr>
          <w:rFonts w:ascii="Times New Roman" w:hAnsi="Times New Roman" w:cs="Times New Roman"/>
          <w:sz w:val="24"/>
          <w:szCs w:val="24"/>
        </w:rPr>
        <w:t>3</w:t>
      </w:r>
      <w:r w:rsidR="00262F2E" w:rsidRPr="00CA2D5F">
        <w:rPr>
          <w:rFonts w:ascii="Times New Roman" w:hAnsi="Times New Roman" w:cs="Times New Roman"/>
          <w:sz w:val="24"/>
          <w:szCs w:val="24"/>
        </w:rPr>
        <w:t xml:space="preserve"> DGMQ internal staff members. </w:t>
      </w:r>
      <w:r w:rsidR="00886EA2" w:rsidRPr="00CA2D5F">
        <w:rPr>
          <w:rFonts w:ascii="Times New Roman" w:hAnsi="Times New Roman" w:cs="Times New Roman"/>
          <w:sz w:val="24"/>
          <w:szCs w:val="24"/>
        </w:rPr>
        <w:t xml:space="preserve">Feedback was used to refine questions as needed, </w:t>
      </w:r>
      <w:r w:rsidR="001D0BFD" w:rsidRPr="00CA2D5F">
        <w:rPr>
          <w:rFonts w:ascii="Times New Roman" w:hAnsi="Times New Roman" w:cs="Times New Roman"/>
          <w:sz w:val="24"/>
          <w:szCs w:val="24"/>
        </w:rPr>
        <w:t xml:space="preserve">to </w:t>
      </w:r>
      <w:r w:rsidR="00886EA2" w:rsidRPr="00CA2D5F">
        <w:rPr>
          <w:rFonts w:ascii="Times New Roman" w:hAnsi="Times New Roman" w:cs="Times New Roman"/>
          <w:sz w:val="24"/>
          <w:szCs w:val="24"/>
        </w:rPr>
        <w:t>ensure accurate administration and skip patterns</w:t>
      </w:r>
      <w:r w:rsidR="001D0BFD" w:rsidRPr="00CA2D5F">
        <w:rPr>
          <w:rFonts w:ascii="Times New Roman" w:hAnsi="Times New Roman" w:cs="Times New Roman"/>
          <w:sz w:val="24"/>
          <w:szCs w:val="24"/>
        </w:rPr>
        <w:t>,</w:t>
      </w:r>
      <w:r w:rsidR="00886EA2" w:rsidRPr="00CA2D5F">
        <w:rPr>
          <w:rFonts w:ascii="Times New Roman" w:hAnsi="Times New Roman" w:cs="Times New Roman"/>
          <w:sz w:val="24"/>
          <w:szCs w:val="24"/>
        </w:rPr>
        <w:t xml:space="preserve"> and </w:t>
      </w:r>
      <w:r w:rsidR="001D0BFD" w:rsidRPr="00CA2D5F">
        <w:rPr>
          <w:rFonts w:ascii="Times New Roman" w:hAnsi="Times New Roman" w:cs="Times New Roman"/>
          <w:sz w:val="24"/>
          <w:szCs w:val="24"/>
        </w:rPr>
        <w:t xml:space="preserve">to </w:t>
      </w:r>
      <w:r w:rsidR="00886EA2" w:rsidRPr="00CA2D5F">
        <w:rPr>
          <w:rFonts w:ascii="Times New Roman" w:hAnsi="Times New Roman" w:cs="Times New Roman"/>
          <w:sz w:val="24"/>
          <w:szCs w:val="24"/>
        </w:rPr>
        <w:t>establish the estimated time required to complete the questionnaire</w:t>
      </w:r>
      <w:r w:rsidR="00055918">
        <w:rPr>
          <w:rFonts w:ascii="Times New Roman" w:hAnsi="Times New Roman" w:cs="Times New Roman"/>
          <w:sz w:val="24"/>
          <w:szCs w:val="24"/>
        </w:rPr>
        <w:t>.</w:t>
      </w:r>
      <w:r w:rsidR="00886EA2" w:rsidRPr="005242B1">
        <w:rPr>
          <w:rFonts w:ascii="Times New Roman" w:hAnsi="Times New Roman" w:cs="Times New Roman"/>
          <w:sz w:val="24"/>
          <w:szCs w:val="24"/>
        </w:rPr>
        <w:t xml:space="preserve"> </w:t>
      </w:r>
      <w:r w:rsidR="001D0BFD">
        <w:rPr>
          <w:rFonts w:ascii="Times New Roman" w:hAnsi="Times New Roman" w:cs="Times New Roman"/>
          <w:sz w:val="24"/>
          <w:szCs w:val="24"/>
        </w:rPr>
        <w:t xml:space="preserve">The in-depth interview guide was also pilot tested by 3 </w:t>
      </w:r>
      <w:r w:rsidR="001D0BFD">
        <w:rPr>
          <w:rFonts w:ascii="Times New Roman" w:hAnsi="Times New Roman" w:cs="Times New Roman"/>
          <w:sz w:val="24"/>
          <w:szCs w:val="24"/>
        </w:rPr>
        <w:lastRenderedPageBreak/>
        <w:t xml:space="preserve">DGMQ internal staff members. Feedback from the pilot test was used to adjust the interview questions to ensure </w:t>
      </w:r>
      <w:r w:rsidR="00A27777">
        <w:rPr>
          <w:rFonts w:ascii="Times New Roman" w:hAnsi="Times New Roman" w:cs="Times New Roman"/>
          <w:sz w:val="24"/>
          <w:szCs w:val="24"/>
        </w:rPr>
        <w:t xml:space="preserve">the questions were culturally appropriate. </w:t>
      </w:r>
    </w:p>
    <w:p w:rsidR="00790514" w:rsidRDefault="00790514" w:rsidP="00790514">
      <w:pPr>
        <w:spacing w:after="0" w:line="240" w:lineRule="auto"/>
        <w:rPr>
          <w:rFonts w:ascii="Times New Roman" w:hAnsi="Times New Roman" w:cs="Times New Roman"/>
          <w:sz w:val="24"/>
          <w:szCs w:val="24"/>
        </w:rPr>
      </w:pPr>
    </w:p>
    <w:p w:rsidR="00386C8C" w:rsidRDefault="002301D2" w:rsidP="00D725C3">
      <w:pPr>
        <w:spacing w:after="0" w:line="240" w:lineRule="auto"/>
        <w:rPr>
          <w:rFonts w:ascii="Times New Roman" w:hAnsi="Times New Roman" w:cs="Times New Roman"/>
          <w:sz w:val="24"/>
          <w:szCs w:val="24"/>
        </w:rPr>
      </w:pPr>
      <w:r w:rsidRPr="002301D2">
        <w:rPr>
          <w:rFonts w:ascii="Times New Roman" w:eastAsia="Calibri" w:hAnsi="Times New Roman" w:cs="Times New Roman"/>
          <w:sz w:val="24"/>
          <w:szCs w:val="24"/>
        </w:rPr>
        <w:t>In 2007,</w:t>
      </w:r>
      <w:r>
        <w:rPr>
          <w:rFonts w:ascii="Times New Roman" w:eastAsia="Calibri" w:hAnsi="Times New Roman" w:cs="Times New Roman"/>
          <w:sz w:val="24"/>
          <w:szCs w:val="24"/>
        </w:rPr>
        <w:t xml:space="preserve"> CDC updated the tuberculosis Technical Instruction</w:t>
      </w:r>
      <w:r w:rsidRPr="002301D2">
        <w:rPr>
          <w:rFonts w:ascii="Times New Roman" w:eastAsia="Calibri" w:hAnsi="Times New Roman" w:cs="Times New Roman"/>
          <w:sz w:val="24"/>
          <w:szCs w:val="24"/>
        </w:rPr>
        <w:t>s to use</w:t>
      </w:r>
      <w:r>
        <w:rPr>
          <w:rFonts w:ascii="Times New Roman" w:eastAsia="Calibri" w:hAnsi="Times New Roman" w:cs="Times New Roman"/>
          <w:sz w:val="24"/>
          <w:szCs w:val="24"/>
        </w:rPr>
        <w:t xml:space="preserve"> </w:t>
      </w:r>
      <w:r w:rsidRPr="002301D2">
        <w:rPr>
          <w:rFonts w:ascii="Times New Roman" w:eastAsia="Calibri" w:hAnsi="Times New Roman" w:cs="Times New Roman"/>
          <w:sz w:val="24"/>
          <w:szCs w:val="24"/>
        </w:rPr>
        <w:t>more precise tests to improve TB detection rates before refugees and immigrants come to the United States and to improve the health of refugees and immigrants through earlier diagnosis and updated treatment m</w:t>
      </w:r>
      <w:r>
        <w:rPr>
          <w:rFonts w:ascii="Times New Roman" w:eastAsia="Calibri" w:hAnsi="Times New Roman" w:cs="Times New Roman"/>
          <w:sz w:val="24"/>
          <w:szCs w:val="24"/>
        </w:rPr>
        <w:t xml:space="preserve">ethods.   The 2007 Technical Instruction </w:t>
      </w:r>
      <w:r w:rsidRPr="002301D2">
        <w:rPr>
          <w:rFonts w:ascii="Times New Roman" w:eastAsia="Calibri" w:hAnsi="Times New Roman" w:cs="Times New Roman"/>
          <w:sz w:val="24"/>
          <w:szCs w:val="24"/>
        </w:rPr>
        <w:t xml:space="preserve">updates make testing more precise by requiring cultures </w:t>
      </w:r>
      <w:r w:rsidR="00D725C3">
        <w:rPr>
          <w:rFonts w:ascii="Times New Roman" w:eastAsia="Calibri" w:hAnsi="Times New Roman" w:cs="Times New Roman"/>
          <w:sz w:val="24"/>
          <w:szCs w:val="24"/>
        </w:rPr>
        <w:t xml:space="preserve">and drug susceptibility testing </w:t>
      </w:r>
      <w:r w:rsidRPr="002301D2">
        <w:rPr>
          <w:rFonts w:ascii="Times New Roman" w:eastAsia="Calibri" w:hAnsi="Times New Roman" w:cs="Times New Roman"/>
          <w:sz w:val="24"/>
          <w:szCs w:val="24"/>
        </w:rPr>
        <w:t xml:space="preserve">for refugee and immigrant applicants thought to have TB.  To date, 56 </w:t>
      </w:r>
      <w:r w:rsidR="00D725C3">
        <w:rPr>
          <w:rFonts w:ascii="Times New Roman" w:eastAsia="Calibri" w:hAnsi="Times New Roman" w:cs="Times New Roman"/>
          <w:sz w:val="24"/>
          <w:szCs w:val="24"/>
        </w:rPr>
        <w:t xml:space="preserve">of the 151 panel site </w:t>
      </w:r>
      <w:r w:rsidRPr="002301D2">
        <w:rPr>
          <w:rFonts w:ascii="Times New Roman" w:eastAsia="Calibri" w:hAnsi="Times New Roman" w:cs="Times New Roman"/>
          <w:sz w:val="24"/>
          <w:szCs w:val="24"/>
        </w:rPr>
        <w:t>jurisdictions have fully implemented the updated 2007 C</w:t>
      </w:r>
      <w:r>
        <w:rPr>
          <w:rFonts w:ascii="Times New Roman" w:eastAsia="Calibri" w:hAnsi="Times New Roman" w:cs="Times New Roman"/>
          <w:sz w:val="24"/>
          <w:szCs w:val="24"/>
        </w:rPr>
        <w:t xml:space="preserve">ulture and </w:t>
      </w:r>
      <w:r w:rsidRPr="002301D2">
        <w:rPr>
          <w:rFonts w:ascii="Times New Roman" w:eastAsia="Calibri" w:hAnsi="Times New Roman" w:cs="Times New Roman"/>
          <w:sz w:val="24"/>
          <w:szCs w:val="24"/>
        </w:rPr>
        <w:t>D</w:t>
      </w:r>
      <w:r>
        <w:rPr>
          <w:rFonts w:ascii="Times New Roman" w:eastAsia="Calibri" w:hAnsi="Times New Roman" w:cs="Times New Roman"/>
          <w:sz w:val="24"/>
          <w:szCs w:val="24"/>
        </w:rPr>
        <w:t xml:space="preserve">irectly </w:t>
      </w:r>
      <w:r w:rsidRPr="002301D2">
        <w:rPr>
          <w:rFonts w:ascii="Times New Roman" w:eastAsia="Calibri" w:hAnsi="Times New Roman" w:cs="Times New Roman"/>
          <w:sz w:val="24"/>
          <w:szCs w:val="24"/>
        </w:rPr>
        <w:t>O</w:t>
      </w:r>
      <w:r>
        <w:rPr>
          <w:rFonts w:ascii="Times New Roman" w:eastAsia="Calibri" w:hAnsi="Times New Roman" w:cs="Times New Roman"/>
          <w:sz w:val="24"/>
          <w:szCs w:val="24"/>
        </w:rPr>
        <w:t xml:space="preserve">bserved </w:t>
      </w:r>
      <w:r w:rsidRPr="002301D2">
        <w:rPr>
          <w:rFonts w:ascii="Times New Roman" w:eastAsia="Calibri" w:hAnsi="Times New Roman" w:cs="Times New Roman"/>
          <w:sz w:val="24"/>
          <w:szCs w:val="24"/>
        </w:rPr>
        <w:t>T</w:t>
      </w:r>
      <w:r>
        <w:rPr>
          <w:rFonts w:ascii="Times New Roman" w:eastAsia="Calibri" w:hAnsi="Times New Roman" w:cs="Times New Roman"/>
          <w:sz w:val="24"/>
          <w:szCs w:val="24"/>
        </w:rPr>
        <w:t>herapy</w:t>
      </w:r>
      <w:r w:rsidRPr="002301D2">
        <w:rPr>
          <w:rFonts w:ascii="Times New Roman" w:eastAsia="Calibri" w:hAnsi="Times New Roman" w:cs="Times New Roman"/>
          <w:sz w:val="24"/>
          <w:szCs w:val="24"/>
        </w:rPr>
        <w:t xml:space="preserve"> TB T</w:t>
      </w:r>
      <w:r>
        <w:rPr>
          <w:rFonts w:ascii="Times New Roman" w:eastAsia="Calibri" w:hAnsi="Times New Roman" w:cs="Times New Roman"/>
          <w:sz w:val="24"/>
          <w:szCs w:val="24"/>
        </w:rPr>
        <w:t xml:space="preserve">echnical </w:t>
      </w:r>
      <w:r w:rsidRPr="002301D2">
        <w:rPr>
          <w:rFonts w:ascii="Times New Roman" w:eastAsia="Calibri" w:hAnsi="Times New Roman" w:cs="Times New Roman"/>
          <w:sz w:val="24"/>
          <w:szCs w:val="24"/>
        </w:rPr>
        <w:t>I</w:t>
      </w:r>
      <w:r>
        <w:rPr>
          <w:rFonts w:ascii="Times New Roman" w:eastAsia="Calibri" w:hAnsi="Times New Roman" w:cs="Times New Roman"/>
          <w:sz w:val="24"/>
          <w:szCs w:val="24"/>
        </w:rPr>
        <w:t>nstructions (CDOT TB TI</w:t>
      </w:r>
      <w:r w:rsidRPr="002301D2">
        <w:rPr>
          <w:rFonts w:ascii="Times New Roman" w:eastAsia="Calibri" w:hAnsi="Times New Roman" w:cs="Times New Roman"/>
          <w:sz w:val="24"/>
          <w:szCs w:val="24"/>
        </w:rPr>
        <w:t>s</w:t>
      </w:r>
      <w:r>
        <w:rPr>
          <w:rFonts w:ascii="Times New Roman" w:eastAsia="Calibri" w:hAnsi="Times New Roman" w:cs="Times New Roman"/>
          <w:sz w:val="24"/>
          <w:szCs w:val="24"/>
        </w:rPr>
        <w:t>)</w:t>
      </w:r>
      <w:r w:rsidRPr="002301D2">
        <w:rPr>
          <w:rFonts w:ascii="Times New Roman" w:eastAsia="Calibri" w:hAnsi="Times New Roman" w:cs="Times New Roman"/>
          <w:sz w:val="24"/>
          <w:szCs w:val="24"/>
        </w:rPr>
        <w:t>. The 95 jurisdictions that have</w:t>
      </w:r>
      <w:r w:rsidR="00D725C3">
        <w:rPr>
          <w:rFonts w:ascii="Times New Roman" w:eastAsia="Calibri" w:hAnsi="Times New Roman" w:cs="Times New Roman"/>
          <w:sz w:val="24"/>
          <w:szCs w:val="24"/>
        </w:rPr>
        <w:t xml:space="preserve"> yet to implement the CDOT TB Technical Instruction</w:t>
      </w:r>
      <w:r w:rsidR="00D725C3" w:rsidRPr="002301D2">
        <w:rPr>
          <w:rFonts w:ascii="Times New Roman" w:eastAsia="Calibri" w:hAnsi="Times New Roman" w:cs="Times New Roman"/>
          <w:sz w:val="24"/>
          <w:szCs w:val="24"/>
        </w:rPr>
        <w:t>s</w:t>
      </w:r>
      <w:r w:rsidRPr="002301D2">
        <w:rPr>
          <w:rFonts w:ascii="Times New Roman" w:eastAsia="Calibri" w:hAnsi="Times New Roman" w:cs="Times New Roman"/>
          <w:sz w:val="24"/>
          <w:szCs w:val="24"/>
        </w:rPr>
        <w:t xml:space="preserve"> have a deadline of October 1, 2013. Given that the October 1, 2013 deadline is less than a year away, we decided to select the jurisdictions that have </w:t>
      </w:r>
      <w:r w:rsidR="00D725C3">
        <w:rPr>
          <w:rFonts w:ascii="Times New Roman" w:eastAsia="Calibri" w:hAnsi="Times New Roman" w:cs="Times New Roman"/>
          <w:sz w:val="24"/>
          <w:szCs w:val="24"/>
        </w:rPr>
        <w:t>yet to implement the CDOT TB Technical Instructions</w:t>
      </w:r>
      <w:r w:rsidRPr="002301D2">
        <w:rPr>
          <w:rFonts w:ascii="Times New Roman" w:eastAsia="Calibri" w:hAnsi="Times New Roman" w:cs="Times New Roman"/>
          <w:sz w:val="24"/>
          <w:szCs w:val="24"/>
        </w:rPr>
        <w:t xml:space="preserve"> as our study sample. </w:t>
      </w:r>
      <w:r w:rsidR="00D725C3">
        <w:rPr>
          <w:rFonts w:ascii="Times New Roman" w:hAnsi="Times New Roman" w:cs="Times New Roman"/>
          <w:sz w:val="24"/>
          <w:szCs w:val="24"/>
        </w:rPr>
        <w:t>T</w:t>
      </w:r>
      <w:r w:rsidR="001D0BFD">
        <w:rPr>
          <w:rFonts w:ascii="Times New Roman" w:hAnsi="Times New Roman" w:cs="Times New Roman"/>
          <w:sz w:val="24"/>
          <w:szCs w:val="24"/>
        </w:rPr>
        <w:t xml:space="preserve">he three data collection instruments will be administered to </w:t>
      </w:r>
      <w:r w:rsidR="00D53580">
        <w:rPr>
          <w:rFonts w:ascii="Times New Roman" w:hAnsi="Times New Roman" w:cs="Times New Roman"/>
          <w:sz w:val="24"/>
          <w:szCs w:val="24"/>
        </w:rPr>
        <w:t xml:space="preserve">95 </w:t>
      </w:r>
      <w:r w:rsidR="001D0BFD">
        <w:rPr>
          <w:rFonts w:ascii="Times New Roman" w:hAnsi="Times New Roman" w:cs="Times New Roman"/>
          <w:sz w:val="24"/>
          <w:szCs w:val="24"/>
        </w:rPr>
        <w:t>international panel physicians</w:t>
      </w:r>
      <w:r w:rsidR="00D725C3">
        <w:rPr>
          <w:rFonts w:ascii="Times New Roman" w:hAnsi="Times New Roman" w:cs="Times New Roman"/>
          <w:sz w:val="24"/>
          <w:szCs w:val="24"/>
        </w:rPr>
        <w:t xml:space="preserve"> </w:t>
      </w:r>
      <w:r w:rsidR="00D53580">
        <w:rPr>
          <w:rFonts w:ascii="Times New Roman" w:hAnsi="Times New Roman" w:cs="Times New Roman"/>
          <w:sz w:val="24"/>
          <w:szCs w:val="24"/>
        </w:rPr>
        <w:t>whose</w:t>
      </w:r>
      <w:r w:rsidR="00D725C3">
        <w:rPr>
          <w:rFonts w:ascii="Times New Roman" w:hAnsi="Times New Roman" w:cs="Times New Roman"/>
          <w:sz w:val="24"/>
          <w:szCs w:val="24"/>
        </w:rPr>
        <w:t xml:space="preserve"> sites have yet </w:t>
      </w:r>
      <w:r w:rsidR="00D53580">
        <w:rPr>
          <w:rFonts w:ascii="Times New Roman" w:hAnsi="Times New Roman" w:cs="Times New Roman"/>
          <w:sz w:val="24"/>
          <w:szCs w:val="24"/>
        </w:rPr>
        <w:t xml:space="preserve">to implement </w:t>
      </w:r>
      <w:r w:rsidR="00D725C3">
        <w:rPr>
          <w:rFonts w:ascii="Times New Roman" w:hAnsi="Times New Roman" w:cs="Times New Roman"/>
          <w:sz w:val="24"/>
          <w:szCs w:val="24"/>
        </w:rPr>
        <w:t xml:space="preserve">the new CDOT TB Technical Instructions. All panel physicians are </w:t>
      </w:r>
      <w:r w:rsidR="006F72AB" w:rsidRPr="005242B1">
        <w:rPr>
          <w:rFonts w:ascii="Times New Roman" w:hAnsi="Times New Roman" w:cs="Times New Roman"/>
          <w:sz w:val="24"/>
          <w:szCs w:val="24"/>
        </w:rPr>
        <w:t>certified medical physicians</w:t>
      </w:r>
      <w:r w:rsidR="00D725C3">
        <w:rPr>
          <w:rFonts w:ascii="Times New Roman" w:hAnsi="Times New Roman" w:cs="Times New Roman"/>
          <w:sz w:val="24"/>
          <w:szCs w:val="24"/>
        </w:rPr>
        <w:t xml:space="preserve"> appointed by the U.S. consular section in their respective country</w:t>
      </w:r>
      <w:r w:rsidR="007A2D76">
        <w:rPr>
          <w:rFonts w:ascii="Times New Roman" w:hAnsi="Times New Roman" w:cs="Times New Roman"/>
          <w:sz w:val="24"/>
          <w:szCs w:val="24"/>
        </w:rPr>
        <w:t xml:space="preserve">. The </w:t>
      </w:r>
      <w:r w:rsidR="00D725C3">
        <w:rPr>
          <w:rFonts w:ascii="Times New Roman" w:hAnsi="Times New Roman" w:cs="Times New Roman"/>
          <w:sz w:val="24"/>
          <w:szCs w:val="24"/>
        </w:rPr>
        <w:t xml:space="preserve">data collection </w:t>
      </w:r>
      <w:r w:rsidR="007A2D76">
        <w:rPr>
          <w:rFonts w:ascii="Times New Roman" w:hAnsi="Times New Roman" w:cs="Times New Roman"/>
          <w:sz w:val="24"/>
          <w:szCs w:val="24"/>
        </w:rPr>
        <w:t>instruments are described below:</w:t>
      </w:r>
    </w:p>
    <w:p w:rsidR="00D725C3" w:rsidRPr="00D725C3" w:rsidRDefault="00D725C3" w:rsidP="00D725C3">
      <w:pPr>
        <w:spacing w:after="0" w:line="240" w:lineRule="auto"/>
        <w:rPr>
          <w:rFonts w:ascii="Times New Roman" w:eastAsia="Calibri" w:hAnsi="Times New Roman" w:cs="Times New Roman"/>
          <w:sz w:val="24"/>
          <w:szCs w:val="24"/>
        </w:rPr>
      </w:pPr>
    </w:p>
    <w:p w:rsidR="00386C8C" w:rsidRPr="0009058B" w:rsidRDefault="00492113" w:rsidP="005242B1">
      <w:pPr>
        <w:pStyle w:val="ListParagraph"/>
        <w:numPr>
          <w:ilvl w:val="0"/>
          <w:numId w:val="39"/>
        </w:numPr>
        <w:spacing w:line="240" w:lineRule="auto"/>
        <w:rPr>
          <w:rFonts w:ascii="Times New Roman" w:hAnsi="Times New Roman" w:cs="Times New Roman"/>
          <w:sz w:val="24"/>
          <w:szCs w:val="24"/>
        </w:rPr>
      </w:pPr>
      <w:r w:rsidRPr="00492113">
        <w:rPr>
          <w:rFonts w:ascii="Times New Roman" w:hAnsi="Times New Roman" w:cs="Times New Roman"/>
          <w:sz w:val="24"/>
          <w:szCs w:val="24"/>
        </w:rPr>
        <w:t xml:space="preserve">A pre-knowledge aptitude </w:t>
      </w:r>
      <w:r w:rsidR="00A27777">
        <w:rPr>
          <w:rFonts w:ascii="Times New Roman" w:hAnsi="Times New Roman" w:cs="Times New Roman"/>
          <w:sz w:val="24"/>
          <w:szCs w:val="24"/>
        </w:rPr>
        <w:t xml:space="preserve">web-based </w:t>
      </w:r>
      <w:r w:rsidRPr="00492113">
        <w:rPr>
          <w:rFonts w:ascii="Times New Roman" w:hAnsi="Times New Roman" w:cs="Times New Roman"/>
          <w:sz w:val="24"/>
          <w:szCs w:val="24"/>
        </w:rPr>
        <w:t>s</w:t>
      </w:r>
      <w:r w:rsidR="007A2D76">
        <w:rPr>
          <w:rFonts w:ascii="Times New Roman" w:hAnsi="Times New Roman" w:cs="Times New Roman"/>
          <w:sz w:val="24"/>
          <w:szCs w:val="24"/>
        </w:rPr>
        <w:t>urvey will be administered to 95 panel physicians</w:t>
      </w:r>
      <w:r w:rsidRPr="00492113">
        <w:rPr>
          <w:rFonts w:ascii="Times New Roman" w:hAnsi="Times New Roman" w:cs="Times New Roman"/>
          <w:sz w:val="24"/>
          <w:szCs w:val="24"/>
        </w:rPr>
        <w:t>. The survey will consist of close</w:t>
      </w:r>
      <w:r w:rsidR="008D0003">
        <w:rPr>
          <w:rFonts w:ascii="Times New Roman" w:hAnsi="Times New Roman" w:cs="Times New Roman"/>
          <w:sz w:val="24"/>
          <w:szCs w:val="24"/>
        </w:rPr>
        <w:t>d</w:t>
      </w:r>
      <w:r w:rsidRPr="00492113">
        <w:rPr>
          <w:rFonts w:ascii="Times New Roman" w:hAnsi="Times New Roman" w:cs="Times New Roman"/>
          <w:sz w:val="24"/>
          <w:szCs w:val="24"/>
        </w:rPr>
        <w:t xml:space="preserve"> and open-ended questions. The purpose of the survey is to collect demographic information and to </w:t>
      </w:r>
      <w:r w:rsidR="007A2D76">
        <w:rPr>
          <w:rFonts w:ascii="Times New Roman" w:hAnsi="Times New Roman" w:cs="Times New Roman"/>
          <w:sz w:val="24"/>
          <w:szCs w:val="24"/>
        </w:rPr>
        <w:t>gauge familiarity with QR codes</w:t>
      </w:r>
      <w:r w:rsidRPr="00492113">
        <w:rPr>
          <w:rFonts w:ascii="Times New Roman" w:hAnsi="Times New Roman" w:cs="Times New Roman"/>
          <w:sz w:val="24"/>
          <w:szCs w:val="24"/>
        </w:rPr>
        <w:t>. The survey will be administered using MS Interview software and will take no longer than 10 minutes to complete. The research team will be notified when participants complete the survey</w:t>
      </w:r>
      <w:r w:rsidR="0060092C">
        <w:rPr>
          <w:rFonts w:ascii="Times New Roman" w:hAnsi="Times New Roman" w:cs="Times New Roman"/>
          <w:sz w:val="24"/>
          <w:szCs w:val="24"/>
        </w:rPr>
        <w:t>.</w:t>
      </w:r>
      <w:r w:rsidR="00AD1604">
        <w:rPr>
          <w:rFonts w:ascii="Times New Roman" w:hAnsi="Times New Roman" w:cs="Times New Roman"/>
          <w:sz w:val="24"/>
          <w:szCs w:val="24"/>
        </w:rPr>
        <w:t xml:space="preserve"> </w:t>
      </w:r>
      <w:r w:rsidR="008D0003">
        <w:rPr>
          <w:rFonts w:ascii="Times New Roman" w:hAnsi="Times New Roman" w:cs="Times New Roman"/>
          <w:sz w:val="24"/>
          <w:szCs w:val="24"/>
        </w:rPr>
        <w:t xml:space="preserve">(See Attachment </w:t>
      </w:r>
      <w:proofErr w:type="gramStart"/>
      <w:r w:rsidR="00E84462">
        <w:rPr>
          <w:rFonts w:ascii="Times New Roman" w:hAnsi="Times New Roman" w:cs="Times New Roman"/>
          <w:sz w:val="24"/>
          <w:szCs w:val="24"/>
        </w:rPr>
        <w:t>A</w:t>
      </w:r>
      <w:r w:rsidR="0050126B" w:rsidRPr="0009058B">
        <w:rPr>
          <w:rFonts w:ascii="Times New Roman" w:hAnsi="Times New Roman" w:cs="Times New Roman"/>
          <w:sz w:val="24"/>
          <w:szCs w:val="24"/>
        </w:rPr>
        <w:t>(</w:t>
      </w:r>
      <w:proofErr w:type="gramEnd"/>
      <w:r w:rsidR="00FC2316">
        <w:rPr>
          <w:rFonts w:ascii="Times New Roman" w:hAnsi="Times New Roman" w:cs="Times New Roman"/>
          <w:sz w:val="24"/>
          <w:szCs w:val="24"/>
        </w:rPr>
        <w:t>1</w:t>
      </w:r>
      <w:r w:rsidR="0050126B" w:rsidRPr="0009058B">
        <w:rPr>
          <w:rFonts w:ascii="Times New Roman" w:hAnsi="Times New Roman" w:cs="Times New Roman"/>
          <w:sz w:val="24"/>
          <w:szCs w:val="24"/>
        </w:rPr>
        <w:t>)</w:t>
      </w:r>
      <w:r w:rsidR="006C7A18" w:rsidRPr="0009058B">
        <w:rPr>
          <w:rFonts w:ascii="Times New Roman" w:hAnsi="Times New Roman" w:cs="Times New Roman"/>
          <w:sz w:val="24"/>
          <w:szCs w:val="24"/>
        </w:rPr>
        <w:t>—</w:t>
      </w:r>
      <w:r w:rsidR="00E84462">
        <w:rPr>
          <w:rFonts w:ascii="Times New Roman" w:hAnsi="Times New Roman" w:cs="Times New Roman"/>
          <w:sz w:val="24"/>
          <w:szCs w:val="24"/>
        </w:rPr>
        <w:t xml:space="preserve"> Screenshot </w:t>
      </w:r>
      <w:r>
        <w:rPr>
          <w:rFonts w:ascii="Times New Roman" w:hAnsi="Times New Roman" w:cs="Times New Roman"/>
          <w:sz w:val="24"/>
          <w:szCs w:val="24"/>
        </w:rPr>
        <w:t>Pre-Knowledge Aptitude Survey</w:t>
      </w:r>
      <w:r w:rsidR="0050126B" w:rsidRPr="0009058B">
        <w:rPr>
          <w:rFonts w:ascii="Times New Roman" w:hAnsi="Times New Roman" w:cs="Times New Roman"/>
          <w:sz w:val="24"/>
          <w:szCs w:val="24"/>
        </w:rPr>
        <w:t>).</w:t>
      </w:r>
      <w:r w:rsidR="006C7A18" w:rsidRPr="0009058B">
        <w:rPr>
          <w:rFonts w:ascii="Times New Roman" w:hAnsi="Times New Roman" w:cs="Times New Roman"/>
          <w:sz w:val="24"/>
          <w:szCs w:val="24"/>
        </w:rPr>
        <w:t xml:space="preserve"> </w:t>
      </w:r>
    </w:p>
    <w:p w:rsidR="006C7A18" w:rsidRPr="005242B1" w:rsidRDefault="006C7A18" w:rsidP="005242B1">
      <w:pPr>
        <w:pStyle w:val="ListParagraph"/>
        <w:spacing w:line="240" w:lineRule="auto"/>
        <w:rPr>
          <w:rFonts w:ascii="Times New Roman" w:hAnsi="Times New Roman" w:cs="Times New Roman"/>
          <w:sz w:val="24"/>
          <w:szCs w:val="24"/>
        </w:rPr>
      </w:pPr>
    </w:p>
    <w:p w:rsidR="0060129F" w:rsidRDefault="007A2D76" w:rsidP="008A637E">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the pre-knowledge aptitude survey is complete, the 95 participants will be randomly distributed into two groups- the exposed group </w:t>
      </w:r>
      <w:r w:rsidR="008219E6">
        <w:rPr>
          <w:rFonts w:ascii="Times New Roman" w:hAnsi="Times New Roman" w:cs="Times New Roman"/>
          <w:sz w:val="24"/>
          <w:szCs w:val="24"/>
        </w:rPr>
        <w:t xml:space="preserve">(s=48) </w:t>
      </w:r>
      <w:r>
        <w:rPr>
          <w:rFonts w:ascii="Times New Roman" w:hAnsi="Times New Roman" w:cs="Times New Roman"/>
          <w:sz w:val="24"/>
          <w:szCs w:val="24"/>
        </w:rPr>
        <w:t>and the non-exposed group</w:t>
      </w:r>
      <w:r w:rsidR="008219E6">
        <w:rPr>
          <w:rFonts w:ascii="Times New Roman" w:hAnsi="Times New Roman" w:cs="Times New Roman"/>
          <w:sz w:val="24"/>
          <w:szCs w:val="24"/>
        </w:rPr>
        <w:t xml:space="preserve"> (s=47)</w:t>
      </w:r>
      <w:r>
        <w:rPr>
          <w:rFonts w:ascii="Times New Roman" w:hAnsi="Times New Roman" w:cs="Times New Roman"/>
          <w:sz w:val="24"/>
          <w:szCs w:val="24"/>
        </w:rPr>
        <w:t xml:space="preserve">. The participants in the exposed group will be sent new educational materials loaded with </w:t>
      </w:r>
      <w:r w:rsidRPr="00492113">
        <w:rPr>
          <w:rFonts w:ascii="Times New Roman" w:hAnsi="Times New Roman" w:cs="Times New Roman"/>
          <w:sz w:val="24"/>
          <w:szCs w:val="24"/>
        </w:rPr>
        <w:t>QR codes</w:t>
      </w:r>
      <w:r>
        <w:rPr>
          <w:rFonts w:ascii="Times New Roman" w:hAnsi="Times New Roman" w:cs="Times New Roman"/>
          <w:sz w:val="24"/>
          <w:szCs w:val="24"/>
        </w:rPr>
        <w:t>.</w:t>
      </w:r>
      <w:r w:rsidR="008219E6">
        <w:rPr>
          <w:rFonts w:ascii="Times New Roman" w:hAnsi="Times New Roman" w:cs="Times New Roman"/>
          <w:sz w:val="24"/>
          <w:szCs w:val="24"/>
        </w:rPr>
        <w:t xml:space="preserve"> The study participants in the non-exposed group will also be sent the new educational materials, but without the QR codes. After a period of 6 weeks, a semi-structured questionnaire</w:t>
      </w:r>
      <w:r>
        <w:rPr>
          <w:rFonts w:ascii="Times New Roman" w:hAnsi="Times New Roman" w:cs="Times New Roman"/>
          <w:sz w:val="24"/>
          <w:szCs w:val="24"/>
        </w:rPr>
        <w:t xml:space="preserve"> </w:t>
      </w:r>
      <w:r w:rsidR="00CC0C5E" w:rsidRPr="00CC0C5E">
        <w:rPr>
          <w:rFonts w:ascii="Times New Roman" w:hAnsi="Times New Roman" w:cs="Times New Roman"/>
          <w:sz w:val="24"/>
          <w:szCs w:val="24"/>
        </w:rPr>
        <w:t>will be administered to</w:t>
      </w:r>
      <w:r w:rsidR="008219E6">
        <w:rPr>
          <w:rFonts w:ascii="Times New Roman" w:hAnsi="Times New Roman" w:cs="Times New Roman"/>
          <w:sz w:val="24"/>
          <w:szCs w:val="24"/>
        </w:rPr>
        <w:t xml:space="preserve"> participants in both the exposed group and non-exposed group</w:t>
      </w:r>
      <w:r w:rsidR="00D75EC6">
        <w:rPr>
          <w:rFonts w:ascii="Times New Roman" w:hAnsi="Times New Roman" w:cs="Times New Roman"/>
          <w:sz w:val="24"/>
          <w:szCs w:val="24"/>
        </w:rPr>
        <w:t xml:space="preserve">. </w:t>
      </w:r>
      <w:r w:rsidR="00CC0C5E" w:rsidRPr="00CC0C5E">
        <w:rPr>
          <w:rFonts w:ascii="Times New Roman" w:hAnsi="Times New Roman" w:cs="Times New Roman"/>
          <w:sz w:val="24"/>
          <w:szCs w:val="24"/>
        </w:rPr>
        <w:t xml:space="preserve">The questionnaires--which will be a compilation of open-ended, </w:t>
      </w:r>
      <w:proofErr w:type="gramStart"/>
      <w:r w:rsidR="00CC0C5E" w:rsidRPr="00CC0C5E">
        <w:rPr>
          <w:rFonts w:ascii="Times New Roman" w:hAnsi="Times New Roman" w:cs="Times New Roman"/>
          <w:sz w:val="24"/>
          <w:szCs w:val="24"/>
        </w:rPr>
        <w:t>close-ended,</w:t>
      </w:r>
      <w:proofErr w:type="gramEnd"/>
      <w:r w:rsidR="00CC0C5E" w:rsidRPr="00CC0C5E">
        <w:rPr>
          <w:rFonts w:ascii="Times New Roman" w:hAnsi="Times New Roman" w:cs="Times New Roman"/>
          <w:sz w:val="24"/>
          <w:szCs w:val="24"/>
        </w:rPr>
        <w:t xml:space="preserve"> and </w:t>
      </w:r>
      <w:proofErr w:type="spellStart"/>
      <w:r w:rsidR="00CC0C5E" w:rsidRPr="00CC0C5E">
        <w:rPr>
          <w:rFonts w:ascii="Times New Roman" w:hAnsi="Times New Roman" w:cs="Times New Roman"/>
          <w:sz w:val="24"/>
          <w:szCs w:val="24"/>
        </w:rPr>
        <w:t>Likert</w:t>
      </w:r>
      <w:proofErr w:type="spellEnd"/>
      <w:r w:rsidR="00CC0C5E" w:rsidRPr="00CC0C5E">
        <w:rPr>
          <w:rFonts w:ascii="Times New Roman" w:hAnsi="Times New Roman" w:cs="Times New Roman"/>
          <w:sz w:val="24"/>
          <w:szCs w:val="24"/>
        </w:rPr>
        <w:t xml:space="preserve"> scale questions-- will be administered online using MS Interview software. Participants will receive an email with a link, which will take them to the questionnaire. The questionnaire will take 15-20 minutes to complete. After completing the questionnaire, the participants will click ‘submit.’  Upon submission, the research team will be notified that the questionnaire has been compl</w:t>
      </w:r>
      <w:r w:rsidR="00790514">
        <w:rPr>
          <w:rFonts w:ascii="Times New Roman" w:hAnsi="Times New Roman" w:cs="Times New Roman"/>
          <w:sz w:val="24"/>
          <w:szCs w:val="24"/>
        </w:rPr>
        <w:t>eted. Participants will have three</w:t>
      </w:r>
      <w:r w:rsidR="00CC0C5E" w:rsidRPr="00CC0C5E">
        <w:rPr>
          <w:rFonts w:ascii="Times New Roman" w:hAnsi="Times New Roman" w:cs="Times New Roman"/>
          <w:sz w:val="24"/>
          <w:szCs w:val="24"/>
        </w:rPr>
        <w:t>-weeks to complete the questionnaire. The research team will send a reminder email one-week before the questionn</w:t>
      </w:r>
      <w:r w:rsidR="00CC0C5E">
        <w:rPr>
          <w:rFonts w:ascii="Times New Roman" w:hAnsi="Times New Roman" w:cs="Times New Roman"/>
          <w:sz w:val="24"/>
          <w:szCs w:val="24"/>
        </w:rPr>
        <w:t>aire opens and before it closes</w:t>
      </w:r>
      <w:r w:rsidR="0060092C">
        <w:rPr>
          <w:rFonts w:ascii="Times New Roman" w:hAnsi="Times New Roman" w:cs="Times New Roman"/>
          <w:sz w:val="24"/>
          <w:szCs w:val="24"/>
        </w:rPr>
        <w:t>.</w:t>
      </w:r>
      <w:r w:rsidR="00566B6D">
        <w:rPr>
          <w:rFonts w:ascii="Times New Roman" w:hAnsi="Times New Roman" w:cs="Times New Roman"/>
          <w:sz w:val="24"/>
          <w:szCs w:val="24"/>
        </w:rPr>
        <w:t xml:space="preserve"> (See Attachment </w:t>
      </w:r>
      <w:proofErr w:type="gramStart"/>
      <w:r w:rsidR="00E84462">
        <w:rPr>
          <w:rFonts w:ascii="Times New Roman" w:hAnsi="Times New Roman" w:cs="Times New Roman"/>
          <w:sz w:val="24"/>
          <w:szCs w:val="24"/>
        </w:rPr>
        <w:t>A</w:t>
      </w:r>
      <w:r w:rsidR="00CC0C5E">
        <w:rPr>
          <w:rFonts w:ascii="Times New Roman" w:hAnsi="Times New Roman" w:cs="Times New Roman"/>
          <w:sz w:val="24"/>
          <w:szCs w:val="24"/>
        </w:rPr>
        <w:t>(</w:t>
      </w:r>
      <w:proofErr w:type="gramEnd"/>
      <w:r w:rsidR="00FC2316">
        <w:rPr>
          <w:rFonts w:ascii="Times New Roman" w:hAnsi="Times New Roman" w:cs="Times New Roman"/>
          <w:sz w:val="24"/>
          <w:szCs w:val="24"/>
        </w:rPr>
        <w:t>2</w:t>
      </w:r>
      <w:r w:rsidR="0050126B" w:rsidRPr="005242B1">
        <w:rPr>
          <w:rFonts w:ascii="Times New Roman" w:hAnsi="Times New Roman" w:cs="Times New Roman"/>
          <w:sz w:val="24"/>
          <w:szCs w:val="24"/>
        </w:rPr>
        <w:t>)—</w:t>
      </w:r>
      <w:r w:rsidR="00E84462">
        <w:rPr>
          <w:rFonts w:ascii="Times New Roman" w:hAnsi="Times New Roman" w:cs="Times New Roman"/>
          <w:sz w:val="24"/>
          <w:szCs w:val="24"/>
        </w:rPr>
        <w:t xml:space="preserve">Screenshot </w:t>
      </w:r>
      <w:r w:rsidR="00CC0C5E">
        <w:rPr>
          <w:rFonts w:ascii="Times New Roman" w:hAnsi="Times New Roman" w:cs="Times New Roman"/>
          <w:sz w:val="24"/>
          <w:szCs w:val="24"/>
        </w:rPr>
        <w:t>Semi-Structured Questionnaire).</w:t>
      </w:r>
    </w:p>
    <w:p w:rsidR="00566B6D" w:rsidRPr="00110F6B" w:rsidRDefault="00566B6D" w:rsidP="00566B6D">
      <w:pPr>
        <w:pStyle w:val="ListParagraph"/>
        <w:rPr>
          <w:rFonts w:ascii="Times New Roman" w:hAnsi="Times New Roman" w:cs="Times New Roman"/>
          <w:sz w:val="24"/>
          <w:szCs w:val="24"/>
        </w:rPr>
      </w:pPr>
    </w:p>
    <w:p w:rsidR="00D94BDC" w:rsidRDefault="00D53580" w:rsidP="00BC57F4">
      <w:pPr>
        <w:pStyle w:val="ListParagraph"/>
        <w:numPr>
          <w:ilvl w:val="0"/>
          <w:numId w:val="39"/>
        </w:numPr>
        <w:spacing w:line="240" w:lineRule="auto"/>
        <w:rPr>
          <w:rFonts w:ascii="Times New Roman" w:hAnsi="Times New Roman" w:cs="Times New Roman"/>
          <w:sz w:val="24"/>
          <w:szCs w:val="24"/>
          <w:u w:val="single"/>
        </w:rPr>
      </w:pPr>
      <w:r w:rsidRPr="00D53580">
        <w:rPr>
          <w:rFonts w:ascii="Times New Roman" w:hAnsi="Times New Roman" w:cs="Times New Roman"/>
          <w:sz w:val="24"/>
          <w:szCs w:val="24"/>
        </w:rPr>
        <w:t>Interviews will be conducted with 20 key informants</w:t>
      </w:r>
      <w:r w:rsidR="005F144F">
        <w:rPr>
          <w:rFonts w:ascii="Times New Roman" w:hAnsi="Times New Roman" w:cs="Times New Roman"/>
          <w:sz w:val="24"/>
          <w:szCs w:val="24"/>
        </w:rPr>
        <w:t>.</w:t>
      </w:r>
      <w:r w:rsidR="003166E5">
        <w:rPr>
          <w:rFonts w:ascii="Times New Roman" w:hAnsi="Times New Roman" w:cs="Times New Roman"/>
          <w:sz w:val="24"/>
          <w:szCs w:val="24"/>
        </w:rPr>
        <w:t xml:space="preserve"> </w:t>
      </w:r>
      <w:r w:rsidRPr="00D53580">
        <w:rPr>
          <w:rFonts w:ascii="Times New Roman" w:hAnsi="Times New Roman" w:cs="Times New Roman"/>
          <w:sz w:val="24"/>
          <w:szCs w:val="24"/>
        </w:rPr>
        <w:t>Key informants will include panel physicians and panel site staff from panel site jurisdictions</w:t>
      </w:r>
      <w:r w:rsidR="005F144F">
        <w:rPr>
          <w:rFonts w:ascii="Times New Roman" w:hAnsi="Times New Roman" w:cs="Times New Roman"/>
          <w:sz w:val="24"/>
          <w:szCs w:val="24"/>
        </w:rPr>
        <w:t xml:space="preserve"> in the exposed group</w:t>
      </w:r>
      <w:r w:rsidRPr="00D53580">
        <w:rPr>
          <w:rFonts w:ascii="Times New Roman" w:hAnsi="Times New Roman" w:cs="Times New Roman"/>
          <w:sz w:val="24"/>
          <w:szCs w:val="24"/>
        </w:rPr>
        <w:t xml:space="preserve">. Because the in-depth interviews will be conducted in-person during FY 2013 quality assessment site visits, the jurisdictions that will be able to participate in the in-depth interviews are already pre-determined. Interviews will be recorded (upon consent) using an audio voice </w:t>
      </w:r>
      <w:r w:rsidRPr="00D53580">
        <w:rPr>
          <w:rFonts w:ascii="Times New Roman" w:hAnsi="Times New Roman" w:cs="Times New Roman"/>
          <w:sz w:val="24"/>
          <w:szCs w:val="24"/>
        </w:rPr>
        <w:lastRenderedPageBreak/>
        <w:t xml:space="preserve">recorder and will last no longer than 60 minutes. The purpose of the in-depth interview is 1) to understand panel physicians’ experience with QR codes for exposed participants, 2) to identify and address specific challenges associated with QR code use for exposed participants, 3) to identify the advantages of using QR codes to access Technical Instructions and the Panel Physician Portal for exposed participants, 4) to determine what types of medical content and information is most useful to panel physicians, and 5) to determine which tool is most effective for linking panel physicians and their staff to Technical Instructions and medical screening requirements.  Panel physicians will be informed about the option to participate in the interview before the site visit occurs. A written consent letter will be provided onsite before the interview takes place. (See Attachment </w:t>
      </w:r>
      <w:proofErr w:type="gramStart"/>
      <w:r w:rsidR="00E84462">
        <w:rPr>
          <w:rFonts w:ascii="Times New Roman" w:hAnsi="Times New Roman" w:cs="Times New Roman"/>
          <w:sz w:val="24"/>
          <w:szCs w:val="24"/>
        </w:rPr>
        <w:t>A</w:t>
      </w:r>
      <w:r w:rsidRPr="00D53580">
        <w:rPr>
          <w:rFonts w:ascii="Times New Roman" w:hAnsi="Times New Roman" w:cs="Times New Roman"/>
          <w:sz w:val="24"/>
          <w:szCs w:val="24"/>
        </w:rPr>
        <w:t>(</w:t>
      </w:r>
      <w:proofErr w:type="gramEnd"/>
      <w:r w:rsidR="00FC2316">
        <w:rPr>
          <w:rFonts w:ascii="Times New Roman" w:hAnsi="Times New Roman" w:cs="Times New Roman"/>
          <w:sz w:val="24"/>
          <w:szCs w:val="24"/>
        </w:rPr>
        <w:t>3</w:t>
      </w:r>
      <w:r w:rsidRPr="00D53580">
        <w:rPr>
          <w:rFonts w:ascii="Times New Roman" w:hAnsi="Times New Roman" w:cs="Times New Roman"/>
          <w:sz w:val="24"/>
          <w:szCs w:val="24"/>
        </w:rPr>
        <w:t xml:space="preserve">)—In-Depth Interview Guide).        </w:t>
      </w:r>
    </w:p>
    <w:p w:rsidR="00D97459" w:rsidRPr="00D911F6" w:rsidRDefault="00D97459" w:rsidP="00E23753">
      <w:pPr>
        <w:spacing w:before="120" w:after="120" w:line="240" w:lineRule="auto"/>
        <w:rPr>
          <w:rFonts w:ascii="Times New Roman" w:hAnsi="Times New Roman" w:cs="Times New Roman"/>
          <w:sz w:val="24"/>
          <w:szCs w:val="24"/>
          <w:u w:val="single"/>
        </w:rPr>
      </w:pPr>
      <w:r w:rsidRPr="00D911F6">
        <w:rPr>
          <w:rFonts w:ascii="Times New Roman" w:hAnsi="Times New Roman" w:cs="Times New Roman"/>
          <w:sz w:val="24"/>
          <w:szCs w:val="24"/>
          <w:u w:val="single"/>
        </w:rPr>
        <w:t xml:space="preserve">Items of Information to be </w:t>
      </w:r>
      <w:proofErr w:type="gramStart"/>
      <w:r w:rsidRPr="00D911F6">
        <w:rPr>
          <w:rFonts w:ascii="Times New Roman" w:hAnsi="Times New Roman" w:cs="Times New Roman"/>
          <w:sz w:val="24"/>
          <w:szCs w:val="24"/>
          <w:u w:val="single"/>
        </w:rPr>
        <w:t>Collected</w:t>
      </w:r>
      <w:proofErr w:type="gramEnd"/>
    </w:p>
    <w:p w:rsidR="00DE7C6C" w:rsidRPr="00DE7C6C" w:rsidRDefault="00013D31" w:rsidP="00E23753">
      <w:pPr>
        <w:spacing w:line="240" w:lineRule="auto"/>
        <w:rPr>
          <w:rFonts w:ascii="Times New Roman" w:hAnsi="Times New Roman" w:cs="Times New Roman"/>
          <w:sz w:val="24"/>
          <w:szCs w:val="24"/>
        </w:rPr>
      </w:pPr>
      <w:r w:rsidRPr="00DE7C6C">
        <w:rPr>
          <w:rFonts w:ascii="Times New Roman" w:hAnsi="Times New Roman" w:cs="Times New Roman"/>
          <w:sz w:val="24"/>
          <w:szCs w:val="24"/>
        </w:rPr>
        <w:t>The information collected does involve individually identifiable information of consulate appointed panel physici</w:t>
      </w:r>
      <w:r w:rsidR="00110F6B">
        <w:rPr>
          <w:rFonts w:ascii="Times New Roman" w:hAnsi="Times New Roman" w:cs="Times New Roman"/>
          <w:sz w:val="24"/>
          <w:szCs w:val="24"/>
        </w:rPr>
        <w:t>ans. The individual identifiable information</w:t>
      </w:r>
      <w:r w:rsidRPr="00DE7C6C">
        <w:rPr>
          <w:rFonts w:ascii="Times New Roman" w:hAnsi="Times New Roman" w:cs="Times New Roman"/>
          <w:sz w:val="24"/>
          <w:szCs w:val="24"/>
        </w:rPr>
        <w:t xml:space="preserve"> </w:t>
      </w:r>
      <w:r w:rsidR="00110F6B">
        <w:rPr>
          <w:rFonts w:ascii="Times New Roman" w:hAnsi="Times New Roman" w:cs="Times New Roman"/>
          <w:sz w:val="24"/>
          <w:szCs w:val="24"/>
        </w:rPr>
        <w:t>includes:</w:t>
      </w:r>
      <w:r w:rsidR="00790514" w:rsidRPr="00DE7C6C">
        <w:rPr>
          <w:rFonts w:ascii="Times New Roman" w:hAnsi="Times New Roman" w:cs="Times New Roman"/>
          <w:sz w:val="24"/>
          <w:szCs w:val="24"/>
        </w:rPr>
        <w:t xml:space="preserve"> </w:t>
      </w:r>
      <w:r w:rsidR="00A8174C" w:rsidRPr="00DE7C6C">
        <w:rPr>
          <w:rFonts w:ascii="Times New Roman" w:hAnsi="Times New Roman" w:cs="Times New Roman"/>
          <w:sz w:val="24"/>
          <w:szCs w:val="24"/>
        </w:rPr>
        <w:t>name, email, panel site address, and work phone number</w:t>
      </w:r>
      <w:r w:rsidR="00110F6B">
        <w:rPr>
          <w:rFonts w:ascii="Times New Roman" w:hAnsi="Times New Roman" w:cs="Times New Roman"/>
          <w:sz w:val="24"/>
          <w:szCs w:val="24"/>
        </w:rPr>
        <w:t>. The information will be used</w:t>
      </w:r>
      <w:r w:rsidRPr="00DE7C6C">
        <w:rPr>
          <w:rFonts w:ascii="Times New Roman" w:hAnsi="Times New Roman" w:cs="Times New Roman"/>
          <w:sz w:val="24"/>
          <w:szCs w:val="24"/>
        </w:rPr>
        <w:t xml:space="preserve"> </w:t>
      </w:r>
      <w:r w:rsidR="00AF6FD5" w:rsidRPr="00DE7C6C">
        <w:rPr>
          <w:rFonts w:ascii="Times New Roman" w:hAnsi="Times New Roman" w:cs="Times New Roman"/>
          <w:sz w:val="24"/>
          <w:szCs w:val="24"/>
        </w:rPr>
        <w:t xml:space="preserve">for identification purposes only.  </w:t>
      </w:r>
      <w:r w:rsidR="004530D7">
        <w:rPr>
          <w:rFonts w:ascii="Times New Roman" w:hAnsi="Times New Roman" w:cs="Times New Roman"/>
          <w:sz w:val="24"/>
          <w:szCs w:val="24"/>
        </w:rPr>
        <w:t>Because IRMH’s mission</w:t>
      </w:r>
      <w:r w:rsidR="00DE7C6C">
        <w:rPr>
          <w:rFonts w:ascii="Times New Roman" w:hAnsi="Times New Roman" w:cs="Times New Roman"/>
          <w:sz w:val="24"/>
          <w:szCs w:val="24"/>
        </w:rPr>
        <w:t xml:space="preserve"> is to provide technical assistance to </w:t>
      </w:r>
      <w:r w:rsidR="00790514" w:rsidRPr="00DE7C6C">
        <w:rPr>
          <w:rFonts w:ascii="Times New Roman" w:hAnsi="Times New Roman" w:cs="Times New Roman"/>
          <w:sz w:val="24"/>
          <w:szCs w:val="24"/>
        </w:rPr>
        <w:t xml:space="preserve">panel physicians and </w:t>
      </w:r>
      <w:r w:rsidR="00DE7C6C">
        <w:rPr>
          <w:rFonts w:ascii="Times New Roman" w:hAnsi="Times New Roman" w:cs="Times New Roman"/>
          <w:sz w:val="24"/>
          <w:szCs w:val="24"/>
        </w:rPr>
        <w:t>to conduct</w:t>
      </w:r>
      <w:r w:rsidR="00790514" w:rsidRPr="00DE7C6C">
        <w:rPr>
          <w:rFonts w:ascii="Times New Roman" w:hAnsi="Times New Roman" w:cs="Times New Roman"/>
          <w:sz w:val="24"/>
          <w:szCs w:val="24"/>
        </w:rPr>
        <w:t xml:space="preserve"> panel site</w:t>
      </w:r>
      <w:r w:rsidR="00D725C3">
        <w:rPr>
          <w:rFonts w:ascii="Times New Roman" w:hAnsi="Times New Roman" w:cs="Times New Roman"/>
          <w:sz w:val="24"/>
          <w:szCs w:val="24"/>
        </w:rPr>
        <w:t xml:space="preserve"> quality assessment visits, </w:t>
      </w:r>
      <w:r w:rsidR="00DE7C6C">
        <w:rPr>
          <w:rFonts w:ascii="Times New Roman" w:hAnsi="Times New Roman" w:cs="Times New Roman"/>
          <w:sz w:val="24"/>
          <w:szCs w:val="24"/>
        </w:rPr>
        <w:t xml:space="preserve">we already have access to panel physician </w:t>
      </w:r>
      <w:r w:rsidR="00D725C3">
        <w:rPr>
          <w:rFonts w:ascii="Times New Roman" w:hAnsi="Times New Roman" w:cs="Times New Roman"/>
          <w:sz w:val="24"/>
          <w:szCs w:val="24"/>
        </w:rPr>
        <w:t xml:space="preserve">identifiable </w:t>
      </w:r>
      <w:r w:rsidR="00DE7C6C">
        <w:rPr>
          <w:rFonts w:ascii="Times New Roman" w:hAnsi="Times New Roman" w:cs="Times New Roman"/>
          <w:sz w:val="24"/>
          <w:szCs w:val="24"/>
        </w:rPr>
        <w:t xml:space="preserve">information. </w:t>
      </w:r>
      <w:r w:rsidR="00DE7C6C" w:rsidRPr="00DE7C6C">
        <w:rPr>
          <w:rFonts w:ascii="Times New Roman" w:hAnsi="Times New Roman" w:cs="Times New Roman"/>
          <w:sz w:val="24"/>
          <w:szCs w:val="24"/>
        </w:rPr>
        <w:t xml:space="preserve">Additionally, the consular sections in each country have the contact information of each panel physician which is available to the general public upon request.  </w:t>
      </w:r>
      <w:r w:rsidR="00DE7C6C">
        <w:rPr>
          <w:rFonts w:ascii="Times New Roman" w:hAnsi="Times New Roman" w:cs="Times New Roman"/>
          <w:sz w:val="24"/>
          <w:szCs w:val="24"/>
        </w:rPr>
        <w:t xml:space="preserve">Thus, no new identifiable information is being collected and the study is </w:t>
      </w:r>
      <w:r w:rsidR="00DE7C6C" w:rsidRPr="00DE7C6C">
        <w:rPr>
          <w:rFonts w:ascii="Times New Roman" w:hAnsi="Times New Roman" w:cs="Times New Roman"/>
          <w:sz w:val="24"/>
          <w:szCs w:val="24"/>
        </w:rPr>
        <w:t>unlikely to have any effect on the respondent’s privacy.</w:t>
      </w:r>
    </w:p>
    <w:p w:rsidR="005F5138" w:rsidRPr="005242B1" w:rsidRDefault="005F5138" w:rsidP="00E23753">
      <w:pPr>
        <w:spacing w:line="240" w:lineRule="auto"/>
        <w:rPr>
          <w:rFonts w:ascii="Times New Roman" w:hAnsi="Times New Roman" w:cs="Times New Roman"/>
          <w:sz w:val="24"/>
          <w:szCs w:val="24"/>
        </w:rPr>
      </w:pPr>
      <w:r w:rsidRPr="005242B1">
        <w:rPr>
          <w:rFonts w:ascii="Times New Roman" w:hAnsi="Times New Roman" w:cs="Times New Roman"/>
          <w:sz w:val="24"/>
          <w:szCs w:val="24"/>
        </w:rPr>
        <w:t>Panel physicians who agree to participate in the evaluation will receive an informed</w:t>
      </w:r>
      <w:r w:rsidR="00110F6B">
        <w:rPr>
          <w:rFonts w:ascii="Times New Roman" w:hAnsi="Times New Roman" w:cs="Times New Roman"/>
          <w:sz w:val="24"/>
          <w:szCs w:val="24"/>
        </w:rPr>
        <w:t xml:space="preserve"> consent letter via email. The informed consent l</w:t>
      </w:r>
      <w:r w:rsidRPr="005242B1">
        <w:rPr>
          <w:rFonts w:ascii="Times New Roman" w:hAnsi="Times New Roman" w:cs="Times New Roman"/>
          <w:sz w:val="24"/>
          <w:szCs w:val="24"/>
        </w:rPr>
        <w:t>etter</w:t>
      </w:r>
      <w:r w:rsidR="00E23753">
        <w:rPr>
          <w:rFonts w:ascii="Times New Roman" w:hAnsi="Times New Roman" w:cs="Times New Roman"/>
          <w:sz w:val="24"/>
          <w:szCs w:val="24"/>
        </w:rPr>
        <w:t xml:space="preserve"> will include details about </w:t>
      </w:r>
      <w:r w:rsidRPr="005242B1">
        <w:rPr>
          <w:rFonts w:ascii="Times New Roman" w:hAnsi="Times New Roman" w:cs="Times New Roman"/>
          <w:sz w:val="24"/>
          <w:szCs w:val="24"/>
        </w:rPr>
        <w:t xml:space="preserve">the evaluation, confidentiality procedures, and participation procedures and requirements. Participants will be asked to review and sign the letter to indicate consent. Each participant is required to keep a copy of the letter for his/her records. </w:t>
      </w:r>
      <w:r w:rsidR="00D725C3">
        <w:rPr>
          <w:rFonts w:ascii="Times New Roman" w:hAnsi="Times New Roman" w:cs="Times New Roman"/>
          <w:sz w:val="24"/>
          <w:szCs w:val="24"/>
        </w:rPr>
        <w:t>A copy of t</w:t>
      </w:r>
      <w:r w:rsidRPr="005242B1">
        <w:rPr>
          <w:rFonts w:ascii="Times New Roman" w:hAnsi="Times New Roman" w:cs="Times New Roman"/>
          <w:sz w:val="24"/>
          <w:szCs w:val="24"/>
        </w:rPr>
        <w:t xml:space="preserve">he signed consent letter must also be </w:t>
      </w:r>
      <w:r w:rsidR="00E23753">
        <w:rPr>
          <w:rFonts w:ascii="Times New Roman" w:hAnsi="Times New Roman" w:cs="Times New Roman"/>
          <w:sz w:val="24"/>
          <w:szCs w:val="24"/>
        </w:rPr>
        <w:t xml:space="preserve">returned via email or fax </w:t>
      </w:r>
      <w:r w:rsidRPr="005242B1">
        <w:rPr>
          <w:rFonts w:ascii="Times New Roman" w:hAnsi="Times New Roman" w:cs="Times New Roman"/>
          <w:sz w:val="24"/>
          <w:szCs w:val="24"/>
        </w:rPr>
        <w:t>to a member of the research team.  The consent forms will be stored in locked and secured file cabinets at DGMQ headquarters in Atlanta, as well as in a scanned electronic format within password-secured computers.</w:t>
      </w:r>
    </w:p>
    <w:p w:rsidR="005F5138" w:rsidRDefault="005F5138" w:rsidP="00E23753">
      <w:pPr>
        <w:spacing w:line="240" w:lineRule="auto"/>
        <w:rPr>
          <w:rFonts w:ascii="Times New Roman" w:hAnsi="Times New Roman" w:cs="Times New Roman"/>
          <w:sz w:val="24"/>
          <w:szCs w:val="24"/>
        </w:rPr>
      </w:pPr>
      <w:r w:rsidRPr="005242B1">
        <w:rPr>
          <w:rFonts w:ascii="Times New Roman" w:hAnsi="Times New Roman" w:cs="Times New Roman"/>
          <w:sz w:val="24"/>
          <w:szCs w:val="24"/>
        </w:rPr>
        <w:t>After the consent forms have been received by the research team, they will assign the participating panel physicians a unique numeric identification code. From this point forward, the numeric code will be used on all documents instead of the panel physician’s name.  The research team will have a master list in Microsoft Excel, which indicates the name and n</w:t>
      </w:r>
      <w:r w:rsidR="00E23753">
        <w:rPr>
          <w:rFonts w:ascii="Times New Roman" w:hAnsi="Times New Roman" w:cs="Times New Roman"/>
          <w:sz w:val="24"/>
          <w:szCs w:val="24"/>
        </w:rPr>
        <w:t>umeric code of each participant</w:t>
      </w:r>
      <w:r w:rsidRPr="005242B1">
        <w:rPr>
          <w:rFonts w:ascii="Times New Roman" w:hAnsi="Times New Roman" w:cs="Times New Roman"/>
          <w:sz w:val="24"/>
          <w:szCs w:val="24"/>
        </w:rPr>
        <w:t>. All contact information will be stored separately from notes and recordings.  Only members of the research team will have access to contact information</w:t>
      </w:r>
      <w:r w:rsidR="00F44780">
        <w:rPr>
          <w:rFonts w:ascii="Times New Roman" w:hAnsi="Times New Roman" w:cs="Times New Roman"/>
          <w:sz w:val="24"/>
          <w:szCs w:val="24"/>
        </w:rPr>
        <w:t>.</w:t>
      </w:r>
    </w:p>
    <w:p w:rsidR="00E23753" w:rsidRPr="005242B1" w:rsidRDefault="00E23753" w:rsidP="00E23753">
      <w:pPr>
        <w:spacing w:line="240" w:lineRule="auto"/>
        <w:rPr>
          <w:rFonts w:ascii="Times New Roman" w:hAnsi="Times New Roman" w:cs="Times New Roman"/>
          <w:sz w:val="24"/>
          <w:szCs w:val="24"/>
        </w:rPr>
      </w:pPr>
      <w:r w:rsidRPr="005242B1">
        <w:rPr>
          <w:rFonts w:ascii="Times New Roman" w:hAnsi="Times New Roman" w:cs="Times New Roman"/>
          <w:sz w:val="24"/>
          <w:szCs w:val="24"/>
        </w:rPr>
        <w:t>Several audience variables will be assessed under the auspices of this generi</w:t>
      </w:r>
      <w:r>
        <w:rPr>
          <w:rFonts w:ascii="Times New Roman" w:hAnsi="Times New Roman" w:cs="Times New Roman"/>
          <w:sz w:val="24"/>
          <w:szCs w:val="24"/>
        </w:rPr>
        <w:t xml:space="preserve">c OMB clearance. These include: </w:t>
      </w:r>
      <w:r w:rsidRPr="005242B1">
        <w:rPr>
          <w:rFonts w:ascii="Times New Roman" w:hAnsi="Times New Roman" w:cs="Times New Roman"/>
          <w:sz w:val="24"/>
          <w:szCs w:val="24"/>
        </w:rPr>
        <w:t>knowledge, opinions, practices, behaviors, skills, self-efficacy, and information needs and sources. Insights gained from evaluation research will assist in the development, refinement, implementation, and evaluation of health education and communication activities.</w:t>
      </w:r>
    </w:p>
    <w:p w:rsidR="00E23753" w:rsidRPr="005242B1" w:rsidRDefault="00E23753" w:rsidP="005242B1">
      <w:pPr>
        <w:spacing w:line="240" w:lineRule="auto"/>
        <w:rPr>
          <w:rFonts w:ascii="Times New Roman" w:hAnsi="Times New Roman" w:cs="Times New Roman"/>
          <w:sz w:val="24"/>
          <w:szCs w:val="24"/>
        </w:rPr>
      </w:pPr>
    </w:p>
    <w:p w:rsidR="004C39E2" w:rsidRPr="005242B1" w:rsidRDefault="0088113F" w:rsidP="005242B1">
      <w:pPr>
        <w:pStyle w:val="Heading2"/>
        <w:spacing w:line="240" w:lineRule="auto"/>
      </w:pPr>
      <w:r w:rsidRPr="005242B1">
        <w:t>2</w:t>
      </w:r>
      <w:r w:rsidR="004314F8">
        <w:t>.</w:t>
      </w:r>
      <w:r w:rsidRPr="005242B1">
        <w:t xml:space="preserve"> </w:t>
      </w:r>
      <w:r w:rsidR="00A27777">
        <w:t xml:space="preserve">Purpose and Use of </w:t>
      </w:r>
      <w:r w:rsidR="005C6E66" w:rsidRPr="005242B1">
        <w:t>Information Collection</w:t>
      </w:r>
    </w:p>
    <w:p w:rsidR="00721BFC" w:rsidRPr="005242B1" w:rsidRDefault="00993E49" w:rsidP="005242B1">
      <w:pPr>
        <w:spacing w:after="0" w:line="240" w:lineRule="auto"/>
        <w:rPr>
          <w:rFonts w:ascii="Times New Roman" w:hAnsi="Times New Roman" w:cs="Times New Roman"/>
          <w:sz w:val="24"/>
          <w:szCs w:val="24"/>
        </w:rPr>
      </w:pPr>
      <w:r w:rsidRPr="00CC0C5E">
        <w:rPr>
          <w:rFonts w:ascii="Times New Roman" w:hAnsi="Times New Roman" w:cs="Times New Roman"/>
          <w:sz w:val="24"/>
          <w:szCs w:val="24"/>
        </w:rPr>
        <w:lastRenderedPageBreak/>
        <w:t xml:space="preserve">The purpose of the Quick Response (QR) code project is to provide panel physicians’ immediate, more direct access to current U.S. </w:t>
      </w:r>
      <w:r>
        <w:rPr>
          <w:rFonts w:ascii="Times New Roman" w:hAnsi="Times New Roman" w:cs="Times New Roman"/>
          <w:sz w:val="24"/>
          <w:szCs w:val="24"/>
        </w:rPr>
        <w:t xml:space="preserve">requirements </w:t>
      </w:r>
      <w:r w:rsidRPr="00CC0C5E">
        <w:rPr>
          <w:rFonts w:ascii="Times New Roman" w:hAnsi="Times New Roman" w:cs="Times New Roman"/>
          <w:sz w:val="24"/>
          <w:szCs w:val="24"/>
        </w:rPr>
        <w:t>regarding medical screening and</w:t>
      </w:r>
      <w:r>
        <w:rPr>
          <w:rFonts w:ascii="Times New Roman" w:hAnsi="Times New Roman" w:cs="Times New Roman"/>
          <w:sz w:val="24"/>
          <w:szCs w:val="24"/>
        </w:rPr>
        <w:t xml:space="preserve"> treatment requirements for U.S-</w:t>
      </w:r>
      <w:r w:rsidRPr="00CC0C5E">
        <w:rPr>
          <w:rFonts w:ascii="Times New Roman" w:hAnsi="Times New Roman" w:cs="Times New Roman"/>
          <w:sz w:val="24"/>
          <w:szCs w:val="24"/>
        </w:rPr>
        <w:t xml:space="preserve"> bound immigrants and refugees. </w:t>
      </w:r>
      <w:r w:rsidRPr="00993E49">
        <w:rPr>
          <w:rFonts w:ascii="Times New Roman" w:hAnsi="Times New Roman" w:cs="Times New Roman"/>
          <w:sz w:val="24"/>
          <w:szCs w:val="24"/>
        </w:rPr>
        <w:t xml:space="preserve">The addition of QR codes to the TB, </w:t>
      </w:r>
      <w:r w:rsidR="00D725C3">
        <w:rPr>
          <w:rFonts w:ascii="Times New Roman" w:hAnsi="Times New Roman" w:cs="Times New Roman"/>
          <w:sz w:val="24"/>
          <w:szCs w:val="24"/>
        </w:rPr>
        <w:t xml:space="preserve">vaccine, </w:t>
      </w:r>
      <w:r w:rsidRPr="00993E49">
        <w:rPr>
          <w:rFonts w:ascii="Times New Roman" w:hAnsi="Times New Roman" w:cs="Times New Roman"/>
          <w:sz w:val="24"/>
          <w:szCs w:val="24"/>
        </w:rPr>
        <w:t>mental health, and se</w:t>
      </w:r>
      <w:r w:rsidR="00D725C3">
        <w:rPr>
          <w:rFonts w:ascii="Times New Roman" w:hAnsi="Times New Roman" w:cs="Times New Roman"/>
          <w:sz w:val="24"/>
          <w:szCs w:val="24"/>
        </w:rPr>
        <w:t>xually transmitted infection Technical Instruction</w:t>
      </w:r>
      <w:r w:rsidRPr="00993E49">
        <w:rPr>
          <w:rFonts w:ascii="Times New Roman" w:hAnsi="Times New Roman" w:cs="Times New Roman"/>
          <w:sz w:val="24"/>
          <w:szCs w:val="24"/>
        </w:rPr>
        <w:t xml:space="preserve"> reference guides will enable panel physicians to immediately access in-depth and up-to-date screening and treatment requirements online</w:t>
      </w:r>
      <w:r>
        <w:rPr>
          <w:rFonts w:ascii="Times New Roman" w:hAnsi="Times New Roman" w:cs="Times New Roman"/>
          <w:sz w:val="24"/>
          <w:szCs w:val="24"/>
        </w:rPr>
        <w:t xml:space="preserve">. </w:t>
      </w:r>
      <w:r w:rsidR="00A27777" w:rsidRPr="00A27777">
        <w:rPr>
          <w:rFonts w:ascii="Times New Roman" w:hAnsi="Times New Roman" w:cs="Times New Roman"/>
          <w:sz w:val="24"/>
          <w:szCs w:val="24"/>
        </w:rPr>
        <w:t>T</w:t>
      </w:r>
      <w:r w:rsidR="00CC0C5E" w:rsidRPr="00A27777">
        <w:rPr>
          <w:rFonts w:ascii="Times New Roman" w:hAnsi="Times New Roman" w:cs="Times New Roman"/>
          <w:sz w:val="24"/>
          <w:szCs w:val="24"/>
        </w:rPr>
        <w:t>he goal of this evaluation is 1) to determine if QR codes</w:t>
      </w:r>
      <w:r w:rsidR="00CC0C5E" w:rsidRPr="00CC0C5E">
        <w:rPr>
          <w:rFonts w:ascii="Times New Roman" w:hAnsi="Times New Roman" w:cs="Times New Roman"/>
          <w:sz w:val="24"/>
          <w:szCs w:val="24"/>
        </w:rPr>
        <w:t xml:space="preserve"> are a feasible and appropriate mechanism for linking panel physicians to Technical Instructions and medical screening information; 2) to determine if th</w:t>
      </w:r>
      <w:r w:rsidR="00E23753">
        <w:rPr>
          <w:rFonts w:ascii="Times New Roman" w:hAnsi="Times New Roman" w:cs="Times New Roman"/>
          <w:sz w:val="24"/>
          <w:szCs w:val="24"/>
        </w:rPr>
        <w:t>e information provided on the Technical Instruction</w:t>
      </w:r>
      <w:r w:rsidR="00CC0C5E" w:rsidRPr="00CC0C5E">
        <w:rPr>
          <w:rFonts w:ascii="Times New Roman" w:hAnsi="Times New Roman" w:cs="Times New Roman"/>
          <w:sz w:val="24"/>
          <w:szCs w:val="24"/>
        </w:rPr>
        <w:t>s and panel physician website is adequate for the panel physicians; and 3) to identify at what points during the medical screening process panel site staff could benefit from further technical guidance from the CDC.</w:t>
      </w:r>
    </w:p>
    <w:p w:rsidR="00831D53" w:rsidRDefault="00831D53" w:rsidP="005242B1">
      <w:pPr>
        <w:spacing w:after="0" w:line="240" w:lineRule="auto"/>
        <w:rPr>
          <w:rFonts w:ascii="Times New Roman" w:hAnsi="Times New Roman" w:cs="Times New Roman"/>
          <w:sz w:val="24"/>
          <w:szCs w:val="24"/>
        </w:rPr>
      </w:pPr>
    </w:p>
    <w:p w:rsidR="00B423F2" w:rsidRPr="00B423F2" w:rsidRDefault="00B423F2" w:rsidP="00B423F2">
      <w:pPr>
        <w:spacing w:after="0" w:line="240" w:lineRule="auto"/>
        <w:rPr>
          <w:rFonts w:ascii="Times New Roman" w:hAnsi="Times New Roman" w:cs="Times New Roman"/>
          <w:sz w:val="24"/>
          <w:szCs w:val="24"/>
        </w:rPr>
      </w:pPr>
      <w:r w:rsidRPr="00B423F2">
        <w:rPr>
          <w:rFonts w:ascii="Times New Roman" w:hAnsi="Times New Roman" w:cs="Times New Roman"/>
          <w:sz w:val="24"/>
          <w:szCs w:val="24"/>
        </w:rPr>
        <w:t>In sum, panel physicians can use their mobile devices while conducting medical screenings in the field to access up-to-date and detailed information regarding medical requirements for U</w:t>
      </w:r>
      <w:r>
        <w:rPr>
          <w:rFonts w:ascii="Times New Roman" w:hAnsi="Times New Roman" w:cs="Times New Roman"/>
          <w:sz w:val="24"/>
          <w:szCs w:val="24"/>
        </w:rPr>
        <w:t>.</w:t>
      </w:r>
      <w:r w:rsidRPr="00B423F2">
        <w:rPr>
          <w:rFonts w:ascii="Times New Roman" w:hAnsi="Times New Roman" w:cs="Times New Roman"/>
          <w:sz w:val="24"/>
          <w:szCs w:val="24"/>
        </w:rPr>
        <w:t>S</w:t>
      </w:r>
      <w:r>
        <w:rPr>
          <w:rFonts w:ascii="Times New Roman" w:hAnsi="Times New Roman" w:cs="Times New Roman"/>
          <w:sz w:val="24"/>
          <w:szCs w:val="24"/>
        </w:rPr>
        <w:t>.</w:t>
      </w:r>
      <w:r w:rsidRPr="00B423F2">
        <w:rPr>
          <w:rFonts w:ascii="Times New Roman" w:hAnsi="Times New Roman" w:cs="Times New Roman"/>
          <w:sz w:val="24"/>
          <w:szCs w:val="24"/>
        </w:rPr>
        <w:t>-bound immigrants and refugees. By utilizing QR codes on vaccination, TB, mental health, and sexually transmitted infection reference guides</w:t>
      </w:r>
      <w:r>
        <w:rPr>
          <w:rFonts w:ascii="Times New Roman" w:hAnsi="Times New Roman" w:cs="Times New Roman"/>
          <w:sz w:val="24"/>
          <w:szCs w:val="24"/>
        </w:rPr>
        <w:t xml:space="preserve"> and fact sheets</w:t>
      </w:r>
      <w:r w:rsidRPr="00B423F2">
        <w:rPr>
          <w:rFonts w:ascii="Times New Roman" w:hAnsi="Times New Roman" w:cs="Times New Roman"/>
          <w:sz w:val="24"/>
          <w:szCs w:val="24"/>
        </w:rPr>
        <w:t xml:space="preserve">, </w:t>
      </w:r>
      <w:r>
        <w:rPr>
          <w:rFonts w:ascii="Times New Roman" w:hAnsi="Times New Roman" w:cs="Times New Roman"/>
          <w:sz w:val="24"/>
          <w:szCs w:val="24"/>
        </w:rPr>
        <w:t>we hope that</w:t>
      </w:r>
      <w:r w:rsidR="00C4527B">
        <w:rPr>
          <w:rFonts w:ascii="Times New Roman" w:hAnsi="Times New Roman" w:cs="Times New Roman"/>
          <w:sz w:val="24"/>
          <w:szCs w:val="24"/>
        </w:rPr>
        <w:t xml:space="preserve"> panel physicians will be better informed about DGMQ’s medical requirements</w:t>
      </w:r>
      <w:r w:rsidR="00491F74">
        <w:rPr>
          <w:rFonts w:ascii="Times New Roman" w:hAnsi="Times New Roman" w:cs="Times New Roman"/>
          <w:sz w:val="24"/>
          <w:szCs w:val="24"/>
        </w:rPr>
        <w:t>,</w:t>
      </w:r>
      <w:r w:rsidR="00C4527B">
        <w:rPr>
          <w:rFonts w:ascii="Times New Roman" w:hAnsi="Times New Roman" w:cs="Times New Roman"/>
          <w:sz w:val="24"/>
          <w:szCs w:val="24"/>
        </w:rPr>
        <w:t xml:space="preserve"> and </w:t>
      </w:r>
      <w:r w:rsidR="00491F74">
        <w:rPr>
          <w:rFonts w:ascii="Times New Roman" w:hAnsi="Times New Roman" w:cs="Times New Roman"/>
          <w:sz w:val="24"/>
          <w:szCs w:val="24"/>
        </w:rPr>
        <w:t xml:space="preserve">as a result, </w:t>
      </w:r>
      <w:r>
        <w:rPr>
          <w:rFonts w:ascii="Times New Roman" w:hAnsi="Times New Roman" w:cs="Times New Roman"/>
          <w:sz w:val="24"/>
          <w:szCs w:val="24"/>
        </w:rPr>
        <w:t xml:space="preserve">more </w:t>
      </w:r>
      <w:r w:rsidR="00C4527B">
        <w:rPr>
          <w:rFonts w:ascii="Times New Roman" w:hAnsi="Times New Roman" w:cs="Times New Roman"/>
          <w:sz w:val="24"/>
          <w:szCs w:val="24"/>
        </w:rPr>
        <w:t xml:space="preserve">immigrants </w:t>
      </w:r>
      <w:r w:rsidR="00491F74">
        <w:rPr>
          <w:rFonts w:ascii="Times New Roman" w:hAnsi="Times New Roman" w:cs="Times New Roman"/>
          <w:sz w:val="24"/>
          <w:szCs w:val="24"/>
        </w:rPr>
        <w:t xml:space="preserve">and refugees </w:t>
      </w:r>
      <w:r w:rsidR="00C4527B">
        <w:rPr>
          <w:rFonts w:ascii="Times New Roman" w:hAnsi="Times New Roman" w:cs="Times New Roman"/>
          <w:sz w:val="24"/>
          <w:szCs w:val="24"/>
        </w:rPr>
        <w:t xml:space="preserve">will be diagnosed </w:t>
      </w:r>
      <w:r w:rsidRPr="00B423F2">
        <w:rPr>
          <w:rFonts w:ascii="Times New Roman" w:hAnsi="Times New Roman" w:cs="Times New Roman"/>
          <w:sz w:val="24"/>
          <w:szCs w:val="24"/>
        </w:rPr>
        <w:t>and treated properly</w:t>
      </w:r>
      <w:r w:rsidR="00491F74">
        <w:rPr>
          <w:rFonts w:ascii="Times New Roman" w:hAnsi="Times New Roman" w:cs="Times New Roman"/>
          <w:sz w:val="24"/>
          <w:szCs w:val="24"/>
        </w:rPr>
        <w:t>.</w:t>
      </w:r>
      <w:r w:rsidRPr="00B423F2">
        <w:rPr>
          <w:rFonts w:ascii="Times New Roman" w:hAnsi="Times New Roman" w:cs="Times New Roman"/>
          <w:sz w:val="24"/>
          <w:szCs w:val="24"/>
        </w:rPr>
        <w:t xml:space="preserve"> </w:t>
      </w:r>
    </w:p>
    <w:p w:rsidR="00721BFC" w:rsidRPr="005242B1" w:rsidRDefault="00721BFC" w:rsidP="005242B1">
      <w:pPr>
        <w:spacing w:after="0" w:line="240" w:lineRule="auto"/>
        <w:rPr>
          <w:rFonts w:ascii="Times New Roman" w:hAnsi="Times New Roman" w:cs="Times New Roman"/>
          <w:sz w:val="24"/>
          <w:szCs w:val="24"/>
        </w:rPr>
      </w:pPr>
    </w:p>
    <w:p w:rsidR="00721BFC" w:rsidRPr="005242B1" w:rsidRDefault="00721BFC" w:rsidP="005242B1">
      <w:pPr>
        <w:spacing w:after="0" w:line="240" w:lineRule="auto"/>
        <w:rPr>
          <w:rFonts w:ascii="Times New Roman" w:hAnsi="Times New Roman" w:cs="Times New Roman"/>
          <w:sz w:val="24"/>
          <w:szCs w:val="24"/>
        </w:rPr>
      </w:pPr>
      <w:r w:rsidRPr="005242B1">
        <w:rPr>
          <w:rFonts w:ascii="Times New Roman" w:hAnsi="Times New Roman" w:cs="Times New Roman"/>
          <w:sz w:val="24"/>
          <w:szCs w:val="24"/>
        </w:rPr>
        <w:t>On completion of the evaluation, a m</w:t>
      </w:r>
      <w:r w:rsidR="00D41C68" w:rsidRPr="005242B1">
        <w:rPr>
          <w:rFonts w:ascii="Times New Roman" w:hAnsi="Times New Roman" w:cs="Times New Roman"/>
          <w:sz w:val="24"/>
          <w:szCs w:val="24"/>
        </w:rPr>
        <w:t>anuscript will be produced,</w:t>
      </w:r>
      <w:r w:rsidRPr="005242B1">
        <w:rPr>
          <w:rFonts w:ascii="Times New Roman" w:hAnsi="Times New Roman" w:cs="Times New Roman"/>
          <w:sz w:val="24"/>
          <w:szCs w:val="24"/>
        </w:rPr>
        <w:t xml:space="preserve"> findings will be summariz</w:t>
      </w:r>
      <w:r w:rsidR="00D41C68" w:rsidRPr="005242B1">
        <w:rPr>
          <w:rFonts w:ascii="Times New Roman" w:hAnsi="Times New Roman" w:cs="Times New Roman"/>
          <w:sz w:val="24"/>
          <w:szCs w:val="24"/>
        </w:rPr>
        <w:t xml:space="preserve">ed and presented to DGMQ staff, </w:t>
      </w:r>
      <w:r w:rsidRPr="005242B1">
        <w:rPr>
          <w:rFonts w:ascii="Times New Roman" w:hAnsi="Times New Roman" w:cs="Times New Roman"/>
          <w:sz w:val="24"/>
          <w:szCs w:val="24"/>
        </w:rPr>
        <w:t>an academic article will be produced and publ</w:t>
      </w:r>
      <w:r w:rsidR="00D41C68" w:rsidRPr="005242B1">
        <w:rPr>
          <w:rFonts w:ascii="Times New Roman" w:hAnsi="Times New Roman" w:cs="Times New Roman"/>
          <w:sz w:val="24"/>
          <w:szCs w:val="24"/>
        </w:rPr>
        <w:t>ished in an agreed-upon journal, and</w:t>
      </w:r>
      <w:r w:rsidRPr="005242B1">
        <w:rPr>
          <w:rFonts w:ascii="Times New Roman" w:hAnsi="Times New Roman" w:cs="Times New Roman"/>
          <w:sz w:val="24"/>
          <w:szCs w:val="24"/>
        </w:rPr>
        <w:t xml:space="preserve"> findings will also be presented at an agreed-upon conference. </w:t>
      </w:r>
    </w:p>
    <w:p w:rsidR="0050126B" w:rsidRDefault="0050126B" w:rsidP="005242B1">
      <w:pPr>
        <w:spacing w:after="120" w:line="240" w:lineRule="auto"/>
        <w:rPr>
          <w:rFonts w:ascii="Times New Roman" w:hAnsi="Times New Roman" w:cs="Times New Roman"/>
          <w:sz w:val="24"/>
          <w:szCs w:val="24"/>
          <w:u w:val="single"/>
        </w:rPr>
      </w:pPr>
    </w:p>
    <w:p w:rsidR="00566B6D" w:rsidRPr="005242B1" w:rsidRDefault="00566B6D" w:rsidP="005242B1">
      <w:pPr>
        <w:spacing w:after="120" w:line="240" w:lineRule="auto"/>
        <w:rPr>
          <w:rFonts w:ascii="Times New Roman" w:hAnsi="Times New Roman" w:cs="Times New Roman"/>
          <w:sz w:val="24"/>
          <w:szCs w:val="24"/>
          <w:u w:val="single"/>
        </w:rPr>
      </w:pPr>
    </w:p>
    <w:p w:rsidR="00721BFC" w:rsidRPr="005242B1" w:rsidRDefault="00721BFC" w:rsidP="005242B1">
      <w:pPr>
        <w:spacing w:after="120" w:line="240" w:lineRule="auto"/>
        <w:rPr>
          <w:rFonts w:ascii="Times New Roman" w:hAnsi="Times New Roman" w:cs="Times New Roman"/>
          <w:sz w:val="24"/>
          <w:szCs w:val="24"/>
          <w:u w:val="single"/>
        </w:rPr>
      </w:pPr>
      <w:r w:rsidRPr="005242B1">
        <w:rPr>
          <w:rFonts w:ascii="Times New Roman" w:hAnsi="Times New Roman" w:cs="Times New Roman"/>
          <w:sz w:val="24"/>
          <w:szCs w:val="24"/>
          <w:u w:val="single"/>
        </w:rPr>
        <w:t>Privacy Impact Assessment Information</w:t>
      </w:r>
    </w:p>
    <w:p w:rsidR="00E354E8" w:rsidRDefault="00EA69E2" w:rsidP="000A27C1">
      <w:pPr>
        <w:pStyle w:val="ListParagraph"/>
        <w:numPr>
          <w:ilvl w:val="0"/>
          <w:numId w:val="42"/>
        </w:numPr>
        <w:spacing w:line="240" w:lineRule="auto"/>
        <w:rPr>
          <w:rFonts w:ascii="Times New Roman" w:hAnsi="Times New Roman" w:cs="Times New Roman"/>
          <w:sz w:val="24"/>
          <w:szCs w:val="24"/>
        </w:rPr>
      </w:pPr>
      <w:r w:rsidRPr="000A27C1">
        <w:rPr>
          <w:rFonts w:ascii="Times New Roman" w:hAnsi="Times New Roman" w:cs="Times New Roman"/>
          <w:sz w:val="24"/>
          <w:szCs w:val="24"/>
        </w:rPr>
        <w:t>The information collected does involve individually identifiable information of consul</w:t>
      </w:r>
      <w:r w:rsidR="001F229E">
        <w:rPr>
          <w:rFonts w:ascii="Times New Roman" w:hAnsi="Times New Roman" w:cs="Times New Roman"/>
          <w:sz w:val="24"/>
          <w:szCs w:val="24"/>
        </w:rPr>
        <w:t>ate appointed panel physicians and the National Center for Emerging and Zoonotic Infectious Diseases has determined that the Privacy Act does apply.</w:t>
      </w:r>
    </w:p>
    <w:p w:rsidR="00EA69E2" w:rsidRPr="000A27C1" w:rsidRDefault="00EA69E2" w:rsidP="00E354E8">
      <w:pPr>
        <w:pStyle w:val="ListParagraph"/>
        <w:spacing w:line="240" w:lineRule="auto"/>
        <w:rPr>
          <w:rFonts w:ascii="Times New Roman" w:hAnsi="Times New Roman" w:cs="Times New Roman"/>
          <w:sz w:val="24"/>
          <w:szCs w:val="24"/>
        </w:rPr>
      </w:pPr>
    </w:p>
    <w:p w:rsidR="006408D0" w:rsidRPr="001F229E" w:rsidRDefault="001F229E" w:rsidP="001F229E">
      <w:pPr>
        <w:pStyle w:val="ListParagraph"/>
        <w:numPr>
          <w:ilvl w:val="0"/>
          <w:numId w:val="42"/>
        </w:numPr>
        <w:spacing w:line="240" w:lineRule="auto"/>
        <w:rPr>
          <w:rFonts w:ascii="Times New Roman" w:hAnsi="Times New Roman" w:cs="Times New Roman"/>
          <w:sz w:val="24"/>
          <w:szCs w:val="24"/>
        </w:rPr>
      </w:pPr>
      <w:r w:rsidRPr="001F229E">
        <w:rPr>
          <w:rFonts w:ascii="Times New Roman" w:hAnsi="Times New Roman" w:cs="Times New Roman"/>
          <w:sz w:val="24"/>
          <w:szCs w:val="24"/>
        </w:rPr>
        <w:t xml:space="preserve">On Monday November 24, 1986, </w:t>
      </w:r>
      <w:r w:rsidR="006408D0" w:rsidRPr="001F229E">
        <w:rPr>
          <w:rFonts w:ascii="Times New Roman" w:hAnsi="Times New Roman" w:cs="Times New Roman"/>
          <w:sz w:val="24"/>
          <w:szCs w:val="24"/>
        </w:rPr>
        <w:t>CDC published a notice of a new system of records u</w:t>
      </w:r>
      <w:r w:rsidRPr="001F229E">
        <w:rPr>
          <w:rFonts w:ascii="Times New Roman" w:hAnsi="Times New Roman" w:cs="Times New Roman"/>
          <w:sz w:val="24"/>
          <w:szCs w:val="24"/>
        </w:rPr>
        <w:t>nder the Privacy Act of 1974 that enables CDC officials to maintain training records and access the impact of the agency's training programs on the knowledge, attitudes and practices of clinicians and other health care personnel, in order to develop improved training curricula and programs for disease prevention and control for such health care personnel.</w:t>
      </w:r>
      <w:r w:rsidR="006408D0" w:rsidRPr="001F229E">
        <w:rPr>
          <w:rFonts w:ascii="Times New Roman" w:hAnsi="Times New Roman" w:cs="Times New Roman"/>
          <w:sz w:val="24"/>
          <w:szCs w:val="24"/>
        </w:rPr>
        <w:t xml:space="preserve">. The data will become part of CDC Privacy </w:t>
      </w:r>
      <w:r w:rsidRPr="001F229E">
        <w:rPr>
          <w:rFonts w:ascii="Times New Roman" w:hAnsi="Times New Roman" w:cs="Times New Roman"/>
          <w:sz w:val="24"/>
          <w:szCs w:val="24"/>
        </w:rPr>
        <w:t>Act System of Records 09-20-0161</w:t>
      </w:r>
      <w:r w:rsidR="006408D0" w:rsidRPr="001F229E">
        <w:rPr>
          <w:rFonts w:ascii="Times New Roman" w:hAnsi="Times New Roman" w:cs="Times New Roman"/>
          <w:sz w:val="24"/>
          <w:szCs w:val="24"/>
        </w:rPr>
        <w:t xml:space="preserve">, </w:t>
      </w:r>
      <w:r w:rsidRPr="001F229E">
        <w:rPr>
          <w:rFonts w:ascii="Times New Roman" w:hAnsi="Times New Roman" w:cs="Times New Roman"/>
          <w:sz w:val="24"/>
          <w:szCs w:val="24"/>
        </w:rPr>
        <w:t>“Records of Health Professionals in Disease Prevention and Control Training Programs</w:t>
      </w:r>
      <w:r w:rsidR="006408D0" w:rsidRPr="001F229E">
        <w:rPr>
          <w:rFonts w:ascii="Times New Roman" w:hAnsi="Times New Roman" w:cs="Times New Roman"/>
          <w:sz w:val="24"/>
          <w:szCs w:val="24"/>
        </w:rPr>
        <w:t>”</w:t>
      </w:r>
      <w:r w:rsidRPr="001F229E">
        <w:rPr>
          <w:rFonts w:ascii="Times New Roman" w:hAnsi="Times New Roman" w:cs="Times New Roman"/>
          <w:sz w:val="24"/>
          <w:szCs w:val="24"/>
        </w:rPr>
        <w:t>.</w:t>
      </w:r>
      <w:r w:rsidR="006408D0" w:rsidRPr="001F229E">
        <w:rPr>
          <w:rFonts w:ascii="Times New Roman" w:hAnsi="Times New Roman" w:cs="Times New Roman"/>
          <w:sz w:val="24"/>
          <w:szCs w:val="24"/>
        </w:rPr>
        <w:t xml:space="preserve"> </w:t>
      </w:r>
      <w:r w:rsidRPr="001F229E">
        <w:rPr>
          <w:rFonts w:ascii="Times New Roman" w:hAnsi="Times New Roman" w:cs="Times New Roman"/>
          <w:sz w:val="24"/>
          <w:szCs w:val="24"/>
        </w:rPr>
        <w:t>Disclosure may be made to CDC contractors in the conduct of training surveys and studies covered by this system notice and in the preparation of scientific reports, in order to accomplish the stated purposes of the system.  The recipients will be required to maintain Privacy Act safeguards with respect to such records.</w:t>
      </w:r>
      <w:r w:rsidR="006408D0" w:rsidRPr="001F229E">
        <w:rPr>
          <w:rFonts w:ascii="Times New Roman" w:hAnsi="Times New Roman" w:cs="Times New Roman"/>
          <w:sz w:val="24"/>
          <w:szCs w:val="24"/>
        </w:rPr>
        <w:t xml:space="preserve"> </w:t>
      </w:r>
      <w:r w:rsidRPr="001F229E">
        <w:rPr>
          <w:rFonts w:ascii="Times New Roman" w:hAnsi="Times New Roman" w:cs="Times New Roman"/>
          <w:sz w:val="24"/>
          <w:szCs w:val="24"/>
        </w:rPr>
        <w:t xml:space="preserve">Disclosure may be made to a congressional office from the record of an individual in response to a verified inquiry from the congressional office made at the written request of that individual. </w:t>
      </w:r>
      <w:r>
        <w:rPr>
          <w:rFonts w:ascii="Times New Roman" w:hAnsi="Times New Roman" w:cs="Times New Roman"/>
          <w:sz w:val="24"/>
          <w:szCs w:val="24"/>
        </w:rPr>
        <w:t xml:space="preserve"> </w:t>
      </w:r>
      <w:r w:rsidRPr="001F229E">
        <w:rPr>
          <w:rFonts w:ascii="Times New Roman" w:hAnsi="Times New Roman" w:cs="Times New Roman"/>
          <w:sz w:val="24"/>
          <w:szCs w:val="24"/>
        </w:rPr>
        <w:t xml:space="preserve">The Department of Health and Human Services (HHS) may disclose information from this system of records to the Department of Justice, or to a court or other tribunal, when:  (a) HHS, or any component thereof; or (b) any HHS employee in </w:t>
      </w:r>
      <w:r w:rsidRPr="001F229E">
        <w:rPr>
          <w:rFonts w:ascii="Times New Roman" w:hAnsi="Times New Roman" w:cs="Times New Roman"/>
          <w:sz w:val="24"/>
          <w:szCs w:val="24"/>
        </w:rPr>
        <w:lastRenderedPageBreak/>
        <w:t xml:space="preserve">his or her official capacity; or (c) any HHS employee in his or individual capacity where the Department of Justice (or HHS, where it is authorized to do so) has agreed to represent the employee; or (d) the United States or any agency thereof where HHS determines that the litigation is likely to affect HHS or any of its components, is a party to litigation or has an interest in such litigation, and HHS determines that the use of such records by the Department of Justice, the court or other tribunal is relevant and necessary to the litigation and would help in the effective representation of the governmental party, provided, however, that in each case, HHS determines that such disclosure is compatible with the purpose for which the records were collected. </w:t>
      </w:r>
      <w:r w:rsidR="006408D0" w:rsidRPr="001F229E">
        <w:rPr>
          <w:rFonts w:ascii="Times New Roman" w:hAnsi="Times New Roman" w:cs="Times New Roman"/>
          <w:sz w:val="24"/>
          <w:szCs w:val="24"/>
        </w:rPr>
        <w:br/>
      </w:r>
    </w:p>
    <w:p w:rsidR="001F229E" w:rsidRPr="001F229E" w:rsidRDefault="001F229E" w:rsidP="001F229E">
      <w:pPr>
        <w:pStyle w:val="ListParagraph"/>
        <w:spacing w:line="240" w:lineRule="auto"/>
        <w:rPr>
          <w:rFonts w:ascii="Times New Roman" w:hAnsi="Times New Roman" w:cs="Times New Roman"/>
          <w:sz w:val="24"/>
          <w:szCs w:val="24"/>
        </w:rPr>
      </w:pPr>
      <w:r w:rsidRPr="001F229E">
        <w:rPr>
          <w:rFonts w:ascii="Times New Roman" w:hAnsi="Times New Roman" w:cs="Times New Roman"/>
          <w:sz w:val="24"/>
          <w:szCs w:val="24"/>
        </w:rPr>
        <w:t xml:space="preserve">Access is granted to only a limited number of personnel, i.e., CDC Project Officer, interviewers and designated support staff of CDC or its contractors, as authorized by the system manager to accomplish the stated purposes for which the data in this system have been collected. </w:t>
      </w:r>
      <w:r>
        <w:rPr>
          <w:rFonts w:ascii="Times New Roman" w:hAnsi="Times New Roman" w:cs="Times New Roman"/>
          <w:sz w:val="24"/>
          <w:szCs w:val="24"/>
        </w:rPr>
        <w:t>Physical security includes</w:t>
      </w:r>
      <w:r w:rsidRPr="001F229E">
        <w:rPr>
          <w:rFonts w:ascii="Times New Roman" w:hAnsi="Times New Roman" w:cs="Times New Roman"/>
          <w:sz w:val="24"/>
          <w:szCs w:val="24"/>
        </w:rPr>
        <w:t xml:space="preserve"> </w:t>
      </w:r>
      <w:r>
        <w:rPr>
          <w:rFonts w:ascii="Times New Roman" w:hAnsi="Times New Roman" w:cs="Times New Roman"/>
          <w:sz w:val="24"/>
          <w:szCs w:val="24"/>
        </w:rPr>
        <w:t>l</w:t>
      </w:r>
      <w:r w:rsidRPr="001F229E">
        <w:rPr>
          <w:rFonts w:ascii="Times New Roman" w:hAnsi="Times New Roman" w:cs="Times New Roman"/>
          <w:sz w:val="24"/>
          <w:szCs w:val="24"/>
        </w:rPr>
        <w:t xml:space="preserve">ocked cabinets in locked rooms, 24-hour guard service in buildings, personnel screening of visitors, electronic anti-intrusion devices in operation at the Federal Records Center, fire extinguishers, overhead sprinkler system and card-access control equipment in the computer room, computer terminals and automated records located in secured areas. Procedural </w:t>
      </w:r>
      <w:r>
        <w:rPr>
          <w:rFonts w:ascii="Times New Roman" w:hAnsi="Times New Roman" w:cs="Times New Roman"/>
          <w:sz w:val="24"/>
          <w:szCs w:val="24"/>
        </w:rPr>
        <w:t>safeguards include</w:t>
      </w:r>
      <w:r w:rsidRPr="001F229E">
        <w:rPr>
          <w:rFonts w:ascii="Times New Roman" w:hAnsi="Times New Roman" w:cs="Times New Roman"/>
          <w:sz w:val="24"/>
          <w:szCs w:val="24"/>
        </w:rPr>
        <w:t xml:space="preserve"> </w:t>
      </w:r>
      <w:r>
        <w:rPr>
          <w:rFonts w:ascii="Times New Roman" w:hAnsi="Times New Roman" w:cs="Times New Roman"/>
          <w:sz w:val="24"/>
          <w:szCs w:val="24"/>
        </w:rPr>
        <w:t>p</w:t>
      </w:r>
      <w:r w:rsidRPr="001F229E">
        <w:rPr>
          <w:rFonts w:ascii="Times New Roman" w:hAnsi="Times New Roman" w:cs="Times New Roman"/>
          <w:sz w:val="24"/>
          <w:szCs w:val="24"/>
        </w:rPr>
        <w:t xml:space="preserve">rotection for computerized records both on the mainframe and the CIO Local Area Network (LAN) includes programmed verification of valid user identification code and password prior to logging on to the system, mandatory password changes, limited log-ins, virus protection, and user rights/file attribute restrictions.  Password protection imposes user name and password log-in requirements to prevent unauthorized access.  Each user name is assigned limited access rights to files and directories at varying levels to control file sharing.  There are routine daily backup procedures and Vault Management System for secure off-site storage is available for backup tapes.  To avoid inadvertent data disclosure, “degaussing” is performed to ensure that all data are removed from Privacy Act computer tapes and/or other magnetic media.  Additional safeguards may be built into the program by the system analyst as warranted by the sensitivity of the data. </w:t>
      </w:r>
    </w:p>
    <w:p w:rsidR="00721BFC" w:rsidRDefault="001F229E" w:rsidP="00AE7C0A">
      <w:pPr>
        <w:pStyle w:val="ListParagraph"/>
        <w:spacing w:line="240" w:lineRule="auto"/>
        <w:rPr>
          <w:rFonts w:ascii="Times New Roman" w:hAnsi="Times New Roman" w:cs="Times New Roman"/>
          <w:sz w:val="24"/>
          <w:szCs w:val="24"/>
        </w:rPr>
      </w:pPr>
      <w:r w:rsidRPr="001F229E">
        <w:rPr>
          <w:rFonts w:ascii="Times New Roman" w:hAnsi="Times New Roman" w:cs="Times New Roman"/>
          <w:sz w:val="24"/>
          <w:szCs w:val="24"/>
        </w:rPr>
        <w:t xml:space="preserve">CDC and contractor employee who maintain records are instructed to check with the system manager prior to making disclosures of data.  When individually identified data are being used in a room, admittance at either CDC or contractor sites is restricted to specifically authorized personnel.  Privacy Act provisions are included in contracts, and the CDC Project Director, contract officers and project officers </w:t>
      </w:r>
      <w:proofErr w:type="gramStart"/>
      <w:r w:rsidRPr="001F229E">
        <w:rPr>
          <w:rFonts w:ascii="Times New Roman" w:hAnsi="Times New Roman" w:cs="Times New Roman"/>
          <w:sz w:val="24"/>
          <w:szCs w:val="24"/>
        </w:rPr>
        <w:t>oversee</w:t>
      </w:r>
      <w:proofErr w:type="gramEnd"/>
      <w:r w:rsidRPr="001F229E">
        <w:rPr>
          <w:rFonts w:ascii="Times New Roman" w:hAnsi="Times New Roman" w:cs="Times New Roman"/>
          <w:sz w:val="24"/>
          <w:szCs w:val="24"/>
        </w:rPr>
        <w:t xml:space="preserve"> compliance with these requirements.  Upon completion of the contract, all data will be either returned to CDC or destroyed, as specified by the contract</w:t>
      </w:r>
      <w:r>
        <w:rPr>
          <w:rFonts w:ascii="Times New Roman" w:hAnsi="Times New Roman" w:cs="Times New Roman"/>
          <w:sz w:val="24"/>
          <w:szCs w:val="24"/>
        </w:rPr>
        <w:t>.</w:t>
      </w:r>
    </w:p>
    <w:p w:rsidR="00CF7B70" w:rsidRPr="000A27C1" w:rsidRDefault="00CF7B70" w:rsidP="00AE7C0A">
      <w:pPr>
        <w:pStyle w:val="ListParagraph"/>
        <w:spacing w:line="240" w:lineRule="auto"/>
        <w:rPr>
          <w:rFonts w:ascii="Times New Roman" w:hAnsi="Times New Roman" w:cs="Times New Roman"/>
          <w:sz w:val="24"/>
          <w:szCs w:val="24"/>
        </w:rPr>
      </w:pPr>
    </w:p>
    <w:p w:rsidR="00CF7B70" w:rsidRPr="00CF7B70" w:rsidRDefault="00CF7B70" w:rsidP="00CF7B70">
      <w:pPr>
        <w:pStyle w:val="ListParagraph"/>
        <w:numPr>
          <w:ilvl w:val="0"/>
          <w:numId w:val="42"/>
        </w:numPr>
        <w:autoSpaceDE w:val="0"/>
        <w:autoSpaceDN w:val="0"/>
        <w:adjustRightInd w:val="0"/>
        <w:spacing w:line="240" w:lineRule="auto"/>
        <w:rPr>
          <w:rFonts w:ascii="Times New Roman" w:hAnsi="Times New Roman" w:cs="Times New Roman"/>
          <w:sz w:val="24"/>
          <w:szCs w:val="24"/>
        </w:rPr>
      </w:pPr>
      <w:r w:rsidRPr="00CF7B70">
        <w:rPr>
          <w:rFonts w:ascii="Times New Roman" w:hAnsi="Times New Roman" w:cs="Times New Roman"/>
          <w:sz w:val="24"/>
          <w:szCs w:val="24"/>
        </w:rPr>
        <w:t>Prior to participating in the information collection, prospective respondents will receive information such as the sponsorship of the evaluation project, their rights as participants, risks and benefits in participating, and contacts for more information about the evaluation project. Prior to the beginning of the information collection, a staff member will address any questions the participants have about the evaluation project.</w:t>
      </w:r>
    </w:p>
    <w:p w:rsidR="00CF7B70" w:rsidRDefault="00CF7B70" w:rsidP="000A27C1">
      <w:pPr>
        <w:pStyle w:val="ListParagraph"/>
        <w:spacing w:line="240" w:lineRule="auto"/>
        <w:rPr>
          <w:rFonts w:ascii="Times New Roman" w:hAnsi="Times New Roman" w:cs="Times New Roman"/>
          <w:sz w:val="24"/>
          <w:szCs w:val="24"/>
        </w:rPr>
      </w:pPr>
    </w:p>
    <w:p w:rsidR="00CF7B70" w:rsidRPr="00491F74" w:rsidRDefault="00CF7B70" w:rsidP="00491F74">
      <w:pPr>
        <w:pStyle w:val="ListParagraph"/>
        <w:spacing w:line="240" w:lineRule="auto"/>
        <w:rPr>
          <w:rFonts w:ascii="Times New Roman" w:hAnsi="Times New Roman" w:cs="Times New Roman"/>
          <w:sz w:val="24"/>
          <w:szCs w:val="24"/>
        </w:rPr>
      </w:pPr>
      <w:r w:rsidRPr="00CF7B70">
        <w:rPr>
          <w:rFonts w:ascii="Times New Roman" w:hAnsi="Times New Roman" w:cs="Times New Roman"/>
          <w:sz w:val="24"/>
          <w:szCs w:val="24"/>
        </w:rPr>
        <w:t xml:space="preserve">Participants will be informed that </w:t>
      </w:r>
      <w:r w:rsidR="00491F74">
        <w:rPr>
          <w:rFonts w:ascii="Times New Roman" w:hAnsi="Times New Roman" w:cs="Times New Roman"/>
          <w:sz w:val="24"/>
          <w:szCs w:val="24"/>
        </w:rPr>
        <w:t xml:space="preserve">the in-depth interviews </w:t>
      </w:r>
      <w:r w:rsidRPr="00CF7B70">
        <w:rPr>
          <w:rFonts w:ascii="Times New Roman" w:hAnsi="Times New Roman" w:cs="Times New Roman"/>
          <w:sz w:val="24"/>
          <w:szCs w:val="24"/>
        </w:rPr>
        <w:t>may be recorded and transcribed, and that multimedia recordings will be destroyed after complet</w:t>
      </w:r>
      <w:r w:rsidR="00491F74">
        <w:rPr>
          <w:rFonts w:ascii="Times New Roman" w:hAnsi="Times New Roman" w:cs="Times New Roman"/>
          <w:sz w:val="24"/>
          <w:szCs w:val="24"/>
        </w:rPr>
        <w:t xml:space="preserve">ion of each report on findings. </w:t>
      </w:r>
      <w:r w:rsidRPr="00491F74">
        <w:rPr>
          <w:rFonts w:ascii="Times New Roman" w:hAnsi="Times New Roman" w:cs="Times New Roman"/>
          <w:sz w:val="24"/>
          <w:szCs w:val="24"/>
        </w:rPr>
        <w:t xml:space="preserve">All information provided by respondents will be treated in a secure </w:t>
      </w:r>
      <w:r w:rsidRPr="00491F74">
        <w:rPr>
          <w:rFonts w:ascii="Times New Roman" w:hAnsi="Times New Roman" w:cs="Times New Roman"/>
          <w:sz w:val="24"/>
          <w:szCs w:val="24"/>
        </w:rPr>
        <w:lastRenderedPageBreak/>
        <w:t>manner and will not be disclosed unless otherwise compelled by law. Respondents will be informed prior to participation that their responses will be treated in a secure manner.</w:t>
      </w:r>
    </w:p>
    <w:p w:rsidR="00CF7B70" w:rsidRPr="00CF7B70" w:rsidRDefault="00CF7B70" w:rsidP="000A27C1">
      <w:pPr>
        <w:pStyle w:val="ListParagraph"/>
        <w:autoSpaceDE w:val="0"/>
        <w:autoSpaceDN w:val="0"/>
        <w:adjustRightInd w:val="0"/>
        <w:spacing w:line="240" w:lineRule="auto"/>
        <w:rPr>
          <w:rFonts w:ascii="Times New Roman" w:hAnsi="Times New Roman" w:cs="Times New Roman"/>
          <w:sz w:val="24"/>
          <w:szCs w:val="24"/>
        </w:rPr>
      </w:pPr>
      <w:r w:rsidRPr="00CF7B70">
        <w:rPr>
          <w:rFonts w:ascii="Times New Roman" w:hAnsi="Times New Roman" w:cs="Times New Roman"/>
          <w:sz w:val="24"/>
          <w:szCs w:val="24"/>
        </w:rPr>
        <w:t xml:space="preserve"> </w:t>
      </w:r>
    </w:p>
    <w:p w:rsidR="00491F74" w:rsidRPr="00491F74" w:rsidRDefault="00491F74" w:rsidP="00491F74">
      <w:pPr>
        <w:pStyle w:val="ListParagraph"/>
        <w:numPr>
          <w:ilvl w:val="0"/>
          <w:numId w:val="42"/>
        </w:numPr>
        <w:spacing w:line="240" w:lineRule="auto"/>
        <w:rPr>
          <w:rFonts w:ascii="Times New Roman" w:hAnsi="Times New Roman" w:cs="Times New Roman"/>
          <w:sz w:val="24"/>
          <w:szCs w:val="24"/>
        </w:rPr>
      </w:pPr>
      <w:r w:rsidRPr="00491F74">
        <w:rPr>
          <w:rFonts w:ascii="Times New Roman" w:hAnsi="Times New Roman" w:cs="Times New Roman"/>
          <w:sz w:val="24"/>
          <w:szCs w:val="24"/>
        </w:rPr>
        <w:t xml:space="preserve">After </w:t>
      </w:r>
      <w:r>
        <w:rPr>
          <w:rFonts w:ascii="Times New Roman" w:hAnsi="Times New Roman" w:cs="Times New Roman"/>
          <w:sz w:val="24"/>
          <w:szCs w:val="24"/>
        </w:rPr>
        <w:t xml:space="preserve">the respondents have provided consent, </w:t>
      </w:r>
      <w:r w:rsidRPr="00491F74">
        <w:rPr>
          <w:rFonts w:ascii="Times New Roman" w:hAnsi="Times New Roman" w:cs="Times New Roman"/>
          <w:sz w:val="24"/>
          <w:szCs w:val="24"/>
        </w:rPr>
        <w:t xml:space="preserve">they will </w:t>
      </w:r>
      <w:r>
        <w:rPr>
          <w:rFonts w:ascii="Times New Roman" w:hAnsi="Times New Roman" w:cs="Times New Roman"/>
          <w:sz w:val="24"/>
          <w:szCs w:val="24"/>
        </w:rPr>
        <w:t xml:space="preserve">be </w:t>
      </w:r>
      <w:r w:rsidRPr="00491F74">
        <w:rPr>
          <w:rFonts w:ascii="Times New Roman" w:hAnsi="Times New Roman" w:cs="Times New Roman"/>
          <w:sz w:val="24"/>
          <w:szCs w:val="24"/>
        </w:rPr>
        <w:t>assign</w:t>
      </w:r>
      <w:r>
        <w:rPr>
          <w:rFonts w:ascii="Times New Roman" w:hAnsi="Times New Roman" w:cs="Times New Roman"/>
          <w:sz w:val="24"/>
          <w:szCs w:val="24"/>
        </w:rPr>
        <w:t>ed</w:t>
      </w:r>
      <w:r w:rsidRPr="00491F74">
        <w:rPr>
          <w:rFonts w:ascii="Times New Roman" w:hAnsi="Times New Roman" w:cs="Times New Roman"/>
          <w:sz w:val="24"/>
          <w:szCs w:val="24"/>
        </w:rPr>
        <w:t xml:space="preserve"> a unique numeric identification code. From this point forward, the numeric code will be used on all documents instead of the panel physician’s name.  The research team will have a master list in Microsoft Excel, which indicates the name and numeric code of each participant. All contact information will be stored separately from notes and recordings.  Only members of the research team will have access to contact information.</w:t>
      </w:r>
      <w:r w:rsidRPr="00491F74">
        <w:t xml:space="preserve"> </w:t>
      </w:r>
      <w:r w:rsidRPr="00491F74">
        <w:rPr>
          <w:rFonts w:ascii="Times New Roman" w:hAnsi="Times New Roman" w:cs="Times New Roman"/>
          <w:sz w:val="24"/>
          <w:szCs w:val="24"/>
        </w:rPr>
        <w:t>Final reports, manuscripts, and presentations will contain no information regarding identities of the participants.</w:t>
      </w:r>
      <w:r>
        <w:rPr>
          <w:rFonts w:ascii="Times New Roman" w:hAnsi="Times New Roman" w:cs="Times New Roman"/>
          <w:sz w:val="24"/>
          <w:szCs w:val="24"/>
        </w:rPr>
        <w:t xml:space="preserve"> </w:t>
      </w:r>
      <w:r w:rsidRPr="00491F74">
        <w:rPr>
          <w:rFonts w:ascii="Times New Roman" w:hAnsi="Times New Roman" w:cs="Times New Roman"/>
          <w:sz w:val="24"/>
          <w:szCs w:val="24"/>
        </w:rPr>
        <w:t>All collected data (including numeric codes) and audio recordings will be destroyed three years</w:t>
      </w:r>
      <w:r w:rsidRPr="00491F74">
        <w:t xml:space="preserve"> </w:t>
      </w:r>
      <w:r w:rsidRPr="00491F74">
        <w:rPr>
          <w:rFonts w:ascii="Times New Roman" w:hAnsi="Times New Roman" w:cs="Times New Roman"/>
          <w:sz w:val="24"/>
          <w:szCs w:val="24"/>
        </w:rPr>
        <w:t>after the evaluation is complete. Audio recordings will be deleted and paper files shredded.</w:t>
      </w:r>
    </w:p>
    <w:p w:rsidR="0088113F" w:rsidRPr="005242B1" w:rsidRDefault="00586E86" w:rsidP="005B73CD">
      <w:pPr>
        <w:pStyle w:val="Heading2"/>
        <w:spacing w:after="0" w:line="240" w:lineRule="auto"/>
      </w:pPr>
      <w:r>
        <w:t xml:space="preserve"> </w:t>
      </w:r>
      <w:r w:rsidR="0088113F" w:rsidRPr="005242B1">
        <w:t>3. Use of Improved Information Technology and Burden Reduction</w:t>
      </w:r>
    </w:p>
    <w:p w:rsidR="005B73CD" w:rsidRDefault="005B73CD" w:rsidP="005242B1">
      <w:pPr>
        <w:spacing w:after="0" w:line="240" w:lineRule="auto"/>
        <w:rPr>
          <w:rFonts w:ascii="Times New Roman" w:eastAsia="Times New Roman" w:hAnsi="Times New Roman" w:cs="Times New Roman"/>
          <w:sz w:val="24"/>
          <w:szCs w:val="24"/>
        </w:rPr>
      </w:pPr>
    </w:p>
    <w:p w:rsidR="00220942" w:rsidRPr="005242B1" w:rsidRDefault="00220942" w:rsidP="005242B1">
      <w:pPr>
        <w:spacing w:after="0" w:line="240" w:lineRule="auto"/>
        <w:rPr>
          <w:rFonts w:ascii="Times New Roman" w:eastAsia="Times New Roman" w:hAnsi="Times New Roman" w:cs="Times New Roman"/>
          <w:sz w:val="24"/>
          <w:szCs w:val="24"/>
        </w:rPr>
      </w:pPr>
      <w:r w:rsidRPr="005242B1">
        <w:rPr>
          <w:rFonts w:ascii="Times New Roman" w:eastAsia="Times New Roman" w:hAnsi="Times New Roman" w:cs="Times New Roman"/>
          <w:sz w:val="24"/>
          <w:szCs w:val="24"/>
        </w:rPr>
        <w:t xml:space="preserve">DGMQ staff will employ electronic technology to collect and process data in order to reduce respondent burden and aid in data processing and reporting efficiency. Particular emphasis will be placed on compliance with the Government Paperwork Elimination Act (GPEA), Public Law 105-277, title XVII.  </w:t>
      </w:r>
    </w:p>
    <w:p w:rsidR="00220942" w:rsidRPr="005242B1" w:rsidRDefault="00220942" w:rsidP="005242B1">
      <w:pPr>
        <w:spacing w:after="0" w:line="240" w:lineRule="auto"/>
        <w:rPr>
          <w:rFonts w:ascii="Times New Roman" w:eastAsia="Times New Roman" w:hAnsi="Times New Roman" w:cs="Times New Roman"/>
          <w:sz w:val="24"/>
          <w:szCs w:val="24"/>
        </w:rPr>
      </w:pPr>
    </w:p>
    <w:p w:rsidR="00220942" w:rsidRPr="003009B6" w:rsidRDefault="00220942" w:rsidP="005242B1">
      <w:pPr>
        <w:spacing w:after="0" w:line="240" w:lineRule="auto"/>
        <w:rPr>
          <w:rFonts w:ascii="Times New Roman" w:eastAsia="Times New Roman" w:hAnsi="Times New Roman" w:cs="Times New Roman"/>
          <w:sz w:val="24"/>
          <w:szCs w:val="24"/>
        </w:rPr>
      </w:pPr>
      <w:r w:rsidRPr="003009B6">
        <w:rPr>
          <w:rFonts w:ascii="Times New Roman" w:eastAsia="Times New Roman" w:hAnsi="Times New Roman" w:cs="Times New Roman"/>
          <w:sz w:val="24"/>
          <w:szCs w:val="24"/>
        </w:rPr>
        <w:t>Data collection will be conducted using the most current modes.</w:t>
      </w:r>
      <w:r w:rsidR="00D75EC6" w:rsidRPr="003009B6">
        <w:rPr>
          <w:rFonts w:ascii="Times New Roman" w:eastAsia="Times New Roman" w:hAnsi="Times New Roman" w:cs="Times New Roman"/>
          <w:sz w:val="24"/>
          <w:szCs w:val="24"/>
        </w:rPr>
        <w:t xml:space="preserve"> Data collection will involve IT methods</w:t>
      </w:r>
      <w:r w:rsidR="00055918" w:rsidRPr="003009B6">
        <w:rPr>
          <w:rFonts w:ascii="Times New Roman" w:eastAsia="Times New Roman" w:hAnsi="Times New Roman" w:cs="Times New Roman"/>
          <w:sz w:val="24"/>
          <w:szCs w:val="24"/>
        </w:rPr>
        <w:t>.</w:t>
      </w:r>
      <w:r w:rsidR="00D75EC6" w:rsidRPr="003009B6">
        <w:rPr>
          <w:rFonts w:ascii="Times New Roman" w:eastAsia="Times New Roman" w:hAnsi="Times New Roman" w:cs="Times New Roman"/>
          <w:sz w:val="24"/>
          <w:szCs w:val="24"/>
        </w:rPr>
        <w:t xml:space="preserve"> </w:t>
      </w:r>
      <w:r w:rsidRPr="003009B6">
        <w:rPr>
          <w:rFonts w:ascii="Times New Roman" w:eastAsia="Times New Roman" w:hAnsi="Times New Roman" w:cs="Times New Roman"/>
          <w:sz w:val="24"/>
          <w:szCs w:val="24"/>
        </w:rPr>
        <w:t>Computer-assisted methods including web-based surveys and questionnaire will be employed to reach the intended audience</w:t>
      </w:r>
      <w:r w:rsidR="00055918" w:rsidRPr="003009B6">
        <w:rPr>
          <w:rFonts w:ascii="Times New Roman" w:eastAsia="Times New Roman" w:hAnsi="Times New Roman" w:cs="Times New Roman"/>
          <w:sz w:val="24"/>
          <w:szCs w:val="24"/>
        </w:rPr>
        <w:t>. I</w:t>
      </w:r>
      <w:r w:rsidRPr="003009B6">
        <w:rPr>
          <w:rFonts w:ascii="Times New Roman" w:eastAsia="Times New Roman" w:hAnsi="Times New Roman" w:cs="Times New Roman"/>
          <w:sz w:val="24"/>
          <w:szCs w:val="24"/>
        </w:rPr>
        <w:t xml:space="preserve">n cases when respondents do not have access to electronic means of communication, a paper-based data collection will be implemented on a limited basis. </w:t>
      </w:r>
    </w:p>
    <w:p w:rsidR="00CA2D5F" w:rsidRPr="003009B6" w:rsidRDefault="00CA2D5F" w:rsidP="005242B1">
      <w:pPr>
        <w:spacing w:after="0" w:line="240" w:lineRule="auto"/>
        <w:rPr>
          <w:rFonts w:ascii="Times New Roman" w:eastAsia="Times New Roman" w:hAnsi="Times New Roman" w:cs="Times New Roman"/>
          <w:sz w:val="24"/>
          <w:szCs w:val="24"/>
        </w:rPr>
      </w:pPr>
    </w:p>
    <w:p w:rsidR="00CA2D5F" w:rsidRPr="003009B6" w:rsidRDefault="00CA2D5F" w:rsidP="005242B1">
      <w:pPr>
        <w:spacing w:after="0" w:line="240" w:lineRule="auto"/>
        <w:rPr>
          <w:rFonts w:ascii="Times New Roman" w:eastAsia="Times New Roman" w:hAnsi="Times New Roman" w:cs="Times New Roman"/>
          <w:sz w:val="24"/>
          <w:szCs w:val="24"/>
        </w:rPr>
      </w:pPr>
      <w:r w:rsidRPr="003009B6">
        <w:rPr>
          <w:rFonts w:ascii="Times New Roman" w:eastAsia="Times New Roman" w:hAnsi="Times New Roman" w:cs="Times New Roman"/>
          <w:sz w:val="24"/>
          <w:szCs w:val="24"/>
        </w:rPr>
        <w:t xml:space="preserve">In-depth interviews will be conducted in-person during FY 2013 </w:t>
      </w:r>
      <w:r w:rsidR="0015132B" w:rsidRPr="003009B6">
        <w:rPr>
          <w:rFonts w:ascii="Times New Roman" w:eastAsia="Times New Roman" w:hAnsi="Times New Roman" w:cs="Times New Roman"/>
          <w:sz w:val="24"/>
          <w:szCs w:val="24"/>
        </w:rPr>
        <w:t xml:space="preserve">Quality Assessment </w:t>
      </w:r>
      <w:r w:rsidRPr="003009B6">
        <w:rPr>
          <w:rFonts w:ascii="Times New Roman" w:eastAsia="Times New Roman" w:hAnsi="Times New Roman" w:cs="Times New Roman"/>
          <w:sz w:val="24"/>
          <w:szCs w:val="24"/>
        </w:rPr>
        <w:t>panel site visits.</w:t>
      </w:r>
    </w:p>
    <w:p w:rsidR="004B794D" w:rsidRPr="003009B6" w:rsidRDefault="004B794D" w:rsidP="005242B1">
      <w:pPr>
        <w:spacing w:after="0" w:line="240" w:lineRule="auto"/>
        <w:rPr>
          <w:rFonts w:ascii="Times New Roman" w:eastAsia="Times New Roman" w:hAnsi="Times New Roman" w:cs="Times New Roman"/>
          <w:sz w:val="24"/>
          <w:szCs w:val="24"/>
        </w:rPr>
      </w:pPr>
    </w:p>
    <w:p w:rsidR="0050126B" w:rsidRPr="005242B1" w:rsidRDefault="004B794D" w:rsidP="005242B1">
      <w:pPr>
        <w:spacing w:after="0" w:line="240" w:lineRule="auto"/>
        <w:rPr>
          <w:rFonts w:ascii="Times New Roman" w:eastAsia="Times New Roman" w:hAnsi="Times New Roman" w:cs="Times New Roman"/>
          <w:sz w:val="24"/>
          <w:szCs w:val="24"/>
        </w:rPr>
      </w:pPr>
      <w:r w:rsidRPr="003009B6">
        <w:rPr>
          <w:rFonts w:ascii="Times New Roman" w:eastAsia="Times New Roman" w:hAnsi="Times New Roman" w:cs="Times New Roman"/>
          <w:sz w:val="24"/>
          <w:szCs w:val="24"/>
        </w:rPr>
        <w:t>In all information collections, the number of questions posed will be held to the minimum required in order to elicit the necessary data.</w:t>
      </w:r>
      <w:r w:rsidRPr="005242B1">
        <w:rPr>
          <w:rFonts w:ascii="Times New Roman" w:eastAsia="Times New Roman" w:hAnsi="Times New Roman" w:cs="Times New Roman"/>
          <w:sz w:val="24"/>
          <w:szCs w:val="24"/>
        </w:rPr>
        <w:t xml:space="preserve">  </w:t>
      </w:r>
    </w:p>
    <w:p w:rsidR="0088113F" w:rsidRPr="005242B1" w:rsidRDefault="0088113F" w:rsidP="005242B1">
      <w:pPr>
        <w:pStyle w:val="Heading2"/>
        <w:tabs>
          <w:tab w:val="left" w:pos="0"/>
        </w:tabs>
        <w:spacing w:line="240" w:lineRule="auto"/>
      </w:pPr>
      <w:r w:rsidRPr="005242B1">
        <w:t xml:space="preserve">4. Efforts to Identify Duplication and Use of Similar Information </w:t>
      </w:r>
    </w:p>
    <w:p w:rsidR="004B794D" w:rsidRPr="005242B1" w:rsidRDefault="004B794D" w:rsidP="005242B1">
      <w:pPr>
        <w:spacing w:after="0" w:line="240" w:lineRule="auto"/>
        <w:rPr>
          <w:rFonts w:ascii="Times New Roman" w:eastAsia="Times New Roman" w:hAnsi="Times New Roman" w:cs="Times New Roman"/>
          <w:sz w:val="24"/>
          <w:szCs w:val="24"/>
        </w:rPr>
      </w:pPr>
      <w:r w:rsidRPr="005242B1">
        <w:rPr>
          <w:rFonts w:ascii="Times New Roman" w:eastAsia="Times New Roman" w:hAnsi="Times New Roman" w:cs="Times New Roman"/>
          <w:sz w:val="24"/>
          <w:szCs w:val="24"/>
        </w:rPr>
        <w:t xml:space="preserve">Because DGMQ’s public heath mission is supported by regulatory responsibilities, as outlined in </w:t>
      </w:r>
      <w:r w:rsidRPr="00CA2D5F">
        <w:rPr>
          <w:rFonts w:ascii="Times New Roman" w:eastAsia="Times New Roman" w:hAnsi="Times New Roman" w:cs="Times New Roman"/>
          <w:sz w:val="24"/>
          <w:szCs w:val="24"/>
        </w:rPr>
        <w:t>Section A1,</w:t>
      </w:r>
      <w:r w:rsidRPr="005242B1">
        <w:rPr>
          <w:rFonts w:ascii="Times New Roman" w:eastAsia="Times New Roman" w:hAnsi="Times New Roman" w:cs="Times New Roman"/>
          <w:sz w:val="24"/>
          <w:szCs w:val="24"/>
        </w:rPr>
        <w:t xml:space="preserve"> it is not expected that any of the information collected under this proposed generic clearance is duplicative or is already in the possession of the federal government. The proposed evaluation will allow DGMQ to significantly improve its ability to develop, refine and evaluate communication, education, and training activities. The results and final products from these activities may be used by multiple government and non-profit agencies.</w:t>
      </w:r>
    </w:p>
    <w:p w:rsidR="004B794D" w:rsidRPr="005242B1" w:rsidRDefault="004B794D" w:rsidP="005242B1">
      <w:pPr>
        <w:spacing w:after="0" w:line="240" w:lineRule="auto"/>
        <w:rPr>
          <w:rFonts w:ascii="Times New Roman" w:eastAsia="Times New Roman" w:hAnsi="Times New Roman" w:cs="Times New Roman"/>
          <w:sz w:val="24"/>
          <w:szCs w:val="24"/>
        </w:rPr>
      </w:pPr>
    </w:p>
    <w:p w:rsidR="00055918" w:rsidRPr="005242B1" w:rsidRDefault="00E777D0" w:rsidP="00E77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QR </w:t>
      </w:r>
      <w:r w:rsidR="00993E49" w:rsidRPr="00A27777">
        <w:rPr>
          <w:rFonts w:ascii="Times New Roman" w:hAnsi="Times New Roman" w:cs="Times New Roman"/>
          <w:sz w:val="24"/>
          <w:szCs w:val="24"/>
        </w:rPr>
        <w:t xml:space="preserve">codes are a new example of an innovative technological tool that quickly links audiences to vast amounts of information. QR codes were created in 1994 by a subsidiary of Toyota Group in Tokyo. The major difference between QR codes and barcodes is the amount of information that </w:t>
      </w:r>
      <w:r w:rsidR="00993E49" w:rsidRPr="00A27777">
        <w:rPr>
          <w:rFonts w:ascii="Times New Roman" w:hAnsi="Times New Roman" w:cs="Times New Roman"/>
          <w:sz w:val="24"/>
          <w:szCs w:val="24"/>
        </w:rPr>
        <w:lastRenderedPageBreak/>
        <w:t>can be stored. QR codes are able to store 100 times more information than barcodes</w:t>
      </w:r>
      <w:sdt>
        <w:sdtPr>
          <w:rPr>
            <w:rFonts w:ascii="Times New Roman" w:hAnsi="Times New Roman" w:cs="Times New Roman"/>
            <w:sz w:val="24"/>
            <w:szCs w:val="24"/>
          </w:rPr>
          <w:id w:val="811603529"/>
          <w:citation/>
        </w:sdtPr>
        <w:sdtEndPr/>
        <w:sdtContent>
          <w:r w:rsidR="00993E49" w:rsidRPr="00A27777">
            <w:rPr>
              <w:rFonts w:ascii="Times New Roman" w:hAnsi="Times New Roman" w:cs="Times New Roman"/>
              <w:sz w:val="24"/>
              <w:szCs w:val="24"/>
            </w:rPr>
            <w:fldChar w:fldCharType="begin"/>
          </w:r>
          <w:r w:rsidR="00993E49" w:rsidRPr="00A27777">
            <w:rPr>
              <w:rFonts w:ascii="Times New Roman" w:hAnsi="Times New Roman" w:cs="Times New Roman"/>
              <w:sz w:val="24"/>
              <w:szCs w:val="24"/>
            </w:rPr>
            <w:instrText xml:space="preserve"> CITATION Mar12 \l 1033 </w:instrText>
          </w:r>
          <w:r w:rsidR="00993E49" w:rsidRPr="00A27777">
            <w:rPr>
              <w:rFonts w:ascii="Times New Roman" w:hAnsi="Times New Roman" w:cs="Times New Roman"/>
              <w:sz w:val="24"/>
              <w:szCs w:val="24"/>
            </w:rPr>
            <w:fldChar w:fldCharType="separate"/>
          </w:r>
          <w:r w:rsidR="00993E49" w:rsidRPr="00A27777">
            <w:rPr>
              <w:rFonts w:ascii="Times New Roman" w:hAnsi="Times New Roman" w:cs="Times New Roman"/>
              <w:noProof/>
              <w:sz w:val="24"/>
              <w:szCs w:val="24"/>
            </w:rPr>
            <w:t xml:space="preserve"> (Millan, 2012)</w:t>
          </w:r>
          <w:r w:rsidR="00993E49" w:rsidRPr="00A27777">
            <w:rPr>
              <w:rFonts w:ascii="Times New Roman" w:hAnsi="Times New Roman" w:cs="Times New Roman"/>
              <w:sz w:val="24"/>
              <w:szCs w:val="24"/>
            </w:rPr>
            <w:fldChar w:fldCharType="end"/>
          </w:r>
        </w:sdtContent>
      </w:sdt>
      <w:r w:rsidR="00993E49" w:rsidRPr="00A27777">
        <w:rPr>
          <w:rFonts w:ascii="Times New Roman" w:hAnsi="Times New Roman" w:cs="Times New Roman"/>
          <w:sz w:val="24"/>
          <w:szCs w:val="24"/>
        </w:rPr>
        <w:t xml:space="preserve">. These data can be retrieved simply by scanning the QR codes with a smartphone or camera phone. Today, most mobile phones are equipped with scanners. For individuals who have mobile devices that are not already equipped with scanners, free scanner software can be downloaded on the Internet. While QR codes have emerged in the consumer industry as an advertising tool, they have yet to expand to other fields such as health, medicine, and education. </w:t>
      </w:r>
      <w:r w:rsidR="00C50389" w:rsidRPr="005242B1">
        <w:rPr>
          <w:rFonts w:ascii="Times New Roman" w:hAnsi="Times New Roman" w:cs="Times New Roman"/>
          <w:sz w:val="24"/>
          <w:szCs w:val="24"/>
        </w:rPr>
        <w:t xml:space="preserve">Health informatics and technology literature was reviewed using PubMed and Web of Science. </w:t>
      </w:r>
      <w:r w:rsidR="00FC0131" w:rsidRPr="005242B1">
        <w:rPr>
          <w:rFonts w:ascii="Times New Roman" w:hAnsi="Times New Roman" w:cs="Times New Roman"/>
          <w:sz w:val="24"/>
          <w:szCs w:val="24"/>
        </w:rPr>
        <w:t xml:space="preserve">Results indicate that there is </w:t>
      </w:r>
      <w:r w:rsidR="003619A6" w:rsidRPr="005242B1">
        <w:rPr>
          <w:rFonts w:ascii="Times New Roman" w:hAnsi="Times New Roman" w:cs="Times New Roman"/>
          <w:sz w:val="24"/>
          <w:szCs w:val="24"/>
        </w:rPr>
        <w:t>littl</w:t>
      </w:r>
      <w:r w:rsidR="00FC0131" w:rsidRPr="005242B1">
        <w:rPr>
          <w:rFonts w:ascii="Times New Roman" w:hAnsi="Times New Roman" w:cs="Times New Roman"/>
          <w:sz w:val="24"/>
          <w:szCs w:val="24"/>
        </w:rPr>
        <w:t>e</w:t>
      </w:r>
      <w:r w:rsidR="003619A6" w:rsidRPr="005242B1">
        <w:rPr>
          <w:rFonts w:ascii="Times New Roman" w:hAnsi="Times New Roman" w:cs="Times New Roman"/>
          <w:sz w:val="24"/>
          <w:szCs w:val="24"/>
        </w:rPr>
        <w:t>,</w:t>
      </w:r>
      <w:r w:rsidR="00FC0131" w:rsidRPr="005242B1">
        <w:rPr>
          <w:rFonts w:ascii="Times New Roman" w:hAnsi="Times New Roman" w:cs="Times New Roman"/>
          <w:sz w:val="24"/>
          <w:szCs w:val="24"/>
        </w:rPr>
        <w:t xml:space="preserve"> if any</w:t>
      </w:r>
      <w:r w:rsidR="003619A6" w:rsidRPr="005242B1">
        <w:rPr>
          <w:rFonts w:ascii="Times New Roman" w:hAnsi="Times New Roman" w:cs="Times New Roman"/>
          <w:sz w:val="24"/>
          <w:szCs w:val="24"/>
        </w:rPr>
        <w:t>,</w:t>
      </w:r>
      <w:r w:rsidR="00FC0131" w:rsidRPr="005242B1">
        <w:rPr>
          <w:rFonts w:ascii="Times New Roman" w:hAnsi="Times New Roman" w:cs="Times New Roman"/>
          <w:sz w:val="24"/>
          <w:szCs w:val="24"/>
        </w:rPr>
        <w:t xml:space="preserve"> research concerning t</w:t>
      </w:r>
      <w:r w:rsidR="003619A6" w:rsidRPr="005242B1">
        <w:rPr>
          <w:rFonts w:ascii="Times New Roman" w:hAnsi="Times New Roman" w:cs="Times New Roman"/>
          <w:sz w:val="24"/>
          <w:szCs w:val="24"/>
        </w:rPr>
        <w:t>he use of QR codes in the public health field</w:t>
      </w:r>
      <w:r w:rsidR="00592A6A">
        <w:rPr>
          <w:rFonts w:ascii="Times New Roman" w:hAnsi="Times New Roman" w:cs="Times New Roman"/>
          <w:sz w:val="24"/>
          <w:szCs w:val="24"/>
        </w:rPr>
        <w:t xml:space="preserve"> (1).</w:t>
      </w:r>
      <w:r w:rsidR="00993E49" w:rsidRPr="00993E49">
        <w:rPr>
          <w:rFonts w:ascii="Times New Roman" w:hAnsi="Times New Roman" w:cs="Times New Roman"/>
          <w:sz w:val="24"/>
          <w:szCs w:val="24"/>
        </w:rPr>
        <w:t xml:space="preserve"> </w:t>
      </w:r>
    </w:p>
    <w:p w:rsidR="0088113F" w:rsidRPr="005242B1" w:rsidRDefault="0088113F" w:rsidP="005242B1">
      <w:pPr>
        <w:pStyle w:val="Heading2"/>
        <w:tabs>
          <w:tab w:val="left" w:pos="0"/>
        </w:tabs>
        <w:spacing w:line="240" w:lineRule="auto"/>
        <w:rPr>
          <w:bCs/>
        </w:rPr>
      </w:pPr>
      <w:r w:rsidRPr="005242B1">
        <w:t>5. Impact on Small Businesses or Other Small Entities</w:t>
      </w:r>
      <w:r w:rsidRPr="005242B1">
        <w:rPr>
          <w:bCs/>
        </w:rPr>
        <w:t xml:space="preserve"> </w:t>
      </w:r>
    </w:p>
    <w:p w:rsidR="00993E49" w:rsidRPr="005242B1" w:rsidRDefault="008E4D37" w:rsidP="005242B1">
      <w:pPr>
        <w:tabs>
          <w:tab w:val="left" w:pos="0"/>
        </w:tabs>
        <w:spacing w:line="240" w:lineRule="auto"/>
        <w:rPr>
          <w:rFonts w:ascii="Times New Roman" w:hAnsi="Times New Roman" w:cs="Times New Roman"/>
          <w:iCs/>
          <w:sz w:val="24"/>
          <w:szCs w:val="24"/>
        </w:rPr>
      </w:pPr>
      <w:r w:rsidRPr="005242B1">
        <w:rPr>
          <w:rFonts w:ascii="Times New Roman" w:hAnsi="Times New Roman" w:cs="Times New Roman"/>
          <w:iCs/>
          <w:sz w:val="24"/>
          <w:szCs w:val="24"/>
        </w:rPr>
        <w:t>No small businesses will be involved in this data collection</w:t>
      </w:r>
      <w:r w:rsidR="004F47AB" w:rsidRPr="005242B1">
        <w:rPr>
          <w:rFonts w:ascii="Times New Roman" w:hAnsi="Times New Roman" w:cs="Times New Roman"/>
          <w:iCs/>
          <w:sz w:val="24"/>
          <w:szCs w:val="24"/>
        </w:rPr>
        <w:t>.</w:t>
      </w:r>
    </w:p>
    <w:p w:rsidR="0088113F" w:rsidRPr="005242B1" w:rsidRDefault="0088113F" w:rsidP="005242B1">
      <w:pPr>
        <w:pStyle w:val="Heading2"/>
        <w:spacing w:line="240" w:lineRule="auto"/>
      </w:pPr>
      <w:r w:rsidRPr="005242B1">
        <w:t>6</w:t>
      </w:r>
      <w:r w:rsidR="00E97098">
        <w:t>.</w:t>
      </w:r>
      <w:r w:rsidRPr="005242B1">
        <w:t xml:space="preserve"> Consequences of Collecting the Information Less Frequently </w:t>
      </w:r>
    </w:p>
    <w:p w:rsidR="00FC0131" w:rsidRPr="005242B1" w:rsidRDefault="00FC0131" w:rsidP="005242B1">
      <w:pPr>
        <w:spacing w:after="0" w:line="240" w:lineRule="auto"/>
        <w:rPr>
          <w:rFonts w:ascii="Times New Roman" w:eastAsia="Times New Roman" w:hAnsi="Times New Roman" w:cs="Times New Roman"/>
          <w:sz w:val="24"/>
          <w:szCs w:val="24"/>
        </w:rPr>
      </w:pPr>
      <w:r w:rsidRPr="005242B1">
        <w:rPr>
          <w:rFonts w:ascii="Times New Roman" w:eastAsia="Times New Roman" w:hAnsi="Times New Roman" w:cs="Times New Roman"/>
          <w:sz w:val="24"/>
          <w:szCs w:val="24"/>
        </w:rPr>
        <w:t xml:space="preserve">If this information is not collected, DGMQ’s ability to effectively communicate messages to medical professionals responsible for treating mobile populations who may be at increased public health risk will be compromised. </w:t>
      </w:r>
      <w:proofErr w:type="gramStart"/>
      <w:r w:rsidRPr="005242B1">
        <w:rPr>
          <w:rFonts w:ascii="Times New Roman" w:eastAsia="Times New Roman" w:hAnsi="Times New Roman" w:cs="Times New Roman"/>
          <w:sz w:val="24"/>
          <w:szCs w:val="24"/>
        </w:rPr>
        <w:t>According to the CDC’s Introduction to Program Evaluation for Public Health Programs: A Self-Study Guide (</w:t>
      </w:r>
      <w:r w:rsidR="00592A6A">
        <w:rPr>
          <w:rFonts w:ascii="Times New Roman" w:eastAsia="Times New Roman" w:hAnsi="Times New Roman" w:cs="Times New Roman"/>
          <w:sz w:val="24"/>
          <w:szCs w:val="24"/>
        </w:rPr>
        <w:t>2</w:t>
      </w:r>
      <w:r w:rsidRPr="005242B1">
        <w:rPr>
          <w:rFonts w:ascii="Times New Roman" w:eastAsia="Times New Roman" w:hAnsi="Times New Roman" w:cs="Times New Roman"/>
          <w:sz w:val="24"/>
          <w:szCs w:val="24"/>
        </w:rPr>
        <w:t>), evaluation is critical for engaging in scientifically sound communication, training, and educational efforts.</w:t>
      </w:r>
      <w:proofErr w:type="gramEnd"/>
      <w:r w:rsidRPr="005242B1">
        <w:rPr>
          <w:rFonts w:ascii="Times New Roman" w:eastAsia="Times New Roman" w:hAnsi="Times New Roman" w:cs="Times New Roman"/>
          <w:sz w:val="24"/>
          <w:szCs w:val="24"/>
        </w:rPr>
        <w:t xml:space="preserve"> Communications evaluation, often encompassing concept, message, and materials testing activities, is essential in pre-testing materials</w:t>
      </w:r>
      <w:r w:rsidR="003619A6" w:rsidRPr="005242B1">
        <w:rPr>
          <w:rFonts w:ascii="Times New Roman" w:eastAsia="Times New Roman" w:hAnsi="Times New Roman" w:cs="Times New Roman"/>
          <w:sz w:val="24"/>
          <w:szCs w:val="24"/>
        </w:rPr>
        <w:t xml:space="preserve"> and tools</w:t>
      </w:r>
      <w:r w:rsidRPr="005242B1">
        <w:rPr>
          <w:rFonts w:ascii="Times New Roman" w:eastAsia="Times New Roman" w:hAnsi="Times New Roman" w:cs="Times New Roman"/>
          <w:sz w:val="24"/>
          <w:szCs w:val="24"/>
        </w:rPr>
        <w:t xml:space="preserve"> to evaluate a wide variety of dimensions that include, but are not limited to, appeal, saliency, clarity, cultural appropriateness, and readability/understandability. If a concept and/or a message </w:t>
      </w:r>
      <w:proofErr w:type="gramStart"/>
      <w:r w:rsidRPr="005242B1">
        <w:rPr>
          <w:rFonts w:ascii="Times New Roman" w:eastAsia="Times New Roman" w:hAnsi="Times New Roman" w:cs="Times New Roman"/>
          <w:sz w:val="24"/>
          <w:szCs w:val="24"/>
        </w:rPr>
        <w:t>is</w:t>
      </w:r>
      <w:proofErr w:type="gramEnd"/>
      <w:r w:rsidRPr="005242B1">
        <w:rPr>
          <w:rFonts w:ascii="Times New Roman" w:eastAsia="Times New Roman" w:hAnsi="Times New Roman" w:cs="Times New Roman"/>
          <w:sz w:val="24"/>
          <w:szCs w:val="24"/>
        </w:rPr>
        <w:t xml:space="preserve"> not tested, then resources could be expended without evidence that the activity is appropriate or effective</w:t>
      </w:r>
      <w:r w:rsidR="003619A6" w:rsidRPr="005242B1">
        <w:rPr>
          <w:rFonts w:ascii="Times New Roman" w:eastAsia="Times New Roman" w:hAnsi="Times New Roman" w:cs="Times New Roman"/>
          <w:sz w:val="24"/>
          <w:szCs w:val="24"/>
        </w:rPr>
        <w:t>.</w:t>
      </w:r>
    </w:p>
    <w:p w:rsidR="00FC0131" w:rsidRPr="005242B1" w:rsidRDefault="00FC0131" w:rsidP="005242B1">
      <w:pPr>
        <w:spacing w:after="0" w:line="240" w:lineRule="auto"/>
        <w:rPr>
          <w:rFonts w:ascii="Times New Roman" w:eastAsia="Times New Roman" w:hAnsi="Times New Roman" w:cs="Times New Roman"/>
          <w:sz w:val="24"/>
          <w:szCs w:val="24"/>
        </w:rPr>
      </w:pPr>
    </w:p>
    <w:p w:rsidR="00FC0131" w:rsidRPr="005242B1" w:rsidRDefault="00FC0131" w:rsidP="005242B1">
      <w:pPr>
        <w:spacing w:after="0" w:line="240" w:lineRule="auto"/>
        <w:rPr>
          <w:rFonts w:ascii="Times New Roman" w:eastAsia="Times New Roman" w:hAnsi="Times New Roman" w:cs="Times New Roman"/>
          <w:sz w:val="24"/>
          <w:szCs w:val="24"/>
        </w:rPr>
      </w:pPr>
      <w:r w:rsidRPr="005242B1">
        <w:rPr>
          <w:rFonts w:ascii="Times New Roman" w:eastAsia="Times New Roman" w:hAnsi="Times New Roman" w:cs="Times New Roman"/>
          <w:sz w:val="24"/>
          <w:szCs w:val="24"/>
        </w:rPr>
        <w:t xml:space="preserve">Evaluation is equally important because it provides accountability to stakeholders for DGMQ’s activities by demonstrating the effectiveness and the impact of the communication, training, and educational activities. Evaluation can also help to improve the effectiveness and efficiency of existing programs, and support the most effective distribution of resources. For example, </w:t>
      </w:r>
      <w:r w:rsidR="00577975" w:rsidRPr="005242B1">
        <w:rPr>
          <w:rFonts w:ascii="Times New Roman" w:eastAsia="Times New Roman" w:hAnsi="Times New Roman" w:cs="Times New Roman"/>
          <w:sz w:val="24"/>
          <w:szCs w:val="24"/>
        </w:rPr>
        <w:t xml:space="preserve">the evaluation of QR code utility can potentially impact CDC’s global immunization initiatives by </w:t>
      </w:r>
      <w:r w:rsidR="00122D4D">
        <w:rPr>
          <w:rFonts w:ascii="Times New Roman" w:eastAsia="Times New Roman" w:hAnsi="Times New Roman" w:cs="Times New Roman"/>
          <w:sz w:val="24"/>
          <w:szCs w:val="24"/>
        </w:rPr>
        <w:t xml:space="preserve">helping to strengthen </w:t>
      </w:r>
      <w:r w:rsidR="00577975" w:rsidRPr="005242B1">
        <w:rPr>
          <w:rFonts w:ascii="Times New Roman" w:eastAsia="Times New Roman" w:hAnsi="Times New Roman" w:cs="Times New Roman"/>
          <w:sz w:val="24"/>
          <w:szCs w:val="24"/>
        </w:rPr>
        <w:t xml:space="preserve">global immunization rates in vulnerable and mobile populations. QR codes </w:t>
      </w:r>
      <w:r w:rsidR="00122D4D">
        <w:rPr>
          <w:rFonts w:ascii="Times New Roman" w:eastAsia="Times New Roman" w:hAnsi="Times New Roman" w:cs="Times New Roman"/>
          <w:sz w:val="24"/>
          <w:szCs w:val="24"/>
        </w:rPr>
        <w:t xml:space="preserve">can </w:t>
      </w:r>
      <w:r w:rsidR="003619A6" w:rsidRPr="005242B1">
        <w:rPr>
          <w:rFonts w:ascii="Times New Roman" w:eastAsia="Times New Roman" w:hAnsi="Times New Roman" w:cs="Times New Roman"/>
          <w:sz w:val="24"/>
          <w:szCs w:val="24"/>
        </w:rPr>
        <w:t xml:space="preserve">provide quick access to </w:t>
      </w:r>
      <w:r w:rsidR="00577975" w:rsidRPr="005242B1">
        <w:rPr>
          <w:rFonts w:ascii="Times New Roman" w:eastAsia="Times New Roman" w:hAnsi="Times New Roman" w:cs="Times New Roman"/>
          <w:sz w:val="24"/>
          <w:szCs w:val="24"/>
        </w:rPr>
        <w:t>important, current immunization information</w:t>
      </w:r>
      <w:r w:rsidR="00122D4D">
        <w:rPr>
          <w:rFonts w:ascii="Times New Roman" w:eastAsia="Times New Roman" w:hAnsi="Times New Roman" w:cs="Times New Roman"/>
          <w:sz w:val="24"/>
          <w:szCs w:val="24"/>
        </w:rPr>
        <w:t xml:space="preserve"> for panel physicians</w:t>
      </w:r>
      <w:r w:rsidR="00577975" w:rsidRPr="005242B1">
        <w:rPr>
          <w:rFonts w:ascii="Times New Roman" w:eastAsia="Times New Roman" w:hAnsi="Times New Roman" w:cs="Times New Roman"/>
          <w:sz w:val="24"/>
          <w:szCs w:val="24"/>
        </w:rPr>
        <w:t xml:space="preserve"> while conducting medical examinations. CDC programs can use QR codes to </w:t>
      </w:r>
      <w:r w:rsidR="003619A6" w:rsidRPr="005242B1">
        <w:rPr>
          <w:rFonts w:ascii="Times New Roman" w:eastAsia="Times New Roman" w:hAnsi="Times New Roman" w:cs="Times New Roman"/>
          <w:sz w:val="24"/>
          <w:szCs w:val="24"/>
        </w:rPr>
        <w:t xml:space="preserve">link medical </w:t>
      </w:r>
      <w:r w:rsidR="00122D4D">
        <w:rPr>
          <w:rFonts w:ascii="Times New Roman" w:eastAsia="Times New Roman" w:hAnsi="Times New Roman" w:cs="Times New Roman"/>
          <w:sz w:val="24"/>
          <w:szCs w:val="24"/>
        </w:rPr>
        <w:t>professionals and the general</w:t>
      </w:r>
      <w:r w:rsidR="003619A6" w:rsidRPr="005242B1">
        <w:rPr>
          <w:rFonts w:ascii="Times New Roman" w:eastAsia="Times New Roman" w:hAnsi="Times New Roman" w:cs="Times New Roman"/>
          <w:sz w:val="24"/>
          <w:szCs w:val="24"/>
        </w:rPr>
        <w:t xml:space="preserve"> public</w:t>
      </w:r>
      <w:r w:rsidR="00122D4D">
        <w:rPr>
          <w:rFonts w:ascii="Times New Roman" w:eastAsia="Times New Roman" w:hAnsi="Times New Roman" w:cs="Times New Roman"/>
          <w:sz w:val="24"/>
          <w:szCs w:val="24"/>
        </w:rPr>
        <w:t xml:space="preserve"> to pertinent</w:t>
      </w:r>
      <w:r w:rsidR="003619A6" w:rsidRPr="005242B1">
        <w:rPr>
          <w:rFonts w:ascii="Times New Roman" w:eastAsia="Times New Roman" w:hAnsi="Times New Roman" w:cs="Times New Roman"/>
          <w:sz w:val="24"/>
          <w:szCs w:val="24"/>
        </w:rPr>
        <w:t xml:space="preserve"> </w:t>
      </w:r>
      <w:r w:rsidR="00577975" w:rsidRPr="005242B1">
        <w:rPr>
          <w:rFonts w:ascii="Times New Roman" w:eastAsia="Times New Roman" w:hAnsi="Times New Roman" w:cs="Times New Roman"/>
          <w:sz w:val="24"/>
          <w:szCs w:val="24"/>
        </w:rPr>
        <w:t>health information</w:t>
      </w:r>
      <w:r w:rsidR="003619A6" w:rsidRPr="005242B1">
        <w:rPr>
          <w:rFonts w:ascii="Times New Roman" w:eastAsia="Times New Roman" w:hAnsi="Times New Roman" w:cs="Times New Roman"/>
          <w:sz w:val="24"/>
          <w:szCs w:val="24"/>
        </w:rPr>
        <w:t>.</w:t>
      </w:r>
      <w:r w:rsidR="00577975" w:rsidRPr="005242B1">
        <w:rPr>
          <w:rFonts w:ascii="Times New Roman" w:eastAsia="Times New Roman" w:hAnsi="Times New Roman" w:cs="Times New Roman"/>
          <w:sz w:val="24"/>
          <w:szCs w:val="24"/>
        </w:rPr>
        <w:t xml:space="preserve"> </w:t>
      </w:r>
    </w:p>
    <w:p w:rsidR="00FC0131" w:rsidRPr="005242B1" w:rsidRDefault="00FC0131" w:rsidP="005242B1">
      <w:pPr>
        <w:spacing w:after="0" w:line="240" w:lineRule="auto"/>
        <w:rPr>
          <w:rFonts w:ascii="Times New Roman" w:eastAsia="Times New Roman" w:hAnsi="Times New Roman" w:cs="Times New Roman"/>
          <w:sz w:val="24"/>
          <w:szCs w:val="24"/>
        </w:rPr>
      </w:pPr>
    </w:p>
    <w:p w:rsidR="004D48F5" w:rsidRPr="005242B1" w:rsidRDefault="004D48F5" w:rsidP="005242B1">
      <w:pPr>
        <w:pStyle w:val="ListParagraph"/>
        <w:spacing w:after="0" w:line="240" w:lineRule="auto"/>
        <w:ind w:left="0"/>
        <w:rPr>
          <w:rFonts w:ascii="Times New Roman" w:hAnsi="Times New Roman" w:cs="Times New Roman"/>
          <w:sz w:val="24"/>
          <w:szCs w:val="24"/>
        </w:rPr>
      </w:pPr>
      <w:r w:rsidRPr="005242B1">
        <w:rPr>
          <w:rFonts w:ascii="Times New Roman" w:hAnsi="Times New Roman" w:cs="Times New Roman"/>
          <w:sz w:val="24"/>
          <w:szCs w:val="24"/>
        </w:rPr>
        <w:t>This request is for a one time data collection.  There are no legal obstacles to reduce the burden.</w:t>
      </w:r>
    </w:p>
    <w:p w:rsidR="004D48F5" w:rsidRPr="005242B1" w:rsidRDefault="0088113F" w:rsidP="005242B1">
      <w:pPr>
        <w:pStyle w:val="Heading2"/>
        <w:spacing w:line="240" w:lineRule="auto"/>
      </w:pPr>
      <w:r w:rsidRPr="005242B1">
        <w:t>7</w:t>
      </w:r>
      <w:r w:rsidR="00E97098">
        <w:t>.</w:t>
      </w:r>
      <w:r w:rsidRPr="005242B1">
        <w:t xml:space="preserve"> Special Circumstances Relating to the Guidelines of 5 CFR 1320.5</w:t>
      </w:r>
    </w:p>
    <w:p w:rsidR="007A5152" w:rsidRPr="005242B1" w:rsidRDefault="003F1D2E" w:rsidP="005242B1">
      <w:pPr>
        <w:tabs>
          <w:tab w:val="left" w:pos="-1440"/>
        </w:tabs>
        <w:spacing w:line="240" w:lineRule="auto"/>
        <w:rPr>
          <w:rFonts w:ascii="Times New Roman" w:hAnsi="Times New Roman" w:cs="Times New Roman"/>
          <w:b/>
          <w:bCs/>
          <w:sz w:val="24"/>
          <w:szCs w:val="24"/>
        </w:rPr>
      </w:pPr>
      <w:r w:rsidRPr="005242B1">
        <w:rPr>
          <w:rFonts w:ascii="Times New Roman" w:hAnsi="Times New Roman" w:cs="Times New Roman"/>
          <w:sz w:val="24"/>
          <w:szCs w:val="24"/>
        </w:rPr>
        <w:t>This request fully complies with the regulation 5 CFR 1320.5.</w:t>
      </w:r>
      <w:r w:rsidRPr="005242B1">
        <w:rPr>
          <w:rStyle w:val="Strong"/>
          <w:rFonts w:ascii="Times New Roman" w:hAnsi="Times New Roman" w:cs="Times New Roman"/>
          <w:sz w:val="24"/>
          <w:szCs w:val="24"/>
        </w:rPr>
        <w:t xml:space="preserve"> </w:t>
      </w:r>
    </w:p>
    <w:p w:rsidR="003F1D2E" w:rsidRPr="005242B1" w:rsidRDefault="0088113F" w:rsidP="005242B1">
      <w:pPr>
        <w:pStyle w:val="Heading2"/>
        <w:spacing w:line="240" w:lineRule="auto"/>
        <w:rPr>
          <w:b w:val="0"/>
        </w:rPr>
      </w:pPr>
      <w:r w:rsidRPr="005242B1">
        <w:lastRenderedPageBreak/>
        <w:t>8</w:t>
      </w:r>
      <w:r w:rsidR="00E97098">
        <w:t>.</w:t>
      </w:r>
      <w:r w:rsidRPr="005242B1">
        <w:t xml:space="preserve"> Comments in Response to the Federal Register Notice and Efforts to Consult Outside the Agency</w:t>
      </w:r>
    </w:p>
    <w:p w:rsidR="004D48F5" w:rsidRPr="005242B1" w:rsidRDefault="004D48F5" w:rsidP="005242B1">
      <w:pPr>
        <w:pStyle w:val="ListParagraph"/>
        <w:numPr>
          <w:ilvl w:val="0"/>
          <w:numId w:val="34"/>
        </w:numPr>
        <w:spacing w:after="0" w:line="240" w:lineRule="auto"/>
        <w:ind w:hanging="720"/>
        <w:rPr>
          <w:rFonts w:ascii="Times New Roman" w:hAnsi="Times New Roman" w:cs="Times New Roman"/>
          <w:sz w:val="24"/>
          <w:szCs w:val="24"/>
        </w:rPr>
      </w:pPr>
      <w:r w:rsidRPr="005242B1">
        <w:rPr>
          <w:rFonts w:ascii="Times New Roman" w:hAnsi="Times New Roman" w:cs="Times New Roman"/>
          <w:sz w:val="24"/>
          <w:szCs w:val="24"/>
        </w:rPr>
        <w:t>This data collection is being conducted using the Generic Informat</w:t>
      </w:r>
      <w:r w:rsidR="00AE28D7" w:rsidRPr="005242B1">
        <w:rPr>
          <w:rFonts w:ascii="Times New Roman" w:hAnsi="Times New Roman" w:cs="Times New Roman"/>
          <w:sz w:val="24"/>
          <w:szCs w:val="24"/>
        </w:rPr>
        <w:t>ion Collection mechanism of The Data Collection for Evaluation of Education, Communication, and Training (ECT) Activities for DGMQ</w:t>
      </w:r>
      <w:r w:rsidRPr="005242B1">
        <w:rPr>
          <w:rFonts w:ascii="Times New Roman" w:hAnsi="Times New Roman" w:cs="Times New Roman"/>
          <w:sz w:val="24"/>
          <w:szCs w:val="24"/>
        </w:rPr>
        <w:t>– OMB No. 0920</w:t>
      </w:r>
      <w:r w:rsidR="00642D29" w:rsidRPr="005242B1">
        <w:rPr>
          <w:rFonts w:ascii="Times New Roman" w:hAnsi="Times New Roman" w:cs="Times New Roman"/>
          <w:sz w:val="24"/>
          <w:szCs w:val="24"/>
        </w:rPr>
        <w:t xml:space="preserve">-0932. </w:t>
      </w:r>
      <w:r w:rsidRPr="005242B1">
        <w:rPr>
          <w:rFonts w:ascii="Times New Roman" w:hAnsi="Times New Roman" w:cs="Times New Roman"/>
          <w:sz w:val="24"/>
          <w:szCs w:val="24"/>
        </w:rPr>
        <w:t xml:space="preserve">A 60-day Federal Register Notice was published in the Federal Register on </w:t>
      </w:r>
      <w:r w:rsidR="00AE28D7" w:rsidRPr="005242B1">
        <w:rPr>
          <w:rFonts w:ascii="Times New Roman" w:hAnsi="Times New Roman" w:cs="Times New Roman"/>
          <w:sz w:val="24"/>
          <w:szCs w:val="24"/>
        </w:rPr>
        <w:t>August 10</w:t>
      </w:r>
      <w:r w:rsidRPr="005242B1">
        <w:rPr>
          <w:rFonts w:ascii="Times New Roman" w:hAnsi="Times New Roman" w:cs="Times New Roman"/>
          <w:sz w:val="24"/>
          <w:szCs w:val="24"/>
        </w:rPr>
        <w:t>, 201</w:t>
      </w:r>
      <w:r w:rsidR="00AE28D7" w:rsidRPr="005242B1">
        <w:rPr>
          <w:rFonts w:ascii="Times New Roman" w:hAnsi="Times New Roman" w:cs="Times New Roman"/>
          <w:sz w:val="24"/>
          <w:szCs w:val="24"/>
        </w:rPr>
        <w:t>1</w:t>
      </w:r>
      <w:r w:rsidRPr="005242B1">
        <w:rPr>
          <w:rFonts w:ascii="Times New Roman" w:hAnsi="Times New Roman" w:cs="Times New Roman"/>
          <w:sz w:val="24"/>
          <w:szCs w:val="24"/>
        </w:rPr>
        <w:t>, Vol. 7</w:t>
      </w:r>
      <w:r w:rsidR="00AE28D7" w:rsidRPr="005242B1">
        <w:rPr>
          <w:rFonts w:ascii="Times New Roman" w:hAnsi="Times New Roman" w:cs="Times New Roman"/>
          <w:sz w:val="24"/>
          <w:szCs w:val="24"/>
        </w:rPr>
        <w:t>6</w:t>
      </w:r>
      <w:r w:rsidRPr="005242B1">
        <w:rPr>
          <w:rFonts w:ascii="Times New Roman" w:hAnsi="Times New Roman" w:cs="Times New Roman"/>
          <w:sz w:val="24"/>
          <w:szCs w:val="24"/>
        </w:rPr>
        <w:t xml:space="preserve">, No. </w:t>
      </w:r>
      <w:r w:rsidR="00AE28D7" w:rsidRPr="005242B1">
        <w:rPr>
          <w:rFonts w:ascii="Times New Roman" w:hAnsi="Times New Roman" w:cs="Times New Roman"/>
          <w:sz w:val="24"/>
          <w:szCs w:val="24"/>
        </w:rPr>
        <w:t>154</w:t>
      </w:r>
      <w:r w:rsidRPr="005242B1">
        <w:rPr>
          <w:rFonts w:ascii="Times New Roman" w:hAnsi="Times New Roman" w:cs="Times New Roman"/>
          <w:sz w:val="24"/>
          <w:szCs w:val="24"/>
        </w:rPr>
        <w:t xml:space="preserve">; pp. </w:t>
      </w:r>
      <w:r w:rsidR="00AE28D7" w:rsidRPr="005242B1">
        <w:rPr>
          <w:rFonts w:ascii="Times New Roman" w:hAnsi="Times New Roman" w:cs="Times New Roman"/>
          <w:sz w:val="24"/>
          <w:szCs w:val="24"/>
        </w:rPr>
        <w:t>49487-88</w:t>
      </w:r>
      <w:r w:rsidR="00563D24" w:rsidRPr="005242B1">
        <w:rPr>
          <w:rFonts w:ascii="Times New Roman" w:hAnsi="Times New Roman" w:cs="Times New Roman"/>
          <w:sz w:val="24"/>
          <w:szCs w:val="24"/>
        </w:rPr>
        <w:t>.   The 30-day FRN was published on December 7, 2011 (</w:t>
      </w:r>
      <w:proofErr w:type="gramStart"/>
      <w:r w:rsidR="00563D24" w:rsidRPr="005242B1">
        <w:rPr>
          <w:rFonts w:ascii="Times New Roman" w:hAnsi="Times New Roman" w:cs="Times New Roman"/>
          <w:sz w:val="24"/>
          <w:szCs w:val="24"/>
        </w:rPr>
        <w:t>76  FR</w:t>
      </w:r>
      <w:proofErr w:type="gramEnd"/>
      <w:r w:rsidR="00563D24" w:rsidRPr="005242B1">
        <w:rPr>
          <w:rFonts w:ascii="Times New Roman" w:hAnsi="Times New Roman" w:cs="Times New Roman"/>
          <w:sz w:val="24"/>
          <w:szCs w:val="24"/>
        </w:rPr>
        <w:t>  76415). One non-substantive</w:t>
      </w:r>
      <w:r w:rsidR="001A10A8" w:rsidRPr="005242B1">
        <w:rPr>
          <w:rFonts w:ascii="Times New Roman" w:hAnsi="Times New Roman" w:cs="Times New Roman"/>
          <w:sz w:val="24"/>
          <w:szCs w:val="24"/>
        </w:rPr>
        <w:t xml:space="preserve"> comment was received, and CDC’s standard response was sent to address the comment. </w:t>
      </w:r>
    </w:p>
    <w:p w:rsidR="004C39E2" w:rsidRPr="005242B1" w:rsidRDefault="004C39E2" w:rsidP="005242B1">
      <w:pPr>
        <w:pStyle w:val="ListParagraph"/>
        <w:spacing w:after="0" w:line="240" w:lineRule="auto"/>
        <w:ind w:left="0"/>
        <w:rPr>
          <w:rFonts w:ascii="Times New Roman" w:hAnsi="Times New Roman" w:cs="Times New Roman"/>
          <w:sz w:val="24"/>
          <w:szCs w:val="24"/>
        </w:rPr>
      </w:pPr>
    </w:p>
    <w:p w:rsidR="00577975" w:rsidRPr="005242B1" w:rsidRDefault="00577975" w:rsidP="005242B1">
      <w:pPr>
        <w:pStyle w:val="ListParagraph"/>
        <w:numPr>
          <w:ilvl w:val="0"/>
          <w:numId w:val="34"/>
        </w:numPr>
        <w:spacing w:line="240" w:lineRule="auto"/>
        <w:ind w:hanging="720"/>
        <w:outlineLvl w:val="0"/>
        <w:rPr>
          <w:rFonts w:ascii="Times New Roman" w:hAnsi="Times New Roman" w:cs="Times New Roman"/>
          <w:sz w:val="24"/>
          <w:szCs w:val="24"/>
        </w:rPr>
      </w:pPr>
      <w:r w:rsidRPr="005242B1">
        <w:rPr>
          <w:rFonts w:ascii="Times New Roman" w:hAnsi="Times New Roman" w:cs="Times New Roman"/>
          <w:sz w:val="24"/>
          <w:szCs w:val="24"/>
        </w:rPr>
        <w:t>Consultation</w:t>
      </w:r>
    </w:p>
    <w:p w:rsidR="00AE28D7" w:rsidRDefault="00122D4D" w:rsidP="005242B1">
      <w:pPr>
        <w:spacing w:line="240" w:lineRule="auto"/>
        <w:ind w:left="360"/>
        <w:rPr>
          <w:rFonts w:ascii="Times New Roman" w:hAnsi="Times New Roman" w:cs="Times New Roman"/>
          <w:sz w:val="24"/>
          <w:szCs w:val="24"/>
        </w:rPr>
      </w:pPr>
      <w:r>
        <w:rPr>
          <w:rFonts w:ascii="Times New Roman" w:hAnsi="Times New Roman" w:cs="Times New Roman"/>
          <w:sz w:val="24"/>
          <w:szCs w:val="24"/>
        </w:rPr>
        <w:t>C</w:t>
      </w:r>
      <w:r w:rsidR="0015132B">
        <w:rPr>
          <w:rFonts w:ascii="Times New Roman" w:hAnsi="Times New Roman" w:cs="Times New Roman"/>
          <w:sz w:val="24"/>
          <w:szCs w:val="24"/>
        </w:rPr>
        <w:t>DC personnel voted on 10 agency wide projects</w:t>
      </w:r>
      <w:r w:rsidR="003009B6">
        <w:rPr>
          <w:rFonts w:ascii="Times New Roman" w:hAnsi="Times New Roman" w:cs="Times New Roman"/>
          <w:sz w:val="24"/>
          <w:szCs w:val="24"/>
        </w:rPr>
        <w:t xml:space="preserve"> and our proposal was chosen to receive the funding</w:t>
      </w:r>
      <w:r w:rsidR="0015132B">
        <w:rPr>
          <w:rFonts w:ascii="Times New Roman" w:hAnsi="Times New Roman" w:cs="Times New Roman"/>
          <w:sz w:val="24"/>
          <w:szCs w:val="24"/>
        </w:rPr>
        <w:t>.</w:t>
      </w:r>
      <w:r w:rsidR="003009B6">
        <w:rPr>
          <w:rFonts w:ascii="Times New Roman" w:hAnsi="Times New Roman" w:cs="Times New Roman"/>
          <w:sz w:val="24"/>
          <w:szCs w:val="24"/>
        </w:rPr>
        <w:t xml:space="preserve"> </w:t>
      </w:r>
      <w:r w:rsidR="0015132B">
        <w:rPr>
          <w:rFonts w:ascii="Times New Roman" w:hAnsi="Times New Roman" w:cs="Times New Roman"/>
          <w:sz w:val="24"/>
          <w:szCs w:val="24"/>
        </w:rPr>
        <w:t xml:space="preserve"> In </w:t>
      </w:r>
      <w:r>
        <w:rPr>
          <w:rFonts w:ascii="Times New Roman" w:hAnsi="Times New Roman" w:cs="Times New Roman"/>
          <w:sz w:val="24"/>
          <w:szCs w:val="24"/>
        </w:rPr>
        <w:t xml:space="preserve">addition, the </w:t>
      </w:r>
      <w:r w:rsidR="00577975" w:rsidRPr="005242B1">
        <w:rPr>
          <w:rFonts w:ascii="Times New Roman" w:hAnsi="Times New Roman" w:cs="Times New Roman"/>
          <w:sz w:val="24"/>
          <w:szCs w:val="24"/>
        </w:rPr>
        <w:t>following experts have been consulted on the need for data collection with the audiences, and for the purposes, described in this clearance package:</w:t>
      </w:r>
    </w:p>
    <w:p w:rsidR="00122D4D" w:rsidRPr="005242B1" w:rsidRDefault="00122D4D" w:rsidP="005242B1">
      <w:pPr>
        <w:spacing w:line="240" w:lineRule="auto"/>
        <w:ind w:left="360"/>
        <w:rPr>
          <w:rFonts w:ascii="Times New Roman" w:hAnsi="Times New Roman" w:cs="Times New Roman"/>
          <w:sz w:val="24"/>
          <w:szCs w:val="24"/>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2299"/>
        <w:gridCol w:w="1988"/>
        <w:gridCol w:w="2890"/>
      </w:tblGrid>
      <w:tr w:rsidR="003F1079" w:rsidRPr="005242B1" w:rsidTr="00CA2D5F">
        <w:tc>
          <w:tcPr>
            <w:tcW w:w="2291" w:type="dxa"/>
            <w:tcBorders>
              <w:top w:val="single" w:sz="4" w:space="0" w:color="000000"/>
              <w:left w:val="single" w:sz="4" w:space="0" w:color="000000"/>
              <w:bottom w:val="single" w:sz="4" w:space="0" w:color="000000"/>
              <w:right w:val="single" w:sz="4" w:space="0" w:color="000000"/>
            </w:tcBorders>
            <w:hideMark/>
          </w:tcPr>
          <w:p w:rsidR="003F1079" w:rsidRPr="005242B1" w:rsidRDefault="003F1079" w:rsidP="005242B1">
            <w:pPr>
              <w:pStyle w:val="NoSpacing"/>
              <w:rPr>
                <w:rFonts w:ascii="Times New Roman" w:hAnsi="Times New Roman"/>
                <w:b/>
                <w:sz w:val="24"/>
                <w:szCs w:val="24"/>
              </w:rPr>
            </w:pPr>
            <w:r w:rsidRPr="005242B1">
              <w:rPr>
                <w:rFonts w:ascii="Times New Roman" w:hAnsi="Times New Roman"/>
                <w:b/>
                <w:sz w:val="24"/>
                <w:szCs w:val="24"/>
              </w:rPr>
              <w:t>Individuals</w:t>
            </w:r>
          </w:p>
        </w:tc>
        <w:tc>
          <w:tcPr>
            <w:tcW w:w="2299"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b/>
                <w:sz w:val="24"/>
                <w:szCs w:val="24"/>
              </w:rPr>
            </w:pPr>
            <w:r w:rsidRPr="005242B1">
              <w:rPr>
                <w:rFonts w:ascii="Times New Roman" w:hAnsi="Times New Roman"/>
                <w:b/>
                <w:sz w:val="24"/>
                <w:szCs w:val="24"/>
              </w:rPr>
              <w:t>Title</w:t>
            </w:r>
          </w:p>
        </w:tc>
        <w:tc>
          <w:tcPr>
            <w:tcW w:w="1988"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b/>
                <w:sz w:val="24"/>
                <w:szCs w:val="24"/>
              </w:rPr>
            </w:pPr>
            <w:r>
              <w:rPr>
                <w:rFonts w:ascii="Times New Roman" w:hAnsi="Times New Roman"/>
                <w:b/>
                <w:sz w:val="24"/>
                <w:szCs w:val="24"/>
              </w:rPr>
              <w:t>Role</w:t>
            </w:r>
          </w:p>
        </w:tc>
        <w:tc>
          <w:tcPr>
            <w:tcW w:w="2890" w:type="dxa"/>
            <w:tcBorders>
              <w:top w:val="single" w:sz="4" w:space="0" w:color="000000"/>
              <w:left w:val="single" w:sz="4" w:space="0" w:color="000000"/>
              <w:bottom w:val="single" w:sz="4" w:space="0" w:color="000000"/>
              <w:right w:val="single" w:sz="4" w:space="0" w:color="000000"/>
            </w:tcBorders>
            <w:hideMark/>
          </w:tcPr>
          <w:p w:rsidR="003F1079" w:rsidRPr="005242B1" w:rsidRDefault="003F1079" w:rsidP="005242B1">
            <w:pPr>
              <w:pStyle w:val="NoSpacing"/>
              <w:rPr>
                <w:rFonts w:ascii="Times New Roman" w:hAnsi="Times New Roman"/>
                <w:b/>
                <w:sz w:val="24"/>
                <w:szCs w:val="24"/>
              </w:rPr>
            </w:pPr>
            <w:r w:rsidRPr="005242B1">
              <w:rPr>
                <w:rFonts w:ascii="Times New Roman" w:hAnsi="Times New Roman"/>
                <w:b/>
                <w:sz w:val="24"/>
                <w:szCs w:val="24"/>
              </w:rPr>
              <w:t>Contact Information</w:t>
            </w:r>
          </w:p>
        </w:tc>
      </w:tr>
      <w:tr w:rsidR="003F1079" w:rsidRPr="005242B1" w:rsidTr="00CA2D5F">
        <w:tc>
          <w:tcPr>
            <w:tcW w:w="2291"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Pr>
                <w:rFonts w:ascii="Times New Roman" w:hAnsi="Times New Roman"/>
                <w:sz w:val="24"/>
                <w:szCs w:val="24"/>
              </w:rPr>
              <w:t>Dr. Angel Contreras</w:t>
            </w:r>
            <w:r w:rsidR="00CA2D5F">
              <w:rPr>
                <w:rFonts w:ascii="Times New Roman" w:hAnsi="Times New Roman"/>
                <w:sz w:val="24"/>
                <w:szCs w:val="24"/>
              </w:rPr>
              <w:t>, MD</w:t>
            </w:r>
          </w:p>
        </w:tc>
        <w:tc>
          <w:tcPr>
            <w:tcW w:w="2299"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Pr>
                <w:rFonts w:ascii="Times New Roman" w:hAnsi="Times New Roman"/>
                <w:sz w:val="24"/>
                <w:szCs w:val="24"/>
              </w:rPr>
              <w:t>International Panel Physician’s Association President</w:t>
            </w:r>
          </w:p>
        </w:tc>
        <w:tc>
          <w:tcPr>
            <w:tcW w:w="1988" w:type="dxa"/>
            <w:tcBorders>
              <w:top w:val="single" w:sz="4" w:space="0" w:color="000000"/>
              <w:left w:val="single" w:sz="4" w:space="0" w:color="000000"/>
              <w:bottom w:val="single" w:sz="4" w:space="0" w:color="000000"/>
              <w:right w:val="single" w:sz="4" w:space="0" w:color="000000"/>
            </w:tcBorders>
          </w:tcPr>
          <w:p w:rsidR="003F1079" w:rsidRPr="005242B1" w:rsidRDefault="003009B6" w:rsidP="005242B1">
            <w:pPr>
              <w:pStyle w:val="NoSpacing"/>
              <w:rPr>
                <w:rFonts w:ascii="Times New Roman" w:hAnsi="Times New Roman"/>
                <w:sz w:val="24"/>
                <w:szCs w:val="24"/>
              </w:rPr>
            </w:pPr>
            <w:r>
              <w:rPr>
                <w:rFonts w:ascii="Times New Roman" w:hAnsi="Times New Roman"/>
                <w:sz w:val="24"/>
                <w:szCs w:val="24"/>
              </w:rPr>
              <w:t>Consulted on the need for data collection, approved necessity of project</w:t>
            </w:r>
          </w:p>
        </w:tc>
        <w:tc>
          <w:tcPr>
            <w:tcW w:w="2890" w:type="dxa"/>
            <w:tcBorders>
              <w:top w:val="single" w:sz="4" w:space="0" w:color="000000"/>
              <w:left w:val="single" w:sz="4" w:space="0" w:color="000000"/>
              <w:bottom w:val="single" w:sz="4" w:space="0" w:color="000000"/>
              <w:right w:val="single" w:sz="4" w:space="0" w:color="000000"/>
            </w:tcBorders>
          </w:tcPr>
          <w:p w:rsidR="003F1079" w:rsidRPr="005242B1" w:rsidRDefault="00CA2D5F" w:rsidP="005242B1">
            <w:pPr>
              <w:pStyle w:val="NoSpacing"/>
              <w:rPr>
                <w:rFonts w:ascii="Times New Roman" w:hAnsi="Times New Roman"/>
                <w:sz w:val="24"/>
                <w:szCs w:val="24"/>
              </w:rPr>
            </w:pPr>
            <w:r>
              <w:rPr>
                <w:rFonts w:ascii="Times New Roman" w:hAnsi="Times New Roman"/>
                <w:sz w:val="24"/>
                <w:szCs w:val="24"/>
              </w:rPr>
              <w:t>abcontreras@codetel.net.do</w:t>
            </w:r>
          </w:p>
        </w:tc>
      </w:tr>
      <w:tr w:rsidR="003F1079" w:rsidRPr="005242B1" w:rsidTr="00CA2D5F">
        <w:tc>
          <w:tcPr>
            <w:tcW w:w="2291" w:type="dxa"/>
            <w:tcBorders>
              <w:top w:val="single" w:sz="4" w:space="0" w:color="000000"/>
              <w:left w:val="single" w:sz="4" w:space="0" w:color="000000"/>
              <w:bottom w:val="single" w:sz="4" w:space="0" w:color="000000"/>
              <w:right w:val="single" w:sz="4" w:space="0" w:color="000000"/>
            </w:tcBorders>
          </w:tcPr>
          <w:p w:rsidR="003F1079" w:rsidRDefault="00E777D0" w:rsidP="005242B1">
            <w:pPr>
              <w:pStyle w:val="NoSpacing"/>
              <w:rPr>
                <w:rFonts w:ascii="Times New Roman" w:hAnsi="Times New Roman"/>
                <w:sz w:val="24"/>
                <w:szCs w:val="24"/>
              </w:rPr>
            </w:pPr>
            <w:r>
              <w:rPr>
                <w:rFonts w:ascii="Times New Roman" w:hAnsi="Times New Roman"/>
                <w:sz w:val="24"/>
                <w:szCs w:val="24"/>
              </w:rPr>
              <w:t>Mike Dolce</w:t>
            </w:r>
          </w:p>
        </w:tc>
        <w:tc>
          <w:tcPr>
            <w:tcW w:w="2299"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Pr>
                <w:rFonts w:ascii="Times New Roman" w:hAnsi="Times New Roman"/>
                <w:sz w:val="24"/>
                <w:szCs w:val="24"/>
              </w:rPr>
              <w:t>Department of State</w:t>
            </w:r>
            <w:r w:rsidR="00E777D0">
              <w:rPr>
                <w:rFonts w:ascii="Times New Roman" w:hAnsi="Times New Roman"/>
                <w:sz w:val="24"/>
                <w:szCs w:val="24"/>
              </w:rPr>
              <w:t>, Visa Specialist</w:t>
            </w:r>
          </w:p>
        </w:tc>
        <w:tc>
          <w:tcPr>
            <w:tcW w:w="1988" w:type="dxa"/>
            <w:tcBorders>
              <w:top w:val="single" w:sz="4" w:space="0" w:color="000000"/>
              <w:left w:val="single" w:sz="4" w:space="0" w:color="000000"/>
              <w:bottom w:val="single" w:sz="4" w:space="0" w:color="000000"/>
              <w:right w:val="single" w:sz="4" w:space="0" w:color="000000"/>
            </w:tcBorders>
          </w:tcPr>
          <w:p w:rsidR="003F1079" w:rsidRPr="005242B1" w:rsidRDefault="00E777D0" w:rsidP="005242B1">
            <w:pPr>
              <w:pStyle w:val="NoSpacing"/>
              <w:rPr>
                <w:rFonts w:ascii="Times New Roman" w:hAnsi="Times New Roman"/>
                <w:sz w:val="24"/>
                <w:szCs w:val="24"/>
              </w:rPr>
            </w:pPr>
            <w:r>
              <w:rPr>
                <w:rFonts w:ascii="Times New Roman" w:hAnsi="Times New Roman"/>
                <w:sz w:val="24"/>
                <w:szCs w:val="24"/>
              </w:rPr>
              <w:t>Consulted on the purpose of the project</w:t>
            </w:r>
          </w:p>
        </w:tc>
        <w:tc>
          <w:tcPr>
            <w:tcW w:w="2890" w:type="dxa"/>
            <w:tcBorders>
              <w:top w:val="single" w:sz="4" w:space="0" w:color="000000"/>
              <w:left w:val="single" w:sz="4" w:space="0" w:color="000000"/>
              <w:bottom w:val="single" w:sz="4" w:space="0" w:color="000000"/>
              <w:right w:val="single" w:sz="4" w:space="0" w:color="000000"/>
            </w:tcBorders>
          </w:tcPr>
          <w:p w:rsidR="003F1079" w:rsidRPr="005242B1" w:rsidRDefault="00282881" w:rsidP="005242B1">
            <w:pPr>
              <w:pStyle w:val="NoSpacing"/>
              <w:rPr>
                <w:rFonts w:ascii="Times New Roman" w:hAnsi="Times New Roman"/>
                <w:sz w:val="24"/>
                <w:szCs w:val="24"/>
              </w:rPr>
            </w:pPr>
            <w:hyperlink r:id="rId13" w:history="1">
              <w:r w:rsidR="00E777D0" w:rsidRPr="00235AF6">
                <w:rPr>
                  <w:rStyle w:val="Hyperlink"/>
                  <w:rFonts w:ascii="Times New Roman" w:hAnsi="Times New Roman"/>
                  <w:sz w:val="24"/>
                  <w:szCs w:val="24"/>
                </w:rPr>
                <w:t>dolcemr@state.gov</w:t>
              </w:r>
            </w:hyperlink>
            <w:r w:rsidR="00E777D0">
              <w:rPr>
                <w:rFonts w:ascii="Times New Roman" w:hAnsi="Times New Roman"/>
                <w:sz w:val="24"/>
                <w:szCs w:val="24"/>
              </w:rPr>
              <w:t xml:space="preserve"> </w:t>
            </w:r>
          </w:p>
        </w:tc>
      </w:tr>
      <w:tr w:rsidR="003F1079" w:rsidRPr="005242B1" w:rsidTr="00CA2D5F">
        <w:tc>
          <w:tcPr>
            <w:tcW w:w="2291" w:type="dxa"/>
            <w:tcBorders>
              <w:top w:val="single" w:sz="4" w:space="0" w:color="000000"/>
              <w:left w:val="single" w:sz="4" w:space="0" w:color="000000"/>
              <w:bottom w:val="single" w:sz="4" w:space="0" w:color="000000"/>
              <w:right w:val="single" w:sz="4" w:space="0" w:color="000000"/>
            </w:tcBorders>
          </w:tcPr>
          <w:p w:rsidR="003F1079" w:rsidRPr="00122D4D" w:rsidRDefault="003F1079" w:rsidP="005242B1">
            <w:pPr>
              <w:pStyle w:val="NoSpacing"/>
              <w:rPr>
                <w:rFonts w:ascii="Times New Roman" w:hAnsi="Times New Roman"/>
                <w:sz w:val="24"/>
                <w:szCs w:val="24"/>
              </w:rPr>
            </w:pPr>
            <w:r w:rsidRPr="00122D4D">
              <w:rPr>
                <w:rFonts w:ascii="Times New Roman" w:hAnsi="Times New Roman"/>
                <w:sz w:val="24"/>
                <w:szCs w:val="24"/>
              </w:rPr>
              <w:t>Gaby Benenson, MPH</w:t>
            </w:r>
          </w:p>
        </w:tc>
        <w:tc>
          <w:tcPr>
            <w:tcW w:w="2299"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Senior Health Education Specialist</w:t>
            </w:r>
          </w:p>
        </w:tc>
        <w:tc>
          <w:tcPr>
            <w:tcW w:w="1988" w:type="dxa"/>
            <w:tcBorders>
              <w:top w:val="single" w:sz="4" w:space="0" w:color="000000"/>
              <w:left w:val="single" w:sz="4" w:space="0" w:color="000000"/>
              <w:bottom w:val="single" w:sz="4" w:space="0" w:color="000000"/>
              <w:right w:val="single" w:sz="4" w:space="0" w:color="000000"/>
            </w:tcBorders>
          </w:tcPr>
          <w:p w:rsidR="003F1079" w:rsidRPr="005242B1" w:rsidRDefault="00CA2D5F" w:rsidP="005242B1">
            <w:pPr>
              <w:pStyle w:val="NoSpacing"/>
              <w:rPr>
                <w:rFonts w:ascii="Times New Roman" w:hAnsi="Times New Roman"/>
                <w:sz w:val="24"/>
                <w:szCs w:val="24"/>
              </w:rPr>
            </w:pPr>
            <w:r>
              <w:rPr>
                <w:rFonts w:ascii="Times New Roman" w:hAnsi="Times New Roman"/>
                <w:sz w:val="24"/>
                <w:szCs w:val="24"/>
              </w:rPr>
              <w:t xml:space="preserve">Provided feedback on entire OMB package </w:t>
            </w:r>
            <w:r w:rsidR="0015132B">
              <w:rPr>
                <w:rFonts w:ascii="Times New Roman" w:hAnsi="Times New Roman"/>
                <w:sz w:val="24"/>
                <w:szCs w:val="24"/>
              </w:rPr>
              <w:t>and data collection materials</w:t>
            </w:r>
          </w:p>
        </w:tc>
        <w:tc>
          <w:tcPr>
            <w:tcW w:w="2890" w:type="dxa"/>
            <w:tcBorders>
              <w:top w:val="single" w:sz="4" w:space="0" w:color="000000"/>
              <w:left w:val="single" w:sz="4" w:space="0" w:color="000000"/>
              <w:bottom w:val="single" w:sz="4" w:space="0" w:color="000000"/>
              <w:right w:val="single" w:sz="4" w:space="0" w:color="000000"/>
            </w:tcBorders>
            <w:hideMark/>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Gkb6@cdc.gov</w:t>
            </w:r>
          </w:p>
        </w:tc>
      </w:tr>
      <w:tr w:rsidR="003F1079" w:rsidRPr="005242B1" w:rsidTr="00CA2D5F">
        <w:tc>
          <w:tcPr>
            <w:tcW w:w="2291" w:type="dxa"/>
            <w:tcBorders>
              <w:top w:val="single" w:sz="4" w:space="0" w:color="000000"/>
              <w:left w:val="single" w:sz="4" w:space="0" w:color="000000"/>
              <w:bottom w:val="single" w:sz="4" w:space="0" w:color="000000"/>
              <w:right w:val="single" w:sz="4" w:space="0" w:color="000000"/>
            </w:tcBorders>
          </w:tcPr>
          <w:p w:rsidR="003F1079" w:rsidRPr="00122D4D" w:rsidRDefault="003F1079" w:rsidP="005242B1">
            <w:pPr>
              <w:pStyle w:val="NoSpacing"/>
              <w:rPr>
                <w:rFonts w:ascii="Times New Roman" w:hAnsi="Times New Roman"/>
                <w:sz w:val="24"/>
                <w:szCs w:val="24"/>
              </w:rPr>
            </w:pPr>
            <w:r w:rsidRPr="00122D4D">
              <w:rPr>
                <w:rFonts w:ascii="Times New Roman" w:hAnsi="Times New Roman"/>
                <w:sz w:val="24"/>
                <w:szCs w:val="24"/>
              </w:rPr>
              <w:t>Stefanie Erskine, MPH</w:t>
            </w:r>
          </w:p>
        </w:tc>
        <w:tc>
          <w:tcPr>
            <w:tcW w:w="2299"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Communication Specialist</w:t>
            </w:r>
          </w:p>
        </w:tc>
        <w:tc>
          <w:tcPr>
            <w:tcW w:w="1988" w:type="dxa"/>
            <w:tcBorders>
              <w:top w:val="single" w:sz="4" w:space="0" w:color="000000"/>
              <w:left w:val="single" w:sz="4" w:space="0" w:color="000000"/>
              <w:bottom w:val="single" w:sz="4" w:space="0" w:color="000000"/>
              <w:right w:val="single" w:sz="4" w:space="0" w:color="000000"/>
            </w:tcBorders>
          </w:tcPr>
          <w:p w:rsidR="003F1079" w:rsidRPr="005242B1" w:rsidRDefault="00CA2D5F" w:rsidP="005242B1">
            <w:pPr>
              <w:pStyle w:val="NoSpacing"/>
              <w:rPr>
                <w:rFonts w:ascii="Times New Roman" w:hAnsi="Times New Roman"/>
                <w:sz w:val="24"/>
                <w:szCs w:val="24"/>
              </w:rPr>
            </w:pPr>
            <w:r>
              <w:rPr>
                <w:rFonts w:ascii="Times New Roman" w:hAnsi="Times New Roman"/>
                <w:sz w:val="24"/>
                <w:szCs w:val="24"/>
              </w:rPr>
              <w:t>Reviewed data collection instruments and provided feedback on the structure of the questionnaires</w:t>
            </w:r>
          </w:p>
        </w:tc>
        <w:tc>
          <w:tcPr>
            <w:tcW w:w="2890"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Soa5@cdc.gov</w:t>
            </w:r>
          </w:p>
        </w:tc>
      </w:tr>
      <w:tr w:rsidR="003F1079" w:rsidRPr="005242B1" w:rsidTr="00CA2D5F">
        <w:tc>
          <w:tcPr>
            <w:tcW w:w="2291" w:type="dxa"/>
            <w:tcBorders>
              <w:top w:val="single" w:sz="4" w:space="0" w:color="000000"/>
              <w:left w:val="single" w:sz="4" w:space="0" w:color="000000"/>
              <w:bottom w:val="single" w:sz="4" w:space="0" w:color="000000"/>
              <w:right w:val="single" w:sz="4" w:space="0" w:color="000000"/>
            </w:tcBorders>
            <w:hideMark/>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Chris Hurst</w:t>
            </w:r>
            <w:r>
              <w:rPr>
                <w:rFonts w:ascii="Times New Roman" w:hAnsi="Times New Roman"/>
                <w:sz w:val="24"/>
                <w:szCs w:val="24"/>
              </w:rPr>
              <w:t>, MPH</w:t>
            </w:r>
          </w:p>
        </w:tc>
        <w:tc>
          <w:tcPr>
            <w:tcW w:w="2299" w:type="dxa"/>
            <w:tcBorders>
              <w:top w:val="single" w:sz="4" w:space="0" w:color="000000"/>
              <w:left w:val="single" w:sz="4" w:space="0" w:color="000000"/>
              <w:bottom w:val="single" w:sz="4" w:space="0" w:color="000000"/>
              <w:right w:val="single" w:sz="4" w:space="0" w:color="000000"/>
            </w:tcBorders>
          </w:tcPr>
          <w:p w:rsidR="003F1079" w:rsidRPr="005242B1" w:rsidRDefault="00CA2D5F" w:rsidP="005242B1">
            <w:pPr>
              <w:pStyle w:val="NoSpacing"/>
              <w:rPr>
                <w:rFonts w:ascii="Times New Roman" w:hAnsi="Times New Roman"/>
                <w:sz w:val="24"/>
                <w:szCs w:val="24"/>
              </w:rPr>
            </w:pPr>
            <w:r>
              <w:rPr>
                <w:rFonts w:ascii="Times New Roman" w:hAnsi="Times New Roman"/>
                <w:sz w:val="24"/>
                <w:szCs w:val="24"/>
              </w:rPr>
              <w:t xml:space="preserve">Policy </w:t>
            </w:r>
            <w:r w:rsidR="003F1079" w:rsidRPr="005242B1">
              <w:rPr>
                <w:rFonts w:ascii="Times New Roman" w:hAnsi="Times New Roman"/>
                <w:sz w:val="24"/>
                <w:szCs w:val="24"/>
              </w:rPr>
              <w:t>Contractor</w:t>
            </w:r>
          </w:p>
        </w:tc>
        <w:tc>
          <w:tcPr>
            <w:tcW w:w="1988" w:type="dxa"/>
            <w:tcBorders>
              <w:top w:val="single" w:sz="4" w:space="0" w:color="000000"/>
              <w:left w:val="single" w:sz="4" w:space="0" w:color="000000"/>
              <w:bottom w:val="single" w:sz="4" w:space="0" w:color="000000"/>
              <w:right w:val="single" w:sz="4" w:space="0" w:color="000000"/>
            </w:tcBorders>
          </w:tcPr>
          <w:p w:rsidR="003F1079" w:rsidRPr="005242B1" w:rsidRDefault="00CA2D5F" w:rsidP="005242B1">
            <w:pPr>
              <w:pStyle w:val="NoSpacing"/>
              <w:rPr>
                <w:rFonts w:ascii="Times New Roman" w:hAnsi="Times New Roman"/>
                <w:sz w:val="24"/>
                <w:szCs w:val="24"/>
              </w:rPr>
            </w:pPr>
            <w:r>
              <w:rPr>
                <w:rFonts w:ascii="Times New Roman" w:hAnsi="Times New Roman"/>
                <w:sz w:val="24"/>
                <w:szCs w:val="24"/>
              </w:rPr>
              <w:t>Reviewed OMB package</w:t>
            </w:r>
          </w:p>
        </w:tc>
        <w:tc>
          <w:tcPr>
            <w:tcW w:w="2890" w:type="dxa"/>
            <w:tcBorders>
              <w:top w:val="single" w:sz="4" w:space="0" w:color="000000"/>
              <w:left w:val="single" w:sz="4" w:space="0" w:color="000000"/>
              <w:bottom w:val="single" w:sz="4" w:space="0" w:color="000000"/>
              <w:right w:val="single" w:sz="4" w:space="0" w:color="000000"/>
            </w:tcBorders>
            <w:hideMark/>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Ije7@cdc.gov</w:t>
            </w:r>
          </w:p>
        </w:tc>
      </w:tr>
      <w:tr w:rsidR="003F1079" w:rsidRPr="005242B1" w:rsidTr="00CA2D5F">
        <w:tc>
          <w:tcPr>
            <w:tcW w:w="2291"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Clive Brown</w:t>
            </w:r>
            <w:r>
              <w:rPr>
                <w:rFonts w:ascii="Times New Roman" w:hAnsi="Times New Roman"/>
                <w:sz w:val="24"/>
                <w:szCs w:val="24"/>
              </w:rPr>
              <w:t>, MBBS</w:t>
            </w:r>
          </w:p>
        </w:tc>
        <w:tc>
          <w:tcPr>
            <w:tcW w:w="2299"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Medical Epidemiologist</w:t>
            </w:r>
          </w:p>
        </w:tc>
        <w:tc>
          <w:tcPr>
            <w:tcW w:w="1988" w:type="dxa"/>
            <w:tcBorders>
              <w:top w:val="single" w:sz="4" w:space="0" w:color="000000"/>
              <w:left w:val="single" w:sz="4" w:space="0" w:color="000000"/>
              <w:bottom w:val="single" w:sz="4" w:space="0" w:color="000000"/>
              <w:right w:val="single" w:sz="4" w:space="0" w:color="000000"/>
            </w:tcBorders>
          </w:tcPr>
          <w:p w:rsidR="003F1079" w:rsidRPr="005242B1" w:rsidRDefault="0015132B" w:rsidP="005242B1">
            <w:pPr>
              <w:pStyle w:val="NoSpacing"/>
              <w:rPr>
                <w:rFonts w:ascii="Times New Roman" w:hAnsi="Times New Roman"/>
                <w:sz w:val="24"/>
                <w:szCs w:val="24"/>
              </w:rPr>
            </w:pPr>
            <w:r>
              <w:rPr>
                <w:rFonts w:ascii="Times New Roman" w:hAnsi="Times New Roman"/>
                <w:sz w:val="24"/>
                <w:szCs w:val="24"/>
              </w:rPr>
              <w:t xml:space="preserve">Reviewed study design and data collection </w:t>
            </w:r>
            <w:r>
              <w:rPr>
                <w:rFonts w:ascii="Times New Roman" w:hAnsi="Times New Roman"/>
                <w:sz w:val="24"/>
                <w:szCs w:val="24"/>
              </w:rPr>
              <w:lastRenderedPageBreak/>
              <w:t>methods</w:t>
            </w:r>
          </w:p>
        </w:tc>
        <w:tc>
          <w:tcPr>
            <w:tcW w:w="2890"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lastRenderedPageBreak/>
              <w:t>Cmb8@cdc.gov</w:t>
            </w:r>
          </w:p>
        </w:tc>
      </w:tr>
      <w:tr w:rsidR="003F1079" w:rsidRPr="005242B1" w:rsidTr="00CA2D5F">
        <w:tc>
          <w:tcPr>
            <w:tcW w:w="2291"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lastRenderedPageBreak/>
              <w:t>Emad Yanni</w:t>
            </w:r>
            <w:r>
              <w:rPr>
                <w:rFonts w:ascii="Times New Roman" w:hAnsi="Times New Roman"/>
                <w:sz w:val="24"/>
                <w:szCs w:val="24"/>
              </w:rPr>
              <w:t>, PhD</w:t>
            </w:r>
          </w:p>
        </w:tc>
        <w:tc>
          <w:tcPr>
            <w:tcW w:w="2299"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Senior Service Fellow</w:t>
            </w:r>
          </w:p>
        </w:tc>
        <w:tc>
          <w:tcPr>
            <w:tcW w:w="1988" w:type="dxa"/>
            <w:tcBorders>
              <w:top w:val="single" w:sz="4" w:space="0" w:color="000000"/>
              <w:left w:val="single" w:sz="4" w:space="0" w:color="000000"/>
              <w:bottom w:val="single" w:sz="4" w:space="0" w:color="000000"/>
              <w:right w:val="single" w:sz="4" w:space="0" w:color="000000"/>
            </w:tcBorders>
          </w:tcPr>
          <w:p w:rsidR="003F1079" w:rsidRPr="005242B1" w:rsidRDefault="00CA2D5F" w:rsidP="005242B1">
            <w:pPr>
              <w:pStyle w:val="NoSpacing"/>
              <w:rPr>
                <w:rFonts w:ascii="Times New Roman" w:hAnsi="Times New Roman"/>
                <w:sz w:val="24"/>
                <w:szCs w:val="24"/>
              </w:rPr>
            </w:pPr>
            <w:r>
              <w:rPr>
                <w:rFonts w:ascii="Times New Roman" w:hAnsi="Times New Roman"/>
                <w:sz w:val="24"/>
                <w:szCs w:val="24"/>
              </w:rPr>
              <w:t>Provided guidance on randomized method design and sampling procedures</w:t>
            </w:r>
          </w:p>
        </w:tc>
        <w:tc>
          <w:tcPr>
            <w:tcW w:w="2890" w:type="dxa"/>
            <w:tcBorders>
              <w:top w:val="single" w:sz="4" w:space="0" w:color="000000"/>
              <w:left w:val="single" w:sz="4" w:space="0" w:color="000000"/>
              <w:bottom w:val="single" w:sz="4" w:space="0" w:color="000000"/>
              <w:right w:val="single" w:sz="4" w:space="0" w:color="000000"/>
            </w:tcBorders>
          </w:tcPr>
          <w:p w:rsidR="003F1079" w:rsidRPr="005242B1" w:rsidRDefault="003F1079" w:rsidP="005242B1">
            <w:pPr>
              <w:pStyle w:val="NoSpacing"/>
              <w:rPr>
                <w:rFonts w:ascii="Times New Roman" w:hAnsi="Times New Roman"/>
                <w:sz w:val="24"/>
                <w:szCs w:val="24"/>
              </w:rPr>
            </w:pPr>
            <w:r w:rsidRPr="005242B1">
              <w:rPr>
                <w:rFonts w:ascii="Times New Roman" w:hAnsi="Times New Roman"/>
                <w:sz w:val="24"/>
                <w:szCs w:val="24"/>
              </w:rPr>
              <w:t>Dyn8@cdc.gov</w:t>
            </w:r>
          </w:p>
        </w:tc>
      </w:tr>
    </w:tbl>
    <w:p w:rsidR="0088113F" w:rsidRPr="005242B1" w:rsidRDefault="0088113F" w:rsidP="005242B1">
      <w:pPr>
        <w:pStyle w:val="Heading2"/>
        <w:spacing w:line="240" w:lineRule="auto"/>
      </w:pPr>
      <w:r w:rsidRPr="005242B1">
        <w:t>9</w:t>
      </w:r>
      <w:r w:rsidR="00E97098">
        <w:t>.</w:t>
      </w:r>
      <w:r w:rsidRPr="005242B1">
        <w:t xml:space="preserve"> Explanation of Any Payment or Gift to Respondents </w:t>
      </w:r>
    </w:p>
    <w:p w:rsidR="003009B6" w:rsidRPr="005242B1" w:rsidRDefault="004F47AB" w:rsidP="005242B1">
      <w:pPr>
        <w:spacing w:line="240" w:lineRule="auto"/>
        <w:rPr>
          <w:rFonts w:ascii="Times New Roman" w:hAnsi="Times New Roman" w:cs="Times New Roman"/>
          <w:sz w:val="24"/>
          <w:szCs w:val="24"/>
        </w:rPr>
      </w:pPr>
      <w:r w:rsidRPr="005242B1">
        <w:rPr>
          <w:rFonts w:ascii="Times New Roman" w:hAnsi="Times New Roman" w:cs="Times New Roman"/>
          <w:sz w:val="24"/>
          <w:szCs w:val="24"/>
        </w:rPr>
        <w:t xml:space="preserve">DGMQ will not provide remuneration </w:t>
      </w:r>
      <w:r w:rsidR="007A5152" w:rsidRPr="005242B1">
        <w:rPr>
          <w:rFonts w:ascii="Times New Roman" w:hAnsi="Times New Roman" w:cs="Times New Roman"/>
          <w:sz w:val="24"/>
          <w:szCs w:val="24"/>
        </w:rPr>
        <w:t xml:space="preserve">or incentives </w:t>
      </w:r>
      <w:r w:rsidR="00316243">
        <w:rPr>
          <w:rFonts w:ascii="Times New Roman" w:hAnsi="Times New Roman" w:cs="Times New Roman"/>
          <w:sz w:val="24"/>
          <w:szCs w:val="24"/>
        </w:rPr>
        <w:t>to participants</w:t>
      </w:r>
    </w:p>
    <w:p w:rsidR="0088113F" w:rsidRPr="005242B1" w:rsidRDefault="0088113F" w:rsidP="005242B1">
      <w:pPr>
        <w:pStyle w:val="Heading2"/>
        <w:spacing w:line="240" w:lineRule="auto"/>
      </w:pPr>
      <w:r w:rsidRPr="005242B1">
        <w:t>10</w:t>
      </w:r>
      <w:r w:rsidR="00E97098">
        <w:t>.</w:t>
      </w:r>
      <w:r w:rsidRPr="005242B1">
        <w:t xml:space="preserve"> Assurance of Confidentiality Provided to Respondents </w:t>
      </w:r>
    </w:p>
    <w:p w:rsidR="00627A3C" w:rsidRPr="005242B1" w:rsidRDefault="00627A3C" w:rsidP="005242B1">
      <w:pPr>
        <w:spacing w:after="0" w:line="240" w:lineRule="auto"/>
        <w:rPr>
          <w:rFonts w:ascii="Times New Roman" w:eastAsia="Times New Roman" w:hAnsi="Times New Roman" w:cs="Times New Roman"/>
          <w:sz w:val="24"/>
          <w:szCs w:val="24"/>
        </w:rPr>
      </w:pPr>
      <w:r w:rsidRPr="005242B1">
        <w:rPr>
          <w:rFonts w:ascii="Times New Roman" w:eastAsia="Times New Roman" w:hAnsi="Times New Roman" w:cs="Times New Roman"/>
          <w:sz w:val="24"/>
          <w:szCs w:val="24"/>
        </w:rPr>
        <w:t xml:space="preserve">DGMQ and contractors will follow procedures for </w:t>
      </w:r>
      <w:r w:rsidR="001968D8">
        <w:rPr>
          <w:rFonts w:ascii="Times New Roman" w:eastAsia="Times New Roman" w:hAnsi="Times New Roman" w:cs="Times New Roman"/>
          <w:sz w:val="24"/>
          <w:szCs w:val="24"/>
        </w:rPr>
        <w:t>ensuring</w:t>
      </w:r>
      <w:r w:rsidR="001968D8" w:rsidRPr="005242B1">
        <w:rPr>
          <w:rFonts w:ascii="Times New Roman" w:eastAsia="Times New Roman" w:hAnsi="Times New Roman" w:cs="Times New Roman"/>
          <w:sz w:val="24"/>
          <w:szCs w:val="24"/>
        </w:rPr>
        <w:t xml:space="preserve"> </w:t>
      </w:r>
      <w:r w:rsidRPr="005242B1">
        <w:rPr>
          <w:rFonts w:ascii="Times New Roman" w:eastAsia="Times New Roman" w:hAnsi="Times New Roman" w:cs="Times New Roman"/>
          <w:sz w:val="24"/>
          <w:szCs w:val="24"/>
        </w:rPr>
        <w:t xml:space="preserve">and maintaining privacy during all stages of data collection. </w:t>
      </w:r>
      <w:r w:rsidRPr="005242B1">
        <w:rPr>
          <w:rFonts w:ascii="Times New Roman" w:eastAsia="Times New Roman" w:hAnsi="Times New Roman" w:cs="Times New Roman"/>
          <w:bCs/>
          <w:iCs/>
          <w:sz w:val="24"/>
          <w:szCs w:val="24"/>
        </w:rPr>
        <w:t xml:space="preserve">Respondents will be recruited </w:t>
      </w:r>
      <w:r w:rsidRPr="005242B1">
        <w:rPr>
          <w:rFonts w:ascii="Times New Roman" w:eastAsia="Times New Roman" w:hAnsi="Times New Roman" w:cs="Times New Roman"/>
          <w:sz w:val="24"/>
          <w:szCs w:val="24"/>
        </w:rPr>
        <w:t xml:space="preserve">using the established </w:t>
      </w:r>
      <w:r w:rsidR="003C189E">
        <w:rPr>
          <w:rFonts w:ascii="Times New Roman" w:eastAsia="Times New Roman" w:hAnsi="Times New Roman" w:cs="Times New Roman"/>
          <w:sz w:val="24"/>
          <w:szCs w:val="24"/>
        </w:rPr>
        <w:t>databases</w:t>
      </w:r>
      <w:r w:rsidRPr="005242B1">
        <w:rPr>
          <w:rFonts w:ascii="Times New Roman" w:eastAsia="Times New Roman" w:hAnsi="Times New Roman" w:cs="Times New Roman"/>
          <w:sz w:val="24"/>
          <w:szCs w:val="24"/>
        </w:rPr>
        <w:t xml:space="preserve"> of international panel physicians. </w:t>
      </w:r>
    </w:p>
    <w:p w:rsidR="00627A3C" w:rsidRPr="005242B1" w:rsidRDefault="00627A3C" w:rsidP="005242B1">
      <w:pPr>
        <w:spacing w:after="0" w:line="240" w:lineRule="auto"/>
        <w:rPr>
          <w:rFonts w:ascii="Times New Roman" w:eastAsia="Times New Roman" w:hAnsi="Times New Roman" w:cs="Times New Roman"/>
          <w:sz w:val="24"/>
          <w:szCs w:val="24"/>
        </w:rPr>
      </w:pPr>
    </w:p>
    <w:p w:rsidR="00627A3C" w:rsidRPr="005242B1" w:rsidRDefault="00627A3C" w:rsidP="005242B1">
      <w:pPr>
        <w:spacing w:after="0" w:line="240" w:lineRule="auto"/>
        <w:rPr>
          <w:rFonts w:ascii="Times New Roman" w:eastAsia="Times New Roman" w:hAnsi="Times New Roman" w:cs="Times New Roman"/>
          <w:sz w:val="24"/>
          <w:szCs w:val="24"/>
        </w:rPr>
      </w:pPr>
      <w:r w:rsidRPr="005242B1">
        <w:rPr>
          <w:rFonts w:ascii="Times New Roman" w:eastAsia="Times New Roman" w:hAnsi="Times New Roman" w:cs="Times New Roman"/>
          <w:sz w:val="24"/>
          <w:szCs w:val="24"/>
        </w:rPr>
        <w:t xml:space="preserve">Respondents will be informed that information collected may be recorded and transcribed, and that any multimedia recordings will be destroyed after completion of each report on findings. DGMQ staff, in conjunction with the contractor, will collect and evaluate the research data.  </w:t>
      </w:r>
    </w:p>
    <w:p w:rsidR="00627A3C" w:rsidRPr="005242B1" w:rsidRDefault="00627A3C" w:rsidP="005242B1">
      <w:pPr>
        <w:autoSpaceDE w:val="0"/>
        <w:autoSpaceDN w:val="0"/>
        <w:adjustRightInd w:val="0"/>
        <w:spacing w:after="0" w:line="240" w:lineRule="auto"/>
        <w:rPr>
          <w:rFonts w:ascii="Times New Roman" w:eastAsia="Times New Roman" w:hAnsi="Times New Roman" w:cs="Times New Roman"/>
          <w:sz w:val="24"/>
          <w:szCs w:val="24"/>
        </w:rPr>
      </w:pPr>
      <w:r w:rsidRPr="005242B1">
        <w:rPr>
          <w:rFonts w:ascii="Times New Roman" w:eastAsia="Times New Roman" w:hAnsi="Times New Roman" w:cs="Times New Roman"/>
          <w:sz w:val="24"/>
          <w:szCs w:val="24"/>
        </w:rPr>
        <w:t xml:space="preserve">All information provided by respondents will be treated in a secure manner and will not be disclosed unless otherwise compelled by law. Respondents will be informed prior to participation that their responses will be treated in a secure manner. </w:t>
      </w:r>
    </w:p>
    <w:p w:rsidR="00282676" w:rsidRPr="005242B1" w:rsidRDefault="00282676" w:rsidP="005242B1">
      <w:pPr>
        <w:spacing w:after="0" w:line="240" w:lineRule="auto"/>
        <w:ind w:firstLine="720"/>
        <w:rPr>
          <w:rFonts w:ascii="Times New Roman" w:hAnsi="Times New Roman" w:cs="Times New Roman"/>
          <w:b/>
          <w:sz w:val="24"/>
          <w:szCs w:val="24"/>
        </w:rPr>
      </w:pPr>
    </w:p>
    <w:p w:rsidR="00793E97" w:rsidRDefault="00793E97" w:rsidP="005242B1">
      <w:pPr>
        <w:pStyle w:val="Heading3"/>
        <w:spacing w:line="240" w:lineRule="auto"/>
        <w:ind w:left="0"/>
      </w:pPr>
    </w:p>
    <w:p w:rsidR="003F1D2E" w:rsidRPr="00807E21" w:rsidRDefault="003F1D2E" w:rsidP="005242B1">
      <w:pPr>
        <w:pStyle w:val="Heading3"/>
        <w:spacing w:line="240" w:lineRule="auto"/>
        <w:ind w:left="0"/>
      </w:pPr>
      <w:r w:rsidRPr="00807E21">
        <w:t>IRB Approval</w:t>
      </w:r>
    </w:p>
    <w:p w:rsidR="003F1079" w:rsidRPr="005242B1" w:rsidRDefault="002C4055" w:rsidP="005242B1">
      <w:pPr>
        <w:tabs>
          <w:tab w:val="left" w:pos="-1440"/>
        </w:tabs>
        <w:spacing w:line="240" w:lineRule="auto"/>
        <w:rPr>
          <w:rFonts w:ascii="Times New Roman" w:hAnsi="Times New Roman" w:cs="Times New Roman"/>
          <w:sz w:val="24"/>
          <w:szCs w:val="24"/>
        </w:rPr>
      </w:pPr>
      <w:r w:rsidRPr="00807E21">
        <w:rPr>
          <w:rFonts w:ascii="Times New Roman" w:hAnsi="Times New Roman" w:cs="Times New Roman"/>
          <w:sz w:val="24"/>
          <w:szCs w:val="24"/>
        </w:rPr>
        <w:t>The CDC Human Research Subject Officer has determined that the QR code ev</w:t>
      </w:r>
      <w:r w:rsidR="00A449B8" w:rsidRPr="00807E21">
        <w:rPr>
          <w:rFonts w:ascii="Times New Roman" w:hAnsi="Times New Roman" w:cs="Times New Roman"/>
          <w:sz w:val="24"/>
          <w:szCs w:val="24"/>
        </w:rPr>
        <w:t xml:space="preserve">aluation is </w:t>
      </w:r>
      <w:r w:rsidR="00807E21" w:rsidRPr="00807E21">
        <w:rPr>
          <w:rFonts w:ascii="Times New Roman" w:hAnsi="Times New Roman" w:cs="Times New Roman"/>
          <w:sz w:val="24"/>
          <w:szCs w:val="24"/>
        </w:rPr>
        <w:t>exempt under 45 CFR 46.101(b</w:t>
      </w:r>
      <w:proofErr w:type="gramStart"/>
      <w:r w:rsidR="00807E21" w:rsidRPr="00807E21">
        <w:rPr>
          <w:rFonts w:ascii="Times New Roman" w:hAnsi="Times New Roman" w:cs="Times New Roman"/>
          <w:sz w:val="24"/>
          <w:szCs w:val="24"/>
        </w:rPr>
        <w:t>)(</w:t>
      </w:r>
      <w:proofErr w:type="gramEnd"/>
      <w:r w:rsidR="00807E21" w:rsidRPr="00807E21">
        <w:rPr>
          <w:rFonts w:ascii="Times New Roman" w:hAnsi="Times New Roman" w:cs="Times New Roman"/>
          <w:sz w:val="24"/>
          <w:szCs w:val="24"/>
        </w:rPr>
        <w:t>2).</w:t>
      </w:r>
      <w:r w:rsidR="00055918">
        <w:rPr>
          <w:rFonts w:ascii="Times New Roman" w:hAnsi="Times New Roman" w:cs="Times New Roman"/>
          <w:sz w:val="24"/>
          <w:szCs w:val="24"/>
        </w:rPr>
        <w:t xml:space="preserve"> </w:t>
      </w:r>
      <w:r w:rsidR="00793E97">
        <w:rPr>
          <w:rFonts w:ascii="Times New Roman" w:hAnsi="Times New Roman" w:cs="Times New Roman"/>
          <w:sz w:val="24"/>
          <w:szCs w:val="24"/>
        </w:rPr>
        <w:t>The determination is valid for three years through 2/25/2016</w:t>
      </w:r>
      <w:r w:rsidR="00793E97" w:rsidRPr="00D12283">
        <w:rPr>
          <w:rFonts w:ascii="Times New Roman" w:hAnsi="Times New Roman" w:cs="Times New Roman"/>
          <w:sz w:val="24"/>
          <w:szCs w:val="24"/>
        </w:rPr>
        <w:t xml:space="preserve">. </w:t>
      </w:r>
      <w:proofErr w:type="gramStart"/>
      <w:r w:rsidR="00055918" w:rsidRPr="00D12283">
        <w:rPr>
          <w:rFonts w:ascii="Times New Roman" w:hAnsi="Times New Roman" w:cs="Times New Roman"/>
          <w:sz w:val="24"/>
          <w:szCs w:val="24"/>
        </w:rPr>
        <w:t>(</w:t>
      </w:r>
      <w:r w:rsidR="00793E97" w:rsidRPr="00D12283">
        <w:rPr>
          <w:rFonts w:ascii="Times New Roman" w:hAnsi="Times New Roman" w:cs="Times New Roman"/>
          <w:sz w:val="24"/>
          <w:szCs w:val="24"/>
        </w:rPr>
        <w:t xml:space="preserve">See </w:t>
      </w:r>
      <w:r w:rsidR="00316243" w:rsidRPr="00D12283">
        <w:rPr>
          <w:rFonts w:ascii="Times New Roman" w:hAnsi="Times New Roman" w:cs="Times New Roman"/>
          <w:sz w:val="24"/>
          <w:szCs w:val="24"/>
        </w:rPr>
        <w:t xml:space="preserve">Attachment </w:t>
      </w:r>
      <w:r w:rsidR="00E84462">
        <w:rPr>
          <w:rFonts w:ascii="Times New Roman" w:hAnsi="Times New Roman" w:cs="Times New Roman"/>
          <w:sz w:val="24"/>
          <w:szCs w:val="24"/>
        </w:rPr>
        <w:t>B</w:t>
      </w:r>
      <w:r w:rsidR="00A449B8" w:rsidRPr="00D12283">
        <w:rPr>
          <w:rFonts w:ascii="Times New Roman" w:hAnsi="Times New Roman" w:cs="Times New Roman"/>
          <w:sz w:val="24"/>
          <w:szCs w:val="24"/>
        </w:rPr>
        <w:t>--</w:t>
      </w:r>
      <w:r w:rsidRPr="00D12283">
        <w:rPr>
          <w:rFonts w:ascii="Times New Roman" w:hAnsi="Times New Roman" w:cs="Times New Roman"/>
          <w:sz w:val="24"/>
          <w:szCs w:val="24"/>
        </w:rPr>
        <w:t>IRB Determination).</w:t>
      </w:r>
      <w:proofErr w:type="gramEnd"/>
    </w:p>
    <w:p w:rsidR="009D108F" w:rsidRPr="005242B1" w:rsidRDefault="009D108F" w:rsidP="005242B1">
      <w:pPr>
        <w:pStyle w:val="Heading2"/>
        <w:spacing w:line="240" w:lineRule="auto"/>
      </w:pPr>
      <w:r w:rsidRPr="00807E21">
        <w:t>11</w:t>
      </w:r>
      <w:r w:rsidR="00793E97">
        <w:t>.</w:t>
      </w:r>
      <w:r w:rsidRPr="00807E21">
        <w:t xml:space="preserve"> Justification for Sensitive</w:t>
      </w:r>
      <w:r w:rsidRPr="005242B1">
        <w:t xml:space="preserve"> Questions </w:t>
      </w:r>
    </w:p>
    <w:p w:rsidR="004E3925" w:rsidRDefault="004D48F5" w:rsidP="005242B1">
      <w:pPr>
        <w:pStyle w:val="ListParagraph"/>
        <w:spacing w:after="0" w:line="240" w:lineRule="auto"/>
        <w:ind w:left="0"/>
        <w:rPr>
          <w:rFonts w:ascii="Times New Roman" w:hAnsi="Times New Roman" w:cs="Times New Roman"/>
          <w:sz w:val="24"/>
          <w:szCs w:val="24"/>
        </w:rPr>
      </w:pPr>
      <w:r w:rsidRPr="005242B1">
        <w:rPr>
          <w:rFonts w:ascii="Times New Roman" w:hAnsi="Times New Roman" w:cs="Times New Roman"/>
          <w:sz w:val="24"/>
          <w:szCs w:val="24"/>
        </w:rPr>
        <w:t xml:space="preserve">No information will be collected that are of </w:t>
      </w:r>
      <w:r w:rsidR="000E64FE" w:rsidRPr="005242B1">
        <w:rPr>
          <w:rFonts w:ascii="Times New Roman" w:hAnsi="Times New Roman" w:cs="Times New Roman"/>
          <w:sz w:val="24"/>
          <w:szCs w:val="24"/>
        </w:rPr>
        <w:t xml:space="preserve">a </w:t>
      </w:r>
      <w:r w:rsidRPr="005242B1">
        <w:rPr>
          <w:rFonts w:ascii="Times New Roman" w:hAnsi="Times New Roman" w:cs="Times New Roman"/>
          <w:sz w:val="24"/>
          <w:szCs w:val="24"/>
        </w:rPr>
        <w:t>personal or sensitive nature.</w:t>
      </w:r>
    </w:p>
    <w:p w:rsidR="005242B1" w:rsidRPr="005242B1" w:rsidRDefault="005242B1" w:rsidP="005242B1">
      <w:pPr>
        <w:pStyle w:val="ListParagraph"/>
        <w:spacing w:after="0" w:line="240" w:lineRule="auto"/>
        <w:ind w:left="0"/>
        <w:rPr>
          <w:rFonts w:ascii="Times New Roman" w:hAnsi="Times New Roman" w:cs="Times New Roman"/>
          <w:sz w:val="24"/>
          <w:szCs w:val="24"/>
        </w:rPr>
      </w:pPr>
    </w:p>
    <w:p w:rsidR="008A637E" w:rsidRPr="00793E97" w:rsidRDefault="00345E2B" w:rsidP="00793E97">
      <w:pPr>
        <w:spacing w:line="240" w:lineRule="auto"/>
        <w:rPr>
          <w:rFonts w:ascii="Times New Roman" w:hAnsi="Times New Roman" w:cs="Times New Roman"/>
          <w:sz w:val="24"/>
          <w:szCs w:val="24"/>
        </w:rPr>
      </w:pPr>
      <w:r w:rsidRPr="005242B1">
        <w:rPr>
          <w:rFonts w:ascii="Times New Roman" w:hAnsi="Times New Roman" w:cs="Times New Roman"/>
          <w:sz w:val="24"/>
          <w:szCs w:val="24"/>
        </w:rPr>
        <w:t xml:space="preserve">To minimize psychological distress, the </w:t>
      </w:r>
      <w:r w:rsidR="004E3925" w:rsidRPr="005242B1">
        <w:rPr>
          <w:rFonts w:ascii="Times New Roman" w:hAnsi="Times New Roman" w:cs="Times New Roman"/>
          <w:sz w:val="24"/>
          <w:szCs w:val="24"/>
        </w:rPr>
        <w:t xml:space="preserve">principal investigator </w:t>
      </w:r>
      <w:r w:rsidRPr="005242B1">
        <w:rPr>
          <w:rFonts w:ascii="Times New Roman" w:hAnsi="Times New Roman" w:cs="Times New Roman"/>
          <w:sz w:val="24"/>
          <w:szCs w:val="24"/>
        </w:rPr>
        <w:t>will inform participants that they do not have to respond to any questions they do not want to answer and they may stop participating at any time. In addition, a subject matter expert from DGMQ or delegated organization will be present during the information collection to answer questions from participants at the end of the information collection activity.</w:t>
      </w:r>
    </w:p>
    <w:p w:rsidR="004D48F5" w:rsidRPr="005242B1" w:rsidRDefault="009D108F" w:rsidP="005242B1">
      <w:pPr>
        <w:pStyle w:val="Heading2"/>
        <w:spacing w:line="240" w:lineRule="auto"/>
      </w:pPr>
      <w:r w:rsidRPr="005242B1">
        <w:t>12</w:t>
      </w:r>
      <w:r w:rsidR="00793E97">
        <w:t>.</w:t>
      </w:r>
      <w:r w:rsidRPr="005242B1">
        <w:t xml:space="preserve"> Estimates of Annualized Burden Hours and Costs</w:t>
      </w:r>
    </w:p>
    <w:p w:rsidR="00FA724A" w:rsidRPr="005242B1" w:rsidRDefault="00B45B75" w:rsidP="005242B1">
      <w:pPr>
        <w:spacing w:after="0" w:line="240" w:lineRule="auto"/>
        <w:rPr>
          <w:rFonts w:ascii="Times New Roman" w:eastAsia="Times New Roman" w:hAnsi="Times New Roman" w:cs="Times New Roman"/>
          <w:bCs/>
          <w:iCs/>
          <w:sz w:val="24"/>
          <w:szCs w:val="24"/>
        </w:rPr>
      </w:pPr>
      <w:r w:rsidRPr="005242B1">
        <w:rPr>
          <w:rFonts w:ascii="Times New Roman" w:eastAsia="Times New Roman" w:hAnsi="Times New Roman" w:cs="Times New Roman"/>
          <w:bCs/>
          <w:iCs/>
          <w:sz w:val="24"/>
          <w:szCs w:val="24"/>
        </w:rPr>
        <w:lastRenderedPageBreak/>
        <w:t xml:space="preserve">A. </w:t>
      </w:r>
      <w:r w:rsidR="00351E0B" w:rsidRPr="005242B1">
        <w:rPr>
          <w:rFonts w:ascii="Times New Roman" w:eastAsia="Times New Roman" w:hAnsi="Times New Roman" w:cs="Times New Roman"/>
          <w:bCs/>
          <w:iCs/>
          <w:sz w:val="24"/>
          <w:szCs w:val="24"/>
        </w:rPr>
        <w:t xml:space="preserve">The </w:t>
      </w:r>
      <w:r w:rsidR="008A637E">
        <w:rPr>
          <w:rFonts w:ascii="Times New Roman" w:eastAsia="Times New Roman" w:hAnsi="Times New Roman" w:cs="Times New Roman"/>
          <w:bCs/>
          <w:iCs/>
          <w:sz w:val="24"/>
          <w:szCs w:val="24"/>
        </w:rPr>
        <w:t>survey and questionnaire</w:t>
      </w:r>
      <w:r w:rsidR="00E26CCB">
        <w:rPr>
          <w:rFonts w:ascii="Times New Roman" w:eastAsia="Times New Roman" w:hAnsi="Times New Roman" w:cs="Times New Roman"/>
          <w:bCs/>
          <w:iCs/>
          <w:sz w:val="24"/>
          <w:szCs w:val="24"/>
        </w:rPr>
        <w:t>, and in-depth interview guide,</w:t>
      </w:r>
      <w:r w:rsidR="008A637E">
        <w:rPr>
          <w:rFonts w:ascii="Times New Roman" w:eastAsia="Times New Roman" w:hAnsi="Times New Roman" w:cs="Times New Roman"/>
          <w:bCs/>
          <w:iCs/>
          <w:sz w:val="24"/>
          <w:szCs w:val="24"/>
        </w:rPr>
        <w:t xml:space="preserve"> </w:t>
      </w:r>
      <w:r w:rsidR="00FA724A" w:rsidRPr="005242B1">
        <w:rPr>
          <w:rFonts w:ascii="Times New Roman" w:eastAsia="Times New Roman" w:hAnsi="Times New Roman" w:cs="Times New Roman"/>
          <w:bCs/>
          <w:iCs/>
          <w:sz w:val="24"/>
          <w:szCs w:val="24"/>
        </w:rPr>
        <w:t xml:space="preserve">for each information collection activity will be submitted for OMB review. The average burden for each respondent depending on the specific data collection </w:t>
      </w:r>
      <w:r w:rsidR="00F44780">
        <w:rPr>
          <w:rFonts w:ascii="Times New Roman" w:eastAsia="Times New Roman" w:hAnsi="Times New Roman" w:cs="Times New Roman"/>
          <w:bCs/>
          <w:iCs/>
          <w:sz w:val="24"/>
          <w:szCs w:val="24"/>
        </w:rPr>
        <w:t>will range from 12</w:t>
      </w:r>
      <w:r w:rsidR="00E26CCB">
        <w:rPr>
          <w:rFonts w:ascii="Times New Roman" w:eastAsia="Times New Roman" w:hAnsi="Times New Roman" w:cs="Times New Roman"/>
          <w:bCs/>
          <w:iCs/>
          <w:sz w:val="24"/>
          <w:szCs w:val="24"/>
        </w:rPr>
        <w:t>-60</w:t>
      </w:r>
      <w:r w:rsidR="008A637E">
        <w:rPr>
          <w:rFonts w:ascii="Times New Roman" w:eastAsia="Times New Roman" w:hAnsi="Times New Roman" w:cs="Times New Roman"/>
          <w:bCs/>
          <w:iCs/>
          <w:sz w:val="24"/>
          <w:szCs w:val="24"/>
        </w:rPr>
        <w:t xml:space="preserve"> minutes</w:t>
      </w:r>
      <w:r w:rsidR="00351E0B" w:rsidRPr="005242B1">
        <w:rPr>
          <w:rFonts w:ascii="Times New Roman" w:eastAsia="Times New Roman" w:hAnsi="Times New Roman" w:cs="Times New Roman"/>
          <w:bCs/>
          <w:iCs/>
          <w:sz w:val="24"/>
          <w:szCs w:val="24"/>
        </w:rPr>
        <w:t>. The estimated burden to respo</w:t>
      </w:r>
      <w:r w:rsidR="004F715A">
        <w:rPr>
          <w:rFonts w:ascii="Times New Roman" w:eastAsia="Times New Roman" w:hAnsi="Times New Roman" w:cs="Times New Roman"/>
          <w:bCs/>
          <w:iCs/>
          <w:sz w:val="24"/>
          <w:szCs w:val="24"/>
        </w:rPr>
        <w:t>ndents is summarized in Table 12.</w:t>
      </w:r>
      <w:r w:rsidR="00351E0B" w:rsidRPr="005242B1">
        <w:rPr>
          <w:rFonts w:ascii="Times New Roman" w:eastAsia="Times New Roman" w:hAnsi="Times New Roman" w:cs="Times New Roman"/>
          <w:bCs/>
          <w:iCs/>
          <w:sz w:val="24"/>
          <w:szCs w:val="24"/>
        </w:rPr>
        <w:t>A below.</w:t>
      </w:r>
    </w:p>
    <w:p w:rsidR="00FA724A" w:rsidRPr="005242B1" w:rsidRDefault="00FA724A" w:rsidP="005242B1">
      <w:pPr>
        <w:spacing w:after="0" w:line="240" w:lineRule="auto"/>
        <w:rPr>
          <w:rFonts w:ascii="Times New Roman" w:eastAsia="Times New Roman" w:hAnsi="Times New Roman" w:cs="Times New Roman"/>
          <w:bCs/>
          <w:iCs/>
          <w:sz w:val="24"/>
          <w:szCs w:val="24"/>
        </w:rPr>
      </w:pPr>
    </w:p>
    <w:p w:rsidR="00B45B75" w:rsidRPr="005242B1" w:rsidRDefault="00B45B75" w:rsidP="005242B1">
      <w:pPr>
        <w:pStyle w:val="ListParagraph"/>
        <w:autoSpaceDE w:val="0"/>
        <w:autoSpaceDN w:val="0"/>
        <w:adjustRightInd w:val="0"/>
        <w:spacing w:line="240" w:lineRule="auto"/>
        <w:ind w:left="0"/>
        <w:rPr>
          <w:rFonts w:ascii="Times New Roman" w:hAnsi="Times New Roman" w:cs="Times New Roman"/>
          <w:sz w:val="24"/>
          <w:szCs w:val="24"/>
        </w:rPr>
      </w:pPr>
      <w:r w:rsidRPr="005242B1">
        <w:rPr>
          <w:rFonts w:ascii="Times New Roman" w:hAnsi="Times New Roman" w:cs="Times New Roman"/>
          <w:sz w:val="24"/>
          <w:szCs w:val="24"/>
        </w:rPr>
        <w:t xml:space="preserve">The estimate for burden hours is based on a pilot test of the data collection instruments by 3 </w:t>
      </w:r>
      <w:r w:rsidR="007B2DEC" w:rsidRPr="005242B1">
        <w:rPr>
          <w:rFonts w:ascii="Times New Roman" w:hAnsi="Times New Roman" w:cs="Times New Roman"/>
          <w:sz w:val="24"/>
          <w:szCs w:val="24"/>
        </w:rPr>
        <w:t>health communication specialists</w:t>
      </w:r>
      <w:r w:rsidRPr="005242B1">
        <w:rPr>
          <w:rFonts w:ascii="Times New Roman" w:hAnsi="Times New Roman" w:cs="Times New Roman"/>
          <w:sz w:val="24"/>
          <w:szCs w:val="24"/>
        </w:rPr>
        <w:t xml:space="preserve">. In the pilot test, the average time to complete the </w:t>
      </w:r>
      <w:r w:rsidR="00CC0C5E">
        <w:rPr>
          <w:rFonts w:ascii="Times New Roman" w:hAnsi="Times New Roman" w:cs="Times New Roman"/>
          <w:sz w:val="24"/>
          <w:szCs w:val="24"/>
        </w:rPr>
        <w:t xml:space="preserve">pre-knowledge aptitude </w:t>
      </w:r>
      <w:r w:rsidR="007B2DEC" w:rsidRPr="005242B1">
        <w:rPr>
          <w:rFonts w:ascii="Times New Roman" w:hAnsi="Times New Roman" w:cs="Times New Roman"/>
          <w:sz w:val="24"/>
          <w:szCs w:val="24"/>
        </w:rPr>
        <w:t>survey</w:t>
      </w:r>
      <w:r w:rsidR="00E26CCB">
        <w:rPr>
          <w:rFonts w:ascii="Times New Roman" w:hAnsi="Times New Roman" w:cs="Times New Roman"/>
          <w:sz w:val="24"/>
          <w:szCs w:val="24"/>
        </w:rPr>
        <w:t>,</w:t>
      </w:r>
      <w:r w:rsidR="007B2DEC" w:rsidRPr="005242B1">
        <w:rPr>
          <w:rFonts w:ascii="Times New Roman" w:hAnsi="Times New Roman" w:cs="Times New Roman"/>
          <w:sz w:val="24"/>
          <w:szCs w:val="24"/>
        </w:rPr>
        <w:t xml:space="preserve"> </w:t>
      </w:r>
      <w:r w:rsidRPr="005242B1">
        <w:rPr>
          <w:rFonts w:ascii="Times New Roman" w:hAnsi="Times New Roman" w:cs="Times New Roman"/>
          <w:sz w:val="24"/>
          <w:szCs w:val="24"/>
        </w:rPr>
        <w:t xml:space="preserve">including time for reviewing instructions and completing the </w:t>
      </w:r>
      <w:r w:rsidR="007B2DEC" w:rsidRPr="005242B1">
        <w:rPr>
          <w:rFonts w:ascii="Times New Roman" w:hAnsi="Times New Roman" w:cs="Times New Roman"/>
          <w:sz w:val="24"/>
          <w:szCs w:val="24"/>
        </w:rPr>
        <w:t>survey</w:t>
      </w:r>
      <w:r w:rsidR="00E26CCB">
        <w:rPr>
          <w:rFonts w:ascii="Times New Roman" w:hAnsi="Times New Roman" w:cs="Times New Roman"/>
          <w:sz w:val="24"/>
          <w:szCs w:val="24"/>
        </w:rPr>
        <w:t>,</w:t>
      </w:r>
      <w:r w:rsidRPr="005242B1">
        <w:rPr>
          <w:rFonts w:ascii="Times New Roman" w:hAnsi="Times New Roman" w:cs="Times New Roman"/>
          <w:sz w:val="24"/>
          <w:szCs w:val="24"/>
        </w:rPr>
        <w:t xml:space="preserve"> was approximately </w:t>
      </w:r>
      <w:r w:rsidR="007B2DEC" w:rsidRPr="005242B1">
        <w:rPr>
          <w:rFonts w:ascii="Times New Roman" w:hAnsi="Times New Roman" w:cs="Times New Roman"/>
          <w:sz w:val="24"/>
          <w:szCs w:val="24"/>
        </w:rPr>
        <w:t xml:space="preserve">10 </w:t>
      </w:r>
      <w:r w:rsidRPr="005242B1">
        <w:rPr>
          <w:rFonts w:ascii="Times New Roman" w:hAnsi="Times New Roman" w:cs="Times New Roman"/>
          <w:sz w:val="24"/>
          <w:szCs w:val="24"/>
        </w:rPr>
        <w:t xml:space="preserve">minutes. Based on these results, the estimated time range for actual respondents to complete the </w:t>
      </w:r>
      <w:r w:rsidR="007B2DEC" w:rsidRPr="005242B1">
        <w:rPr>
          <w:rFonts w:ascii="Times New Roman" w:hAnsi="Times New Roman" w:cs="Times New Roman"/>
          <w:sz w:val="24"/>
          <w:szCs w:val="24"/>
        </w:rPr>
        <w:t xml:space="preserve">demographic survey </w:t>
      </w:r>
      <w:r w:rsidRPr="005242B1">
        <w:rPr>
          <w:rFonts w:ascii="Times New Roman" w:hAnsi="Times New Roman" w:cs="Times New Roman"/>
          <w:sz w:val="24"/>
          <w:szCs w:val="24"/>
        </w:rPr>
        <w:t xml:space="preserve">is </w:t>
      </w:r>
      <w:r w:rsidR="007B2DEC" w:rsidRPr="005242B1">
        <w:rPr>
          <w:rFonts w:ascii="Times New Roman" w:hAnsi="Times New Roman" w:cs="Times New Roman"/>
          <w:sz w:val="24"/>
          <w:szCs w:val="24"/>
        </w:rPr>
        <w:t xml:space="preserve">10-12 </w:t>
      </w:r>
      <w:r w:rsidRPr="005242B1">
        <w:rPr>
          <w:rFonts w:ascii="Times New Roman" w:hAnsi="Times New Roman" w:cs="Times New Roman"/>
          <w:sz w:val="24"/>
          <w:szCs w:val="24"/>
        </w:rPr>
        <w:t>minutes. For the purposes of estimating burden hours, the upper limit of this range</w:t>
      </w:r>
      <w:r w:rsidR="007B2DEC" w:rsidRPr="005242B1">
        <w:rPr>
          <w:rFonts w:ascii="Times New Roman" w:hAnsi="Times New Roman" w:cs="Times New Roman"/>
          <w:sz w:val="24"/>
          <w:szCs w:val="24"/>
        </w:rPr>
        <w:t xml:space="preserve"> </w:t>
      </w:r>
      <w:r w:rsidRPr="005242B1">
        <w:rPr>
          <w:rFonts w:ascii="Times New Roman" w:hAnsi="Times New Roman" w:cs="Times New Roman"/>
          <w:sz w:val="24"/>
          <w:szCs w:val="24"/>
        </w:rPr>
        <w:t>is used.</w:t>
      </w:r>
      <w:r w:rsidR="00EA2912">
        <w:rPr>
          <w:rFonts w:ascii="Times New Roman" w:hAnsi="Times New Roman" w:cs="Times New Roman"/>
          <w:sz w:val="24"/>
          <w:szCs w:val="24"/>
        </w:rPr>
        <w:t xml:space="preserve"> We estimate that 95 respondents will respond to this collection for a total of 19 hours.</w:t>
      </w:r>
    </w:p>
    <w:p w:rsidR="00934C88" w:rsidRDefault="007B2DEC" w:rsidP="008A637E">
      <w:pPr>
        <w:spacing w:line="240" w:lineRule="auto"/>
        <w:rPr>
          <w:rFonts w:ascii="Times New Roman" w:eastAsia="Times New Roman" w:hAnsi="Times New Roman" w:cs="Times New Roman"/>
          <w:bCs/>
          <w:iCs/>
          <w:sz w:val="24"/>
          <w:szCs w:val="24"/>
        </w:rPr>
      </w:pPr>
      <w:r w:rsidRPr="005242B1">
        <w:rPr>
          <w:rFonts w:ascii="Times New Roman" w:eastAsia="Times New Roman" w:hAnsi="Times New Roman" w:cs="Times New Roman"/>
          <w:bCs/>
          <w:iCs/>
          <w:sz w:val="24"/>
          <w:szCs w:val="24"/>
        </w:rPr>
        <w:t>Th</w:t>
      </w:r>
      <w:r w:rsidR="00E26CCB">
        <w:rPr>
          <w:rFonts w:ascii="Times New Roman" w:eastAsia="Times New Roman" w:hAnsi="Times New Roman" w:cs="Times New Roman"/>
          <w:bCs/>
          <w:iCs/>
          <w:sz w:val="24"/>
          <w:szCs w:val="24"/>
        </w:rPr>
        <w:t>e average time to complete the semi-structured q</w:t>
      </w:r>
      <w:r w:rsidRPr="005242B1">
        <w:rPr>
          <w:rFonts w:ascii="Times New Roman" w:eastAsia="Times New Roman" w:hAnsi="Times New Roman" w:cs="Times New Roman"/>
          <w:bCs/>
          <w:iCs/>
          <w:sz w:val="24"/>
          <w:szCs w:val="24"/>
        </w:rPr>
        <w:t>uestionnaire</w:t>
      </w:r>
      <w:r w:rsidR="00E26CCB">
        <w:rPr>
          <w:rFonts w:ascii="Times New Roman" w:eastAsia="Times New Roman" w:hAnsi="Times New Roman" w:cs="Times New Roman"/>
          <w:bCs/>
          <w:iCs/>
          <w:sz w:val="24"/>
          <w:szCs w:val="24"/>
        </w:rPr>
        <w:t>,</w:t>
      </w:r>
      <w:r w:rsidRPr="005242B1">
        <w:rPr>
          <w:rFonts w:ascii="Times New Roman" w:eastAsia="Times New Roman" w:hAnsi="Times New Roman" w:cs="Times New Roman"/>
          <w:bCs/>
          <w:iCs/>
          <w:sz w:val="24"/>
          <w:szCs w:val="24"/>
        </w:rPr>
        <w:t xml:space="preserve"> including time for reviewing instructions and completing the qu</w:t>
      </w:r>
      <w:r w:rsidR="00CC0C5E">
        <w:rPr>
          <w:rFonts w:ascii="Times New Roman" w:eastAsia="Times New Roman" w:hAnsi="Times New Roman" w:cs="Times New Roman"/>
          <w:bCs/>
          <w:iCs/>
          <w:sz w:val="24"/>
          <w:szCs w:val="24"/>
        </w:rPr>
        <w:t>estionnaire</w:t>
      </w:r>
      <w:r w:rsidR="00E26CCB">
        <w:rPr>
          <w:rFonts w:ascii="Times New Roman" w:eastAsia="Times New Roman" w:hAnsi="Times New Roman" w:cs="Times New Roman"/>
          <w:bCs/>
          <w:iCs/>
          <w:sz w:val="24"/>
          <w:szCs w:val="24"/>
        </w:rPr>
        <w:t>,</w:t>
      </w:r>
      <w:r w:rsidR="00CC0C5E">
        <w:rPr>
          <w:rFonts w:ascii="Times New Roman" w:eastAsia="Times New Roman" w:hAnsi="Times New Roman" w:cs="Times New Roman"/>
          <w:bCs/>
          <w:iCs/>
          <w:sz w:val="24"/>
          <w:szCs w:val="24"/>
        </w:rPr>
        <w:t xml:space="preserve"> was approximately 15</w:t>
      </w:r>
      <w:r w:rsidRPr="005242B1">
        <w:rPr>
          <w:rFonts w:ascii="Times New Roman" w:eastAsia="Times New Roman" w:hAnsi="Times New Roman" w:cs="Times New Roman"/>
          <w:bCs/>
          <w:iCs/>
          <w:sz w:val="24"/>
          <w:szCs w:val="24"/>
        </w:rPr>
        <w:t xml:space="preserve"> minutes. Based on these results, the estimated time range for actual respondents to complete the </w:t>
      </w:r>
      <w:r w:rsidR="00CC0C5E">
        <w:rPr>
          <w:rFonts w:ascii="Times New Roman" w:eastAsia="Times New Roman" w:hAnsi="Times New Roman" w:cs="Times New Roman"/>
          <w:bCs/>
          <w:iCs/>
          <w:sz w:val="24"/>
          <w:szCs w:val="24"/>
        </w:rPr>
        <w:t xml:space="preserve">questionnaire is </w:t>
      </w:r>
      <w:r w:rsidRPr="005242B1">
        <w:rPr>
          <w:rFonts w:ascii="Times New Roman" w:eastAsia="Times New Roman" w:hAnsi="Times New Roman" w:cs="Times New Roman"/>
          <w:bCs/>
          <w:iCs/>
          <w:sz w:val="24"/>
          <w:szCs w:val="24"/>
        </w:rPr>
        <w:t>15</w:t>
      </w:r>
      <w:r w:rsidR="00CC0C5E">
        <w:rPr>
          <w:rFonts w:ascii="Times New Roman" w:eastAsia="Times New Roman" w:hAnsi="Times New Roman" w:cs="Times New Roman"/>
          <w:bCs/>
          <w:iCs/>
          <w:sz w:val="24"/>
          <w:szCs w:val="24"/>
        </w:rPr>
        <w:t>-20</w:t>
      </w:r>
      <w:r w:rsidRPr="005242B1">
        <w:rPr>
          <w:rFonts w:ascii="Times New Roman" w:eastAsia="Times New Roman" w:hAnsi="Times New Roman" w:cs="Times New Roman"/>
          <w:bCs/>
          <w:iCs/>
          <w:sz w:val="24"/>
          <w:szCs w:val="24"/>
        </w:rPr>
        <w:t xml:space="preserve"> minutes. For the purposes of estimating burden hours, the upper limit of this range is used.</w:t>
      </w:r>
      <w:r w:rsidR="00EA2912">
        <w:rPr>
          <w:rFonts w:ascii="Times New Roman" w:eastAsia="Times New Roman" w:hAnsi="Times New Roman" w:cs="Times New Roman"/>
          <w:bCs/>
          <w:iCs/>
          <w:sz w:val="24"/>
          <w:szCs w:val="24"/>
        </w:rPr>
        <w:t xml:space="preserve"> Two groups will respond to the Semi-Structured Questionnaire, an Exposed group and a Not Exposed group.  We anticipate a total of 16 burden hours for each group.</w:t>
      </w:r>
    </w:p>
    <w:p w:rsidR="00F677C0" w:rsidRDefault="00E26CCB" w:rsidP="003009B6">
      <w:p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 average time to complete the in-depth interview was 45 minutes per informant. </w:t>
      </w:r>
      <w:r w:rsidRPr="00E26CCB">
        <w:rPr>
          <w:rFonts w:ascii="Times New Roman" w:eastAsia="Times New Roman" w:hAnsi="Times New Roman" w:cs="Times New Roman"/>
          <w:bCs/>
          <w:iCs/>
          <w:sz w:val="24"/>
          <w:szCs w:val="24"/>
        </w:rPr>
        <w:t xml:space="preserve">Based on these results, the estimated time range for actual respondents to complete </w:t>
      </w:r>
      <w:r>
        <w:rPr>
          <w:rFonts w:ascii="Times New Roman" w:eastAsia="Times New Roman" w:hAnsi="Times New Roman" w:cs="Times New Roman"/>
          <w:bCs/>
          <w:iCs/>
          <w:sz w:val="24"/>
          <w:szCs w:val="24"/>
        </w:rPr>
        <w:t xml:space="preserve">the interview is 45-60 minutes. </w:t>
      </w:r>
      <w:r w:rsidRPr="00E26CCB">
        <w:rPr>
          <w:rFonts w:ascii="Times New Roman" w:eastAsia="Times New Roman" w:hAnsi="Times New Roman" w:cs="Times New Roman"/>
          <w:bCs/>
          <w:iCs/>
          <w:sz w:val="24"/>
          <w:szCs w:val="24"/>
        </w:rPr>
        <w:t>For the purposes of estimating burden hours, the up</w:t>
      </w:r>
      <w:r w:rsidR="003009B6">
        <w:rPr>
          <w:rFonts w:ascii="Times New Roman" w:eastAsia="Times New Roman" w:hAnsi="Times New Roman" w:cs="Times New Roman"/>
          <w:bCs/>
          <w:iCs/>
          <w:sz w:val="24"/>
          <w:szCs w:val="24"/>
        </w:rPr>
        <w:t>per limit of this range is used.</w:t>
      </w:r>
      <w:r w:rsidR="00F52BA1">
        <w:rPr>
          <w:rFonts w:ascii="Times New Roman" w:eastAsia="Times New Roman" w:hAnsi="Times New Roman" w:cs="Times New Roman"/>
          <w:bCs/>
          <w:iCs/>
          <w:sz w:val="24"/>
          <w:szCs w:val="24"/>
        </w:rPr>
        <w:t xml:space="preserve"> We anticipate 20 respondents for the In-Depth Interview, for a total of 20 burden hours.</w:t>
      </w:r>
    </w:p>
    <w:p w:rsidR="00E777D0" w:rsidRPr="005242B1" w:rsidRDefault="00E777D0" w:rsidP="00E777D0">
      <w:pPr>
        <w:spacing w:after="0" w:line="240" w:lineRule="auto"/>
        <w:contextualSpacing/>
        <w:rPr>
          <w:rFonts w:ascii="Times New Roman" w:eastAsia="Times New Roman" w:hAnsi="Times New Roman" w:cs="Times New Roman"/>
          <w:sz w:val="24"/>
          <w:szCs w:val="24"/>
        </w:rPr>
      </w:pPr>
      <w:r w:rsidRPr="009F6E9D">
        <w:rPr>
          <w:rFonts w:ascii="Times New Roman" w:eastAsia="Times New Roman" w:hAnsi="Times New Roman" w:cs="Times New Roman"/>
          <w:sz w:val="24"/>
          <w:szCs w:val="24"/>
        </w:rPr>
        <w:t>Information will be collected over a 6 month time period. There are no costs to respondents except their time to participate in the research activities. The total annualized burden</w:t>
      </w:r>
      <w:r>
        <w:rPr>
          <w:rFonts w:ascii="Times New Roman" w:eastAsia="Times New Roman" w:hAnsi="Times New Roman" w:cs="Times New Roman"/>
          <w:sz w:val="24"/>
          <w:szCs w:val="24"/>
        </w:rPr>
        <w:t xml:space="preserve">, as indicated in Table 12.A, </w:t>
      </w:r>
      <w:r w:rsidRPr="009F6E9D">
        <w:rPr>
          <w:rFonts w:ascii="Times New Roman" w:eastAsia="Times New Roman" w:hAnsi="Times New Roman" w:cs="Times New Roman"/>
          <w:sz w:val="24"/>
          <w:szCs w:val="24"/>
        </w:rPr>
        <w:t xml:space="preserve">is </w:t>
      </w:r>
      <w:r w:rsidR="00CF384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1 </w:t>
      </w:r>
      <w:r w:rsidRPr="009F6E9D">
        <w:rPr>
          <w:rFonts w:ascii="Times New Roman" w:eastAsia="Times New Roman" w:hAnsi="Times New Roman" w:cs="Times New Roman"/>
          <w:sz w:val="24"/>
          <w:szCs w:val="24"/>
        </w:rPr>
        <w:t>hours.</w:t>
      </w:r>
    </w:p>
    <w:p w:rsidR="00E777D0" w:rsidRPr="003009B6" w:rsidRDefault="00E777D0" w:rsidP="003009B6">
      <w:pPr>
        <w:spacing w:line="240" w:lineRule="auto"/>
        <w:rPr>
          <w:rFonts w:ascii="Times New Roman" w:eastAsia="Times New Roman" w:hAnsi="Times New Roman" w:cs="Times New Roman"/>
          <w:bCs/>
          <w:iCs/>
          <w:sz w:val="24"/>
          <w:szCs w:val="24"/>
        </w:rPr>
      </w:pPr>
    </w:p>
    <w:p w:rsidR="00F677C0" w:rsidRPr="005242B1" w:rsidRDefault="00F677C0" w:rsidP="005242B1">
      <w:pPr>
        <w:spacing w:after="0" w:line="240" w:lineRule="auto"/>
        <w:outlineLvl w:val="0"/>
        <w:rPr>
          <w:rFonts w:ascii="Times New Roman" w:eastAsia="Times New Roman" w:hAnsi="Times New Roman" w:cs="Times New Roman"/>
          <w:b/>
          <w:bCs/>
          <w:sz w:val="24"/>
          <w:szCs w:val="24"/>
        </w:rPr>
      </w:pPr>
    </w:p>
    <w:p w:rsidR="00FA724A" w:rsidRPr="002537EE" w:rsidRDefault="004F715A" w:rsidP="002537EE">
      <w:pPr>
        <w:spacing w:after="0" w:line="240" w:lineRule="auto"/>
        <w:outlineLvl w:val="0"/>
        <w:rPr>
          <w:rFonts w:ascii="Times New Roman" w:eastAsia="Times New Roman" w:hAnsi="Times New Roman" w:cs="Times New Roman"/>
          <w:b/>
          <w:sz w:val="24"/>
          <w:szCs w:val="24"/>
        </w:rPr>
      </w:pPr>
      <w:bookmarkStart w:id="1" w:name="_Toc295818078"/>
      <w:bookmarkStart w:id="2" w:name="_Toc295819851"/>
      <w:bookmarkStart w:id="3" w:name="_Toc299968005"/>
      <w:r>
        <w:rPr>
          <w:rFonts w:ascii="Times New Roman" w:eastAsia="Times New Roman" w:hAnsi="Times New Roman" w:cs="Times New Roman"/>
          <w:b/>
          <w:bCs/>
          <w:sz w:val="24"/>
          <w:szCs w:val="24"/>
        </w:rPr>
        <w:t>Table 12.</w:t>
      </w:r>
      <w:r w:rsidR="00FA724A" w:rsidRPr="002537EE">
        <w:rPr>
          <w:rFonts w:ascii="Times New Roman" w:eastAsia="Times New Roman" w:hAnsi="Times New Roman" w:cs="Times New Roman"/>
          <w:b/>
          <w:bCs/>
          <w:sz w:val="24"/>
          <w:szCs w:val="24"/>
        </w:rPr>
        <w:t>A: Estimated Annualized Burden to Respondents</w:t>
      </w:r>
      <w:bookmarkEnd w:id="1"/>
      <w:bookmarkEnd w:id="2"/>
      <w:bookmarkEnd w:id="3"/>
    </w:p>
    <w:tbl>
      <w:tblPr>
        <w:tblStyle w:val="TableGrid2"/>
        <w:tblW w:w="0" w:type="auto"/>
        <w:tblLayout w:type="fixed"/>
        <w:tblLook w:val="04A0" w:firstRow="1" w:lastRow="0" w:firstColumn="1" w:lastColumn="0" w:noHBand="0" w:noVBand="1"/>
      </w:tblPr>
      <w:tblGrid>
        <w:gridCol w:w="1998"/>
        <w:gridCol w:w="1890"/>
        <w:gridCol w:w="1530"/>
        <w:gridCol w:w="1440"/>
        <w:gridCol w:w="1440"/>
        <w:gridCol w:w="1278"/>
      </w:tblGrid>
      <w:tr w:rsidR="005242B1" w:rsidRPr="005242B1" w:rsidTr="00D618A3">
        <w:trPr>
          <w:tblHeader/>
        </w:trPr>
        <w:tc>
          <w:tcPr>
            <w:tcW w:w="1998" w:type="dxa"/>
          </w:tcPr>
          <w:p w:rsidR="00FA724A" w:rsidRPr="005242B1" w:rsidRDefault="00FA724A" w:rsidP="00D618A3">
            <w:pPr>
              <w:spacing w:before="120" w:after="120"/>
              <w:jc w:val="center"/>
              <w:rPr>
                <w:sz w:val="24"/>
                <w:szCs w:val="24"/>
              </w:rPr>
            </w:pPr>
            <w:r w:rsidRPr="005242B1">
              <w:rPr>
                <w:b/>
                <w:sz w:val="24"/>
                <w:szCs w:val="24"/>
              </w:rPr>
              <w:t>Type of Respondents</w:t>
            </w:r>
          </w:p>
        </w:tc>
        <w:tc>
          <w:tcPr>
            <w:tcW w:w="1890" w:type="dxa"/>
          </w:tcPr>
          <w:p w:rsidR="00FA724A" w:rsidRPr="005242B1" w:rsidRDefault="00FA724A" w:rsidP="00D618A3">
            <w:pPr>
              <w:spacing w:before="120" w:after="120"/>
              <w:jc w:val="center"/>
              <w:rPr>
                <w:sz w:val="24"/>
                <w:szCs w:val="24"/>
              </w:rPr>
            </w:pPr>
            <w:r w:rsidRPr="005242B1">
              <w:rPr>
                <w:b/>
                <w:sz w:val="24"/>
                <w:szCs w:val="24"/>
              </w:rPr>
              <w:t>Form Name</w:t>
            </w:r>
          </w:p>
        </w:tc>
        <w:tc>
          <w:tcPr>
            <w:tcW w:w="1530" w:type="dxa"/>
          </w:tcPr>
          <w:p w:rsidR="00FA724A" w:rsidRPr="005242B1" w:rsidRDefault="00FA724A" w:rsidP="00D618A3">
            <w:pPr>
              <w:spacing w:before="120" w:after="120"/>
              <w:jc w:val="center"/>
              <w:rPr>
                <w:b/>
                <w:sz w:val="24"/>
                <w:szCs w:val="24"/>
              </w:rPr>
            </w:pPr>
            <w:r w:rsidRPr="005242B1">
              <w:rPr>
                <w:b/>
                <w:sz w:val="24"/>
                <w:szCs w:val="24"/>
              </w:rPr>
              <w:t>Number of Respondents</w:t>
            </w:r>
          </w:p>
        </w:tc>
        <w:tc>
          <w:tcPr>
            <w:tcW w:w="1440" w:type="dxa"/>
          </w:tcPr>
          <w:p w:rsidR="00FA724A" w:rsidRPr="005242B1" w:rsidRDefault="00FA724A" w:rsidP="00D618A3">
            <w:pPr>
              <w:spacing w:before="120" w:after="120"/>
              <w:jc w:val="center"/>
              <w:rPr>
                <w:b/>
                <w:sz w:val="24"/>
                <w:szCs w:val="24"/>
              </w:rPr>
            </w:pPr>
            <w:r w:rsidRPr="005242B1">
              <w:rPr>
                <w:b/>
                <w:sz w:val="24"/>
                <w:szCs w:val="24"/>
              </w:rPr>
              <w:t>Number of Responses per Respondent</w:t>
            </w:r>
          </w:p>
        </w:tc>
        <w:tc>
          <w:tcPr>
            <w:tcW w:w="1440" w:type="dxa"/>
          </w:tcPr>
          <w:p w:rsidR="00FA724A" w:rsidRPr="005242B1" w:rsidRDefault="00FA724A" w:rsidP="00D618A3">
            <w:pPr>
              <w:spacing w:before="120" w:after="120"/>
              <w:jc w:val="center"/>
              <w:rPr>
                <w:b/>
                <w:sz w:val="24"/>
                <w:szCs w:val="24"/>
              </w:rPr>
            </w:pPr>
            <w:r w:rsidRPr="005242B1">
              <w:rPr>
                <w:b/>
                <w:sz w:val="24"/>
                <w:szCs w:val="24"/>
              </w:rPr>
              <w:t>Average Burden per Response (in hours)</w:t>
            </w:r>
          </w:p>
        </w:tc>
        <w:tc>
          <w:tcPr>
            <w:tcW w:w="1278" w:type="dxa"/>
          </w:tcPr>
          <w:p w:rsidR="00FA724A" w:rsidRPr="005242B1" w:rsidRDefault="00FA724A" w:rsidP="004F715A">
            <w:pPr>
              <w:spacing w:before="120" w:after="120"/>
              <w:jc w:val="center"/>
              <w:rPr>
                <w:b/>
                <w:sz w:val="24"/>
                <w:szCs w:val="24"/>
              </w:rPr>
            </w:pPr>
            <w:r w:rsidRPr="005242B1">
              <w:rPr>
                <w:b/>
                <w:sz w:val="24"/>
                <w:szCs w:val="24"/>
              </w:rPr>
              <w:t>Total Burden</w:t>
            </w:r>
            <w:r w:rsidR="004F715A">
              <w:rPr>
                <w:b/>
                <w:sz w:val="24"/>
                <w:szCs w:val="24"/>
              </w:rPr>
              <w:t xml:space="preserve"> Hours</w:t>
            </w:r>
          </w:p>
        </w:tc>
      </w:tr>
      <w:tr w:rsidR="005242B1" w:rsidRPr="005242B1" w:rsidTr="00F677C0">
        <w:trPr>
          <w:trHeight w:val="386"/>
        </w:trPr>
        <w:tc>
          <w:tcPr>
            <w:tcW w:w="1998" w:type="dxa"/>
          </w:tcPr>
          <w:p w:rsidR="00FA724A" w:rsidRPr="005242B1" w:rsidRDefault="00934C88" w:rsidP="005242B1">
            <w:pPr>
              <w:spacing w:before="120" w:after="120"/>
              <w:rPr>
                <w:sz w:val="24"/>
                <w:szCs w:val="24"/>
              </w:rPr>
            </w:pPr>
            <w:r w:rsidRPr="005242B1">
              <w:rPr>
                <w:sz w:val="24"/>
                <w:szCs w:val="24"/>
              </w:rPr>
              <w:t>International Panel Physicians</w:t>
            </w:r>
          </w:p>
        </w:tc>
        <w:tc>
          <w:tcPr>
            <w:tcW w:w="1890" w:type="dxa"/>
          </w:tcPr>
          <w:p w:rsidR="00FA724A" w:rsidRPr="005242B1" w:rsidRDefault="00CC0C5E" w:rsidP="005242B1">
            <w:pPr>
              <w:spacing w:before="120" w:after="120"/>
              <w:rPr>
                <w:sz w:val="24"/>
                <w:szCs w:val="24"/>
              </w:rPr>
            </w:pPr>
            <w:r>
              <w:rPr>
                <w:sz w:val="24"/>
                <w:szCs w:val="24"/>
              </w:rPr>
              <w:t>Pre-Knowledge Aptitude Survey</w:t>
            </w:r>
          </w:p>
        </w:tc>
        <w:tc>
          <w:tcPr>
            <w:tcW w:w="1530" w:type="dxa"/>
          </w:tcPr>
          <w:p w:rsidR="00FA724A" w:rsidRPr="005242B1" w:rsidRDefault="00CC0C5E" w:rsidP="005242B1">
            <w:pPr>
              <w:spacing w:before="120" w:after="120"/>
              <w:jc w:val="center"/>
              <w:rPr>
                <w:sz w:val="24"/>
                <w:szCs w:val="24"/>
              </w:rPr>
            </w:pPr>
            <w:r>
              <w:rPr>
                <w:sz w:val="24"/>
                <w:szCs w:val="24"/>
              </w:rPr>
              <w:t>95</w:t>
            </w:r>
          </w:p>
        </w:tc>
        <w:tc>
          <w:tcPr>
            <w:tcW w:w="1440" w:type="dxa"/>
          </w:tcPr>
          <w:p w:rsidR="00FA724A" w:rsidRPr="005242B1" w:rsidRDefault="00FA724A" w:rsidP="005242B1">
            <w:pPr>
              <w:spacing w:before="120" w:after="120"/>
              <w:jc w:val="center"/>
              <w:rPr>
                <w:sz w:val="24"/>
                <w:szCs w:val="24"/>
              </w:rPr>
            </w:pPr>
            <w:r w:rsidRPr="005242B1">
              <w:rPr>
                <w:sz w:val="24"/>
                <w:szCs w:val="24"/>
              </w:rPr>
              <w:t>1</w:t>
            </w:r>
          </w:p>
        </w:tc>
        <w:tc>
          <w:tcPr>
            <w:tcW w:w="1440" w:type="dxa"/>
          </w:tcPr>
          <w:p w:rsidR="00FA724A" w:rsidRPr="005242B1" w:rsidRDefault="007B2DEC" w:rsidP="005242B1">
            <w:pPr>
              <w:spacing w:before="120" w:after="120"/>
              <w:jc w:val="center"/>
              <w:rPr>
                <w:sz w:val="24"/>
                <w:szCs w:val="24"/>
              </w:rPr>
            </w:pPr>
            <w:r w:rsidRPr="005242B1">
              <w:rPr>
                <w:sz w:val="24"/>
                <w:szCs w:val="24"/>
              </w:rPr>
              <w:t>12</w:t>
            </w:r>
            <w:r w:rsidR="00FA724A" w:rsidRPr="005242B1">
              <w:rPr>
                <w:sz w:val="24"/>
                <w:szCs w:val="24"/>
              </w:rPr>
              <w:t>/60</w:t>
            </w:r>
          </w:p>
        </w:tc>
        <w:tc>
          <w:tcPr>
            <w:tcW w:w="1278" w:type="dxa"/>
          </w:tcPr>
          <w:p w:rsidR="00FA724A" w:rsidRPr="005242B1" w:rsidRDefault="00BE5595" w:rsidP="005242B1">
            <w:pPr>
              <w:spacing w:before="120" w:after="120"/>
              <w:jc w:val="center"/>
              <w:rPr>
                <w:sz w:val="24"/>
                <w:szCs w:val="24"/>
              </w:rPr>
            </w:pPr>
            <w:r>
              <w:rPr>
                <w:sz w:val="24"/>
                <w:szCs w:val="24"/>
              </w:rPr>
              <w:t>19</w:t>
            </w:r>
          </w:p>
        </w:tc>
      </w:tr>
      <w:tr w:rsidR="005242B1" w:rsidRPr="005242B1" w:rsidTr="00F677C0">
        <w:trPr>
          <w:trHeight w:val="386"/>
        </w:trPr>
        <w:tc>
          <w:tcPr>
            <w:tcW w:w="1998" w:type="dxa"/>
          </w:tcPr>
          <w:p w:rsidR="00FA724A" w:rsidRPr="005242B1" w:rsidRDefault="00934C88" w:rsidP="005242B1">
            <w:pPr>
              <w:spacing w:before="120" w:after="120"/>
              <w:rPr>
                <w:sz w:val="24"/>
                <w:szCs w:val="24"/>
              </w:rPr>
            </w:pPr>
            <w:r w:rsidRPr="005242B1">
              <w:rPr>
                <w:sz w:val="24"/>
                <w:szCs w:val="24"/>
              </w:rPr>
              <w:t>International Panel Physicians</w:t>
            </w:r>
          </w:p>
        </w:tc>
        <w:tc>
          <w:tcPr>
            <w:tcW w:w="1890" w:type="dxa"/>
          </w:tcPr>
          <w:p w:rsidR="00FA724A" w:rsidRPr="005242B1" w:rsidRDefault="00934C88" w:rsidP="005242B1">
            <w:pPr>
              <w:spacing w:before="120" w:after="120"/>
              <w:rPr>
                <w:sz w:val="24"/>
                <w:szCs w:val="24"/>
              </w:rPr>
            </w:pPr>
            <w:r w:rsidRPr="005242B1">
              <w:rPr>
                <w:sz w:val="24"/>
                <w:szCs w:val="24"/>
              </w:rPr>
              <w:t>Exposed Group Semi-Structured Questionnaire</w:t>
            </w:r>
          </w:p>
        </w:tc>
        <w:tc>
          <w:tcPr>
            <w:tcW w:w="1530" w:type="dxa"/>
          </w:tcPr>
          <w:p w:rsidR="00FA724A" w:rsidRPr="005242B1" w:rsidRDefault="00BE5595" w:rsidP="005242B1">
            <w:pPr>
              <w:spacing w:before="120" w:after="120"/>
              <w:jc w:val="center"/>
              <w:rPr>
                <w:sz w:val="24"/>
                <w:szCs w:val="24"/>
              </w:rPr>
            </w:pPr>
            <w:r>
              <w:rPr>
                <w:sz w:val="24"/>
                <w:szCs w:val="24"/>
              </w:rPr>
              <w:t>48</w:t>
            </w:r>
          </w:p>
        </w:tc>
        <w:tc>
          <w:tcPr>
            <w:tcW w:w="1440" w:type="dxa"/>
          </w:tcPr>
          <w:p w:rsidR="00FA724A" w:rsidRPr="005242B1" w:rsidRDefault="00E26CCB" w:rsidP="005242B1">
            <w:pPr>
              <w:spacing w:before="120" w:after="120"/>
              <w:jc w:val="center"/>
              <w:rPr>
                <w:sz w:val="24"/>
                <w:szCs w:val="24"/>
              </w:rPr>
            </w:pPr>
            <w:r>
              <w:rPr>
                <w:sz w:val="24"/>
                <w:szCs w:val="24"/>
              </w:rPr>
              <w:t>1</w:t>
            </w:r>
          </w:p>
        </w:tc>
        <w:tc>
          <w:tcPr>
            <w:tcW w:w="1440" w:type="dxa"/>
          </w:tcPr>
          <w:p w:rsidR="00FA724A" w:rsidRPr="005242B1" w:rsidRDefault="00E26CCB" w:rsidP="005242B1">
            <w:pPr>
              <w:spacing w:before="120" w:after="120"/>
              <w:jc w:val="center"/>
              <w:rPr>
                <w:sz w:val="24"/>
                <w:szCs w:val="24"/>
              </w:rPr>
            </w:pPr>
            <w:r>
              <w:rPr>
                <w:sz w:val="24"/>
                <w:szCs w:val="24"/>
              </w:rPr>
              <w:t>20</w:t>
            </w:r>
            <w:r w:rsidR="00FA724A" w:rsidRPr="005242B1">
              <w:rPr>
                <w:sz w:val="24"/>
                <w:szCs w:val="24"/>
              </w:rPr>
              <w:t>/60</w:t>
            </w:r>
          </w:p>
        </w:tc>
        <w:tc>
          <w:tcPr>
            <w:tcW w:w="1278" w:type="dxa"/>
          </w:tcPr>
          <w:p w:rsidR="00FA724A" w:rsidRPr="005242B1" w:rsidRDefault="00E26CCB" w:rsidP="005242B1">
            <w:pPr>
              <w:spacing w:before="120" w:after="120"/>
              <w:jc w:val="center"/>
              <w:rPr>
                <w:sz w:val="24"/>
                <w:szCs w:val="24"/>
              </w:rPr>
            </w:pPr>
            <w:r>
              <w:rPr>
                <w:sz w:val="24"/>
                <w:szCs w:val="24"/>
              </w:rPr>
              <w:t>16</w:t>
            </w:r>
          </w:p>
        </w:tc>
      </w:tr>
      <w:tr w:rsidR="005242B1" w:rsidRPr="005242B1" w:rsidTr="00F677C0">
        <w:trPr>
          <w:trHeight w:val="386"/>
        </w:trPr>
        <w:tc>
          <w:tcPr>
            <w:tcW w:w="1998" w:type="dxa"/>
          </w:tcPr>
          <w:p w:rsidR="00FA724A" w:rsidRPr="005242B1" w:rsidRDefault="009F6E9D" w:rsidP="005242B1">
            <w:pPr>
              <w:spacing w:before="120" w:after="120"/>
              <w:rPr>
                <w:sz w:val="24"/>
                <w:szCs w:val="24"/>
              </w:rPr>
            </w:pPr>
            <w:r>
              <w:rPr>
                <w:sz w:val="24"/>
                <w:szCs w:val="24"/>
              </w:rPr>
              <w:t>International Panel Physicians</w:t>
            </w:r>
          </w:p>
        </w:tc>
        <w:tc>
          <w:tcPr>
            <w:tcW w:w="1890" w:type="dxa"/>
          </w:tcPr>
          <w:p w:rsidR="00FA724A" w:rsidRPr="005242B1" w:rsidRDefault="004E0FC6" w:rsidP="005242B1">
            <w:pPr>
              <w:spacing w:before="120" w:after="120"/>
              <w:rPr>
                <w:sz w:val="24"/>
                <w:szCs w:val="24"/>
              </w:rPr>
            </w:pPr>
            <w:r>
              <w:rPr>
                <w:sz w:val="24"/>
                <w:szCs w:val="24"/>
              </w:rPr>
              <w:t xml:space="preserve">Not </w:t>
            </w:r>
            <w:r w:rsidR="002C4055" w:rsidRPr="005242B1">
              <w:rPr>
                <w:sz w:val="24"/>
                <w:szCs w:val="24"/>
              </w:rPr>
              <w:t xml:space="preserve">Exposed Group Semi-Structured </w:t>
            </w:r>
            <w:r w:rsidR="002C4055" w:rsidRPr="005242B1">
              <w:rPr>
                <w:sz w:val="24"/>
                <w:szCs w:val="24"/>
              </w:rPr>
              <w:lastRenderedPageBreak/>
              <w:t>Questionnaire</w:t>
            </w:r>
          </w:p>
        </w:tc>
        <w:tc>
          <w:tcPr>
            <w:tcW w:w="1530" w:type="dxa"/>
          </w:tcPr>
          <w:p w:rsidR="00FA724A" w:rsidRPr="005242B1" w:rsidRDefault="00BE5595" w:rsidP="005242B1">
            <w:pPr>
              <w:spacing w:before="120" w:after="120"/>
              <w:jc w:val="center"/>
              <w:rPr>
                <w:sz w:val="24"/>
                <w:szCs w:val="24"/>
              </w:rPr>
            </w:pPr>
            <w:r>
              <w:rPr>
                <w:sz w:val="24"/>
                <w:szCs w:val="24"/>
              </w:rPr>
              <w:lastRenderedPageBreak/>
              <w:t>47</w:t>
            </w:r>
          </w:p>
        </w:tc>
        <w:tc>
          <w:tcPr>
            <w:tcW w:w="1440" w:type="dxa"/>
          </w:tcPr>
          <w:p w:rsidR="00FA724A" w:rsidRPr="005242B1" w:rsidRDefault="00F677C0" w:rsidP="005242B1">
            <w:pPr>
              <w:spacing w:before="120" w:after="120"/>
              <w:jc w:val="center"/>
              <w:rPr>
                <w:sz w:val="24"/>
                <w:szCs w:val="24"/>
              </w:rPr>
            </w:pPr>
            <w:r>
              <w:rPr>
                <w:sz w:val="24"/>
                <w:szCs w:val="24"/>
              </w:rPr>
              <w:t>1</w:t>
            </w:r>
          </w:p>
        </w:tc>
        <w:tc>
          <w:tcPr>
            <w:tcW w:w="1440" w:type="dxa"/>
          </w:tcPr>
          <w:p w:rsidR="00FA724A" w:rsidRPr="005242B1" w:rsidRDefault="00F677C0" w:rsidP="005242B1">
            <w:pPr>
              <w:spacing w:before="120" w:after="120"/>
              <w:jc w:val="center"/>
              <w:rPr>
                <w:sz w:val="24"/>
                <w:szCs w:val="24"/>
              </w:rPr>
            </w:pPr>
            <w:r>
              <w:rPr>
                <w:sz w:val="24"/>
                <w:szCs w:val="24"/>
              </w:rPr>
              <w:t>2</w:t>
            </w:r>
            <w:r w:rsidR="00BE5595">
              <w:rPr>
                <w:sz w:val="24"/>
                <w:szCs w:val="24"/>
              </w:rPr>
              <w:t>0</w:t>
            </w:r>
            <w:r w:rsidR="002C4055" w:rsidRPr="005242B1">
              <w:rPr>
                <w:sz w:val="24"/>
                <w:szCs w:val="24"/>
              </w:rPr>
              <w:t>/60</w:t>
            </w:r>
          </w:p>
        </w:tc>
        <w:tc>
          <w:tcPr>
            <w:tcW w:w="1278" w:type="dxa"/>
          </w:tcPr>
          <w:p w:rsidR="00FA724A" w:rsidRPr="005242B1" w:rsidRDefault="00F677C0" w:rsidP="005242B1">
            <w:pPr>
              <w:spacing w:before="120" w:after="120"/>
              <w:jc w:val="center"/>
              <w:rPr>
                <w:sz w:val="24"/>
                <w:szCs w:val="24"/>
              </w:rPr>
            </w:pPr>
            <w:r>
              <w:rPr>
                <w:sz w:val="24"/>
                <w:szCs w:val="24"/>
              </w:rPr>
              <w:t>16</w:t>
            </w:r>
          </w:p>
        </w:tc>
      </w:tr>
      <w:tr w:rsidR="00F677C0" w:rsidRPr="005242B1" w:rsidTr="00F677C0">
        <w:trPr>
          <w:trHeight w:val="386"/>
        </w:trPr>
        <w:tc>
          <w:tcPr>
            <w:tcW w:w="1998" w:type="dxa"/>
          </w:tcPr>
          <w:p w:rsidR="00F677C0" w:rsidRDefault="00F677C0" w:rsidP="005242B1">
            <w:pPr>
              <w:spacing w:before="120" w:after="120"/>
              <w:rPr>
                <w:sz w:val="24"/>
                <w:szCs w:val="24"/>
              </w:rPr>
            </w:pPr>
            <w:r>
              <w:rPr>
                <w:sz w:val="24"/>
                <w:szCs w:val="24"/>
              </w:rPr>
              <w:lastRenderedPageBreak/>
              <w:t>International Panel Physicians and other  medical staff at panel sites</w:t>
            </w:r>
          </w:p>
        </w:tc>
        <w:tc>
          <w:tcPr>
            <w:tcW w:w="1890" w:type="dxa"/>
          </w:tcPr>
          <w:p w:rsidR="00F677C0" w:rsidRDefault="00CF384D" w:rsidP="005242B1">
            <w:pPr>
              <w:spacing w:before="120" w:after="120"/>
              <w:rPr>
                <w:sz w:val="24"/>
                <w:szCs w:val="24"/>
              </w:rPr>
            </w:pPr>
            <w:r>
              <w:rPr>
                <w:sz w:val="24"/>
                <w:szCs w:val="24"/>
              </w:rPr>
              <w:t>In-Depth Interview Guide</w:t>
            </w:r>
          </w:p>
        </w:tc>
        <w:tc>
          <w:tcPr>
            <w:tcW w:w="1530" w:type="dxa"/>
          </w:tcPr>
          <w:p w:rsidR="00F677C0" w:rsidRDefault="00CF384D" w:rsidP="005242B1">
            <w:pPr>
              <w:spacing w:before="120" w:after="120"/>
              <w:jc w:val="center"/>
              <w:rPr>
                <w:sz w:val="24"/>
                <w:szCs w:val="24"/>
              </w:rPr>
            </w:pPr>
            <w:r>
              <w:rPr>
                <w:sz w:val="24"/>
                <w:szCs w:val="24"/>
              </w:rPr>
              <w:t>2</w:t>
            </w:r>
            <w:r w:rsidR="00F677C0">
              <w:rPr>
                <w:sz w:val="24"/>
                <w:szCs w:val="24"/>
              </w:rPr>
              <w:t>0</w:t>
            </w:r>
          </w:p>
        </w:tc>
        <w:tc>
          <w:tcPr>
            <w:tcW w:w="1440" w:type="dxa"/>
          </w:tcPr>
          <w:p w:rsidR="00F677C0" w:rsidRDefault="00F677C0" w:rsidP="005242B1">
            <w:pPr>
              <w:spacing w:before="120" w:after="120"/>
              <w:jc w:val="center"/>
              <w:rPr>
                <w:sz w:val="24"/>
                <w:szCs w:val="24"/>
              </w:rPr>
            </w:pPr>
            <w:r>
              <w:rPr>
                <w:sz w:val="24"/>
                <w:szCs w:val="24"/>
              </w:rPr>
              <w:t>1</w:t>
            </w:r>
          </w:p>
        </w:tc>
        <w:tc>
          <w:tcPr>
            <w:tcW w:w="1440" w:type="dxa"/>
          </w:tcPr>
          <w:p w:rsidR="00F677C0" w:rsidRDefault="00CB1240" w:rsidP="005242B1">
            <w:pPr>
              <w:spacing w:before="120" w:after="120"/>
              <w:jc w:val="center"/>
              <w:rPr>
                <w:sz w:val="24"/>
                <w:szCs w:val="24"/>
              </w:rPr>
            </w:pPr>
            <w:r>
              <w:rPr>
                <w:sz w:val="24"/>
                <w:szCs w:val="24"/>
              </w:rPr>
              <w:t>1</w:t>
            </w:r>
          </w:p>
        </w:tc>
        <w:tc>
          <w:tcPr>
            <w:tcW w:w="1278" w:type="dxa"/>
          </w:tcPr>
          <w:p w:rsidR="00F677C0" w:rsidRDefault="00CF384D" w:rsidP="005242B1">
            <w:pPr>
              <w:spacing w:before="120" w:after="120"/>
              <w:jc w:val="center"/>
              <w:rPr>
                <w:sz w:val="24"/>
                <w:szCs w:val="24"/>
              </w:rPr>
            </w:pPr>
            <w:r>
              <w:rPr>
                <w:sz w:val="24"/>
                <w:szCs w:val="24"/>
              </w:rPr>
              <w:t>2</w:t>
            </w:r>
            <w:r w:rsidR="00F677C0">
              <w:rPr>
                <w:sz w:val="24"/>
                <w:szCs w:val="24"/>
              </w:rPr>
              <w:t>0</w:t>
            </w:r>
          </w:p>
        </w:tc>
      </w:tr>
      <w:tr w:rsidR="005242B1" w:rsidRPr="005242B1" w:rsidTr="00F677C0">
        <w:tc>
          <w:tcPr>
            <w:tcW w:w="1998" w:type="dxa"/>
          </w:tcPr>
          <w:p w:rsidR="00FA724A" w:rsidRPr="00AD1604" w:rsidRDefault="00FA724A" w:rsidP="005242B1">
            <w:pPr>
              <w:spacing w:before="120" w:after="120"/>
              <w:rPr>
                <w:b/>
                <w:sz w:val="24"/>
                <w:szCs w:val="24"/>
              </w:rPr>
            </w:pPr>
            <w:r w:rsidRPr="00AD1604">
              <w:rPr>
                <w:b/>
                <w:sz w:val="24"/>
                <w:szCs w:val="24"/>
              </w:rPr>
              <w:t>TOTAL</w:t>
            </w:r>
          </w:p>
        </w:tc>
        <w:tc>
          <w:tcPr>
            <w:tcW w:w="7578" w:type="dxa"/>
            <w:gridSpan w:val="5"/>
          </w:tcPr>
          <w:p w:rsidR="00FA724A" w:rsidRPr="00AD1604" w:rsidRDefault="009F6E9D" w:rsidP="007F60F9">
            <w:pPr>
              <w:spacing w:before="120" w:after="120"/>
              <w:rPr>
                <w:b/>
                <w:sz w:val="24"/>
                <w:szCs w:val="24"/>
              </w:rPr>
            </w:pPr>
            <w:r w:rsidRPr="00AD1604">
              <w:rPr>
                <w:b/>
                <w:sz w:val="24"/>
                <w:szCs w:val="24"/>
              </w:rPr>
              <w:t xml:space="preserve">                                                                               </w:t>
            </w:r>
            <w:r w:rsidR="00055918">
              <w:rPr>
                <w:b/>
                <w:sz w:val="24"/>
                <w:szCs w:val="24"/>
              </w:rPr>
              <w:t xml:space="preserve">                             </w:t>
            </w:r>
            <w:r w:rsidR="007F60F9">
              <w:rPr>
                <w:b/>
                <w:sz w:val="24"/>
                <w:szCs w:val="24"/>
              </w:rPr>
              <w:t>7</w:t>
            </w:r>
            <w:r w:rsidR="00CF384D">
              <w:rPr>
                <w:b/>
                <w:sz w:val="24"/>
                <w:szCs w:val="24"/>
              </w:rPr>
              <w:t>1</w:t>
            </w:r>
          </w:p>
        </w:tc>
      </w:tr>
    </w:tbl>
    <w:p w:rsidR="00FA724A" w:rsidRPr="005242B1" w:rsidRDefault="00FA724A" w:rsidP="005242B1">
      <w:pPr>
        <w:spacing w:after="0" w:line="240" w:lineRule="auto"/>
        <w:rPr>
          <w:rFonts w:ascii="Times New Roman" w:eastAsia="Times New Roman" w:hAnsi="Times New Roman" w:cs="Times New Roman"/>
          <w:sz w:val="24"/>
          <w:szCs w:val="24"/>
        </w:rPr>
      </w:pPr>
    </w:p>
    <w:p w:rsidR="007B2DEC" w:rsidRDefault="007B2DEC" w:rsidP="005242B1">
      <w:pPr>
        <w:tabs>
          <w:tab w:val="left" w:pos="-1440"/>
        </w:tabs>
        <w:spacing w:line="240" w:lineRule="auto"/>
        <w:ind w:right="720"/>
        <w:rPr>
          <w:rFonts w:ascii="Times New Roman" w:hAnsi="Times New Roman" w:cs="Times New Roman"/>
          <w:sz w:val="24"/>
          <w:szCs w:val="24"/>
        </w:rPr>
      </w:pPr>
    </w:p>
    <w:p w:rsidR="00E777D0" w:rsidRPr="005242B1" w:rsidRDefault="00E777D0" w:rsidP="005242B1">
      <w:pPr>
        <w:tabs>
          <w:tab w:val="left" w:pos="-1440"/>
        </w:tabs>
        <w:spacing w:line="240" w:lineRule="auto"/>
        <w:ind w:right="720"/>
        <w:rPr>
          <w:rFonts w:ascii="Times New Roman" w:hAnsi="Times New Roman" w:cs="Times New Roman"/>
          <w:sz w:val="24"/>
          <w:szCs w:val="24"/>
        </w:rPr>
      </w:pPr>
    </w:p>
    <w:p w:rsidR="002537EE" w:rsidRPr="003009B6" w:rsidRDefault="00B45B75" w:rsidP="003009B6">
      <w:pPr>
        <w:tabs>
          <w:tab w:val="left" w:pos="-1440"/>
        </w:tabs>
        <w:spacing w:line="240" w:lineRule="auto"/>
        <w:ind w:right="720"/>
        <w:rPr>
          <w:rFonts w:ascii="Times New Roman" w:hAnsi="Times New Roman" w:cs="Times New Roman"/>
          <w:sz w:val="24"/>
          <w:szCs w:val="24"/>
        </w:rPr>
      </w:pPr>
      <w:r w:rsidRPr="005242B1">
        <w:rPr>
          <w:rFonts w:ascii="Times New Roman" w:hAnsi="Times New Roman" w:cs="Times New Roman"/>
          <w:sz w:val="24"/>
          <w:szCs w:val="24"/>
        </w:rPr>
        <w:t>B. All of the respondents will be internation</w:t>
      </w:r>
      <w:r w:rsidR="004F715A">
        <w:rPr>
          <w:rFonts w:ascii="Times New Roman" w:hAnsi="Times New Roman" w:cs="Times New Roman"/>
          <w:sz w:val="24"/>
          <w:szCs w:val="24"/>
        </w:rPr>
        <w:t>al panel physicians. Table 12.</w:t>
      </w:r>
      <w:r w:rsidRPr="005242B1">
        <w:rPr>
          <w:rFonts w:ascii="Times New Roman" w:hAnsi="Times New Roman" w:cs="Times New Roman"/>
          <w:sz w:val="24"/>
          <w:szCs w:val="24"/>
        </w:rPr>
        <w:t xml:space="preserve">B presents the calculations for cost of respondents’ time using </w:t>
      </w:r>
      <w:r w:rsidR="007B2DEC" w:rsidRPr="005242B1">
        <w:rPr>
          <w:rFonts w:ascii="Times New Roman" w:hAnsi="Times New Roman" w:cs="Times New Roman"/>
          <w:sz w:val="24"/>
          <w:szCs w:val="24"/>
        </w:rPr>
        <w:t xml:space="preserve">one category of mean hourly wages for </w:t>
      </w:r>
      <w:r w:rsidR="00DC7252">
        <w:rPr>
          <w:rFonts w:ascii="Times New Roman" w:hAnsi="Times New Roman" w:cs="Times New Roman"/>
          <w:sz w:val="24"/>
          <w:szCs w:val="24"/>
        </w:rPr>
        <w:t xml:space="preserve">a physician in the U.S. </w:t>
      </w:r>
      <w:r w:rsidRPr="005242B1">
        <w:rPr>
          <w:rFonts w:ascii="Times New Roman" w:hAnsi="Times New Roman" w:cs="Times New Roman"/>
          <w:sz w:val="24"/>
          <w:szCs w:val="24"/>
        </w:rPr>
        <w:t xml:space="preserve"> Hourly mean wage information is from the U.S. Department of Labor's Bu</w:t>
      </w:r>
      <w:r w:rsidR="00DC7252">
        <w:rPr>
          <w:rFonts w:ascii="Times New Roman" w:hAnsi="Times New Roman" w:cs="Times New Roman"/>
          <w:sz w:val="24"/>
          <w:szCs w:val="24"/>
        </w:rPr>
        <w:t>r</w:t>
      </w:r>
      <w:r w:rsidR="00F44780">
        <w:rPr>
          <w:rFonts w:ascii="Times New Roman" w:hAnsi="Times New Roman" w:cs="Times New Roman"/>
          <w:sz w:val="24"/>
          <w:szCs w:val="24"/>
        </w:rPr>
        <w:t xml:space="preserve">eau of Labor Statistics website </w:t>
      </w:r>
      <w:r w:rsidR="0093782F" w:rsidRPr="005242B1">
        <w:rPr>
          <w:rFonts w:ascii="Times New Roman" w:hAnsi="Times New Roman" w:cs="Times New Roman"/>
          <w:sz w:val="24"/>
          <w:szCs w:val="24"/>
        </w:rPr>
        <w:t>(http://www.bls.gov/cps/minwage2010.htm)</w:t>
      </w:r>
      <w:r w:rsidRPr="005242B1">
        <w:rPr>
          <w:rFonts w:ascii="Times New Roman" w:hAnsi="Times New Roman" w:cs="Times New Roman"/>
          <w:sz w:val="24"/>
          <w:szCs w:val="24"/>
        </w:rPr>
        <w:t>, specifically originating from the 2009 National Compensation Surve</w:t>
      </w:r>
      <w:r w:rsidRPr="00DC7252">
        <w:rPr>
          <w:rFonts w:ascii="Times New Roman" w:hAnsi="Times New Roman" w:cs="Times New Roman"/>
          <w:sz w:val="24"/>
          <w:szCs w:val="24"/>
        </w:rPr>
        <w:t>y.</w:t>
      </w:r>
      <w:r w:rsidR="0093782F" w:rsidRPr="00DC7252">
        <w:rPr>
          <w:rFonts w:ascii="Times New Roman" w:hAnsi="Times New Roman" w:cs="Times New Roman"/>
          <w:sz w:val="24"/>
          <w:szCs w:val="24"/>
        </w:rPr>
        <w:t xml:space="preserve"> </w:t>
      </w:r>
      <w:r w:rsidR="0093782F" w:rsidRPr="009F6E9D">
        <w:rPr>
          <w:rFonts w:ascii="Times New Roman" w:hAnsi="Times New Roman" w:cs="Times New Roman"/>
          <w:sz w:val="24"/>
          <w:szCs w:val="24"/>
        </w:rPr>
        <w:t>Based on DOL data, an average hourly wag</w:t>
      </w:r>
      <w:r w:rsidR="00DC7252">
        <w:rPr>
          <w:rFonts w:ascii="Times New Roman" w:hAnsi="Times New Roman" w:cs="Times New Roman"/>
          <w:sz w:val="24"/>
          <w:szCs w:val="24"/>
        </w:rPr>
        <w:t>e of $88.78</w:t>
      </w:r>
      <w:r w:rsidR="009F6E9D" w:rsidRPr="009F6E9D">
        <w:rPr>
          <w:rFonts w:ascii="Times New Roman" w:hAnsi="Times New Roman" w:cs="Times New Roman"/>
          <w:sz w:val="24"/>
          <w:szCs w:val="24"/>
        </w:rPr>
        <w:t xml:space="preserve"> is estimated for all </w:t>
      </w:r>
      <w:r w:rsidR="00BE5595">
        <w:rPr>
          <w:rFonts w:ascii="Times New Roman" w:hAnsi="Times New Roman" w:cs="Times New Roman"/>
          <w:sz w:val="24"/>
          <w:szCs w:val="24"/>
        </w:rPr>
        <w:t>95</w:t>
      </w:r>
      <w:r w:rsidR="003F1079">
        <w:rPr>
          <w:rFonts w:ascii="Times New Roman" w:hAnsi="Times New Roman" w:cs="Times New Roman"/>
          <w:sz w:val="24"/>
          <w:szCs w:val="24"/>
        </w:rPr>
        <w:t xml:space="preserve"> respondents. Table A.</w:t>
      </w:r>
      <w:r w:rsidR="0093782F" w:rsidRPr="009F6E9D">
        <w:rPr>
          <w:rFonts w:ascii="Times New Roman" w:hAnsi="Times New Roman" w:cs="Times New Roman"/>
          <w:sz w:val="24"/>
          <w:szCs w:val="24"/>
        </w:rPr>
        <w:t>12</w:t>
      </w:r>
      <w:r w:rsidR="003F1079">
        <w:rPr>
          <w:rFonts w:ascii="Times New Roman" w:hAnsi="Times New Roman" w:cs="Times New Roman"/>
          <w:sz w:val="24"/>
          <w:szCs w:val="24"/>
        </w:rPr>
        <w:t>-B</w:t>
      </w:r>
      <w:r w:rsidR="0093782F" w:rsidRPr="009F6E9D">
        <w:rPr>
          <w:rFonts w:ascii="Times New Roman" w:hAnsi="Times New Roman" w:cs="Times New Roman"/>
          <w:sz w:val="24"/>
          <w:szCs w:val="24"/>
        </w:rPr>
        <w:t xml:space="preserve"> shows estimated burden and cost information.</w:t>
      </w:r>
      <w:r w:rsidRPr="009F6E9D">
        <w:rPr>
          <w:rFonts w:ascii="Times New Roman" w:hAnsi="Times New Roman" w:cs="Times New Roman"/>
          <w:sz w:val="24"/>
          <w:szCs w:val="24"/>
        </w:rPr>
        <w:t xml:space="preserve"> </w:t>
      </w:r>
      <w:r w:rsidRPr="0023501E">
        <w:rPr>
          <w:rFonts w:ascii="Times New Roman" w:hAnsi="Times New Roman" w:cs="Times New Roman"/>
          <w:sz w:val="24"/>
          <w:szCs w:val="24"/>
        </w:rPr>
        <w:t>The total estim</w:t>
      </w:r>
      <w:r w:rsidR="003F1079">
        <w:rPr>
          <w:rFonts w:ascii="Times New Roman" w:hAnsi="Times New Roman" w:cs="Times New Roman"/>
          <w:sz w:val="24"/>
          <w:szCs w:val="24"/>
        </w:rPr>
        <w:t>ated annualized respondent cost</w:t>
      </w:r>
      <w:r w:rsidRPr="0023501E">
        <w:rPr>
          <w:rFonts w:ascii="Times New Roman" w:hAnsi="Times New Roman" w:cs="Times New Roman"/>
          <w:sz w:val="24"/>
          <w:szCs w:val="24"/>
        </w:rPr>
        <w:t xml:space="preserve"> is</w:t>
      </w:r>
      <w:r w:rsidR="003F1079">
        <w:rPr>
          <w:rFonts w:ascii="Times New Roman" w:hAnsi="Times New Roman" w:cs="Times New Roman"/>
          <w:sz w:val="24"/>
          <w:szCs w:val="24"/>
        </w:rPr>
        <w:t xml:space="preserve"> $</w:t>
      </w:r>
      <w:r w:rsidR="00CF384D">
        <w:rPr>
          <w:rFonts w:ascii="Times New Roman" w:hAnsi="Times New Roman" w:cs="Times New Roman"/>
          <w:sz w:val="24"/>
          <w:szCs w:val="24"/>
        </w:rPr>
        <w:t>6,319.</w:t>
      </w:r>
    </w:p>
    <w:p w:rsidR="00E97098" w:rsidRDefault="00E97098" w:rsidP="005242B1">
      <w:pPr>
        <w:pStyle w:val="ListParagraph"/>
        <w:autoSpaceDE w:val="0"/>
        <w:autoSpaceDN w:val="0"/>
        <w:adjustRightInd w:val="0"/>
        <w:spacing w:line="240" w:lineRule="auto"/>
        <w:ind w:left="0" w:right="720"/>
        <w:rPr>
          <w:rFonts w:ascii="Times New Roman" w:hAnsi="Times New Roman" w:cs="Times New Roman"/>
          <w:sz w:val="24"/>
          <w:szCs w:val="24"/>
        </w:rPr>
      </w:pPr>
    </w:p>
    <w:p w:rsidR="004D48F5" w:rsidRPr="00F677C0" w:rsidRDefault="004F715A" w:rsidP="00F677C0">
      <w:pPr>
        <w:pStyle w:val="ListParagraph"/>
        <w:autoSpaceDE w:val="0"/>
        <w:autoSpaceDN w:val="0"/>
        <w:adjustRightInd w:val="0"/>
        <w:spacing w:after="0" w:line="240" w:lineRule="auto"/>
        <w:ind w:left="0" w:right="720"/>
        <w:rPr>
          <w:rFonts w:ascii="Times New Roman" w:hAnsi="Times New Roman" w:cs="Times New Roman"/>
          <w:b/>
          <w:sz w:val="24"/>
          <w:szCs w:val="24"/>
        </w:rPr>
      </w:pPr>
      <w:r>
        <w:rPr>
          <w:rFonts w:ascii="Times New Roman" w:hAnsi="Times New Roman" w:cs="Times New Roman"/>
          <w:b/>
          <w:sz w:val="24"/>
          <w:szCs w:val="24"/>
        </w:rPr>
        <w:t xml:space="preserve">Table </w:t>
      </w:r>
      <w:r w:rsidR="004D48F5" w:rsidRPr="00F677C0">
        <w:rPr>
          <w:rFonts w:ascii="Times New Roman" w:hAnsi="Times New Roman" w:cs="Times New Roman"/>
          <w:b/>
          <w:sz w:val="24"/>
          <w:szCs w:val="24"/>
        </w:rPr>
        <w:t>12</w:t>
      </w:r>
      <w:r>
        <w:rPr>
          <w:rFonts w:ascii="Times New Roman" w:hAnsi="Times New Roman" w:cs="Times New Roman"/>
          <w:b/>
          <w:sz w:val="24"/>
          <w:szCs w:val="24"/>
        </w:rPr>
        <w:t>.</w:t>
      </w:r>
      <w:r w:rsidR="009F70E3" w:rsidRPr="00F677C0">
        <w:rPr>
          <w:rFonts w:ascii="Times New Roman" w:hAnsi="Times New Roman" w:cs="Times New Roman"/>
          <w:b/>
          <w:sz w:val="24"/>
          <w:szCs w:val="24"/>
        </w:rPr>
        <w:t>B</w:t>
      </w:r>
      <w:r w:rsidR="004D48F5" w:rsidRPr="00F677C0">
        <w:rPr>
          <w:rFonts w:ascii="Times New Roman" w:hAnsi="Times New Roman" w:cs="Times New Roman"/>
          <w:b/>
          <w:sz w:val="24"/>
          <w:szCs w:val="24"/>
        </w:rPr>
        <w:t xml:space="preserve">: Estimated Annualized Burden Hours </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890"/>
        <w:gridCol w:w="1620"/>
        <w:gridCol w:w="1350"/>
        <w:gridCol w:w="1710"/>
      </w:tblGrid>
      <w:tr w:rsidR="00DC7252" w:rsidRPr="005242B1" w:rsidTr="000B1DDC">
        <w:trPr>
          <w:trHeight w:val="1493"/>
        </w:trPr>
        <w:tc>
          <w:tcPr>
            <w:tcW w:w="1620" w:type="dxa"/>
            <w:tcBorders>
              <w:bottom w:val="single" w:sz="12" w:space="0" w:color="000000"/>
            </w:tcBorders>
            <w:shd w:val="clear" w:color="auto" w:fill="auto"/>
            <w:vAlign w:val="center"/>
          </w:tcPr>
          <w:p w:rsidR="00DC7252" w:rsidRPr="005242B1" w:rsidRDefault="00DC7252" w:rsidP="005242B1">
            <w:pPr>
              <w:spacing w:line="240" w:lineRule="auto"/>
              <w:jc w:val="center"/>
              <w:rPr>
                <w:rFonts w:ascii="Times New Roman" w:hAnsi="Times New Roman" w:cs="Times New Roman"/>
                <w:b/>
                <w:sz w:val="24"/>
                <w:szCs w:val="24"/>
              </w:rPr>
            </w:pPr>
            <w:r w:rsidRPr="005242B1">
              <w:rPr>
                <w:rFonts w:ascii="Times New Roman" w:hAnsi="Times New Roman" w:cs="Times New Roman"/>
                <w:b/>
                <w:sz w:val="24"/>
                <w:szCs w:val="24"/>
              </w:rPr>
              <w:t>Type of Respondent</w:t>
            </w:r>
          </w:p>
        </w:tc>
        <w:tc>
          <w:tcPr>
            <w:tcW w:w="1890" w:type="dxa"/>
            <w:tcBorders>
              <w:bottom w:val="single" w:sz="12" w:space="0" w:color="000000"/>
            </w:tcBorders>
            <w:shd w:val="clear" w:color="auto" w:fill="auto"/>
            <w:vAlign w:val="center"/>
          </w:tcPr>
          <w:p w:rsidR="00DC7252" w:rsidRPr="005242B1" w:rsidRDefault="00DC7252" w:rsidP="005242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Form Name</w:t>
            </w:r>
          </w:p>
        </w:tc>
        <w:tc>
          <w:tcPr>
            <w:tcW w:w="1620" w:type="dxa"/>
            <w:tcBorders>
              <w:bottom w:val="single" w:sz="12" w:space="0" w:color="000000"/>
            </w:tcBorders>
            <w:shd w:val="clear" w:color="auto" w:fill="auto"/>
            <w:vAlign w:val="center"/>
          </w:tcPr>
          <w:p w:rsidR="00DC7252" w:rsidRPr="005242B1" w:rsidRDefault="00DC7252" w:rsidP="005242B1">
            <w:pPr>
              <w:spacing w:line="240" w:lineRule="auto"/>
              <w:jc w:val="center"/>
              <w:rPr>
                <w:rFonts w:ascii="Times New Roman" w:hAnsi="Times New Roman" w:cs="Times New Roman"/>
                <w:b/>
                <w:sz w:val="24"/>
                <w:szCs w:val="24"/>
              </w:rPr>
            </w:pPr>
            <w:r w:rsidRPr="005242B1">
              <w:rPr>
                <w:rFonts w:ascii="Times New Roman" w:hAnsi="Times New Roman" w:cs="Times New Roman"/>
                <w:b/>
                <w:sz w:val="24"/>
                <w:szCs w:val="24"/>
              </w:rPr>
              <w:t>Total Burden Hours</w:t>
            </w:r>
          </w:p>
        </w:tc>
        <w:tc>
          <w:tcPr>
            <w:tcW w:w="1350" w:type="dxa"/>
            <w:tcBorders>
              <w:bottom w:val="single" w:sz="12" w:space="0" w:color="000000"/>
            </w:tcBorders>
            <w:shd w:val="clear" w:color="auto" w:fill="auto"/>
            <w:vAlign w:val="center"/>
          </w:tcPr>
          <w:p w:rsidR="00DC7252" w:rsidRPr="005242B1" w:rsidRDefault="00DC7252" w:rsidP="005242B1">
            <w:pPr>
              <w:spacing w:line="240" w:lineRule="auto"/>
              <w:jc w:val="center"/>
              <w:rPr>
                <w:rFonts w:ascii="Times New Roman" w:hAnsi="Times New Roman" w:cs="Times New Roman"/>
                <w:b/>
                <w:sz w:val="24"/>
                <w:szCs w:val="24"/>
              </w:rPr>
            </w:pPr>
            <w:r w:rsidRPr="005242B1">
              <w:rPr>
                <w:rFonts w:ascii="Times New Roman" w:hAnsi="Times New Roman" w:cs="Times New Roman"/>
                <w:b/>
                <w:sz w:val="24"/>
                <w:szCs w:val="24"/>
              </w:rPr>
              <w:t>Hourly Wage Rate</w:t>
            </w:r>
          </w:p>
        </w:tc>
        <w:tc>
          <w:tcPr>
            <w:tcW w:w="1710" w:type="dxa"/>
            <w:tcBorders>
              <w:bottom w:val="single" w:sz="12" w:space="0" w:color="000000"/>
            </w:tcBorders>
            <w:shd w:val="clear" w:color="auto" w:fill="auto"/>
            <w:vAlign w:val="center"/>
          </w:tcPr>
          <w:p w:rsidR="00DC7252" w:rsidRPr="005242B1" w:rsidRDefault="00DC7252" w:rsidP="005242B1">
            <w:pPr>
              <w:spacing w:line="240" w:lineRule="auto"/>
              <w:jc w:val="center"/>
              <w:rPr>
                <w:rFonts w:ascii="Times New Roman" w:hAnsi="Times New Roman" w:cs="Times New Roman"/>
                <w:b/>
                <w:sz w:val="24"/>
                <w:szCs w:val="24"/>
              </w:rPr>
            </w:pPr>
            <w:r w:rsidRPr="005242B1">
              <w:rPr>
                <w:rFonts w:ascii="Times New Roman" w:hAnsi="Times New Roman" w:cs="Times New Roman"/>
                <w:b/>
                <w:sz w:val="24"/>
                <w:szCs w:val="24"/>
              </w:rPr>
              <w:t>Total Respondent</w:t>
            </w:r>
            <w:r w:rsidR="00CF384D">
              <w:rPr>
                <w:rFonts w:ascii="Times New Roman" w:hAnsi="Times New Roman" w:cs="Times New Roman"/>
                <w:b/>
                <w:sz w:val="24"/>
                <w:szCs w:val="24"/>
              </w:rPr>
              <w:t>s’</w:t>
            </w:r>
            <w:r w:rsidRPr="005242B1">
              <w:rPr>
                <w:rFonts w:ascii="Times New Roman" w:hAnsi="Times New Roman" w:cs="Times New Roman"/>
                <w:b/>
                <w:sz w:val="24"/>
                <w:szCs w:val="24"/>
              </w:rPr>
              <w:t xml:space="preserve"> Costs</w:t>
            </w:r>
          </w:p>
        </w:tc>
      </w:tr>
      <w:tr w:rsidR="00DC7252" w:rsidRPr="005242B1" w:rsidTr="000B1DDC">
        <w:tc>
          <w:tcPr>
            <w:tcW w:w="1620" w:type="dxa"/>
            <w:tcBorders>
              <w:top w:val="single" w:sz="12" w:space="0" w:color="000000"/>
            </w:tcBorders>
            <w:shd w:val="clear" w:color="auto" w:fill="auto"/>
            <w:vAlign w:val="center"/>
          </w:tcPr>
          <w:p w:rsidR="00DC7252" w:rsidRPr="005242B1" w:rsidRDefault="00375E94" w:rsidP="005242B1">
            <w:pPr>
              <w:spacing w:line="240" w:lineRule="auto"/>
              <w:rPr>
                <w:rFonts w:ascii="Times New Roman" w:hAnsi="Times New Roman" w:cs="Times New Roman"/>
                <w:sz w:val="24"/>
                <w:szCs w:val="24"/>
              </w:rPr>
            </w:pPr>
            <w:r>
              <w:rPr>
                <w:rFonts w:ascii="Times New Roman" w:hAnsi="Times New Roman" w:cs="Times New Roman"/>
                <w:sz w:val="24"/>
                <w:szCs w:val="24"/>
              </w:rPr>
              <w:t>International Panel Physicians</w:t>
            </w:r>
          </w:p>
        </w:tc>
        <w:tc>
          <w:tcPr>
            <w:tcW w:w="1890" w:type="dxa"/>
            <w:tcBorders>
              <w:top w:val="single" w:sz="12" w:space="0" w:color="000000"/>
              <w:bottom w:val="single" w:sz="4" w:space="0" w:color="000000"/>
            </w:tcBorders>
            <w:shd w:val="clear" w:color="auto" w:fill="auto"/>
            <w:vAlign w:val="center"/>
          </w:tcPr>
          <w:p w:rsidR="00DC7252" w:rsidRPr="005242B1" w:rsidRDefault="00BE5595" w:rsidP="00375E94">
            <w:pPr>
              <w:spacing w:line="240" w:lineRule="auto"/>
              <w:rPr>
                <w:rFonts w:ascii="Times New Roman" w:hAnsi="Times New Roman" w:cs="Times New Roman"/>
                <w:sz w:val="24"/>
                <w:szCs w:val="24"/>
              </w:rPr>
            </w:pPr>
            <w:r>
              <w:rPr>
                <w:rFonts w:ascii="Times New Roman" w:hAnsi="Times New Roman" w:cs="Times New Roman"/>
                <w:sz w:val="24"/>
                <w:szCs w:val="24"/>
              </w:rPr>
              <w:t>Pre-Knowledge Aptitude Survey</w:t>
            </w:r>
          </w:p>
        </w:tc>
        <w:tc>
          <w:tcPr>
            <w:tcW w:w="1620" w:type="dxa"/>
            <w:tcBorders>
              <w:top w:val="single" w:sz="12" w:space="0" w:color="000000"/>
              <w:bottom w:val="single" w:sz="4" w:space="0" w:color="000000"/>
            </w:tcBorders>
            <w:shd w:val="clear" w:color="auto" w:fill="auto"/>
            <w:vAlign w:val="center"/>
          </w:tcPr>
          <w:p w:rsidR="00DC7252" w:rsidRPr="005242B1" w:rsidRDefault="00BE5595" w:rsidP="005242B1">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50" w:type="dxa"/>
            <w:tcBorders>
              <w:top w:val="single" w:sz="12" w:space="0" w:color="000000"/>
              <w:bottom w:val="single" w:sz="4" w:space="0" w:color="000000"/>
            </w:tcBorders>
            <w:shd w:val="clear" w:color="auto" w:fill="auto"/>
            <w:vAlign w:val="center"/>
          </w:tcPr>
          <w:p w:rsidR="00DC7252" w:rsidRPr="005242B1" w:rsidRDefault="00DC7252" w:rsidP="005242B1">
            <w:pPr>
              <w:spacing w:line="240" w:lineRule="auto"/>
              <w:jc w:val="center"/>
              <w:rPr>
                <w:rFonts w:ascii="Times New Roman" w:hAnsi="Times New Roman" w:cs="Times New Roman"/>
                <w:sz w:val="24"/>
                <w:szCs w:val="24"/>
              </w:rPr>
            </w:pPr>
            <w:r w:rsidRPr="005242B1">
              <w:rPr>
                <w:rFonts w:ascii="Times New Roman" w:hAnsi="Times New Roman" w:cs="Times New Roman"/>
                <w:sz w:val="24"/>
                <w:szCs w:val="24"/>
              </w:rPr>
              <w:t xml:space="preserve"> </w:t>
            </w:r>
            <w:r w:rsidR="000B1DDC">
              <w:rPr>
                <w:rFonts w:ascii="Times New Roman" w:hAnsi="Times New Roman" w:cs="Times New Roman"/>
                <w:sz w:val="24"/>
                <w:szCs w:val="24"/>
              </w:rPr>
              <w:t>$89</w:t>
            </w:r>
          </w:p>
        </w:tc>
        <w:tc>
          <w:tcPr>
            <w:tcW w:w="1710" w:type="dxa"/>
            <w:tcBorders>
              <w:top w:val="single" w:sz="12" w:space="0" w:color="000000"/>
              <w:bottom w:val="single" w:sz="4" w:space="0" w:color="000000"/>
            </w:tcBorders>
            <w:shd w:val="clear" w:color="auto" w:fill="auto"/>
            <w:vAlign w:val="center"/>
          </w:tcPr>
          <w:p w:rsidR="00DC7252" w:rsidRPr="005242B1" w:rsidRDefault="00BE5595" w:rsidP="005242B1">
            <w:pPr>
              <w:spacing w:line="240" w:lineRule="auto"/>
              <w:jc w:val="right"/>
              <w:rPr>
                <w:rFonts w:ascii="Times New Roman" w:hAnsi="Times New Roman" w:cs="Times New Roman"/>
                <w:sz w:val="24"/>
                <w:szCs w:val="24"/>
              </w:rPr>
            </w:pPr>
            <w:r>
              <w:rPr>
                <w:rFonts w:ascii="Times New Roman" w:hAnsi="Times New Roman" w:cs="Times New Roman"/>
                <w:sz w:val="24"/>
                <w:szCs w:val="24"/>
              </w:rPr>
              <w:t>$1691</w:t>
            </w:r>
          </w:p>
        </w:tc>
      </w:tr>
      <w:tr w:rsidR="00375E94" w:rsidRPr="005242B1" w:rsidTr="000B1DDC">
        <w:tc>
          <w:tcPr>
            <w:tcW w:w="1620" w:type="dxa"/>
            <w:tcBorders>
              <w:top w:val="single" w:sz="12" w:space="0" w:color="000000"/>
            </w:tcBorders>
            <w:shd w:val="clear" w:color="auto" w:fill="auto"/>
            <w:vAlign w:val="center"/>
          </w:tcPr>
          <w:p w:rsidR="00375E94" w:rsidRDefault="00375E94" w:rsidP="005242B1">
            <w:pPr>
              <w:spacing w:line="240" w:lineRule="auto"/>
              <w:rPr>
                <w:rFonts w:ascii="Times New Roman" w:hAnsi="Times New Roman" w:cs="Times New Roman"/>
                <w:sz w:val="24"/>
                <w:szCs w:val="24"/>
              </w:rPr>
            </w:pPr>
            <w:r>
              <w:rPr>
                <w:rFonts w:ascii="Times New Roman" w:hAnsi="Times New Roman" w:cs="Times New Roman"/>
                <w:sz w:val="24"/>
                <w:szCs w:val="24"/>
              </w:rPr>
              <w:t>International Panel Physicians</w:t>
            </w:r>
          </w:p>
        </w:tc>
        <w:tc>
          <w:tcPr>
            <w:tcW w:w="1890" w:type="dxa"/>
            <w:tcBorders>
              <w:top w:val="single" w:sz="12" w:space="0" w:color="000000"/>
              <w:bottom w:val="single" w:sz="4" w:space="0" w:color="000000"/>
            </w:tcBorders>
            <w:shd w:val="clear" w:color="auto" w:fill="auto"/>
            <w:vAlign w:val="center"/>
          </w:tcPr>
          <w:p w:rsidR="00375E94" w:rsidRDefault="00375E94" w:rsidP="00375E94">
            <w:pPr>
              <w:spacing w:line="240" w:lineRule="auto"/>
              <w:rPr>
                <w:rFonts w:ascii="Times New Roman" w:hAnsi="Times New Roman" w:cs="Times New Roman"/>
                <w:sz w:val="24"/>
                <w:szCs w:val="24"/>
              </w:rPr>
            </w:pPr>
            <w:r>
              <w:rPr>
                <w:rFonts w:ascii="Times New Roman" w:hAnsi="Times New Roman" w:cs="Times New Roman"/>
                <w:sz w:val="24"/>
                <w:szCs w:val="24"/>
              </w:rPr>
              <w:t>Exposed Group Semi-Structured Questionnaire</w:t>
            </w:r>
          </w:p>
        </w:tc>
        <w:tc>
          <w:tcPr>
            <w:tcW w:w="1620" w:type="dxa"/>
            <w:tcBorders>
              <w:top w:val="single" w:sz="12" w:space="0" w:color="000000"/>
              <w:bottom w:val="single" w:sz="4" w:space="0" w:color="000000"/>
            </w:tcBorders>
            <w:shd w:val="clear" w:color="auto" w:fill="auto"/>
            <w:vAlign w:val="center"/>
          </w:tcPr>
          <w:p w:rsidR="00375E94" w:rsidRPr="005242B1" w:rsidRDefault="00F677C0" w:rsidP="005242B1">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12" w:space="0" w:color="000000"/>
              <w:bottom w:val="single" w:sz="4" w:space="0" w:color="000000"/>
            </w:tcBorders>
            <w:shd w:val="clear" w:color="auto" w:fill="auto"/>
            <w:vAlign w:val="center"/>
          </w:tcPr>
          <w:p w:rsidR="00375E94" w:rsidRPr="005242B1" w:rsidRDefault="000B1DDC" w:rsidP="005242B1">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710" w:type="dxa"/>
            <w:tcBorders>
              <w:top w:val="single" w:sz="12" w:space="0" w:color="000000"/>
              <w:bottom w:val="single" w:sz="4" w:space="0" w:color="000000"/>
            </w:tcBorders>
            <w:shd w:val="clear" w:color="auto" w:fill="auto"/>
            <w:vAlign w:val="center"/>
          </w:tcPr>
          <w:p w:rsidR="00375E94" w:rsidRPr="005242B1" w:rsidRDefault="00F677C0" w:rsidP="005242B1">
            <w:pPr>
              <w:spacing w:line="240" w:lineRule="auto"/>
              <w:jc w:val="right"/>
              <w:rPr>
                <w:rFonts w:ascii="Times New Roman" w:hAnsi="Times New Roman" w:cs="Times New Roman"/>
                <w:sz w:val="24"/>
                <w:szCs w:val="24"/>
              </w:rPr>
            </w:pPr>
            <w:r>
              <w:rPr>
                <w:rFonts w:ascii="Times New Roman" w:hAnsi="Times New Roman" w:cs="Times New Roman"/>
                <w:sz w:val="24"/>
                <w:szCs w:val="24"/>
              </w:rPr>
              <w:t>$1424</w:t>
            </w:r>
          </w:p>
        </w:tc>
      </w:tr>
      <w:tr w:rsidR="00375E94" w:rsidRPr="005242B1" w:rsidTr="000B1DDC">
        <w:tc>
          <w:tcPr>
            <w:tcW w:w="1620" w:type="dxa"/>
            <w:tcBorders>
              <w:top w:val="single" w:sz="12" w:space="0" w:color="000000"/>
            </w:tcBorders>
            <w:shd w:val="clear" w:color="auto" w:fill="auto"/>
            <w:vAlign w:val="center"/>
          </w:tcPr>
          <w:p w:rsidR="00375E94" w:rsidRDefault="00375E94" w:rsidP="005242B1">
            <w:pPr>
              <w:spacing w:line="240" w:lineRule="auto"/>
              <w:rPr>
                <w:rFonts w:ascii="Times New Roman" w:hAnsi="Times New Roman" w:cs="Times New Roman"/>
                <w:sz w:val="24"/>
                <w:szCs w:val="24"/>
              </w:rPr>
            </w:pPr>
            <w:r>
              <w:rPr>
                <w:rFonts w:ascii="Times New Roman" w:hAnsi="Times New Roman" w:cs="Times New Roman"/>
                <w:sz w:val="24"/>
                <w:szCs w:val="24"/>
              </w:rPr>
              <w:t>International Panel Physicians</w:t>
            </w:r>
          </w:p>
        </w:tc>
        <w:tc>
          <w:tcPr>
            <w:tcW w:w="1890" w:type="dxa"/>
            <w:tcBorders>
              <w:top w:val="single" w:sz="12" w:space="0" w:color="000000"/>
              <w:bottom w:val="single" w:sz="4" w:space="0" w:color="000000"/>
            </w:tcBorders>
            <w:shd w:val="clear" w:color="auto" w:fill="auto"/>
            <w:vAlign w:val="center"/>
          </w:tcPr>
          <w:p w:rsidR="00375E94" w:rsidRDefault="004253A4" w:rsidP="00375E94">
            <w:pPr>
              <w:spacing w:line="240" w:lineRule="auto"/>
              <w:rPr>
                <w:rFonts w:ascii="Times New Roman" w:hAnsi="Times New Roman" w:cs="Times New Roman"/>
                <w:sz w:val="24"/>
                <w:szCs w:val="24"/>
              </w:rPr>
            </w:pPr>
            <w:r>
              <w:rPr>
                <w:rFonts w:ascii="Times New Roman" w:hAnsi="Times New Roman" w:cs="Times New Roman"/>
                <w:sz w:val="24"/>
                <w:szCs w:val="24"/>
              </w:rPr>
              <w:t>Non-Exposed G</w:t>
            </w:r>
            <w:r w:rsidR="00375E94">
              <w:rPr>
                <w:rFonts w:ascii="Times New Roman" w:hAnsi="Times New Roman" w:cs="Times New Roman"/>
                <w:sz w:val="24"/>
                <w:szCs w:val="24"/>
              </w:rPr>
              <w:t>roup Semi-Structured Questionnaire</w:t>
            </w:r>
          </w:p>
        </w:tc>
        <w:tc>
          <w:tcPr>
            <w:tcW w:w="1620" w:type="dxa"/>
            <w:tcBorders>
              <w:top w:val="single" w:sz="12" w:space="0" w:color="000000"/>
              <w:bottom w:val="single" w:sz="4" w:space="0" w:color="000000"/>
            </w:tcBorders>
            <w:shd w:val="clear" w:color="auto" w:fill="auto"/>
            <w:vAlign w:val="center"/>
          </w:tcPr>
          <w:p w:rsidR="00375E94" w:rsidRPr="005242B1" w:rsidRDefault="00F677C0" w:rsidP="005242B1">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12" w:space="0" w:color="000000"/>
              <w:bottom w:val="single" w:sz="4" w:space="0" w:color="000000"/>
            </w:tcBorders>
            <w:shd w:val="clear" w:color="auto" w:fill="auto"/>
            <w:vAlign w:val="center"/>
          </w:tcPr>
          <w:p w:rsidR="00375E94" w:rsidRPr="005242B1" w:rsidRDefault="000B1DDC" w:rsidP="005242B1">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710" w:type="dxa"/>
            <w:tcBorders>
              <w:top w:val="single" w:sz="12" w:space="0" w:color="000000"/>
              <w:bottom w:val="single" w:sz="4" w:space="0" w:color="000000"/>
            </w:tcBorders>
            <w:shd w:val="clear" w:color="auto" w:fill="auto"/>
            <w:vAlign w:val="center"/>
          </w:tcPr>
          <w:p w:rsidR="00375E94" w:rsidRPr="005242B1" w:rsidRDefault="00F677C0" w:rsidP="00F677C0">
            <w:pPr>
              <w:spacing w:line="240" w:lineRule="auto"/>
              <w:jc w:val="right"/>
              <w:rPr>
                <w:rFonts w:ascii="Times New Roman" w:hAnsi="Times New Roman" w:cs="Times New Roman"/>
                <w:sz w:val="24"/>
                <w:szCs w:val="24"/>
              </w:rPr>
            </w:pPr>
            <w:r>
              <w:rPr>
                <w:rFonts w:ascii="Times New Roman" w:hAnsi="Times New Roman" w:cs="Times New Roman"/>
                <w:sz w:val="24"/>
                <w:szCs w:val="24"/>
              </w:rPr>
              <w:t>$1424</w:t>
            </w:r>
          </w:p>
        </w:tc>
      </w:tr>
      <w:tr w:rsidR="00F677C0" w:rsidRPr="005242B1" w:rsidTr="000B1DDC">
        <w:tc>
          <w:tcPr>
            <w:tcW w:w="1620" w:type="dxa"/>
            <w:tcBorders>
              <w:top w:val="single" w:sz="12" w:space="0" w:color="000000"/>
            </w:tcBorders>
            <w:shd w:val="clear" w:color="auto" w:fill="auto"/>
            <w:vAlign w:val="center"/>
          </w:tcPr>
          <w:p w:rsidR="00F677C0" w:rsidRDefault="00F677C0" w:rsidP="005242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International Panel Physicians </w:t>
            </w:r>
            <w:r w:rsidR="004253A4">
              <w:rPr>
                <w:rFonts w:ascii="Times New Roman" w:hAnsi="Times New Roman" w:cs="Times New Roman"/>
                <w:sz w:val="24"/>
                <w:szCs w:val="24"/>
              </w:rPr>
              <w:t xml:space="preserve">(TBD </w:t>
            </w:r>
            <w:r>
              <w:rPr>
                <w:rFonts w:ascii="Times New Roman" w:hAnsi="Times New Roman" w:cs="Times New Roman"/>
                <w:sz w:val="24"/>
                <w:szCs w:val="24"/>
              </w:rPr>
              <w:t>other medical staff at panel sites</w:t>
            </w:r>
            <w:r w:rsidR="004253A4">
              <w:rPr>
                <w:rFonts w:ascii="Times New Roman" w:hAnsi="Times New Roman" w:cs="Times New Roman"/>
                <w:sz w:val="24"/>
                <w:szCs w:val="24"/>
              </w:rPr>
              <w:t>)</w:t>
            </w:r>
          </w:p>
        </w:tc>
        <w:tc>
          <w:tcPr>
            <w:tcW w:w="1890" w:type="dxa"/>
            <w:tcBorders>
              <w:top w:val="single" w:sz="12" w:space="0" w:color="000000"/>
              <w:bottom w:val="single" w:sz="4" w:space="0" w:color="000000"/>
            </w:tcBorders>
            <w:shd w:val="clear" w:color="auto" w:fill="auto"/>
            <w:vAlign w:val="center"/>
          </w:tcPr>
          <w:p w:rsidR="00F677C0" w:rsidRDefault="004253A4" w:rsidP="00375E94">
            <w:pPr>
              <w:spacing w:line="240" w:lineRule="auto"/>
              <w:rPr>
                <w:rFonts w:ascii="Times New Roman" w:hAnsi="Times New Roman" w:cs="Times New Roman"/>
                <w:sz w:val="24"/>
                <w:szCs w:val="24"/>
              </w:rPr>
            </w:pPr>
            <w:r>
              <w:rPr>
                <w:rFonts w:ascii="Times New Roman" w:hAnsi="Times New Roman" w:cs="Times New Roman"/>
                <w:sz w:val="24"/>
                <w:szCs w:val="24"/>
              </w:rPr>
              <w:t>In-D</w:t>
            </w:r>
            <w:r w:rsidR="00F677C0">
              <w:rPr>
                <w:rFonts w:ascii="Times New Roman" w:hAnsi="Times New Roman" w:cs="Times New Roman"/>
                <w:sz w:val="24"/>
                <w:szCs w:val="24"/>
              </w:rPr>
              <w:t xml:space="preserve">epth </w:t>
            </w:r>
            <w:r w:rsidR="00CF384D">
              <w:rPr>
                <w:rFonts w:ascii="Times New Roman" w:hAnsi="Times New Roman" w:cs="Times New Roman"/>
                <w:sz w:val="24"/>
                <w:szCs w:val="24"/>
              </w:rPr>
              <w:t>Interview Guide</w:t>
            </w:r>
          </w:p>
        </w:tc>
        <w:tc>
          <w:tcPr>
            <w:tcW w:w="1620" w:type="dxa"/>
            <w:tcBorders>
              <w:top w:val="single" w:sz="12" w:space="0" w:color="000000"/>
              <w:bottom w:val="single" w:sz="4" w:space="0" w:color="000000"/>
            </w:tcBorders>
            <w:shd w:val="clear" w:color="auto" w:fill="auto"/>
            <w:vAlign w:val="center"/>
          </w:tcPr>
          <w:p w:rsidR="00F677C0" w:rsidRDefault="00BF6332" w:rsidP="005242B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F677C0">
              <w:rPr>
                <w:rFonts w:ascii="Times New Roman" w:hAnsi="Times New Roman" w:cs="Times New Roman"/>
                <w:sz w:val="24"/>
                <w:szCs w:val="24"/>
              </w:rPr>
              <w:t>0</w:t>
            </w:r>
          </w:p>
        </w:tc>
        <w:tc>
          <w:tcPr>
            <w:tcW w:w="1350" w:type="dxa"/>
            <w:tcBorders>
              <w:top w:val="single" w:sz="12" w:space="0" w:color="000000"/>
              <w:bottom w:val="single" w:sz="4" w:space="0" w:color="000000"/>
            </w:tcBorders>
            <w:shd w:val="clear" w:color="auto" w:fill="auto"/>
            <w:vAlign w:val="center"/>
          </w:tcPr>
          <w:p w:rsidR="00F677C0" w:rsidRDefault="00F677C0" w:rsidP="005242B1">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710" w:type="dxa"/>
            <w:tcBorders>
              <w:top w:val="single" w:sz="12" w:space="0" w:color="000000"/>
              <w:bottom w:val="single" w:sz="4" w:space="0" w:color="000000"/>
            </w:tcBorders>
            <w:shd w:val="clear" w:color="auto" w:fill="auto"/>
            <w:vAlign w:val="center"/>
          </w:tcPr>
          <w:p w:rsidR="00F677C0" w:rsidRDefault="00CF384D" w:rsidP="005242B1">
            <w:pPr>
              <w:spacing w:line="240" w:lineRule="auto"/>
              <w:jc w:val="right"/>
              <w:rPr>
                <w:rFonts w:ascii="Times New Roman" w:hAnsi="Times New Roman" w:cs="Times New Roman"/>
                <w:sz w:val="24"/>
                <w:szCs w:val="24"/>
              </w:rPr>
            </w:pPr>
            <w:r>
              <w:rPr>
                <w:rFonts w:ascii="Times New Roman" w:hAnsi="Times New Roman" w:cs="Times New Roman"/>
                <w:sz w:val="24"/>
                <w:szCs w:val="24"/>
              </w:rPr>
              <w:t>$178</w:t>
            </w:r>
            <w:r w:rsidR="00F677C0">
              <w:rPr>
                <w:rFonts w:ascii="Times New Roman" w:hAnsi="Times New Roman" w:cs="Times New Roman"/>
                <w:sz w:val="24"/>
                <w:szCs w:val="24"/>
              </w:rPr>
              <w:t>0</w:t>
            </w:r>
          </w:p>
        </w:tc>
      </w:tr>
      <w:tr w:rsidR="00DC7252" w:rsidRPr="005242B1" w:rsidTr="000B1DDC">
        <w:trPr>
          <w:trHeight w:hRule="exact" w:val="432"/>
        </w:trPr>
        <w:tc>
          <w:tcPr>
            <w:tcW w:w="1620" w:type="dxa"/>
            <w:shd w:val="clear" w:color="auto" w:fill="auto"/>
            <w:vAlign w:val="center"/>
          </w:tcPr>
          <w:p w:rsidR="00DC7252" w:rsidRPr="005242B1" w:rsidRDefault="003009B6" w:rsidP="005242B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w:t>
            </w:r>
          </w:p>
        </w:tc>
        <w:tc>
          <w:tcPr>
            <w:tcW w:w="1890" w:type="dxa"/>
            <w:shd w:val="clear" w:color="auto" w:fill="auto"/>
            <w:vAlign w:val="center"/>
          </w:tcPr>
          <w:p w:rsidR="00DC7252" w:rsidRPr="005242B1" w:rsidRDefault="00CF384D" w:rsidP="005242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620" w:type="dxa"/>
            <w:shd w:val="clear" w:color="auto" w:fill="auto"/>
            <w:vAlign w:val="center"/>
          </w:tcPr>
          <w:p w:rsidR="00DC7252" w:rsidRPr="005242B1" w:rsidRDefault="007F60F9" w:rsidP="005242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E777D0">
              <w:rPr>
                <w:rFonts w:ascii="Times New Roman" w:hAnsi="Times New Roman" w:cs="Times New Roman"/>
                <w:b/>
                <w:sz w:val="24"/>
                <w:szCs w:val="24"/>
              </w:rPr>
              <w:t>1</w:t>
            </w:r>
          </w:p>
        </w:tc>
        <w:tc>
          <w:tcPr>
            <w:tcW w:w="1350" w:type="dxa"/>
            <w:shd w:val="clear" w:color="auto" w:fill="auto"/>
            <w:vAlign w:val="center"/>
          </w:tcPr>
          <w:p w:rsidR="00DC7252" w:rsidRPr="005242B1" w:rsidRDefault="000B1DDC" w:rsidP="005242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$89</w:t>
            </w:r>
          </w:p>
        </w:tc>
        <w:tc>
          <w:tcPr>
            <w:tcW w:w="1710" w:type="dxa"/>
            <w:shd w:val="clear" w:color="auto" w:fill="auto"/>
            <w:vAlign w:val="center"/>
          </w:tcPr>
          <w:p w:rsidR="00DC7252" w:rsidRPr="005242B1" w:rsidRDefault="00CF384D" w:rsidP="005242B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$6,319</w:t>
            </w:r>
          </w:p>
        </w:tc>
      </w:tr>
    </w:tbl>
    <w:p w:rsidR="009D108F" w:rsidRPr="005242B1" w:rsidRDefault="009D108F" w:rsidP="005242B1">
      <w:pPr>
        <w:pStyle w:val="Heading2"/>
        <w:spacing w:line="240" w:lineRule="auto"/>
      </w:pPr>
      <w:r w:rsidRPr="005242B1">
        <w:t>13</w:t>
      </w:r>
      <w:r w:rsidR="00793E97">
        <w:t>.</w:t>
      </w:r>
      <w:r w:rsidRPr="005242B1">
        <w:t xml:space="preserve"> Estimates of Other Total Annual Cost Burden to Respondents or Record Keepers </w:t>
      </w:r>
    </w:p>
    <w:p w:rsidR="00D46864" w:rsidRPr="005242B1" w:rsidRDefault="00156AE0" w:rsidP="005242B1">
      <w:pPr>
        <w:pStyle w:val="CM89"/>
        <w:rPr>
          <w:rFonts w:ascii="Times New Roman" w:hAnsi="Times New Roman" w:cs="Times New Roman"/>
        </w:rPr>
      </w:pPr>
      <w:r w:rsidRPr="005242B1">
        <w:rPr>
          <w:rFonts w:ascii="Times New Roman" w:hAnsi="Times New Roman" w:cs="Times New Roman"/>
        </w:rPr>
        <w:t xml:space="preserve"> </w:t>
      </w:r>
      <w:r w:rsidR="00D46864" w:rsidRPr="005242B1">
        <w:rPr>
          <w:rFonts w:ascii="Times New Roman" w:hAnsi="Times New Roman" w:cs="Times New Roman"/>
        </w:rPr>
        <w:t xml:space="preserve">There will be no direct costs to the respondents other than their time to participate in </w:t>
      </w:r>
      <w:r w:rsidR="00AB006E" w:rsidRPr="005242B1">
        <w:rPr>
          <w:rFonts w:ascii="Times New Roman" w:hAnsi="Times New Roman" w:cs="Times New Roman"/>
        </w:rPr>
        <w:t xml:space="preserve">the </w:t>
      </w:r>
      <w:r w:rsidR="00055918">
        <w:rPr>
          <w:rFonts w:ascii="Times New Roman" w:hAnsi="Times New Roman" w:cs="Times New Roman"/>
        </w:rPr>
        <w:t xml:space="preserve">survey </w:t>
      </w:r>
      <w:r w:rsidR="00F677C0">
        <w:rPr>
          <w:rFonts w:ascii="Times New Roman" w:hAnsi="Times New Roman" w:cs="Times New Roman"/>
        </w:rPr>
        <w:t>questionnaire, and in-depth interview</w:t>
      </w:r>
      <w:r w:rsidR="003F1079">
        <w:rPr>
          <w:rFonts w:ascii="Times New Roman" w:hAnsi="Times New Roman" w:cs="Times New Roman"/>
        </w:rPr>
        <w:t>s</w:t>
      </w:r>
      <w:r w:rsidR="00F677C0">
        <w:rPr>
          <w:rFonts w:ascii="Times New Roman" w:hAnsi="Times New Roman" w:cs="Times New Roman"/>
        </w:rPr>
        <w:t xml:space="preserve">. </w:t>
      </w:r>
    </w:p>
    <w:p w:rsidR="005242B1" w:rsidRDefault="005242B1" w:rsidP="005242B1">
      <w:pPr>
        <w:tabs>
          <w:tab w:val="left" w:pos="-1440"/>
          <w:tab w:val="left" w:pos="-720"/>
        </w:tabs>
        <w:spacing w:line="240" w:lineRule="auto"/>
        <w:rPr>
          <w:rFonts w:ascii="Times New Roman" w:eastAsia="Times New Roman" w:hAnsi="Times New Roman" w:cs="Times New Roman"/>
          <w:sz w:val="24"/>
          <w:szCs w:val="24"/>
        </w:rPr>
      </w:pPr>
    </w:p>
    <w:p w:rsidR="00E777D0" w:rsidRDefault="00E777D0" w:rsidP="005242B1">
      <w:pPr>
        <w:tabs>
          <w:tab w:val="left" w:pos="-1440"/>
          <w:tab w:val="left" w:pos="-720"/>
        </w:tabs>
        <w:spacing w:line="240" w:lineRule="auto"/>
        <w:rPr>
          <w:rFonts w:ascii="Times New Roman" w:eastAsia="Times New Roman" w:hAnsi="Times New Roman" w:cs="Times New Roman"/>
          <w:sz w:val="24"/>
          <w:szCs w:val="24"/>
        </w:rPr>
      </w:pPr>
    </w:p>
    <w:p w:rsidR="004C39E2" w:rsidRPr="005242B1" w:rsidRDefault="009D108F" w:rsidP="005242B1">
      <w:pPr>
        <w:tabs>
          <w:tab w:val="left" w:pos="-1440"/>
          <w:tab w:val="left" w:pos="-720"/>
        </w:tabs>
        <w:spacing w:line="240" w:lineRule="auto"/>
        <w:rPr>
          <w:rFonts w:ascii="Times New Roman" w:hAnsi="Times New Roman" w:cs="Times New Roman"/>
          <w:b/>
          <w:sz w:val="24"/>
          <w:szCs w:val="24"/>
        </w:rPr>
      </w:pPr>
      <w:r w:rsidRPr="005242B1">
        <w:rPr>
          <w:rFonts w:ascii="Times New Roman" w:hAnsi="Times New Roman" w:cs="Times New Roman"/>
          <w:b/>
          <w:sz w:val="24"/>
          <w:szCs w:val="24"/>
        </w:rPr>
        <w:t>14</w:t>
      </w:r>
      <w:r w:rsidR="00793E97">
        <w:rPr>
          <w:rFonts w:ascii="Times New Roman" w:hAnsi="Times New Roman" w:cs="Times New Roman"/>
          <w:b/>
          <w:sz w:val="24"/>
          <w:szCs w:val="24"/>
        </w:rPr>
        <w:t>.</w:t>
      </w:r>
      <w:r w:rsidRPr="005242B1">
        <w:rPr>
          <w:rFonts w:ascii="Times New Roman" w:hAnsi="Times New Roman" w:cs="Times New Roman"/>
          <w:b/>
          <w:sz w:val="24"/>
          <w:szCs w:val="24"/>
        </w:rPr>
        <w:t xml:space="preserve"> Annualized Cost to the Government</w:t>
      </w:r>
    </w:p>
    <w:p w:rsidR="0093782F" w:rsidRPr="00D16703" w:rsidRDefault="0093782F" w:rsidP="00D16703">
      <w:pPr>
        <w:spacing w:line="240" w:lineRule="auto"/>
        <w:rPr>
          <w:rFonts w:ascii="Times New Roman" w:hAnsi="Times New Roman" w:cs="Times New Roman"/>
          <w:sz w:val="24"/>
          <w:szCs w:val="24"/>
        </w:rPr>
      </w:pPr>
      <w:r w:rsidRPr="0009058B">
        <w:rPr>
          <w:rFonts w:ascii="Times New Roman" w:hAnsi="Times New Roman" w:cs="Times New Roman"/>
          <w:sz w:val="24"/>
          <w:szCs w:val="24"/>
        </w:rPr>
        <w:t>The annualized cost to the Government i</w:t>
      </w:r>
      <w:r w:rsidR="003F1079">
        <w:rPr>
          <w:rFonts w:ascii="Times New Roman" w:hAnsi="Times New Roman" w:cs="Times New Roman"/>
          <w:sz w:val="24"/>
          <w:szCs w:val="24"/>
        </w:rPr>
        <w:t>s composed of personnel costs: 3</w:t>
      </w:r>
      <w:r w:rsidRPr="0009058B">
        <w:rPr>
          <w:rFonts w:ascii="Times New Roman" w:hAnsi="Times New Roman" w:cs="Times New Roman"/>
          <w:sz w:val="24"/>
          <w:szCs w:val="24"/>
        </w:rPr>
        <w:t xml:space="preserve">0% FTE of </w:t>
      </w:r>
      <w:r w:rsidR="00DC7252" w:rsidRPr="0009058B">
        <w:rPr>
          <w:rFonts w:ascii="Times New Roman" w:hAnsi="Times New Roman" w:cs="Times New Roman"/>
          <w:sz w:val="24"/>
          <w:szCs w:val="24"/>
        </w:rPr>
        <w:t xml:space="preserve">1 </w:t>
      </w:r>
      <w:r w:rsidRPr="0009058B">
        <w:rPr>
          <w:rFonts w:ascii="Times New Roman" w:hAnsi="Times New Roman" w:cs="Times New Roman"/>
          <w:sz w:val="24"/>
          <w:szCs w:val="24"/>
        </w:rPr>
        <w:t>GS-13 employee</w:t>
      </w:r>
      <w:r w:rsidR="003F1079">
        <w:rPr>
          <w:rFonts w:ascii="Times New Roman" w:hAnsi="Times New Roman" w:cs="Times New Roman"/>
          <w:sz w:val="24"/>
          <w:szCs w:val="24"/>
        </w:rPr>
        <w:t>, 10% of 1 contractor at GS-11</w:t>
      </w:r>
      <w:r w:rsidR="00CA2D5F">
        <w:rPr>
          <w:rFonts w:ascii="Times New Roman" w:hAnsi="Times New Roman" w:cs="Times New Roman"/>
          <w:sz w:val="24"/>
          <w:szCs w:val="24"/>
        </w:rPr>
        <w:t xml:space="preserve"> level</w:t>
      </w:r>
      <w:r w:rsidR="003F1079">
        <w:rPr>
          <w:rFonts w:ascii="Times New Roman" w:hAnsi="Times New Roman" w:cs="Times New Roman"/>
          <w:sz w:val="24"/>
          <w:szCs w:val="24"/>
        </w:rPr>
        <w:t xml:space="preserve">, and </w:t>
      </w:r>
      <w:r w:rsidR="00DC7252" w:rsidRPr="0009058B">
        <w:rPr>
          <w:rFonts w:ascii="Times New Roman" w:hAnsi="Times New Roman" w:cs="Times New Roman"/>
          <w:sz w:val="24"/>
          <w:szCs w:val="24"/>
        </w:rPr>
        <w:t>100% of 1 contractor</w:t>
      </w:r>
      <w:r w:rsidR="003F1079">
        <w:rPr>
          <w:rFonts w:ascii="Times New Roman" w:hAnsi="Times New Roman" w:cs="Times New Roman"/>
          <w:sz w:val="24"/>
          <w:szCs w:val="24"/>
        </w:rPr>
        <w:t xml:space="preserve"> at GS-11</w:t>
      </w:r>
      <w:r w:rsidR="00CA2D5F">
        <w:rPr>
          <w:rFonts w:ascii="Times New Roman" w:hAnsi="Times New Roman" w:cs="Times New Roman"/>
          <w:sz w:val="24"/>
          <w:szCs w:val="24"/>
        </w:rPr>
        <w:t xml:space="preserve"> level</w:t>
      </w:r>
      <w:r w:rsidR="003F1079">
        <w:rPr>
          <w:rFonts w:ascii="Times New Roman" w:hAnsi="Times New Roman" w:cs="Times New Roman"/>
          <w:sz w:val="24"/>
          <w:szCs w:val="24"/>
        </w:rPr>
        <w:t>.</w:t>
      </w:r>
      <w:r w:rsidRPr="0009058B">
        <w:rPr>
          <w:rFonts w:ascii="Times New Roman" w:hAnsi="Times New Roman" w:cs="Times New Roman"/>
          <w:sz w:val="24"/>
          <w:szCs w:val="24"/>
        </w:rPr>
        <w:t xml:space="preserve"> The average hourly rate was obtained from the Office of Personnel Management’s website (</w:t>
      </w:r>
      <w:r w:rsidR="00AD1604" w:rsidRPr="00AD1604">
        <w:rPr>
          <w:rFonts w:ascii="Times New Roman" w:hAnsi="Times New Roman" w:cs="Times New Roman"/>
          <w:sz w:val="24"/>
          <w:szCs w:val="24"/>
        </w:rPr>
        <w:t>http://</w:t>
      </w:r>
      <w:r w:rsidR="00AD1604">
        <w:rPr>
          <w:rFonts w:ascii="Times New Roman" w:hAnsi="Times New Roman" w:cs="Times New Roman"/>
          <w:sz w:val="24"/>
          <w:szCs w:val="24"/>
        </w:rPr>
        <w:t>www.opm.gov/oca/09tables/html</w:t>
      </w:r>
      <w:r w:rsidRPr="0009058B">
        <w:rPr>
          <w:rFonts w:ascii="Times New Roman" w:hAnsi="Times New Roman" w:cs="Times New Roman"/>
          <w:sz w:val="24"/>
          <w:szCs w:val="24"/>
        </w:rPr>
        <w:t>). The hourly rate for a GS-13 in metro Atlanta is $40.11 per hour, which is about $83,500 per year. The contractor will be of similar experience and skill, and so the hourly salary level will be comparable.</w:t>
      </w:r>
      <w:r w:rsidR="00D16703">
        <w:rPr>
          <w:rFonts w:ascii="Times New Roman" w:hAnsi="Times New Roman" w:cs="Times New Roman"/>
          <w:sz w:val="24"/>
          <w:szCs w:val="24"/>
        </w:rPr>
        <w:t xml:space="preserve"> </w:t>
      </w:r>
      <w:r w:rsidR="00CF384D">
        <w:rPr>
          <w:rFonts w:ascii="Times New Roman" w:hAnsi="Times New Roman" w:cs="Times New Roman"/>
          <w:sz w:val="24"/>
          <w:szCs w:val="24"/>
        </w:rPr>
        <w:t xml:space="preserve">The contractor was hired with grant money from the Innovation Fund which DGMQ received specifically for this project. </w:t>
      </w:r>
      <w:r w:rsidRPr="00D16703">
        <w:rPr>
          <w:rFonts w:ascii="Times New Roman" w:eastAsia="Times New Roman" w:hAnsi="Times New Roman" w:cs="Times New Roman"/>
          <w:sz w:val="24"/>
          <w:szCs w:val="24"/>
        </w:rPr>
        <w:t>The</w:t>
      </w:r>
      <w:r w:rsidR="00D16703">
        <w:rPr>
          <w:rFonts w:ascii="Times New Roman" w:eastAsia="Times New Roman" w:hAnsi="Times New Roman" w:cs="Times New Roman"/>
          <w:sz w:val="24"/>
          <w:szCs w:val="24"/>
        </w:rPr>
        <w:t xml:space="preserve"> average</w:t>
      </w:r>
      <w:r w:rsidRPr="00D16703">
        <w:rPr>
          <w:rFonts w:ascii="Times New Roman" w:eastAsia="Times New Roman" w:hAnsi="Times New Roman" w:cs="Times New Roman"/>
          <w:sz w:val="24"/>
          <w:szCs w:val="24"/>
        </w:rPr>
        <w:t xml:space="preserve"> cost for</w:t>
      </w:r>
      <w:r w:rsidR="00CA2D5F">
        <w:rPr>
          <w:rFonts w:ascii="Times New Roman" w:eastAsia="Times New Roman" w:hAnsi="Times New Roman" w:cs="Times New Roman"/>
          <w:sz w:val="24"/>
          <w:szCs w:val="24"/>
        </w:rPr>
        <w:t xml:space="preserve"> transcription services </w:t>
      </w:r>
      <w:r w:rsidR="00DC7252" w:rsidRPr="00D16703">
        <w:rPr>
          <w:rFonts w:ascii="Times New Roman" w:eastAsia="Times New Roman" w:hAnsi="Times New Roman" w:cs="Times New Roman"/>
          <w:sz w:val="24"/>
          <w:szCs w:val="24"/>
        </w:rPr>
        <w:t>and tr</w:t>
      </w:r>
      <w:r w:rsidR="00375E94">
        <w:rPr>
          <w:rFonts w:ascii="Times New Roman" w:eastAsia="Times New Roman" w:hAnsi="Times New Roman" w:cs="Times New Roman"/>
          <w:sz w:val="24"/>
          <w:szCs w:val="24"/>
        </w:rPr>
        <w:t xml:space="preserve">avel is estimated </w:t>
      </w:r>
      <w:r w:rsidR="00CA2D5F">
        <w:rPr>
          <w:rFonts w:ascii="Times New Roman" w:eastAsia="Times New Roman" w:hAnsi="Times New Roman" w:cs="Times New Roman"/>
          <w:sz w:val="24"/>
          <w:szCs w:val="24"/>
        </w:rPr>
        <w:t xml:space="preserve">at </w:t>
      </w:r>
      <w:r w:rsidR="00977758">
        <w:rPr>
          <w:rFonts w:ascii="Times New Roman" w:eastAsia="Times New Roman" w:hAnsi="Times New Roman" w:cs="Times New Roman"/>
          <w:sz w:val="24"/>
          <w:szCs w:val="24"/>
        </w:rPr>
        <w:t>$</w:t>
      </w:r>
      <w:r w:rsidR="003F1079">
        <w:rPr>
          <w:rFonts w:ascii="Times New Roman" w:eastAsia="Times New Roman" w:hAnsi="Times New Roman" w:cs="Times New Roman"/>
          <w:sz w:val="24"/>
          <w:szCs w:val="24"/>
        </w:rPr>
        <w:t>10,000.</w:t>
      </w:r>
    </w:p>
    <w:p w:rsidR="00DF75D3" w:rsidRDefault="0093782F" w:rsidP="00055918">
      <w:pPr>
        <w:spacing w:line="240" w:lineRule="auto"/>
        <w:rPr>
          <w:rFonts w:ascii="Times New Roman" w:hAnsi="Times New Roman" w:cs="Times New Roman"/>
          <w:sz w:val="24"/>
          <w:szCs w:val="24"/>
        </w:rPr>
      </w:pPr>
      <w:r w:rsidRPr="0009058B">
        <w:rPr>
          <w:rFonts w:ascii="Times New Roman" w:hAnsi="Times New Roman" w:cs="Times New Roman"/>
          <w:sz w:val="24"/>
          <w:szCs w:val="24"/>
        </w:rPr>
        <w:t xml:space="preserve">There are no costs to the Government other than the time of the employees involved in the </w:t>
      </w:r>
      <w:r w:rsidR="002537EE">
        <w:rPr>
          <w:rFonts w:ascii="Times New Roman" w:hAnsi="Times New Roman" w:cs="Times New Roman"/>
          <w:sz w:val="24"/>
          <w:szCs w:val="24"/>
        </w:rPr>
        <w:t>data collection and analysis</w:t>
      </w:r>
      <w:r w:rsidR="003009B6">
        <w:rPr>
          <w:rFonts w:ascii="Times New Roman" w:hAnsi="Times New Roman" w:cs="Times New Roman"/>
          <w:sz w:val="24"/>
          <w:szCs w:val="24"/>
        </w:rPr>
        <w:t xml:space="preserve"> </w:t>
      </w:r>
      <w:r w:rsidR="002537EE">
        <w:rPr>
          <w:rFonts w:ascii="Times New Roman" w:hAnsi="Times New Roman" w:cs="Times New Roman"/>
          <w:sz w:val="24"/>
          <w:szCs w:val="24"/>
        </w:rPr>
        <w:t>process.</w:t>
      </w:r>
    </w:p>
    <w:p w:rsidR="002537EE" w:rsidRPr="00055918" w:rsidRDefault="002537EE" w:rsidP="00055918">
      <w:pPr>
        <w:spacing w:line="240" w:lineRule="auto"/>
        <w:rPr>
          <w:rFonts w:ascii="Times New Roman" w:hAnsi="Times New Roman" w:cs="Times New Roman"/>
          <w:sz w:val="24"/>
          <w:szCs w:val="24"/>
        </w:rPr>
      </w:pPr>
    </w:p>
    <w:p w:rsidR="00153F5B" w:rsidRPr="005242B1" w:rsidRDefault="004F715A" w:rsidP="005242B1">
      <w:pPr>
        <w:spacing w:after="0" w:line="240" w:lineRule="auto"/>
        <w:rPr>
          <w:rFonts w:ascii="Times New Roman" w:hAnsi="Times New Roman" w:cs="Times New Roman"/>
          <w:sz w:val="24"/>
          <w:szCs w:val="24"/>
        </w:rPr>
      </w:pPr>
      <w:r>
        <w:rPr>
          <w:rFonts w:ascii="Times New Roman" w:hAnsi="Times New Roman" w:cs="Times New Roman"/>
          <w:b/>
          <w:sz w:val="24"/>
          <w:szCs w:val="24"/>
        </w:rPr>
        <w:t>Table</w:t>
      </w:r>
      <w:r w:rsidR="00F677C0" w:rsidRPr="00F677C0">
        <w:rPr>
          <w:rFonts w:ascii="Times New Roman" w:hAnsi="Times New Roman" w:cs="Times New Roman"/>
          <w:b/>
          <w:sz w:val="24"/>
          <w:szCs w:val="24"/>
        </w:rPr>
        <w:t xml:space="preserve"> </w:t>
      </w:r>
      <w:r w:rsidR="004D48F5" w:rsidRPr="00F677C0">
        <w:rPr>
          <w:rFonts w:ascii="Times New Roman" w:hAnsi="Times New Roman" w:cs="Times New Roman"/>
          <w:b/>
          <w:sz w:val="24"/>
          <w:szCs w:val="24"/>
        </w:rPr>
        <w:t>14</w:t>
      </w:r>
      <w:r w:rsidR="004D48F5" w:rsidRPr="005242B1">
        <w:rPr>
          <w:rFonts w:ascii="Times New Roman" w:hAnsi="Times New Roman" w:cs="Times New Roman"/>
          <w:b/>
          <w:sz w:val="24"/>
          <w:szCs w:val="24"/>
        </w:rPr>
        <w:t>:</w:t>
      </w:r>
      <w:r w:rsidR="004D48F5" w:rsidRPr="005242B1">
        <w:rPr>
          <w:rFonts w:ascii="Times New Roman" w:hAnsi="Times New Roman" w:cs="Times New Roman"/>
          <w:sz w:val="24"/>
          <w:szCs w:val="24"/>
        </w:rPr>
        <w:t xml:space="preserve"> </w:t>
      </w:r>
      <w:r w:rsidR="004D48F5" w:rsidRPr="00F677C0">
        <w:rPr>
          <w:rFonts w:ascii="Times New Roman" w:hAnsi="Times New Roman" w:cs="Times New Roman"/>
          <w:b/>
          <w:sz w:val="24"/>
          <w:szCs w:val="24"/>
        </w:rPr>
        <w:t>Estimated Annualized Cost to the Federal Government</w:t>
      </w:r>
    </w:p>
    <w:tbl>
      <w:tblPr>
        <w:tblStyle w:val="TableGrid"/>
        <w:tblW w:w="9360" w:type="dxa"/>
        <w:tblInd w:w="108" w:type="dxa"/>
        <w:tblLook w:val="04A0" w:firstRow="1" w:lastRow="0" w:firstColumn="1" w:lastColumn="0" w:noHBand="0" w:noVBand="1"/>
      </w:tblPr>
      <w:tblGrid>
        <w:gridCol w:w="4500"/>
        <w:gridCol w:w="2430"/>
        <w:gridCol w:w="2430"/>
      </w:tblGrid>
      <w:tr w:rsidR="002537EE" w:rsidRPr="005242B1" w:rsidTr="002537EE">
        <w:trPr>
          <w:trHeight w:val="593"/>
        </w:trPr>
        <w:tc>
          <w:tcPr>
            <w:tcW w:w="4500" w:type="dxa"/>
            <w:tcBorders>
              <w:bottom w:val="single" w:sz="12" w:space="0" w:color="auto"/>
            </w:tcBorders>
            <w:shd w:val="clear" w:color="auto" w:fill="D9D9D9" w:themeFill="background1" w:themeFillShade="D9"/>
            <w:vAlign w:val="center"/>
          </w:tcPr>
          <w:p w:rsidR="002537EE" w:rsidRPr="005242B1" w:rsidRDefault="002537EE" w:rsidP="005242B1">
            <w:pPr>
              <w:jc w:val="center"/>
              <w:rPr>
                <w:rFonts w:ascii="Times New Roman" w:hAnsi="Times New Roman" w:cs="Times New Roman"/>
                <w:b/>
                <w:sz w:val="24"/>
                <w:szCs w:val="24"/>
              </w:rPr>
            </w:pPr>
            <w:r>
              <w:rPr>
                <w:rFonts w:ascii="Times New Roman" w:hAnsi="Times New Roman" w:cs="Times New Roman"/>
                <w:b/>
                <w:sz w:val="24"/>
                <w:szCs w:val="24"/>
              </w:rPr>
              <w:t>Contract and Personnel</w:t>
            </w:r>
            <w:r w:rsidRPr="005242B1">
              <w:rPr>
                <w:rFonts w:ascii="Times New Roman" w:hAnsi="Times New Roman" w:cs="Times New Roman"/>
                <w:b/>
                <w:sz w:val="24"/>
                <w:szCs w:val="24"/>
              </w:rPr>
              <w:t xml:space="preserve"> </w:t>
            </w:r>
          </w:p>
        </w:tc>
        <w:tc>
          <w:tcPr>
            <w:tcW w:w="2430" w:type="dxa"/>
            <w:tcBorders>
              <w:bottom w:val="single" w:sz="12" w:space="0" w:color="auto"/>
            </w:tcBorders>
            <w:shd w:val="clear" w:color="auto" w:fill="D9D9D9" w:themeFill="background1" w:themeFillShade="D9"/>
            <w:vAlign w:val="center"/>
          </w:tcPr>
          <w:p w:rsidR="002537EE" w:rsidRPr="005242B1" w:rsidRDefault="002537EE" w:rsidP="002537EE">
            <w:pPr>
              <w:jc w:val="center"/>
              <w:rPr>
                <w:rFonts w:ascii="Times New Roman" w:hAnsi="Times New Roman" w:cs="Times New Roman"/>
                <w:b/>
                <w:sz w:val="24"/>
                <w:szCs w:val="24"/>
              </w:rPr>
            </w:pPr>
            <w:r>
              <w:rPr>
                <w:rFonts w:ascii="Times New Roman" w:hAnsi="Times New Roman" w:cs="Times New Roman"/>
                <w:b/>
                <w:sz w:val="24"/>
                <w:szCs w:val="24"/>
              </w:rPr>
              <w:t>Role</w:t>
            </w:r>
          </w:p>
        </w:tc>
        <w:tc>
          <w:tcPr>
            <w:tcW w:w="2430" w:type="dxa"/>
            <w:tcBorders>
              <w:bottom w:val="single" w:sz="12" w:space="0" w:color="auto"/>
            </w:tcBorders>
            <w:shd w:val="clear" w:color="auto" w:fill="D9D9D9" w:themeFill="background1" w:themeFillShade="D9"/>
            <w:vAlign w:val="center"/>
          </w:tcPr>
          <w:p w:rsidR="002537EE" w:rsidRPr="005242B1" w:rsidRDefault="002537EE" w:rsidP="005242B1">
            <w:pPr>
              <w:jc w:val="center"/>
              <w:rPr>
                <w:rFonts w:ascii="Times New Roman" w:hAnsi="Times New Roman" w:cs="Times New Roman"/>
                <w:b/>
                <w:sz w:val="24"/>
                <w:szCs w:val="24"/>
              </w:rPr>
            </w:pPr>
            <w:r w:rsidRPr="005242B1">
              <w:rPr>
                <w:rFonts w:ascii="Times New Roman" w:hAnsi="Times New Roman" w:cs="Times New Roman"/>
                <w:b/>
                <w:sz w:val="24"/>
                <w:szCs w:val="24"/>
              </w:rPr>
              <w:t>Average Cost</w:t>
            </w:r>
          </w:p>
        </w:tc>
      </w:tr>
      <w:tr w:rsidR="002537EE" w:rsidRPr="005242B1" w:rsidTr="002537EE">
        <w:tc>
          <w:tcPr>
            <w:tcW w:w="4500" w:type="dxa"/>
            <w:tcBorders>
              <w:top w:val="single" w:sz="12" w:space="0" w:color="auto"/>
            </w:tcBorders>
          </w:tcPr>
          <w:p w:rsidR="002537EE" w:rsidRPr="002537EE" w:rsidRDefault="002537EE" w:rsidP="005242B1">
            <w:pPr>
              <w:rPr>
                <w:rFonts w:ascii="Times New Roman" w:hAnsi="Times New Roman" w:cs="Times New Roman"/>
              </w:rPr>
            </w:pPr>
            <w:r w:rsidRPr="002537EE">
              <w:rPr>
                <w:rFonts w:ascii="Times New Roman" w:hAnsi="Times New Roman" w:cs="Times New Roman"/>
              </w:rPr>
              <w:t>Federal employee costs, per information collection (30% FTE of one GS-13 at $83,500/year)</w:t>
            </w:r>
          </w:p>
        </w:tc>
        <w:tc>
          <w:tcPr>
            <w:tcW w:w="2430" w:type="dxa"/>
            <w:tcBorders>
              <w:top w:val="single" w:sz="12" w:space="0" w:color="auto"/>
            </w:tcBorders>
          </w:tcPr>
          <w:p w:rsidR="002537EE" w:rsidRPr="002537EE" w:rsidRDefault="002537EE" w:rsidP="002537EE">
            <w:pPr>
              <w:rPr>
                <w:rFonts w:ascii="Times New Roman" w:hAnsi="Times New Roman" w:cs="Times New Roman"/>
              </w:rPr>
            </w:pPr>
            <w:r w:rsidRPr="002537EE">
              <w:rPr>
                <w:rFonts w:ascii="Times New Roman" w:hAnsi="Times New Roman" w:cs="Times New Roman"/>
              </w:rPr>
              <w:t>Consultation with PI on OMB package preparation, supervisory role on design of data collection instruments, participate in data collection and analysis</w:t>
            </w:r>
          </w:p>
        </w:tc>
        <w:tc>
          <w:tcPr>
            <w:tcW w:w="2430" w:type="dxa"/>
            <w:tcBorders>
              <w:top w:val="single" w:sz="12" w:space="0" w:color="auto"/>
            </w:tcBorders>
          </w:tcPr>
          <w:p w:rsidR="002537EE" w:rsidRPr="002537EE" w:rsidRDefault="002537EE" w:rsidP="005242B1">
            <w:pPr>
              <w:jc w:val="center"/>
              <w:rPr>
                <w:rFonts w:ascii="Times New Roman" w:hAnsi="Times New Roman" w:cs="Times New Roman"/>
              </w:rPr>
            </w:pPr>
            <w:r w:rsidRPr="002537EE">
              <w:rPr>
                <w:rFonts w:ascii="Times New Roman" w:hAnsi="Times New Roman" w:cs="Times New Roman"/>
              </w:rPr>
              <w:t xml:space="preserve"> $25,050</w:t>
            </w:r>
          </w:p>
        </w:tc>
      </w:tr>
      <w:tr w:rsidR="002537EE" w:rsidRPr="005242B1" w:rsidTr="002537EE">
        <w:tc>
          <w:tcPr>
            <w:tcW w:w="4500" w:type="dxa"/>
          </w:tcPr>
          <w:p w:rsidR="002537EE" w:rsidRPr="002537EE" w:rsidRDefault="002537EE" w:rsidP="0009058B">
            <w:pPr>
              <w:rPr>
                <w:rFonts w:ascii="Times New Roman" w:hAnsi="Times New Roman" w:cs="Times New Roman"/>
              </w:rPr>
            </w:pPr>
            <w:r w:rsidRPr="002537EE">
              <w:rPr>
                <w:rFonts w:ascii="Times New Roman" w:hAnsi="Times New Roman" w:cs="Times New Roman"/>
              </w:rPr>
              <w:t>Contractor employee costs per information collection (100% contractor of one GS-11 equivalent at$56,000/year)</w:t>
            </w:r>
          </w:p>
        </w:tc>
        <w:tc>
          <w:tcPr>
            <w:tcW w:w="2430" w:type="dxa"/>
          </w:tcPr>
          <w:p w:rsidR="002537EE" w:rsidRPr="002537EE" w:rsidRDefault="00D94BDC" w:rsidP="002537EE">
            <w:pPr>
              <w:rPr>
                <w:rFonts w:ascii="Times New Roman" w:hAnsi="Times New Roman" w:cs="Times New Roman"/>
              </w:rPr>
            </w:pPr>
            <w:r>
              <w:rPr>
                <w:rFonts w:ascii="Times New Roman" w:hAnsi="Times New Roman" w:cs="Times New Roman"/>
              </w:rPr>
              <w:t>PI, d</w:t>
            </w:r>
            <w:r w:rsidR="002537EE" w:rsidRPr="002537EE">
              <w:rPr>
                <w:rFonts w:ascii="Times New Roman" w:hAnsi="Times New Roman" w:cs="Times New Roman"/>
              </w:rPr>
              <w:t xml:space="preserve">esign IRB and OMB project package, design data collection tools, work with web team to ensure survey </w:t>
            </w:r>
            <w:r w:rsidR="002537EE" w:rsidRPr="002537EE">
              <w:rPr>
                <w:rFonts w:ascii="Times New Roman" w:hAnsi="Times New Roman" w:cs="Times New Roman"/>
              </w:rPr>
              <w:lastRenderedPageBreak/>
              <w:t>instruments are</w:t>
            </w:r>
            <w:r>
              <w:rPr>
                <w:rFonts w:ascii="Times New Roman" w:hAnsi="Times New Roman" w:cs="Times New Roman"/>
              </w:rPr>
              <w:t xml:space="preserve"> functioning properly online,</w:t>
            </w:r>
            <w:r w:rsidR="002537EE" w:rsidRPr="002537EE">
              <w:rPr>
                <w:rFonts w:ascii="Times New Roman" w:hAnsi="Times New Roman" w:cs="Times New Roman"/>
              </w:rPr>
              <w:t xml:space="preserve"> conduct data collection and analysis, write final manuscript for publication, </w:t>
            </w:r>
          </w:p>
        </w:tc>
        <w:tc>
          <w:tcPr>
            <w:tcW w:w="2430" w:type="dxa"/>
          </w:tcPr>
          <w:p w:rsidR="002537EE" w:rsidRPr="002537EE" w:rsidRDefault="002537EE" w:rsidP="005242B1">
            <w:pPr>
              <w:jc w:val="center"/>
              <w:rPr>
                <w:rFonts w:ascii="Times New Roman" w:hAnsi="Times New Roman" w:cs="Times New Roman"/>
              </w:rPr>
            </w:pPr>
            <w:r w:rsidRPr="002537EE">
              <w:rPr>
                <w:rFonts w:ascii="Times New Roman" w:hAnsi="Times New Roman" w:cs="Times New Roman"/>
              </w:rPr>
              <w:lastRenderedPageBreak/>
              <w:t>$56,000</w:t>
            </w:r>
          </w:p>
        </w:tc>
      </w:tr>
      <w:tr w:rsidR="002537EE" w:rsidRPr="005242B1" w:rsidTr="002537EE">
        <w:tc>
          <w:tcPr>
            <w:tcW w:w="4500" w:type="dxa"/>
          </w:tcPr>
          <w:p w:rsidR="002537EE" w:rsidRPr="002537EE" w:rsidRDefault="002537EE" w:rsidP="00375E94">
            <w:pPr>
              <w:rPr>
                <w:rFonts w:ascii="Times New Roman" w:hAnsi="Times New Roman" w:cs="Times New Roman"/>
              </w:rPr>
            </w:pPr>
            <w:r w:rsidRPr="002537EE">
              <w:rPr>
                <w:rFonts w:ascii="Times New Roman" w:hAnsi="Times New Roman" w:cs="Times New Roman"/>
              </w:rPr>
              <w:lastRenderedPageBreak/>
              <w:t>Contractor employee costs per information  collection (10% contactor of one GS-11 equivalent to $60,000)</w:t>
            </w:r>
          </w:p>
        </w:tc>
        <w:tc>
          <w:tcPr>
            <w:tcW w:w="2430" w:type="dxa"/>
          </w:tcPr>
          <w:p w:rsidR="002537EE" w:rsidRPr="002537EE" w:rsidRDefault="002537EE" w:rsidP="002537EE">
            <w:pPr>
              <w:rPr>
                <w:rFonts w:ascii="Times New Roman" w:hAnsi="Times New Roman" w:cs="Times New Roman"/>
              </w:rPr>
            </w:pPr>
            <w:r>
              <w:rPr>
                <w:rFonts w:ascii="Times New Roman" w:hAnsi="Times New Roman" w:cs="Times New Roman"/>
              </w:rPr>
              <w:t>Participate in data collection</w:t>
            </w:r>
          </w:p>
        </w:tc>
        <w:tc>
          <w:tcPr>
            <w:tcW w:w="2430" w:type="dxa"/>
          </w:tcPr>
          <w:p w:rsidR="002537EE" w:rsidRPr="002537EE" w:rsidRDefault="002537EE" w:rsidP="005242B1">
            <w:pPr>
              <w:jc w:val="center"/>
              <w:rPr>
                <w:rFonts w:ascii="Times New Roman" w:hAnsi="Times New Roman" w:cs="Times New Roman"/>
              </w:rPr>
            </w:pPr>
            <w:r w:rsidRPr="002537EE">
              <w:rPr>
                <w:rFonts w:ascii="Times New Roman" w:hAnsi="Times New Roman" w:cs="Times New Roman"/>
              </w:rPr>
              <w:t>$6,000</w:t>
            </w:r>
          </w:p>
        </w:tc>
      </w:tr>
      <w:tr w:rsidR="002537EE" w:rsidRPr="005242B1" w:rsidTr="002537EE">
        <w:tc>
          <w:tcPr>
            <w:tcW w:w="4500" w:type="dxa"/>
          </w:tcPr>
          <w:p w:rsidR="002537EE" w:rsidRPr="002537EE" w:rsidRDefault="002537EE" w:rsidP="00375E94">
            <w:pPr>
              <w:rPr>
                <w:rFonts w:ascii="Times New Roman" w:hAnsi="Times New Roman" w:cs="Times New Roman"/>
              </w:rPr>
            </w:pPr>
            <w:r w:rsidRPr="002537EE">
              <w:rPr>
                <w:rFonts w:ascii="Times New Roman" w:hAnsi="Times New Roman" w:cs="Times New Roman"/>
              </w:rPr>
              <w:t>Estimate transcription costs, travel expenses</w:t>
            </w:r>
          </w:p>
        </w:tc>
        <w:tc>
          <w:tcPr>
            <w:tcW w:w="2430" w:type="dxa"/>
          </w:tcPr>
          <w:p w:rsidR="002537EE" w:rsidRPr="002537EE" w:rsidRDefault="002537EE" w:rsidP="005242B1">
            <w:pPr>
              <w:jc w:val="center"/>
              <w:rPr>
                <w:rFonts w:ascii="Times New Roman" w:hAnsi="Times New Roman" w:cs="Times New Roman"/>
              </w:rPr>
            </w:pPr>
          </w:p>
        </w:tc>
        <w:tc>
          <w:tcPr>
            <w:tcW w:w="2430" w:type="dxa"/>
          </w:tcPr>
          <w:p w:rsidR="002537EE" w:rsidRPr="002537EE" w:rsidRDefault="002537EE" w:rsidP="005242B1">
            <w:pPr>
              <w:jc w:val="center"/>
              <w:rPr>
                <w:rFonts w:ascii="Times New Roman" w:hAnsi="Times New Roman" w:cs="Times New Roman"/>
              </w:rPr>
            </w:pPr>
            <w:r>
              <w:rPr>
                <w:rFonts w:ascii="Times New Roman" w:hAnsi="Times New Roman" w:cs="Times New Roman"/>
              </w:rPr>
              <w:t>$10,0</w:t>
            </w:r>
            <w:r w:rsidRPr="002537EE">
              <w:rPr>
                <w:rFonts w:ascii="Times New Roman" w:hAnsi="Times New Roman" w:cs="Times New Roman"/>
              </w:rPr>
              <w:t>00</w:t>
            </w:r>
          </w:p>
        </w:tc>
      </w:tr>
      <w:tr w:rsidR="002537EE" w:rsidRPr="005242B1" w:rsidTr="002537EE">
        <w:tc>
          <w:tcPr>
            <w:tcW w:w="4500" w:type="dxa"/>
          </w:tcPr>
          <w:p w:rsidR="002537EE" w:rsidRPr="003F1079" w:rsidRDefault="002537EE" w:rsidP="00375E94">
            <w:pPr>
              <w:rPr>
                <w:rFonts w:ascii="Times New Roman" w:hAnsi="Times New Roman" w:cs="Times New Roman"/>
                <w:b/>
              </w:rPr>
            </w:pPr>
            <w:r w:rsidRPr="003F1079">
              <w:rPr>
                <w:rFonts w:ascii="Times New Roman" w:hAnsi="Times New Roman" w:cs="Times New Roman"/>
                <w:b/>
              </w:rPr>
              <w:t>Total Costs</w:t>
            </w:r>
          </w:p>
        </w:tc>
        <w:tc>
          <w:tcPr>
            <w:tcW w:w="2430" w:type="dxa"/>
          </w:tcPr>
          <w:p w:rsidR="002537EE" w:rsidRPr="002537EE" w:rsidRDefault="002537EE" w:rsidP="005242B1">
            <w:pPr>
              <w:jc w:val="center"/>
              <w:rPr>
                <w:rFonts w:ascii="Times New Roman" w:hAnsi="Times New Roman" w:cs="Times New Roman"/>
              </w:rPr>
            </w:pPr>
          </w:p>
        </w:tc>
        <w:tc>
          <w:tcPr>
            <w:tcW w:w="2430" w:type="dxa"/>
          </w:tcPr>
          <w:p w:rsidR="002537EE" w:rsidRPr="003009B6" w:rsidRDefault="00CA2D5F" w:rsidP="005242B1">
            <w:pPr>
              <w:jc w:val="center"/>
              <w:rPr>
                <w:rFonts w:ascii="Times New Roman" w:hAnsi="Times New Roman" w:cs="Times New Roman"/>
                <w:b/>
              </w:rPr>
            </w:pPr>
            <w:r w:rsidRPr="003009B6">
              <w:rPr>
                <w:rFonts w:ascii="Times New Roman" w:hAnsi="Times New Roman" w:cs="Times New Roman"/>
                <w:b/>
              </w:rPr>
              <w:t>$97,050</w:t>
            </w:r>
          </w:p>
        </w:tc>
      </w:tr>
    </w:tbl>
    <w:p w:rsidR="009D108F" w:rsidRPr="005242B1" w:rsidRDefault="009D108F" w:rsidP="005242B1">
      <w:pPr>
        <w:pStyle w:val="Heading2"/>
        <w:spacing w:line="240" w:lineRule="auto"/>
      </w:pPr>
      <w:r w:rsidRPr="005242B1">
        <w:t>15</w:t>
      </w:r>
      <w:r w:rsidR="00E97098">
        <w:t>.</w:t>
      </w:r>
      <w:r w:rsidRPr="005242B1">
        <w:t xml:space="preserve"> Explanation for Program Changes or Adjustments </w:t>
      </w:r>
    </w:p>
    <w:p w:rsidR="000818F2" w:rsidRDefault="004D48F5" w:rsidP="005242B1">
      <w:pPr>
        <w:spacing w:after="0" w:line="240" w:lineRule="auto"/>
        <w:rPr>
          <w:rFonts w:ascii="Times New Roman" w:hAnsi="Times New Roman" w:cs="Times New Roman"/>
          <w:sz w:val="24"/>
          <w:szCs w:val="24"/>
        </w:rPr>
      </w:pPr>
      <w:r w:rsidRPr="005242B1">
        <w:rPr>
          <w:rFonts w:ascii="Times New Roman" w:hAnsi="Times New Roman" w:cs="Times New Roman"/>
          <w:sz w:val="24"/>
          <w:szCs w:val="24"/>
        </w:rPr>
        <w:t>This is a new data collection.</w:t>
      </w:r>
    </w:p>
    <w:p w:rsidR="00E777D0" w:rsidRDefault="00E777D0" w:rsidP="005242B1">
      <w:pPr>
        <w:spacing w:after="0" w:line="240" w:lineRule="auto"/>
        <w:rPr>
          <w:rFonts w:ascii="Times New Roman" w:hAnsi="Times New Roman" w:cs="Times New Roman"/>
          <w:sz w:val="24"/>
          <w:szCs w:val="24"/>
        </w:rPr>
      </w:pPr>
    </w:p>
    <w:p w:rsidR="00E777D0" w:rsidRPr="005242B1" w:rsidRDefault="00E777D0" w:rsidP="005242B1">
      <w:pPr>
        <w:spacing w:after="0" w:line="240" w:lineRule="auto"/>
        <w:rPr>
          <w:rFonts w:ascii="Times New Roman" w:hAnsi="Times New Roman" w:cs="Times New Roman"/>
          <w:sz w:val="24"/>
          <w:szCs w:val="24"/>
        </w:rPr>
      </w:pPr>
    </w:p>
    <w:p w:rsidR="009D108F" w:rsidRPr="005242B1" w:rsidRDefault="009D108F" w:rsidP="005242B1">
      <w:pPr>
        <w:pStyle w:val="Heading2"/>
        <w:spacing w:line="240" w:lineRule="auto"/>
        <w:rPr>
          <w:rStyle w:val="Strong"/>
          <w:b/>
          <w:bCs w:val="0"/>
        </w:rPr>
      </w:pPr>
      <w:r w:rsidRPr="005242B1">
        <w:rPr>
          <w:bCs/>
        </w:rPr>
        <w:t>16</w:t>
      </w:r>
      <w:r w:rsidR="00E97098">
        <w:rPr>
          <w:bCs/>
        </w:rPr>
        <w:t>.</w:t>
      </w:r>
      <w:r w:rsidRPr="005242B1">
        <w:rPr>
          <w:bCs/>
        </w:rPr>
        <w:t xml:space="preserve"> </w:t>
      </w:r>
      <w:r w:rsidRPr="005242B1">
        <w:t>Plans for Tabulation and Publication and Project Time Schedule</w:t>
      </w:r>
    </w:p>
    <w:p w:rsidR="0039367D" w:rsidRPr="005242B1" w:rsidRDefault="00CC4C98" w:rsidP="005242B1">
      <w:pPr>
        <w:pStyle w:val="CommentText"/>
        <w:rPr>
          <w:rFonts w:ascii="Times New Roman" w:hAnsi="Times New Roman" w:cs="Times New Roman"/>
          <w:sz w:val="24"/>
          <w:szCs w:val="24"/>
        </w:rPr>
      </w:pPr>
      <w:r w:rsidRPr="005242B1">
        <w:rPr>
          <w:rFonts w:ascii="Times New Roman" w:hAnsi="Times New Roman" w:cs="Times New Roman"/>
          <w:sz w:val="24"/>
          <w:szCs w:val="24"/>
        </w:rPr>
        <w:t xml:space="preserve">On completion </w:t>
      </w:r>
      <w:r w:rsidR="0039367D" w:rsidRPr="005242B1">
        <w:rPr>
          <w:rFonts w:ascii="Times New Roman" w:hAnsi="Times New Roman" w:cs="Times New Roman"/>
          <w:sz w:val="24"/>
          <w:szCs w:val="24"/>
        </w:rPr>
        <w:t xml:space="preserve">of </w:t>
      </w:r>
      <w:r w:rsidRPr="005242B1">
        <w:rPr>
          <w:rFonts w:ascii="Times New Roman" w:hAnsi="Times New Roman" w:cs="Times New Roman"/>
          <w:sz w:val="24"/>
          <w:szCs w:val="24"/>
        </w:rPr>
        <w:t>data</w:t>
      </w:r>
      <w:r w:rsidR="0039367D" w:rsidRPr="005242B1">
        <w:rPr>
          <w:rFonts w:ascii="Times New Roman" w:hAnsi="Times New Roman" w:cs="Times New Roman"/>
          <w:sz w:val="24"/>
          <w:szCs w:val="24"/>
        </w:rPr>
        <w:t xml:space="preserve"> collection and analysis, the following reports and presentations will be</w:t>
      </w:r>
      <w:r w:rsidR="003619A6" w:rsidRPr="005242B1">
        <w:rPr>
          <w:rFonts w:ascii="Times New Roman" w:hAnsi="Times New Roman" w:cs="Times New Roman"/>
          <w:sz w:val="24"/>
          <w:szCs w:val="24"/>
        </w:rPr>
        <w:t xml:space="preserve"> produced</w:t>
      </w:r>
      <w:r w:rsidR="0039367D" w:rsidRPr="005242B1">
        <w:rPr>
          <w:rFonts w:ascii="Times New Roman" w:hAnsi="Times New Roman" w:cs="Times New Roman"/>
          <w:sz w:val="24"/>
          <w:szCs w:val="24"/>
        </w:rPr>
        <w:t xml:space="preserve">: </w:t>
      </w:r>
    </w:p>
    <w:p w:rsidR="0039367D" w:rsidRPr="005242B1" w:rsidRDefault="0039367D" w:rsidP="005242B1">
      <w:pPr>
        <w:pStyle w:val="CommentText"/>
        <w:numPr>
          <w:ilvl w:val="0"/>
          <w:numId w:val="38"/>
        </w:numPr>
        <w:rPr>
          <w:rFonts w:ascii="Times New Roman" w:hAnsi="Times New Roman" w:cs="Times New Roman"/>
          <w:sz w:val="24"/>
          <w:szCs w:val="24"/>
          <w:u w:val="single"/>
        </w:rPr>
      </w:pPr>
      <w:r w:rsidRPr="005242B1">
        <w:rPr>
          <w:rFonts w:ascii="Times New Roman" w:hAnsi="Times New Roman" w:cs="Times New Roman"/>
          <w:sz w:val="24"/>
          <w:szCs w:val="24"/>
        </w:rPr>
        <w:t>A</w:t>
      </w:r>
      <w:r w:rsidR="003619A6" w:rsidRPr="005242B1">
        <w:rPr>
          <w:rFonts w:ascii="Times New Roman" w:hAnsi="Times New Roman" w:cs="Times New Roman"/>
          <w:sz w:val="24"/>
          <w:szCs w:val="24"/>
        </w:rPr>
        <w:t>n</w:t>
      </w:r>
      <w:r w:rsidRPr="005242B1">
        <w:rPr>
          <w:rFonts w:ascii="Times New Roman" w:hAnsi="Times New Roman" w:cs="Times New Roman"/>
          <w:sz w:val="24"/>
          <w:szCs w:val="24"/>
        </w:rPr>
        <w:t xml:space="preserve"> </w:t>
      </w:r>
      <w:r w:rsidR="003619A6" w:rsidRPr="005242B1">
        <w:rPr>
          <w:rFonts w:ascii="Times New Roman" w:hAnsi="Times New Roman" w:cs="Times New Roman"/>
          <w:sz w:val="24"/>
          <w:szCs w:val="24"/>
        </w:rPr>
        <w:t xml:space="preserve">informative and summative </w:t>
      </w:r>
      <w:r w:rsidRPr="005242B1">
        <w:rPr>
          <w:rFonts w:ascii="Times New Roman" w:hAnsi="Times New Roman" w:cs="Times New Roman"/>
          <w:sz w:val="24"/>
          <w:szCs w:val="24"/>
        </w:rPr>
        <w:t>manuscript</w:t>
      </w:r>
      <w:r w:rsidR="003619A6" w:rsidRPr="005242B1">
        <w:rPr>
          <w:rFonts w:ascii="Times New Roman" w:hAnsi="Times New Roman" w:cs="Times New Roman"/>
          <w:sz w:val="24"/>
          <w:szCs w:val="24"/>
        </w:rPr>
        <w:t xml:space="preserve"> will be produced for</w:t>
      </w:r>
      <w:r w:rsidRPr="005242B1">
        <w:rPr>
          <w:rFonts w:ascii="Times New Roman" w:hAnsi="Times New Roman" w:cs="Times New Roman"/>
          <w:sz w:val="24"/>
          <w:szCs w:val="24"/>
        </w:rPr>
        <w:t xml:space="preserve"> DGMQ</w:t>
      </w:r>
      <w:r w:rsidR="003619A6" w:rsidRPr="005242B1">
        <w:rPr>
          <w:rFonts w:ascii="Times New Roman" w:hAnsi="Times New Roman" w:cs="Times New Roman"/>
          <w:sz w:val="24"/>
          <w:szCs w:val="24"/>
        </w:rPr>
        <w:t xml:space="preserve"> staff.</w:t>
      </w:r>
    </w:p>
    <w:p w:rsidR="0039367D" w:rsidRPr="005242B1" w:rsidRDefault="0039367D" w:rsidP="005242B1">
      <w:pPr>
        <w:pStyle w:val="CommentText"/>
        <w:numPr>
          <w:ilvl w:val="0"/>
          <w:numId w:val="38"/>
        </w:numPr>
        <w:rPr>
          <w:rFonts w:ascii="Times New Roman" w:hAnsi="Times New Roman" w:cs="Times New Roman"/>
          <w:sz w:val="24"/>
          <w:szCs w:val="24"/>
          <w:u w:val="single"/>
        </w:rPr>
      </w:pPr>
      <w:r w:rsidRPr="005242B1">
        <w:rPr>
          <w:rFonts w:ascii="Times New Roman" w:hAnsi="Times New Roman" w:cs="Times New Roman"/>
          <w:sz w:val="24"/>
          <w:szCs w:val="24"/>
        </w:rPr>
        <w:t>F</w:t>
      </w:r>
      <w:r w:rsidR="00CC4C98" w:rsidRPr="005242B1">
        <w:rPr>
          <w:rFonts w:ascii="Times New Roman" w:hAnsi="Times New Roman" w:cs="Times New Roman"/>
          <w:sz w:val="24"/>
          <w:szCs w:val="24"/>
        </w:rPr>
        <w:t>indings will be summari</w:t>
      </w:r>
      <w:r w:rsidRPr="005242B1">
        <w:rPr>
          <w:rFonts w:ascii="Times New Roman" w:hAnsi="Times New Roman" w:cs="Times New Roman"/>
          <w:sz w:val="24"/>
          <w:szCs w:val="24"/>
        </w:rPr>
        <w:t>zed and presented to DGMQ staff</w:t>
      </w:r>
      <w:r w:rsidR="003619A6" w:rsidRPr="005242B1">
        <w:rPr>
          <w:rFonts w:ascii="Times New Roman" w:hAnsi="Times New Roman" w:cs="Times New Roman"/>
          <w:sz w:val="24"/>
          <w:szCs w:val="24"/>
        </w:rPr>
        <w:t>.</w:t>
      </w:r>
    </w:p>
    <w:p w:rsidR="0039367D" w:rsidRPr="005242B1" w:rsidRDefault="0039367D" w:rsidP="005242B1">
      <w:pPr>
        <w:pStyle w:val="CommentText"/>
        <w:numPr>
          <w:ilvl w:val="0"/>
          <w:numId w:val="38"/>
        </w:numPr>
        <w:rPr>
          <w:rFonts w:ascii="Times New Roman" w:hAnsi="Times New Roman" w:cs="Times New Roman"/>
          <w:sz w:val="24"/>
          <w:szCs w:val="24"/>
          <w:u w:val="single"/>
        </w:rPr>
      </w:pPr>
      <w:r w:rsidRPr="005242B1">
        <w:rPr>
          <w:rFonts w:ascii="Times New Roman" w:hAnsi="Times New Roman" w:cs="Times New Roman"/>
          <w:sz w:val="24"/>
          <w:szCs w:val="24"/>
        </w:rPr>
        <w:t>A</w:t>
      </w:r>
      <w:r w:rsidR="00CC4C98" w:rsidRPr="005242B1">
        <w:rPr>
          <w:rFonts w:ascii="Times New Roman" w:hAnsi="Times New Roman" w:cs="Times New Roman"/>
          <w:sz w:val="24"/>
          <w:szCs w:val="24"/>
        </w:rPr>
        <w:t>n academic article will be produced and publ</w:t>
      </w:r>
      <w:r w:rsidRPr="005242B1">
        <w:rPr>
          <w:rFonts w:ascii="Times New Roman" w:hAnsi="Times New Roman" w:cs="Times New Roman"/>
          <w:sz w:val="24"/>
          <w:szCs w:val="24"/>
        </w:rPr>
        <w:t>ished in an agreed-upon journal</w:t>
      </w:r>
      <w:r w:rsidR="003619A6" w:rsidRPr="005242B1">
        <w:rPr>
          <w:rFonts w:ascii="Times New Roman" w:hAnsi="Times New Roman" w:cs="Times New Roman"/>
          <w:sz w:val="24"/>
          <w:szCs w:val="24"/>
        </w:rPr>
        <w:t>.</w:t>
      </w:r>
    </w:p>
    <w:p w:rsidR="0039367D" w:rsidRPr="005242B1" w:rsidRDefault="0039367D" w:rsidP="005242B1">
      <w:pPr>
        <w:pStyle w:val="ListParagraph"/>
        <w:numPr>
          <w:ilvl w:val="0"/>
          <w:numId w:val="36"/>
        </w:numPr>
        <w:spacing w:after="0" w:line="240" w:lineRule="auto"/>
        <w:rPr>
          <w:rFonts w:ascii="Times New Roman" w:hAnsi="Times New Roman" w:cs="Times New Roman"/>
          <w:sz w:val="24"/>
          <w:szCs w:val="24"/>
        </w:rPr>
      </w:pPr>
      <w:r w:rsidRPr="005242B1">
        <w:rPr>
          <w:rFonts w:ascii="Times New Roman" w:hAnsi="Times New Roman" w:cs="Times New Roman"/>
          <w:sz w:val="24"/>
          <w:szCs w:val="24"/>
        </w:rPr>
        <w:t>F</w:t>
      </w:r>
      <w:r w:rsidR="00CC4C98" w:rsidRPr="005242B1">
        <w:rPr>
          <w:rFonts w:ascii="Times New Roman" w:hAnsi="Times New Roman" w:cs="Times New Roman"/>
          <w:sz w:val="24"/>
          <w:szCs w:val="24"/>
        </w:rPr>
        <w:t xml:space="preserve">indings will also be presented </w:t>
      </w:r>
      <w:r w:rsidRPr="005242B1">
        <w:rPr>
          <w:rFonts w:ascii="Times New Roman" w:hAnsi="Times New Roman" w:cs="Times New Roman"/>
          <w:sz w:val="24"/>
          <w:szCs w:val="24"/>
        </w:rPr>
        <w:t>at an agreed-upon conference</w:t>
      </w:r>
      <w:r w:rsidR="003619A6" w:rsidRPr="005242B1">
        <w:rPr>
          <w:rFonts w:ascii="Times New Roman" w:hAnsi="Times New Roman" w:cs="Times New Roman"/>
          <w:sz w:val="24"/>
          <w:szCs w:val="24"/>
        </w:rPr>
        <w:t>.</w:t>
      </w:r>
    </w:p>
    <w:p w:rsidR="0039367D" w:rsidRPr="005242B1" w:rsidRDefault="0039367D" w:rsidP="005242B1">
      <w:pPr>
        <w:pStyle w:val="ListParagraph"/>
        <w:spacing w:after="0" w:line="240" w:lineRule="auto"/>
        <w:rPr>
          <w:rFonts w:ascii="Times New Roman" w:hAnsi="Times New Roman" w:cs="Times New Roman"/>
          <w:sz w:val="24"/>
          <w:szCs w:val="24"/>
        </w:rPr>
      </w:pPr>
    </w:p>
    <w:p w:rsidR="00F677C0" w:rsidRPr="003F1079" w:rsidRDefault="0039367D" w:rsidP="005242B1">
      <w:pPr>
        <w:pStyle w:val="ListParagraph"/>
        <w:numPr>
          <w:ilvl w:val="0"/>
          <w:numId w:val="36"/>
        </w:numPr>
        <w:spacing w:after="0" w:line="240" w:lineRule="auto"/>
        <w:rPr>
          <w:rFonts w:ascii="Times New Roman" w:hAnsi="Times New Roman" w:cs="Times New Roman"/>
          <w:sz w:val="24"/>
          <w:szCs w:val="24"/>
        </w:rPr>
      </w:pPr>
      <w:r w:rsidRPr="005242B1">
        <w:rPr>
          <w:rFonts w:ascii="Times New Roman" w:hAnsi="Times New Roman" w:cs="Times New Roman"/>
          <w:sz w:val="24"/>
          <w:szCs w:val="24"/>
        </w:rPr>
        <w:t>Depending on the outcomes, the evaluation findings will be used to scale-up the QR code project across CDC divisions through Innovation Fund reporting, presentations, and other communication avenues at the agency</w:t>
      </w:r>
      <w:r w:rsidR="003619A6" w:rsidRPr="005242B1">
        <w:rPr>
          <w:rFonts w:ascii="Times New Roman" w:hAnsi="Times New Roman" w:cs="Times New Roman"/>
          <w:sz w:val="24"/>
          <w:szCs w:val="24"/>
        </w:rPr>
        <w:t>.</w:t>
      </w:r>
    </w:p>
    <w:p w:rsidR="00F677C0" w:rsidRDefault="00F677C0" w:rsidP="005242B1">
      <w:pPr>
        <w:pStyle w:val="CommentText"/>
        <w:rPr>
          <w:rFonts w:ascii="Times New Roman" w:hAnsi="Times New Roman" w:cs="Times New Roman"/>
          <w:sz w:val="24"/>
          <w:szCs w:val="24"/>
        </w:rPr>
      </w:pPr>
    </w:p>
    <w:p w:rsidR="00F677C0" w:rsidRPr="00F677C0" w:rsidRDefault="004F715A" w:rsidP="00F677C0">
      <w:pPr>
        <w:pStyle w:val="CommentText"/>
        <w:spacing w:after="0"/>
        <w:rPr>
          <w:rFonts w:ascii="Times New Roman" w:hAnsi="Times New Roman" w:cs="Times New Roman"/>
          <w:b/>
          <w:sz w:val="24"/>
          <w:szCs w:val="24"/>
        </w:rPr>
      </w:pPr>
      <w:r>
        <w:rPr>
          <w:rFonts w:ascii="Times New Roman" w:hAnsi="Times New Roman" w:cs="Times New Roman"/>
          <w:b/>
          <w:sz w:val="24"/>
          <w:szCs w:val="24"/>
        </w:rPr>
        <w:t xml:space="preserve">Table </w:t>
      </w:r>
      <w:r w:rsidR="00F677C0" w:rsidRPr="00F677C0">
        <w:rPr>
          <w:rFonts w:ascii="Times New Roman" w:hAnsi="Times New Roman" w:cs="Times New Roman"/>
          <w:b/>
          <w:sz w:val="24"/>
          <w:szCs w:val="24"/>
        </w:rPr>
        <w:t xml:space="preserve">16: Project </w:t>
      </w:r>
      <w:r w:rsidR="003009B6">
        <w:rPr>
          <w:rFonts w:ascii="Times New Roman" w:hAnsi="Times New Roman" w:cs="Times New Roman"/>
          <w:b/>
          <w:sz w:val="24"/>
          <w:szCs w:val="24"/>
        </w:rPr>
        <w:t>Schedule</w:t>
      </w:r>
    </w:p>
    <w:tbl>
      <w:tblPr>
        <w:tblStyle w:val="TableGrid1"/>
        <w:tblW w:w="0" w:type="auto"/>
        <w:tblInd w:w="108" w:type="dxa"/>
        <w:tblLook w:val="01E0" w:firstRow="1" w:lastRow="1" w:firstColumn="1" w:lastColumn="1" w:noHBand="0" w:noVBand="0"/>
      </w:tblPr>
      <w:tblGrid>
        <w:gridCol w:w="3204"/>
        <w:gridCol w:w="3420"/>
      </w:tblGrid>
      <w:tr w:rsidR="005242B1" w:rsidRPr="005242B1" w:rsidTr="000818F2">
        <w:trPr>
          <w:tblHeader/>
        </w:trPr>
        <w:tc>
          <w:tcPr>
            <w:tcW w:w="3204" w:type="dxa"/>
          </w:tcPr>
          <w:p w:rsidR="00F33DE9" w:rsidRPr="005242B1" w:rsidRDefault="00F33DE9" w:rsidP="005242B1">
            <w:pPr>
              <w:ind w:right="288"/>
              <w:rPr>
                <w:rFonts w:ascii="Times New Roman" w:hAnsi="Times New Roman" w:cs="Times New Roman"/>
                <w:b/>
                <w:bCs/>
                <w:sz w:val="24"/>
                <w:szCs w:val="24"/>
              </w:rPr>
            </w:pPr>
          </w:p>
          <w:p w:rsidR="00F33DE9" w:rsidRPr="005242B1" w:rsidRDefault="00F33DE9" w:rsidP="005242B1">
            <w:pPr>
              <w:ind w:right="288"/>
              <w:jc w:val="center"/>
              <w:rPr>
                <w:rFonts w:ascii="Times New Roman" w:hAnsi="Times New Roman" w:cs="Times New Roman"/>
                <w:sz w:val="24"/>
                <w:szCs w:val="24"/>
              </w:rPr>
            </w:pPr>
            <w:r w:rsidRPr="005242B1">
              <w:rPr>
                <w:rFonts w:ascii="Times New Roman" w:hAnsi="Times New Roman" w:cs="Times New Roman"/>
                <w:b/>
                <w:bCs/>
                <w:sz w:val="24"/>
                <w:szCs w:val="24"/>
              </w:rPr>
              <w:t>Activity</w:t>
            </w:r>
          </w:p>
        </w:tc>
        <w:tc>
          <w:tcPr>
            <w:tcW w:w="3420" w:type="dxa"/>
          </w:tcPr>
          <w:p w:rsidR="00F33DE9" w:rsidRPr="005242B1" w:rsidRDefault="00F33DE9" w:rsidP="005242B1">
            <w:pPr>
              <w:ind w:right="288"/>
              <w:jc w:val="center"/>
              <w:rPr>
                <w:rFonts w:ascii="Times New Roman" w:hAnsi="Times New Roman" w:cs="Times New Roman"/>
                <w:b/>
                <w:bCs/>
                <w:sz w:val="24"/>
                <w:szCs w:val="24"/>
              </w:rPr>
            </w:pPr>
          </w:p>
          <w:p w:rsidR="00F33DE9" w:rsidRPr="005242B1" w:rsidRDefault="00F33DE9" w:rsidP="00E777D0">
            <w:pPr>
              <w:ind w:right="288"/>
              <w:jc w:val="center"/>
              <w:rPr>
                <w:rFonts w:ascii="Times New Roman" w:hAnsi="Times New Roman" w:cs="Times New Roman"/>
                <w:sz w:val="24"/>
                <w:szCs w:val="24"/>
              </w:rPr>
            </w:pPr>
            <w:r w:rsidRPr="005242B1">
              <w:rPr>
                <w:rFonts w:ascii="Times New Roman" w:hAnsi="Times New Roman" w:cs="Times New Roman"/>
                <w:b/>
                <w:bCs/>
                <w:sz w:val="24"/>
                <w:szCs w:val="24"/>
              </w:rPr>
              <w:t xml:space="preserve">Time </w:t>
            </w:r>
            <w:r w:rsidR="00E777D0">
              <w:rPr>
                <w:rFonts w:ascii="Times New Roman" w:hAnsi="Times New Roman" w:cs="Times New Roman"/>
                <w:b/>
                <w:bCs/>
                <w:sz w:val="24"/>
                <w:szCs w:val="24"/>
              </w:rPr>
              <w:t>Table</w:t>
            </w:r>
          </w:p>
        </w:tc>
      </w:tr>
      <w:tr w:rsidR="005242B1" w:rsidRPr="005242B1" w:rsidTr="000818F2">
        <w:tc>
          <w:tcPr>
            <w:tcW w:w="3204" w:type="dxa"/>
          </w:tcPr>
          <w:p w:rsidR="009D0EEA" w:rsidRPr="005242B1" w:rsidRDefault="009D0EEA" w:rsidP="005242B1">
            <w:pPr>
              <w:ind w:right="288"/>
              <w:rPr>
                <w:rFonts w:ascii="Times New Roman" w:hAnsi="Times New Roman" w:cs="Times New Roman"/>
                <w:sz w:val="24"/>
                <w:szCs w:val="24"/>
              </w:rPr>
            </w:pPr>
            <w:r w:rsidRPr="005242B1">
              <w:rPr>
                <w:rFonts w:ascii="Times New Roman" w:hAnsi="Times New Roman" w:cs="Times New Roman"/>
                <w:sz w:val="24"/>
                <w:szCs w:val="24"/>
              </w:rPr>
              <w:t xml:space="preserve">Develop protocol, data collection tools, IRB </w:t>
            </w:r>
            <w:r w:rsidR="005242B1" w:rsidRPr="005242B1">
              <w:rPr>
                <w:rFonts w:ascii="Times New Roman" w:hAnsi="Times New Roman" w:cs="Times New Roman"/>
                <w:sz w:val="24"/>
                <w:szCs w:val="24"/>
              </w:rPr>
              <w:t xml:space="preserve">and OMB application, </w:t>
            </w:r>
            <w:r w:rsidRPr="005242B1">
              <w:rPr>
                <w:rFonts w:ascii="Times New Roman" w:hAnsi="Times New Roman" w:cs="Times New Roman"/>
                <w:sz w:val="24"/>
                <w:szCs w:val="24"/>
              </w:rPr>
              <w:t xml:space="preserve">identify participants, </w:t>
            </w:r>
            <w:r w:rsidR="00D618A3">
              <w:rPr>
                <w:rFonts w:ascii="Times New Roman" w:hAnsi="Times New Roman" w:cs="Times New Roman"/>
                <w:sz w:val="24"/>
                <w:szCs w:val="24"/>
              </w:rPr>
              <w:t xml:space="preserve">develop any other materials, </w:t>
            </w:r>
            <w:r w:rsidRPr="005242B1">
              <w:rPr>
                <w:rFonts w:ascii="Times New Roman" w:hAnsi="Times New Roman" w:cs="Times New Roman"/>
                <w:sz w:val="24"/>
                <w:szCs w:val="24"/>
              </w:rPr>
              <w:t>submit materials for clearance</w:t>
            </w:r>
          </w:p>
        </w:tc>
        <w:tc>
          <w:tcPr>
            <w:tcW w:w="3420" w:type="dxa"/>
          </w:tcPr>
          <w:p w:rsidR="009D0EEA" w:rsidRPr="005242B1" w:rsidRDefault="009D0EEA" w:rsidP="005242B1">
            <w:pPr>
              <w:ind w:right="288"/>
              <w:rPr>
                <w:rFonts w:ascii="Times New Roman" w:hAnsi="Times New Roman" w:cs="Times New Roman"/>
                <w:sz w:val="24"/>
                <w:szCs w:val="24"/>
              </w:rPr>
            </w:pPr>
          </w:p>
          <w:p w:rsidR="009D0EEA" w:rsidRPr="005242B1" w:rsidRDefault="009D0EEA" w:rsidP="005242B1">
            <w:pPr>
              <w:ind w:right="288"/>
              <w:rPr>
                <w:rFonts w:ascii="Times New Roman" w:hAnsi="Times New Roman" w:cs="Times New Roman"/>
                <w:sz w:val="24"/>
                <w:szCs w:val="24"/>
              </w:rPr>
            </w:pPr>
            <w:r w:rsidRPr="005242B1">
              <w:rPr>
                <w:rFonts w:ascii="Times New Roman" w:hAnsi="Times New Roman" w:cs="Times New Roman"/>
                <w:sz w:val="24"/>
                <w:szCs w:val="24"/>
              </w:rPr>
              <w:t>Prior and during OMB clearance period</w:t>
            </w:r>
          </w:p>
        </w:tc>
      </w:tr>
      <w:tr w:rsidR="005242B1" w:rsidRPr="005242B1" w:rsidTr="000818F2">
        <w:tc>
          <w:tcPr>
            <w:tcW w:w="3204" w:type="dxa"/>
          </w:tcPr>
          <w:p w:rsidR="00AB006E" w:rsidRPr="005242B1" w:rsidRDefault="005242B1" w:rsidP="005242B1">
            <w:pPr>
              <w:ind w:right="288"/>
              <w:rPr>
                <w:rFonts w:ascii="Times New Roman" w:hAnsi="Times New Roman" w:cs="Times New Roman"/>
                <w:sz w:val="24"/>
                <w:szCs w:val="24"/>
              </w:rPr>
            </w:pPr>
            <w:r w:rsidRPr="005242B1">
              <w:rPr>
                <w:rFonts w:ascii="Times New Roman" w:hAnsi="Times New Roman" w:cs="Times New Roman"/>
                <w:sz w:val="24"/>
                <w:szCs w:val="24"/>
              </w:rPr>
              <w:t xml:space="preserve">Send participants invitation letter to participate in the </w:t>
            </w:r>
            <w:r w:rsidRPr="005242B1">
              <w:rPr>
                <w:rFonts w:ascii="Times New Roman" w:hAnsi="Times New Roman" w:cs="Times New Roman"/>
                <w:sz w:val="24"/>
                <w:szCs w:val="24"/>
              </w:rPr>
              <w:lastRenderedPageBreak/>
              <w:t>study; send consent letters to participants who agree to take part in the study</w:t>
            </w:r>
          </w:p>
        </w:tc>
        <w:tc>
          <w:tcPr>
            <w:tcW w:w="3420" w:type="dxa"/>
          </w:tcPr>
          <w:p w:rsidR="00F33DE9" w:rsidRPr="005242B1" w:rsidRDefault="00F33DE9" w:rsidP="005242B1">
            <w:pPr>
              <w:ind w:right="288"/>
              <w:rPr>
                <w:rFonts w:ascii="Times New Roman" w:hAnsi="Times New Roman" w:cs="Times New Roman"/>
                <w:sz w:val="24"/>
                <w:szCs w:val="24"/>
              </w:rPr>
            </w:pPr>
          </w:p>
          <w:p w:rsidR="00F33DE9" w:rsidRPr="005242B1" w:rsidRDefault="00F33DE9" w:rsidP="005242B1">
            <w:pPr>
              <w:ind w:right="288"/>
              <w:rPr>
                <w:rFonts w:ascii="Times New Roman" w:hAnsi="Times New Roman" w:cs="Times New Roman"/>
                <w:sz w:val="24"/>
                <w:szCs w:val="24"/>
              </w:rPr>
            </w:pPr>
            <w:r w:rsidRPr="005242B1">
              <w:rPr>
                <w:rFonts w:ascii="Times New Roman" w:hAnsi="Times New Roman" w:cs="Times New Roman"/>
                <w:sz w:val="24"/>
                <w:szCs w:val="24"/>
              </w:rPr>
              <w:t>1</w:t>
            </w:r>
            <w:r w:rsidR="00AB006E" w:rsidRPr="005242B1">
              <w:rPr>
                <w:rFonts w:ascii="Times New Roman" w:hAnsi="Times New Roman" w:cs="Times New Roman"/>
                <w:sz w:val="24"/>
                <w:szCs w:val="24"/>
              </w:rPr>
              <w:t>week</w:t>
            </w:r>
            <w:r w:rsidR="005242B1" w:rsidRPr="005242B1">
              <w:rPr>
                <w:rFonts w:ascii="Times New Roman" w:hAnsi="Times New Roman" w:cs="Times New Roman"/>
                <w:sz w:val="24"/>
                <w:szCs w:val="24"/>
              </w:rPr>
              <w:t>s</w:t>
            </w:r>
            <w:r w:rsidR="00AB006E" w:rsidRPr="005242B1">
              <w:rPr>
                <w:rFonts w:ascii="Times New Roman" w:hAnsi="Times New Roman" w:cs="Times New Roman"/>
                <w:sz w:val="24"/>
                <w:szCs w:val="24"/>
              </w:rPr>
              <w:t xml:space="preserve"> </w:t>
            </w:r>
            <w:r w:rsidRPr="005242B1">
              <w:rPr>
                <w:rFonts w:ascii="Times New Roman" w:hAnsi="Times New Roman" w:cs="Times New Roman"/>
                <w:sz w:val="24"/>
                <w:szCs w:val="24"/>
              </w:rPr>
              <w:t>after OMB approval</w:t>
            </w:r>
          </w:p>
        </w:tc>
      </w:tr>
      <w:tr w:rsidR="005242B1" w:rsidRPr="005242B1" w:rsidTr="000818F2">
        <w:tc>
          <w:tcPr>
            <w:tcW w:w="3204" w:type="dxa"/>
          </w:tcPr>
          <w:p w:rsidR="005242B1" w:rsidRPr="005242B1" w:rsidRDefault="005242B1" w:rsidP="005242B1">
            <w:pPr>
              <w:ind w:right="288"/>
              <w:rPr>
                <w:rFonts w:ascii="Times New Roman" w:hAnsi="Times New Roman" w:cs="Times New Roman"/>
                <w:sz w:val="24"/>
                <w:szCs w:val="24"/>
              </w:rPr>
            </w:pPr>
            <w:r w:rsidRPr="005242B1">
              <w:rPr>
                <w:rFonts w:ascii="Times New Roman" w:hAnsi="Times New Roman" w:cs="Times New Roman"/>
                <w:sz w:val="24"/>
                <w:szCs w:val="24"/>
              </w:rPr>
              <w:lastRenderedPageBreak/>
              <w:t>Send materials and detailed instruction letter to participants</w:t>
            </w:r>
          </w:p>
        </w:tc>
        <w:tc>
          <w:tcPr>
            <w:tcW w:w="3420" w:type="dxa"/>
          </w:tcPr>
          <w:p w:rsidR="005242B1" w:rsidRPr="005242B1" w:rsidRDefault="005242B1" w:rsidP="005242B1">
            <w:pPr>
              <w:ind w:right="288"/>
              <w:rPr>
                <w:rFonts w:ascii="Times New Roman" w:hAnsi="Times New Roman" w:cs="Times New Roman"/>
                <w:sz w:val="24"/>
                <w:szCs w:val="24"/>
              </w:rPr>
            </w:pPr>
          </w:p>
          <w:p w:rsidR="005242B1" w:rsidRPr="005242B1" w:rsidRDefault="00D618A3" w:rsidP="005242B1">
            <w:pPr>
              <w:ind w:right="288"/>
              <w:rPr>
                <w:rFonts w:ascii="Times New Roman" w:hAnsi="Times New Roman" w:cs="Times New Roman"/>
                <w:sz w:val="24"/>
                <w:szCs w:val="24"/>
              </w:rPr>
            </w:pPr>
            <w:r>
              <w:rPr>
                <w:rFonts w:ascii="Times New Roman" w:hAnsi="Times New Roman" w:cs="Times New Roman"/>
                <w:sz w:val="24"/>
                <w:szCs w:val="24"/>
              </w:rPr>
              <w:t>2</w:t>
            </w:r>
            <w:r w:rsidR="003F1079">
              <w:rPr>
                <w:rFonts w:ascii="Times New Roman" w:hAnsi="Times New Roman" w:cs="Times New Roman"/>
                <w:sz w:val="24"/>
                <w:szCs w:val="24"/>
              </w:rPr>
              <w:t xml:space="preserve"> week</w:t>
            </w:r>
            <w:r>
              <w:rPr>
                <w:rFonts w:ascii="Times New Roman" w:hAnsi="Times New Roman" w:cs="Times New Roman"/>
                <w:sz w:val="24"/>
                <w:szCs w:val="24"/>
              </w:rPr>
              <w:t>s</w:t>
            </w:r>
            <w:r w:rsidR="005242B1" w:rsidRPr="005242B1">
              <w:rPr>
                <w:rFonts w:ascii="Times New Roman" w:hAnsi="Times New Roman" w:cs="Times New Roman"/>
                <w:sz w:val="24"/>
                <w:szCs w:val="24"/>
              </w:rPr>
              <w:t xml:space="preserve"> after OMB approval</w:t>
            </w:r>
          </w:p>
        </w:tc>
      </w:tr>
      <w:tr w:rsidR="005242B1" w:rsidRPr="005242B1" w:rsidTr="005242B1">
        <w:trPr>
          <w:trHeight w:val="593"/>
        </w:trPr>
        <w:tc>
          <w:tcPr>
            <w:tcW w:w="3204" w:type="dxa"/>
          </w:tcPr>
          <w:p w:rsidR="005242B1" w:rsidRPr="005242B1" w:rsidRDefault="00F33DE9" w:rsidP="005242B1">
            <w:pPr>
              <w:ind w:right="288"/>
              <w:rPr>
                <w:rFonts w:ascii="Times New Roman" w:hAnsi="Times New Roman" w:cs="Times New Roman"/>
                <w:sz w:val="24"/>
                <w:szCs w:val="24"/>
              </w:rPr>
            </w:pPr>
            <w:r w:rsidRPr="005242B1">
              <w:rPr>
                <w:rFonts w:ascii="Times New Roman" w:hAnsi="Times New Roman" w:cs="Times New Roman"/>
                <w:sz w:val="24"/>
                <w:szCs w:val="24"/>
              </w:rPr>
              <w:t>Data collection</w:t>
            </w:r>
          </w:p>
        </w:tc>
        <w:tc>
          <w:tcPr>
            <w:tcW w:w="3420" w:type="dxa"/>
          </w:tcPr>
          <w:p w:rsidR="00F33DE9" w:rsidRPr="005242B1" w:rsidRDefault="00F33DE9" w:rsidP="005242B1">
            <w:pPr>
              <w:ind w:right="288"/>
              <w:jc w:val="both"/>
              <w:rPr>
                <w:rFonts w:ascii="Times New Roman" w:hAnsi="Times New Roman" w:cs="Times New Roman"/>
                <w:sz w:val="24"/>
                <w:szCs w:val="24"/>
              </w:rPr>
            </w:pPr>
          </w:p>
          <w:p w:rsidR="00F33DE9" w:rsidRPr="005242B1" w:rsidRDefault="005242B1" w:rsidP="005242B1">
            <w:pPr>
              <w:ind w:right="288"/>
              <w:rPr>
                <w:rFonts w:ascii="Times New Roman" w:hAnsi="Times New Roman" w:cs="Times New Roman"/>
                <w:sz w:val="24"/>
                <w:szCs w:val="24"/>
              </w:rPr>
            </w:pPr>
            <w:r w:rsidRPr="005242B1">
              <w:rPr>
                <w:rFonts w:ascii="Times New Roman" w:hAnsi="Times New Roman" w:cs="Times New Roman"/>
                <w:sz w:val="24"/>
                <w:szCs w:val="24"/>
              </w:rPr>
              <w:t>2-</w:t>
            </w:r>
            <w:r w:rsidR="00AB006E" w:rsidRPr="005242B1">
              <w:rPr>
                <w:rFonts w:ascii="Times New Roman" w:hAnsi="Times New Roman" w:cs="Times New Roman"/>
                <w:sz w:val="24"/>
                <w:szCs w:val="24"/>
              </w:rPr>
              <w:t>6</w:t>
            </w:r>
            <w:r w:rsidR="00F33DE9" w:rsidRPr="005242B1">
              <w:rPr>
                <w:rFonts w:ascii="Times New Roman" w:hAnsi="Times New Roman" w:cs="Times New Roman"/>
                <w:sz w:val="24"/>
                <w:szCs w:val="24"/>
              </w:rPr>
              <w:t xml:space="preserve"> months after OMB approval</w:t>
            </w:r>
          </w:p>
          <w:p w:rsidR="009D0EEA" w:rsidRPr="005242B1" w:rsidRDefault="009D0EEA" w:rsidP="005242B1">
            <w:pPr>
              <w:ind w:right="288"/>
              <w:rPr>
                <w:rFonts w:ascii="Times New Roman" w:hAnsi="Times New Roman" w:cs="Times New Roman"/>
                <w:sz w:val="24"/>
                <w:szCs w:val="24"/>
              </w:rPr>
            </w:pPr>
          </w:p>
        </w:tc>
      </w:tr>
      <w:tr w:rsidR="005242B1" w:rsidRPr="005242B1" w:rsidTr="000818F2">
        <w:tc>
          <w:tcPr>
            <w:tcW w:w="3204" w:type="dxa"/>
          </w:tcPr>
          <w:p w:rsidR="00F33DE9" w:rsidRPr="005242B1" w:rsidRDefault="005242B1" w:rsidP="005242B1">
            <w:pPr>
              <w:ind w:right="288"/>
              <w:rPr>
                <w:rFonts w:ascii="Times New Roman" w:hAnsi="Times New Roman" w:cs="Times New Roman"/>
                <w:sz w:val="24"/>
                <w:szCs w:val="24"/>
              </w:rPr>
            </w:pPr>
            <w:r w:rsidRPr="005242B1">
              <w:rPr>
                <w:rFonts w:ascii="Times New Roman" w:hAnsi="Times New Roman" w:cs="Times New Roman"/>
                <w:sz w:val="24"/>
                <w:szCs w:val="24"/>
              </w:rPr>
              <w:t>Data a</w:t>
            </w:r>
            <w:r w:rsidR="009D0EEA" w:rsidRPr="005242B1">
              <w:rPr>
                <w:rFonts w:ascii="Times New Roman" w:hAnsi="Times New Roman" w:cs="Times New Roman"/>
                <w:sz w:val="24"/>
                <w:szCs w:val="24"/>
              </w:rPr>
              <w:t>nalysis</w:t>
            </w:r>
            <w:r w:rsidRPr="005242B1">
              <w:rPr>
                <w:rFonts w:ascii="Times New Roman" w:hAnsi="Times New Roman" w:cs="Times New Roman"/>
                <w:sz w:val="24"/>
                <w:szCs w:val="24"/>
              </w:rPr>
              <w:t xml:space="preserve"> (will be conducted throughout data collection period)</w:t>
            </w:r>
          </w:p>
        </w:tc>
        <w:tc>
          <w:tcPr>
            <w:tcW w:w="3420" w:type="dxa"/>
          </w:tcPr>
          <w:p w:rsidR="00F33DE9" w:rsidRPr="005242B1" w:rsidRDefault="00F33DE9" w:rsidP="005242B1">
            <w:pPr>
              <w:ind w:right="288"/>
              <w:rPr>
                <w:rFonts w:ascii="Times New Roman" w:hAnsi="Times New Roman" w:cs="Times New Roman"/>
                <w:sz w:val="24"/>
                <w:szCs w:val="24"/>
              </w:rPr>
            </w:pPr>
          </w:p>
          <w:p w:rsidR="00F33DE9" w:rsidRPr="005242B1" w:rsidRDefault="00AB006E" w:rsidP="005242B1">
            <w:pPr>
              <w:ind w:right="288"/>
              <w:rPr>
                <w:rFonts w:ascii="Times New Roman" w:hAnsi="Times New Roman" w:cs="Times New Roman"/>
                <w:sz w:val="24"/>
                <w:szCs w:val="24"/>
              </w:rPr>
            </w:pPr>
            <w:r w:rsidRPr="005242B1">
              <w:rPr>
                <w:rFonts w:ascii="Times New Roman" w:hAnsi="Times New Roman" w:cs="Times New Roman"/>
                <w:sz w:val="24"/>
                <w:szCs w:val="24"/>
              </w:rPr>
              <w:t>3-7</w:t>
            </w:r>
            <w:r w:rsidR="00F33DE9" w:rsidRPr="005242B1">
              <w:rPr>
                <w:rFonts w:ascii="Times New Roman" w:hAnsi="Times New Roman" w:cs="Times New Roman"/>
                <w:sz w:val="24"/>
                <w:szCs w:val="24"/>
              </w:rPr>
              <w:t xml:space="preserve"> months after OMB approval</w:t>
            </w:r>
          </w:p>
          <w:p w:rsidR="009D0EEA" w:rsidRPr="005242B1" w:rsidRDefault="009D0EEA" w:rsidP="005242B1">
            <w:pPr>
              <w:ind w:right="288"/>
              <w:rPr>
                <w:rFonts w:ascii="Times New Roman" w:hAnsi="Times New Roman" w:cs="Times New Roman"/>
                <w:sz w:val="24"/>
                <w:szCs w:val="24"/>
              </w:rPr>
            </w:pPr>
          </w:p>
        </w:tc>
      </w:tr>
      <w:tr w:rsidR="005242B1" w:rsidRPr="005242B1" w:rsidTr="000818F2">
        <w:tc>
          <w:tcPr>
            <w:tcW w:w="3204" w:type="dxa"/>
          </w:tcPr>
          <w:p w:rsidR="00F33DE9" w:rsidRPr="005242B1" w:rsidRDefault="009D0EEA" w:rsidP="005242B1">
            <w:pPr>
              <w:ind w:right="288"/>
              <w:rPr>
                <w:rFonts w:ascii="Times New Roman" w:hAnsi="Times New Roman" w:cs="Times New Roman"/>
                <w:sz w:val="24"/>
                <w:szCs w:val="24"/>
              </w:rPr>
            </w:pPr>
            <w:r w:rsidRPr="005242B1">
              <w:rPr>
                <w:rFonts w:ascii="Times New Roman" w:hAnsi="Times New Roman" w:cs="Times New Roman"/>
                <w:sz w:val="24"/>
                <w:szCs w:val="24"/>
              </w:rPr>
              <w:t>Development of the final manuscript, presentations, and submission for p</w:t>
            </w:r>
            <w:r w:rsidR="00F33DE9" w:rsidRPr="005242B1">
              <w:rPr>
                <w:rFonts w:ascii="Times New Roman" w:hAnsi="Times New Roman" w:cs="Times New Roman"/>
                <w:sz w:val="24"/>
                <w:szCs w:val="24"/>
              </w:rPr>
              <w:t>ublication</w:t>
            </w:r>
          </w:p>
        </w:tc>
        <w:tc>
          <w:tcPr>
            <w:tcW w:w="3420" w:type="dxa"/>
          </w:tcPr>
          <w:p w:rsidR="00F33DE9" w:rsidRPr="005242B1" w:rsidRDefault="00F33DE9" w:rsidP="005242B1">
            <w:pPr>
              <w:ind w:right="288"/>
              <w:rPr>
                <w:rFonts w:ascii="Times New Roman" w:hAnsi="Times New Roman" w:cs="Times New Roman"/>
                <w:sz w:val="24"/>
                <w:szCs w:val="24"/>
              </w:rPr>
            </w:pPr>
          </w:p>
          <w:p w:rsidR="00F33DE9" w:rsidRPr="005242B1" w:rsidRDefault="00AB006E" w:rsidP="005242B1">
            <w:pPr>
              <w:ind w:right="288"/>
              <w:rPr>
                <w:rFonts w:ascii="Times New Roman" w:hAnsi="Times New Roman" w:cs="Times New Roman"/>
                <w:sz w:val="24"/>
                <w:szCs w:val="24"/>
              </w:rPr>
            </w:pPr>
            <w:r w:rsidRPr="005242B1">
              <w:rPr>
                <w:rFonts w:ascii="Times New Roman" w:hAnsi="Times New Roman" w:cs="Times New Roman"/>
                <w:sz w:val="24"/>
                <w:szCs w:val="24"/>
              </w:rPr>
              <w:t xml:space="preserve">8 </w:t>
            </w:r>
            <w:r w:rsidR="00F33DE9" w:rsidRPr="005242B1">
              <w:rPr>
                <w:rFonts w:ascii="Times New Roman" w:hAnsi="Times New Roman" w:cs="Times New Roman"/>
                <w:sz w:val="24"/>
                <w:szCs w:val="24"/>
              </w:rPr>
              <w:t>months after OMB approval</w:t>
            </w:r>
          </w:p>
        </w:tc>
      </w:tr>
    </w:tbl>
    <w:p w:rsidR="00D618A3" w:rsidRDefault="003F1079" w:rsidP="005242B1">
      <w:pPr>
        <w:pStyle w:val="Heading2"/>
        <w:spacing w:line="240" w:lineRule="auto"/>
        <w:rPr>
          <w:b w:val="0"/>
        </w:rPr>
      </w:pPr>
      <w:r>
        <w:rPr>
          <w:b w:val="0"/>
        </w:rPr>
        <w:t xml:space="preserve">The deadline for the international panel sites to implement the new </w:t>
      </w:r>
      <w:r w:rsidR="00E777D0">
        <w:rPr>
          <w:b w:val="0"/>
        </w:rPr>
        <w:t xml:space="preserve">CDOT TB </w:t>
      </w:r>
      <w:r>
        <w:rPr>
          <w:b w:val="0"/>
        </w:rPr>
        <w:t xml:space="preserve">Technical Instructions is October 1, 2013. </w:t>
      </w:r>
      <w:r w:rsidR="00D618A3">
        <w:rPr>
          <w:b w:val="0"/>
        </w:rPr>
        <w:t>In order to provide the panel physician’s with materials that may help the implementation process, we would like to complete this project before the October 1</w:t>
      </w:r>
      <w:r w:rsidR="00D618A3" w:rsidRPr="00D618A3">
        <w:rPr>
          <w:b w:val="0"/>
          <w:vertAlign w:val="superscript"/>
        </w:rPr>
        <w:t>st</w:t>
      </w:r>
      <w:r w:rsidR="00D618A3">
        <w:rPr>
          <w:b w:val="0"/>
        </w:rPr>
        <w:t xml:space="preserve">, 2013 deadline. Based on the results of this study, we can adapt our educational and communication materials to </w:t>
      </w:r>
      <w:r w:rsidR="00E777D0">
        <w:rPr>
          <w:b w:val="0"/>
        </w:rPr>
        <w:t>better meet the needs of the</w:t>
      </w:r>
      <w:r w:rsidR="00D618A3">
        <w:rPr>
          <w:b w:val="0"/>
        </w:rPr>
        <w:t xml:space="preserve"> panel physicians </w:t>
      </w:r>
      <w:r w:rsidR="00E777D0">
        <w:rPr>
          <w:b w:val="0"/>
        </w:rPr>
        <w:t xml:space="preserve">and help them </w:t>
      </w:r>
      <w:r w:rsidR="00D618A3">
        <w:rPr>
          <w:b w:val="0"/>
        </w:rPr>
        <w:t xml:space="preserve">meet the </w:t>
      </w:r>
      <w:r w:rsidR="00E777D0">
        <w:rPr>
          <w:b w:val="0"/>
        </w:rPr>
        <w:t>October 1</w:t>
      </w:r>
      <w:r w:rsidR="00E777D0" w:rsidRPr="00E777D0">
        <w:rPr>
          <w:b w:val="0"/>
          <w:vertAlign w:val="superscript"/>
        </w:rPr>
        <w:t>st</w:t>
      </w:r>
      <w:r w:rsidR="00E777D0">
        <w:rPr>
          <w:b w:val="0"/>
        </w:rPr>
        <w:t xml:space="preserve"> </w:t>
      </w:r>
      <w:r w:rsidR="00D618A3">
        <w:rPr>
          <w:b w:val="0"/>
        </w:rPr>
        <w:t xml:space="preserve">implementation deadline. </w:t>
      </w:r>
    </w:p>
    <w:p w:rsidR="009D108F" w:rsidRPr="0009058B" w:rsidRDefault="009D108F" w:rsidP="005242B1">
      <w:pPr>
        <w:pStyle w:val="Heading2"/>
        <w:spacing w:line="240" w:lineRule="auto"/>
      </w:pPr>
      <w:r w:rsidRPr="0009058B">
        <w:t>17</w:t>
      </w:r>
      <w:r w:rsidR="00E90B7E">
        <w:t>.</w:t>
      </w:r>
      <w:r w:rsidRPr="0009058B">
        <w:t xml:space="preserve"> Reason(s) Display of OMB Expiration Date is Inappropriate </w:t>
      </w:r>
    </w:p>
    <w:p w:rsidR="00D46864" w:rsidRPr="0009058B" w:rsidRDefault="00D46864" w:rsidP="005242B1">
      <w:pPr>
        <w:spacing w:after="0" w:line="240" w:lineRule="auto"/>
        <w:rPr>
          <w:rFonts w:ascii="Times New Roman" w:hAnsi="Times New Roman" w:cs="Times New Roman"/>
          <w:sz w:val="24"/>
          <w:szCs w:val="24"/>
        </w:rPr>
      </w:pPr>
      <w:r w:rsidRPr="0009058B">
        <w:rPr>
          <w:rFonts w:ascii="Times New Roman" w:hAnsi="Times New Roman" w:cs="Times New Roman"/>
          <w:sz w:val="24"/>
          <w:szCs w:val="24"/>
        </w:rPr>
        <w:t>N</w:t>
      </w:r>
      <w:r w:rsidR="0009058B" w:rsidRPr="0009058B">
        <w:rPr>
          <w:rFonts w:ascii="Times New Roman" w:hAnsi="Times New Roman" w:cs="Times New Roman"/>
          <w:sz w:val="24"/>
          <w:szCs w:val="24"/>
        </w:rPr>
        <w:t>o exemption is being requested.</w:t>
      </w:r>
      <w:r w:rsidR="00E0787D">
        <w:rPr>
          <w:rFonts w:ascii="Times New Roman" w:hAnsi="Times New Roman" w:cs="Times New Roman"/>
          <w:sz w:val="24"/>
          <w:szCs w:val="24"/>
        </w:rPr>
        <w:t xml:space="preserve"> The display of the expiration date is not inappropriate.</w:t>
      </w:r>
    </w:p>
    <w:p w:rsidR="009D108F" w:rsidRPr="0009058B" w:rsidRDefault="009D108F" w:rsidP="005242B1">
      <w:pPr>
        <w:pStyle w:val="Heading2"/>
        <w:spacing w:line="240" w:lineRule="auto"/>
      </w:pPr>
      <w:r w:rsidRPr="0009058B">
        <w:t>18</w:t>
      </w:r>
      <w:r w:rsidR="00E90B7E">
        <w:t>.</w:t>
      </w:r>
      <w:r w:rsidRPr="0009058B">
        <w:t xml:space="preserve"> Exceptions to Certification for Paperwork Reduction Act Submissions</w:t>
      </w:r>
    </w:p>
    <w:p w:rsidR="004F715A" w:rsidRPr="00E777D0" w:rsidRDefault="009D108F" w:rsidP="00E777D0">
      <w:pPr>
        <w:spacing w:line="240" w:lineRule="auto"/>
        <w:rPr>
          <w:rStyle w:val="Heading2Char"/>
          <w:b w:val="0"/>
        </w:rPr>
      </w:pPr>
      <w:r w:rsidRPr="0009058B">
        <w:rPr>
          <w:rFonts w:ascii="Times New Roman" w:hAnsi="Times New Roman" w:cs="Times New Roman"/>
          <w:sz w:val="24"/>
          <w:szCs w:val="24"/>
        </w:rPr>
        <w:t>There are no e</w:t>
      </w:r>
      <w:r w:rsidR="00A8174C">
        <w:rPr>
          <w:rFonts w:ascii="Times New Roman" w:hAnsi="Times New Roman" w:cs="Times New Roman"/>
          <w:sz w:val="24"/>
          <w:szCs w:val="24"/>
        </w:rPr>
        <w:t>xceptions to the certification.</w:t>
      </w:r>
    </w:p>
    <w:p w:rsidR="004F715A" w:rsidRDefault="004F715A" w:rsidP="005242B1">
      <w:pPr>
        <w:tabs>
          <w:tab w:val="left" w:pos="0"/>
        </w:tabs>
        <w:spacing w:line="240" w:lineRule="auto"/>
        <w:rPr>
          <w:rStyle w:val="Heading2Char"/>
        </w:rPr>
      </w:pPr>
    </w:p>
    <w:p w:rsidR="003009B6" w:rsidRPr="005242B1" w:rsidRDefault="003009B6" w:rsidP="005242B1">
      <w:pPr>
        <w:tabs>
          <w:tab w:val="left" w:pos="0"/>
        </w:tabs>
        <w:spacing w:line="240" w:lineRule="auto"/>
        <w:rPr>
          <w:rStyle w:val="Heading2Char"/>
        </w:rPr>
      </w:pPr>
      <w:r>
        <w:rPr>
          <w:rStyle w:val="Heading2Char"/>
        </w:rPr>
        <w:t>REFERENCES</w:t>
      </w:r>
    </w:p>
    <w:p w:rsidR="00153F5B" w:rsidRPr="00E90B7E" w:rsidRDefault="00592A6A" w:rsidP="005242B1">
      <w:pPr>
        <w:tabs>
          <w:tab w:val="left" w:pos="0"/>
        </w:tabs>
        <w:spacing w:line="240" w:lineRule="auto"/>
        <w:rPr>
          <w:rStyle w:val="Heading2Char"/>
        </w:rPr>
      </w:pPr>
      <w:r>
        <w:rPr>
          <w:rFonts w:ascii="Times New Roman" w:hAnsi="Times New Roman" w:cs="Times New Roman"/>
          <w:noProof/>
          <w:sz w:val="24"/>
          <w:szCs w:val="24"/>
        </w:rPr>
        <w:t xml:space="preserve">(1) </w:t>
      </w:r>
      <w:r w:rsidR="00E90B7E" w:rsidRPr="00E90B7E">
        <w:rPr>
          <w:rFonts w:ascii="Times New Roman" w:hAnsi="Times New Roman" w:cs="Times New Roman"/>
          <w:noProof/>
          <w:sz w:val="24"/>
          <w:szCs w:val="24"/>
        </w:rPr>
        <w:t xml:space="preserve">Millan, M. (2012 July 2-8). QR codes have become ubiquitous--just as they're falling out of favor with advertisers. </w:t>
      </w:r>
      <w:r w:rsidR="00E90B7E" w:rsidRPr="00E90B7E">
        <w:rPr>
          <w:rFonts w:ascii="Times New Roman" w:hAnsi="Times New Roman" w:cs="Times New Roman"/>
          <w:i/>
          <w:iCs/>
          <w:noProof/>
          <w:sz w:val="24"/>
          <w:szCs w:val="24"/>
        </w:rPr>
        <w:t>Bloomberg Businessweek</w:t>
      </w:r>
      <w:r w:rsidR="00E90B7E" w:rsidRPr="00E90B7E">
        <w:rPr>
          <w:rFonts w:ascii="Times New Roman" w:hAnsi="Times New Roman" w:cs="Times New Roman"/>
          <w:noProof/>
          <w:sz w:val="24"/>
          <w:szCs w:val="24"/>
        </w:rPr>
        <w:t>, pp. 28-30.</w:t>
      </w:r>
    </w:p>
    <w:p w:rsidR="00592A6A" w:rsidRPr="00592A6A" w:rsidRDefault="00592A6A" w:rsidP="005242B1">
      <w:pPr>
        <w:tabs>
          <w:tab w:val="left" w:pos="0"/>
        </w:tabs>
        <w:spacing w:line="240" w:lineRule="auto"/>
        <w:rPr>
          <w:rStyle w:val="Heading2Char"/>
          <w:b w:val="0"/>
        </w:rPr>
      </w:pPr>
      <w:r>
        <w:rPr>
          <w:rStyle w:val="Heading2Char"/>
          <w:b w:val="0"/>
        </w:rPr>
        <w:t xml:space="preserve">(2) </w:t>
      </w:r>
      <w:r w:rsidRPr="00592A6A">
        <w:rPr>
          <w:rStyle w:val="Heading2Char"/>
          <w:b w:val="0"/>
        </w:rPr>
        <w:t>Introduction to Program Evaluation for Public Health Programs: A Self-Study Guide</w:t>
      </w:r>
      <w:r>
        <w:rPr>
          <w:rStyle w:val="Heading2Char"/>
          <w:b w:val="0"/>
        </w:rPr>
        <w:t>, 2011, available at:</w:t>
      </w:r>
      <w:r w:rsidRPr="00592A6A">
        <w:rPr>
          <w:rStyle w:val="Heading2Char"/>
          <w:b w:val="0"/>
        </w:rPr>
        <w:t xml:space="preserve"> http://www.cdc.gov/eval/guide/</w:t>
      </w:r>
    </w:p>
    <w:p w:rsidR="000F36A2" w:rsidRPr="005242B1" w:rsidRDefault="00153F5B" w:rsidP="005242B1">
      <w:pPr>
        <w:tabs>
          <w:tab w:val="left" w:pos="0"/>
        </w:tabs>
        <w:spacing w:line="240" w:lineRule="auto"/>
        <w:rPr>
          <w:rFonts w:ascii="Times New Roman" w:hAnsi="Times New Roman" w:cs="Times New Roman"/>
          <w:b/>
          <w:sz w:val="24"/>
          <w:szCs w:val="24"/>
        </w:rPr>
      </w:pPr>
      <w:r w:rsidRPr="005242B1">
        <w:rPr>
          <w:rStyle w:val="Heading2Char"/>
        </w:rPr>
        <w:lastRenderedPageBreak/>
        <w:t>ATTACHMENTS</w:t>
      </w:r>
      <w:r w:rsidR="00317D29" w:rsidRPr="005242B1">
        <w:rPr>
          <w:rStyle w:val="Heading2Char"/>
        </w:rPr>
        <w:br/>
      </w:r>
      <w:r w:rsidR="004D48F5" w:rsidRPr="005242B1">
        <w:rPr>
          <w:rFonts w:ascii="Times New Roman" w:hAnsi="Times New Roman" w:cs="Times New Roman"/>
          <w:sz w:val="24"/>
          <w:szCs w:val="24"/>
        </w:rPr>
        <w:t>Note: Attachments are included as separate files as instructed.</w:t>
      </w:r>
    </w:p>
    <w:p w:rsidR="0023501E" w:rsidRPr="005242B1" w:rsidRDefault="00D618A3" w:rsidP="005242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sidR="004F5301">
        <w:rPr>
          <w:rFonts w:ascii="Times New Roman" w:hAnsi="Times New Roman" w:cs="Times New Roman"/>
          <w:sz w:val="24"/>
          <w:szCs w:val="24"/>
        </w:rPr>
        <w:t>A</w:t>
      </w:r>
      <w:r w:rsidR="00B22DBF">
        <w:rPr>
          <w:rFonts w:ascii="Times New Roman" w:hAnsi="Times New Roman" w:cs="Times New Roman"/>
          <w:sz w:val="24"/>
          <w:szCs w:val="24"/>
        </w:rPr>
        <w:t>(</w:t>
      </w:r>
      <w:proofErr w:type="gramEnd"/>
      <w:r w:rsidR="004F5301">
        <w:rPr>
          <w:rFonts w:ascii="Times New Roman" w:hAnsi="Times New Roman" w:cs="Times New Roman"/>
          <w:sz w:val="24"/>
          <w:szCs w:val="24"/>
        </w:rPr>
        <w:t>1</w:t>
      </w:r>
      <w:r w:rsidR="00B22DBF">
        <w:rPr>
          <w:rFonts w:ascii="Times New Roman" w:hAnsi="Times New Roman" w:cs="Times New Roman"/>
          <w:sz w:val="24"/>
          <w:szCs w:val="24"/>
        </w:rPr>
        <w:t>)_</w:t>
      </w:r>
      <w:r w:rsidR="00FC2316">
        <w:rPr>
          <w:rFonts w:ascii="Times New Roman" w:hAnsi="Times New Roman" w:cs="Times New Roman"/>
          <w:sz w:val="24"/>
          <w:szCs w:val="24"/>
        </w:rPr>
        <w:t xml:space="preserve"> </w:t>
      </w:r>
      <w:r w:rsidR="00E0787D">
        <w:rPr>
          <w:rFonts w:ascii="Times New Roman" w:hAnsi="Times New Roman" w:cs="Times New Roman"/>
          <w:sz w:val="24"/>
          <w:szCs w:val="24"/>
        </w:rPr>
        <w:t xml:space="preserve"> Screenshot </w:t>
      </w:r>
      <w:r w:rsidR="0023501E">
        <w:rPr>
          <w:rFonts w:ascii="Times New Roman" w:hAnsi="Times New Roman" w:cs="Times New Roman"/>
          <w:sz w:val="24"/>
          <w:szCs w:val="24"/>
        </w:rPr>
        <w:t>Pre-Knowledge Aptitude Survey</w:t>
      </w:r>
    </w:p>
    <w:p w:rsidR="003619A6" w:rsidRDefault="00D618A3" w:rsidP="00D618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sidR="004F5301">
        <w:rPr>
          <w:rFonts w:ascii="Times New Roman" w:hAnsi="Times New Roman" w:cs="Times New Roman"/>
          <w:sz w:val="24"/>
          <w:szCs w:val="24"/>
        </w:rPr>
        <w:t>A</w:t>
      </w:r>
      <w:r w:rsidR="00B22DBF">
        <w:rPr>
          <w:rFonts w:ascii="Times New Roman" w:hAnsi="Times New Roman" w:cs="Times New Roman"/>
          <w:sz w:val="24"/>
          <w:szCs w:val="24"/>
        </w:rPr>
        <w:t>(</w:t>
      </w:r>
      <w:proofErr w:type="gramEnd"/>
      <w:r w:rsidR="004F5301">
        <w:rPr>
          <w:rFonts w:ascii="Times New Roman" w:hAnsi="Times New Roman" w:cs="Times New Roman"/>
          <w:sz w:val="24"/>
          <w:szCs w:val="24"/>
        </w:rPr>
        <w:t>2</w:t>
      </w:r>
      <w:r w:rsidR="00B22DBF">
        <w:rPr>
          <w:rFonts w:ascii="Times New Roman" w:hAnsi="Times New Roman" w:cs="Times New Roman"/>
          <w:sz w:val="24"/>
          <w:szCs w:val="24"/>
        </w:rPr>
        <w:t>)</w:t>
      </w:r>
      <w:r w:rsidR="00FC2316">
        <w:rPr>
          <w:rFonts w:ascii="Times New Roman" w:hAnsi="Times New Roman" w:cs="Times New Roman"/>
          <w:sz w:val="24"/>
          <w:szCs w:val="24"/>
        </w:rPr>
        <w:t xml:space="preserve"> </w:t>
      </w:r>
      <w:r w:rsidR="00E0787D">
        <w:rPr>
          <w:rFonts w:ascii="Times New Roman" w:hAnsi="Times New Roman" w:cs="Times New Roman"/>
          <w:sz w:val="24"/>
          <w:szCs w:val="24"/>
        </w:rPr>
        <w:t xml:space="preserve"> Screenshot </w:t>
      </w:r>
      <w:r w:rsidR="003619A6" w:rsidRPr="005242B1">
        <w:rPr>
          <w:rFonts w:ascii="Times New Roman" w:hAnsi="Times New Roman" w:cs="Times New Roman"/>
          <w:sz w:val="24"/>
          <w:szCs w:val="24"/>
        </w:rPr>
        <w:t xml:space="preserve">Semi-Structured Questionnaire </w:t>
      </w:r>
    </w:p>
    <w:p w:rsidR="00D618A3" w:rsidRPr="005242B1" w:rsidRDefault="00D618A3" w:rsidP="00D618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sidR="004F5301">
        <w:rPr>
          <w:rFonts w:ascii="Times New Roman" w:hAnsi="Times New Roman" w:cs="Times New Roman"/>
          <w:sz w:val="24"/>
          <w:szCs w:val="24"/>
        </w:rPr>
        <w:t>A</w:t>
      </w:r>
      <w:r w:rsidR="00B22DBF">
        <w:rPr>
          <w:rFonts w:ascii="Times New Roman" w:hAnsi="Times New Roman" w:cs="Times New Roman"/>
          <w:sz w:val="24"/>
          <w:szCs w:val="24"/>
        </w:rPr>
        <w:t>(</w:t>
      </w:r>
      <w:proofErr w:type="gramEnd"/>
      <w:r w:rsidR="004F5301">
        <w:rPr>
          <w:rFonts w:ascii="Times New Roman" w:hAnsi="Times New Roman" w:cs="Times New Roman"/>
          <w:sz w:val="24"/>
          <w:szCs w:val="24"/>
        </w:rPr>
        <w:t>3</w:t>
      </w:r>
      <w:r w:rsidR="00B22DBF">
        <w:rPr>
          <w:rFonts w:ascii="Times New Roman" w:hAnsi="Times New Roman" w:cs="Times New Roman"/>
          <w:sz w:val="24"/>
          <w:szCs w:val="24"/>
        </w:rPr>
        <w:t>)</w:t>
      </w:r>
      <w:r w:rsidR="00FC2316">
        <w:rPr>
          <w:rFonts w:ascii="Times New Roman" w:hAnsi="Times New Roman" w:cs="Times New Roman"/>
          <w:sz w:val="24"/>
          <w:szCs w:val="24"/>
        </w:rPr>
        <w:t xml:space="preserve">  </w:t>
      </w:r>
      <w:r>
        <w:rPr>
          <w:rFonts w:ascii="Times New Roman" w:hAnsi="Times New Roman" w:cs="Times New Roman"/>
          <w:sz w:val="24"/>
          <w:szCs w:val="24"/>
        </w:rPr>
        <w:t>In-Depth Interview Guide</w:t>
      </w:r>
    </w:p>
    <w:p w:rsidR="005238FE" w:rsidRPr="005242B1" w:rsidRDefault="00322803" w:rsidP="005242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sidR="00E84462">
        <w:rPr>
          <w:rFonts w:ascii="Times New Roman" w:hAnsi="Times New Roman" w:cs="Times New Roman"/>
          <w:sz w:val="24"/>
          <w:szCs w:val="24"/>
        </w:rPr>
        <w:t>B</w:t>
      </w:r>
      <w:r w:rsidR="00FC2316">
        <w:rPr>
          <w:rFonts w:ascii="Times New Roman" w:hAnsi="Times New Roman" w:cs="Times New Roman"/>
          <w:sz w:val="24"/>
          <w:szCs w:val="24"/>
        </w:rPr>
        <w:t xml:space="preserve">  </w:t>
      </w:r>
      <w:r w:rsidR="005238FE">
        <w:rPr>
          <w:rFonts w:ascii="Times New Roman" w:hAnsi="Times New Roman" w:cs="Times New Roman"/>
          <w:sz w:val="24"/>
          <w:szCs w:val="24"/>
        </w:rPr>
        <w:t>IRB</w:t>
      </w:r>
      <w:proofErr w:type="gramEnd"/>
      <w:r w:rsidR="005238FE">
        <w:rPr>
          <w:rFonts w:ascii="Times New Roman" w:hAnsi="Times New Roman" w:cs="Times New Roman"/>
          <w:sz w:val="24"/>
          <w:szCs w:val="24"/>
        </w:rPr>
        <w:t xml:space="preserve"> Determination</w:t>
      </w:r>
    </w:p>
    <w:p w:rsidR="00FC2316" w:rsidRDefault="00D618A3" w:rsidP="005242B1">
      <w:pPr>
        <w:spacing w:after="0" w:line="240" w:lineRule="auto"/>
        <w:rPr>
          <w:rFonts w:ascii="Times New Roman" w:hAnsi="Times New Roman" w:cs="Times New Roman"/>
          <w:sz w:val="24"/>
          <w:szCs w:val="24"/>
        </w:rPr>
      </w:pPr>
      <w:r w:rsidRPr="005B239D">
        <w:rPr>
          <w:rFonts w:ascii="Times New Roman" w:hAnsi="Times New Roman" w:cs="Times New Roman"/>
          <w:sz w:val="24"/>
          <w:szCs w:val="24"/>
        </w:rPr>
        <w:t xml:space="preserve">Attachment </w:t>
      </w:r>
      <w:proofErr w:type="gramStart"/>
      <w:r w:rsidR="00E84462">
        <w:rPr>
          <w:rFonts w:ascii="Times New Roman" w:hAnsi="Times New Roman" w:cs="Times New Roman"/>
          <w:sz w:val="24"/>
          <w:szCs w:val="24"/>
        </w:rPr>
        <w:t>C</w:t>
      </w:r>
      <w:r w:rsidR="005B239D" w:rsidRPr="005B239D">
        <w:rPr>
          <w:rFonts w:ascii="Times New Roman" w:hAnsi="Times New Roman" w:cs="Times New Roman"/>
          <w:sz w:val="24"/>
          <w:szCs w:val="24"/>
        </w:rPr>
        <w:t>(</w:t>
      </w:r>
      <w:proofErr w:type="gramEnd"/>
      <w:r w:rsidR="00FC2316">
        <w:rPr>
          <w:rFonts w:ascii="Times New Roman" w:hAnsi="Times New Roman" w:cs="Times New Roman"/>
          <w:sz w:val="24"/>
          <w:szCs w:val="24"/>
        </w:rPr>
        <w:t xml:space="preserve">1)  </w:t>
      </w:r>
      <w:r w:rsidR="00FC2316" w:rsidRPr="00FC2316">
        <w:rPr>
          <w:rFonts w:ascii="Times New Roman" w:hAnsi="Times New Roman" w:cs="Times New Roman"/>
          <w:sz w:val="24"/>
          <w:szCs w:val="24"/>
        </w:rPr>
        <w:t>Panel Physician Tool TB TI</w:t>
      </w:r>
    </w:p>
    <w:p w:rsidR="00FC2316" w:rsidRDefault="00FC2316" w:rsidP="005242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2)  </w:t>
      </w:r>
      <w:r w:rsidRPr="00FC2316">
        <w:rPr>
          <w:rFonts w:ascii="Times New Roman" w:hAnsi="Times New Roman" w:cs="Times New Roman"/>
          <w:sz w:val="24"/>
          <w:szCs w:val="24"/>
        </w:rPr>
        <w:t>Panel Physician Tool Length of Validity Prior to Travel</w:t>
      </w:r>
    </w:p>
    <w:p w:rsidR="00FC2316" w:rsidRDefault="00FC2316" w:rsidP="00FC2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3)  </w:t>
      </w:r>
      <w:r w:rsidR="008063DC" w:rsidRPr="00FC2316">
        <w:rPr>
          <w:rFonts w:ascii="Times New Roman" w:hAnsi="Times New Roman" w:cs="Times New Roman"/>
          <w:sz w:val="24"/>
          <w:szCs w:val="24"/>
        </w:rPr>
        <w:t xml:space="preserve">Panel Physician Tool </w:t>
      </w:r>
      <w:r>
        <w:rPr>
          <w:rFonts w:ascii="Times New Roman" w:hAnsi="Times New Roman" w:cs="Times New Roman"/>
          <w:sz w:val="24"/>
          <w:szCs w:val="24"/>
        </w:rPr>
        <w:t>Vaccination Requirements</w:t>
      </w:r>
    </w:p>
    <w:p w:rsidR="00FC2316" w:rsidRDefault="00FC2316" w:rsidP="00FC2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4)</w:t>
      </w:r>
      <w:r w:rsidRPr="00FC2316">
        <w:t xml:space="preserve"> </w:t>
      </w:r>
      <w:r>
        <w:t xml:space="preserve"> </w:t>
      </w:r>
      <w:r w:rsidR="008063DC" w:rsidRPr="00FC2316">
        <w:rPr>
          <w:rFonts w:ascii="Times New Roman" w:hAnsi="Times New Roman" w:cs="Times New Roman"/>
          <w:sz w:val="24"/>
          <w:szCs w:val="24"/>
        </w:rPr>
        <w:t xml:space="preserve">Panel Physician Tool </w:t>
      </w:r>
      <w:r w:rsidRPr="00FC2316">
        <w:rPr>
          <w:rFonts w:ascii="Times New Roman" w:hAnsi="Times New Roman" w:cs="Times New Roman"/>
          <w:sz w:val="24"/>
          <w:szCs w:val="24"/>
        </w:rPr>
        <w:t>Mental Disorders and Substance Abuse</w:t>
      </w:r>
    </w:p>
    <w:p w:rsidR="00FC2316" w:rsidRDefault="00FC2316" w:rsidP="00FC2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Pr>
          <w:rFonts w:ascii="Times New Roman" w:hAnsi="Times New Roman" w:cs="Times New Roman"/>
          <w:sz w:val="24"/>
          <w:szCs w:val="24"/>
        </w:rPr>
        <w:t>C(</w:t>
      </w:r>
      <w:proofErr w:type="gramEnd"/>
      <w:r w:rsidR="00B22DBF">
        <w:rPr>
          <w:rFonts w:ascii="Times New Roman" w:hAnsi="Times New Roman" w:cs="Times New Roman"/>
          <w:sz w:val="24"/>
          <w:szCs w:val="24"/>
        </w:rPr>
        <w:t>5</w:t>
      </w:r>
      <w:r>
        <w:rPr>
          <w:rFonts w:ascii="Times New Roman" w:hAnsi="Times New Roman" w:cs="Times New Roman"/>
          <w:sz w:val="24"/>
          <w:szCs w:val="24"/>
        </w:rPr>
        <w:t>)</w:t>
      </w:r>
      <w:r w:rsidR="00B22DBF" w:rsidRPr="00B22DBF">
        <w:t xml:space="preserve"> </w:t>
      </w:r>
      <w:r w:rsidR="00B22DBF">
        <w:t xml:space="preserve"> </w:t>
      </w:r>
      <w:r w:rsidR="008063DC" w:rsidRPr="00FC2316">
        <w:rPr>
          <w:rFonts w:ascii="Times New Roman" w:hAnsi="Times New Roman" w:cs="Times New Roman"/>
          <w:sz w:val="24"/>
          <w:szCs w:val="24"/>
        </w:rPr>
        <w:t xml:space="preserve">Panel Physician Tool </w:t>
      </w:r>
      <w:r w:rsidR="00B22DBF" w:rsidRPr="00B22DBF">
        <w:rPr>
          <w:rFonts w:ascii="Times New Roman" w:hAnsi="Times New Roman" w:cs="Times New Roman"/>
          <w:sz w:val="24"/>
          <w:szCs w:val="24"/>
        </w:rPr>
        <w:t>Contact List</w:t>
      </w:r>
    </w:p>
    <w:p w:rsidR="00FC2316" w:rsidRDefault="00B22DBF" w:rsidP="00FC2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6</w:t>
      </w:r>
      <w:r w:rsidR="00FC2316">
        <w:rPr>
          <w:rFonts w:ascii="Times New Roman" w:hAnsi="Times New Roman" w:cs="Times New Roman"/>
          <w:sz w:val="24"/>
          <w:szCs w:val="24"/>
        </w:rPr>
        <w:t>)</w:t>
      </w:r>
      <w:r w:rsidR="008063DC">
        <w:rPr>
          <w:rFonts w:ascii="Times New Roman" w:hAnsi="Times New Roman" w:cs="Times New Roman"/>
          <w:sz w:val="24"/>
          <w:szCs w:val="24"/>
        </w:rPr>
        <w:t xml:space="preserve"> </w:t>
      </w:r>
      <w:r w:rsidR="008063DC" w:rsidRPr="008063DC">
        <w:t xml:space="preserve"> </w:t>
      </w:r>
      <w:r w:rsidR="008063DC" w:rsidRPr="00FC2316">
        <w:rPr>
          <w:rFonts w:ascii="Times New Roman" w:hAnsi="Times New Roman" w:cs="Times New Roman"/>
          <w:sz w:val="24"/>
          <w:szCs w:val="24"/>
        </w:rPr>
        <w:t xml:space="preserve">Panel Physician Tool </w:t>
      </w:r>
      <w:r w:rsidR="008063DC" w:rsidRPr="008063DC">
        <w:rPr>
          <w:rFonts w:ascii="Times New Roman" w:hAnsi="Times New Roman" w:cs="Times New Roman"/>
          <w:sz w:val="24"/>
          <w:szCs w:val="24"/>
        </w:rPr>
        <w:t>Medical Examination Forms</w:t>
      </w:r>
    </w:p>
    <w:p w:rsidR="00727379" w:rsidRPr="00953398" w:rsidRDefault="00B22DBF" w:rsidP="00953398">
      <w:pPr>
        <w:tabs>
          <w:tab w:val="left" w:pos="2595"/>
        </w:tabs>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7</w:t>
      </w:r>
      <w:r w:rsidR="00FC2316">
        <w:rPr>
          <w:rFonts w:ascii="Times New Roman" w:hAnsi="Times New Roman" w:cs="Times New Roman"/>
          <w:sz w:val="24"/>
          <w:szCs w:val="24"/>
        </w:rPr>
        <w:t>)</w:t>
      </w:r>
      <w:r w:rsidR="008063DC" w:rsidRPr="008063DC">
        <w:t xml:space="preserve"> </w:t>
      </w:r>
      <w:r w:rsidR="008063DC">
        <w:t xml:space="preserve"> </w:t>
      </w:r>
      <w:r w:rsidR="008063DC" w:rsidRPr="008063DC">
        <w:rPr>
          <w:rFonts w:ascii="Times New Roman" w:hAnsi="Times New Roman" w:cs="Times New Roman"/>
          <w:sz w:val="24"/>
          <w:szCs w:val="24"/>
        </w:rPr>
        <w:t>Physician Panel Tool Vaccination Worksheets</w:t>
      </w:r>
    </w:p>
    <w:sectPr w:rsidR="00727379" w:rsidRPr="00953398" w:rsidSect="004D63FE">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79" w:rsidRDefault="00192179" w:rsidP="00CA2484">
      <w:pPr>
        <w:spacing w:after="0" w:line="240" w:lineRule="auto"/>
      </w:pPr>
      <w:r>
        <w:separator/>
      </w:r>
    </w:p>
  </w:endnote>
  <w:endnote w:type="continuationSeparator" w:id="0">
    <w:p w:rsidR="00192179" w:rsidRDefault="00192179" w:rsidP="00CA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23107"/>
      <w:docPartObj>
        <w:docPartGallery w:val="Page Numbers (Bottom of Page)"/>
        <w:docPartUnique/>
      </w:docPartObj>
    </w:sdtPr>
    <w:sdtEndPr>
      <w:rPr>
        <w:noProof/>
      </w:rPr>
    </w:sdtEndPr>
    <w:sdtContent>
      <w:p w:rsidR="002537EE" w:rsidRDefault="002537EE">
        <w:pPr>
          <w:pStyle w:val="Footer"/>
          <w:jc w:val="right"/>
        </w:pPr>
        <w:r>
          <w:fldChar w:fldCharType="begin"/>
        </w:r>
        <w:r>
          <w:instrText xml:space="preserve"> PAGE   \* MERGEFORMAT </w:instrText>
        </w:r>
        <w:r>
          <w:fldChar w:fldCharType="separate"/>
        </w:r>
        <w:r w:rsidR="00282881">
          <w:rPr>
            <w:noProof/>
          </w:rPr>
          <w:t>17</w:t>
        </w:r>
        <w:r>
          <w:rPr>
            <w:noProof/>
          </w:rPr>
          <w:fldChar w:fldCharType="end"/>
        </w:r>
      </w:p>
    </w:sdtContent>
  </w:sdt>
  <w:p w:rsidR="002537EE" w:rsidRDefault="00253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79" w:rsidRDefault="00192179" w:rsidP="00CA2484">
      <w:pPr>
        <w:spacing w:after="0" w:line="240" w:lineRule="auto"/>
      </w:pPr>
      <w:r>
        <w:separator/>
      </w:r>
    </w:p>
  </w:footnote>
  <w:footnote w:type="continuationSeparator" w:id="0">
    <w:p w:rsidR="00192179" w:rsidRDefault="00192179" w:rsidP="00CA2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EE" w:rsidRPr="00716F94" w:rsidRDefault="002537EE" w:rsidP="00727379">
    <w:pPr>
      <w:pStyle w:val="Header"/>
      <w:tabs>
        <w:tab w:val="clear" w:pos="4680"/>
      </w:tabs>
      <w:rPr>
        <w:color w:val="0033C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EE" w:rsidRDefault="00253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CD3"/>
    <w:multiLevelType w:val="multilevel"/>
    <w:tmpl w:val="89FC059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8254AA"/>
    <w:multiLevelType w:val="hybridMultilevel"/>
    <w:tmpl w:val="ACCA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A5618"/>
    <w:multiLevelType w:val="hybridMultilevel"/>
    <w:tmpl w:val="46D4CA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869AA"/>
    <w:multiLevelType w:val="hybridMultilevel"/>
    <w:tmpl w:val="FA44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858B6"/>
    <w:multiLevelType w:val="hybridMultilevel"/>
    <w:tmpl w:val="27E4DADC"/>
    <w:lvl w:ilvl="0" w:tplc="700C0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7C2920"/>
    <w:multiLevelType w:val="multilevel"/>
    <w:tmpl w:val="EB56D5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2CB1BAD"/>
    <w:multiLevelType w:val="hybridMultilevel"/>
    <w:tmpl w:val="4AA03050"/>
    <w:lvl w:ilvl="0" w:tplc="E88A9546">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C10"/>
    <w:multiLevelType w:val="hybridMultilevel"/>
    <w:tmpl w:val="4FB8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B0FA6"/>
    <w:multiLevelType w:val="hybridMultilevel"/>
    <w:tmpl w:val="0D5A9B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E821F3F"/>
    <w:multiLevelType w:val="hybridMultilevel"/>
    <w:tmpl w:val="D3480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CE7D63"/>
    <w:multiLevelType w:val="hybridMultilevel"/>
    <w:tmpl w:val="1A04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D3CD1"/>
    <w:multiLevelType w:val="hybridMultilevel"/>
    <w:tmpl w:val="2BD0258E"/>
    <w:lvl w:ilvl="0" w:tplc="114CD64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87679FD"/>
    <w:multiLevelType w:val="multilevel"/>
    <w:tmpl w:val="6E44B13E"/>
    <w:lvl w:ilvl="0">
      <w:start w:val="1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631C7"/>
    <w:multiLevelType w:val="multilevel"/>
    <w:tmpl w:val="BA8403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6F4F2C"/>
    <w:multiLevelType w:val="hybridMultilevel"/>
    <w:tmpl w:val="125E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F0F65"/>
    <w:multiLevelType w:val="hybridMultilevel"/>
    <w:tmpl w:val="D0BC4D70"/>
    <w:lvl w:ilvl="0" w:tplc="FFAE4DB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14020"/>
    <w:multiLevelType w:val="hybridMultilevel"/>
    <w:tmpl w:val="8638A2BA"/>
    <w:lvl w:ilvl="0" w:tplc="815886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76085F"/>
    <w:multiLevelType w:val="hybridMultilevel"/>
    <w:tmpl w:val="E1DC483C"/>
    <w:lvl w:ilvl="0" w:tplc="04090015">
      <w:start w:val="1"/>
      <w:numFmt w:val="upperLetter"/>
      <w:lvlText w:val="%1."/>
      <w:lvlJc w:val="left"/>
      <w:pPr>
        <w:ind w:left="720" w:hanging="360"/>
      </w:pPr>
    </w:lvl>
    <w:lvl w:ilvl="1" w:tplc="76D67E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056464"/>
    <w:multiLevelType w:val="hybridMultilevel"/>
    <w:tmpl w:val="31CCE644"/>
    <w:lvl w:ilvl="0" w:tplc="8158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C1B46"/>
    <w:multiLevelType w:val="hybridMultilevel"/>
    <w:tmpl w:val="22B4D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201C49"/>
    <w:multiLevelType w:val="hybridMultilevel"/>
    <w:tmpl w:val="8E44679A"/>
    <w:lvl w:ilvl="0" w:tplc="8158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6D11BE"/>
    <w:multiLevelType w:val="hybridMultilevel"/>
    <w:tmpl w:val="A3A8DB2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69F00C7"/>
    <w:multiLevelType w:val="hybridMultilevel"/>
    <w:tmpl w:val="A1B4DDCE"/>
    <w:lvl w:ilvl="0" w:tplc="8FF64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9A63EB"/>
    <w:multiLevelType w:val="hybridMultilevel"/>
    <w:tmpl w:val="22DE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61411"/>
    <w:multiLevelType w:val="hybridMultilevel"/>
    <w:tmpl w:val="1B1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5966C1"/>
    <w:multiLevelType w:val="hybridMultilevel"/>
    <w:tmpl w:val="4692AA5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2886745"/>
    <w:multiLevelType w:val="multilevel"/>
    <w:tmpl w:val="0EC0532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36C2006"/>
    <w:multiLevelType w:val="hybridMultilevel"/>
    <w:tmpl w:val="26FC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227554"/>
    <w:multiLevelType w:val="hybridMultilevel"/>
    <w:tmpl w:val="E81CF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491DB7"/>
    <w:multiLevelType w:val="hybridMultilevel"/>
    <w:tmpl w:val="3620B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275F0C"/>
    <w:multiLevelType w:val="hybridMultilevel"/>
    <w:tmpl w:val="4432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C466A"/>
    <w:multiLevelType w:val="hybridMultilevel"/>
    <w:tmpl w:val="FE9C6B82"/>
    <w:lvl w:ilvl="0" w:tplc="97EA64A2">
      <w:start w:val="1"/>
      <w:numFmt w:val="upp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3551FC"/>
    <w:multiLevelType w:val="hybridMultilevel"/>
    <w:tmpl w:val="BF525D22"/>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C33EF"/>
    <w:multiLevelType w:val="hybridMultilevel"/>
    <w:tmpl w:val="0FF21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F229E3"/>
    <w:multiLevelType w:val="hybridMultilevel"/>
    <w:tmpl w:val="661806FA"/>
    <w:lvl w:ilvl="0" w:tplc="40BA9AA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AA3E92"/>
    <w:multiLevelType w:val="hybridMultilevel"/>
    <w:tmpl w:val="7276A0F4"/>
    <w:lvl w:ilvl="0" w:tplc="23CA63F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206F46"/>
    <w:multiLevelType w:val="hybridMultilevel"/>
    <w:tmpl w:val="5A30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240509"/>
    <w:multiLevelType w:val="hybridMultilevel"/>
    <w:tmpl w:val="C060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EA3A86"/>
    <w:multiLevelType w:val="hybridMultilevel"/>
    <w:tmpl w:val="BC00CE00"/>
    <w:lvl w:ilvl="0" w:tplc="9C608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517845"/>
    <w:multiLevelType w:val="hybridMultilevel"/>
    <w:tmpl w:val="68C85B4A"/>
    <w:lvl w:ilvl="0" w:tplc="ADDC7D0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D917FAE"/>
    <w:multiLevelType w:val="hybridMultilevel"/>
    <w:tmpl w:val="1F8A53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37"/>
  </w:num>
  <w:num w:numId="3">
    <w:abstractNumId w:val="41"/>
  </w:num>
  <w:num w:numId="4">
    <w:abstractNumId w:val="36"/>
  </w:num>
  <w:num w:numId="5">
    <w:abstractNumId w:val="16"/>
  </w:num>
  <w:num w:numId="6">
    <w:abstractNumId w:val="33"/>
  </w:num>
  <w:num w:numId="7">
    <w:abstractNumId w:val="27"/>
  </w:num>
  <w:num w:numId="8">
    <w:abstractNumId w:val="40"/>
  </w:num>
  <w:num w:numId="9">
    <w:abstractNumId w:val="8"/>
  </w:num>
  <w:num w:numId="10">
    <w:abstractNumId w:val="0"/>
  </w:num>
  <w:num w:numId="11">
    <w:abstractNumId w:val="4"/>
  </w:num>
  <w:num w:numId="12">
    <w:abstractNumId w:val="12"/>
  </w:num>
  <w:num w:numId="13">
    <w:abstractNumId w:val="28"/>
  </w:num>
  <w:num w:numId="14">
    <w:abstractNumId w:val="42"/>
  </w:num>
  <w:num w:numId="15">
    <w:abstractNumId w:val="2"/>
  </w:num>
  <w:num w:numId="16">
    <w:abstractNumId w:val="9"/>
  </w:num>
  <w:num w:numId="17">
    <w:abstractNumId w:val="13"/>
  </w:num>
  <w:num w:numId="18">
    <w:abstractNumId w:val="35"/>
  </w:num>
  <w:num w:numId="19">
    <w:abstractNumId w:val="5"/>
  </w:num>
  <w:num w:numId="20">
    <w:abstractNumId w:val="26"/>
  </w:num>
  <w:num w:numId="21">
    <w:abstractNumId w:val="10"/>
  </w:num>
  <w:num w:numId="22">
    <w:abstractNumId w:val="1"/>
  </w:num>
  <w:num w:numId="23">
    <w:abstractNumId w:val="19"/>
  </w:num>
  <w:num w:numId="24">
    <w:abstractNumId w:val="15"/>
  </w:num>
  <w:num w:numId="25">
    <w:abstractNumId w:val="23"/>
  </w:num>
  <w:num w:numId="26">
    <w:abstractNumId w:val="31"/>
  </w:num>
  <w:num w:numId="27">
    <w:abstractNumId w:val="38"/>
  </w:num>
  <w:num w:numId="28">
    <w:abstractNumId w:val="24"/>
  </w:num>
  <w:num w:numId="29">
    <w:abstractNumId w:val="22"/>
  </w:num>
  <w:num w:numId="30">
    <w:abstractNumId w:val="39"/>
  </w:num>
  <w:num w:numId="31">
    <w:abstractNumId w:val="20"/>
  </w:num>
  <w:num w:numId="32">
    <w:abstractNumId w:val="30"/>
  </w:num>
  <w:num w:numId="33">
    <w:abstractNumId w:val="18"/>
  </w:num>
  <w:num w:numId="34">
    <w:abstractNumId w:val="6"/>
  </w:num>
  <w:num w:numId="35">
    <w:abstractNumId w:val="11"/>
  </w:num>
  <w:num w:numId="36">
    <w:abstractNumId w:val="3"/>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9"/>
  </w:num>
  <w:num w:numId="40">
    <w:abstractNumId w:val="21"/>
  </w:num>
  <w:num w:numId="41">
    <w:abstractNumId w:val="34"/>
  </w:num>
  <w:num w:numId="42">
    <w:abstractNumId w:val="25"/>
  </w:num>
  <w:num w:numId="43">
    <w:abstractNumId w:val="1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F5"/>
    <w:rsid w:val="000069FD"/>
    <w:rsid w:val="00013D31"/>
    <w:rsid w:val="00023F5B"/>
    <w:rsid w:val="00024623"/>
    <w:rsid w:val="00036481"/>
    <w:rsid w:val="00044EE4"/>
    <w:rsid w:val="00054917"/>
    <w:rsid w:val="00055918"/>
    <w:rsid w:val="0006718E"/>
    <w:rsid w:val="00076ADB"/>
    <w:rsid w:val="00077AB7"/>
    <w:rsid w:val="000810AF"/>
    <w:rsid w:val="000818F2"/>
    <w:rsid w:val="00084B16"/>
    <w:rsid w:val="00086A3D"/>
    <w:rsid w:val="0009058B"/>
    <w:rsid w:val="000A27C1"/>
    <w:rsid w:val="000A3085"/>
    <w:rsid w:val="000A4DD6"/>
    <w:rsid w:val="000A5B6F"/>
    <w:rsid w:val="000A716E"/>
    <w:rsid w:val="000B1DDC"/>
    <w:rsid w:val="000B424C"/>
    <w:rsid w:val="000D4D0E"/>
    <w:rsid w:val="000D50A6"/>
    <w:rsid w:val="000E0CD5"/>
    <w:rsid w:val="000E4CBD"/>
    <w:rsid w:val="000E64FE"/>
    <w:rsid w:val="000E6B3B"/>
    <w:rsid w:val="000F36A2"/>
    <w:rsid w:val="0010272B"/>
    <w:rsid w:val="001048BB"/>
    <w:rsid w:val="001060DE"/>
    <w:rsid w:val="00110F6B"/>
    <w:rsid w:val="001214D7"/>
    <w:rsid w:val="00122D4D"/>
    <w:rsid w:val="00124480"/>
    <w:rsid w:val="0012484D"/>
    <w:rsid w:val="00126345"/>
    <w:rsid w:val="001308D0"/>
    <w:rsid w:val="00134E88"/>
    <w:rsid w:val="001371B4"/>
    <w:rsid w:val="0015132B"/>
    <w:rsid w:val="00152D0D"/>
    <w:rsid w:val="00153F5B"/>
    <w:rsid w:val="00156AE0"/>
    <w:rsid w:val="00156EE6"/>
    <w:rsid w:val="00172F07"/>
    <w:rsid w:val="00172F43"/>
    <w:rsid w:val="00181618"/>
    <w:rsid w:val="0018302A"/>
    <w:rsid w:val="00192179"/>
    <w:rsid w:val="001968D8"/>
    <w:rsid w:val="001A10A8"/>
    <w:rsid w:val="001B77BB"/>
    <w:rsid w:val="001C3549"/>
    <w:rsid w:val="001C588A"/>
    <w:rsid w:val="001D0BFD"/>
    <w:rsid w:val="001E25A5"/>
    <w:rsid w:val="001F229E"/>
    <w:rsid w:val="001F3D8A"/>
    <w:rsid w:val="002011B1"/>
    <w:rsid w:val="002032D9"/>
    <w:rsid w:val="00213D78"/>
    <w:rsid w:val="00214AB7"/>
    <w:rsid w:val="00220942"/>
    <w:rsid w:val="0022382E"/>
    <w:rsid w:val="00223A3E"/>
    <w:rsid w:val="002301D2"/>
    <w:rsid w:val="0023501E"/>
    <w:rsid w:val="00247D97"/>
    <w:rsid w:val="002537EE"/>
    <w:rsid w:val="0025464F"/>
    <w:rsid w:val="00262F2E"/>
    <w:rsid w:val="00264B81"/>
    <w:rsid w:val="00270E1A"/>
    <w:rsid w:val="00276520"/>
    <w:rsid w:val="00282676"/>
    <w:rsid w:val="00282881"/>
    <w:rsid w:val="002844BF"/>
    <w:rsid w:val="00285B40"/>
    <w:rsid w:val="002C4055"/>
    <w:rsid w:val="002C5CDA"/>
    <w:rsid w:val="002C7E67"/>
    <w:rsid w:val="002E7B0A"/>
    <w:rsid w:val="002F1F4F"/>
    <w:rsid w:val="002F2A57"/>
    <w:rsid w:val="003009B6"/>
    <w:rsid w:val="00301AFD"/>
    <w:rsid w:val="00306364"/>
    <w:rsid w:val="00316243"/>
    <w:rsid w:val="003166E5"/>
    <w:rsid w:val="00317D29"/>
    <w:rsid w:val="00322803"/>
    <w:rsid w:val="00332D84"/>
    <w:rsid w:val="0033376B"/>
    <w:rsid w:val="00345E2B"/>
    <w:rsid w:val="00350FC8"/>
    <w:rsid w:val="00351B8F"/>
    <w:rsid w:val="00351E0B"/>
    <w:rsid w:val="00352A37"/>
    <w:rsid w:val="00353D19"/>
    <w:rsid w:val="003619A6"/>
    <w:rsid w:val="00367A13"/>
    <w:rsid w:val="00375E94"/>
    <w:rsid w:val="003824AE"/>
    <w:rsid w:val="00386C8C"/>
    <w:rsid w:val="0039367D"/>
    <w:rsid w:val="003A0E59"/>
    <w:rsid w:val="003B7CB5"/>
    <w:rsid w:val="003C189E"/>
    <w:rsid w:val="003E0BAC"/>
    <w:rsid w:val="003E45EA"/>
    <w:rsid w:val="003F1079"/>
    <w:rsid w:val="003F1D2E"/>
    <w:rsid w:val="00415464"/>
    <w:rsid w:val="00422302"/>
    <w:rsid w:val="004238EA"/>
    <w:rsid w:val="004253A4"/>
    <w:rsid w:val="00430F18"/>
    <w:rsid w:val="004314F8"/>
    <w:rsid w:val="004530D7"/>
    <w:rsid w:val="00470843"/>
    <w:rsid w:val="004820D8"/>
    <w:rsid w:val="00491F74"/>
    <w:rsid w:val="00492113"/>
    <w:rsid w:val="00492BAD"/>
    <w:rsid w:val="0049349B"/>
    <w:rsid w:val="004B794D"/>
    <w:rsid w:val="004C39E2"/>
    <w:rsid w:val="004D48F5"/>
    <w:rsid w:val="004D63FE"/>
    <w:rsid w:val="004E0FC6"/>
    <w:rsid w:val="004E3925"/>
    <w:rsid w:val="004F1960"/>
    <w:rsid w:val="004F47AB"/>
    <w:rsid w:val="004F5301"/>
    <w:rsid w:val="004F715A"/>
    <w:rsid w:val="0050126B"/>
    <w:rsid w:val="00501575"/>
    <w:rsid w:val="00505725"/>
    <w:rsid w:val="0051285D"/>
    <w:rsid w:val="005238FE"/>
    <w:rsid w:val="005242B1"/>
    <w:rsid w:val="0053072B"/>
    <w:rsid w:val="00534F7B"/>
    <w:rsid w:val="00553519"/>
    <w:rsid w:val="00555B0F"/>
    <w:rsid w:val="00563D24"/>
    <w:rsid w:val="00566B6D"/>
    <w:rsid w:val="00576093"/>
    <w:rsid w:val="00577975"/>
    <w:rsid w:val="0058002A"/>
    <w:rsid w:val="00586E86"/>
    <w:rsid w:val="00591681"/>
    <w:rsid w:val="00592A6A"/>
    <w:rsid w:val="00597675"/>
    <w:rsid w:val="005A0B7C"/>
    <w:rsid w:val="005A2270"/>
    <w:rsid w:val="005A34E6"/>
    <w:rsid w:val="005A638A"/>
    <w:rsid w:val="005B239D"/>
    <w:rsid w:val="005B73CD"/>
    <w:rsid w:val="005B747C"/>
    <w:rsid w:val="005C6E66"/>
    <w:rsid w:val="005D02AF"/>
    <w:rsid w:val="005D14E9"/>
    <w:rsid w:val="005D53F4"/>
    <w:rsid w:val="005F144F"/>
    <w:rsid w:val="005F5138"/>
    <w:rsid w:val="005F54C4"/>
    <w:rsid w:val="005F66AD"/>
    <w:rsid w:val="0060092C"/>
    <w:rsid w:val="0060129F"/>
    <w:rsid w:val="0060543A"/>
    <w:rsid w:val="00624CF1"/>
    <w:rsid w:val="00627A3C"/>
    <w:rsid w:val="006408D0"/>
    <w:rsid w:val="00642D29"/>
    <w:rsid w:val="006464CD"/>
    <w:rsid w:val="0066325B"/>
    <w:rsid w:val="006722A4"/>
    <w:rsid w:val="00686696"/>
    <w:rsid w:val="006A0DE6"/>
    <w:rsid w:val="006A3844"/>
    <w:rsid w:val="006A45EC"/>
    <w:rsid w:val="006B1845"/>
    <w:rsid w:val="006C5A15"/>
    <w:rsid w:val="006C7A18"/>
    <w:rsid w:val="006C7D51"/>
    <w:rsid w:val="006D21E5"/>
    <w:rsid w:val="006D3B37"/>
    <w:rsid w:val="006D3C61"/>
    <w:rsid w:val="006F72AB"/>
    <w:rsid w:val="0070687F"/>
    <w:rsid w:val="00712EBB"/>
    <w:rsid w:val="00721BFC"/>
    <w:rsid w:val="00727379"/>
    <w:rsid w:val="00740712"/>
    <w:rsid w:val="0075193A"/>
    <w:rsid w:val="007534E9"/>
    <w:rsid w:val="00755249"/>
    <w:rsid w:val="00774782"/>
    <w:rsid w:val="0077583D"/>
    <w:rsid w:val="007766E4"/>
    <w:rsid w:val="00781D75"/>
    <w:rsid w:val="0078347F"/>
    <w:rsid w:val="00790514"/>
    <w:rsid w:val="0079367F"/>
    <w:rsid w:val="00793E97"/>
    <w:rsid w:val="007976D5"/>
    <w:rsid w:val="007978E6"/>
    <w:rsid w:val="007A2D76"/>
    <w:rsid w:val="007A5152"/>
    <w:rsid w:val="007A56E9"/>
    <w:rsid w:val="007B0B04"/>
    <w:rsid w:val="007B2DEC"/>
    <w:rsid w:val="007C2263"/>
    <w:rsid w:val="007D19C8"/>
    <w:rsid w:val="007E5AC6"/>
    <w:rsid w:val="007E7916"/>
    <w:rsid w:val="007F60F9"/>
    <w:rsid w:val="00801C59"/>
    <w:rsid w:val="00803367"/>
    <w:rsid w:val="008063DC"/>
    <w:rsid w:val="00806D0A"/>
    <w:rsid w:val="00807E21"/>
    <w:rsid w:val="00812300"/>
    <w:rsid w:val="008219E6"/>
    <w:rsid w:val="008219F8"/>
    <w:rsid w:val="00825151"/>
    <w:rsid w:val="00831D53"/>
    <w:rsid w:val="00853700"/>
    <w:rsid w:val="00862F5D"/>
    <w:rsid w:val="0087187B"/>
    <w:rsid w:val="008769DC"/>
    <w:rsid w:val="00877DA3"/>
    <w:rsid w:val="0088113F"/>
    <w:rsid w:val="00886EA2"/>
    <w:rsid w:val="00887EE7"/>
    <w:rsid w:val="008A637E"/>
    <w:rsid w:val="008B3B46"/>
    <w:rsid w:val="008B4938"/>
    <w:rsid w:val="008C0311"/>
    <w:rsid w:val="008D0003"/>
    <w:rsid w:val="008D7B96"/>
    <w:rsid w:val="008E0E37"/>
    <w:rsid w:val="008E2C1B"/>
    <w:rsid w:val="008E4D37"/>
    <w:rsid w:val="008F47F8"/>
    <w:rsid w:val="008F4C42"/>
    <w:rsid w:val="008F5224"/>
    <w:rsid w:val="008F5DF0"/>
    <w:rsid w:val="008F6F98"/>
    <w:rsid w:val="009048B6"/>
    <w:rsid w:val="00905414"/>
    <w:rsid w:val="00905D7F"/>
    <w:rsid w:val="00907BDB"/>
    <w:rsid w:val="00924073"/>
    <w:rsid w:val="00934350"/>
    <w:rsid w:val="00934C88"/>
    <w:rsid w:val="0093782F"/>
    <w:rsid w:val="00943782"/>
    <w:rsid w:val="00953398"/>
    <w:rsid w:val="00953577"/>
    <w:rsid w:val="00962A5F"/>
    <w:rsid w:val="00971EA4"/>
    <w:rsid w:val="00972CEC"/>
    <w:rsid w:val="00977758"/>
    <w:rsid w:val="0099229B"/>
    <w:rsid w:val="00993E49"/>
    <w:rsid w:val="009A496F"/>
    <w:rsid w:val="009A6AFE"/>
    <w:rsid w:val="009B130C"/>
    <w:rsid w:val="009B3132"/>
    <w:rsid w:val="009B6527"/>
    <w:rsid w:val="009C166D"/>
    <w:rsid w:val="009C63DD"/>
    <w:rsid w:val="009D0EEA"/>
    <w:rsid w:val="009D108F"/>
    <w:rsid w:val="009D2EF5"/>
    <w:rsid w:val="009E4483"/>
    <w:rsid w:val="009E4BAB"/>
    <w:rsid w:val="009F6E9D"/>
    <w:rsid w:val="009F70E3"/>
    <w:rsid w:val="00A040D8"/>
    <w:rsid w:val="00A1298F"/>
    <w:rsid w:val="00A1438E"/>
    <w:rsid w:val="00A24F50"/>
    <w:rsid w:val="00A27777"/>
    <w:rsid w:val="00A31E6D"/>
    <w:rsid w:val="00A3471D"/>
    <w:rsid w:val="00A449B8"/>
    <w:rsid w:val="00A512B7"/>
    <w:rsid w:val="00A60C41"/>
    <w:rsid w:val="00A71C53"/>
    <w:rsid w:val="00A73EC6"/>
    <w:rsid w:val="00A774E8"/>
    <w:rsid w:val="00A8174C"/>
    <w:rsid w:val="00A96628"/>
    <w:rsid w:val="00A96872"/>
    <w:rsid w:val="00AA6E9A"/>
    <w:rsid w:val="00AB006E"/>
    <w:rsid w:val="00AC470E"/>
    <w:rsid w:val="00AD1604"/>
    <w:rsid w:val="00AD7C50"/>
    <w:rsid w:val="00AD7F18"/>
    <w:rsid w:val="00AE28D7"/>
    <w:rsid w:val="00AE3036"/>
    <w:rsid w:val="00AE43E8"/>
    <w:rsid w:val="00AE7C0A"/>
    <w:rsid w:val="00AF6FD5"/>
    <w:rsid w:val="00B073A0"/>
    <w:rsid w:val="00B139EA"/>
    <w:rsid w:val="00B17955"/>
    <w:rsid w:val="00B2241F"/>
    <w:rsid w:val="00B22DBF"/>
    <w:rsid w:val="00B24753"/>
    <w:rsid w:val="00B263D1"/>
    <w:rsid w:val="00B31205"/>
    <w:rsid w:val="00B351EC"/>
    <w:rsid w:val="00B423F2"/>
    <w:rsid w:val="00B424BC"/>
    <w:rsid w:val="00B45600"/>
    <w:rsid w:val="00B45B75"/>
    <w:rsid w:val="00B50D06"/>
    <w:rsid w:val="00B8166E"/>
    <w:rsid w:val="00B8258B"/>
    <w:rsid w:val="00B87350"/>
    <w:rsid w:val="00B951DF"/>
    <w:rsid w:val="00B96F6F"/>
    <w:rsid w:val="00BB3ED8"/>
    <w:rsid w:val="00BB5C36"/>
    <w:rsid w:val="00BD36C4"/>
    <w:rsid w:val="00BD3AE8"/>
    <w:rsid w:val="00BE0332"/>
    <w:rsid w:val="00BE5595"/>
    <w:rsid w:val="00BE5D2D"/>
    <w:rsid w:val="00BF6332"/>
    <w:rsid w:val="00C01ADE"/>
    <w:rsid w:val="00C025A9"/>
    <w:rsid w:val="00C02A14"/>
    <w:rsid w:val="00C03EDC"/>
    <w:rsid w:val="00C042E3"/>
    <w:rsid w:val="00C15249"/>
    <w:rsid w:val="00C23EFC"/>
    <w:rsid w:val="00C24E1C"/>
    <w:rsid w:val="00C356A1"/>
    <w:rsid w:val="00C44226"/>
    <w:rsid w:val="00C4527B"/>
    <w:rsid w:val="00C45CA8"/>
    <w:rsid w:val="00C50389"/>
    <w:rsid w:val="00C61DC0"/>
    <w:rsid w:val="00C620B1"/>
    <w:rsid w:val="00C642C6"/>
    <w:rsid w:val="00C75E5A"/>
    <w:rsid w:val="00C811D5"/>
    <w:rsid w:val="00C85824"/>
    <w:rsid w:val="00C8731F"/>
    <w:rsid w:val="00C923F6"/>
    <w:rsid w:val="00C942A1"/>
    <w:rsid w:val="00C96E42"/>
    <w:rsid w:val="00CA2484"/>
    <w:rsid w:val="00CA29F3"/>
    <w:rsid w:val="00CA2D5F"/>
    <w:rsid w:val="00CB1240"/>
    <w:rsid w:val="00CC05A2"/>
    <w:rsid w:val="00CC0A26"/>
    <w:rsid w:val="00CC0C5E"/>
    <w:rsid w:val="00CC4C98"/>
    <w:rsid w:val="00CC7551"/>
    <w:rsid w:val="00CD4F38"/>
    <w:rsid w:val="00CF384D"/>
    <w:rsid w:val="00CF6139"/>
    <w:rsid w:val="00CF7B70"/>
    <w:rsid w:val="00D0115B"/>
    <w:rsid w:val="00D03A37"/>
    <w:rsid w:val="00D1024A"/>
    <w:rsid w:val="00D11194"/>
    <w:rsid w:val="00D12283"/>
    <w:rsid w:val="00D12715"/>
    <w:rsid w:val="00D16703"/>
    <w:rsid w:val="00D208CA"/>
    <w:rsid w:val="00D41C68"/>
    <w:rsid w:val="00D438CA"/>
    <w:rsid w:val="00D4483A"/>
    <w:rsid w:val="00D46864"/>
    <w:rsid w:val="00D53580"/>
    <w:rsid w:val="00D618A3"/>
    <w:rsid w:val="00D725C3"/>
    <w:rsid w:val="00D725E6"/>
    <w:rsid w:val="00D736A6"/>
    <w:rsid w:val="00D75EC6"/>
    <w:rsid w:val="00D82217"/>
    <w:rsid w:val="00D911F6"/>
    <w:rsid w:val="00D94BDC"/>
    <w:rsid w:val="00D97070"/>
    <w:rsid w:val="00D97459"/>
    <w:rsid w:val="00DA1046"/>
    <w:rsid w:val="00DC5BAD"/>
    <w:rsid w:val="00DC7252"/>
    <w:rsid w:val="00DC7289"/>
    <w:rsid w:val="00DD4983"/>
    <w:rsid w:val="00DE130B"/>
    <w:rsid w:val="00DE7C6C"/>
    <w:rsid w:val="00DF54C5"/>
    <w:rsid w:val="00DF75D3"/>
    <w:rsid w:val="00E0787D"/>
    <w:rsid w:val="00E16AD1"/>
    <w:rsid w:val="00E23753"/>
    <w:rsid w:val="00E26CCB"/>
    <w:rsid w:val="00E30787"/>
    <w:rsid w:val="00E3112A"/>
    <w:rsid w:val="00E31A13"/>
    <w:rsid w:val="00E354E8"/>
    <w:rsid w:val="00E4434D"/>
    <w:rsid w:val="00E55437"/>
    <w:rsid w:val="00E55667"/>
    <w:rsid w:val="00E6075E"/>
    <w:rsid w:val="00E64345"/>
    <w:rsid w:val="00E777D0"/>
    <w:rsid w:val="00E81E7A"/>
    <w:rsid w:val="00E84462"/>
    <w:rsid w:val="00E90B7E"/>
    <w:rsid w:val="00E9108E"/>
    <w:rsid w:val="00E92681"/>
    <w:rsid w:val="00E97098"/>
    <w:rsid w:val="00EA2912"/>
    <w:rsid w:val="00EA69E2"/>
    <w:rsid w:val="00EB4F2A"/>
    <w:rsid w:val="00EB5C1B"/>
    <w:rsid w:val="00EC0D8C"/>
    <w:rsid w:val="00ED0AE7"/>
    <w:rsid w:val="00ED12C7"/>
    <w:rsid w:val="00EE52C8"/>
    <w:rsid w:val="00F02AC6"/>
    <w:rsid w:val="00F05306"/>
    <w:rsid w:val="00F15D87"/>
    <w:rsid w:val="00F207EB"/>
    <w:rsid w:val="00F21BFC"/>
    <w:rsid w:val="00F2751A"/>
    <w:rsid w:val="00F278FD"/>
    <w:rsid w:val="00F33DE9"/>
    <w:rsid w:val="00F340D5"/>
    <w:rsid w:val="00F442A3"/>
    <w:rsid w:val="00F44780"/>
    <w:rsid w:val="00F52BA1"/>
    <w:rsid w:val="00F650A5"/>
    <w:rsid w:val="00F6563D"/>
    <w:rsid w:val="00F677C0"/>
    <w:rsid w:val="00F94558"/>
    <w:rsid w:val="00F96E72"/>
    <w:rsid w:val="00FA1E41"/>
    <w:rsid w:val="00FA241B"/>
    <w:rsid w:val="00FA269B"/>
    <w:rsid w:val="00FA2C0F"/>
    <w:rsid w:val="00FA724A"/>
    <w:rsid w:val="00FB4310"/>
    <w:rsid w:val="00FB478F"/>
    <w:rsid w:val="00FC0131"/>
    <w:rsid w:val="00FC2316"/>
    <w:rsid w:val="00FD1342"/>
    <w:rsid w:val="00FE542F"/>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7E"/>
  </w:style>
  <w:style w:type="paragraph" w:styleId="Heading1">
    <w:name w:val="heading 1"/>
    <w:basedOn w:val="Normal"/>
    <w:next w:val="Normal"/>
    <w:link w:val="Heading1Char"/>
    <w:qFormat/>
    <w:rsid w:val="00E9108E"/>
    <w:pPr>
      <w:jc w:val="center"/>
      <w:outlineLvl w:val="0"/>
    </w:pPr>
    <w:rPr>
      <w:rFonts w:ascii="Times New Roman" w:eastAsia="Times New Roman" w:hAnsi="Times New Roman" w:cs="Times New Roman"/>
      <w:b/>
      <w:bCs/>
      <w:iCs/>
      <w:color w:val="000000"/>
      <w:kern w:val="36"/>
      <w:sz w:val="32"/>
      <w:szCs w:val="32"/>
    </w:rPr>
  </w:style>
  <w:style w:type="paragraph" w:styleId="Heading2">
    <w:name w:val="heading 2"/>
    <w:basedOn w:val="Normal"/>
    <w:next w:val="Normal"/>
    <w:link w:val="Heading2Char"/>
    <w:unhideWhenUsed/>
    <w:qFormat/>
    <w:rsid w:val="00BE5D2D"/>
    <w:pPr>
      <w:spacing w:before="480"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E9108E"/>
    <w:pPr>
      <w:spacing w:after="0"/>
      <w:ind w:left="720"/>
      <w:outlineLvl w:val="2"/>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F5"/>
  </w:style>
  <w:style w:type="paragraph" w:styleId="Footer">
    <w:name w:val="footer"/>
    <w:basedOn w:val="Normal"/>
    <w:link w:val="FooterChar"/>
    <w:uiPriority w:val="99"/>
    <w:unhideWhenUsed/>
    <w:rsid w:val="004D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F5"/>
  </w:style>
  <w:style w:type="character" w:styleId="Hyperlink">
    <w:name w:val="Hyperlink"/>
    <w:basedOn w:val="DefaultParagraphFont"/>
    <w:uiPriority w:val="99"/>
    <w:unhideWhenUsed/>
    <w:rsid w:val="004D48F5"/>
    <w:rPr>
      <w:color w:val="0000FF" w:themeColor="hyperlink"/>
      <w:u w:val="single"/>
    </w:rPr>
  </w:style>
  <w:style w:type="paragraph" w:styleId="ListParagraph">
    <w:name w:val="List Paragraph"/>
    <w:basedOn w:val="Normal"/>
    <w:uiPriority w:val="34"/>
    <w:qFormat/>
    <w:rsid w:val="004D48F5"/>
    <w:pPr>
      <w:ind w:left="720"/>
      <w:contextualSpacing/>
    </w:pPr>
  </w:style>
  <w:style w:type="table" w:styleId="TableGrid">
    <w:name w:val="Table Grid"/>
    <w:basedOn w:val="TableNormal"/>
    <w:rsid w:val="004D4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48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4D48F5"/>
    <w:rPr>
      <w:color w:val="auto"/>
    </w:rPr>
  </w:style>
  <w:style w:type="character" w:styleId="CommentReference">
    <w:name w:val="annotation reference"/>
    <w:basedOn w:val="DefaultParagraphFont"/>
    <w:uiPriority w:val="99"/>
    <w:semiHidden/>
    <w:unhideWhenUsed/>
    <w:rsid w:val="004D48F5"/>
    <w:rPr>
      <w:sz w:val="16"/>
      <w:szCs w:val="16"/>
    </w:rPr>
  </w:style>
  <w:style w:type="paragraph" w:styleId="CommentText">
    <w:name w:val="annotation text"/>
    <w:basedOn w:val="Normal"/>
    <w:link w:val="CommentTextChar"/>
    <w:uiPriority w:val="99"/>
    <w:unhideWhenUsed/>
    <w:rsid w:val="004D48F5"/>
    <w:pPr>
      <w:spacing w:line="240" w:lineRule="auto"/>
    </w:pPr>
    <w:rPr>
      <w:sz w:val="20"/>
      <w:szCs w:val="20"/>
    </w:rPr>
  </w:style>
  <w:style w:type="character" w:customStyle="1" w:styleId="CommentTextChar">
    <w:name w:val="Comment Text Char"/>
    <w:basedOn w:val="DefaultParagraphFont"/>
    <w:link w:val="CommentText"/>
    <w:uiPriority w:val="99"/>
    <w:rsid w:val="004D48F5"/>
    <w:rPr>
      <w:sz w:val="20"/>
      <w:szCs w:val="20"/>
    </w:rPr>
  </w:style>
  <w:style w:type="paragraph" w:styleId="BalloonText">
    <w:name w:val="Balloon Text"/>
    <w:basedOn w:val="Normal"/>
    <w:link w:val="BalloonTextChar"/>
    <w:uiPriority w:val="99"/>
    <w:semiHidden/>
    <w:unhideWhenUsed/>
    <w:rsid w:val="004D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48F5"/>
    <w:rPr>
      <w:b/>
      <w:bCs/>
    </w:rPr>
  </w:style>
  <w:style w:type="character" w:customStyle="1" w:styleId="CommentSubjectChar">
    <w:name w:val="Comment Subject Char"/>
    <w:basedOn w:val="CommentTextChar"/>
    <w:link w:val="CommentSubject"/>
    <w:uiPriority w:val="99"/>
    <w:semiHidden/>
    <w:rsid w:val="004D48F5"/>
    <w:rPr>
      <w:b/>
      <w:bCs/>
      <w:sz w:val="20"/>
      <w:szCs w:val="20"/>
    </w:rPr>
  </w:style>
  <w:style w:type="paragraph" w:styleId="NoSpacing">
    <w:name w:val="No Spacing"/>
    <w:uiPriority w:val="1"/>
    <w:qFormat/>
    <w:rsid w:val="00AE28D7"/>
    <w:pPr>
      <w:spacing w:after="0" w:line="240" w:lineRule="auto"/>
    </w:pPr>
    <w:rPr>
      <w:rFonts w:ascii="Calibri" w:eastAsia="Calibri" w:hAnsi="Calibri" w:cs="Times New Roman"/>
    </w:rPr>
  </w:style>
  <w:style w:type="paragraph" w:styleId="PlainText">
    <w:name w:val="Plain Text"/>
    <w:basedOn w:val="Normal"/>
    <w:link w:val="PlainTextChar"/>
    <w:rsid w:val="000069FD"/>
    <w:pPr>
      <w:widowControl w:val="0"/>
      <w:spacing w:after="0" w:line="240" w:lineRule="auto"/>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0069FD"/>
    <w:rPr>
      <w:rFonts w:ascii="Courier New" w:eastAsia="Times New Roman" w:hAnsi="Courier New" w:cs="Times New Roman"/>
      <w:snapToGrid w:val="0"/>
      <w:sz w:val="20"/>
      <w:szCs w:val="20"/>
    </w:rPr>
  </w:style>
  <w:style w:type="character" w:styleId="Strong">
    <w:name w:val="Strong"/>
    <w:basedOn w:val="DefaultParagraphFont"/>
    <w:qFormat/>
    <w:rsid w:val="0088113F"/>
    <w:rPr>
      <w:b/>
      <w:bCs/>
    </w:rPr>
  </w:style>
  <w:style w:type="character" w:customStyle="1" w:styleId="Heading3Char">
    <w:name w:val="Heading 3 Char"/>
    <w:basedOn w:val="DefaultParagraphFont"/>
    <w:link w:val="Heading3"/>
    <w:rsid w:val="00E9108E"/>
    <w:rPr>
      <w:rFonts w:ascii="Times New Roman" w:hAnsi="Times New Roman" w:cs="Times New Roman"/>
      <w:sz w:val="24"/>
      <w:szCs w:val="24"/>
      <w:u w:val="single"/>
    </w:rPr>
  </w:style>
  <w:style w:type="character" w:customStyle="1" w:styleId="Heading2Char">
    <w:name w:val="Heading 2 Char"/>
    <w:basedOn w:val="DefaultParagraphFont"/>
    <w:link w:val="Heading2"/>
    <w:rsid w:val="00BE5D2D"/>
    <w:rPr>
      <w:rFonts w:ascii="Times New Roman" w:hAnsi="Times New Roman" w:cs="Times New Roman"/>
      <w:b/>
      <w:sz w:val="24"/>
      <w:szCs w:val="24"/>
    </w:rPr>
  </w:style>
  <w:style w:type="table" w:customStyle="1" w:styleId="TableGrid1">
    <w:name w:val="Table Grid1"/>
    <w:basedOn w:val="TableNormal"/>
    <w:next w:val="TableGrid"/>
    <w:uiPriority w:val="59"/>
    <w:rsid w:val="00F33DE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9108E"/>
    <w:rPr>
      <w:rFonts w:ascii="Times New Roman" w:eastAsia="Times New Roman" w:hAnsi="Times New Roman" w:cs="Times New Roman"/>
      <w:b/>
      <w:bCs/>
      <w:iCs/>
      <w:color w:val="000000"/>
      <w:kern w:val="36"/>
      <w:sz w:val="32"/>
      <w:szCs w:val="32"/>
    </w:rPr>
  </w:style>
  <w:style w:type="character" w:styleId="FollowedHyperlink">
    <w:name w:val="FollowedHyperlink"/>
    <w:basedOn w:val="DefaultParagraphFont"/>
    <w:rsid w:val="003F1D2E"/>
    <w:rPr>
      <w:color w:val="800080"/>
      <w:u w:val="single"/>
    </w:rPr>
  </w:style>
  <w:style w:type="paragraph" w:styleId="TOCHeading">
    <w:name w:val="TOC Heading"/>
    <w:basedOn w:val="Heading1"/>
    <w:next w:val="Normal"/>
    <w:uiPriority w:val="39"/>
    <w:unhideWhenUsed/>
    <w:qFormat/>
    <w:rsid w:val="009E4483"/>
    <w:pPr>
      <w:keepNext/>
      <w:keepLines/>
      <w:spacing w:before="480" w:after="0"/>
      <w:jc w:val="left"/>
      <w:outlineLvl w:val="9"/>
    </w:pPr>
    <w:rPr>
      <w:rFonts w:asciiTheme="majorHAnsi" w:eastAsiaTheme="majorEastAsia" w:hAnsiTheme="majorHAnsi" w:cstheme="majorBidi"/>
      <w:iCs w:val="0"/>
      <w:color w:val="365F91" w:themeColor="accent1" w:themeShade="BF"/>
      <w:kern w:val="0"/>
      <w:sz w:val="28"/>
      <w:szCs w:val="28"/>
    </w:rPr>
  </w:style>
  <w:style w:type="paragraph" w:styleId="TOC1">
    <w:name w:val="toc 1"/>
    <w:basedOn w:val="Normal"/>
    <w:next w:val="Normal"/>
    <w:autoRedefine/>
    <w:uiPriority w:val="39"/>
    <w:unhideWhenUsed/>
    <w:qFormat/>
    <w:rsid w:val="009E4483"/>
    <w:pPr>
      <w:tabs>
        <w:tab w:val="right" w:leader="dot" w:pos="9350"/>
      </w:tabs>
      <w:spacing w:after="100" w:line="240" w:lineRule="auto"/>
      <w:ind w:left="450" w:hanging="45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FA72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31D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7E"/>
  </w:style>
  <w:style w:type="paragraph" w:styleId="Heading1">
    <w:name w:val="heading 1"/>
    <w:basedOn w:val="Normal"/>
    <w:next w:val="Normal"/>
    <w:link w:val="Heading1Char"/>
    <w:qFormat/>
    <w:rsid w:val="00E9108E"/>
    <w:pPr>
      <w:jc w:val="center"/>
      <w:outlineLvl w:val="0"/>
    </w:pPr>
    <w:rPr>
      <w:rFonts w:ascii="Times New Roman" w:eastAsia="Times New Roman" w:hAnsi="Times New Roman" w:cs="Times New Roman"/>
      <w:b/>
      <w:bCs/>
      <w:iCs/>
      <w:color w:val="000000"/>
      <w:kern w:val="36"/>
      <w:sz w:val="32"/>
      <w:szCs w:val="32"/>
    </w:rPr>
  </w:style>
  <w:style w:type="paragraph" w:styleId="Heading2">
    <w:name w:val="heading 2"/>
    <w:basedOn w:val="Normal"/>
    <w:next w:val="Normal"/>
    <w:link w:val="Heading2Char"/>
    <w:unhideWhenUsed/>
    <w:qFormat/>
    <w:rsid w:val="00BE5D2D"/>
    <w:pPr>
      <w:spacing w:before="480"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E9108E"/>
    <w:pPr>
      <w:spacing w:after="0"/>
      <w:ind w:left="720"/>
      <w:outlineLvl w:val="2"/>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F5"/>
  </w:style>
  <w:style w:type="paragraph" w:styleId="Footer">
    <w:name w:val="footer"/>
    <w:basedOn w:val="Normal"/>
    <w:link w:val="FooterChar"/>
    <w:uiPriority w:val="99"/>
    <w:unhideWhenUsed/>
    <w:rsid w:val="004D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F5"/>
  </w:style>
  <w:style w:type="character" w:styleId="Hyperlink">
    <w:name w:val="Hyperlink"/>
    <w:basedOn w:val="DefaultParagraphFont"/>
    <w:uiPriority w:val="99"/>
    <w:unhideWhenUsed/>
    <w:rsid w:val="004D48F5"/>
    <w:rPr>
      <w:color w:val="0000FF" w:themeColor="hyperlink"/>
      <w:u w:val="single"/>
    </w:rPr>
  </w:style>
  <w:style w:type="paragraph" w:styleId="ListParagraph">
    <w:name w:val="List Paragraph"/>
    <w:basedOn w:val="Normal"/>
    <w:uiPriority w:val="34"/>
    <w:qFormat/>
    <w:rsid w:val="004D48F5"/>
    <w:pPr>
      <w:ind w:left="720"/>
      <w:contextualSpacing/>
    </w:pPr>
  </w:style>
  <w:style w:type="table" w:styleId="TableGrid">
    <w:name w:val="Table Grid"/>
    <w:basedOn w:val="TableNormal"/>
    <w:rsid w:val="004D4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48F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4D48F5"/>
    <w:rPr>
      <w:color w:val="auto"/>
    </w:rPr>
  </w:style>
  <w:style w:type="character" w:styleId="CommentReference">
    <w:name w:val="annotation reference"/>
    <w:basedOn w:val="DefaultParagraphFont"/>
    <w:uiPriority w:val="99"/>
    <w:semiHidden/>
    <w:unhideWhenUsed/>
    <w:rsid w:val="004D48F5"/>
    <w:rPr>
      <w:sz w:val="16"/>
      <w:szCs w:val="16"/>
    </w:rPr>
  </w:style>
  <w:style w:type="paragraph" w:styleId="CommentText">
    <w:name w:val="annotation text"/>
    <w:basedOn w:val="Normal"/>
    <w:link w:val="CommentTextChar"/>
    <w:uiPriority w:val="99"/>
    <w:unhideWhenUsed/>
    <w:rsid w:val="004D48F5"/>
    <w:pPr>
      <w:spacing w:line="240" w:lineRule="auto"/>
    </w:pPr>
    <w:rPr>
      <w:sz w:val="20"/>
      <w:szCs w:val="20"/>
    </w:rPr>
  </w:style>
  <w:style w:type="character" w:customStyle="1" w:styleId="CommentTextChar">
    <w:name w:val="Comment Text Char"/>
    <w:basedOn w:val="DefaultParagraphFont"/>
    <w:link w:val="CommentText"/>
    <w:uiPriority w:val="99"/>
    <w:rsid w:val="004D48F5"/>
    <w:rPr>
      <w:sz w:val="20"/>
      <w:szCs w:val="20"/>
    </w:rPr>
  </w:style>
  <w:style w:type="paragraph" w:styleId="BalloonText">
    <w:name w:val="Balloon Text"/>
    <w:basedOn w:val="Normal"/>
    <w:link w:val="BalloonTextChar"/>
    <w:uiPriority w:val="99"/>
    <w:semiHidden/>
    <w:unhideWhenUsed/>
    <w:rsid w:val="004D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D48F5"/>
    <w:rPr>
      <w:b/>
      <w:bCs/>
    </w:rPr>
  </w:style>
  <w:style w:type="character" w:customStyle="1" w:styleId="CommentSubjectChar">
    <w:name w:val="Comment Subject Char"/>
    <w:basedOn w:val="CommentTextChar"/>
    <w:link w:val="CommentSubject"/>
    <w:uiPriority w:val="99"/>
    <w:semiHidden/>
    <w:rsid w:val="004D48F5"/>
    <w:rPr>
      <w:b/>
      <w:bCs/>
      <w:sz w:val="20"/>
      <w:szCs w:val="20"/>
    </w:rPr>
  </w:style>
  <w:style w:type="paragraph" w:styleId="NoSpacing">
    <w:name w:val="No Spacing"/>
    <w:uiPriority w:val="1"/>
    <w:qFormat/>
    <w:rsid w:val="00AE28D7"/>
    <w:pPr>
      <w:spacing w:after="0" w:line="240" w:lineRule="auto"/>
    </w:pPr>
    <w:rPr>
      <w:rFonts w:ascii="Calibri" w:eastAsia="Calibri" w:hAnsi="Calibri" w:cs="Times New Roman"/>
    </w:rPr>
  </w:style>
  <w:style w:type="paragraph" w:styleId="PlainText">
    <w:name w:val="Plain Text"/>
    <w:basedOn w:val="Normal"/>
    <w:link w:val="PlainTextChar"/>
    <w:rsid w:val="000069FD"/>
    <w:pPr>
      <w:widowControl w:val="0"/>
      <w:spacing w:after="0" w:line="240" w:lineRule="auto"/>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0069FD"/>
    <w:rPr>
      <w:rFonts w:ascii="Courier New" w:eastAsia="Times New Roman" w:hAnsi="Courier New" w:cs="Times New Roman"/>
      <w:snapToGrid w:val="0"/>
      <w:sz w:val="20"/>
      <w:szCs w:val="20"/>
    </w:rPr>
  </w:style>
  <w:style w:type="character" w:styleId="Strong">
    <w:name w:val="Strong"/>
    <w:basedOn w:val="DefaultParagraphFont"/>
    <w:qFormat/>
    <w:rsid w:val="0088113F"/>
    <w:rPr>
      <w:b/>
      <w:bCs/>
    </w:rPr>
  </w:style>
  <w:style w:type="character" w:customStyle="1" w:styleId="Heading3Char">
    <w:name w:val="Heading 3 Char"/>
    <w:basedOn w:val="DefaultParagraphFont"/>
    <w:link w:val="Heading3"/>
    <w:rsid w:val="00E9108E"/>
    <w:rPr>
      <w:rFonts w:ascii="Times New Roman" w:hAnsi="Times New Roman" w:cs="Times New Roman"/>
      <w:sz w:val="24"/>
      <w:szCs w:val="24"/>
      <w:u w:val="single"/>
    </w:rPr>
  </w:style>
  <w:style w:type="character" w:customStyle="1" w:styleId="Heading2Char">
    <w:name w:val="Heading 2 Char"/>
    <w:basedOn w:val="DefaultParagraphFont"/>
    <w:link w:val="Heading2"/>
    <w:rsid w:val="00BE5D2D"/>
    <w:rPr>
      <w:rFonts w:ascii="Times New Roman" w:hAnsi="Times New Roman" w:cs="Times New Roman"/>
      <w:b/>
      <w:sz w:val="24"/>
      <w:szCs w:val="24"/>
    </w:rPr>
  </w:style>
  <w:style w:type="table" w:customStyle="1" w:styleId="TableGrid1">
    <w:name w:val="Table Grid1"/>
    <w:basedOn w:val="TableNormal"/>
    <w:next w:val="TableGrid"/>
    <w:uiPriority w:val="59"/>
    <w:rsid w:val="00F33DE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9108E"/>
    <w:rPr>
      <w:rFonts w:ascii="Times New Roman" w:eastAsia="Times New Roman" w:hAnsi="Times New Roman" w:cs="Times New Roman"/>
      <w:b/>
      <w:bCs/>
      <w:iCs/>
      <w:color w:val="000000"/>
      <w:kern w:val="36"/>
      <w:sz w:val="32"/>
      <w:szCs w:val="32"/>
    </w:rPr>
  </w:style>
  <w:style w:type="character" w:styleId="FollowedHyperlink">
    <w:name w:val="FollowedHyperlink"/>
    <w:basedOn w:val="DefaultParagraphFont"/>
    <w:rsid w:val="003F1D2E"/>
    <w:rPr>
      <w:color w:val="800080"/>
      <w:u w:val="single"/>
    </w:rPr>
  </w:style>
  <w:style w:type="paragraph" w:styleId="TOCHeading">
    <w:name w:val="TOC Heading"/>
    <w:basedOn w:val="Heading1"/>
    <w:next w:val="Normal"/>
    <w:uiPriority w:val="39"/>
    <w:unhideWhenUsed/>
    <w:qFormat/>
    <w:rsid w:val="009E4483"/>
    <w:pPr>
      <w:keepNext/>
      <w:keepLines/>
      <w:spacing w:before="480" w:after="0"/>
      <w:jc w:val="left"/>
      <w:outlineLvl w:val="9"/>
    </w:pPr>
    <w:rPr>
      <w:rFonts w:asciiTheme="majorHAnsi" w:eastAsiaTheme="majorEastAsia" w:hAnsiTheme="majorHAnsi" w:cstheme="majorBidi"/>
      <w:iCs w:val="0"/>
      <w:color w:val="365F91" w:themeColor="accent1" w:themeShade="BF"/>
      <w:kern w:val="0"/>
      <w:sz w:val="28"/>
      <w:szCs w:val="28"/>
    </w:rPr>
  </w:style>
  <w:style w:type="paragraph" w:styleId="TOC1">
    <w:name w:val="toc 1"/>
    <w:basedOn w:val="Normal"/>
    <w:next w:val="Normal"/>
    <w:autoRedefine/>
    <w:uiPriority w:val="39"/>
    <w:unhideWhenUsed/>
    <w:qFormat/>
    <w:rsid w:val="009E4483"/>
    <w:pPr>
      <w:tabs>
        <w:tab w:val="right" w:leader="dot" w:pos="9350"/>
      </w:tabs>
      <w:spacing w:after="100" w:line="240" w:lineRule="auto"/>
      <w:ind w:left="450" w:hanging="45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FA72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31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7568">
      <w:bodyDiv w:val="1"/>
      <w:marLeft w:val="0"/>
      <w:marRight w:val="0"/>
      <w:marTop w:val="0"/>
      <w:marBottom w:val="0"/>
      <w:divBdr>
        <w:top w:val="none" w:sz="0" w:space="0" w:color="auto"/>
        <w:left w:val="none" w:sz="0" w:space="0" w:color="auto"/>
        <w:bottom w:val="none" w:sz="0" w:space="0" w:color="auto"/>
        <w:right w:val="none" w:sz="0" w:space="0" w:color="auto"/>
      </w:divBdr>
    </w:div>
    <w:div w:id="262034409">
      <w:bodyDiv w:val="1"/>
      <w:marLeft w:val="0"/>
      <w:marRight w:val="0"/>
      <w:marTop w:val="0"/>
      <w:marBottom w:val="0"/>
      <w:divBdr>
        <w:top w:val="none" w:sz="0" w:space="0" w:color="auto"/>
        <w:left w:val="none" w:sz="0" w:space="0" w:color="auto"/>
        <w:bottom w:val="none" w:sz="0" w:space="0" w:color="auto"/>
        <w:right w:val="none" w:sz="0" w:space="0" w:color="auto"/>
      </w:divBdr>
    </w:div>
    <w:div w:id="303433330">
      <w:bodyDiv w:val="1"/>
      <w:marLeft w:val="0"/>
      <w:marRight w:val="0"/>
      <w:marTop w:val="0"/>
      <w:marBottom w:val="0"/>
      <w:divBdr>
        <w:top w:val="none" w:sz="0" w:space="0" w:color="auto"/>
        <w:left w:val="none" w:sz="0" w:space="0" w:color="auto"/>
        <w:bottom w:val="none" w:sz="0" w:space="0" w:color="auto"/>
        <w:right w:val="none" w:sz="0" w:space="0" w:color="auto"/>
      </w:divBdr>
    </w:div>
    <w:div w:id="330256607">
      <w:bodyDiv w:val="1"/>
      <w:marLeft w:val="4"/>
      <w:marRight w:val="4"/>
      <w:marTop w:val="4"/>
      <w:marBottom w:val="4"/>
      <w:divBdr>
        <w:top w:val="none" w:sz="0" w:space="0" w:color="auto"/>
        <w:left w:val="none" w:sz="0" w:space="0" w:color="auto"/>
        <w:bottom w:val="none" w:sz="0" w:space="0" w:color="auto"/>
        <w:right w:val="none" w:sz="0" w:space="0" w:color="auto"/>
      </w:divBdr>
      <w:divsChild>
        <w:div w:id="126898722">
          <w:marLeft w:val="4"/>
          <w:marRight w:val="4"/>
          <w:marTop w:val="4"/>
          <w:marBottom w:val="4"/>
          <w:divBdr>
            <w:top w:val="none" w:sz="0" w:space="0" w:color="auto"/>
            <w:left w:val="none" w:sz="0" w:space="0" w:color="auto"/>
            <w:bottom w:val="none" w:sz="0" w:space="0" w:color="auto"/>
            <w:right w:val="none" w:sz="0" w:space="0" w:color="auto"/>
          </w:divBdr>
          <w:divsChild>
            <w:div w:id="318114537">
              <w:marLeft w:val="4"/>
              <w:marRight w:val="4"/>
              <w:marTop w:val="4"/>
              <w:marBottom w:val="4"/>
              <w:divBdr>
                <w:top w:val="none" w:sz="0" w:space="0" w:color="auto"/>
                <w:left w:val="none" w:sz="0" w:space="0" w:color="auto"/>
                <w:bottom w:val="none" w:sz="0" w:space="0" w:color="auto"/>
                <w:right w:val="none" w:sz="0" w:space="0" w:color="auto"/>
              </w:divBdr>
              <w:divsChild>
                <w:div w:id="1633558851">
                  <w:marLeft w:val="0"/>
                  <w:marRight w:val="0"/>
                  <w:marTop w:val="0"/>
                  <w:marBottom w:val="0"/>
                  <w:divBdr>
                    <w:top w:val="none" w:sz="0" w:space="0" w:color="auto"/>
                    <w:left w:val="none" w:sz="0" w:space="0" w:color="auto"/>
                    <w:bottom w:val="none" w:sz="0" w:space="0" w:color="auto"/>
                    <w:right w:val="none" w:sz="0" w:space="0" w:color="auto"/>
                  </w:divBdr>
                  <w:divsChild>
                    <w:div w:id="1859654083">
                      <w:marLeft w:val="4"/>
                      <w:marRight w:val="4"/>
                      <w:marTop w:val="4"/>
                      <w:marBottom w:val="4"/>
                      <w:divBdr>
                        <w:top w:val="none" w:sz="0" w:space="0" w:color="auto"/>
                        <w:left w:val="none" w:sz="0" w:space="0" w:color="auto"/>
                        <w:bottom w:val="none" w:sz="0" w:space="0" w:color="auto"/>
                        <w:right w:val="none" w:sz="0" w:space="0" w:color="auto"/>
                      </w:divBdr>
                      <w:divsChild>
                        <w:div w:id="1273055994">
                          <w:marLeft w:val="0"/>
                          <w:marRight w:val="0"/>
                          <w:marTop w:val="0"/>
                          <w:marBottom w:val="0"/>
                          <w:divBdr>
                            <w:top w:val="none" w:sz="0" w:space="0" w:color="auto"/>
                            <w:left w:val="none" w:sz="0" w:space="0" w:color="auto"/>
                            <w:bottom w:val="none" w:sz="0" w:space="0" w:color="auto"/>
                            <w:right w:val="none" w:sz="0" w:space="0" w:color="auto"/>
                          </w:divBdr>
                          <w:divsChild>
                            <w:div w:id="1137918134">
                              <w:marLeft w:val="0"/>
                              <w:marRight w:val="0"/>
                              <w:marTop w:val="0"/>
                              <w:marBottom w:val="0"/>
                              <w:divBdr>
                                <w:top w:val="none" w:sz="0" w:space="0" w:color="auto"/>
                                <w:left w:val="none" w:sz="0" w:space="0" w:color="auto"/>
                                <w:bottom w:val="none" w:sz="0" w:space="0" w:color="auto"/>
                                <w:right w:val="none" w:sz="0" w:space="0" w:color="auto"/>
                              </w:divBdr>
                            </w:div>
                            <w:div w:id="555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7015">
      <w:bodyDiv w:val="1"/>
      <w:marLeft w:val="0"/>
      <w:marRight w:val="0"/>
      <w:marTop w:val="0"/>
      <w:marBottom w:val="0"/>
      <w:divBdr>
        <w:top w:val="none" w:sz="0" w:space="0" w:color="auto"/>
        <w:left w:val="none" w:sz="0" w:space="0" w:color="auto"/>
        <w:bottom w:val="none" w:sz="0" w:space="0" w:color="auto"/>
        <w:right w:val="none" w:sz="0" w:space="0" w:color="auto"/>
      </w:divBdr>
    </w:div>
    <w:div w:id="391463702">
      <w:bodyDiv w:val="1"/>
      <w:marLeft w:val="0"/>
      <w:marRight w:val="0"/>
      <w:marTop w:val="0"/>
      <w:marBottom w:val="0"/>
      <w:divBdr>
        <w:top w:val="none" w:sz="0" w:space="0" w:color="auto"/>
        <w:left w:val="none" w:sz="0" w:space="0" w:color="auto"/>
        <w:bottom w:val="none" w:sz="0" w:space="0" w:color="auto"/>
        <w:right w:val="none" w:sz="0" w:space="0" w:color="auto"/>
      </w:divBdr>
    </w:div>
    <w:div w:id="467432076">
      <w:bodyDiv w:val="1"/>
      <w:marLeft w:val="0"/>
      <w:marRight w:val="0"/>
      <w:marTop w:val="0"/>
      <w:marBottom w:val="0"/>
      <w:divBdr>
        <w:top w:val="none" w:sz="0" w:space="0" w:color="auto"/>
        <w:left w:val="none" w:sz="0" w:space="0" w:color="auto"/>
        <w:bottom w:val="none" w:sz="0" w:space="0" w:color="auto"/>
        <w:right w:val="none" w:sz="0" w:space="0" w:color="auto"/>
      </w:divBdr>
    </w:div>
    <w:div w:id="567300856">
      <w:bodyDiv w:val="1"/>
      <w:marLeft w:val="0"/>
      <w:marRight w:val="0"/>
      <w:marTop w:val="0"/>
      <w:marBottom w:val="0"/>
      <w:divBdr>
        <w:top w:val="none" w:sz="0" w:space="0" w:color="auto"/>
        <w:left w:val="none" w:sz="0" w:space="0" w:color="auto"/>
        <w:bottom w:val="none" w:sz="0" w:space="0" w:color="auto"/>
        <w:right w:val="none" w:sz="0" w:space="0" w:color="auto"/>
      </w:divBdr>
    </w:div>
    <w:div w:id="650519941">
      <w:bodyDiv w:val="1"/>
      <w:marLeft w:val="0"/>
      <w:marRight w:val="0"/>
      <w:marTop w:val="0"/>
      <w:marBottom w:val="0"/>
      <w:divBdr>
        <w:top w:val="none" w:sz="0" w:space="0" w:color="auto"/>
        <w:left w:val="none" w:sz="0" w:space="0" w:color="auto"/>
        <w:bottom w:val="none" w:sz="0" w:space="0" w:color="auto"/>
        <w:right w:val="none" w:sz="0" w:space="0" w:color="auto"/>
      </w:divBdr>
    </w:div>
    <w:div w:id="675765001">
      <w:bodyDiv w:val="1"/>
      <w:marLeft w:val="0"/>
      <w:marRight w:val="0"/>
      <w:marTop w:val="0"/>
      <w:marBottom w:val="0"/>
      <w:divBdr>
        <w:top w:val="none" w:sz="0" w:space="0" w:color="auto"/>
        <w:left w:val="none" w:sz="0" w:space="0" w:color="auto"/>
        <w:bottom w:val="none" w:sz="0" w:space="0" w:color="auto"/>
        <w:right w:val="none" w:sz="0" w:space="0" w:color="auto"/>
      </w:divBdr>
    </w:div>
    <w:div w:id="823081558">
      <w:bodyDiv w:val="1"/>
      <w:marLeft w:val="0"/>
      <w:marRight w:val="0"/>
      <w:marTop w:val="0"/>
      <w:marBottom w:val="0"/>
      <w:divBdr>
        <w:top w:val="none" w:sz="0" w:space="0" w:color="auto"/>
        <w:left w:val="none" w:sz="0" w:space="0" w:color="auto"/>
        <w:bottom w:val="none" w:sz="0" w:space="0" w:color="auto"/>
        <w:right w:val="none" w:sz="0" w:space="0" w:color="auto"/>
      </w:divBdr>
    </w:div>
    <w:div w:id="838351993">
      <w:bodyDiv w:val="1"/>
      <w:marLeft w:val="0"/>
      <w:marRight w:val="0"/>
      <w:marTop w:val="0"/>
      <w:marBottom w:val="0"/>
      <w:divBdr>
        <w:top w:val="none" w:sz="0" w:space="0" w:color="auto"/>
        <w:left w:val="none" w:sz="0" w:space="0" w:color="auto"/>
        <w:bottom w:val="none" w:sz="0" w:space="0" w:color="auto"/>
        <w:right w:val="none" w:sz="0" w:space="0" w:color="auto"/>
      </w:divBdr>
    </w:div>
    <w:div w:id="961500181">
      <w:bodyDiv w:val="1"/>
      <w:marLeft w:val="0"/>
      <w:marRight w:val="0"/>
      <w:marTop w:val="0"/>
      <w:marBottom w:val="0"/>
      <w:divBdr>
        <w:top w:val="none" w:sz="0" w:space="0" w:color="auto"/>
        <w:left w:val="none" w:sz="0" w:space="0" w:color="auto"/>
        <w:bottom w:val="none" w:sz="0" w:space="0" w:color="auto"/>
        <w:right w:val="none" w:sz="0" w:space="0" w:color="auto"/>
      </w:divBdr>
    </w:div>
    <w:div w:id="996542827">
      <w:bodyDiv w:val="1"/>
      <w:marLeft w:val="0"/>
      <w:marRight w:val="0"/>
      <w:marTop w:val="0"/>
      <w:marBottom w:val="0"/>
      <w:divBdr>
        <w:top w:val="none" w:sz="0" w:space="0" w:color="auto"/>
        <w:left w:val="none" w:sz="0" w:space="0" w:color="auto"/>
        <w:bottom w:val="none" w:sz="0" w:space="0" w:color="auto"/>
        <w:right w:val="none" w:sz="0" w:space="0" w:color="auto"/>
      </w:divBdr>
    </w:div>
    <w:div w:id="1005941552">
      <w:bodyDiv w:val="1"/>
      <w:marLeft w:val="0"/>
      <w:marRight w:val="0"/>
      <w:marTop w:val="0"/>
      <w:marBottom w:val="0"/>
      <w:divBdr>
        <w:top w:val="none" w:sz="0" w:space="0" w:color="auto"/>
        <w:left w:val="none" w:sz="0" w:space="0" w:color="auto"/>
        <w:bottom w:val="none" w:sz="0" w:space="0" w:color="auto"/>
        <w:right w:val="none" w:sz="0" w:space="0" w:color="auto"/>
      </w:divBdr>
    </w:div>
    <w:div w:id="1035737181">
      <w:bodyDiv w:val="1"/>
      <w:marLeft w:val="0"/>
      <w:marRight w:val="0"/>
      <w:marTop w:val="0"/>
      <w:marBottom w:val="0"/>
      <w:divBdr>
        <w:top w:val="none" w:sz="0" w:space="0" w:color="auto"/>
        <w:left w:val="none" w:sz="0" w:space="0" w:color="auto"/>
        <w:bottom w:val="none" w:sz="0" w:space="0" w:color="auto"/>
        <w:right w:val="none" w:sz="0" w:space="0" w:color="auto"/>
      </w:divBdr>
    </w:div>
    <w:div w:id="1213156758">
      <w:bodyDiv w:val="1"/>
      <w:marLeft w:val="0"/>
      <w:marRight w:val="0"/>
      <w:marTop w:val="0"/>
      <w:marBottom w:val="0"/>
      <w:divBdr>
        <w:top w:val="none" w:sz="0" w:space="0" w:color="auto"/>
        <w:left w:val="none" w:sz="0" w:space="0" w:color="auto"/>
        <w:bottom w:val="none" w:sz="0" w:space="0" w:color="auto"/>
        <w:right w:val="none" w:sz="0" w:space="0" w:color="auto"/>
      </w:divBdr>
    </w:div>
    <w:div w:id="1465460880">
      <w:bodyDiv w:val="1"/>
      <w:marLeft w:val="0"/>
      <w:marRight w:val="0"/>
      <w:marTop w:val="0"/>
      <w:marBottom w:val="0"/>
      <w:divBdr>
        <w:top w:val="none" w:sz="0" w:space="0" w:color="auto"/>
        <w:left w:val="none" w:sz="0" w:space="0" w:color="auto"/>
        <w:bottom w:val="none" w:sz="0" w:space="0" w:color="auto"/>
        <w:right w:val="none" w:sz="0" w:space="0" w:color="auto"/>
      </w:divBdr>
    </w:div>
    <w:div w:id="1502156888">
      <w:bodyDiv w:val="1"/>
      <w:marLeft w:val="0"/>
      <w:marRight w:val="0"/>
      <w:marTop w:val="0"/>
      <w:marBottom w:val="0"/>
      <w:divBdr>
        <w:top w:val="none" w:sz="0" w:space="0" w:color="auto"/>
        <w:left w:val="none" w:sz="0" w:space="0" w:color="auto"/>
        <w:bottom w:val="none" w:sz="0" w:space="0" w:color="auto"/>
        <w:right w:val="none" w:sz="0" w:space="0" w:color="auto"/>
      </w:divBdr>
    </w:div>
    <w:div w:id="1523083343">
      <w:bodyDiv w:val="1"/>
      <w:marLeft w:val="0"/>
      <w:marRight w:val="0"/>
      <w:marTop w:val="0"/>
      <w:marBottom w:val="0"/>
      <w:divBdr>
        <w:top w:val="none" w:sz="0" w:space="0" w:color="auto"/>
        <w:left w:val="none" w:sz="0" w:space="0" w:color="auto"/>
        <w:bottom w:val="none" w:sz="0" w:space="0" w:color="auto"/>
        <w:right w:val="none" w:sz="0" w:space="0" w:color="auto"/>
      </w:divBdr>
    </w:div>
    <w:div w:id="1619874783">
      <w:bodyDiv w:val="1"/>
      <w:marLeft w:val="0"/>
      <w:marRight w:val="0"/>
      <w:marTop w:val="0"/>
      <w:marBottom w:val="0"/>
      <w:divBdr>
        <w:top w:val="none" w:sz="0" w:space="0" w:color="auto"/>
        <w:left w:val="none" w:sz="0" w:space="0" w:color="auto"/>
        <w:bottom w:val="none" w:sz="0" w:space="0" w:color="auto"/>
        <w:right w:val="none" w:sz="0" w:space="0" w:color="auto"/>
      </w:divBdr>
    </w:div>
    <w:div w:id="1691645468">
      <w:bodyDiv w:val="1"/>
      <w:marLeft w:val="4"/>
      <w:marRight w:val="4"/>
      <w:marTop w:val="4"/>
      <w:marBottom w:val="4"/>
      <w:divBdr>
        <w:top w:val="none" w:sz="0" w:space="0" w:color="auto"/>
        <w:left w:val="none" w:sz="0" w:space="0" w:color="auto"/>
        <w:bottom w:val="none" w:sz="0" w:space="0" w:color="auto"/>
        <w:right w:val="none" w:sz="0" w:space="0" w:color="auto"/>
      </w:divBdr>
      <w:divsChild>
        <w:div w:id="1641568525">
          <w:marLeft w:val="4"/>
          <w:marRight w:val="4"/>
          <w:marTop w:val="4"/>
          <w:marBottom w:val="4"/>
          <w:divBdr>
            <w:top w:val="none" w:sz="0" w:space="0" w:color="auto"/>
            <w:left w:val="none" w:sz="0" w:space="0" w:color="auto"/>
            <w:bottom w:val="none" w:sz="0" w:space="0" w:color="auto"/>
            <w:right w:val="none" w:sz="0" w:space="0" w:color="auto"/>
          </w:divBdr>
          <w:divsChild>
            <w:div w:id="1226068600">
              <w:marLeft w:val="4"/>
              <w:marRight w:val="4"/>
              <w:marTop w:val="4"/>
              <w:marBottom w:val="4"/>
              <w:divBdr>
                <w:top w:val="none" w:sz="0" w:space="0" w:color="auto"/>
                <w:left w:val="none" w:sz="0" w:space="0" w:color="auto"/>
                <w:bottom w:val="none" w:sz="0" w:space="0" w:color="auto"/>
                <w:right w:val="none" w:sz="0" w:space="0" w:color="auto"/>
              </w:divBdr>
              <w:divsChild>
                <w:div w:id="1116555998">
                  <w:marLeft w:val="0"/>
                  <w:marRight w:val="0"/>
                  <w:marTop w:val="0"/>
                  <w:marBottom w:val="0"/>
                  <w:divBdr>
                    <w:top w:val="none" w:sz="0" w:space="0" w:color="auto"/>
                    <w:left w:val="none" w:sz="0" w:space="0" w:color="auto"/>
                    <w:bottom w:val="none" w:sz="0" w:space="0" w:color="auto"/>
                    <w:right w:val="none" w:sz="0" w:space="0" w:color="auto"/>
                  </w:divBdr>
                  <w:divsChild>
                    <w:div w:id="1302223990">
                      <w:marLeft w:val="4"/>
                      <w:marRight w:val="4"/>
                      <w:marTop w:val="4"/>
                      <w:marBottom w:val="4"/>
                      <w:divBdr>
                        <w:top w:val="none" w:sz="0" w:space="0" w:color="auto"/>
                        <w:left w:val="none" w:sz="0" w:space="0" w:color="auto"/>
                        <w:bottom w:val="none" w:sz="0" w:space="0" w:color="auto"/>
                        <w:right w:val="none" w:sz="0" w:space="0" w:color="auto"/>
                      </w:divBdr>
                      <w:divsChild>
                        <w:div w:id="590284152">
                          <w:marLeft w:val="0"/>
                          <w:marRight w:val="0"/>
                          <w:marTop w:val="0"/>
                          <w:marBottom w:val="0"/>
                          <w:divBdr>
                            <w:top w:val="none" w:sz="0" w:space="0" w:color="auto"/>
                            <w:left w:val="none" w:sz="0" w:space="0" w:color="auto"/>
                            <w:bottom w:val="none" w:sz="0" w:space="0" w:color="auto"/>
                            <w:right w:val="none" w:sz="0" w:space="0" w:color="auto"/>
                          </w:divBdr>
                          <w:divsChild>
                            <w:div w:id="744955965">
                              <w:marLeft w:val="0"/>
                              <w:marRight w:val="0"/>
                              <w:marTop w:val="0"/>
                              <w:marBottom w:val="0"/>
                              <w:divBdr>
                                <w:top w:val="none" w:sz="0" w:space="0" w:color="auto"/>
                                <w:left w:val="none" w:sz="0" w:space="0" w:color="auto"/>
                                <w:bottom w:val="none" w:sz="0" w:space="0" w:color="auto"/>
                                <w:right w:val="none" w:sz="0" w:space="0" w:color="auto"/>
                              </w:divBdr>
                            </w:div>
                            <w:div w:id="1175923321">
                              <w:marLeft w:val="0"/>
                              <w:marRight w:val="0"/>
                              <w:marTop w:val="0"/>
                              <w:marBottom w:val="0"/>
                              <w:divBdr>
                                <w:top w:val="none" w:sz="0" w:space="0" w:color="auto"/>
                                <w:left w:val="none" w:sz="0" w:space="0" w:color="auto"/>
                                <w:bottom w:val="none" w:sz="0" w:space="0" w:color="auto"/>
                                <w:right w:val="none" w:sz="0" w:space="0" w:color="auto"/>
                              </w:divBdr>
                            </w:div>
                            <w:div w:id="1726172266">
                              <w:marLeft w:val="0"/>
                              <w:marRight w:val="0"/>
                              <w:marTop w:val="0"/>
                              <w:marBottom w:val="0"/>
                              <w:divBdr>
                                <w:top w:val="none" w:sz="0" w:space="0" w:color="auto"/>
                                <w:left w:val="none" w:sz="0" w:space="0" w:color="auto"/>
                                <w:bottom w:val="none" w:sz="0" w:space="0" w:color="auto"/>
                                <w:right w:val="none" w:sz="0" w:space="0" w:color="auto"/>
                              </w:divBdr>
                            </w:div>
                            <w:div w:id="4248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3088">
      <w:bodyDiv w:val="1"/>
      <w:marLeft w:val="0"/>
      <w:marRight w:val="0"/>
      <w:marTop w:val="0"/>
      <w:marBottom w:val="0"/>
      <w:divBdr>
        <w:top w:val="none" w:sz="0" w:space="0" w:color="auto"/>
        <w:left w:val="none" w:sz="0" w:space="0" w:color="auto"/>
        <w:bottom w:val="none" w:sz="0" w:space="0" w:color="auto"/>
        <w:right w:val="none" w:sz="0" w:space="0" w:color="auto"/>
      </w:divBdr>
    </w:div>
    <w:div w:id="1777944036">
      <w:bodyDiv w:val="1"/>
      <w:marLeft w:val="0"/>
      <w:marRight w:val="0"/>
      <w:marTop w:val="0"/>
      <w:marBottom w:val="0"/>
      <w:divBdr>
        <w:top w:val="none" w:sz="0" w:space="0" w:color="auto"/>
        <w:left w:val="none" w:sz="0" w:space="0" w:color="auto"/>
        <w:bottom w:val="none" w:sz="0" w:space="0" w:color="auto"/>
        <w:right w:val="none" w:sz="0" w:space="0" w:color="auto"/>
      </w:divBdr>
    </w:div>
    <w:div w:id="1860007029">
      <w:bodyDiv w:val="1"/>
      <w:marLeft w:val="0"/>
      <w:marRight w:val="0"/>
      <w:marTop w:val="0"/>
      <w:marBottom w:val="0"/>
      <w:divBdr>
        <w:top w:val="none" w:sz="0" w:space="0" w:color="auto"/>
        <w:left w:val="none" w:sz="0" w:space="0" w:color="auto"/>
        <w:bottom w:val="none" w:sz="0" w:space="0" w:color="auto"/>
        <w:right w:val="none" w:sz="0" w:space="0" w:color="auto"/>
      </w:divBdr>
    </w:div>
    <w:div w:id="1916894882">
      <w:bodyDiv w:val="1"/>
      <w:marLeft w:val="0"/>
      <w:marRight w:val="0"/>
      <w:marTop w:val="0"/>
      <w:marBottom w:val="0"/>
      <w:divBdr>
        <w:top w:val="none" w:sz="0" w:space="0" w:color="auto"/>
        <w:left w:val="none" w:sz="0" w:space="0" w:color="auto"/>
        <w:bottom w:val="none" w:sz="0" w:space="0" w:color="auto"/>
        <w:right w:val="none" w:sz="0" w:space="0" w:color="auto"/>
      </w:divBdr>
    </w:div>
    <w:div w:id="2033919184">
      <w:bodyDiv w:val="1"/>
      <w:marLeft w:val="4"/>
      <w:marRight w:val="4"/>
      <w:marTop w:val="4"/>
      <w:marBottom w:val="4"/>
      <w:divBdr>
        <w:top w:val="none" w:sz="0" w:space="0" w:color="auto"/>
        <w:left w:val="none" w:sz="0" w:space="0" w:color="auto"/>
        <w:bottom w:val="none" w:sz="0" w:space="0" w:color="auto"/>
        <w:right w:val="none" w:sz="0" w:space="0" w:color="auto"/>
      </w:divBdr>
      <w:divsChild>
        <w:div w:id="351422906">
          <w:marLeft w:val="4"/>
          <w:marRight w:val="4"/>
          <w:marTop w:val="4"/>
          <w:marBottom w:val="4"/>
          <w:divBdr>
            <w:top w:val="none" w:sz="0" w:space="0" w:color="auto"/>
            <w:left w:val="none" w:sz="0" w:space="0" w:color="auto"/>
            <w:bottom w:val="none" w:sz="0" w:space="0" w:color="auto"/>
            <w:right w:val="none" w:sz="0" w:space="0" w:color="auto"/>
          </w:divBdr>
          <w:divsChild>
            <w:div w:id="515536328">
              <w:marLeft w:val="4"/>
              <w:marRight w:val="4"/>
              <w:marTop w:val="4"/>
              <w:marBottom w:val="4"/>
              <w:divBdr>
                <w:top w:val="none" w:sz="0" w:space="0" w:color="auto"/>
                <w:left w:val="none" w:sz="0" w:space="0" w:color="auto"/>
                <w:bottom w:val="none" w:sz="0" w:space="0" w:color="auto"/>
                <w:right w:val="none" w:sz="0" w:space="0" w:color="auto"/>
              </w:divBdr>
              <w:divsChild>
                <w:div w:id="1908607271">
                  <w:marLeft w:val="0"/>
                  <w:marRight w:val="0"/>
                  <w:marTop w:val="0"/>
                  <w:marBottom w:val="0"/>
                  <w:divBdr>
                    <w:top w:val="none" w:sz="0" w:space="0" w:color="auto"/>
                    <w:left w:val="none" w:sz="0" w:space="0" w:color="auto"/>
                    <w:bottom w:val="none" w:sz="0" w:space="0" w:color="auto"/>
                    <w:right w:val="none" w:sz="0" w:space="0" w:color="auto"/>
                  </w:divBdr>
                  <w:divsChild>
                    <w:div w:id="961496679">
                      <w:marLeft w:val="4"/>
                      <w:marRight w:val="4"/>
                      <w:marTop w:val="4"/>
                      <w:marBottom w:val="4"/>
                      <w:divBdr>
                        <w:top w:val="none" w:sz="0" w:space="0" w:color="auto"/>
                        <w:left w:val="none" w:sz="0" w:space="0" w:color="auto"/>
                        <w:bottom w:val="none" w:sz="0" w:space="0" w:color="auto"/>
                        <w:right w:val="none" w:sz="0" w:space="0" w:color="auto"/>
                      </w:divBdr>
                      <w:divsChild>
                        <w:div w:id="912395606">
                          <w:marLeft w:val="0"/>
                          <w:marRight w:val="0"/>
                          <w:marTop w:val="0"/>
                          <w:marBottom w:val="0"/>
                          <w:divBdr>
                            <w:top w:val="none" w:sz="0" w:space="0" w:color="auto"/>
                            <w:left w:val="none" w:sz="0" w:space="0" w:color="auto"/>
                            <w:bottom w:val="none" w:sz="0" w:space="0" w:color="auto"/>
                            <w:right w:val="none" w:sz="0" w:space="0" w:color="auto"/>
                          </w:divBdr>
                          <w:divsChild>
                            <w:div w:id="1190219377">
                              <w:marLeft w:val="0"/>
                              <w:marRight w:val="0"/>
                              <w:marTop w:val="0"/>
                              <w:marBottom w:val="0"/>
                              <w:divBdr>
                                <w:top w:val="none" w:sz="0" w:space="0" w:color="auto"/>
                                <w:left w:val="none" w:sz="0" w:space="0" w:color="auto"/>
                                <w:bottom w:val="none" w:sz="0" w:space="0" w:color="auto"/>
                                <w:right w:val="none" w:sz="0" w:space="0" w:color="auto"/>
                              </w:divBdr>
                            </w:div>
                            <w:div w:id="1982154113">
                              <w:marLeft w:val="0"/>
                              <w:marRight w:val="0"/>
                              <w:marTop w:val="0"/>
                              <w:marBottom w:val="0"/>
                              <w:divBdr>
                                <w:top w:val="none" w:sz="0" w:space="0" w:color="auto"/>
                                <w:left w:val="none" w:sz="0" w:space="0" w:color="auto"/>
                                <w:bottom w:val="none" w:sz="0" w:space="0" w:color="auto"/>
                                <w:right w:val="none" w:sz="0" w:space="0" w:color="auto"/>
                              </w:divBdr>
                            </w:div>
                            <w:div w:id="29108136">
                              <w:marLeft w:val="0"/>
                              <w:marRight w:val="0"/>
                              <w:marTop w:val="0"/>
                              <w:marBottom w:val="0"/>
                              <w:divBdr>
                                <w:top w:val="none" w:sz="0" w:space="0" w:color="auto"/>
                                <w:left w:val="none" w:sz="0" w:space="0" w:color="auto"/>
                                <w:bottom w:val="none" w:sz="0" w:space="0" w:color="auto"/>
                                <w:right w:val="none" w:sz="0" w:space="0" w:color="auto"/>
                              </w:divBdr>
                            </w:div>
                            <w:div w:id="17730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7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lcemr@stat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UH1@cd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2CD33E7464604D8C2F166BEA45E6B7" ma:contentTypeVersion="0" ma:contentTypeDescription="Create a new document." ma:contentTypeScope="" ma:versionID="10dd450ca05be7628946a036fc7127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Mar12</b:Tag>
    <b:SourceType>ArticleInAPeriodical</b:SourceType>
    <b:Guid>{DDD8F283-F7AE-48B4-B749-93BED444D640}</b:Guid>
    <b:Title>QR codes have become ubiquitous--just as they're falling out of favor with advertisers</b:Title>
    <b:Year>2012</b:Year>
    <b:Author>
      <b:Author>
        <b:NameList>
          <b:Person>
            <b:Last>Millan</b:Last>
            <b:First>Mark</b:First>
          </b:Person>
        </b:NameList>
      </b:Author>
    </b:Author>
    <b:PeriodicalTitle>Bloomberg Businessweek</b:PeriodicalTitle>
    <b:Month>July</b:Month>
    <b:Day>2-8</b:Day>
    <b:Pages>28-30</b:Pages>
    <b:RefOrder>1</b:RefOrder>
  </b:Source>
</b:Sources>
</file>

<file path=customXml/itemProps1.xml><?xml version="1.0" encoding="utf-8"?>
<ds:datastoreItem xmlns:ds="http://schemas.openxmlformats.org/officeDocument/2006/customXml" ds:itemID="{EF49474A-611D-4B33-948F-82F46F741A68}">
  <ds:schemaRefs>
    <ds:schemaRef ds:uri="http://schemas.microsoft.com/sharepoint/v3/contenttype/forms"/>
  </ds:schemaRefs>
</ds:datastoreItem>
</file>

<file path=customXml/itemProps2.xml><?xml version="1.0" encoding="utf-8"?>
<ds:datastoreItem xmlns:ds="http://schemas.openxmlformats.org/officeDocument/2006/customXml" ds:itemID="{9970F07C-5D52-4DA0-A7EC-97FF92BE1161}">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8AEBF3DF-6D35-489B-B47E-EF42361F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993FFD-8544-4455-BD25-A3CEA03B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6267</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41906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wernerk</dc:creator>
  <cp:lastModifiedBy>CDC User</cp:lastModifiedBy>
  <cp:revision>9</cp:revision>
  <cp:lastPrinted>2013-06-11T16:49:00Z</cp:lastPrinted>
  <dcterms:created xsi:type="dcterms:W3CDTF">2013-06-11T15:04:00Z</dcterms:created>
  <dcterms:modified xsi:type="dcterms:W3CDTF">2013-06-11T16:51:00Z</dcterms:modified>
</cp:coreProperties>
</file>