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C20" w:rsidRDefault="00980C20"/>
    <w:p w:rsidR="006E5CA0" w:rsidRDefault="006E5CA0"/>
    <w:p w:rsidR="006E5CA0" w:rsidRDefault="006E5CA0"/>
    <w:p w:rsidR="006E5CA0" w:rsidRDefault="006E5CA0"/>
    <w:p w:rsidR="00F44EB2" w:rsidRDefault="00F44EB2" w:rsidP="006E5CA0">
      <w:pPr>
        <w:pStyle w:val="Subtitle"/>
        <w:rPr>
          <w:rFonts w:asciiTheme="majorHAnsi" w:hAnsiTheme="majorHAnsi"/>
          <w:b/>
        </w:rPr>
      </w:pPr>
      <w:bookmarkStart w:id="0" w:name="_Toc300224997"/>
      <w:r>
        <w:rPr>
          <w:rFonts w:asciiTheme="majorHAnsi" w:hAnsiTheme="majorHAnsi"/>
          <w:b/>
        </w:rPr>
        <w:t>Attachment 16</w:t>
      </w:r>
      <w:r w:rsidR="00A956E9">
        <w:rPr>
          <w:rFonts w:asciiTheme="majorHAnsi" w:hAnsiTheme="majorHAnsi"/>
          <w:b/>
        </w:rPr>
        <w:br/>
        <w:t>0920-0740</w:t>
      </w:r>
      <w:bookmarkStart w:id="1" w:name="_GoBack"/>
      <w:bookmarkEnd w:id="1"/>
    </w:p>
    <w:p w:rsidR="006E5CA0" w:rsidRPr="00F31637" w:rsidRDefault="006E5CA0" w:rsidP="006E5CA0">
      <w:pPr>
        <w:pStyle w:val="Subtitle"/>
        <w:rPr>
          <w:rFonts w:asciiTheme="majorHAnsi" w:hAnsiTheme="majorHAnsi"/>
          <w:b/>
        </w:rPr>
      </w:pPr>
      <w:r w:rsidRPr="00F31637">
        <w:rPr>
          <w:rFonts w:asciiTheme="majorHAnsi" w:hAnsiTheme="majorHAnsi"/>
          <w:b/>
        </w:rPr>
        <w:t xml:space="preserve">Formulas Used in </w:t>
      </w:r>
      <w:r>
        <w:rPr>
          <w:rFonts w:asciiTheme="majorHAnsi" w:hAnsiTheme="majorHAnsi"/>
          <w:b/>
        </w:rPr>
        <w:t xml:space="preserve">MMP </w:t>
      </w:r>
      <w:r w:rsidRPr="00F31637">
        <w:rPr>
          <w:rFonts w:asciiTheme="majorHAnsi" w:hAnsiTheme="majorHAnsi"/>
          <w:b/>
        </w:rPr>
        <w:t>Response Rate Calculations</w:t>
      </w:r>
      <w:bookmarkEnd w:id="0"/>
    </w:p>
    <w:p w:rsidR="006E5CA0" w:rsidRPr="008A14EB" w:rsidRDefault="006E5CA0" w:rsidP="006E5CA0"/>
    <w:p w:rsidR="006E5CA0" w:rsidRPr="008A14EB" w:rsidRDefault="006E5CA0" w:rsidP="006E5CA0">
      <w:pPr>
        <w:pStyle w:val="Subtitle"/>
        <w:rPr>
          <w:rStyle w:val="IntenseEmphasis"/>
        </w:rPr>
      </w:pPr>
      <w:bookmarkStart w:id="2" w:name="_Toc300224998"/>
      <w:r>
        <w:rPr>
          <w:rStyle w:val="IntenseEmphasis"/>
        </w:rPr>
        <w:t>Facility Response Rates by Project Area</w:t>
      </w:r>
      <w:bookmarkEnd w:id="2"/>
      <w:r>
        <w:rPr>
          <w:rStyle w:val="IntenseEmphasis"/>
        </w:rPr>
        <w:t xml:space="preserve"> </w:t>
      </w:r>
    </w:p>
    <w:p w:rsidR="006E5CA0" w:rsidRPr="008A14EB" w:rsidRDefault="006E5CA0" w:rsidP="006E5CA0"/>
    <w:p w:rsidR="006E5CA0" w:rsidRPr="00F31637" w:rsidRDefault="006E5CA0" w:rsidP="006E5CA0">
      <w:pPr>
        <w:numPr>
          <w:ilvl w:val="0"/>
          <w:numId w:val="2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R</w:t>
      </w:r>
      <w:r w:rsidRPr="00F31637">
        <w:rPr>
          <w:rFonts w:asciiTheme="majorHAnsi" w:hAnsiTheme="majorHAnsi"/>
          <w:szCs w:val="24"/>
        </w:rPr>
        <w:t>FP</w:t>
      </w:r>
      <w:r w:rsidRPr="008A14EB">
        <w:rPr>
          <w:rFonts w:asciiTheme="majorHAnsi" w:hAnsiTheme="majorHAnsi"/>
          <w:szCs w:val="24"/>
        </w:rPr>
        <w:t xml:space="preserve"> = Facility Participation Rate</w:t>
      </w:r>
    </w:p>
    <w:p w:rsidR="006E5CA0" w:rsidRPr="008A14EB" w:rsidRDefault="006E5CA0" w:rsidP="006E5CA0">
      <w:pPr>
        <w:numPr>
          <w:ilvl w:val="0"/>
          <w:numId w:val="2"/>
        </w:numPr>
        <w:spacing w:after="200"/>
        <w:contextualSpacing/>
        <w:rPr>
          <w:rFonts w:asciiTheme="majorHAnsi" w:hAnsiTheme="majorHAnsi"/>
          <w:b/>
          <w:szCs w:val="24"/>
        </w:rPr>
      </w:pPr>
      <w:r w:rsidRPr="008A14EB">
        <w:rPr>
          <w:rFonts w:asciiTheme="majorHAnsi" w:hAnsiTheme="majorHAnsi"/>
          <w:szCs w:val="24"/>
        </w:rPr>
        <w:t>R</w:t>
      </w:r>
      <w:r w:rsidRPr="008A14EB">
        <w:rPr>
          <w:rFonts w:asciiTheme="majorHAnsi" w:hAnsiTheme="majorHAnsi"/>
          <w:szCs w:val="24"/>
          <w:vertAlign w:val="subscript"/>
        </w:rPr>
        <w:t>FC</w:t>
      </w:r>
      <w:r w:rsidRPr="008A14EB">
        <w:rPr>
          <w:rFonts w:asciiTheme="majorHAnsi" w:hAnsiTheme="majorHAnsi"/>
          <w:szCs w:val="24"/>
        </w:rPr>
        <w:t>=Facility Cooperation Rate</w:t>
      </w:r>
    </w:p>
    <w:p w:rsidR="006E5CA0" w:rsidRPr="008A14EB" w:rsidRDefault="006E5CA0" w:rsidP="006E5CA0">
      <w:pPr>
        <w:numPr>
          <w:ilvl w:val="0"/>
          <w:numId w:val="2"/>
        </w:numPr>
        <w:spacing w:after="200"/>
        <w:contextualSpacing/>
        <w:rPr>
          <w:rFonts w:asciiTheme="majorHAnsi" w:hAnsiTheme="majorHAnsi"/>
          <w:b/>
          <w:szCs w:val="24"/>
        </w:rPr>
      </w:pPr>
      <w:r w:rsidRPr="008A14EB">
        <w:rPr>
          <w:rFonts w:asciiTheme="majorHAnsi" w:hAnsiTheme="majorHAnsi"/>
          <w:szCs w:val="24"/>
        </w:rPr>
        <w:t>F</w:t>
      </w:r>
      <w:r w:rsidRPr="008A14EB">
        <w:rPr>
          <w:rFonts w:asciiTheme="majorHAnsi" w:hAnsiTheme="majorHAnsi"/>
          <w:szCs w:val="24"/>
          <w:vertAlign w:val="subscript"/>
        </w:rPr>
        <w:t>P</w:t>
      </w:r>
      <w:r w:rsidRPr="008A14EB">
        <w:rPr>
          <w:rFonts w:asciiTheme="majorHAnsi" w:hAnsiTheme="majorHAnsi"/>
          <w:szCs w:val="24"/>
        </w:rPr>
        <w:t>= Participating Facilities</w:t>
      </w:r>
    </w:p>
    <w:p w:rsidR="006E5CA0" w:rsidRPr="008A14EB" w:rsidRDefault="006E5CA0" w:rsidP="006E5CA0">
      <w:pPr>
        <w:numPr>
          <w:ilvl w:val="0"/>
          <w:numId w:val="2"/>
        </w:numPr>
        <w:spacing w:after="200"/>
        <w:contextualSpacing/>
        <w:rPr>
          <w:rFonts w:asciiTheme="majorHAnsi" w:hAnsiTheme="majorHAnsi"/>
          <w:b/>
          <w:szCs w:val="24"/>
        </w:rPr>
      </w:pPr>
      <w:r w:rsidRPr="008A14EB">
        <w:rPr>
          <w:rFonts w:asciiTheme="majorHAnsi" w:hAnsiTheme="majorHAnsi"/>
          <w:szCs w:val="24"/>
        </w:rPr>
        <w:t>F</w:t>
      </w:r>
      <w:r w:rsidRPr="008A14EB">
        <w:rPr>
          <w:rFonts w:asciiTheme="majorHAnsi" w:hAnsiTheme="majorHAnsi"/>
          <w:szCs w:val="24"/>
          <w:vertAlign w:val="subscript"/>
        </w:rPr>
        <w:t>C</w:t>
      </w:r>
      <w:r w:rsidRPr="008A14EB">
        <w:rPr>
          <w:rFonts w:asciiTheme="majorHAnsi" w:hAnsiTheme="majorHAnsi"/>
          <w:szCs w:val="24"/>
        </w:rPr>
        <w:t>= Cooperating Facilities</w:t>
      </w:r>
    </w:p>
    <w:p w:rsidR="006E5CA0" w:rsidRPr="008A14EB" w:rsidRDefault="006E5CA0" w:rsidP="006E5CA0">
      <w:pPr>
        <w:numPr>
          <w:ilvl w:val="0"/>
          <w:numId w:val="2"/>
        </w:numPr>
        <w:spacing w:after="200"/>
        <w:contextualSpacing/>
        <w:rPr>
          <w:rFonts w:asciiTheme="majorHAnsi" w:hAnsiTheme="majorHAnsi"/>
          <w:b/>
          <w:szCs w:val="24"/>
        </w:rPr>
      </w:pPr>
      <w:r w:rsidRPr="008A14EB">
        <w:rPr>
          <w:rFonts w:asciiTheme="majorHAnsi" w:hAnsiTheme="majorHAnsi"/>
          <w:szCs w:val="24"/>
        </w:rPr>
        <w:t>F</w:t>
      </w:r>
      <w:r w:rsidRPr="008A14EB">
        <w:rPr>
          <w:rFonts w:asciiTheme="majorHAnsi" w:hAnsiTheme="majorHAnsi"/>
          <w:szCs w:val="24"/>
          <w:vertAlign w:val="subscript"/>
        </w:rPr>
        <w:t>T</w:t>
      </w:r>
      <w:r w:rsidRPr="008A14EB">
        <w:rPr>
          <w:rFonts w:asciiTheme="majorHAnsi" w:hAnsiTheme="majorHAnsi"/>
          <w:szCs w:val="24"/>
        </w:rPr>
        <w:t>=Total Facilities in Sampling Frame</w:t>
      </w:r>
    </w:p>
    <w:p w:rsidR="006E5CA0" w:rsidRPr="009C6398" w:rsidRDefault="00A956E9" w:rsidP="006E5CA0">
      <w:pPr>
        <w:spacing w:after="200"/>
        <w:jc w:val="center"/>
        <w:rPr>
          <w:rFonts w:ascii="Calibri" w:eastAsia="Times New Roman" w:hAnsi="Calibri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Cs w:val="24"/>
                  <w:vertAlign w:val="subscript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  <w:vertAlign w:val="subscript"/>
                </w:rPr>
                <m:t>FP</m:t>
              </m:r>
            </m:sub>
          </m:sSub>
          <m:r>
            <m:rPr>
              <m:sty m:val="p"/>
            </m:rPr>
            <w:rPr>
              <w:rFonts w:ascii="Cambria Math" w:hAnsi="Cambria Math"/>
              <w:szCs w:val="24"/>
            </w:rPr>
            <m:t xml:space="preserve"> </m:t>
          </m:r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P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Cs w:val="24"/>
                    </w:rPr>
                    <m:t>T</m:t>
                  </m:r>
                </m:sub>
              </m:sSub>
            </m:den>
          </m:f>
        </m:oMath>
      </m:oMathPara>
    </w:p>
    <w:p w:rsidR="006E5CA0" w:rsidRPr="009C6398" w:rsidRDefault="00A956E9" w:rsidP="006E5CA0">
      <w:pPr>
        <w:spacing w:after="200"/>
        <w:jc w:val="center"/>
        <w:rPr>
          <w:rFonts w:ascii="Calibri" w:eastAsia="Times New Roman" w:hAnsi="Calibri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4"/>
                  <w:vertAlign w:val="subscript"/>
                </w:rPr>
                <m:t>R</m:t>
              </m:r>
            </m:e>
            <m:sub>
              <m:r>
                <w:rPr>
                  <w:rFonts w:ascii="Cambria Math" w:eastAsia="Times New Roman" w:hAnsi="Cambria Math"/>
                  <w:szCs w:val="24"/>
                  <w:vertAlign w:val="subscript"/>
                </w:rPr>
                <m:t>FC</m:t>
              </m:r>
            </m:sub>
          </m:sSub>
          <m:r>
            <m:rPr>
              <m:sty m:val="p"/>
            </m:rPr>
            <w:rPr>
              <w:rFonts w:ascii="Cambria Math" w:eastAsia="Times New Roman" w:hAnsi="Cambria Math"/>
              <w:szCs w:val="24"/>
            </w:rPr>
            <m:t xml:space="preserve"> </m:t>
          </m:r>
          <m:r>
            <w:rPr>
              <w:rFonts w:ascii="Cambria Math" w:eastAsia="Times New Roman" w:hAnsi="Cambria Math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</w:rPr>
                    <m:t>PC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/>
                      <w:i/>
                      <w:szCs w:val="24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="Times New Roman" w:hAnsi="Cambria Math"/>
                      <w:szCs w:val="24"/>
                    </w:rPr>
                    <m:t>T</m:t>
                  </m:r>
                </m:sub>
              </m:sSub>
            </m:den>
          </m:f>
        </m:oMath>
      </m:oMathPara>
    </w:p>
    <w:p w:rsidR="006E5CA0" w:rsidRDefault="006E5CA0" w:rsidP="006E5CA0">
      <w:pPr>
        <w:pStyle w:val="Subtitle"/>
        <w:rPr>
          <w:rStyle w:val="IntenseEmphasis"/>
        </w:rPr>
      </w:pPr>
      <w:bookmarkStart w:id="3" w:name="_Toc300224999"/>
      <w:r>
        <w:rPr>
          <w:rStyle w:val="IntenseEmphasis"/>
        </w:rPr>
        <w:t>Raw and Adjusted Patient Response Rates</w:t>
      </w:r>
      <w:bookmarkEnd w:id="3"/>
    </w:p>
    <w:p w:rsidR="006E5CA0" w:rsidRPr="009C6398" w:rsidRDefault="006E5CA0" w:rsidP="006E5CA0"/>
    <w:p w:rsidR="006E5CA0" w:rsidRPr="008A14EB" w:rsidRDefault="006E5CA0" w:rsidP="006E5CA0">
      <w:pPr>
        <w:numPr>
          <w:ilvl w:val="0"/>
          <w:numId w:val="1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I= All complete Interviews</w:t>
      </w:r>
    </w:p>
    <w:p w:rsidR="006E5CA0" w:rsidRPr="008A14EB" w:rsidRDefault="006E5CA0" w:rsidP="006E5CA0">
      <w:pPr>
        <w:numPr>
          <w:ilvl w:val="0"/>
          <w:numId w:val="1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P= All partially complete interviews</w:t>
      </w:r>
    </w:p>
    <w:p w:rsidR="006E5CA0" w:rsidRPr="008A14EB" w:rsidRDefault="006E5CA0" w:rsidP="006E5CA0">
      <w:pPr>
        <w:numPr>
          <w:ilvl w:val="0"/>
          <w:numId w:val="1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R= Refusals</w:t>
      </w:r>
    </w:p>
    <w:p w:rsidR="006E5CA0" w:rsidRPr="008A14EB" w:rsidRDefault="006E5CA0" w:rsidP="006E5CA0">
      <w:pPr>
        <w:numPr>
          <w:ilvl w:val="0"/>
          <w:numId w:val="1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NC= Non-Contacts</w:t>
      </w:r>
    </w:p>
    <w:p w:rsidR="006E5CA0" w:rsidRPr="008A14EB" w:rsidRDefault="006E5CA0" w:rsidP="006E5CA0">
      <w:pPr>
        <w:numPr>
          <w:ilvl w:val="0"/>
          <w:numId w:val="1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U= Cases of unknown eligibility</w:t>
      </w:r>
    </w:p>
    <w:p w:rsidR="006E5CA0" w:rsidRPr="008A14EB" w:rsidRDefault="006E5CA0" w:rsidP="006E5CA0">
      <w:pPr>
        <w:numPr>
          <w:ilvl w:val="0"/>
          <w:numId w:val="1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e= Estimated Eligibility Rate</w:t>
      </w:r>
    </w:p>
    <w:p w:rsidR="006E5CA0" w:rsidRPr="008A14EB" w:rsidRDefault="006E5CA0" w:rsidP="006E5CA0">
      <w:pPr>
        <w:numPr>
          <w:ilvl w:val="0"/>
          <w:numId w:val="1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e*U= Expected number of eligible individuals among those cases with unknown eligibility status</w:t>
      </w:r>
    </w:p>
    <w:p w:rsidR="006E5CA0" w:rsidRPr="008A14EB" w:rsidRDefault="006E5CA0" w:rsidP="006E5CA0">
      <w:pPr>
        <w:spacing w:after="200"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 xml:space="preserve">Formulas used for Raw Response Rates: </w:t>
      </w:r>
    </w:p>
    <w:p w:rsidR="006E5CA0" w:rsidRPr="009C6398" w:rsidRDefault="00A956E9" w:rsidP="006E5CA0">
      <w:pPr>
        <w:spacing w:after="200"/>
        <w:jc w:val="center"/>
        <w:rPr>
          <w:rFonts w:ascii="Calibri" w:eastAsia="Times New Roman" w:hAnsi="Calibri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RR</m:t>
              </m:r>
            </m:e>
            <m:sub>
              <m:r>
                <w:rPr>
                  <w:rFonts w:ascii="Cambria Math" w:hAnsi="Cambria Math"/>
                  <w:szCs w:val="24"/>
                </w:rPr>
                <m:t>1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 xml:space="preserve">(I+P) </m:t>
              </m:r>
            </m:num>
            <m:den>
              <m:r>
                <w:rPr>
                  <w:rFonts w:ascii="Cambria Math" w:hAnsi="Cambria Math"/>
                  <w:szCs w:val="24"/>
                </w:rPr>
                <m:t>(I+P+R+NC+U)</m:t>
              </m:r>
            </m:den>
          </m:f>
        </m:oMath>
      </m:oMathPara>
    </w:p>
    <w:p w:rsidR="006E5CA0" w:rsidRPr="009C6398" w:rsidRDefault="00A956E9" w:rsidP="006E5CA0">
      <w:pPr>
        <w:spacing w:after="200"/>
        <w:jc w:val="center"/>
        <w:rPr>
          <w:rFonts w:ascii="Calibri" w:eastAsia="Times New Roman" w:hAnsi="Calibri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4"/>
                </w:rPr>
                <m:t>RR</m:t>
              </m:r>
            </m:e>
            <m:sub>
              <m:r>
                <w:rPr>
                  <w:rFonts w:ascii="Cambria Math" w:eastAsia="Times New Roman" w:hAnsi="Cambria Math"/>
                  <w:szCs w:val="24"/>
                </w:rPr>
                <m:t>2</m:t>
              </m:r>
            </m:sub>
          </m:sSub>
          <m:r>
            <w:rPr>
              <w:rFonts w:ascii="Cambria Math" w:eastAsia="Times New Roman" w:hAnsi="Cambria Math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Cs w:val="24"/>
                </w:rPr>
                <m:t xml:space="preserve">(I) </m:t>
              </m:r>
            </m:num>
            <m:den>
              <m:r>
                <w:rPr>
                  <w:rFonts w:ascii="Cambria Math" w:eastAsia="Times New Roman" w:hAnsi="Cambria Math"/>
                  <w:szCs w:val="24"/>
                </w:rPr>
                <m:t>(I+P+R+NC+U)</m:t>
              </m:r>
            </m:den>
          </m:f>
        </m:oMath>
      </m:oMathPara>
    </w:p>
    <w:p w:rsidR="006E5CA0" w:rsidRPr="00023916" w:rsidRDefault="006E5CA0" w:rsidP="006E5CA0">
      <w:pPr>
        <w:spacing w:after="200"/>
        <w:rPr>
          <w:rFonts w:ascii="Calibri" w:eastAsia="Times New Roman" w:hAnsi="Calibri"/>
          <w:szCs w:val="24"/>
        </w:rPr>
      </w:pPr>
    </w:p>
    <w:p w:rsidR="006E5CA0" w:rsidRPr="00023916" w:rsidRDefault="006E5CA0" w:rsidP="006E5CA0">
      <w:pPr>
        <w:spacing w:after="200"/>
        <w:rPr>
          <w:rFonts w:ascii="Calibri" w:hAnsi="Calibri"/>
          <w:szCs w:val="24"/>
        </w:rPr>
      </w:pPr>
      <w:r w:rsidRPr="008A14EB">
        <w:rPr>
          <w:rFonts w:asciiTheme="majorHAnsi" w:hAnsiTheme="majorHAnsi"/>
          <w:szCs w:val="24"/>
        </w:rPr>
        <w:lastRenderedPageBreak/>
        <w:t>Formulas used for Adjusted Response Rates</w:t>
      </w:r>
      <w:r w:rsidRPr="00023916">
        <w:rPr>
          <w:rFonts w:ascii="Calibri" w:hAnsi="Calibri"/>
          <w:szCs w:val="24"/>
        </w:rPr>
        <w:t xml:space="preserve">: </w:t>
      </w:r>
    </w:p>
    <w:p w:rsidR="006E5CA0" w:rsidRPr="009C6398" w:rsidRDefault="00A956E9" w:rsidP="006E5CA0">
      <w:pPr>
        <w:spacing w:after="200"/>
        <w:jc w:val="center"/>
        <w:rPr>
          <w:rFonts w:ascii="Calibri" w:eastAsia="Times New Roman" w:hAnsi="Calibri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RR</m:t>
              </m:r>
            </m:e>
            <m:sub>
              <m:r>
                <w:rPr>
                  <w:rFonts w:ascii="Cambria Math" w:hAnsi="Cambria Math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 xml:space="preserve">(I+P) </m:t>
              </m:r>
            </m:num>
            <m:den>
              <m:r>
                <w:rPr>
                  <w:rFonts w:ascii="Cambria Math" w:hAnsi="Cambria Math"/>
                  <w:szCs w:val="24"/>
                </w:rPr>
                <m:t>(I+P+R+NC+e*U)</m:t>
              </m:r>
            </m:den>
          </m:f>
        </m:oMath>
      </m:oMathPara>
    </w:p>
    <w:p w:rsidR="006E5CA0" w:rsidRPr="009C6398" w:rsidRDefault="00A956E9" w:rsidP="006E5CA0">
      <w:pPr>
        <w:spacing w:after="200"/>
        <w:jc w:val="center"/>
        <w:rPr>
          <w:rFonts w:ascii="Calibri" w:eastAsia="Times New Roman" w:hAnsi="Calibri"/>
          <w:szCs w:val="24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eastAsia="Times New Roman" w:hAnsi="Cambria Math"/>
                  <w:szCs w:val="24"/>
                </w:rPr>
                <m:t>RR</m:t>
              </m:r>
            </m:e>
            <m:sub>
              <m:r>
                <w:rPr>
                  <w:rFonts w:ascii="Cambria Math" w:eastAsia="Times New Roman" w:hAnsi="Cambria Math"/>
                  <w:szCs w:val="24"/>
                </w:rPr>
                <m:t>4</m:t>
              </m:r>
            </m:sub>
          </m:sSub>
          <m:r>
            <w:rPr>
              <w:rFonts w:ascii="Cambria Math" w:eastAsia="Times New Roman" w:hAnsi="Cambria Math"/>
              <w:szCs w:val="24"/>
            </w:rPr>
            <m:t>=</m:t>
          </m:r>
          <m:f>
            <m:fPr>
              <m:ctrlPr>
                <w:rPr>
                  <w:rFonts w:ascii="Cambria Math" w:eastAsia="Times New Roman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eastAsia="Times New Roman" w:hAnsi="Cambria Math"/>
                  <w:szCs w:val="24"/>
                </w:rPr>
                <m:t xml:space="preserve">(I) </m:t>
              </m:r>
            </m:num>
            <m:den>
              <m:r>
                <w:rPr>
                  <w:rFonts w:ascii="Cambria Math" w:eastAsia="Times New Roman" w:hAnsi="Cambria Math"/>
                  <w:szCs w:val="24"/>
                </w:rPr>
                <m:t>(I+P+R+NC+e*U)</m:t>
              </m:r>
            </m:den>
          </m:f>
        </m:oMath>
      </m:oMathPara>
    </w:p>
    <w:p w:rsidR="006E5CA0" w:rsidRPr="008A14EB" w:rsidRDefault="006E5CA0" w:rsidP="006E5CA0">
      <w:pPr>
        <w:spacing w:after="200"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 xml:space="preserve">Formulas for Combined Response Rate: </w:t>
      </w:r>
    </w:p>
    <w:p w:rsidR="006E5CA0" w:rsidRPr="008A14EB" w:rsidRDefault="006E5CA0" w:rsidP="006E5CA0">
      <w:pPr>
        <w:numPr>
          <w:ilvl w:val="0"/>
          <w:numId w:val="3"/>
        </w:numPr>
        <w:spacing w:after="200"/>
        <w:contextualSpacing/>
        <w:rPr>
          <w:rFonts w:asciiTheme="majorHAnsi" w:hAnsiTheme="majorHAnsi"/>
          <w:szCs w:val="24"/>
        </w:rPr>
      </w:pPr>
      <w:r w:rsidRPr="008A14EB">
        <w:rPr>
          <w:rFonts w:asciiTheme="majorHAnsi" w:hAnsiTheme="majorHAnsi"/>
          <w:szCs w:val="24"/>
        </w:rPr>
        <w:t>R</w:t>
      </w:r>
      <w:r w:rsidRPr="008A14EB">
        <w:rPr>
          <w:rFonts w:asciiTheme="majorHAnsi" w:hAnsiTheme="majorHAnsi"/>
          <w:szCs w:val="24"/>
          <w:vertAlign w:val="subscript"/>
        </w:rPr>
        <w:t>C</w:t>
      </w:r>
      <w:r w:rsidRPr="008A14EB">
        <w:rPr>
          <w:rFonts w:asciiTheme="majorHAnsi" w:hAnsiTheme="majorHAnsi"/>
          <w:szCs w:val="24"/>
        </w:rPr>
        <w:t>= Combined Response Rate</w:t>
      </w:r>
    </w:p>
    <w:p w:rsidR="006E5CA0" w:rsidRPr="008A14EB" w:rsidRDefault="006E5CA0" w:rsidP="006E5CA0">
      <w:pPr>
        <w:numPr>
          <w:ilvl w:val="0"/>
          <w:numId w:val="3"/>
        </w:numPr>
        <w:spacing w:after="200"/>
        <w:contextualSpacing/>
        <w:rPr>
          <w:rFonts w:asciiTheme="majorHAnsi" w:hAnsiTheme="majorHAnsi"/>
          <w:b/>
          <w:szCs w:val="24"/>
        </w:rPr>
      </w:pPr>
      <w:r w:rsidRPr="008A14EB">
        <w:rPr>
          <w:rFonts w:asciiTheme="majorHAnsi" w:hAnsiTheme="majorHAnsi"/>
          <w:szCs w:val="24"/>
        </w:rPr>
        <w:t>R</w:t>
      </w:r>
      <w:r w:rsidRPr="008A14EB">
        <w:rPr>
          <w:rFonts w:asciiTheme="majorHAnsi" w:hAnsiTheme="majorHAnsi"/>
          <w:szCs w:val="24"/>
          <w:vertAlign w:val="subscript"/>
        </w:rPr>
        <w:t>FP</w:t>
      </w:r>
      <w:r w:rsidRPr="008A14EB">
        <w:rPr>
          <w:rFonts w:asciiTheme="majorHAnsi" w:hAnsiTheme="majorHAnsi"/>
          <w:szCs w:val="24"/>
        </w:rPr>
        <w:t xml:space="preserve"> = Facility Participation Rate</w:t>
      </w:r>
    </w:p>
    <w:p w:rsidR="006E5CA0" w:rsidRPr="00023916" w:rsidRDefault="006E5CA0" w:rsidP="006E5CA0">
      <w:pPr>
        <w:spacing w:after="200"/>
        <w:ind w:left="720"/>
        <w:contextualSpacing/>
        <w:rPr>
          <w:rFonts w:ascii="Calibri" w:hAnsi="Calibri"/>
          <w:szCs w:val="24"/>
        </w:rPr>
      </w:pPr>
    </w:p>
    <w:p w:rsidR="006E5CA0" w:rsidRPr="009C6398" w:rsidRDefault="00A956E9" w:rsidP="006E5CA0">
      <w:pPr>
        <w:spacing w:after="200"/>
        <w:contextualSpacing/>
        <w:jc w:val="center"/>
        <w:rPr>
          <w:rFonts w:ascii="Calibri" w:hAnsi="Calibri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(R</m:t>
              </m:r>
            </m:e>
            <m:sub>
              <m:r>
                <w:rPr>
                  <w:rFonts w:ascii="Cambria Math" w:hAnsi="Cambria Math"/>
                  <w:szCs w:val="24"/>
                </w:rPr>
                <m:t>FP</m:t>
              </m:r>
            </m:sub>
          </m:sSub>
          <m:r>
            <w:rPr>
              <w:rFonts w:ascii="Cambria Math" w:hAnsi="Cambria Math"/>
              <w:szCs w:val="24"/>
            </w:rPr>
            <m:t>)*(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RR</m:t>
              </m:r>
            </m:e>
            <m:sub>
              <m:r>
                <w:rPr>
                  <w:rFonts w:ascii="Cambria Math" w:hAnsi="Cambria Math"/>
                  <w:szCs w:val="24"/>
                </w:rPr>
                <m:t>3</m:t>
              </m:r>
            </m:sub>
          </m:sSub>
          <m:r>
            <w:rPr>
              <w:rFonts w:ascii="Cambria Math" w:hAnsi="Cambria Math"/>
              <w:szCs w:val="24"/>
            </w:rPr>
            <m:t>)</m:t>
          </m:r>
        </m:oMath>
      </m:oMathPara>
    </w:p>
    <w:p w:rsidR="006E5CA0" w:rsidRPr="00023916" w:rsidRDefault="006E5CA0" w:rsidP="006E5CA0">
      <w:pPr>
        <w:spacing w:after="200"/>
        <w:rPr>
          <w:rFonts w:ascii="Calibri" w:hAnsi="Calibri"/>
          <w:szCs w:val="24"/>
        </w:rPr>
      </w:pPr>
      <w:r w:rsidRPr="00023916">
        <w:rPr>
          <w:rFonts w:ascii="Calibri" w:hAnsi="Calibri"/>
          <w:szCs w:val="24"/>
        </w:rPr>
        <w:t xml:space="preserve"> </w:t>
      </w:r>
    </w:p>
    <w:p w:rsidR="006E5CA0" w:rsidRPr="009C6398" w:rsidRDefault="00A956E9" w:rsidP="006E5CA0">
      <w:pPr>
        <w:spacing w:after="200"/>
        <w:jc w:val="center"/>
        <w:rPr>
          <w:rFonts w:ascii="Calibri" w:eastAsia="Times New Roman" w:hAnsi="Calibri"/>
          <w:szCs w:val="24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</m:t>
              </m:r>
            </m:e>
            <m:sub>
              <m:r>
                <w:rPr>
                  <w:rFonts w:ascii="Cambria Math" w:hAnsi="Cambria Math"/>
                  <w:szCs w:val="24"/>
                </w:rPr>
                <m:t>C</m:t>
              </m:r>
            </m:sub>
          </m:sSub>
          <m:r>
            <w:rPr>
              <w:rFonts w:ascii="Cambria Math" w:hAnsi="Cambria Math"/>
              <w:szCs w:val="24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(R</m:t>
              </m:r>
            </m:e>
            <m:sub>
              <m:r>
                <w:rPr>
                  <w:rFonts w:ascii="Cambria Math" w:hAnsi="Cambria Math"/>
                  <w:szCs w:val="24"/>
                </w:rPr>
                <m:t>FP</m:t>
              </m:r>
            </m:sub>
          </m:sSub>
          <m:r>
            <w:rPr>
              <w:rFonts w:ascii="Cambria Math" w:hAnsi="Cambria Math"/>
              <w:szCs w:val="24"/>
            </w:rPr>
            <m:t>)*(</m:t>
          </m:r>
          <m:sSub>
            <m:sSubPr>
              <m:ctrlPr>
                <w:rPr>
                  <w:rFonts w:ascii="Cambria Math" w:hAnsi="Cambria Math"/>
                  <w:i/>
                  <w:szCs w:val="24"/>
                </w:rPr>
              </m:ctrlPr>
            </m:sSubPr>
            <m:e>
              <m:r>
                <w:rPr>
                  <w:rFonts w:ascii="Cambria Math" w:hAnsi="Cambria Math"/>
                  <w:szCs w:val="24"/>
                </w:rPr>
                <m:t>RR</m:t>
              </m:r>
            </m:e>
            <m:sub>
              <m:r>
                <w:rPr>
                  <w:rFonts w:ascii="Cambria Math" w:hAnsi="Cambria Math"/>
                  <w:szCs w:val="24"/>
                </w:rPr>
                <m:t>4</m:t>
              </m:r>
            </m:sub>
          </m:sSub>
          <m:r>
            <w:rPr>
              <w:rFonts w:ascii="Cambria Math" w:hAnsi="Cambria Math"/>
              <w:szCs w:val="24"/>
            </w:rPr>
            <m:t>)</m:t>
          </m:r>
        </m:oMath>
      </m:oMathPara>
    </w:p>
    <w:p w:rsidR="006E5CA0" w:rsidRDefault="006E5CA0"/>
    <w:sectPr w:rsidR="006E5CA0" w:rsidSect="00980C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14FD5"/>
    <w:multiLevelType w:val="hybridMultilevel"/>
    <w:tmpl w:val="EBC0C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160F6C"/>
    <w:multiLevelType w:val="hybridMultilevel"/>
    <w:tmpl w:val="A16AE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B2D6B"/>
    <w:multiLevelType w:val="hybridMultilevel"/>
    <w:tmpl w:val="25383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6E5CA0"/>
    <w:rsid w:val="006E5CA0"/>
    <w:rsid w:val="00980C20"/>
    <w:rsid w:val="00A956E9"/>
    <w:rsid w:val="00F4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CA0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6E5CA0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E5CA0"/>
    <w:rPr>
      <w:rFonts w:ascii="Cambria" w:eastAsia="Times New Roman" w:hAnsi="Cambria" w:cs="Times New Roman"/>
      <w:sz w:val="24"/>
      <w:szCs w:val="24"/>
    </w:rPr>
  </w:style>
  <w:style w:type="character" w:styleId="IntenseEmphasis">
    <w:name w:val="Intense Emphasis"/>
    <w:uiPriority w:val="21"/>
    <w:qFormat/>
    <w:rsid w:val="006E5CA0"/>
    <w:rPr>
      <w:b/>
      <w:bCs/>
      <w:i/>
      <w:i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C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C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Company>CDC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Beer</dc:creator>
  <cp:keywords/>
  <dc:description/>
  <cp:lastModifiedBy>akj8</cp:lastModifiedBy>
  <cp:revision>3</cp:revision>
  <dcterms:created xsi:type="dcterms:W3CDTF">2011-10-07T14:52:00Z</dcterms:created>
  <dcterms:modified xsi:type="dcterms:W3CDTF">2011-12-20T18:12:00Z</dcterms:modified>
</cp:coreProperties>
</file>