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C2" w:rsidRDefault="005C3DC2" w:rsidP="00940F3C">
      <w:pPr>
        <w:ind w:left="1440" w:firstLine="720"/>
      </w:pPr>
      <w:bookmarkStart w:id="0" w:name="_GoBack"/>
      <w:bookmarkEnd w:id="0"/>
    </w:p>
    <w:p w:rsidR="005C3DC2" w:rsidRDefault="005C3DC2" w:rsidP="00940F3C">
      <w:pPr>
        <w:ind w:left="1440" w:firstLine="720"/>
      </w:pPr>
    </w:p>
    <w:p w:rsidR="005C3DC2" w:rsidRDefault="005C3DC2" w:rsidP="00940F3C">
      <w:pPr>
        <w:ind w:left="1440" w:firstLine="720"/>
      </w:pPr>
    </w:p>
    <w:p w:rsidR="00145E2B" w:rsidRDefault="00CA02BF" w:rsidP="00940F3C">
      <w:pPr>
        <w:ind w:left="1440" w:firstLine="720"/>
        <w:jc w:val="center"/>
      </w:pPr>
      <w:r>
        <w:t xml:space="preserve">       </w:t>
      </w:r>
    </w:p>
    <w:p w:rsidR="00145E2B" w:rsidRPr="00591BB3" w:rsidRDefault="00145E2B" w:rsidP="00940F3C">
      <w:pPr>
        <w:jc w:val="center"/>
        <w:rPr>
          <w:b/>
          <w:sz w:val="28"/>
          <w:szCs w:val="28"/>
        </w:rPr>
      </w:pPr>
      <w:r w:rsidRPr="00591BB3">
        <w:rPr>
          <w:b/>
          <w:sz w:val="28"/>
          <w:szCs w:val="28"/>
        </w:rPr>
        <w:t>SUPPORTING STATEMENT</w:t>
      </w:r>
    </w:p>
    <w:p w:rsidR="00145E2B" w:rsidRPr="00591BB3" w:rsidRDefault="00145E2B" w:rsidP="00940F3C">
      <w:pPr>
        <w:jc w:val="center"/>
        <w:rPr>
          <w:b/>
          <w:sz w:val="28"/>
          <w:szCs w:val="28"/>
        </w:rPr>
      </w:pPr>
    </w:p>
    <w:p w:rsidR="00145E2B" w:rsidRPr="00591BB3" w:rsidRDefault="00145E2B" w:rsidP="00940F3C">
      <w:pPr>
        <w:jc w:val="center"/>
        <w:rPr>
          <w:sz w:val="28"/>
          <w:szCs w:val="28"/>
        </w:rPr>
      </w:pPr>
      <w:r w:rsidRPr="00591BB3">
        <w:rPr>
          <w:b/>
          <w:sz w:val="28"/>
          <w:szCs w:val="28"/>
        </w:rPr>
        <w:t xml:space="preserve">Part </w:t>
      </w:r>
      <w:r w:rsidR="001D3227" w:rsidRPr="00591BB3">
        <w:rPr>
          <w:b/>
          <w:sz w:val="28"/>
          <w:szCs w:val="28"/>
        </w:rPr>
        <w:t>B</w:t>
      </w:r>
    </w:p>
    <w:p w:rsidR="00145E2B" w:rsidRPr="00591BB3" w:rsidRDefault="00145E2B" w:rsidP="00940F3C">
      <w:pPr>
        <w:jc w:val="center"/>
        <w:rPr>
          <w:sz w:val="28"/>
          <w:szCs w:val="28"/>
        </w:rPr>
      </w:pPr>
    </w:p>
    <w:p w:rsidR="00145E2B" w:rsidRPr="00591BB3" w:rsidRDefault="00145E2B" w:rsidP="00940F3C">
      <w:pPr>
        <w:ind w:left="1440" w:firstLine="720"/>
        <w:jc w:val="center"/>
        <w:rPr>
          <w:sz w:val="28"/>
          <w:szCs w:val="28"/>
        </w:rPr>
      </w:pPr>
    </w:p>
    <w:p w:rsidR="00145E2B" w:rsidRPr="00591BB3" w:rsidRDefault="00145E2B" w:rsidP="00940F3C">
      <w:pPr>
        <w:ind w:left="1440" w:firstLine="720"/>
        <w:jc w:val="center"/>
        <w:rPr>
          <w:sz w:val="28"/>
          <w:szCs w:val="28"/>
        </w:rPr>
      </w:pPr>
    </w:p>
    <w:p w:rsidR="00145E2B" w:rsidRPr="00591BB3" w:rsidRDefault="00145E2B" w:rsidP="00940F3C">
      <w:pPr>
        <w:ind w:left="1440" w:firstLine="720"/>
        <w:jc w:val="center"/>
        <w:rPr>
          <w:sz w:val="28"/>
          <w:szCs w:val="28"/>
        </w:rPr>
      </w:pPr>
    </w:p>
    <w:p w:rsidR="00145E2B" w:rsidRPr="00591BB3" w:rsidRDefault="00145E2B" w:rsidP="00940F3C">
      <w:pPr>
        <w:ind w:left="1440" w:firstLine="720"/>
        <w:jc w:val="center"/>
        <w:rPr>
          <w:sz w:val="28"/>
          <w:szCs w:val="28"/>
        </w:rPr>
      </w:pPr>
    </w:p>
    <w:p w:rsidR="00145E2B" w:rsidRPr="00591BB3" w:rsidRDefault="00145E2B" w:rsidP="00940F3C">
      <w:pPr>
        <w:ind w:left="1440" w:firstLine="720"/>
        <w:jc w:val="center"/>
        <w:rPr>
          <w:sz w:val="28"/>
          <w:szCs w:val="28"/>
        </w:rPr>
      </w:pPr>
    </w:p>
    <w:p w:rsidR="005042DE" w:rsidRPr="00591BB3" w:rsidRDefault="005042DE" w:rsidP="00940F3C">
      <w:pPr>
        <w:jc w:val="center"/>
        <w:rPr>
          <w:sz w:val="28"/>
          <w:szCs w:val="28"/>
        </w:rPr>
      </w:pPr>
      <w:r w:rsidRPr="00591BB3">
        <w:rPr>
          <w:sz w:val="28"/>
          <w:szCs w:val="28"/>
        </w:rPr>
        <w:t>Use of Deliberative Methods to Enhance Public Engagement in the Agency for Healthcare Research and Quality’s (AHRQ’s) Effective Healthcare (EHC) Program and Comparative Effectiveness Research (CER) Enterprise</w:t>
      </w:r>
    </w:p>
    <w:p w:rsidR="00145E2B" w:rsidRPr="00591BB3" w:rsidRDefault="00145E2B" w:rsidP="00940F3C">
      <w:pPr>
        <w:jc w:val="center"/>
        <w:rPr>
          <w:sz w:val="28"/>
          <w:szCs w:val="28"/>
        </w:rPr>
      </w:pPr>
    </w:p>
    <w:p w:rsidR="00145E2B" w:rsidRPr="00591BB3" w:rsidRDefault="00145E2B" w:rsidP="00940F3C">
      <w:pPr>
        <w:jc w:val="center"/>
        <w:rPr>
          <w:color w:val="FF0000"/>
          <w:sz w:val="28"/>
          <w:szCs w:val="28"/>
        </w:rPr>
      </w:pPr>
    </w:p>
    <w:p w:rsidR="00145E2B" w:rsidRPr="00591BB3" w:rsidRDefault="00145E2B" w:rsidP="00940F3C">
      <w:pPr>
        <w:jc w:val="center"/>
        <w:rPr>
          <w:color w:val="FF0000"/>
          <w:sz w:val="28"/>
          <w:szCs w:val="28"/>
        </w:rPr>
      </w:pPr>
    </w:p>
    <w:p w:rsidR="00145E2B" w:rsidRPr="00591BB3" w:rsidRDefault="00145E2B" w:rsidP="00940F3C">
      <w:pPr>
        <w:jc w:val="center"/>
        <w:rPr>
          <w:color w:val="FF0000"/>
          <w:sz w:val="28"/>
          <w:szCs w:val="28"/>
        </w:rPr>
      </w:pPr>
    </w:p>
    <w:p w:rsidR="00145E2B" w:rsidRPr="00591BB3" w:rsidRDefault="004E4CAE" w:rsidP="00940F3C">
      <w:pPr>
        <w:jc w:val="center"/>
        <w:rPr>
          <w:sz w:val="28"/>
          <w:szCs w:val="28"/>
        </w:rPr>
      </w:pPr>
      <w:r w:rsidRPr="00591BB3">
        <w:rPr>
          <w:sz w:val="28"/>
          <w:szCs w:val="28"/>
        </w:rPr>
        <w:t>June 1</w:t>
      </w:r>
      <w:r w:rsidR="00591BB3">
        <w:rPr>
          <w:sz w:val="28"/>
          <w:szCs w:val="28"/>
        </w:rPr>
        <w:t>5</w:t>
      </w:r>
      <w:r w:rsidRPr="00591BB3">
        <w:rPr>
          <w:sz w:val="28"/>
          <w:szCs w:val="28"/>
        </w:rPr>
        <w:t>, 2012</w:t>
      </w:r>
    </w:p>
    <w:p w:rsidR="00145E2B" w:rsidRPr="00591BB3" w:rsidRDefault="00145E2B" w:rsidP="00940F3C">
      <w:pPr>
        <w:jc w:val="center"/>
        <w:rPr>
          <w:sz w:val="28"/>
          <w:szCs w:val="28"/>
        </w:rPr>
      </w:pPr>
    </w:p>
    <w:p w:rsidR="00145E2B" w:rsidRPr="00591BB3" w:rsidRDefault="00145E2B" w:rsidP="00940F3C">
      <w:pPr>
        <w:jc w:val="center"/>
        <w:rPr>
          <w:sz w:val="28"/>
          <w:szCs w:val="28"/>
        </w:rPr>
      </w:pPr>
    </w:p>
    <w:p w:rsidR="00145E2B" w:rsidRPr="00591BB3" w:rsidRDefault="00145E2B" w:rsidP="00940F3C">
      <w:pPr>
        <w:jc w:val="center"/>
        <w:rPr>
          <w:sz w:val="28"/>
          <w:szCs w:val="28"/>
        </w:rPr>
      </w:pPr>
    </w:p>
    <w:p w:rsidR="00145E2B" w:rsidRPr="00591BB3" w:rsidRDefault="00145E2B" w:rsidP="00940F3C">
      <w:pPr>
        <w:jc w:val="center"/>
        <w:rPr>
          <w:sz w:val="28"/>
          <w:szCs w:val="28"/>
        </w:rPr>
      </w:pPr>
    </w:p>
    <w:p w:rsidR="00145E2B" w:rsidRPr="00591BB3" w:rsidRDefault="00145E2B" w:rsidP="00940F3C">
      <w:pPr>
        <w:jc w:val="center"/>
        <w:rPr>
          <w:sz w:val="28"/>
          <w:szCs w:val="28"/>
        </w:rPr>
      </w:pPr>
    </w:p>
    <w:p w:rsidR="00145E2B" w:rsidRPr="00591BB3" w:rsidRDefault="00145E2B" w:rsidP="00940F3C">
      <w:pPr>
        <w:jc w:val="center"/>
        <w:rPr>
          <w:sz w:val="28"/>
          <w:szCs w:val="28"/>
        </w:rPr>
      </w:pPr>
    </w:p>
    <w:p w:rsidR="00145E2B" w:rsidRPr="00591BB3" w:rsidRDefault="00145E2B" w:rsidP="00940F3C">
      <w:pPr>
        <w:jc w:val="center"/>
        <w:rPr>
          <w:sz w:val="28"/>
          <w:szCs w:val="28"/>
        </w:rPr>
      </w:pPr>
      <w:r w:rsidRPr="00591BB3">
        <w:rPr>
          <w:sz w:val="28"/>
          <w:szCs w:val="28"/>
        </w:rPr>
        <w:t>Agency for Healthcare Research and Quality (AHRQ)</w:t>
      </w:r>
    </w:p>
    <w:p w:rsidR="005C3DC2" w:rsidRPr="00591BB3" w:rsidRDefault="005C3DC2" w:rsidP="00940F3C">
      <w:pPr>
        <w:ind w:left="1440" w:firstLine="720"/>
        <w:rPr>
          <w:color w:val="FF0000"/>
          <w:sz w:val="32"/>
          <w:szCs w:val="32"/>
        </w:rPr>
      </w:pPr>
    </w:p>
    <w:p w:rsidR="005C3DC2" w:rsidRPr="00591BB3" w:rsidRDefault="005C3DC2" w:rsidP="00940F3C">
      <w:pPr>
        <w:rPr>
          <w:color w:val="0000FF"/>
          <w:sz w:val="32"/>
          <w:szCs w:val="32"/>
        </w:rPr>
      </w:pPr>
    </w:p>
    <w:p w:rsidR="005C3DC2" w:rsidRPr="00591BB3" w:rsidRDefault="005C3DC2" w:rsidP="00940F3C">
      <w:pPr>
        <w:rPr>
          <w:color w:val="0000FF"/>
          <w:sz w:val="32"/>
          <w:szCs w:val="32"/>
        </w:rPr>
      </w:pPr>
    </w:p>
    <w:p w:rsidR="005C3DC2" w:rsidRPr="00591BB3" w:rsidRDefault="005C3DC2" w:rsidP="00940F3C">
      <w:pPr>
        <w:rPr>
          <w:color w:val="0000FF"/>
          <w:sz w:val="32"/>
          <w:szCs w:val="32"/>
        </w:rPr>
      </w:pPr>
    </w:p>
    <w:p w:rsidR="00761607" w:rsidRPr="00591BB3" w:rsidRDefault="00145E2B" w:rsidP="00940F3C">
      <w:pPr>
        <w:rPr>
          <w:b/>
        </w:rPr>
      </w:pPr>
      <w:r w:rsidRPr="00591BB3">
        <w:rPr>
          <w:sz w:val="32"/>
          <w:szCs w:val="32"/>
        </w:rPr>
        <w:br w:type="page"/>
      </w:r>
    </w:p>
    <w:p w:rsidR="00761607" w:rsidRPr="00591BB3" w:rsidRDefault="00761607" w:rsidP="00940F3C">
      <w:pPr>
        <w:jc w:val="center"/>
        <w:rPr>
          <w:rFonts w:ascii="Arial" w:hAnsi="Arial" w:cs="Arial"/>
          <w:b/>
          <w:sz w:val="28"/>
          <w:szCs w:val="28"/>
        </w:rPr>
      </w:pPr>
      <w:r w:rsidRPr="00591BB3">
        <w:rPr>
          <w:rFonts w:ascii="Arial" w:hAnsi="Arial" w:cs="Arial"/>
          <w:b/>
          <w:sz w:val="28"/>
          <w:szCs w:val="28"/>
        </w:rPr>
        <w:lastRenderedPageBreak/>
        <w:t xml:space="preserve">Table of </w:t>
      </w:r>
      <w:r w:rsidR="00E82349" w:rsidRPr="00591BB3">
        <w:rPr>
          <w:rFonts w:ascii="Arial" w:hAnsi="Arial" w:cs="Arial"/>
          <w:b/>
          <w:sz w:val="28"/>
          <w:szCs w:val="28"/>
        </w:rPr>
        <w:t>C</w:t>
      </w:r>
      <w:r w:rsidRPr="00591BB3">
        <w:rPr>
          <w:rFonts w:ascii="Arial" w:hAnsi="Arial" w:cs="Arial"/>
          <w:b/>
          <w:sz w:val="28"/>
          <w:szCs w:val="28"/>
        </w:rPr>
        <w:t>ontents</w:t>
      </w:r>
    </w:p>
    <w:p w:rsidR="00A60490" w:rsidRPr="00591BB3" w:rsidRDefault="00A60490" w:rsidP="00940F3C">
      <w:pPr>
        <w:rPr>
          <w:b/>
        </w:rPr>
      </w:pPr>
    </w:p>
    <w:p w:rsidR="006117A0" w:rsidRPr="00591BB3" w:rsidRDefault="00944F48"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caps w:val="0"/>
          <w:smallCaps/>
          <w:sz w:val="24"/>
        </w:rPr>
        <w:fldChar w:fldCharType="begin"/>
      </w:r>
      <w:r w:rsidR="00D205E2" w:rsidRPr="00591BB3">
        <w:rPr>
          <w:b w:val="0"/>
          <w:caps w:val="0"/>
          <w:smallCaps/>
          <w:sz w:val="24"/>
        </w:rPr>
        <w:instrText xml:space="preserve"> TOC \o "1-1" \u </w:instrText>
      </w:r>
      <w:r w:rsidRPr="00591BB3">
        <w:rPr>
          <w:b w:val="0"/>
          <w:caps w:val="0"/>
          <w:smallCaps/>
          <w:sz w:val="24"/>
        </w:rPr>
        <w:fldChar w:fldCharType="separate"/>
      </w:r>
      <w:r w:rsidR="00F23C54" w:rsidRPr="00591BB3">
        <w:rPr>
          <w:b w:val="0"/>
          <w:sz w:val="24"/>
        </w:rPr>
        <w:t>B.</w:t>
      </w:r>
      <w:r w:rsidR="00F23C54" w:rsidRPr="00591BB3">
        <w:rPr>
          <w:rFonts w:asciiTheme="minorHAnsi" w:eastAsiaTheme="minorEastAsia" w:hAnsiTheme="minorHAnsi" w:cstheme="minorBidi"/>
          <w:b w:val="0"/>
          <w:caps w:val="0"/>
          <w:sz w:val="24"/>
        </w:rPr>
        <w:tab/>
      </w:r>
      <w:r w:rsidR="00F23C54" w:rsidRPr="00591BB3">
        <w:rPr>
          <w:b w:val="0"/>
          <w:sz w:val="24"/>
        </w:rPr>
        <w:t>Collections of Information Employing Statistical Methods</w:t>
      </w:r>
      <w:r w:rsidR="00F23C54" w:rsidRPr="00591BB3">
        <w:rPr>
          <w:b w:val="0"/>
          <w:sz w:val="24"/>
        </w:rPr>
        <w:tab/>
      </w:r>
      <w:r w:rsidRPr="00591BB3">
        <w:rPr>
          <w:b w:val="0"/>
          <w:sz w:val="24"/>
        </w:rPr>
        <w:fldChar w:fldCharType="begin"/>
      </w:r>
      <w:r w:rsidR="00F23C54" w:rsidRPr="00591BB3">
        <w:rPr>
          <w:b w:val="0"/>
          <w:sz w:val="24"/>
        </w:rPr>
        <w:instrText xml:space="preserve"> PAGEREF _Toc302645951 \h </w:instrText>
      </w:r>
      <w:r w:rsidRPr="00591BB3">
        <w:rPr>
          <w:b w:val="0"/>
          <w:sz w:val="24"/>
        </w:rPr>
      </w:r>
      <w:r w:rsidRPr="00591BB3">
        <w:rPr>
          <w:b w:val="0"/>
          <w:sz w:val="24"/>
        </w:rPr>
        <w:fldChar w:fldCharType="separate"/>
      </w:r>
      <w:r w:rsidR="00591BB3">
        <w:rPr>
          <w:b w:val="0"/>
          <w:sz w:val="24"/>
        </w:rPr>
        <w:t>1</w:t>
      </w:r>
      <w:r w:rsidRPr="00591BB3">
        <w:rPr>
          <w:b w:val="0"/>
          <w:sz w:val="24"/>
        </w:rPr>
        <w:fldChar w:fldCharType="end"/>
      </w:r>
    </w:p>
    <w:p w:rsidR="006117A0" w:rsidRPr="00591BB3" w:rsidRDefault="00F23C54"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sz w:val="24"/>
        </w:rPr>
        <w:t>1.</w:t>
      </w:r>
      <w:r w:rsidRPr="00591BB3">
        <w:rPr>
          <w:rFonts w:asciiTheme="minorHAnsi" w:eastAsiaTheme="minorEastAsia" w:hAnsiTheme="minorHAnsi" w:cstheme="minorBidi"/>
          <w:b w:val="0"/>
          <w:caps w:val="0"/>
          <w:sz w:val="24"/>
        </w:rPr>
        <w:tab/>
      </w:r>
      <w:r w:rsidRPr="00591BB3">
        <w:rPr>
          <w:b w:val="0"/>
          <w:sz w:val="24"/>
        </w:rPr>
        <w:t>Respondent universe and sampling methods</w:t>
      </w:r>
      <w:r w:rsidRPr="00591BB3">
        <w:rPr>
          <w:b w:val="0"/>
          <w:sz w:val="24"/>
        </w:rPr>
        <w:tab/>
      </w:r>
      <w:r w:rsidR="00944F48" w:rsidRPr="00591BB3">
        <w:rPr>
          <w:b w:val="0"/>
          <w:sz w:val="24"/>
        </w:rPr>
        <w:fldChar w:fldCharType="begin"/>
      </w:r>
      <w:r w:rsidRPr="00591BB3">
        <w:rPr>
          <w:b w:val="0"/>
          <w:sz w:val="24"/>
        </w:rPr>
        <w:instrText xml:space="preserve"> PAGEREF _Toc302645952 \h </w:instrText>
      </w:r>
      <w:r w:rsidR="00944F48" w:rsidRPr="00591BB3">
        <w:rPr>
          <w:b w:val="0"/>
          <w:sz w:val="24"/>
        </w:rPr>
      </w:r>
      <w:r w:rsidR="00944F48" w:rsidRPr="00591BB3">
        <w:rPr>
          <w:b w:val="0"/>
          <w:sz w:val="24"/>
        </w:rPr>
        <w:fldChar w:fldCharType="separate"/>
      </w:r>
      <w:r w:rsidR="00591BB3">
        <w:rPr>
          <w:b w:val="0"/>
          <w:sz w:val="24"/>
        </w:rPr>
        <w:t>1</w:t>
      </w:r>
      <w:r w:rsidR="00944F48" w:rsidRPr="00591BB3">
        <w:rPr>
          <w:b w:val="0"/>
          <w:sz w:val="24"/>
        </w:rPr>
        <w:fldChar w:fldCharType="end"/>
      </w:r>
    </w:p>
    <w:p w:rsidR="006117A0" w:rsidRPr="00591BB3" w:rsidRDefault="00F23C54"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sz w:val="24"/>
        </w:rPr>
        <w:t>2.</w:t>
      </w:r>
      <w:r w:rsidRPr="00591BB3">
        <w:rPr>
          <w:rFonts w:asciiTheme="minorHAnsi" w:eastAsiaTheme="minorEastAsia" w:hAnsiTheme="minorHAnsi" w:cstheme="minorBidi"/>
          <w:b w:val="0"/>
          <w:caps w:val="0"/>
          <w:sz w:val="24"/>
        </w:rPr>
        <w:tab/>
      </w:r>
      <w:r w:rsidRPr="00591BB3">
        <w:rPr>
          <w:b w:val="0"/>
          <w:sz w:val="24"/>
        </w:rPr>
        <w:t>Procedures for the Collection of Information</w:t>
      </w:r>
      <w:r w:rsidRPr="00591BB3">
        <w:rPr>
          <w:b w:val="0"/>
          <w:sz w:val="24"/>
        </w:rPr>
        <w:tab/>
      </w:r>
      <w:r w:rsidR="00944F48" w:rsidRPr="00591BB3">
        <w:rPr>
          <w:b w:val="0"/>
          <w:sz w:val="24"/>
        </w:rPr>
        <w:fldChar w:fldCharType="begin"/>
      </w:r>
      <w:r w:rsidRPr="00591BB3">
        <w:rPr>
          <w:b w:val="0"/>
          <w:sz w:val="24"/>
        </w:rPr>
        <w:instrText xml:space="preserve"> PAGEREF _Toc302645953 \h </w:instrText>
      </w:r>
      <w:r w:rsidR="00944F48" w:rsidRPr="00591BB3">
        <w:rPr>
          <w:b w:val="0"/>
          <w:sz w:val="24"/>
        </w:rPr>
      </w:r>
      <w:r w:rsidR="00944F48" w:rsidRPr="00591BB3">
        <w:rPr>
          <w:b w:val="0"/>
          <w:sz w:val="24"/>
        </w:rPr>
        <w:fldChar w:fldCharType="separate"/>
      </w:r>
      <w:r w:rsidR="00591BB3">
        <w:rPr>
          <w:b w:val="0"/>
          <w:sz w:val="24"/>
        </w:rPr>
        <w:t>10</w:t>
      </w:r>
      <w:r w:rsidR="00944F48" w:rsidRPr="00591BB3">
        <w:rPr>
          <w:b w:val="0"/>
          <w:sz w:val="24"/>
        </w:rPr>
        <w:fldChar w:fldCharType="end"/>
      </w:r>
    </w:p>
    <w:p w:rsidR="006117A0" w:rsidRPr="00591BB3" w:rsidRDefault="00F23C54"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sz w:val="24"/>
        </w:rPr>
        <w:t>3.</w:t>
      </w:r>
      <w:r w:rsidRPr="00591BB3">
        <w:rPr>
          <w:rFonts w:asciiTheme="minorHAnsi" w:eastAsiaTheme="minorEastAsia" w:hAnsiTheme="minorHAnsi" w:cstheme="minorBidi"/>
          <w:b w:val="0"/>
          <w:caps w:val="0"/>
          <w:sz w:val="24"/>
        </w:rPr>
        <w:tab/>
      </w:r>
      <w:r w:rsidRPr="00591BB3">
        <w:rPr>
          <w:b w:val="0"/>
          <w:sz w:val="24"/>
        </w:rPr>
        <w:t>Methods to Maximize Response Rates and Deal with Nonresponse</w:t>
      </w:r>
      <w:r w:rsidRPr="00591BB3">
        <w:rPr>
          <w:b w:val="0"/>
          <w:sz w:val="24"/>
        </w:rPr>
        <w:tab/>
      </w:r>
      <w:r w:rsidR="00944F48" w:rsidRPr="00591BB3">
        <w:rPr>
          <w:b w:val="0"/>
          <w:sz w:val="24"/>
        </w:rPr>
        <w:fldChar w:fldCharType="begin"/>
      </w:r>
      <w:r w:rsidRPr="00591BB3">
        <w:rPr>
          <w:b w:val="0"/>
          <w:sz w:val="24"/>
        </w:rPr>
        <w:instrText xml:space="preserve"> PAGEREF _Toc302645954 \h </w:instrText>
      </w:r>
      <w:r w:rsidR="00944F48" w:rsidRPr="00591BB3">
        <w:rPr>
          <w:b w:val="0"/>
          <w:sz w:val="24"/>
        </w:rPr>
      </w:r>
      <w:r w:rsidR="00944F48" w:rsidRPr="00591BB3">
        <w:rPr>
          <w:b w:val="0"/>
          <w:sz w:val="24"/>
        </w:rPr>
        <w:fldChar w:fldCharType="separate"/>
      </w:r>
      <w:r w:rsidR="00591BB3">
        <w:rPr>
          <w:b w:val="0"/>
          <w:sz w:val="24"/>
        </w:rPr>
        <w:t>12</w:t>
      </w:r>
      <w:r w:rsidR="00944F48" w:rsidRPr="00591BB3">
        <w:rPr>
          <w:b w:val="0"/>
          <w:sz w:val="24"/>
        </w:rPr>
        <w:fldChar w:fldCharType="end"/>
      </w:r>
    </w:p>
    <w:p w:rsidR="006117A0" w:rsidRPr="00591BB3" w:rsidRDefault="00F23C54"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sz w:val="24"/>
        </w:rPr>
        <w:t>4.</w:t>
      </w:r>
      <w:r w:rsidRPr="00591BB3">
        <w:rPr>
          <w:rFonts w:asciiTheme="minorHAnsi" w:eastAsiaTheme="minorEastAsia" w:hAnsiTheme="minorHAnsi" w:cstheme="minorBidi"/>
          <w:b w:val="0"/>
          <w:caps w:val="0"/>
          <w:sz w:val="24"/>
        </w:rPr>
        <w:tab/>
      </w:r>
      <w:r w:rsidRPr="00591BB3">
        <w:rPr>
          <w:b w:val="0"/>
          <w:sz w:val="24"/>
        </w:rPr>
        <w:t>Test of Procedures or Methods to be Undertaken</w:t>
      </w:r>
      <w:r w:rsidRPr="00591BB3">
        <w:rPr>
          <w:b w:val="0"/>
          <w:sz w:val="24"/>
        </w:rPr>
        <w:tab/>
      </w:r>
      <w:r w:rsidR="00944F48" w:rsidRPr="00591BB3">
        <w:rPr>
          <w:b w:val="0"/>
          <w:sz w:val="24"/>
        </w:rPr>
        <w:fldChar w:fldCharType="begin"/>
      </w:r>
      <w:r w:rsidRPr="00591BB3">
        <w:rPr>
          <w:b w:val="0"/>
          <w:sz w:val="24"/>
        </w:rPr>
        <w:instrText xml:space="preserve"> PAGEREF _Toc302645955 \h </w:instrText>
      </w:r>
      <w:r w:rsidR="00944F48" w:rsidRPr="00591BB3">
        <w:rPr>
          <w:b w:val="0"/>
          <w:sz w:val="24"/>
        </w:rPr>
      </w:r>
      <w:r w:rsidR="00944F48" w:rsidRPr="00591BB3">
        <w:rPr>
          <w:b w:val="0"/>
          <w:sz w:val="24"/>
        </w:rPr>
        <w:fldChar w:fldCharType="separate"/>
      </w:r>
      <w:r w:rsidR="00591BB3">
        <w:rPr>
          <w:b w:val="0"/>
          <w:sz w:val="24"/>
        </w:rPr>
        <w:t>13</w:t>
      </w:r>
      <w:r w:rsidR="00944F48" w:rsidRPr="00591BB3">
        <w:rPr>
          <w:b w:val="0"/>
          <w:sz w:val="24"/>
        </w:rPr>
        <w:fldChar w:fldCharType="end"/>
      </w:r>
    </w:p>
    <w:p w:rsidR="006117A0" w:rsidRPr="00591BB3" w:rsidRDefault="00F23C54"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sz w:val="24"/>
        </w:rPr>
        <w:t>5.</w:t>
      </w:r>
      <w:r w:rsidRPr="00591BB3">
        <w:rPr>
          <w:rFonts w:asciiTheme="minorHAnsi" w:eastAsiaTheme="minorEastAsia" w:hAnsiTheme="minorHAnsi" w:cstheme="minorBidi"/>
          <w:b w:val="0"/>
          <w:caps w:val="0"/>
          <w:sz w:val="24"/>
        </w:rPr>
        <w:tab/>
      </w:r>
      <w:r w:rsidRPr="00591BB3">
        <w:rPr>
          <w:b w:val="0"/>
          <w:sz w:val="24"/>
        </w:rPr>
        <w:t>Individuals Consulted on Statistical Aspects and Individuals Collecting and/or Analyzing Data</w:t>
      </w:r>
      <w:r w:rsidRPr="00591BB3">
        <w:rPr>
          <w:b w:val="0"/>
          <w:sz w:val="24"/>
        </w:rPr>
        <w:tab/>
      </w:r>
      <w:r w:rsidR="00944F48" w:rsidRPr="00591BB3">
        <w:rPr>
          <w:b w:val="0"/>
          <w:sz w:val="24"/>
        </w:rPr>
        <w:fldChar w:fldCharType="begin"/>
      </w:r>
      <w:r w:rsidRPr="00591BB3">
        <w:rPr>
          <w:b w:val="0"/>
          <w:sz w:val="24"/>
        </w:rPr>
        <w:instrText xml:space="preserve"> PAGEREF _Toc302645956 \h </w:instrText>
      </w:r>
      <w:r w:rsidR="00944F48" w:rsidRPr="00591BB3">
        <w:rPr>
          <w:b w:val="0"/>
          <w:sz w:val="24"/>
        </w:rPr>
      </w:r>
      <w:r w:rsidR="00944F48" w:rsidRPr="00591BB3">
        <w:rPr>
          <w:b w:val="0"/>
          <w:sz w:val="24"/>
        </w:rPr>
        <w:fldChar w:fldCharType="separate"/>
      </w:r>
      <w:r w:rsidR="00591BB3">
        <w:rPr>
          <w:b w:val="0"/>
          <w:sz w:val="24"/>
        </w:rPr>
        <w:t>14</w:t>
      </w:r>
      <w:r w:rsidR="00944F48" w:rsidRPr="00591BB3">
        <w:rPr>
          <w:b w:val="0"/>
          <w:sz w:val="24"/>
        </w:rPr>
        <w:fldChar w:fldCharType="end"/>
      </w:r>
    </w:p>
    <w:p w:rsidR="006117A0" w:rsidRPr="00591BB3" w:rsidRDefault="00F23C54" w:rsidP="00940F3C">
      <w:pPr>
        <w:pStyle w:val="TOC1"/>
        <w:spacing w:before="0" w:after="0" w:line="240" w:lineRule="auto"/>
        <w:ind w:left="360" w:hanging="360"/>
        <w:jc w:val="left"/>
        <w:rPr>
          <w:rFonts w:asciiTheme="minorHAnsi" w:eastAsiaTheme="minorEastAsia" w:hAnsiTheme="minorHAnsi" w:cstheme="minorBidi"/>
          <w:b w:val="0"/>
          <w:caps w:val="0"/>
          <w:sz w:val="24"/>
        </w:rPr>
      </w:pPr>
      <w:r w:rsidRPr="00591BB3">
        <w:rPr>
          <w:b w:val="0"/>
          <w:sz w:val="24"/>
        </w:rPr>
        <w:t>References</w:t>
      </w:r>
      <w:r w:rsidRPr="00591BB3">
        <w:rPr>
          <w:b w:val="0"/>
          <w:sz w:val="24"/>
        </w:rPr>
        <w:tab/>
      </w:r>
      <w:r w:rsidR="00944F48" w:rsidRPr="00591BB3">
        <w:rPr>
          <w:b w:val="0"/>
          <w:sz w:val="24"/>
        </w:rPr>
        <w:fldChar w:fldCharType="begin"/>
      </w:r>
      <w:r w:rsidRPr="00591BB3">
        <w:rPr>
          <w:b w:val="0"/>
          <w:sz w:val="24"/>
        </w:rPr>
        <w:instrText xml:space="preserve"> PAGEREF _Toc302645957 \h </w:instrText>
      </w:r>
      <w:r w:rsidR="00944F48" w:rsidRPr="00591BB3">
        <w:rPr>
          <w:b w:val="0"/>
          <w:sz w:val="24"/>
        </w:rPr>
      </w:r>
      <w:r w:rsidR="00944F48" w:rsidRPr="00591BB3">
        <w:rPr>
          <w:b w:val="0"/>
          <w:sz w:val="24"/>
        </w:rPr>
        <w:fldChar w:fldCharType="separate"/>
      </w:r>
      <w:r w:rsidR="00591BB3">
        <w:rPr>
          <w:b w:val="0"/>
          <w:sz w:val="24"/>
        </w:rPr>
        <w:t>15</w:t>
      </w:r>
      <w:r w:rsidR="00944F48" w:rsidRPr="00591BB3">
        <w:rPr>
          <w:b w:val="0"/>
          <w:sz w:val="24"/>
        </w:rPr>
        <w:fldChar w:fldCharType="end"/>
      </w:r>
    </w:p>
    <w:p w:rsidR="00761607" w:rsidRPr="00591BB3" w:rsidRDefault="00944F48" w:rsidP="00940F3C">
      <w:pPr>
        <w:ind w:left="360" w:hanging="360"/>
      </w:pPr>
      <w:r w:rsidRPr="00591BB3">
        <w:rPr>
          <w:smallCaps/>
          <w:noProof/>
        </w:rPr>
        <w:fldChar w:fldCharType="end"/>
      </w:r>
    </w:p>
    <w:p w:rsidR="00A60490" w:rsidRPr="00591BB3" w:rsidRDefault="00A60490" w:rsidP="00940F3C">
      <w:pPr>
        <w:rPr>
          <w:sz w:val="32"/>
          <w:szCs w:val="32"/>
        </w:rPr>
        <w:sectPr w:rsidR="00A60490" w:rsidRPr="00591BB3" w:rsidSect="00A60490">
          <w:footerReference w:type="default" r:id="rId9"/>
          <w:footerReference w:type="first" r:id="rId10"/>
          <w:pgSz w:w="12240" w:h="15840"/>
          <w:pgMar w:top="1440" w:right="1800" w:bottom="1440" w:left="1800" w:header="720" w:footer="720" w:gutter="0"/>
          <w:cols w:space="720"/>
          <w:titlePg/>
          <w:docGrid w:linePitch="360"/>
        </w:sectPr>
      </w:pPr>
    </w:p>
    <w:p w:rsidR="001A6DC9" w:rsidRPr="00591BB3" w:rsidRDefault="00761607">
      <w:pPr>
        <w:pStyle w:val="Heading1"/>
        <w:spacing w:before="0" w:after="0"/>
      </w:pPr>
      <w:bookmarkStart w:id="1" w:name="_Toc301878584"/>
      <w:bookmarkStart w:id="2" w:name="_Toc301878634"/>
      <w:bookmarkStart w:id="3" w:name="_Toc302645951"/>
      <w:r w:rsidRPr="00591BB3">
        <w:lastRenderedPageBreak/>
        <w:t>B.</w:t>
      </w:r>
      <w:r w:rsidRPr="00591BB3">
        <w:tab/>
      </w:r>
      <w:r w:rsidR="00F8229B" w:rsidRPr="00591BB3">
        <w:t>Collections of Information Employing Statistical Methods</w:t>
      </w:r>
      <w:bookmarkEnd w:id="1"/>
      <w:bookmarkEnd w:id="2"/>
      <w:bookmarkEnd w:id="3"/>
    </w:p>
    <w:p w:rsidR="00533AE9" w:rsidRPr="00591BB3" w:rsidRDefault="00533AE9" w:rsidP="00940F3C">
      <w:pPr>
        <w:pStyle w:val="Heading1"/>
        <w:spacing w:before="0" w:after="0"/>
      </w:pPr>
      <w:bookmarkStart w:id="4" w:name="_Toc151782199"/>
      <w:bookmarkStart w:id="5" w:name="_Toc158526235"/>
      <w:bookmarkStart w:id="6" w:name="_Toc301878585"/>
      <w:bookmarkStart w:id="7" w:name="_Toc301878635"/>
    </w:p>
    <w:p w:rsidR="00F8229B" w:rsidRPr="00591BB3" w:rsidRDefault="00761607" w:rsidP="00940F3C">
      <w:pPr>
        <w:pStyle w:val="Heading1"/>
        <w:spacing w:before="0" w:after="0"/>
      </w:pPr>
      <w:bookmarkStart w:id="8" w:name="_Toc302645952"/>
      <w:r w:rsidRPr="00591BB3">
        <w:t>1.</w:t>
      </w:r>
      <w:r w:rsidRPr="00591BB3">
        <w:tab/>
      </w:r>
      <w:r w:rsidR="00F8229B" w:rsidRPr="00591BB3">
        <w:t>Respondent universe and sampling methods</w:t>
      </w:r>
      <w:bookmarkEnd w:id="4"/>
      <w:bookmarkEnd w:id="5"/>
      <w:bookmarkEnd w:id="6"/>
      <w:bookmarkEnd w:id="7"/>
      <w:bookmarkEnd w:id="8"/>
    </w:p>
    <w:p w:rsidR="00627AC6" w:rsidRPr="00591BB3" w:rsidRDefault="00627AC6">
      <w:pPr>
        <w:pStyle w:val="NoSpacing"/>
        <w:rPr>
          <w:rFonts w:ascii="Times New Roman" w:hAnsi="Times New Roman"/>
          <w:sz w:val="24"/>
          <w:szCs w:val="24"/>
        </w:rPr>
      </w:pPr>
    </w:p>
    <w:p w:rsidR="00627AC6" w:rsidRPr="00591BB3" w:rsidRDefault="00F8229B">
      <w:pPr>
        <w:pStyle w:val="NoSpacing"/>
        <w:rPr>
          <w:rFonts w:ascii="Times New Roman" w:hAnsi="Times New Roman"/>
          <w:sz w:val="24"/>
          <w:szCs w:val="24"/>
        </w:rPr>
      </w:pPr>
      <w:r w:rsidRPr="00591BB3">
        <w:rPr>
          <w:rFonts w:ascii="Times New Roman" w:hAnsi="Times New Roman"/>
          <w:sz w:val="24"/>
          <w:szCs w:val="24"/>
        </w:rPr>
        <w:t xml:space="preserve">The goal of our sampling </w:t>
      </w:r>
      <w:r w:rsidR="00FF4AAC" w:rsidRPr="00591BB3">
        <w:rPr>
          <w:rFonts w:ascii="Times New Roman" w:hAnsi="Times New Roman"/>
          <w:sz w:val="24"/>
          <w:szCs w:val="24"/>
        </w:rPr>
        <w:t>strategy</w:t>
      </w:r>
      <w:r w:rsidRPr="00591BB3">
        <w:rPr>
          <w:rFonts w:ascii="Times New Roman" w:hAnsi="Times New Roman"/>
          <w:sz w:val="24"/>
          <w:szCs w:val="24"/>
        </w:rPr>
        <w:t xml:space="preserve"> is to obtain a sufficiently large sample and allocate sample members to different deliberative methods</w:t>
      </w:r>
      <w:r w:rsidR="00982BE3" w:rsidRPr="00591BB3">
        <w:rPr>
          <w:rFonts w:ascii="Times New Roman" w:hAnsi="Times New Roman"/>
          <w:sz w:val="24"/>
          <w:szCs w:val="24"/>
        </w:rPr>
        <w:t xml:space="preserve">. </w:t>
      </w:r>
      <w:r w:rsidR="00A60490" w:rsidRPr="00591BB3">
        <w:rPr>
          <w:rFonts w:ascii="Times New Roman" w:hAnsi="Times New Roman"/>
          <w:sz w:val="24"/>
          <w:szCs w:val="24"/>
        </w:rPr>
        <w:t>In doing so,</w:t>
      </w:r>
      <w:r w:rsidR="005E0BDB" w:rsidRPr="00591BB3">
        <w:rPr>
          <w:rFonts w:ascii="Times New Roman" w:hAnsi="Times New Roman"/>
          <w:sz w:val="24"/>
          <w:szCs w:val="24"/>
        </w:rPr>
        <w:t xml:space="preserve"> </w:t>
      </w:r>
      <w:r w:rsidR="00A60490" w:rsidRPr="00591BB3">
        <w:rPr>
          <w:rFonts w:ascii="Times New Roman" w:hAnsi="Times New Roman"/>
          <w:sz w:val="24"/>
          <w:szCs w:val="24"/>
        </w:rPr>
        <w:t>we seek</w:t>
      </w:r>
      <w:r w:rsidRPr="00591BB3">
        <w:rPr>
          <w:rFonts w:ascii="Times New Roman" w:hAnsi="Times New Roman"/>
          <w:sz w:val="24"/>
          <w:szCs w:val="24"/>
        </w:rPr>
        <w:t xml:space="preserve"> adequate statistical power to test each of </w:t>
      </w:r>
      <w:r w:rsidR="00A60490" w:rsidRPr="00591BB3">
        <w:rPr>
          <w:rFonts w:ascii="Times New Roman" w:hAnsi="Times New Roman"/>
          <w:sz w:val="24"/>
          <w:szCs w:val="24"/>
        </w:rPr>
        <w:t xml:space="preserve">our </w:t>
      </w:r>
      <w:r w:rsidR="007F0FE5" w:rsidRPr="00591BB3">
        <w:rPr>
          <w:rFonts w:ascii="Times New Roman" w:hAnsi="Times New Roman"/>
          <w:sz w:val="24"/>
          <w:szCs w:val="24"/>
        </w:rPr>
        <w:t xml:space="preserve">research </w:t>
      </w:r>
      <w:r w:rsidR="00401EAF" w:rsidRPr="00591BB3">
        <w:rPr>
          <w:rFonts w:ascii="Times New Roman" w:hAnsi="Times New Roman"/>
          <w:sz w:val="24"/>
          <w:szCs w:val="24"/>
        </w:rPr>
        <w:t>questions</w:t>
      </w:r>
      <w:r w:rsidRPr="00591BB3">
        <w:rPr>
          <w:rFonts w:ascii="Times New Roman" w:hAnsi="Times New Roman"/>
          <w:sz w:val="24"/>
          <w:szCs w:val="24"/>
        </w:rPr>
        <w:t xml:space="preserve"> while </w:t>
      </w:r>
      <w:r w:rsidR="00A60490" w:rsidRPr="00591BB3">
        <w:rPr>
          <w:rFonts w:ascii="Times New Roman" w:hAnsi="Times New Roman"/>
          <w:sz w:val="24"/>
          <w:szCs w:val="24"/>
        </w:rPr>
        <w:t xml:space="preserve">maximizing </w:t>
      </w:r>
      <w:r w:rsidRPr="00591BB3">
        <w:rPr>
          <w:rFonts w:ascii="Times New Roman" w:hAnsi="Times New Roman"/>
          <w:sz w:val="24"/>
          <w:szCs w:val="24"/>
        </w:rPr>
        <w:t xml:space="preserve">external and internal validity </w:t>
      </w:r>
      <w:r w:rsidR="0077677B" w:rsidRPr="00591BB3">
        <w:rPr>
          <w:rFonts w:ascii="Times New Roman" w:hAnsi="Times New Roman"/>
          <w:sz w:val="24"/>
          <w:szCs w:val="24"/>
        </w:rPr>
        <w:t>to the extent possible</w:t>
      </w:r>
      <w:r w:rsidR="00FB42AB" w:rsidRPr="00591BB3">
        <w:rPr>
          <w:rFonts w:ascii="Times New Roman" w:hAnsi="Times New Roman"/>
          <w:sz w:val="24"/>
          <w:szCs w:val="24"/>
        </w:rPr>
        <w:t>.</w:t>
      </w:r>
      <w:r w:rsidR="00401EAF" w:rsidRPr="00591BB3">
        <w:rPr>
          <w:rFonts w:ascii="Times New Roman" w:hAnsi="Times New Roman"/>
          <w:sz w:val="24"/>
          <w:szCs w:val="24"/>
        </w:rPr>
        <w:t xml:space="preserve"> </w:t>
      </w:r>
      <w:r w:rsidR="003D6DF5" w:rsidRPr="00591BB3">
        <w:rPr>
          <w:rFonts w:ascii="Times New Roman" w:hAnsi="Times New Roman"/>
          <w:sz w:val="24"/>
          <w:szCs w:val="24"/>
        </w:rPr>
        <w:t>The</w:t>
      </w:r>
      <w:r w:rsidRPr="00591BB3">
        <w:rPr>
          <w:rFonts w:ascii="Times New Roman" w:hAnsi="Times New Roman"/>
          <w:sz w:val="24"/>
          <w:szCs w:val="24"/>
        </w:rPr>
        <w:t xml:space="preserve"> </w:t>
      </w:r>
      <w:r w:rsidR="00D05EBC" w:rsidRPr="00591BB3">
        <w:rPr>
          <w:rFonts w:ascii="Times New Roman" w:hAnsi="Times New Roman"/>
          <w:sz w:val="24"/>
          <w:szCs w:val="24"/>
        </w:rPr>
        <w:t>five</w:t>
      </w:r>
      <w:r w:rsidR="00743B43" w:rsidRPr="00591BB3">
        <w:rPr>
          <w:rFonts w:ascii="Times New Roman" w:hAnsi="Times New Roman"/>
          <w:sz w:val="24"/>
          <w:szCs w:val="24"/>
        </w:rPr>
        <w:t xml:space="preserve"> </w:t>
      </w:r>
      <w:r w:rsidR="00FF4AAC" w:rsidRPr="00591BB3">
        <w:rPr>
          <w:rFonts w:ascii="Times New Roman" w:hAnsi="Times New Roman"/>
          <w:sz w:val="24"/>
          <w:szCs w:val="24"/>
        </w:rPr>
        <w:t>conditions</w:t>
      </w:r>
      <w:r w:rsidR="003D6DF5" w:rsidRPr="00591BB3">
        <w:rPr>
          <w:rFonts w:ascii="Times New Roman" w:hAnsi="Times New Roman"/>
          <w:sz w:val="24"/>
          <w:szCs w:val="24"/>
        </w:rPr>
        <w:t xml:space="preserve"> discussed in this statement</w:t>
      </w:r>
      <w:r w:rsidR="00FF4AAC" w:rsidRPr="00591BB3">
        <w:rPr>
          <w:rFonts w:ascii="Times New Roman" w:hAnsi="Times New Roman"/>
          <w:sz w:val="24"/>
          <w:szCs w:val="24"/>
        </w:rPr>
        <w:t xml:space="preserve"> (</w:t>
      </w:r>
      <w:r w:rsidR="00D05EBC" w:rsidRPr="00591BB3">
        <w:rPr>
          <w:rFonts w:ascii="Times New Roman" w:hAnsi="Times New Roman"/>
          <w:sz w:val="24"/>
          <w:szCs w:val="24"/>
        </w:rPr>
        <w:t>four deliberative methods plus the control condition</w:t>
      </w:r>
      <w:r w:rsidR="00FF4AAC" w:rsidRPr="00591BB3">
        <w:rPr>
          <w:rFonts w:ascii="Times New Roman" w:hAnsi="Times New Roman"/>
          <w:sz w:val="24"/>
          <w:szCs w:val="24"/>
        </w:rPr>
        <w:t>)</w:t>
      </w:r>
      <w:r w:rsidR="003D42CD" w:rsidRPr="00591BB3">
        <w:rPr>
          <w:rFonts w:ascii="Times New Roman" w:hAnsi="Times New Roman"/>
          <w:sz w:val="24"/>
          <w:szCs w:val="24"/>
        </w:rPr>
        <w:t xml:space="preserve"> are named as</w:t>
      </w:r>
      <w:r w:rsidR="0033344A" w:rsidRPr="00591BB3">
        <w:rPr>
          <w:rFonts w:ascii="Times New Roman" w:hAnsi="Times New Roman"/>
          <w:sz w:val="24"/>
          <w:szCs w:val="24"/>
        </w:rPr>
        <w:t>:</w:t>
      </w:r>
    </w:p>
    <w:p w:rsidR="00627AC6" w:rsidRPr="00591BB3" w:rsidRDefault="00627AC6">
      <w:pPr>
        <w:pStyle w:val="NoSpacing"/>
        <w:rPr>
          <w:rFonts w:ascii="Times New Roman" w:hAnsi="Times New Roman"/>
          <w:sz w:val="24"/>
          <w:szCs w:val="24"/>
        </w:rPr>
      </w:pPr>
    </w:p>
    <w:p w:rsidR="00627AC6" w:rsidRPr="00591BB3" w:rsidRDefault="003D6DF5">
      <w:pPr>
        <w:pStyle w:val="NoSpacing"/>
        <w:ind w:left="720"/>
        <w:rPr>
          <w:rFonts w:ascii="Times New Roman" w:hAnsi="Times New Roman"/>
          <w:sz w:val="24"/>
          <w:szCs w:val="24"/>
        </w:rPr>
      </w:pPr>
      <w:r w:rsidRPr="00591BB3">
        <w:rPr>
          <w:rFonts w:ascii="Times New Roman" w:hAnsi="Times New Roman"/>
          <w:sz w:val="24"/>
          <w:szCs w:val="24"/>
        </w:rPr>
        <w:t xml:space="preserve">Method A: </w:t>
      </w:r>
      <w:r w:rsidR="00595E4F" w:rsidRPr="00591BB3">
        <w:rPr>
          <w:rFonts w:ascii="Times New Roman" w:hAnsi="Times New Roman"/>
          <w:sz w:val="24"/>
          <w:szCs w:val="24"/>
        </w:rPr>
        <w:t xml:space="preserve">Brief </w:t>
      </w:r>
      <w:r w:rsidR="00394FB8" w:rsidRPr="00591BB3">
        <w:rPr>
          <w:rFonts w:ascii="Times New Roman" w:hAnsi="Times New Roman"/>
          <w:sz w:val="24"/>
          <w:szCs w:val="24"/>
        </w:rPr>
        <w:t>Citizens’ Deliberation (</w:t>
      </w:r>
      <w:r w:rsidR="00595E4F" w:rsidRPr="00591BB3">
        <w:rPr>
          <w:rFonts w:ascii="Times New Roman" w:hAnsi="Times New Roman"/>
          <w:sz w:val="24"/>
          <w:szCs w:val="24"/>
        </w:rPr>
        <w:t>BCD</w:t>
      </w:r>
      <w:r w:rsidR="00394FB8" w:rsidRPr="00591BB3">
        <w:rPr>
          <w:rFonts w:ascii="Times New Roman" w:hAnsi="Times New Roman"/>
          <w:sz w:val="24"/>
          <w:szCs w:val="24"/>
        </w:rPr>
        <w:t>)</w:t>
      </w:r>
      <w:r w:rsidR="00143594" w:rsidRPr="00591BB3">
        <w:rPr>
          <w:rFonts w:ascii="Times New Roman" w:hAnsi="Times New Roman"/>
          <w:sz w:val="24"/>
          <w:szCs w:val="24"/>
        </w:rPr>
        <w:t>,</w:t>
      </w:r>
      <w:r w:rsidR="00F8229B" w:rsidRPr="00591BB3">
        <w:rPr>
          <w:rFonts w:ascii="Times New Roman" w:hAnsi="Times New Roman"/>
          <w:sz w:val="24"/>
          <w:szCs w:val="24"/>
        </w:rPr>
        <w:t xml:space="preserve"> </w:t>
      </w:r>
      <w:r w:rsidR="00394FB8" w:rsidRPr="00591BB3">
        <w:rPr>
          <w:rFonts w:ascii="Times New Roman" w:hAnsi="Times New Roman"/>
          <w:sz w:val="24"/>
          <w:szCs w:val="24"/>
        </w:rPr>
        <w:t xml:space="preserve"> </w:t>
      </w:r>
    </w:p>
    <w:p w:rsidR="00627AC6" w:rsidRPr="00591BB3" w:rsidRDefault="009F0EA8">
      <w:pPr>
        <w:pStyle w:val="NoSpacing"/>
        <w:ind w:left="720"/>
        <w:rPr>
          <w:rFonts w:ascii="Times New Roman" w:hAnsi="Times New Roman"/>
          <w:sz w:val="24"/>
          <w:szCs w:val="24"/>
        </w:rPr>
      </w:pPr>
      <w:r w:rsidRPr="00591BB3">
        <w:rPr>
          <w:rFonts w:ascii="Times New Roman" w:hAnsi="Times New Roman"/>
          <w:sz w:val="24"/>
          <w:szCs w:val="24"/>
        </w:rPr>
        <w:t>Method B: Online Deliberative Polling</w:t>
      </w:r>
      <w:r w:rsidRPr="00591BB3">
        <w:rPr>
          <w:rFonts w:ascii="Times New Roman" w:hAnsi="Times New Roman"/>
          <w:sz w:val="24"/>
          <w:szCs w:val="24"/>
          <w:vertAlign w:val="superscript"/>
        </w:rPr>
        <w:t>®</w:t>
      </w:r>
      <w:r w:rsidRPr="00591BB3">
        <w:rPr>
          <w:rFonts w:ascii="Times New Roman" w:hAnsi="Times New Roman"/>
          <w:sz w:val="24"/>
          <w:szCs w:val="24"/>
        </w:rPr>
        <w:t xml:space="preserve"> (ODP), </w:t>
      </w:r>
    </w:p>
    <w:p w:rsidR="00627AC6" w:rsidRPr="00591BB3" w:rsidRDefault="009F0EA8">
      <w:pPr>
        <w:pStyle w:val="NoSpacing"/>
        <w:ind w:left="720"/>
        <w:rPr>
          <w:rFonts w:ascii="Times New Roman" w:hAnsi="Times New Roman"/>
          <w:sz w:val="24"/>
          <w:szCs w:val="24"/>
        </w:rPr>
      </w:pPr>
      <w:r w:rsidRPr="00591BB3">
        <w:rPr>
          <w:rFonts w:ascii="Times New Roman" w:hAnsi="Times New Roman"/>
          <w:sz w:val="24"/>
          <w:szCs w:val="24"/>
        </w:rPr>
        <w:t>Method C</w:t>
      </w:r>
      <w:r w:rsidR="00743B43" w:rsidRPr="00591BB3">
        <w:rPr>
          <w:rFonts w:ascii="Times New Roman" w:hAnsi="Times New Roman"/>
          <w:sz w:val="24"/>
          <w:szCs w:val="24"/>
        </w:rPr>
        <w:t>: Community Deliberation (CD),</w:t>
      </w:r>
    </w:p>
    <w:p w:rsidR="00627AC6" w:rsidRPr="00591BB3" w:rsidRDefault="003D6DF5">
      <w:pPr>
        <w:pStyle w:val="NoSpacing"/>
        <w:ind w:left="720"/>
        <w:rPr>
          <w:rFonts w:ascii="Times New Roman" w:hAnsi="Times New Roman"/>
          <w:sz w:val="24"/>
          <w:szCs w:val="24"/>
        </w:rPr>
      </w:pPr>
      <w:r w:rsidRPr="00591BB3">
        <w:rPr>
          <w:rFonts w:ascii="Times New Roman" w:hAnsi="Times New Roman"/>
          <w:sz w:val="24"/>
          <w:szCs w:val="24"/>
        </w:rPr>
        <w:t xml:space="preserve">Method D: </w:t>
      </w:r>
      <w:r w:rsidR="00394FB8" w:rsidRPr="00591BB3">
        <w:rPr>
          <w:rFonts w:ascii="Times New Roman" w:hAnsi="Times New Roman"/>
          <w:sz w:val="24"/>
          <w:szCs w:val="24"/>
        </w:rPr>
        <w:t>Citizens’ Panel (CP)</w:t>
      </w:r>
      <w:r w:rsidR="00143594" w:rsidRPr="00591BB3">
        <w:rPr>
          <w:rFonts w:ascii="Times New Roman" w:hAnsi="Times New Roman"/>
          <w:sz w:val="24"/>
          <w:szCs w:val="24"/>
        </w:rPr>
        <w:t>,</w:t>
      </w:r>
      <w:r w:rsidR="00743B43" w:rsidRPr="00591BB3">
        <w:rPr>
          <w:rFonts w:ascii="Times New Roman" w:hAnsi="Times New Roman"/>
          <w:sz w:val="24"/>
          <w:szCs w:val="24"/>
        </w:rPr>
        <w:t xml:space="preserve"> </w:t>
      </w:r>
      <w:r w:rsidR="00143594" w:rsidRPr="00591BB3">
        <w:rPr>
          <w:rFonts w:ascii="Times New Roman" w:hAnsi="Times New Roman"/>
          <w:sz w:val="24"/>
          <w:szCs w:val="24"/>
        </w:rPr>
        <w:t>and</w:t>
      </w:r>
    </w:p>
    <w:p w:rsidR="00627AC6" w:rsidRPr="00591BB3" w:rsidRDefault="003D6DF5">
      <w:pPr>
        <w:pStyle w:val="NoSpacing"/>
        <w:ind w:left="720"/>
        <w:rPr>
          <w:rFonts w:ascii="Times New Roman" w:hAnsi="Times New Roman"/>
          <w:sz w:val="24"/>
          <w:szCs w:val="24"/>
        </w:rPr>
      </w:pPr>
      <w:r w:rsidRPr="00591BB3">
        <w:rPr>
          <w:rFonts w:ascii="Times New Roman" w:hAnsi="Times New Roman"/>
          <w:sz w:val="24"/>
          <w:szCs w:val="24"/>
        </w:rPr>
        <w:t xml:space="preserve">Condition X: </w:t>
      </w:r>
      <w:r w:rsidR="00FF4AAC" w:rsidRPr="00591BB3">
        <w:rPr>
          <w:rFonts w:ascii="Times New Roman" w:hAnsi="Times New Roman"/>
          <w:sz w:val="24"/>
          <w:szCs w:val="24"/>
        </w:rPr>
        <w:t>Control</w:t>
      </w:r>
      <w:r w:rsidR="00143594" w:rsidRPr="00591BB3">
        <w:rPr>
          <w:rFonts w:ascii="Times New Roman" w:hAnsi="Times New Roman"/>
          <w:sz w:val="24"/>
          <w:szCs w:val="24"/>
        </w:rPr>
        <w:t>.</w:t>
      </w:r>
    </w:p>
    <w:p w:rsidR="00627AC6" w:rsidRPr="00591BB3" w:rsidRDefault="00627AC6">
      <w:pPr>
        <w:pStyle w:val="NoSpacing"/>
        <w:rPr>
          <w:rFonts w:ascii="Times New Roman" w:hAnsi="Times New Roman"/>
          <w:sz w:val="24"/>
          <w:szCs w:val="24"/>
        </w:rPr>
      </w:pPr>
    </w:p>
    <w:p w:rsidR="00627AC6" w:rsidRPr="00591BB3" w:rsidRDefault="00F8229B">
      <w:pPr>
        <w:rPr>
          <w:b/>
        </w:rPr>
      </w:pPr>
      <w:bookmarkStart w:id="9" w:name="_Toc301878586"/>
      <w:bookmarkStart w:id="10" w:name="_Toc301878636"/>
      <w:r w:rsidRPr="00591BB3">
        <w:rPr>
          <w:b/>
        </w:rPr>
        <w:t>Respondent Universe</w:t>
      </w:r>
      <w:bookmarkEnd w:id="9"/>
      <w:bookmarkEnd w:id="10"/>
    </w:p>
    <w:p w:rsidR="00627AC6" w:rsidRPr="00591BB3" w:rsidRDefault="00627AC6">
      <w:pPr>
        <w:rPr>
          <w:b/>
        </w:rPr>
      </w:pPr>
    </w:p>
    <w:p w:rsidR="00627AC6" w:rsidRPr="00591BB3" w:rsidRDefault="005C086A">
      <w:pPr>
        <w:pStyle w:val="NoSpacing"/>
        <w:rPr>
          <w:rFonts w:ascii="Times New Roman" w:hAnsi="Times New Roman"/>
          <w:sz w:val="24"/>
          <w:szCs w:val="24"/>
        </w:rPr>
      </w:pPr>
      <w:r w:rsidRPr="00591BB3">
        <w:rPr>
          <w:rFonts w:ascii="Times New Roman" w:hAnsi="Times New Roman"/>
          <w:sz w:val="24"/>
          <w:szCs w:val="24"/>
        </w:rPr>
        <w:t xml:space="preserve">The goal of public deliberation is to obtain informed </w:t>
      </w:r>
      <w:r w:rsidR="00B059EE" w:rsidRPr="00591BB3">
        <w:rPr>
          <w:rFonts w:ascii="Times New Roman" w:hAnsi="Times New Roman"/>
          <w:sz w:val="24"/>
          <w:szCs w:val="24"/>
        </w:rPr>
        <w:t>opinions from</w:t>
      </w:r>
      <w:r w:rsidRPr="00591BB3">
        <w:rPr>
          <w:rFonts w:ascii="Times New Roman" w:hAnsi="Times New Roman"/>
          <w:sz w:val="24"/>
          <w:szCs w:val="24"/>
        </w:rPr>
        <w:t xml:space="preserve"> the </w:t>
      </w:r>
      <w:r w:rsidRPr="00591BB3">
        <w:rPr>
          <w:rFonts w:ascii="Times New Roman" w:hAnsi="Times New Roman"/>
          <w:i/>
          <w:sz w:val="24"/>
          <w:szCs w:val="24"/>
        </w:rPr>
        <w:t>lay public</w:t>
      </w:r>
      <w:r w:rsidR="00982BE3" w:rsidRPr="00591BB3">
        <w:rPr>
          <w:rFonts w:ascii="Times New Roman" w:hAnsi="Times New Roman"/>
          <w:i/>
          <w:sz w:val="24"/>
          <w:szCs w:val="24"/>
        </w:rPr>
        <w:t>.</w:t>
      </w:r>
      <w:r w:rsidR="00982BE3" w:rsidRPr="00591BB3">
        <w:rPr>
          <w:rFonts w:ascii="Times New Roman" w:hAnsi="Times New Roman"/>
          <w:sz w:val="24"/>
          <w:szCs w:val="24"/>
        </w:rPr>
        <w:t xml:space="preserve"> </w:t>
      </w:r>
      <w:r w:rsidR="00026146" w:rsidRPr="00591BB3">
        <w:rPr>
          <w:rFonts w:ascii="Times New Roman" w:hAnsi="Times New Roman"/>
          <w:sz w:val="24"/>
          <w:szCs w:val="24"/>
        </w:rPr>
        <w:t xml:space="preserve">It is </w:t>
      </w:r>
      <w:r w:rsidR="00BA6063" w:rsidRPr="00591BB3">
        <w:rPr>
          <w:rFonts w:ascii="Times New Roman" w:hAnsi="Times New Roman"/>
          <w:sz w:val="24"/>
          <w:szCs w:val="24"/>
        </w:rPr>
        <w:t xml:space="preserve">based </w:t>
      </w:r>
      <w:r w:rsidR="00026146" w:rsidRPr="00591BB3">
        <w:rPr>
          <w:rFonts w:ascii="Times New Roman" w:hAnsi="Times New Roman"/>
          <w:sz w:val="24"/>
          <w:szCs w:val="24"/>
        </w:rPr>
        <w:t xml:space="preserve">on the principle that persons affected by a </w:t>
      </w:r>
      <w:r w:rsidR="00BA6063" w:rsidRPr="00591BB3">
        <w:rPr>
          <w:rFonts w:ascii="Times New Roman" w:hAnsi="Times New Roman"/>
          <w:sz w:val="24"/>
          <w:szCs w:val="24"/>
        </w:rPr>
        <w:t xml:space="preserve">given </w:t>
      </w:r>
      <w:r w:rsidR="00026146" w:rsidRPr="00591BB3">
        <w:rPr>
          <w:rFonts w:ascii="Times New Roman" w:hAnsi="Times New Roman"/>
          <w:sz w:val="24"/>
          <w:szCs w:val="24"/>
        </w:rPr>
        <w:t xml:space="preserve">decision should have </w:t>
      </w:r>
      <w:r w:rsidR="00BA6063" w:rsidRPr="00591BB3">
        <w:rPr>
          <w:rFonts w:ascii="Times New Roman" w:hAnsi="Times New Roman"/>
          <w:sz w:val="24"/>
          <w:szCs w:val="24"/>
        </w:rPr>
        <w:t xml:space="preserve">the opportunity to contribute their views regarding </w:t>
      </w:r>
      <w:r w:rsidR="00026146" w:rsidRPr="00591BB3">
        <w:rPr>
          <w:rFonts w:ascii="Times New Roman" w:hAnsi="Times New Roman"/>
          <w:sz w:val="24"/>
          <w:szCs w:val="24"/>
        </w:rPr>
        <w:t>the decision</w:t>
      </w:r>
      <w:r w:rsidR="00F136D6" w:rsidRPr="00591BB3">
        <w:rPr>
          <w:rFonts w:ascii="Times New Roman" w:hAnsi="Times New Roman"/>
          <w:sz w:val="24"/>
          <w:szCs w:val="24"/>
        </w:rPr>
        <w:t xml:space="preserve"> (Webler, 1995).</w:t>
      </w:r>
      <w:r w:rsidR="00026146" w:rsidRPr="00591BB3">
        <w:rPr>
          <w:rFonts w:ascii="Times New Roman" w:hAnsi="Times New Roman"/>
          <w:sz w:val="24"/>
          <w:szCs w:val="24"/>
        </w:rPr>
        <w:t xml:space="preserve"> </w:t>
      </w:r>
      <w:r w:rsidR="00BB6CA6" w:rsidRPr="00591BB3">
        <w:rPr>
          <w:rFonts w:ascii="Times New Roman" w:hAnsi="Times New Roman"/>
          <w:sz w:val="24"/>
          <w:szCs w:val="24"/>
        </w:rPr>
        <w:t xml:space="preserve">In public deliberation this principle is </w:t>
      </w:r>
      <w:r w:rsidR="00026146" w:rsidRPr="00591BB3">
        <w:rPr>
          <w:rFonts w:ascii="Times New Roman" w:hAnsi="Times New Roman"/>
          <w:sz w:val="24"/>
          <w:szCs w:val="24"/>
        </w:rPr>
        <w:t xml:space="preserve">operationalized by </w:t>
      </w:r>
      <w:r w:rsidR="00BB6CA6" w:rsidRPr="00591BB3">
        <w:rPr>
          <w:rFonts w:ascii="Times New Roman" w:hAnsi="Times New Roman"/>
          <w:sz w:val="24"/>
          <w:szCs w:val="24"/>
        </w:rPr>
        <w:t>selecting samples of participants who are “</w:t>
      </w:r>
      <w:r w:rsidR="00BB6CA6" w:rsidRPr="00591BB3">
        <w:rPr>
          <w:rFonts w:ascii="Times New Roman" w:hAnsi="Times New Roman"/>
          <w:color w:val="000000"/>
          <w:sz w:val="24"/>
          <w:szCs w:val="24"/>
        </w:rPr>
        <w:t>broadly representative” of the affected public</w:t>
      </w:r>
      <w:r w:rsidR="00F136D6" w:rsidRPr="00591BB3">
        <w:rPr>
          <w:rFonts w:ascii="Times New Roman" w:hAnsi="Times New Roman"/>
          <w:color w:val="000000"/>
          <w:sz w:val="24"/>
          <w:szCs w:val="24"/>
        </w:rPr>
        <w:t xml:space="preserve"> (Rower &amp; Frewer, 2000)</w:t>
      </w:r>
      <w:r w:rsidR="00BB6CA6"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CC0A52">
      <w:pPr>
        <w:pStyle w:val="NoSpacing"/>
        <w:rPr>
          <w:rFonts w:ascii="Times New Roman" w:hAnsi="Times New Roman"/>
          <w:sz w:val="24"/>
          <w:szCs w:val="24"/>
        </w:rPr>
      </w:pPr>
      <w:r w:rsidRPr="00591BB3">
        <w:rPr>
          <w:rFonts w:ascii="Times New Roman" w:hAnsi="Times New Roman"/>
          <w:sz w:val="24"/>
          <w:szCs w:val="24"/>
        </w:rPr>
        <w:t>The study will take place in four purposively selected geographic regions</w:t>
      </w:r>
      <w:r w:rsidR="00982BE3" w:rsidRPr="00591BB3">
        <w:rPr>
          <w:rFonts w:ascii="Times New Roman" w:hAnsi="Times New Roman"/>
          <w:sz w:val="24"/>
          <w:szCs w:val="24"/>
        </w:rPr>
        <w:t xml:space="preserve">. </w:t>
      </w:r>
      <w:r w:rsidR="00BA6063" w:rsidRPr="00591BB3">
        <w:rPr>
          <w:rFonts w:ascii="Times New Roman" w:hAnsi="Times New Roman"/>
          <w:sz w:val="24"/>
          <w:szCs w:val="24"/>
        </w:rPr>
        <w:t xml:space="preserve">This is </w:t>
      </w:r>
      <w:r w:rsidRPr="00591BB3">
        <w:rPr>
          <w:rFonts w:ascii="Times New Roman" w:hAnsi="Times New Roman"/>
          <w:sz w:val="24"/>
          <w:szCs w:val="24"/>
        </w:rPr>
        <w:t xml:space="preserve">because </w:t>
      </w:r>
      <w:r w:rsidR="00CB4F27" w:rsidRPr="00591BB3">
        <w:rPr>
          <w:rFonts w:ascii="Times New Roman" w:hAnsi="Times New Roman"/>
          <w:sz w:val="24"/>
          <w:szCs w:val="24"/>
        </w:rPr>
        <w:t>three</w:t>
      </w:r>
      <w:r w:rsidR="00743B43" w:rsidRPr="00591BB3">
        <w:rPr>
          <w:rFonts w:ascii="Times New Roman" w:hAnsi="Times New Roman"/>
          <w:sz w:val="24"/>
          <w:szCs w:val="24"/>
        </w:rPr>
        <w:t xml:space="preserve"> </w:t>
      </w:r>
      <w:r w:rsidRPr="00591BB3">
        <w:rPr>
          <w:rFonts w:ascii="Times New Roman" w:hAnsi="Times New Roman"/>
          <w:sz w:val="24"/>
          <w:szCs w:val="24"/>
        </w:rPr>
        <w:t>of the deliberative methods require in-person participation in groups at a common location</w:t>
      </w:r>
      <w:r w:rsidR="009B16E8" w:rsidRPr="00591BB3">
        <w:rPr>
          <w:rFonts w:ascii="Times New Roman" w:hAnsi="Times New Roman"/>
          <w:sz w:val="24"/>
          <w:szCs w:val="24"/>
        </w:rPr>
        <w:t xml:space="preserve">. </w:t>
      </w:r>
      <w:r w:rsidR="009D15CB" w:rsidRPr="00591BB3">
        <w:rPr>
          <w:rFonts w:ascii="Times New Roman" w:hAnsi="Times New Roman"/>
          <w:sz w:val="24"/>
          <w:szCs w:val="24"/>
        </w:rPr>
        <w:t xml:space="preserve">We selected </w:t>
      </w:r>
      <w:r w:rsidRPr="00591BB3">
        <w:rPr>
          <w:rFonts w:ascii="Times New Roman" w:hAnsi="Times New Roman"/>
          <w:sz w:val="24"/>
          <w:szCs w:val="24"/>
        </w:rPr>
        <w:t xml:space="preserve">the </w:t>
      </w:r>
      <w:r w:rsidR="00BB6CA6" w:rsidRPr="00591BB3">
        <w:rPr>
          <w:rFonts w:ascii="Times New Roman" w:hAnsi="Times New Roman"/>
          <w:sz w:val="24"/>
          <w:szCs w:val="24"/>
        </w:rPr>
        <w:t>four locations</w:t>
      </w:r>
      <w:r w:rsidR="009D15CB" w:rsidRPr="00591BB3">
        <w:rPr>
          <w:rFonts w:ascii="Times New Roman" w:hAnsi="Times New Roman"/>
          <w:sz w:val="24"/>
          <w:szCs w:val="24"/>
        </w:rPr>
        <w:t xml:space="preserve"> </w:t>
      </w:r>
      <w:r w:rsidRPr="00591BB3">
        <w:rPr>
          <w:rFonts w:ascii="Times New Roman" w:hAnsi="Times New Roman"/>
          <w:sz w:val="24"/>
          <w:szCs w:val="24"/>
        </w:rPr>
        <w:t>to achieve</w:t>
      </w:r>
      <w:r w:rsidR="00BB6CA6" w:rsidRPr="00591BB3">
        <w:rPr>
          <w:rFonts w:ascii="Times New Roman" w:hAnsi="Times New Roman"/>
          <w:sz w:val="24"/>
          <w:szCs w:val="24"/>
        </w:rPr>
        <w:t xml:space="preserve"> racial/ethnic, socioeconomic, and geographic diversity</w:t>
      </w:r>
      <w:r w:rsidR="009D15CB" w:rsidRPr="00591BB3">
        <w:rPr>
          <w:rFonts w:ascii="Times New Roman" w:hAnsi="Times New Roman"/>
          <w:sz w:val="24"/>
          <w:szCs w:val="24"/>
        </w:rPr>
        <w:t>; these are</w:t>
      </w:r>
      <w:r w:rsidR="00E514E0" w:rsidRPr="00591BB3">
        <w:rPr>
          <w:rFonts w:ascii="Times New Roman" w:hAnsi="Times New Roman"/>
          <w:sz w:val="24"/>
          <w:szCs w:val="24"/>
        </w:rPr>
        <w:t xml:space="preserve">: Chicago, IL; Washington, DC; </w:t>
      </w:r>
      <w:r w:rsidR="00CB4F27" w:rsidRPr="00591BB3">
        <w:rPr>
          <w:rFonts w:ascii="Times New Roman" w:hAnsi="Times New Roman"/>
          <w:sz w:val="24"/>
          <w:szCs w:val="24"/>
        </w:rPr>
        <w:t>Raleigh</w:t>
      </w:r>
      <w:r w:rsidR="00743B43" w:rsidRPr="00591BB3">
        <w:rPr>
          <w:rFonts w:ascii="Times New Roman" w:hAnsi="Times New Roman"/>
          <w:sz w:val="24"/>
          <w:szCs w:val="24"/>
        </w:rPr>
        <w:t>-</w:t>
      </w:r>
      <w:r w:rsidR="003D42CD" w:rsidRPr="00591BB3">
        <w:rPr>
          <w:rFonts w:ascii="Times New Roman" w:hAnsi="Times New Roman"/>
          <w:sz w:val="24"/>
          <w:szCs w:val="24"/>
        </w:rPr>
        <w:t>Chapel Hill</w:t>
      </w:r>
      <w:r w:rsidR="00BB6CA6" w:rsidRPr="00591BB3">
        <w:rPr>
          <w:rFonts w:ascii="Times New Roman" w:hAnsi="Times New Roman"/>
          <w:sz w:val="24"/>
          <w:szCs w:val="24"/>
        </w:rPr>
        <w:t>-Durham, NC; and Sacramento, CA</w:t>
      </w:r>
      <w:r w:rsidR="00743B43" w:rsidRPr="00591BB3">
        <w:rPr>
          <w:rFonts w:ascii="Times New Roman" w:hAnsi="Times New Roman"/>
          <w:sz w:val="24"/>
          <w:szCs w:val="24"/>
        </w:rPr>
        <w:t>.</w:t>
      </w:r>
      <w:r w:rsidR="002D620B" w:rsidRPr="00591BB3">
        <w:rPr>
          <w:rFonts w:ascii="Times New Roman" w:hAnsi="Times New Roman"/>
          <w:sz w:val="24"/>
          <w:szCs w:val="24"/>
        </w:rPr>
        <w:t xml:space="preserve"> We selected two very large, highly urbanized areas with relatively large African American and Hispanic populations to ensure we will have adequate samples of ethnic minority populations (Chicago and Washington</w:t>
      </w:r>
      <w:r w:rsidR="009B16E8" w:rsidRPr="00591BB3">
        <w:rPr>
          <w:rFonts w:ascii="Times New Roman" w:hAnsi="Times New Roman"/>
          <w:sz w:val="24"/>
          <w:szCs w:val="24"/>
        </w:rPr>
        <w:t xml:space="preserve"> DC</w:t>
      </w:r>
      <w:r w:rsidR="00E514E0" w:rsidRPr="00591BB3">
        <w:rPr>
          <w:rFonts w:ascii="Times New Roman" w:hAnsi="Times New Roman"/>
          <w:sz w:val="24"/>
          <w:szCs w:val="24"/>
        </w:rPr>
        <w:t xml:space="preserve">) and two locations that are moderate-sized cities surrounded by rural areas within easy driving distance to increase access to non-urban residents. We will draw samples roughly representative of the local populations in each of the four areas. </w:t>
      </w:r>
      <w:r w:rsidR="009B16E8" w:rsidRPr="00591BB3">
        <w:rPr>
          <w:rFonts w:ascii="Times New Roman" w:hAnsi="Times New Roman"/>
          <w:sz w:val="24"/>
          <w:szCs w:val="24"/>
        </w:rPr>
        <w:t>An important s</w:t>
      </w:r>
      <w:r w:rsidR="00143594" w:rsidRPr="00591BB3">
        <w:rPr>
          <w:rFonts w:ascii="Times New Roman" w:hAnsi="Times New Roman"/>
          <w:sz w:val="24"/>
          <w:szCs w:val="24"/>
        </w:rPr>
        <w:t xml:space="preserve">trength of this approach </w:t>
      </w:r>
      <w:r w:rsidR="009B16E8" w:rsidRPr="00591BB3">
        <w:rPr>
          <w:rFonts w:ascii="Times New Roman" w:hAnsi="Times New Roman"/>
          <w:sz w:val="24"/>
          <w:szCs w:val="24"/>
        </w:rPr>
        <w:t xml:space="preserve">is that it minimizes </w:t>
      </w:r>
      <w:r w:rsidR="00143594" w:rsidRPr="00591BB3">
        <w:rPr>
          <w:rFonts w:ascii="Times New Roman" w:hAnsi="Times New Roman"/>
          <w:sz w:val="24"/>
          <w:szCs w:val="24"/>
        </w:rPr>
        <w:t>participant burden</w:t>
      </w:r>
      <w:r w:rsidR="00A60490" w:rsidRPr="00591BB3">
        <w:rPr>
          <w:rFonts w:ascii="Times New Roman" w:hAnsi="Times New Roman"/>
          <w:sz w:val="24"/>
          <w:szCs w:val="24"/>
        </w:rPr>
        <w:t>,</w:t>
      </w:r>
      <w:r w:rsidR="005E0BDB" w:rsidRPr="00591BB3">
        <w:rPr>
          <w:rFonts w:ascii="Times New Roman" w:hAnsi="Times New Roman"/>
          <w:sz w:val="24"/>
          <w:szCs w:val="24"/>
        </w:rPr>
        <w:t xml:space="preserve"> </w:t>
      </w:r>
      <w:r w:rsidR="009B16E8" w:rsidRPr="00591BB3">
        <w:rPr>
          <w:rFonts w:ascii="Times New Roman" w:hAnsi="Times New Roman"/>
          <w:sz w:val="24"/>
          <w:szCs w:val="24"/>
        </w:rPr>
        <w:t xml:space="preserve">as </w:t>
      </w:r>
      <w:r w:rsidR="005E0BDB" w:rsidRPr="00591BB3">
        <w:rPr>
          <w:rFonts w:ascii="Times New Roman" w:hAnsi="Times New Roman"/>
          <w:sz w:val="24"/>
          <w:szCs w:val="24"/>
        </w:rPr>
        <w:t>participant travel is local. This has the additional likely benefit of increasing the range of individuals willing to participate in the study, and thus the representativeness of participants.</w:t>
      </w:r>
      <w:r w:rsidR="00A4149C" w:rsidRPr="00591BB3">
        <w:rPr>
          <w:rFonts w:ascii="Times New Roman" w:hAnsi="Times New Roman"/>
          <w:sz w:val="24"/>
          <w:szCs w:val="24"/>
        </w:rPr>
        <w:t xml:space="preserve"> Inclusion criteria for the study population are: English-speaking, ages 18 and over, and residency in one of the four selected locations.  </w:t>
      </w:r>
    </w:p>
    <w:p w:rsidR="00627AC6" w:rsidRPr="00591BB3" w:rsidRDefault="00627AC6">
      <w:pPr>
        <w:pStyle w:val="NoSpacing"/>
        <w:rPr>
          <w:rFonts w:ascii="Times New Roman" w:hAnsi="Times New Roman"/>
          <w:sz w:val="24"/>
          <w:szCs w:val="24"/>
        </w:rPr>
      </w:pPr>
    </w:p>
    <w:p w:rsidR="00627AC6" w:rsidRPr="00591BB3" w:rsidRDefault="00EE4270">
      <w:pPr>
        <w:pStyle w:val="NoSpacing"/>
        <w:rPr>
          <w:rFonts w:ascii="Times New Roman" w:hAnsi="Times New Roman"/>
          <w:sz w:val="24"/>
          <w:szCs w:val="24"/>
        </w:rPr>
      </w:pPr>
      <w:r w:rsidRPr="00591BB3">
        <w:rPr>
          <w:rFonts w:ascii="Times New Roman" w:hAnsi="Times New Roman"/>
          <w:b/>
          <w:i/>
          <w:sz w:val="24"/>
          <w:szCs w:val="24"/>
        </w:rPr>
        <w:t>Internet access.</w:t>
      </w:r>
      <w:r w:rsidR="00646827" w:rsidRPr="00591BB3">
        <w:rPr>
          <w:rFonts w:ascii="Times New Roman" w:hAnsi="Times New Roman"/>
          <w:sz w:val="24"/>
          <w:szCs w:val="24"/>
        </w:rPr>
        <w:t xml:space="preserve"> T</w:t>
      </w:r>
      <w:r w:rsidR="00F01CB2" w:rsidRPr="00591BB3">
        <w:rPr>
          <w:rFonts w:ascii="Times New Roman" w:hAnsi="Times New Roman"/>
          <w:sz w:val="24"/>
          <w:szCs w:val="24"/>
        </w:rPr>
        <w:t>he sample will be</w:t>
      </w:r>
      <w:r w:rsidR="00FC4F81" w:rsidRPr="00591BB3">
        <w:rPr>
          <w:rFonts w:ascii="Times New Roman" w:hAnsi="Times New Roman"/>
          <w:sz w:val="24"/>
          <w:szCs w:val="24"/>
        </w:rPr>
        <w:t xml:space="preserve"> further</w:t>
      </w:r>
      <w:r w:rsidR="00F01CB2" w:rsidRPr="00591BB3">
        <w:rPr>
          <w:rFonts w:ascii="Times New Roman" w:hAnsi="Times New Roman"/>
          <w:sz w:val="24"/>
          <w:szCs w:val="24"/>
        </w:rPr>
        <w:t xml:space="preserve"> limited to individuals with access to the Internet. </w:t>
      </w:r>
      <w:r w:rsidR="00C47DA9" w:rsidRPr="00591BB3">
        <w:rPr>
          <w:rFonts w:ascii="Times New Roman" w:hAnsi="Times New Roman"/>
          <w:sz w:val="24"/>
          <w:szCs w:val="24"/>
        </w:rPr>
        <w:t xml:space="preserve">This </w:t>
      </w:r>
      <w:r w:rsidR="00646827" w:rsidRPr="00591BB3">
        <w:rPr>
          <w:rFonts w:ascii="Times New Roman" w:hAnsi="Times New Roman"/>
          <w:sz w:val="24"/>
          <w:szCs w:val="24"/>
        </w:rPr>
        <w:t>criterion</w:t>
      </w:r>
      <w:r w:rsidR="00C47DA9" w:rsidRPr="00591BB3">
        <w:rPr>
          <w:rFonts w:ascii="Times New Roman" w:hAnsi="Times New Roman"/>
          <w:sz w:val="24"/>
          <w:szCs w:val="24"/>
        </w:rPr>
        <w:t xml:space="preserve"> is imposed because </w:t>
      </w:r>
      <w:r w:rsidR="00F8229B" w:rsidRPr="00591BB3">
        <w:rPr>
          <w:rFonts w:ascii="Times New Roman" w:hAnsi="Times New Roman"/>
          <w:sz w:val="24"/>
          <w:szCs w:val="24"/>
        </w:rPr>
        <w:t xml:space="preserve">two of the </w:t>
      </w:r>
      <w:r w:rsidR="0041632A" w:rsidRPr="00591BB3">
        <w:rPr>
          <w:rFonts w:ascii="Times New Roman" w:hAnsi="Times New Roman"/>
          <w:sz w:val="24"/>
          <w:szCs w:val="24"/>
        </w:rPr>
        <w:t>four</w:t>
      </w:r>
      <w:r w:rsidR="00743B43" w:rsidRPr="00591BB3">
        <w:rPr>
          <w:rFonts w:ascii="Times New Roman" w:hAnsi="Times New Roman"/>
          <w:sz w:val="24"/>
          <w:szCs w:val="24"/>
        </w:rPr>
        <w:t xml:space="preserve"> </w:t>
      </w:r>
      <w:r w:rsidR="00F8229B" w:rsidRPr="00591BB3">
        <w:rPr>
          <w:rFonts w:ascii="Times New Roman" w:hAnsi="Times New Roman"/>
          <w:sz w:val="24"/>
          <w:szCs w:val="24"/>
        </w:rPr>
        <w:t>deliberative methods require Internet access</w:t>
      </w:r>
      <w:r w:rsidR="00A912E0" w:rsidRPr="00591BB3">
        <w:rPr>
          <w:rFonts w:ascii="Times New Roman" w:hAnsi="Times New Roman"/>
          <w:sz w:val="24"/>
          <w:szCs w:val="24"/>
        </w:rPr>
        <w:t>,</w:t>
      </w:r>
      <w:r w:rsidR="00F8229B" w:rsidRPr="00591BB3">
        <w:rPr>
          <w:rFonts w:ascii="Times New Roman" w:hAnsi="Times New Roman"/>
          <w:sz w:val="24"/>
          <w:szCs w:val="24"/>
        </w:rPr>
        <w:t xml:space="preserve"> and random assignment of the study sample to deliberative methods requires comparability of the sample on key factors across the </w:t>
      </w:r>
      <w:r w:rsidR="0041632A" w:rsidRPr="00591BB3">
        <w:rPr>
          <w:rFonts w:ascii="Times New Roman" w:hAnsi="Times New Roman"/>
          <w:sz w:val="24"/>
          <w:szCs w:val="24"/>
        </w:rPr>
        <w:t>four</w:t>
      </w:r>
      <w:r w:rsidR="00743B43" w:rsidRPr="00591BB3">
        <w:rPr>
          <w:rFonts w:ascii="Times New Roman" w:hAnsi="Times New Roman"/>
          <w:sz w:val="24"/>
          <w:szCs w:val="24"/>
        </w:rPr>
        <w:t xml:space="preserve"> </w:t>
      </w:r>
      <w:r w:rsidR="00226206" w:rsidRPr="00591BB3">
        <w:rPr>
          <w:rFonts w:ascii="Times New Roman" w:hAnsi="Times New Roman"/>
          <w:sz w:val="24"/>
          <w:szCs w:val="24"/>
        </w:rPr>
        <w:t xml:space="preserve">deliberative </w:t>
      </w:r>
      <w:r w:rsidR="00F8229B" w:rsidRPr="00591BB3">
        <w:rPr>
          <w:rFonts w:ascii="Times New Roman" w:hAnsi="Times New Roman"/>
          <w:sz w:val="24"/>
          <w:szCs w:val="24"/>
        </w:rPr>
        <w:t xml:space="preserve">methods and </w:t>
      </w:r>
      <w:r w:rsidR="00226206" w:rsidRPr="00591BB3">
        <w:rPr>
          <w:rFonts w:ascii="Times New Roman" w:hAnsi="Times New Roman"/>
          <w:sz w:val="24"/>
          <w:szCs w:val="24"/>
        </w:rPr>
        <w:t xml:space="preserve">the </w:t>
      </w:r>
      <w:r w:rsidR="00F8229B" w:rsidRPr="00591BB3">
        <w:rPr>
          <w:rFonts w:ascii="Times New Roman" w:hAnsi="Times New Roman"/>
          <w:sz w:val="24"/>
          <w:szCs w:val="24"/>
        </w:rPr>
        <w:t>control group</w:t>
      </w:r>
      <w:r w:rsidR="00982BE3" w:rsidRPr="00591BB3">
        <w:rPr>
          <w:rFonts w:ascii="Times New Roman" w:hAnsi="Times New Roman"/>
          <w:sz w:val="24"/>
          <w:szCs w:val="24"/>
        </w:rPr>
        <w:t xml:space="preserve">. </w:t>
      </w:r>
      <w:r w:rsidR="00226206" w:rsidRPr="00591BB3">
        <w:rPr>
          <w:rFonts w:ascii="Times New Roman" w:hAnsi="Times New Roman"/>
          <w:sz w:val="24"/>
          <w:szCs w:val="24"/>
        </w:rPr>
        <w:t>This approach increases our</w:t>
      </w:r>
      <w:r w:rsidR="005E0BDB" w:rsidRPr="00591BB3">
        <w:rPr>
          <w:rFonts w:ascii="Times New Roman" w:hAnsi="Times New Roman"/>
          <w:sz w:val="24"/>
          <w:szCs w:val="24"/>
        </w:rPr>
        <w:t xml:space="preserve"> </w:t>
      </w:r>
      <w:r w:rsidR="00FC4F81" w:rsidRPr="00591BB3">
        <w:rPr>
          <w:rFonts w:ascii="Times New Roman" w:hAnsi="Times New Roman"/>
          <w:sz w:val="24"/>
          <w:szCs w:val="24"/>
        </w:rPr>
        <w:t xml:space="preserve">confidence that any observed differences among </w:t>
      </w:r>
      <w:r w:rsidR="00226206" w:rsidRPr="00591BB3">
        <w:rPr>
          <w:rFonts w:ascii="Times New Roman" w:hAnsi="Times New Roman"/>
          <w:sz w:val="24"/>
          <w:szCs w:val="24"/>
        </w:rPr>
        <w:t xml:space="preserve">the </w:t>
      </w:r>
      <w:r w:rsidR="00FC4F81" w:rsidRPr="00591BB3">
        <w:rPr>
          <w:rFonts w:ascii="Times New Roman" w:hAnsi="Times New Roman"/>
          <w:sz w:val="24"/>
          <w:szCs w:val="24"/>
        </w:rPr>
        <w:t xml:space="preserve">deliberative methods </w:t>
      </w:r>
      <w:r w:rsidR="00226206" w:rsidRPr="00591BB3">
        <w:rPr>
          <w:rFonts w:ascii="Times New Roman" w:hAnsi="Times New Roman"/>
          <w:sz w:val="24"/>
          <w:szCs w:val="24"/>
        </w:rPr>
        <w:t xml:space="preserve">and controls </w:t>
      </w:r>
      <w:r w:rsidR="00A60490" w:rsidRPr="00591BB3">
        <w:rPr>
          <w:rFonts w:ascii="Times New Roman" w:hAnsi="Times New Roman"/>
          <w:sz w:val="24"/>
          <w:szCs w:val="24"/>
        </w:rPr>
        <w:t xml:space="preserve">are </w:t>
      </w:r>
      <w:r w:rsidR="00FC4F81" w:rsidRPr="00591BB3">
        <w:rPr>
          <w:rFonts w:ascii="Times New Roman" w:hAnsi="Times New Roman"/>
          <w:sz w:val="24"/>
          <w:szCs w:val="24"/>
        </w:rPr>
        <w:t xml:space="preserve">due to the variations in </w:t>
      </w:r>
      <w:r w:rsidR="00FC4F81" w:rsidRPr="00591BB3">
        <w:rPr>
          <w:rFonts w:ascii="Times New Roman" w:hAnsi="Times New Roman"/>
          <w:sz w:val="24"/>
          <w:szCs w:val="24"/>
        </w:rPr>
        <w:lastRenderedPageBreak/>
        <w:t xml:space="preserve">method, and not to characteristics that may be systematically associated with having </w:t>
      </w:r>
      <w:r w:rsidR="00A60490" w:rsidRPr="00591BB3">
        <w:rPr>
          <w:rFonts w:ascii="Times New Roman" w:hAnsi="Times New Roman"/>
          <w:sz w:val="24"/>
          <w:szCs w:val="24"/>
        </w:rPr>
        <w:t>I</w:t>
      </w:r>
      <w:r w:rsidR="00FC4F81" w:rsidRPr="00591BB3">
        <w:rPr>
          <w:rFonts w:ascii="Times New Roman" w:hAnsi="Times New Roman"/>
          <w:sz w:val="24"/>
          <w:szCs w:val="24"/>
        </w:rPr>
        <w:t>nternet access</w:t>
      </w:r>
      <w:r w:rsidR="009B16E8" w:rsidRPr="00591BB3">
        <w:rPr>
          <w:rFonts w:ascii="Times New Roman" w:hAnsi="Times New Roman"/>
          <w:sz w:val="24"/>
          <w:szCs w:val="24"/>
        </w:rPr>
        <w:t xml:space="preserve">, enhancing </w:t>
      </w:r>
      <w:r w:rsidR="00F8229B" w:rsidRPr="00591BB3">
        <w:rPr>
          <w:rFonts w:ascii="Times New Roman" w:hAnsi="Times New Roman"/>
          <w:sz w:val="24"/>
          <w:szCs w:val="24"/>
        </w:rPr>
        <w:t>internal validity by keeping participants’ average Internet experience equal across the methods</w:t>
      </w:r>
      <w:r w:rsidR="00FC4F81" w:rsidRPr="00591BB3">
        <w:rPr>
          <w:rFonts w:ascii="Times New Roman" w:hAnsi="Times New Roman"/>
          <w:sz w:val="24"/>
          <w:szCs w:val="24"/>
        </w:rPr>
        <w:t xml:space="preserve">. </w:t>
      </w:r>
      <w:r w:rsidR="00A60490"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9B16E8">
      <w:pPr>
        <w:pStyle w:val="NoSpacing"/>
        <w:rPr>
          <w:rFonts w:ascii="Times New Roman" w:hAnsi="Times New Roman"/>
          <w:sz w:val="24"/>
          <w:szCs w:val="24"/>
        </w:rPr>
      </w:pPr>
      <w:r w:rsidRPr="00591BB3">
        <w:rPr>
          <w:rFonts w:ascii="Times New Roman" w:hAnsi="Times New Roman"/>
          <w:sz w:val="24"/>
          <w:szCs w:val="24"/>
        </w:rPr>
        <w:t xml:space="preserve">We have chosen the significant improvement in internal validity derived from limiting our sample to those with Internet access at the expense of a loss in external validity resulting from this strategy. Our judgment is based in part on data that show that </w:t>
      </w:r>
      <w:r w:rsidR="00226206" w:rsidRPr="00591BB3">
        <w:rPr>
          <w:rFonts w:ascii="Times New Roman" w:hAnsi="Times New Roman"/>
          <w:sz w:val="24"/>
          <w:szCs w:val="24"/>
        </w:rPr>
        <w:t xml:space="preserve">persons without any internet access represent a small and rapidly decreasing segment of the U.S. population. </w:t>
      </w:r>
      <w:r w:rsidR="00F8229B" w:rsidRPr="00591BB3">
        <w:rPr>
          <w:rFonts w:ascii="Times New Roman" w:hAnsi="Times New Roman"/>
          <w:sz w:val="24"/>
          <w:szCs w:val="24"/>
        </w:rPr>
        <w:t>The p</w:t>
      </w:r>
      <w:r w:rsidRPr="00591BB3">
        <w:rPr>
          <w:rFonts w:ascii="Times New Roman" w:hAnsi="Times New Roman"/>
          <w:sz w:val="24"/>
          <w:szCs w:val="24"/>
        </w:rPr>
        <w:t>roportion</w:t>
      </w:r>
      <w:r w:rsidR="00F8229B" w:rsidRPr="00591BB3">
        <w:rPr>
          <w:rFonts w:ascii="Times New Roman" w:hAnsi="Times New Roman"/>
          <w:sz w:val="24"/>
          <w:szCs w:val="24"/>
        </w:rPr>
        <w:t xml:space="preserve"> of households connecting to the Internet at home using broadband grew from 9.2% in 2001</w:t>
      </w:r>
      <w:r w:rsidRPr="00591BB3">
        <w:rPr>
          <w:rFonts w:ascii="Times New Roman" w:hAnsi="Times New Roman"/>
          <w:sz w:val="24"/>
          <w:szCs w:val="24"/>
        </w:rPr>
        <w:t>,</w:t>
      </w:r>
      <w:r w:rsidR="00F8229B" w:rsidRPr="00591BB3">
        <w:rPr>
          <w:rFonts w:ascii="Times New Roman" w:hAnsi="Times New Roman"/>
          <w:sz w:val="24"/>
          <w:szCs w:val="24"/>
        </w:rPr>
        <w:t xml:space="preserve"> to 63.5% in 2009</w:t>
      </w:r>
      <w:r w:rsidR="00A10B59" w:rsidRPr="00591BB3">
        <w:rPr>
          <w:rFonts w:ascii="Times New Roman" w:hAnsi="Times New Roman"/>
          <w:sz w:val="24"/>
          <w:szCs w:val="24"/>
        </w:rPr>
        <w:t xml:space="preserve"> (U.S. Department of Commerce, 2010)</w:t>
      </w:r>
      <w:r w:rsidR="00982BE3" w:rsidRPr="00591BB3">
        <w:rPr>
          <w:rFonts w:ascii="Times New Roman" w:hAnsi="Times New Roman"/>
          <w:sz w:val="24"/>
          <w:szCs w:val="24"/>
        </w:rPr>
        <w:t xml:space="preserve">. </w:t>
      </w:r>
      <w:r w:rsidR="00A60490" w:rsidRPr="00591BB3">
        <w:rPr>
          <w:rFonts w:ascii="Times New Roman" w:hAnsi="Times New Roman"/>
          <w:sz w:val="24"/>
          <w:szCs w:val="24"/>
        </w:rPr>
        <w:t>The c</w:t>
      </w:r>
      <w:r w:rsidR="00F8229B" w:rsidRPr="00591BB3">
        <w:rPr>
          <w:rFonts w:ascii="Times New Roman" w:hAnsi="Times New Roman"/>
          <w:sz w:val="24"/>
          <w:szCs w:val="24"/>
        </w:rPr>
        <w:t>urrent goal</w:t>
      </w:r>
      <w:r w:rsidR="00A60490" w:rsidRPr="00591BB3">
        <w:rPr>
          <w:rFonts w:ascii="Times New Roman" w:hAnsi="Times New Roman"/>
          <w:sz w:val="24"/>
          <w:szCs w:val="24"/>
        </w:rPr>
        <w:t xml:space="preserve"> is</w:t>
      </w:r>
      <w:r w:rsidR="00F8229B" w:rsidRPr="00591BB3">
        <w:rPr>
          <w:rFonts w:ascii="Times New Roman" w:hAnsi="Times New Roman"/>
          <w:sz w:val="24"/>
          <w:szCs w:val="24"/>
        </w:rPr>
        <w:t xml:space="preserve"> for 98% of Americans to have access to high-speed wireless Internet services within five years</w:t>
      </w:r>
      <w:r w:rsidR="00A10B59" w:rsidRPr="00591BB3">
        <w:rPr>
          <w:rFonts w:ascii="Times New Roman" w:hAnsi="Times New Roman"/>
          <w:sz w:val="24"/>
          <w:szCs w:val="24"/>
        </w:rPr>
        <w:t xml:space="preserve"> (Office of the Secretary, 2011)</w:t>
      </w:r>
    </w:p>
    <w:p w:rsidR="00627AC6" w:rsidRPr="00591BB3" w:rsidRDefault="00627AC6">
      <w:pPr>
        <w:pStyle w:val="NoSpacing"/>
        <w:rPr>
          <w:rFonts w:ascii="Times New Roman" w:hAnsi="Times New Roman"/>
          <w:sz w:val="24"/>
          <w:szCs w:val="24"/>
        </w:rPr>
      </w:pPr>
    </w:p>
    <w:p w:rsidR="00627AC6" w:rsidRPr="00591BB3" w:rsidRDefault="009B16E8">
      <w:pPr>
        <w:pStyle w:val="NoSpacing"/>
        <w:rPr>
          <w:rFonts w:ascii="Times New Roman" w:hAnsi="Times New Roman"/>
          <w:sz w:val="24"/>
          <w:szCs w:val="24"/>
        </w:rPr>
      </w:pPr>
      <w:r w:rsidRPr="00591BB3">
        <w:rPr>
          <w:rFonts w:ascii="Times New Roman" w:hAnsi="Times New Roman"/>
          <w:sz w:val="24"/>
          <w:szCs w:val="24"/>
        </w:rPr>
        <w:t xml:space="preserve">Although our sampling strategy will exclude persons with no internet access at all, it will include persons along the entire spectrum of internet usage from infrequent, low-skilled users to frequent, skillful users. We will measure internet sophistication with our pre-intervention survey and control for it in the statistical models. </w:t>
      </w:r>
    </w:p>
    <w:p w:rsidR="00627AC6" w:rsidRPr="00591BB3" w:rsidRDefault="00627AC6">
      <w:pPr>
        <w:pStyle w:val="NoSpacing"/>
        <w:rPr>
          <w:rFonts w:ascii="Times New Roman" w:hAnsi="Times New Roman"/>
          <w:sz w:val="24"/>
          <w:szCs w:val="24"/>
        </w:rPr>
      </w:pPr>
    </w:p>
    <w:p w:rsidR="00627AC6" w:rsidRPr="00591BB3" w:rsidRDefault="00F8229B">
      <w:pPr>
        <w:rPr>
          <w:b/>
        </w:rPr>
      </w:pPr>
      <w:bookmarkStart w:id="11" w:name="_Toc293484476"/>
      <w:bookmarkStart w:id="12" w:name="_Toc301878587"/>
      <w:bookmarkStart w:id="13" w:name="_Toc301878637"/>
      <w:bookmarkStart w:id="14" w:name="_Toc287009803"/>
      <w:bookmarkStart w:id="15" w:name="_Toc293484479"/>
      <w:r w:rsidRPr="00591BB3">
        <w:rPr>
          <w:b/>
        </w:rPr>
        <w:t>Sampling Strategy</w:t>
      </w:r>
      <w:bookmarkEnd w:id="11"/>
      <w:bookmarkEnd w:id="12"/>
      <w:bookmarkEnd w:id="13"/>
    </w:p>
    <w:p w:rsidR="00627AC6" w:rsidRPr="00591BB3" w:rsidRDefault="00627AC6">
      <w:pPr>
        <w:pStyle w:val="NoSpacing"/>
        <w:rPr>
          <w:rFonts w:ascii="Times New Roman" w:hAnsi="Times New Roman"/>
          <w:sz w:val="24"/>
          <w:szCs w:val="24"/>
        </w:rPr>
      </w:pPr>
    </w:p>
    <w:p w:rsidR="00627AC6" w:rsidRPr="00591BB3" w:rsidRDefault="00F7789B">
      <w:pPr>
        <w:pStyle w:val="NoSpacing"/>
        <w:rPr>
          <w:rFonts w:ascii="Times New Roman" w:hAnsi="Times New Roman"/>
          <w:sz w:val="24"/>
          <w:szCs w:val="24"/>
        </w:rPr>
      </w:pPr>
      <w:r w:rsidRPr="00591BB3">
        <w:rPr>
          <w:rFonts w:ascii="Times New Roman" w:hAnsi="Times New Roman"/>
          <w:sz w:val="24"/>
          <w:szCs w:val="24"/>
        </w:rPr>
        <w:t>Our sampling approach will enable us to obtain samples that: (</w:t>
      </w:r>
      <w:r w:rsidR="002075FF" w:rsidRPr="00591BB3">
        <w:rPr>
          <w:rFonts w:ascii="Times New Roman" w:hAnsi="Times New Roman"/>
          <w:sz w:val="24"/>
          <w:szCs w:val="24"/>
        </w:rPr>
        <w:t>1</w:t>
      </w:r>
      <w:r w:rsidRPr="00591BB3">
        <w:rPr>
          <w:rFonts w:ascii="Times New Roman" w:hAnsi="Times New Roman"/>
          <w:sz w:val="24"/>
          <w:szCs w:val="24"/>
        </w:rPr>
        <w:t xml:space="preserve">) represent the local </w:t>
      </w:r>
      <w:r w:rsidR="00530107" w:rsidRPr="00591BB3">
        <w:rPr>
          <w:rFonts w:ascii="Times New Roman" w:hAnsi="Times New Roman"/>
          <w:sz w:val="24"/>
          <w:szCs w:val="24"/>
        </w:rPr>
        <w:t>population</w:t>
      </w:r>
      <w:r w:rsidR="002141F0" w:rsidRPr="00591BB3">
        <w:rPr>
          <w:rFonts w:ascii="Times New Roman" w:hAnsi="Times New Roman"/>
          <w:sz w:val="24"/>
          <w:szCs w:val="24"/>
        </w:rPr>
        <w:t>’s</w:t>
      </w:r>
      <w:r w:rsidR="00530107" w:rsidRPr="00591BB3">
        <w:rPr>
          <w:rFonts w:ascii="Times New Roman" w:hAnsi="Times New Roman"/>
          <w:sz w:val="24"/>
          <w:szCs w:val="24"/>
        </w:rPr>
        <w:t xml:space="preserve"> </w:t>
      </w:r>
      <w:r w:rsidRPr="00591BB3">
        <w:rPr>
          <w:rFonts w:ascii="Times New Roman" w:hAnsi="Times New Roman"/>
          <w:sz w:val="24"/>
          <w:szCs w:val="24"/>
        </w:rPr>
        <w:t>demographic distribution, and (</w:t>
      </w:r>
      <w:r w:rsidR="002075FF" w:rsidRPr="00591BB3">
        <w:rPr>
          <w:rFonts w:ascii="Times New Roman" w:hAnsi="Times New Roman"/>
          <w:sz w:val="24"/>
          <w:szCs w:val="24"/>
        </w:rPr>
        <w:t>2</w:t>
      </w:r>
      <w:r w:rsidRPr="00591BB3">
        <w:rPr>
          <w:rFonts w:ascii="Times New Roman" w:hAnsi="Times New Roman"/>
          <w:sz w:val="24"/>
          <w:szCs w:val="24"/>
        </w:rPr>
        <w:t xml:space="preserve">) provide </w:t>
      </w:r>
      <w:r w:rsidR="00FC4F81" w:rsidRPr="00591BB3">
        <w:rPr>
          <w:rFonts w:ascii="Times New Roman" w:hAnsi="Times New Roman"/>
          <w:sz w:val="24"/>
          <w:szCs w:val="24"/>
        </w:rPr>
        <w:t xml:space="preserve">adequate numbers of </w:t>
      </w:r>
      <w:r w:rsidRPr="00591BB3">
        <w:rPr>
          <w:rFonts w:ascii="Times New Roman" w:hAnsi="Times New Roman"/>
          <w:sz w:val="24"/>
          <w:szCs w:val="24"/>
        </w:rPr>
        <w:t xml:space="preserve">participants from </w:t>
      </w:r>
      <w:r w:rsidR="00B125AF" w:rsidRPr="00591BB3">
        <w:rPr>
          <w:rFonts w:ascii="Times New Roman" w:hAnsi="Times New Roman"/>
          <w:sz w:val="24"/>
          <w:szCs w:val="24"/>
        </w:rPr>
        <w:t xml:space="preserve">AHRQ-defined </w:t>
      </w:r>
      <w:r w:rsidRPr="00591BB3">
        <w:rPr>
          <w:rFonts w:ascii="Times New Roman" w:hAnsi="Times New Roman"/>
          <w:sz w:val="24"/>
          <w:szCs w:val="24"/>
        </w:rPr>
        <w:t>priority populations</w:t>
      </w:r>
      <w:r w:rsidR="00BD0AEE" w:rsidRPr="00591BB3">
        <w:rPr>
          <w:rFonts w:ascii="Times New Roman" w:hAnsi="Times New Roman"/>
          <w:sz w:val="24"/>
          <w:szCs w:val="24"/>
        </w:rPr>
        <w:t xml:space="preserve">, including participants </w:t>
      </w:r>
      <w:r w:rsidR="00391FF3" w:rsidRPr="00591BB3">
        <w:rPr>
          <w:rFonts w:ascii="Times New Roman" w:hAnsi="Times New Roman"/>
          <w:sz w:val="24"/>
          <w:szCs w:val="24"/>
        </w:rPr>
        <w:t>who are Hispanic and bilingual in English and Spanish</w:t>
      </w:r>
      <w:r w:rsidR="002075FF" w:rsidRPr="00591BB3">
        <w:rPr>
          <w:rFonts w:ascii="Times New Roman" w:hAnsi="Times New Roman"/>
          <w:sz w:val="24"/>
          <w:szCs w:val="24"/>
        </w:rPr>
        <w:t xml:space="preserve">, and (3) have access to the Internet. </w:t>
      </w:r>
      <w:r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ED53B2">
      <w:r w:rsidRPr="00591BB3">
        <w:rPr>
          <w:lang w:bidi="en-US"/>
        </w:rPr>
        <w:t>Participants will be recruited from the</w:t>
      </w:r>
      <w:r w:rsidR="00346DA4" w:rsidRPr="00591BB3">
        <w:rPr>
          <w:lang w:bidi="en-US"/>
        </w:rPr>
        <w:t xml:space="preserve"> database</w:t>
      </w:r>
      <w:r w:rsidRPr="00591BB3">
        <w:rPr>
          <w:lang w:bidi="en-US"/>
        </w:rPr>
        <w:t>s</w:t>
      </w:r>
      <w:r w:rsidR="00346DA4" w:rsidRPr="00591BB3">
        <w:rPr>
          <w:lang w:bidi="en-US"/>
        </w:rPr>
        <w:t xml:space="preserve"> maintained by </w:t>
      </w:r>
      <w:r w:rsidRPr="00591BB3">
        <w:rPr>
          <w:lang w:bidi="en-US"/>
        </w:rPr>
        <w:t>professional recruiting firms operat</w:t>
      </w:r>
      <w:r w:rsidR="00E27063" w:rsidRPr="00591BB3">
        <w:rPr>
          <w:lang w:bidi="en-US"/>
        </w:rPr>
        <w:t>i</w:t>
      </w:r>
      <w:r w:rsidRPr="00591BB3">
        <w:rPr>
          <w:lang w:bidi="en-US"/>
        </w:rPr>
        <w:t>ng in the four study locales.</w:t>
      </w:r>
      <w:r w:rsidR="00346DA4" w:rsidRPr="00591BB3">
        <w:rPr>
          <w:lang w:bidi="en-US"/>
        </w:rPr>
        <w:t xml:space="preserve"> </w:t>
      </w:r>
      <w:r w:rsidR="00346DA4" w:rsidRPr="00591BB3">
        <w:t>AIR</w:t>
      </w:r>
      <w:r w:rsidR="007E52CF" w:rsidRPr="00591BB3">
        <w:t>, AHRQ’s contractor for this study,</w:t>
      </w:r>
      <w:r w:rsidR="00346DA4" w:rsidRPr="00591BB3">
        <w:t xml:space="preserve"> will contract with </w:t>
      </w:r>
      <w:r w:rsidRPr="00591BB3">
        <w:t xml:space="preserve">a </w:t>
      </w:r>
      <w:r w:rsidR="00346DA4" w:rsidRPr="00591BB3">
        <w:t xml:space="preserve">local recruitment firm </w:t>
      </w:r>
      <w:r w:rsidRPr="00591BB3">
        <w:t>in each of</w:t>
      </w:r>
      <w:r w:rsidR="00346DA4" w:rsidRPr="00591BB3">
        <w:t xml:space="preserve"> the four geographic locations. The following section briefly describes the recruitment firms</w:t>
      </w:r>
      <w:r w:rsidR="002075FF" w:rsidRPr="00591BB3">
        <w:t xml:space="preserve"> and recruiting approach.  </w:t>
      </w:r>
    </w:p>
    <w:p w:rsidR="00627AC6" w:rsidRPr="00591BB3" w:rsidRDefault="00627AC6"/>
    <w:p w:rsidR="001A6DC9" w:rsidRPr="00591BB3" w:rsidRDefault="0041632A">
      <w:pPr>
        <w:pStyle w:val="Heading3"/>
        <w:spacing w:before="0" w:after="0"/>
        <w:rPr>
          <w:rFonts w:ascii="Times New Roman" w:hAnsi="Times New Roman"/>
          <w:b w:val="0"/>
          <w:i/>
          <w:sz w:val="24"/>
          <w:szCs w:val="24"/>
          <w:u w:val="single"/>
        </w:rPr>
      </w:pPr>
      <w:bookmarkStart w:id="16" w:name="_Toc315966154"/>
      <w:bookmarkStart w:id="17" w:name="_Toc326767326"/>
      <w:r w:rsidRPr="00591BB3">
        <w:rPr>
          <w:rFonts w:ascii="Times New Roman" w:hAnsi="Times New Roman"/>
          <w:b w:val="0"/>
          <w:i/>
          <w:sz w:val="24"/>
          <w:szCs w:val="24"/>
          <w:u w:val="single"/>
        </w:rPr>
        <w:t>The Roles of Recruitment Firms</w:t>
      </w:r>
    </w:p>
    <w:p w:rsidR="001A6DC9" w:rsidRPr="00591BB3" w:rsidRDefault="0041632A">
      <w:pPr>
        <w:ind w:left="360"/>
        <w:rPr>
          <w:rFonts w:eastAsia="Calibri"/>
        </w:rPr>
      </w:pPr>
      <w:r w:rsidRPr="00591BB3">
        <w:rPr>
          <w:rFonts w:eastAsia="Calibri"/>
          <w:i/>
        </w:rPr>
        <w:t>North Carolina area, First in Focus</w:t>
      </w:r>
      <w:r w:rsidR="00982BE3" w:rsidRPr="00591BB3">
        <w:rPr>
          <w:rFonts w:eastAsia="Calibri"/>
          <w:i/>
        </w:rPr>
        <w:t xml:space="preserve">. </w:t>
      </w:r>
      <w:r w:rsidRPr="00591BB3">
        <w:rPr>
          <w:rFonts w:eastAsia="Calibri"/>
        </w:rPr>
        <w:t>In the North Carolina area, AIR will retain First in Focus, a firm specializing in qualitative studies that is located in the Research Triangle region of North Carolina</w:t>
      </w:r>
      <w:r w:rsidR="00B47BEB" w:rsidRPr="00591BB3">
        <w:rPr>
          <w:rFonts w:eastAsia="Calibri"/>
        </w:rPr>
        <w:t xml:space="preserve">. </w:t>
      </w:r>
      <w:r w:rsidRPr="00591BB3">
        <w:rPr>
          <w:rFonts w:eastAsia="Calibri"/>
        </w:rPr>
        <w:t>This firm will recruit participants, provide the specified quota of priority populations with special emphasis on non-urban participants, facilitate recruits’ participation, and process incentives.</w:t>
      </w:r>
    </w:p>
    <w:p w:rsidR="001A6DC9" w:rsidRPr="00591BB3" w:rsidRDefault="0041632A">
      <w:pPr>
        <w:ind w:left="360"/>
        <w:rPr>
          <w:rFonts w:eastAsia="Calibri"/>
          <w:i/>
        </w:rPr>
      </w:pPr>
      <w:r w:rsidRPr="00591BB3">
        <w:rPr>
          <w:rFonts w:eastAsia="Calibri"/>
        </w:rPr>
        <w:t xml:space="preserve"> </w:t>
      </w:r>
    </w:p>
    <w:p w:rsidR="001A6DC9" w:rsidRPr="00591BB3" w:rsidRDefault="0041632A">
      <w:pPr>
        <w:ind w:left="360"/>
        <w:rPr>
          <w:rFonts w:eastAsia="Calibri"/>
        </w:rPr>
      </w:pPr>
      <w:r w:rsidRPr="00591BB3">
        <w:rPr>
          <w:rFonts w:eastAsia="Calibri"/>
          <w:i/>
        </w:rPr>
        <w:t>Washington D.C. area, Shugoll Research Inc</w:t>
      </w:r>
      <w:r w:rsidR="00982BE3" w:rsidRPr="00591BB3">
        <w:rPr>
          <w:rFonts w:eastAsia="Calibri"/>
          <w:i/>
        </w:rPr>
        <w:t>.</w:t>
      </w:r>
      <w:r w:rsidR="00E26C45" w:rsidRPr="00591BB3">
        <w:rPr>
          <w:rFonts w:eastAsia="Calibri"/>
          <w:i/>
        </w:rPr>
        <w:t xml:space="preserve"> </w:t>
      </w:r>
      <w:r w:rsidR="00AB3BF2" w:rsidRPr="00591BB3">
        <w:rPr>
          <w:rFonts w:eastAsia="Calibri"/>
        </w:rPr>
        <w:t xml:space="preserve">The study will utilize </w:t>
      </w:r>
      <w:r w:rsidRPr="00591BB3">
        <w:rPr>
          <w:rFonts w:eastAsia="Calibri"/>
        </w:rPr>
        <w:t>Shugoll Research, Inc., a recruitment and marketing research agency in the Washington, D.C. metropolitan area</w:t>
      </w:r>
      <w:r w:rsidR="00982BE3" w:rsidRPr="00591BB3">
        <w:rPr>
          <w:rFonts w:eastAsia="Calibri"/>
        </w:rPr>
        <w:t xml:space="preserve">. </w:t>
      </w:r>
      <w:r w:rsidR="00D05EBC" w:rsidRPr="00591BB3">
        <w:rPr>
          <w:rFonts w:eastAsia="Calibri"/>
        </w:rPr>
        <w:t>This firm will oversee recruitment of urban participants, facilitate recruits’ participation, and administer incentives.</w:t>
      </w:r>
    </w:p>
    <w:p w:rsidR="001A6DC9" w:rsidRPr="00591BB3" w:rsidRDefault="001A6DC9">
      <w:pPr>
        <w:ind w:left="360"/>
        <w:rPr>
          <w:rFonts w:eastAsia="Calibri"/>
        </w:rPr>
      </w:pPr>
    </w:p>
    <w:p w:rsidR="001A6DC9" w:rsidRPr="00591BB3" w:rsidRDefault="00D05EBC">
      <w:pPr>
        <w:ind w:left="360"/>
        <w:rPr>
          <w:rFonts w:eastAsia="Calibri"/>
        </w:rPr>
      </w:pPr>
      <w:r w:rsidRPr="00591BB3">
        <w:rPr>
          <w:rFonts w:eastAsia="Calibri"/>
          <w:i/>
        </w:rPr>
        <w:t>Chicago, Illinois area, FocusPointe Global</w:t>
      </w:r>
      <w:r w:rsidR="00982BE3" w:rsidRPr="00591BB3">
        <w:rPr>
          <w:rFonts w:eastAsia="Calibri"/>
          <w:i/>
        </w:rPr>
        <w:t>.</w:t>
      </w:r>
      <w:r w:rsidR="00982BE3" w:rsidRPr="00591BB3">
        <w:rPr>
          <w:rFonts w:eastAsia="Calibri"/>
          <w:b/>
        </w:rPr>
        <w:t xml:space="preserve"> </w:t>
      </w:r>
      <w:r w:rsidRPr="00591BB3">
        <w:rPr>
          <w:rFonts w:eastAsia="Calibri"/>
        </w:rPr>
        <w:t>FocusPointe Global</w:t>
      </w:r>
      <w:r w:rsidR="00AB3BF2" w:rsidRPr="00591BB3">
        <w:rPr>
          <w:rFonts w:eastAsia="Calibri"/>
        </w:rPr>
        <w:t xml:space="preserve"> is </w:t>
      </w:r>
      <w:r w:rsidRPr="00591BB3">
        <w:rPr>
          <w:rFonts w:eastAsia="Calibri"/>
        </w:rPr>
        <w:t>a national recruitment and marketing research firm with a field office in Chicago</w:t>
      </w:r>
      <w:r w:rsidR="00982BE3" w:rsidRPr="00591BB3">
        <w:rPr>
          <w:rFonts w:eastAsia="Calibri"/>
        </w:rPr>
        <w:t xml:space="preserve">. </w:t>
      </w:r>
      <w:r w:rsidRPr="00591BB3">
        <w:rPr>
          <w:rFonts w:eastAsia="Calibri"/>
        </w:rPr>
        <w:t>This firm focuses on urban populations and maintains a large database of participants from which to sample</w:t>
      </w:r>
      <w:r w:rsidR="00982BE3" w:rsidRPr="00591BB3">
        <w:rPr>
          <w:rFonts w:eastAsia="Calibri"/>
        </w:rPr>
        <w:t xml:space="preserve">. </w:t>
      </w:r>
      <w:r w:rsidRPr="00591BB3">
        <w:rPr>
          <w:rFonts w:eastAsia="Calibri"/>
        </w:rPr>
        <w:t xml:space="preserve">FocusPointe Global will be </w:t>
      </w:r>
      <w:r w:rsidR="00AB3BF2" w:rsidRPr="00591BB3">
        <w:rPr>
          <w:rFonts w:eastAsia="Calibri"/>
        </w:rPr>
        <w:t xml:space="preserve">recruiting </w:t>
      </w:r>
      <w:r w:rsidRPr="00591BB3">
        <w:rPr>
          <w:rFonts w:eastAsia="Calibri"/>
        </w:rPr>
        <w:t xml:space="preserve">with a specific emphasis on </w:t>
      </w:r>
      <w:r w:rsidRPr="00591BB3">
        <w:rPr>
          <w:rFonts w:eastAsia="Calibri"/>
        </w:rPr>
        <w:lastRenderedPageBreak/>
        <w:t>Hispanic bilingual and African American women</w:t>
      </w:r>
      <w:r w:rsidR="00AB3BF2" w:rsidRPr="00591BB3">
        <w:rPr>
          <w:rFonts w:eastAsia="Calibri"/>
        </w:rPr>
        <w:t xml:space="preserve"> participant</w:t>
      </w:r>
      <w:r w:rsidR="00982BE3" w:rsidRPr="00591BB3">
        <w:rPr>
          <w:rFonts w:eastAsia="Calibri"/>
        </w:rPr>
        <w:t xml:space="preserve">. </w:t>
      </w:r>
      <w:r w:rsidRPr="00591BB3">
        <w:rPr>
          <w:rFonts w:eastAsia="Calibri"/>
        </w:rPr>
        <w:t xml:space="preserve">This firm will also facilitate </w:t>
      </w:r>
      <w:r w:rsidR="00AB3BF2" w:rsidRPr="00591BB3">
        <w:rPr>
          <w:rFonts w:eastAsia="Calibri"/>
        </w:rPr>
        <w:t xml:space="preserve">recruits’ </w:t>
      </w:r>
      <w:r w:rsidRPr="00591BB3">
        <w:rPr>
          <w:rFonts w:eastAsia="Calibri"/>
        </w:rPr>
        <w:t>participa</w:t>
      </w:r>
      <w:r w:rsidR="00AB3BF2" w:rsidRPr="00591BB3">
        <w:rPr>
          <w:rFonts w:eastAsia="Calibri"/>
        </w:rPr>
        <w:t xml:space="preserve">tion </w:t>
      </w:r>
      <w:r w:rsidRPr="00591BB3">
        <w:rPr>
          <w:rFonts w:eastAsia="Calibri"/>
        </w:rPr>
        <w:t>and administer incentives.</w:t>
      </w:r>
    </w:p>
    <w:p w:rsidR="001A6DC9" w:rsidRPr="00591BB3" w:rsidRDefault="001A6DC9">
      <w:pPr>
        <w:ind w:left="360"/>
        <w:rPr>
          <w:rFonts w:eastAsia="Calibri"/>
        </w:rPr>
      </w:pPr>
    </w:p>
    <w:p w:rsidR="001A6DC9" w:rsidRPr="00591BB3" w:rsidRDefault="00D05EBC">
      <w:pPr>
        <w:ind w:left="360"/>
        <w:rPr>
          <w:rFonts w:eastAsia="Calibri"/>
        </w:rPr>
      </w:pPr>
      <w:r w:rsidRPr="00591BB3">
        <w:rPr>
          <w:rFonts w:eastAsia="Calibri"/>
          <w:i/>
        </w:rPr>
        <w:t>Sacramento, California area, Opinions Sacramento</w:t>
      </w:r>
      <w:r w:rsidR="00B47BEB" w:rsidRPr="00591BB3">
        <w:rPr>
          <w:rFonts w:eastAsia="Calibri"/>
          <w:i/>
        </w:rPr>
        <w:t>.</w:t>
      </w:r>
      <w:r w:rsidR="00B47BEB" w:rsidRPr="00591BB3">
        <w:rPr>
          <w:rFonts w:eastAsia="Calibri"/>
          <w:b/>
        </w:rPr>
        <w:t xml:space="preserve"> </w:t>
      </w:r>
      <w:r w:rsidRPr="00591BB3">
        <w:rPr>
          <w:rFonts w:eastAsia="Calibri"/>
        </w:rPr>
        <w:t>Opinions Research</w:t>
      </w:r>
      <w:r w:rsidR="00AB3BF2" w:rsidRPr="00591BB3">
        <w:rPr>
          <w:rFonts w:eastAsia="Calibri"/>
        </w:rPr>
        <w:t xml:space="preserve"> </w:t>
      </w:r>
      <w:r w:rsidRPr="00591BB3">
        <w:rPr>
          <w:rFonts w:eastAsia="Calibri"/>
        </w:rPr>
        <w:t>focuses its work in the Sacramento area and maintains a large database of participants in the area</w:t>
      </w:r>
      <w:r w:rsidR="00982BE3" w:rsidRPr="00591BB3">
        <w:rPr>
          <w:rFonts w:eastAsia="Calibri"/>
        </w:rPr>
        <w:t xml:space="preserve">. </w:t>
      </w:r>
      <w:r w:rsidRPr="00591BB3">
        <w:rPr>
          <w:rFonts w:eastAsia="Calibri"/>
        </w:rPr>
        <w:t>This firm will conduct recruitment with a specific emphasis on Hispanic bilingual and non-urban participants</w:t>
      </w:r>
      <w:r w:rsidR="00982BE3" w:rsidRPr="00591BB3">
        <w:rPr>
          <w:rFonts w:eastAsia="Calibri"/>
        </w:rPr>
        <w:t xml:space="preserve">. </w:t>
      </w:r>
      <w:r w:rsidRPr="00591BB3">
        <w:rPr>
          <w:rFonts w:eastAsia="Calibri"/>
        </w:rPr>
        <w:t>This firm will also facilitate recruits’ participation, and administer incentives.</w:t>
      </w:r>
    </w:p>
    <w:bookmarkEnd w:id="16"/>
    <w:bookmarkEnd w:id="17"/>
    <w:p w:rsidR="00CB58E4" w:rsidRPr="00591BB3" w:rsidRDefault="00346DA4" w:rsidP="00940F3C">
      <w:pPr>
        <w:pStyle w:val="NoSpacing"/>
        <w:rPr>
          <w:rFonts w:ascii="Times New Roman" w:hAnsi="Times New Roman"/>
          <w:sz w:val="24"/>
          <w:szCs w:val="24"/>
        </w:rPr>
      </w:pPr>
      <w:r w:rsidRPr="00591BB3">
        <w:rPr>
          <w:rFonts w:ascii="Times New Roman" w:hAnsi="Times New Roman"/>
          <w:sz w:val="24"/>
          <w:szCs w:val="24"/>
          <w:lang w:bidi="en-US"/>
        </w:rPr>
        <w:t xml:space="preserve">  </w:t>
      </w:r>
    </w:p>
    <w:p w:rsidR="00F7789B" w:rsidRPr="00591BB3" w:rsidRDefault="00F8229B" w:rsidP="00940F3C">
      <w:pPr>
        <w:pStyle w:val="NoSpacing"/>
        <w:rPr>
          <w:rFonts w:ascii="Times New Roman" w:hAnsi="Times New Roman"/>
          <w:sz w:val="24"/>
          <w:szCs w:val="24"/>
        </w:rPr>
      </w:pPr>
      <w:r w:rsidRPr="00591BB3">
        <w:rPr>
          <w:rFonts w:ascii="Times New Roman" w:hAnsi="Times New Roman"/>
          <w:sz w:val="24"/>
          <w:szCs w:val="24"/>
        </w:rPr>
        <w:t xml:space="preserve">We will </w:t>
      </w:r>
      <w:r w:rsidR="00CB58E4" w:rsidRPr="00591BB3">
        <w:rPr>
          <w:rFonts w:ascii="Times New Roman" w:hAnsi="Times New Roman"/>
          <w:sz w:val="24"/>
          <w:szCs w:val="24"/>
        </w:rPr>
        <w:t xml:space="preserve">use a </w:t>
      </w:r>
      <w:r w:rsidR="0041632A" w:rsidRPr="00591BB3">
        <w:rPr>
          <w:rFonts w:ascii="Times New Roman" w:hAnsi="Times New Roman"/>
          <w:sz w:val="24"/>
          <w:szCs w:val="24"/>
        </w:rPr>
        <w:t>quota</w:t>
      </w:r>
      <w:r w:rsidR="00770057" w:rsidRPr="00591BB3">
        <w:rPr>
          <w:rFonts w:ascii="Times New Roman" w:hAnsi="Times New Roman"/>
          <w:sz w:val="24"/>
          <w:szCs w:val="24"/>
        </w:rPr>
        <w:t xml:space="preserve"> </w:t>
      </w:r>
      <w:r w:rsidRPr="00591BB3">
        <w:rPr>
          <w:rFonts w:ascii="Times New Roman" w:hAnsi="Times New Roman"/>
          <w:sz w:val="24"/>
          <w:szCs w:val="24"/>
        </w:rPr>
        <w:t xml:space="preserve">sampling method based on the local demographic information provided by the U.S. Census Bureau. </w:t>
      </w:r>
      <w:r w:rsidR="00F7789B" w:rsidRPr="00591BB3">
        <w:rPr>
          <w:rFonts w:ascii="Times New Roman" w:hAnsi="Times New Roman"/>
          <w:sz w:val="24"/>
          <w:szCs w:val="24"/>
        </w:rPr>
        <w:t>The sampling will occur in three steps in each of the four locations</w:t>
      </w:r>
      <w:r w:rsidR="00C221C4" w:rsidRPr="00591BB3">
        <w:rPr>
          <w:rFonts w:ascii="Times New Roman" w:hAnsi="Times New Roman"/>
          <w:sz w:val="24"/>
          <w:szCs w:val="24"/>
        </w:rPr>
        <w:t>:</w:t>
      </w:r>
    </w:p>
    <w:p w:rsidR="00627AC6" w:rsidRPr="00591BB3" w:rsidRDefault="00627AC6">
      <w:pPr>
        <w:pStyle w:val="NoSpacing"/>
        <w:rPr>
          <w:rFonts w:ascii="Times New Roman" w:hAnsi="Times New Roman"/>
          <w:sz w:val="24"/>
          <w:szCs w:val="24"/>
        </w:rPr>
      </w:pPr>
    </w:p>
    <w:p w:rsidR="00627AC6" w:rsidRPr="00591BB3" w:rsidRDefault="0041632A">
      <w:pPr>
        <w:pStyle w:val="NoSpacing"/>
      </w:pPr>
      <w:r w:rsidRPr="00591BB3">
        <w:rPr>
          <w:rFonts w:ascii="Times New Roman" w:hAnsi="Times New Roman"/>
          <w:sz w:val="24"/>
          <w:szCs w:val="24"/>
        </w:rPr>
        <w:t>Step 1: We will define the geographic areas (i.e., counties) where study participants will be recruited from for each of the four locations.</w:t>
      </w:r>
      <w:r w:rsidR="00770057"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F7789B">
      <w:pPr>
        <w:pStyle w:val="NoSpacing"/>
        <w:rPr>
          <w:rFonts w:ascii="Times New Roman" w:hAnsi="Times New Roman"/>
          <w:sz w:val="24"/>
          <w:szCs w:val="24"/>
        </w:rPr>
      </w:pPr>
      <w:r w:rsidRPr="00591BB3">
        <w:rPr>
          <w:rFonts w:ascii="Times New Roman" w:hAnsi="Times New Roman"/>
          <w:sz w:val="24"/>
          <w:szCs w:val="24"/>
        </w:rPr>
        <w:t xml:space="preserve">Step 2: We will </w:t>
      </w:r>
      <w:r w:rsidR="00F8229B" w:rsidRPr="00591BB3">
        <w:rPr>
          <w:rFonts w:ascii="Times New Roman" w:hAnsi="Times New Roman"/>
          <w:sz w:val="24"/>
          <w:szCs w:val="24"/>
        </w:rPr>
        <w:t xml:space="preserve">calculate the number of individuals required </w:t>
      </w:r>
      <w:r w:rsidR="0071092E" w:rsidRPr="00591BB3">
        <w:rPr>
          <w:rFonts w:ascii="Times New Roman" w:hAnsi="Times New Roman"/>
          <w:sz w:val="24"/>
          <w:szCs w:val="24"/>
        </w:rPr>
        <w:t xml:space="preserve">for </w:t>
      </w:r>
      <w:r w:rsidR="00F8229B" w:rsidRPr="00591BB3">
        <w:rPr>
          <w:rFonts w:ascii="Times New Roman" w:hAnsi="Times New Roman"/>
          <w:sz w:val="24"/>
          <w:szCs w:val="24"/>
        </w:rPr>
        <w:t>each stratum</w:t>
      </w:r>
      <w:r w:rsidR="00770057" w:rsidRPr="00591BB3">
        <w:rPr>
          <w:rFonts w:ascii="Times New Roman" w:hAnsi="Times New Roman"/>
          <w:sz w:val="24"/>
          <w:szCs w:val="24"/>
        </w:rPr>
        <w:t xml:space="preserve"> or category</w:t>
      </w:r>
      <w:r w:rsidR="00F8229B" w:rsidRPr="00591BB3">
        <w:rPr>
          <w:rFonts w:ascii="Times New Roman" w:hAnsi="Times New Roman"/>
          <w:sz w:val="24"/>
          <w:szCs w:val="24"/>
        </w:rPr>
        <w:t xml:space="preserve"> to ensure </w:t>
      </w:r>
      <w:r w:rsidR="00BA6063" w:rsidRPr="00591BB3">
        <w:rPr>
          <w:rFonts w:ascii="Times New Roman" w:hAnsi="Times New Roman"/>
          <w:sz w:val="24"/>
          <w:szCs w:val="24"/>
        </w:rPr>
        <w:t xml:space="preserve">that </w:t>
      </w:r>
      <w:r w:rsidR="00F8229B" w:rsidRPr="00591BB3">
        <w:rPr>
          <w:rFonts w:ascii="Times New Roman" w:hAnsi="Times New Roman"/>
          <w:sz w:val="24"/>
          <w:szCs w:val="24"/>
        </w:rPr>
        <w:t xml:space="preserve">the distributions of gender, </w:t>
      </w:r>
      <w:r w:rsidR="00FB42AB" w:rsidRPr="00591BB3">
        <w:rPr>
          <w:rFonts w:ascii="Times New Roman" w:hAnsi="Times New Roman"/>
          <w:sz w:val="24"/>
          <w:szCs w:val="24"/>
        </w:rPr>
        <w:t>age,</w:t>
      </w:r>
      <w:r w:rsidR="00F8229B" w:rsidRPr="00591BB3">
        <w:rPr>
          <w:rFonts w:ascii="Times New Roman" w:hAnsi="Times New Roman"/>
          <w:sz w:val="24"/>
          <w:szCs w:val="24"/>
        </w:rPr>
        <w:t xml:space="preserve"> race</w:t>
      </w:r>
      <w:r w:rsidR="00440042" w:rsidRPr="00591BB3">
        <w:rPr>
          <w:rFonts w:ascii="Times New Roman" w:hAnsi="Times New Roman"/>
          <w:sz w:val="24"/>
          <w:szCs w:val="24"/>
        </w:rPr>
        <w:t xml:space="preserve">, and </w:t>
      </w:r>
      <w:r w:rsidR="00B125AF" w:rsidRPr="00591BB3">
        <w:rPr>
          <w:rFonts w:ascii="Times New Roman" w:hAnsi="Times New Roman"/>
          <w:sz w:val="24"/>
          <w:szCs w:val="24"/>
        </w:rPr>
        <w:t xml:space="preserve">Hispanic </w:t>
      </w:r>
      <w:r w:rsidR="00440042" w:rsidRPr="00591BB3">
        <w:rPr>
          <w:rFonts w:ascii="Times New Roman" w:hAnsi="Times New Roman"/>
          <w:sz w:val="24"/>
          <w:szCs w:val="24"/>
        </w:rPr>
        <w:t>ethnicity</w:t>
      </w:r>
      <w:r w:rsidR="00F8229B" w:rsidRPr="00591BB3">
        <w:rPr>
          <w:rFonts w:ascii="Times New Roman" w:hAnsi="Times New Roman"/>
          <w:sz w:val="24"/>
          <w:szCs w:val="24"/>
        </w:rPr>
        <w:t xml:space="preserve"> in our sample </w:t>
      </w:r>
      <w:r w:rsidR="0071092E" w:rsidRPr="00591BB3">
        <w:rPr>
          <w:rFonts w:ascii="Times New Roman" w:hAnsi="Times New Roman"/>
          <w:sz w:val="24"/>
          <w:szCs w:val="24"/>
        </w:rPr>
        <w:t>reflect</w:t>
      </w:r>
      <w:r w:rsidR="00F8229B" w:rsidRPr="00591BB3">
        <w:rPr>
          <w:rFonts w:ascii="Times New Roman" w:hAnsi="Times New Roman"/>
          <w:sz w:val="24"/>
          <w:szCs w:val="24"/>
        </w:rPr>
        <w:t xml:space="preserve"> the local demographic distribution</w:t>
      </w:r>
      <w:r w:rsidRPr="00591BB3">
        <w:rPr>
          <w:rFonts w:ascii="Times New Roman" w:hAnsi="Times New Roman"/>
          <w:sz w:val="24"/>
          <w:szCs w:val="24"/>
        </w:rPr>
        <w:t>.</w:t>
      </w:r>
      <w:r w:rsidR="005E2ADA"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F7789B">
      <w:pPr>
        <w:pStyle w:val="NoSpacing"/>
        <w:rPr>
          <w:rFonts w:ascii="Times New Roman" w:hAnsi="Times New Roman"/>
          <w:sz w:val="24"/>
          <w:szCs w:val="24"/>
        </w:rPr>
      </w:pPr>
      <w:r w:rsidRPr="00591BB3">
        <w:rPr>
          <w:rFonts w:ascii="Times New Roman" w:hAnsi="Times New Roman"/>
          <w:sz w:val="24"/>
          <w:szCs w:val="24"/>
        </w:rPr>
        <w:t xml:space="preserve">Step 3: </w:t>
      </w:r>
      <w:r w:rsidR="00FB42AB" w:rsidRPr="00591BB3">
        <w:rPr>
          <w:rFonts w:ascii="Times New Roman" w:hAnsi="Times New Roman"/>
          <w:sz w:val="24"/>
          <w:szCs w:val="24"/>
        </w:rPr>
        <w:t>We will</w:t>
      </w:r>
      <w:r w:rsidR="00F8229B" w:rsidRPr="00591BB3">
        <w:rPr>
          <w:rFonts w:ascii="Times New Roman" w:hAnsi="Times New Roman"/>
          <w:sz w:val="24"/>
          <w:szCs w:val="24"/>
        </w:rPr>
        <w:t xml:space="preserve"> randomly select members from each stratum until we obtain the required sample size</w:t>
      </w:r>
      <w:r w:rsidR="00391FF3" w:rsidRPr="00591BB3">
        <w:rPr>
          <w:rFonts w:ascii="Times New Roman" w:hAnsi="Times New Roman"/>
          <w:sz w:val="24"/>
          <w:szCs w:val="24"/>
        </w:rPr>
        <w:t xml:space="preserve"> within each stratum</w:t>
      </w:r>
      <w:r w:rsidR="00F8229B"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CB58E4">
      <w:pPr>
        <w:pStyle w:val="NoSpacing"/>
        <w:rPr>
          <w:rFonts w:ascii="Times New Roman" w:hAnsi="Times New Roman"/>
          <w:sz w:val="24"/>
          <w:szCs w:val="24"/>
        </w:rPr>
      </w:pPr>
      <w:r w:rsidRPr="00591BB3">
        <w:rPr>
          <w:rFonts w:ascii="Times New Roman" w:hAnsi="Times New Roman"/>
          <w:sz w:val="24"/>
          <w:szCs w:val="24"/>
        </w:rPr>
        <w:t>Based on current data</w:t>
      </w:r>
      <w:r w:rsidR="00710495" w:rsidRPr="00591BB3">
        <w:rPr>
          <w:rFonts w:ascii="Times New Roman" w:hAnsi="Times New Roman"/>
          <w:sz w:val="24"/>
          <w:szCs w:val="24"/>
        </w:rPr>
        <w:t xml:space="preserve"> from the U.S. Census Bureau</w:t>
      </w:r>
      <w:r w:rsidR="00B4141C" w:rsidRPr="00591BB3">
        <w:rPr>
          <w:rFonts w:ascii="Times New Roman" w:hAnsi="Times New Roman"/>
          <w:sz w:val="24"/>
          <w:szCs w:val="24"/>
        </w:rPr>
        <w:t>,</w:t>
      </w:r>
      <w:r w:rsidR="00B9682F" w:rsidRPr="00591BB3">
        <w:rPr>
          <w:rStyle w:val="FootnoteReference"/>
          <w:rFonts w:ascii="Times New Roman" w:hAnsi="Times New Roman"/>
          <w:sz w:val="24"/>
          <w:szCs w:val="24"/>
        </w:rPr>
        <w:footnoteReference w:id="1"/>
      </w:r>
      <w:r w:rsidRPr="00591BB3">
        <w:rPr>
          <w:rFonts w:ascii="Times New Roman" w:hAnsi="Times New Roman"/>
          <w:sz w:val="24"/>
          <w:szCs w:val="24"/>
        </w:rPr>
        <w:t xml:space="preserve"> t</w:t>
      </w:r>
      <w:r w:rsidR="009B01A5" w:rsidRPr="00591BB3">
        <w:rPr>
          <w:rFonts w:ascii="Times New Roman" w:hAnsi="Times New Roman"/>
          <w:sz w:val="24"/>
          <w:szCs w:val="24"/>
        </w:rPr>
        <w:t xml:space="preserve">he target sample size for each stratum is listed in </w:t>
      </w:r>
      <w:r w:rsidR="00F7789B" w:rsidRPr="00591BB3">
        <w:rPr>
          <w:rFonts w:ascii="Times New Roman" w:hAnsi="Times New Roman"/>
          <w:sz w:val="24"/>
          <w:szCs w:val="24"/>
        </w:rPr>
        <w:t>Exhibit 1</w:t>
      </w:r>
      <w:r w:rsidR="009B01A5" w:rsidRPr="00591BB3">
        <w:rPr>
          <w:rFonts w:ascii="Times New Roman" w:hAnsi="Times New Roman"/>
          <w:sz w:val="24"/>
          <w:szCs w:val="24"/>
        </w:rPr>
        <w:t xml:space="preserve">.  </w:t>
      </w:r>
    </w:p>
    <w:p w:rsidR="00627AC6" w:rsidRPr="00591BB3" w:rsidRDefault="00627AC6"/>
    <w:p w:rsidR="001A6DC9" w:rsidRPr="00591BB3" w:rsidRDefault="00CB4F27">
      <w:r w:rsidRPr="00591BB3">
        <w:rPr>
          <w:b/>
        </w:rPr>
        <w:t xml:space="preserve">Exhibit </w:t>
      </w:r>
      <w:r w:rsidR="00944F48" w:rsidRPr="00591BB3">
        <w:rPr>
          <w:b/>
        </w:rPr>
        <w:fldChar w:fldCharType="begin"/>
      </w:r>
      <w:r w:rsidRPr="00591BB3">
        <w:rPr>
          <w:b/>
        </w:rPr>
        <w:instrText xml:space="preserve"> SEQ Exhibit \* ARABIC </w:instrText>
      </w:r>
      <w:r w:rsidR="00944F48" w:rsidRPr="00591BB3">
        <w:rPr>
          <w:b/>
        </w:rPr>
        <w:fldChar w:fldCharType="separate"/>
      </w:r>
      <w:r w:rsidR="00C87241" w:rsidRPr="00591BB3">
        <w:rPr>
          <w:b/>
          <w:noProof/>
        </w:rPr>
        <w:t>1</w:t>
      </w:r>
      <w:r w:rsidR="00944F48" w:rsidRPr="00591BB3">
        <w:rPr>
          <w:b/>
        </w:rPr>
        <w:fldChar w:fldCharType="end"/>
      </w:r>
      <w:r w:rsidRPr="00591BB3">
        <w:rPr>
          <w:b/>
        </w:rPr>
        <w:t>. Target general population sample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28"/>
        <w:gridCol w:w="3510"/>
      </w:tblGrid>
      <w:tr w:rsidR="00770057" w:rsidRPr="00591BB3" w:rsidTr="00D0176B">
        <w:trPr>
          <w:trHeight w:val="300"/>
          <w:jc w:val="center"/>
        </w:trPr>
        <w:tc>
          <w:tcPr>
            <w:tcW w:w="4428" w:type="dxa"/>
            <w:shd w:val="clear" w:color="auto" w:fill="8DB3E2" w:themeFill="text2" w:themeFillTint="66"/>
            <w:noWrap/>
            <w:hideMark/>
          </w:tcPr>
          <w:p w:rsidR="001A6DC9" w:rsidRPr="00591BB3" w:rsidRDefault="001A6DC9">
            <w:pPr>
              <w:rPr>
                <w:rFonts w:ascii="Arial" w:hAnsi="Arial" w:cs="Arial"/>
                <w:b/>
                <w:bCs/>
                <w:color w:val="000000"/>
                <w:kern w:val="32"/>
              </w:rPr>
            </w:pPr>
          </w:p>
        </w:tc>
        <w:tc>
          <w:tcPr>
            <w:tcW w:w="3510" w:type="dxa"/>
            <w:shd w:val="clear" w:color="auto" w:fill="8DB3E2" w:themeFill="text2" w:themeFillTint="66"/>
            <w:noWrap/>
            <w:hideMark/>
          </w:tcPr>
          <w:p w:rsidR="001A6DC9" w:rsidRPr="00591BB3" w:rsidRDefault="00770057">
            <w:pPr>
              <w:jc w:val="center"/>
              <w:rPr>
                <w:b/>
                <w:color w:val="000000"/>
                <w:sz w:val="22"/>
              </w:rPr>
            </w:pPr>
            <w:r w:rsidRPr="00591BB3">
              <w:rPr>
                <w:b/>
              </w:rPr>
              <w:t>Target sample size based on combined populations in four areas</w:t>
            </w:r>
          </w:p>
        </w:tc>
      </w:tr>
      <w:tr w:rsidR="00770057" w:rsidRPr="00591BB3" w:rsidTr="00D0176B">
        <w:trPr>
          <w:trHeight w:val="300"/>
          <w:jc w:val="center"/>
        </w:trPr>
        <w:tc>
          <w:tcPr>
            <w:tcW w:w="4428" w:type="dxa"/>
            <w:shd w:val="clear" w:color="auto" w:fill="auto"/>
            <w:noWrap/>
            <w:hideMark/>
          </w:tcPr>
          <w:p w:rsidR="00770057" w:rsidRPr="00591BB3" w:rsidRDefault="00770057" w:rsidP="00940F3C">
            <w:pPr>
              <w:rPr>
                <w:color w:val="000000"/>
              </w:rPr>
            </w:pPr>
            <w:r w:rsidRPr="00591BB3">
              <w:rPr>
                <w:color w:val="000000"/>
              </w:rPr>
              <w:t>Total Population</w:t>
            </w:r>
          </w:p>
        </w:tc>
        <w:tc>
          <w:tcPr>
            <w:tcW w:w="3510" w:type="dxa"/>
            <w:shd w:val="clear" w:color="auto" w:fill="auto"/>
            <w:noWrap/>
            <w:hideMark/>
          </w:tcPr>
          <w:p w:rsidR="001A6DC9" w:rsidRPr="00591BB3" w:rsidRDefault="00CB4F27">
            <w:pPr>
              <w:keepNext/>
              <w:ind w:left="360" w:hanging="360"/>
              <w:jc w:val="right"/>
              <w:outlineLvl w:val="0"/>
              <w:rPr>
                <w:color w:val="000000"/>
              </w:rPr>
            </w:pPr>
            <w:r w:rsidRPr="00591BB3">
              <w:rPr>
                <w:color w:val="000000"/>
              </w:rPr>
              <w:t>1,296</w:t>
            </w:r>
          </w:p>
        </w:tc>
      </w:tr>
      <w:tr w:rsidR="00770057" w:rsidRPr="00591BB3" w:rsidTr="00D0176B">
        <w:trPr>
          <w:trHeight w:val="300"/>
          <w:jc w:val="center"/>
        </w:trPr>
        <w:tc>
          <w:tcPr>
            <w:tcW w:w="4428" w:type="dxa"/>
            <w:shd w:val="clear" w:color="auto" w:fill="auto"/>
            <w:noWrap/>
            <w:hideMark/>
          </w:tcPr>
          <w:p w:rsidR="00770057" w:rsidRPr="00591BB3" w:rsidRDefault="00770057" w:rsidP="00940F3C">
            <w:pPr>
              <w:rPr>
                <w:color w:val="000000"/>
              </w:rPr>
            </w:pPr>
            <w:r w:rsidRPr="00591BB3">
              <w:rPr>
                <w:color w:val="000000"/>
              </w:rPr>
              <w:t>Female</w:t>
            </w:r>
          </w:p>
        </w:tc>
        <w:tc>
          <w:tcPr>
            <w:tcW w:w="3510" w:type="dxa"/>
            <w:shd w:val="clear" w:color="auto" w:fill="auto"/>
            <w:noWrap/>
            <w:hideMark/>
          </w:tcPr>
          <w:p w:rsidR="00A4149C" w:rsidRPr="00591BB3" w:rsidRDefault="00CB4F27" w:rsidP="00940F3C">
            <w:pPr>
              <w:tabs>
                <w:tab w:val="center" w:pos="4320"/>
                <w:tab w:val="right" w:pos="8640"/>
              </w:tabs>
              <w:spacing w:line="240" w:lineRule="atLeast"/>
              <w:jc w:val="right"/>
              <w:rPr>
                <w:color w:val="000000"/>
              </w:rPr>
            </w:pPr>
            <w:r w:rsidRPr="00591BB3">
              <w:rPr>
                <w:color w:val="000000"/>
              </w:rPr>
              <w:t>667</w:t>
            </w:r>
          </w:p>
        </w:tc>
      </w:tr>
      <w:tr w:rsidR="00770057" w:rsidRPr="00591BB3" w:rsidTr="00D0176B">
        <w:trPr>
          <w:trHeight w:val="300"/>
          <w:jc w:val="center"/>
        </w:trPr>
        <w:tc>
          <w:tcPr>
            <w:tcW w:w="4428" w:type="dxa"/>
            <w:shd w:val="clear" w:color="auto" w:fill="auto"/>
            <w:noWrap/>
            <w:hideMark/>
          </w:tcPr>
          <w:p w:rsidR="00770057" w:rsidRPr="00591BB3" w:rsidRDefault="00770057" w:rsidP="00940F3C">
            <w:pPr>
              <w:rPr>
                <w:color w:val="000000"/>
              </w:rPr>
            </w:pPr>
            <w:r w:rsidRPr="00591BB3">
              <w:rPr>
                <w:color w:val="000000"/>
              </w:rPr>
              <w:t>Aged 65 years and over</w:t>
            </w:r>
          </w:p>
        </w:tc>
        <w:tc>
          <w:tcPr>
            <w:tcW w:w="3510" w:type="dxa"/>
            <w:shd w:val="clear" w:color="auto" w:fill="auto"/>
            <w:noWrap/>
            <w:hideMark/>
          </w:tcPr>
          <w:p w:rsidR="00A4149C" w:rsidRPr="00591BB3" w:rsidRDefault="00CB4F27" w:rsidP="00940F3C">
            <w:pPr>
              <w:jc w:val="right"/>
              <w:rPr>
                <w:color w:val="000000"/>
              </w:rPr>
            </w:pPr>
            <w:r w:rsidRPr="00591BB3">
              <w:rPr>
                <w:color w:val="000000"/>
              </w:rPr>
              <w:t>132</w:t>
            </w:r>
          </w:p>
        </w:tc>
      </w:tr>
      <w:tr w:rsidR="00770057" w:rsidRPr="00591BB3" w:rsidTr="00D0176B">
        <w:trPr>
          <w:trHeight w:val="300"/>
          <w:jc w:val="center"/>
        </w:trPr>
        <w:tc>
          <w:tcPr>
            <w:tcW w:w="4428" w:type="dxa"/>
            <w:shd w:val="clear" w:color="auto" w:fill="auto"/>
            <w:noWrap/>
            <w:hideMark/>
          </w:tcPr>
          <w:p w:rsidR="00770057" w:rsidRPr="00591BB3" w:rsidRDefault="00770057" w:rsidP="00940F3C">
            <w:pPr>
              <w:rPr>
                <w:color w:val="000000"/>
              </w:rPr>
            </w:pPr>
            <w:r w:rsidRPr="00591BB3">
              <w:rPr>
                <w:color w:val="000000"/>
              </w:rPr>
              <w:t>Race</w:t>
            </w:r>
          </w:p>
        </w:tc>
        <w:tc>
          <w:tcPr>
            <w:tcW w:w="3510" w:type="dxa"/>
            <w:shd w:val="clear" w:color="auto" w:fill="auto"/>
            <w:noWrap/>
            <w:hideMark/>
          </w:tcPr>
          <w:p w:rsidR="00A4149C" w:rsidRPr="00591BB3" w:rsidRDefault="00A4149C" w:rsidP="00940F3C">
            <w:pPr>
              <w:jc w:val="right"/>
              <w:rPr>
                <w:color w:val="000000"/>
              </w:rPr>
            </w:pPr>
          </w:p>
        </w:tc>
      </w:tr>
      <w:tr w:rsidR="00770057" w:rsidRPr="00591BB3" w:rsidTr="00D0176B">
        <w:trPr>
          <w:trHeight w:val="300"/>
          <w:jc w:val="center"/>
        </w:trPr>
        <w:tc>
          <w:tcPr>
            <w:tcW w:w="4428" w:type="dxa"/>
            <w:shd w:val="clear" w:color="auto" w:fill="auto"/>
            <w:noWrap/>
            <w:hideMark/>
          </w:tcPr>
          <w:p w:rsidR="00770057" w:rsidRPr="00591BB3" w:rsidRDefault="00770057" w:rsidP="00940F3C">
            <w:pPr>
              <w:ind w:left="288"/>
              <w:rPr>
                <w:color w:val="000000"/>
              </w:rPr>
            </w:pPr>
            <w:r w:rsidRPr="00591BB3">
              <w:rPr>
                <w:color w:val="000000"/>
              </w:rPr>
              <w:t xml:space="preserve"> Black or African American</w:t>
            </w:r>
          </w:p>
        </w:tc>
        <w:tc>
          <w:tcPr>
            <w:tcW w:w="3510" w:type="dxa"/>
            <w:shd w:val="clear" w:color="auto" w:fill="auto"/>
            <w:noWrap/>
            <w:hideMark/>
          </w:tcPr>
          <w:p w:rsidR="00A4149C" w:rsidRPr="00591BB3" w:rsidRDefault="00CB4F27" w:rsidP="00940F3C">
            <w:pPr>
              <w:jc w:val="right"/>
              <w:rPr>
                <w:color w:val="000000"/>
              </w:rPr>
            </w:pPr>
            <w:r w:rsidRPr="00591BB3">
              <w:rPr>
                <w:color w:val="000000"/>
              </w:rPr>
              <w:t>358</w:t>
            </w:r>
          </w:p>
        </w:tc>
      </w:tr>
      <w:tr w:rsidR="00770057" w:rsidRPr="00591BB3" w:rsidTr="00D0176B">
        <w:trPr>
          <w:trHeight w:val="300"/>
          <w:jc w:val="center"/>
        </w:trPr>
        <w:tc>
          <w:tcPr>
            <w:tcW w:w="4428" w:type="dxa"/>
            <w:shd w:val="clear" w:color="auto" w:fill="auto"/>
            <w:noWrap/>
            <w:hideMark/>
          </w:tcPr>
          <w:p w:rsidR="00770057" w:rsidRPr="00591BB3" w:rsidRDefault="00134A9A" w:rsidP="00940F3C">
            <w:pPr>
              <w:ind w:left="288"/>
              <w:rPr>
                <w:color w:val="000000"/>
              </w:rPr>
            </w:pPr>
            <w:r w:rsidRPr="00591BB3">
              <w:rPr>
                <w:color w:val="000000"/>
              </w:rPr>
              <w:t xml:space="preserve">White and </w:t>
            </w:r>
            <w:r w:rsidR="00770057" w:rsidRPr="00591BB3">
              <w:rPr>
                <w:color w:val="000000"/>
              </w:rPr>
              <w:t xml:space="preserve">Other </w:t>
            </w:r>
            <w:r w:rsidRPr="00591BB3">
              <w:rPr>
                <w:color w:val="000000"/>
              </w:rPr>
              <w:t>R</w:t>
            </w:r>
            <w:r w:rsidR="00770057" w:rsidRPr="00591BB3">
              <w:rPr>
                <w:color w:val="000000"/>
              </w:rPr>
              <w:t>ace</w:t>
            </w:r>
          </w:p>
        </w:tc>
        <w:tc>
          <w:tcPr>
            <w:tcW w:w="3510" w:type="dxa"/>
            <w:shd w:val="clear" w:color="auto" w:fill="auto"/>
            <w:noWrap/>
            <w:hideMark/>
          </w:tcPr>
          <w:p w:rsidR="001A6DC9" w:rsidRPr="00591BB3" w:rsidRDefault="00CB4F27">
            <w:pPr>
              <w:tabs>
                <w:tab w:val="center" w:pos="4320"/>
                <w:tab w:val="right" w:pos="8640"/>
              </w:tabs>
              <w:jc w:val="right"/>
              <w:rPr>
                <w:color w:val="000000"/>
              </w:rPr>
            </w:pPr>
            <w:r w:rsidRPr="00591BB3">
              <w:rPr>
                <w:color w:val="000000"/>
              </w:rPr>
              <w:t>938</w:t>
            </w:r>
          </w:p>
        </w:tc>
      </w:tr>
      <w:tr w:rsidR="00770057" w:rsidRPr="00591BB3" w:rsidTr="00D0176B">
        <w:trPr>
          <w:trHeight w:val="300"/>
          <w:jc w:val="center"/>
        </w:trPr>
        <w:tc>
          <w:tcPr>
            <w:tcW w:w="4428" w:type="dxa"/>
            <w:shd w:val="clear" w:color="auto" w:fill="auto"/>
            <w:noWrap/>
            <w:hideMark/>
          </w:tcPr>
          <w:p w:rsidR="00770057" w:rsidRPr="00591BB3" w:rsidRDefault="00770057" w:rsidP="00940F3C">
            <w:pPr>
              <w:rPr>
                <w:color w:val="000000"/>
              </w:rPr>
            </w:pPr>
            <w:r w:rsidRPr="00591BB3">
              <w:rPr>
                <w:color w:val="000000"/>
              </w:rPr>
              <w:t>Hispanic/Latino (any race)</w:t>
            </w:r>
          </w:p>
        </w:tc>
        <w:tc>
          <w:tcPr>
            <w:tcW w:w="3510" w:type="dxa"/>
            <w:shd w:val="clear" w:color="auto" w:fill="auto"/>
            <w:noWrap/>
            <w:hideMark/>
          </w:tcPr>
          <w:p w:rsidR="00A4149C" w:rsidRPr="00591BB3" w:rsidRDefault="00CB4F27" w:rsidP="00940F3C">
            <w:pPr>
              <w:tabs>
                <w:tab w:val="center" w:pos="4320"/>
                <w:tab w:val="right" w:pos="8640"/>
              </w:tabs>
              <w:spacing w:line="240" w:lineRule="atLeast"/>
              <w:jc w:val="right"/>
              <w:rPr>
                <w:color w:val="000000"/>
              </w:rPr>
            </w:pPr>
            <w:r w:rsidRPr="00591BB3">
              <w:rPr>
                <w:color w:val="000000"/>
              </w:rPr>
              <w:t>183</w:t>
            </w:r>
          </w:p>
        </w:tc>
      </w:tr>
      <w:tr w:rsidR="00770057" w:rsidRPr="00591BB3" w:rsidTr="00D0176B">
        <w:trPr>
          <w:trHeight w:val="300"/>
          <w:jc w:val="center"/>
        </w:trPr>
        <w:tc>
          <w:tcPr>
            <w:tcW w:w="4428" w:type="dxa"/>
            <w:shd w:val="clear" w:color="auto" w:fill="auto"/>
            <w:noWrap/>
            <w:hideMark/>
          </w:tcPr>
          <w:p w:rsidR="00770057" w:rsidRPr="00591BB3" w:rsidRDefault="00770057" w:rsidP="00940F3C">
            <w:pPr>
              <w:rPr>
                <w:color w:val="000000"/>
              </w:rPr>
            </w:pPr>
            <w:r w:rsidRPr="00591BB3">
              <w:rPr>
                <w:color w:val="000000"/>
              </w:rPr>
              <w:t>Non-Urban</w:t>
            </w:r>
          </w:p>
        </w:tc>
        <w:tc>
          <w:tcPr>
            <w:tcW w:w="3510" w:type="dxa"/>
            <w:shd w:val="clear" w:color="auto" w:fill="auto"/>
            <w:noWrap/>
            <w:hideMark/>
          </w:tcPr>
          <w:p w:rsidR="00A4149C" w:rsidRPr="00591BB3" w:rsidRDefault="00CB4F27" w:rsidP="00940F3C">
            <w:pPr>
              <w:jc w:val="right"/>
              <w:rPr>
                <w:color w:val="000000"/>
              </w:rPr>
            </w:pPr>
            <w:r w:rsidRPr="00591BB3">
              <w:rPr>
                <w:color w:val="000000"/>
              </w:rPr>
              <w:t>67</w:t>
            </w:r>
          </w:p>
        </w:tc>
      </w:tr>
    </w:tbl>
    <w:p w:rsidR="00FB3348" w:rsidRPr="00591BB3" w:rsidRDefault="00FB3348" w:rsidP="00940F3C"/>
    <w:p w:rsidR="0007081F" w:rsidRPr="00591BB3" w:rsidRDefault="0007081F" w:rsidP="00940F3C">
      <w:pPr>
        <w:rPr>
          <w:b/>
        </w:rPr>
      </w:pPr>
      <w:bookmarkStart w:id="18" w:name="_Toc301878588"/>
      <w:bookmarkStart w:id="19" w:name="_Toc301878638"/>
      <w:r w:rsidRPr="00591BB3">
        <w:rPr>
          <w:b/>
        </w:rPr>
        <w:br w:type="page"/>
      </w:r>
    </w:p>
    <w:p w:rsidR="006117A0" w:rsidRPr="00591BB3" w:rsidRDefault="00F8229B" w:rsidP="00940F3C">
      <w:pPr>
        <w:rPr>
          <w:b/>
        </w:rPr>
      </w:pPr>
      <w:r w:rsidRPr="00591BB3">
        <w:rPr>
          <w:b/>
        </w:rPr>
        <w:lastRenderedPageBreak/>
        <w:t>Randomization</w:t>
      </w:r>
      <w:bookmarkEnd w:id="14"/>
      <w:bookmarkEnd w:id="15"/>
      <w:bookmarkEnd w:id="18"/>
      <w:bookmarkEnd w:id="19"/>
    </w:p>
    <w:p w:rsidR="00627AC6" w:rsidRPr="00591BB3" w:rsidRDefault="00627AC6">
      <w:pPr>
        <w:rPr>
          <w:b/>
        </w:rPr>
      </w:pPr>
    </w:p>
    <w:p w:rsidR="00627AC6" w:rsidRPr="00591BB3" w:rsidRDefault="005E2ADA">
      <w:r w:rsidRPr="00591BB3">
        <w:rPr>
          <w:noProof/>
        </w:rPr>
        <w:t>W</w:t>
      </w:r>
      <w:r w:rsidR="00F8229B" w:rsidRPr="00591BB3">
        <w:rPr>
          <w:noProof/>
        </w:rPr>
        <w:t xml:space="preserve">ithin each of the four geographic locations, </w:t>
      </w:r>
      <w:r w:rsidR="00F558D8" w:rsidRPr="00591BB3">
        <w:rPr>
          <w:noProof/>
        </w:rPr>
        <w:t>selected pa</w:t>
      </w:r>
      <w:r w:rsidR="00F8229B" w:rsidRPr="00591BB3">
        <w:rPr>
          <w:noProof/>
        </w:rPr>
        <w:t xml:space="preserve">rticipants </w:t>
      </w:r>
      <w:r w:rsidR="00F558D8" w:rsidRPr="00591BB3">
        <w:rPr>
          <w:noProof/>
        </w:rPr>
        <w:t xml:space="preserve">will be </w:t>
      </w:r>
      <w:r w:rsidR="00F8229B" w:rsidRPr="00591BB3">
        <w:rPr>
          <w:noProof/>
        </w:rPr>
        <w:t>randomly assign</w:t>
      </w:r>
      <w:r w:rsidR="00F558D8" w:rsidRPr="00591BB3">
        <w:rPr>
          <w:noProof/>
        </w:rPr>
        <w:t xml:space="preserve">ed </w:t>
      </w:r>
      <w:r w:rsidR="00C856B5" w:rsidRPr="00591BB3">
        <w:t>to</w:t>
      </w:r>
      <w:r w:rsidR="00134A9A" w:rsidRPr="00591BB3">
        <w:t xml:space="preserve"> </w:t>
      </w:r>
      <w:r w:rsidR="00F8229B" w:rsidRPr="00591BB3">
        <w:t xml:space="preserve">the </w:t>
      </w:r>
      <w:r w:rsidR="00CB4F27" w:rsidRPr="00591BB3">
        <w:t xml:space="preserve">five </w:t>
      </w:r>
      <w:r w:rsidR="0041632A" w:rsidRPr="00591BB3">
        <w:t>experimental conditions (four deliberative methods or control).</w:t>
      </w:r>
      <w:r w:rsidR="00213C75" w:rsidRPr="00591BB3">
        <w:t xml:space="preserve"> </w:t>
      </w:r>
      <w:r w:rsidR="002141F0" w:rsidRPr="00591BB3">
        <w:t>I</w:t>
      </w:r>
      <w:r w:rsidR="005E7A9B" w:rsidRPr="00591BB3">
        <w:t>n</w:t>
      </w:r>
      <w:r w:rsidR="00F8229B" w:rsidRPr="00591BB3">
        <w:t xml:space="preserve"> a multi-treatment</w:t>
      </w:r>
      <w:r w:rsidR="002141F0" w:rsidRPr="00591BB3">
        <w:t xml:space="preserve"> randomized</w:t>
      </w:r>
      <w:r w:rsidR="00F8229B" w:rsidRPr="00591BB3">
        <w:t xml:space="preserve"> study</w:t>
      </w:r>
      <w:r w:rsidR="002141F0" w:rsidRPr="00591BB3">
        <w:t>, it</w:t>
      </w:r>
      <w:r w:rsidR="00F8229B" w:rsidRPr="00591BB3">
        <w:t xml:space="preserve"> is </w:t>
      </w:r>
      <w:r w:rsidR="002141F0" w:rsidRPr="00591BB3">
        <w:t xml:space="preserve">typical </w:t>
      </w:r>
      <w:r w:rsidR="00F8229B" w:rsidRPr="00591BB3">
        <w:t xml:space="preserve">to recruit a sample of </w:t>
      </w:r>
      <w:r w:rsidR="00B125AF" w:rsidRPr="00591BB3">
        <w:t xml:space="preserve">participants </w:t>
      </w:r>
      <w:r w:rsidR="00F8229B" w:rsidRPr="00591BB3">
        <w:t xml:space="preserve">who are willing and able to participate in any of the treatment options and then randomize </w:t>
      </w:r>
      <w:r w:rsidR="005E7A9B" w:rsidRPr="00591BB3">
        <w:t>the</w:t>
      </w:r>
      <w:r w:rsidR="00F8229B" w:rsidRPr="00591BB3">
        <w:t xml:space="preserve"> </w:t>
      </w:r>
      <w:r w:rsidR="005E7A9B" w:rsidRPr="00591BB3">
        <w:t>subjects</w:t>
      </w:r>
      <w:r w:rsidR="00F8229B" w:rsidRPr="00591BB3">
        <w:t xml:space="preserve"> </w:t>
      </w:r>
      <w:r w:rsidR="005E7A9B" w:rsidRPr="00591BB3">
        <w:t>across those</w:t>
      </w:r>
      <w:r w:rsidR="00F8229B" w:rsidRPr="00591BB3">
        <w:t xml:space="preserve"> options</w:t>
      </w:r>
      <w:r w:rsidR="00C51E68" w:rsidRPr="00591BB3">
        <w:t xml:space="preserve"> and the control condition</w:t>
      </w:r>
      <w:r w:rsidR="00F8229B" w:rsidRPr="00591BB3">
        <w:t xml:space="preserve">. </w:t>
      </w:r>
      <w:r w:rsidR="00612FA0" w:rsidRPr="00591BB3">
        <w:t>This approach is consistent with maximizing internal validity, a priority for this study</w:t>
      </w:r>
      <w:r w:rsidR="00982BE3" w:rsidRPr="00591BB3">
        <w:t xml:space="preserve">. </w:t>
      </w:r>
      <w:r w:rsidR="00612FA0" w:rsidRPr="00591BB3">
        <w:t>However, a</w:t>
      </w:r>
      <w:r w:rsidR="000A573E" w:rsidRPr="00591BB3">
        <w:t xml:space="preserve"> major limitation </w:t>
      </w:r>
      <w:r w:rsidR="00FB42AB" w:rsidRPr="00591BB3">
        <w:t>of th</w:t>
      </w:r>
      <w:r w:rsidR="002141F0" w:rsidRPr="00591BB3">
        <w:t>e typical randomization</w:t>
      </w:r>
      <w:r w:rsidR="00F8229B" w:rsidRPr="00591BB3">
        <w:t xml:space="preserve"> </w:t>
      </w:r>
      <w:r w:rsidR="005E7A9B" w:rsidRPr="00591BB3">
        <w:t>a</w:t>
      </w:r>
      <w:r w:rsidR="00F8229B" w:rsidRPr="00591BB3">
        <w:t>pproach</w:t>
      </w:r>
      <w:r w:rsidR="00E11471" w:rsidRPr="00591BB3">
        <w:t xml:space="preserve"> for this study</w:t>
      </w:r>
      <w:r w:rsidR="00F8229B" w:rsidRPr="00591BB3">
        <w:t xml:space="preserve"> is the </w:t>
      </w:r>
      <w:r w:rsidR="00FA7523" w:rsidRPr="00591BB3">
        <w:t>disparate</w:t>
      </w:r>
      <w:r w:rsidR="00E11471" w:rsidRPr="00591BB3">
        <w:t xml:space="preserve"> </w:t>
      </w:r>
      <w:r w:rsidR="00C856B5" w:rsidRPr="00591BB3">
        <w:t xml:space="preserve">burden placed on participants </w:t>
      </w:r>
      <w:r w:rsidR="00B125AF" w:rsidRPr="00591BB3">
        <w:t>by</w:t>
      </w:r>
      <w:r w:rsidR="00C856B5" w:rsidRPr="00591BB3">
        <w:t xml:space="preserve"> the </w:t>
      </w:r>
      <w:r w:rsidR="00F8229B" w:rsidRPr="00591BB3">
        <w:t>deliberative methods</w:t>
      </w:r>
      <w:r w:rsidR="002141F0" w:rsidRPr="00591BB3">
        <w:t>,</w:t>
      </w:r>
      <w:r w:rsidR="00F8229B" w:rsidRPr="00591BB3">
        <w:t xml:space="preserve"> </w:t>
      </w:r>
      <w:r w:rsidR="00612FA0" w:rsidRPr="00591BB3">
        <w:t xml:space="preserve">because </w:t>
      </w:r>
      <w:r w:rsidR="00FA7523" w:rsidRPr="00591BB3">
        <w:t>the demands</w:t>
      </w:r>
      <w:r w:rsidR="005B4983" w:rsidRPr="00591BB3">
        <w:t xml:space="preserve"> of the methods</w:t>
      </w:r>
      <w:r w:rsidR="00FA7523" w:rsidRPr="00591BB3">
        <w:t xml:space="preserve"> </w:t>
      </w:r>
      <w:r w:rsidR="00C856B5" w:rsidRPr="00591BB3">
        <w:t>var</w:t>
      </w:r>
      <w:r w:rsidR="00FA7523" w:rsidRPr="00591BB3">
        <w:t>y considerably</w:t>
      </w:r>
      <w:r w:rsidR="00C856B5" w:rsidRPr="00591BB3">
        <w:t xml:space="preserve">. </w:t>
      </w:r>
      <w:r w:rsidR="00F8229B" w:rsidRPr="00591BB3">
        <w:t xml:space="preserve">This </w:t>
      </w:r>
      <w:r w:rsidR="00B125AF" w:rsidRPr="00591BB3">
        <w:t xml:space="preserve">difference </w:t>
      </w:r>
      <w:r w:rsidR="002141F0" w:rsidRPr="00591BB3">
        <w:t xml:space="preserve">introduces the potential for selection bias, </w:t>
      </w:r>
      <w:r w:rsidR="00C856B5" w:rsidRPr="00591BB3">
        <w:t xml:space="preserve">because </w:t>
      </w:r>
      <w:r w:rsidR="00FA7523" w:rsidRPr="00591BB3">
        <w:t>participants</w:t>
      </w:r>
      <w:r w:rsidR="00627AC6" w:rsidRPr="00591BB3">
        <w:t xml:space="preserve"> who are able and willing to participate in lower burden or online methods might differ significantly in their personal characteristics (e.g., </w:t>
      </w:r>
      <w:r w:rsidR="00332E7C" w:rsidRPr="00591BB3">
        <w:t>age)</w:t>
      </w:r>
      <w:r w:rsidR="00627AC6" w:rsidRPr="00591BB3">
        <w:t xml:space="preserve"> or in some unobserved ways from those who are able and willing to participate in higher burden or in-person methods</w:t>
      </w:r>
      <w:r w:rsidR="00B125AF" w:rsidRPr="00591BB3">
        <w:t xml:space="preserve"> (</w:t>
      </w:r>
      <w:r w:rsidR="0021784E" w:rsidRPr="00591BB3">
        <w:t xml:space="preserve">See Supporting Statement A, Section </w:t>
      </w:r>
      <w:r w:rsidR="00C8544A" w:rsidRPr="00591BB3">
        <w:t>A1</w:t>
      </w:r>
      <w:r w:rsidR="0021784E" w:rsidRPr="00591BB3">
        <w:t xml:space="preserve"> for a description of the methods</w:t>
      </w:r>
      <w:r w:rsidR="00A4149C" w:rsidRPr="00591BB3">
        <w:t xml:space="preserve">).  </w:t>
      </w:r>
      <w:r w:rsidR="002141F0" w:rsidRPr="00591BB3">
        <w:t xml:space="preserve">Because </w:t>
      </w:r>
      <w:r w:rsidR="007B4613" w:rsidRPr="00591BB3">
        <w:t xml:space="preserve">of the variation in </w:t>
      </w:r>
      <w:r w:rsidR="002141F0" w:rsidRPr="00591BB3">
        <w:t>burden</w:t>
      </w:r>
      <w:r w:rsidR="00627AC6" w:rsidRPr="00591BB3">
        <w:t xml:space="preserve"> and deliberation mode</w:t>
      </w:r>
      <w:r w:rsidR="002141F0" w:rsidRPr="00591BB3">
        <w:t>, t</w:t>
      </w:r>
      <w:r w:rsidR="00450C1C" w:rsidRPr="00591BB3">
        <w:t>he pool of indiv</w:t>
      </w:r>
      <w:r w:rsidR="00E05F19" w:rsidRPr="00591BB3">
        <w:t>iduals</w:t>
      </w:r>
      <w:r w:rsidR="00450C1C" w:rsidRPr="00591BB3">
        <w:t xml:space="preserve"> who </w:t>
      </w:r>
      <w:r w:rsidR="002141F0" w:rsidRPr="00591BB3">
        <w:t>will</w:t>
      </w:r>
      <w:r w:rsidR="00E05F19" w:rsidRPr="00591BB3">
        <w:t xml:space="preserve"> </w:t>
      </w:r>
      <w:r w:rsidR="002141F0" w:rsidRPr="00591BB3">
        <w:t xml:space="preserve">find all </w:t>
      </w:r>
      <w:r w:rsidR="00CB4F27" w:rsidRPr="00591BB3">
        <w:t>four</w:t>
      </w:r>
      <w:r w:rsidR="00721634" w:rsidRPr="00591BB3">
        <w:t xml:space="preserve"> </w:t>
      </w:r>
      <w:r w:rsidR="002141F0" w:rsidRPr="00591BB3">
        <w:t>methods acceptable</w:t>
      </w:r>
      <w:r w:rsidR="00EF3BF0" w:rsidRPr="00591BB3">
        <w:t xml:space="preserve"> (and thus be available for randomization using the typical approach) will most likely be small and</w:t>
      </w:r>
      <w:r w:rsidR="00E05F19" w:rsidRPr="00591BB3">
        <w:t xml:space="preserve"> not be representative of the </w:t>
      </w:r>
      <w:r w:rsidR="00EF3BF0" w:rsidRPr="00591BB3">
        <w:t>populations we hope</w:t>
      </w:r>
      <w:r w:rsidR="00E05F19" w:rsidRPr="00591BB3">
        <w:t xml:space="preserve"> </w:t>
      </w:r>
      <w:r w:rsidR="00EF3BF0" w:rsidRPr="00591BB3">
        <w:t>to represent</w:t>
      </w:r>
      <w:r w:rsidR="00982BE3" w:rsidRPr="00591BB3">
        <w:t xml:space="preserve">. </w:t>
      </w:r>
      <w:r w:rsidR="00EF3BF0" w:rsidRPr="00591BB3">
        <w:t>T</w:t>
      </w:r>
      <w:r w:rsidR="003D6DF5" w:rsidRPr="00591BB3">
        <w:t>h</w:t>
      </w:r>
      <w:r w:rsidR="00EF3BF0" w:rsidRPr="00591BB3">
        <w:t>us, the typical randomization approach would likely be very expensive and</w:t>
      </w:r>
      <w:r w:rsidR="005F1EE5" w:rsidRPr="00591BB3">
        <w:t>/or</w:t>
      </w:r>
      <w:r w:rsidR="00EF3BF0" w:rsidRPr="00591BB3">
        <w:t xml:space="preserve"> have poor external validity.</w:t>
      </w:r>
    </w:p>
    <w:p w:rsidR="00627AC6" w:rsidRPr="00591BB3" w:rsidRDefault="00627AC6">
      <w:pPr>
        <w:pStyle w:val="NoSpacing"/>
        <w:rPr>
          <w:rFonts w:ascii="Times New Roman" w:hAnsi="Times New Roman"/>
          <w:sz w:val="24"/>
          <w:szCs w:val="24"/>
        </w:rPr>
      </w:pPr>
    </w:p>
    <w:p w:rsidR="00627AC6" w:rsidRPr="00591BB3" w:rsidRDefault="002356D0">
      <w:pPr>
        <w:pStyle w:val="NoSpacing"/>
        <w:rPr>
          <w:rFonts w:ascii="Times New Roman" w:hAnsi="Times New Roman"/>
          <w:sz w:val="24"/>
          <w:szCs w:val="24"/>
        </w:rPr>
      </w:pPr>
      <w:r w:rsidRPr="00591BB3">
        <w:rPr>
          <w:rFonts w:ascii="Times New Roman" w:hAnsi="Times New Roman"/>
          <w:sz w:val="24"/>
          <w:szCs w:val="24"/>
        </w:rPr>
        <w:t xml:space="preserve">One </w:t>
      </w:r>
      <w:r w:rsidR="00FB42AB" w:rsidRPr="00591BB3">
        <w:rPr>
          <w:rFonts w:ascii="Times New Roman" w:hAnsi="Times New Roman"/>
          <w:sz w:val="24"/>
          <w:szCs w:val="24"/>
        </w:rPr>
        <w:t>alternative</w:t>
      </w:r>
      <w:r w:rsidR="00C856B5" w:rsidRPr="00591BB3">
        <w:rPr>
          <w:rFonts w:ascii="Times New Roman" w:hAnsi="Times New Roman"/>
          <w:sz w:val="24"/>
          <w:szCs w:val="24"/>
        </w:rPr>
        <w:t xml:space="preserve"> </w:t>
      </w:r>
      <w:r w:rsidRPr="00591BB3">
        <w:rPr>
          <w:rFonts w:ascii="Times New Roman" w:hAnsi="Times New Roman"/>
          <w:sz w:val="24"/>
          <w:szCs w:val="24"/>
        </w:rPr>
        <w:t>is</w:t>
      </w:r>
      <w:r w:rsidR="00C856B5" w:rsidRPr="00591BB3">
        <w:rPr>
          <w:rFonts w:ascii="Times New Roman" w:hAnsi="Times New Roman"/>
          <w:sz w:val="24"/>
          <w:szCs w:val="24"/>
        </w:rPr>
        <w:t xml:space="preserve"> to draw </w:t>
      </w:r>
      <w:r w:rsidR="00BA75B5" w:rsidRPr="00591BB3">
        <w:rPr>
          <w:rFonts w:ascii="Times New Roman" w:hAnsi="Times New Roman"/>
          <w:sz w:val="24"/>
          <w:szCs w:val="24"/>
        </w:rPr>
        <w:t>separate</w:t>
      </w:r>
      <w:r w:rsidR="00C856B5" w:rsidRPr="00591BB3">
        <w:rPr>
          <w:rFonts w:ascii="Times New Roman" w:hAnsi="Times New Roman"/>
          <w:sz w:val="24"/>
          <w:szCs w:val="24"/>
        </w:rPr>
        <w:t xml:space="preserve"> random sample</w:t>
      </w:r>
      <w:r w:rsidR="00BA75B5" w:rsidRPr="00591BB3">
        <w:rPr>
          <w:rFonts w:ascii="Times New Roman" w:hAnsi="Times New Roman"/>
          <w:sz w:val="24"/>
          <w:szCs w:val="24"/>
        </w:rPr>
        <w:t>s</w:t>
      </w:r>
      <w:r w:rsidR="00C856B5" w:rsidRPr="00591BB3">
        <w:rPr>
          <w:rFonts w:ascii="Times New Roman" w:hAnsi="Times New Roman"/>
          <w:sz w:val="24"/>
          <w:szCs w:val="24"/>
        </w:rPr>
        <w:t xml:space="preserve"> </w:t>
      </w:r>
      <w:r w:rsidR="00BA75B5" w:rsidRPr="00591BB3">
        <w:rPr>
          <w:rFonts w:ascii="Times New Roman" w:hAnsi="Times New Roman"/>
          <w:sz w:val="24"/>
          <w:szCs w:val="24"/>
        </w:rPr>
        <w:t xml:space="preserve">with their own control groups </w:t>
      </w:r>
      <w:r w:rsidR="00C856B5" w:rsidRPr="00591BB3">
        <w:rPr>
          <w:rFonts w:ascii="Times New Roman" w:hAnsi="Times New Roman"/>
          <w:sz w:val="24"/>
          <w:szCs w:val="24"/>
        </w:rPr>
        <w:t xml:space="preserve">for each method. However, because </w:t>
      </w:r>
      <w:r w:rsidR="00BA75B5" w:rsidRPr="00591BB3">
        <w:rPr>
          <w:rFonts w:ascii="Times New Roman" w:hAnsi="Times New Roman"/>
          <w:sz w:val="24"/>
          <w:szCs w:val="24"/>
        </w:rPr>
        <w:t>of the variation in demands of the methods, the resulting samples would likely differ su</w:t>
      </w:r>
      <w:r w:rsidR="003A66AB" w:rsidRPr="00591BB3">
        <w:rPr>
          <w:rFonts w:ascii="Times New Roman" w:hAnsi="Times New Roman"/>
          <w:sz w:val="24"/>
          <w:szCs w:val="24"/>
        </w:rPr>
        <w:t>bstantially</w:t>
      </w:r>
      <w:r w:rsidR="00EF3BF0" w:rsidRPr="00591BB3">
        <w:rPr>
          <w:rFonts w:ascii="Times New Roman" w:hAnsi="Times New Roman"/>
          <w:sz w:val="24"/>
          <w:szCs w:val="24"/>
        </w:rPr>
        <w:t xml:space="preserve"> from each other</w:t>
      </w:r>
      <w:r w:rsidR="00B125AF" w:rsidRPr="00591BB3">
        <w:rPr>
          <w:rFonts w:ascii="Times New Roman" w:hAnsi="Times New Roman"/>
          <w:sz w:val="24"/>
          <w:szCs w:val="24"/>
        </w:rPr>
        <w:t>,</w:t>
      </w:r>
      <w:r w:rsidR="00C856B5" w:rsidRPr="00591BB3">
        <w:rPr>
          <w:rFonts w:ascii="Times New Roman" w:hAnsi="Times New Roman"/>
          <w:sz w:val="24"/>
          <w:szCs w:val="24"/>
        </w:rPr>
        <w:t xml:space="preserve"> threaten</w:t>
      </w:r>
      <w:r w:rsidR="00BA75B5" w:rsidRPr="00591BB3">
        <w:rPr>
          <w:rFonts w:ascii="Times New Roman" w:hAnsi="Times New Roman"/>
          <w:sz w:val="24"/>
          <w:szCs w:val="24"/>
        </w:rPr>
        <w:t>ing</w:t>
      </w:r>
      <w:r w:rsidR="00C856B5" w:rsidRPr="00591BB3">
        <w:rPr>
          <w:rFonts w:ascii="Times New Roman" w:hAnsi="Times New Roman"/>
          <w:sz w:val="24"/>
          <w:szCs w:val="24"/>
        </w:rPr>
        <w:t xml:space="preserve"> internal validity</w:t>
      </w:r>
      <w:r w:rsidR="00982BE3" w:rsidRPr="00591BB3">
        <w:rPr>
          <w:rFonts w:ascii="Times New Roman" w:hAnsi="Times New Roman"/>
          <w:sz w:val="24"/>
          <w:szCs w:val="24"/>
        </w:rPr>
        <w:t xml:space="preserve">. </w:t>
      </w:r>
      <w:r w:rsidR="00CB4F27" w:rsidRPr="00591BB3">
        <w:rPr>
          <w:rFonts w:ascii="Times New Roman" w:hAnsi="Times New Roman"/>
          <w:sz w:val="24"/>
          <w:szCs w:val="24"/>
        </w:rPr>
        <w:t xml:space="preserve">Because of the inherent selection bias, this approach would limit our ability to compare </w:t>
      </w:r>
      <w:r w:rsidR="00E26C45" w:rsidRPr="00591BB3">
        <w:rPr>
          <w:rFonts w:ascii="Times New Roman" w:hAnsi="Times New Roman"/>
          <w:sz w:val="24"/>
          <w:szCs w:val="24"/>
        </w:rPr>
        <w:t>specific</w:t>
      </w:r>
      <w:r w:rsidR="00CB4F27" w:rsidRPr="00591BB3">
        <w:rPr>
          <w:rFonts w:ascii="Times New Roman" w:hAnsi="Times New Roman"/>
          <w:sz w:val="24"/>
          <w:szCs w:val="24"/>
        </w:rPr>
        <w:t xml:space="preserve"> deliberative methods to </w:t>
      </w:r>
      <w:r w:rsidR="00627AC6" w:rsidRPr="00591BB3">
        <w:rPr>
          <w:rFonts w:ascii="Times New Roman" w:hAnsi="Times New Roman"/>
          <w:sz w:val="24"/>
          <w:szCs w:val="24"/>
        </w:rPr>
        <w:t>others</w:t>
      </w:r>
      <w:r w:rsidR="00CB4F27" w:rsidRPr="00591BB3">
        <w:rPr>
          <w:rFonts w:ascii="Times New Roman" w:hAnsi="Times New Roman"/>
          <w:sz w:val="24"/>
          <w:szCs w:val="24"/>
        </w:rPr>
        <w:t xml:space="preserve"> (see Exhibit 5).  </w:t>
      </w:r>
    </w:p>
    <w:p w:rsidR="00627AC6" w:rsidRPr="00591BB3" w:rsidRDefault="00627AC6">
      <w:pPr>
        <w:pStyle w:val="NoSpacing"/>
        <w:rPr>
          <w:rFonts w:ascii="Times New Roman" w:hAnsi="Times New Roman"/>
          <w:sz w:val="24"/>
          <w:szCs w:val="24"/>
        </w:rPr>
      </w:pPr>
    </w:p>
    <w:p w:rsidR="00627AC6" w:rsidRPr="00591BB3" w:rsidRDefault="00CB4F27">
      <w:r w:rsidRPr="00591BB3">
        <w:t xml:space="preserve">To address this genuine dilemma, we will use a two-step randomization procedure designed to maximize the pool of potential willing participants, minimize the cost of recruitment and yield internally and externally valid comparisons among </w:t>
      </w:r>
      <w:r w:rsidR="00E26C45" w:rsidRPr="00591BB3">
        <w:t>specific</w:t>
      </w:r>
      <w:r w:rsidRPr="00591BB3">
        <w:t xml:space="preserve"> deliberative methods (see Exhibit 5). The concept is that we will make these </w:t>
      </w:r>
      <w:r w:rsidR="00E26C45" w:rsidRPr="00591BB3">
        <w:t xml:space="preserve">relevant </w:t>
      </w:r>
      <w:r w:rsidRPr="00591BB3">
        <w:t xml:space="preserve">comparisons among the methods (as listed in Exhibit 5) using only the subset of sample members who were willing to accept assignment to </w:t>
      </w:r>
      <w:r w:rsidR="0007081F" w:rsidRPr="00591BB3">
        <w:t>the</w:t>
      </w:r>
      <w:r w:rsidRPr="00591BB3">
        <w:t xml:space="preserve"> methods being compared t</w:t>
      </w:r>
      <w:r w:rsidR="00C87241" w:rsidRPr="00591BB3">
        <w:t>o each other</w:t>
      </w:r>
      <w:r w:rsidRPr="00591BB3">
        <w:t>.</w:t>
      </w:r>
      <w:r w:rsidR="00627AC6" w:rsidRPr="00591BB3">
        <w:t xml:space="preserve"> This approach minimizes selection bias in each comparison. The procedures for accomplishing this are explained below.</w:t>
      </w:r>
      <w:r w:rsidR="003B348E" w:rsidRPr="00591BB3">
        <w:t xml:space="preserve"> </w:t>
      </w:r>
      <w:r w:rsidR="003D6DF5" w:rsidRPr="00591BB3">
        <w:t xml:space="preserve"> </w:t>
      </w:r>
    </w:p>
    <w:p w:rsidR="00627AC6" w:rsidRPr="00591BB3" w:rsidRDefault="00627AC6"/>
    <w:p w:rsidR="00627AC6" w:rsidRPr="00591BB3" w:rsidRDefault="00086F8E">
      <w:pPr>
        <w:pStyle w:val="NoSpacing"/>
        <w:rPr>
          <w:rFonts w:ascii="Times New Roman" w:hAnsi="Times New Roman"/>
          <w:b/>
          <w:i/>
          <w:sz w:val="24"/>
          <w:szCs w:val="24"/>
        </w:rPr>
      </w:pPr>
      <w:r w:rsidRPr="00591BB3">
        <w:rPr>
          <w:rFonts w:ascii="Times New Roman" w:hAnsi="Times New Roman"/>
          <w:b/>
          <w:i/>
          <w:sz w:val="24"/>
          <w:szCs w:val="24"/>
        </w:rPr>
        <w:t xml:space="preserve">Step 1 </w:t>
      </w:r>
    </w:p>
    <w:p w:rsidR="00627AC6" w:rsidRPr="00591BB3" w:rsidRDefault="00627AC6">
      <w:pPr>
        <w:pStyle w:val="NoSpacing"/>
        <w:rPr>
          <w:rFonts w:ascii="Times New Roman" w:hAnsi="Times New Roman"/>
          <w:sz w:val="24"/>
          <w:szCs w:val="24"/>
        </w:rPr>
      </w:pPr>
    </w:p>
    <w:p w:rsidR="00627AC6" w:rsidRPr="00591BB3" w:rsidRDefault="00CB4F27">
      <w:pPr>
        <w:pStyle w:val="NoSpacing"/>
        <w:rPr>
          <w:rFonts w:ascii="Times New Roman" w:hAnsi="Times New Roman"/>
          <w:sz w:val="24"/>
          <w:szCs w:val="24"/>
        </w:rPr>
      </w:pPr>
      <w:r w:rsidRPr="00591BB3">
        <w:rPr>
          <w:rFonts w:ascii="Times New Roman" w:hAnsi="Times New Roman"/>
          <w:sz w:val="24"/>
          <w:szCs w:val="24"/>
        </w:rPr>
        <w:t>Potential</w:t>
      </w:r>
      <w:r w:rsidR="00721634" w:rsidRPr="00591BB3">
        <w:rPr>
          <w:rFonts w:ascii="Times New Roman" w:hAnsi="Times New Roman"/>
          <w:sz w:val="24"/>
          <w:szCs w:val="24"/>
        </w:rPr>
        <w:t xml:space="preserve"> p</w:t>
      </w:r>
      <w:r w:rsidR="00EC358C" w:rsidRPr="00591BB3">
        <w:rPr>
          <w:rFonts w:ascii="Times New Roman" w:hAnsi="Times New Roman"/>
          <w:sz w:val="24"/>
          <w:szCs w:val="24"/>
        </w:rPr>
        <w:t xml:space="preserve">articipants from the </w:t>
      </w:r>
      <w:r w:rsidRPr="00591BB3">
        <w:rPr>
          <w:rFonts w:ascii="Times New Roman" w:hAnsi="Times New Roman"/>
          <w:sz w:val="24"/>
          <w:szCs w:val="24"/>
        </w:rPr>
        <w:t>recruitment firms</w:t>
      </w:r>
      <w:r w:rsidR="00EC358C" w:rsidRPr="00591BB3">
        <w:rPr>
          <w:rFonts w:ascii="Times New Roman" w:hAnsi="Times New Roman"/>
          <w:sz w:val="24"/>
          <w:szCs w:val="24"/>
        </w:rPr>
        <w:t xml:space="preserve"> will be provided descriptions of the </w:t>
      </w:r>
      <w:r w:rsidRPr="00591BB3">
        <w:rPr>
          <w:rFonts w:ascii="Times New Roman" w:hAnsi="Times New Roman"/>
          <w:sz w:val="24"/>
          <w:szCs w:val="24"/>
        </w:rPr>
        <w:t>five</w:t>
      </w:r>
      <w:r w:rsidR="00721634" w:rsidRPr="00591BB3">
        <w:rPr>
          <w:rFonts w:ascii="Times New Roman" w:hAnsi="Times New Roman"/>
          <w:sz w:val="24"/>
          <w:szCs w:val="24"/>
        </w:rPr>
        <w:t xml:space="preserve"> </w:t>
      </w:r>
      <w:r w:rsidR="00EC358C" w:rsidRPr="00591BB3">
        <w:rPr>
          <w:rFonts w:ascii="Times New Roman" w:hAnsi="Times New Roman"/>
          <w:sz w:val="24"/>
          <w:szCs w:val="24"/>
        </w:rPr>
        <w:t>experimental conditions and asked to indicate</w:t>
      </w:r>
      <w:r w:rsidR="00AE440B" w:rsidRPr="00591BB3">
        <w:rPr>
          <w:rFonts w:ascii="Times New Roman" w:hAnsi="Times New Roman"/>
          <w:sz w:val="24"/>
          <w:szCs w:val="24"/>
        </w:rPr>
        <w:t>,</w:t>
      </w:r>
      <w:r w:rsidR="00EC358C" w:rsidRPr="00591BB3">
        <w:rPr>
          <w:rFonts w:ascii="Times New Roman" w:hAnsi="Times New Roman"/>
          <w:sz w:val="24"/>
          <w:szCs w:val="24"/>
        </w:rPr>
        <w:t xml:space="preserve"> on the electronic form</w:t>
      </w:r>
      <w:r w:rsidR="00721634" w:rsidRPr="00591BB3">
        <w:rPr>
          <w:rFonts w:ascii="Times New Roman" w:hAnsi="Times New Roman"/>
          <w:sz w:val="24"/>
          <w:szCs w:val="24"/>
        </w:rPr>
        <w:t xml:space="preserve"> </w:t>
      </w:r>
      <w:r w:rsidRPr="00591BB3">
        <w:rPr>
          <w:rFonts w:ascii="Times New Roman" w:hAnsi="Times New Roman"/>
          <w:sz w:val="24"/>
          <w:szCs w:val="24"/>
        </w:rPr>
        <w:t>or on the phone</w:t>
      </w:r>
      <w:r w:rsidR="00AE440B" w:rsidRPr="00591BB3">
        <w:rPr>
          <w:rFonts w:ascii="Times New Roman" w:hAnsi="Times New Roman"/>
          <w:sz w:val="24"/>
          <w:szCs w:val="24"/>
        </w:rPr>
        <w:t>,</w:t>
      </w:r>
      <w:r w:rsidR="00EC358C" w:rsidRPr="00591BB3">
        <w:rPr>
          <w:rFonts w:ascii="Times New Roman" w:hAnsi="Times New Roman"/>
          <w:sz w:val="24"/>
          <w:szCs w:val="24"/>
        </w:rPr>
        <w:t xml:space="preserve"> which of the </w:t>
      </w:r>
      <w:r w:rsidRPr="00591BB3">
        <w:rPr>
          <w:rFonts w:ascii="Times New Roman" w:hAnsi="Times New Roman"/>
          <w:sz w:val="24"/>
          <w:szCs w:val="24"/>
        </w:rPr>
        <w:t>four</w:t>
      </w:r>
      <w:r w:rsidR="00721634" w:rsidRPr="00591BB3">
        <w:rPr>
          <w:rFonts w:ascii="Times New Roman" w:hAnsi="Times New Roman"/>
          <w:sz w:val="24"/>
          <w:szCs w:val="24"/>
        </w:rPr>
        <w:t xml:space="preserve"> </w:t>
      </w:r>
      <w:r w:rsidR="003B348E" w:rsidRPr="00591BB3">
        <w:rPr>
          <w:rFonts w:ascii="Times New Roman" w:hAnsi="Times New Roman"/>
          <w:sz w:val="24"/>
          <w:szCs w:val="24"/>
        </w:rPr>
        <w:t>deliberative</w:t>
      </w:r>
      <w:r w:rsidR="00F25847" w:rsidRPr="00591BB3">
        <w:rPr>
          <w:rFonts w:ascii="Times New Roman" w:hAnsi="Times New Roman"/>
          <w:sz w:val="24"/>
          <w:szCs w:val="24"/>
        </w:rPr>
        <w:t xml:space="preserve"> </w:t>
      </w:r>
      <w:r w:rsidR="00EC358C" w:rsidRPr="00591BB3">
        <w:rPr>
          <w:rFonts w:ascii="Times New Roman" w:hAnsi="Times New Roman"/>
          <w:sz w:val="24"/>
          <w:szCs w:val="24"/>
        </w:rPr>
        <w:t xml:space="preserve">methods they </w:t>
      </w:r>
      <w:r w:rsidR="003B348E" w:rsidRPr="00591BB3">
        <w:rPr>
          <w:rFonts w:ascii="Times New Roman" w:hAnsi="Times New Roman"/>
          <w:sz w:val="24"/>
          <w:szCs w:val="24"/>
        </w:rPr>
        <w:t>are</w:t>
      </w:r>
      <w:r w:rsidR="00EC358C" w:rsidRPr="00591BB3">
        <w:rPr>
          <w:rFonts w:ascii="Times New Roman" w:hAnsi="Times New Roman"/>
          <w:sz w:val="24"/>
          <w:szCs w:val="24"/>
        </w:rPr>
        <w:t xml:space="preserve"> willing to participate in</w:t>
      </w:r>
      <w:r w:rsidR="00982BE3" w:rsidRPr="00591BB3">
        <w:rPr>
          <w:rFonts w:ascii="Times New Roman" w:hAnsi="Times New Roman"/>
          <w:sz w:val="24"/>
          <w:szCs w:val="24"/>
        </w:rPr>
        <w:t xml:space="preserve">. </w:t>
      </w:r>
      <w:r w:rsidR="00B21FA4" w:rsidRPr="00591BB3">
        <w:rPr>
          <w:rFonts w:ascii="Times New Roman" w:hAnsi="Times New Roman"/>
          <w:sz w:val="24"/>
          <w:szCs w:val="24"/>
        </w:rPr>
        <w:t xml:space="preserve">They will be asked to select as many of the methods as they </w:t>
      </w:r>
      <w:r w:rsidR="00A10B59" w:rsidRPr="00591BB3">
        <w:rPr>
          <w:rFonts w:ascii="Times New Roman" w:hAnsi="Times New Roman"/>
          <w:sz w:val="24"/>
          <w:szCs w:val="24"/>
        </w:rPr>
        <w:t>are interested in and</w:t>
      </w:r>
      <w:r w:rsidR="00B21FA4" w:rsidRPr="00591BB3">
        <w:rPr>
          <w:rFonts w:ascii="Times New Roman" w:hAnsi="Times New Roman"/>
          <w:sz w:val="24"/>
          <w:szCs w:val="24"/>
        </w:rPr>
        <w:t xml:space="preserve"> </w:t>
      </w:r>
      <w:r w:rsidR="003B348E" w:rsidRPr="00591BB3">
        <w:rPr>
          <w:rFonts w:ascii="Times New Roman" w:hAnsi="Times New Roman"/>
          <w:sz w:val="24"/>
          <w:szCs w:val="24"/>
        </w:rPr>
        <w:t>w</w:t>
      </w:r>
      <w:r w:rsidR="00B21FA4" w:rsidRPr="00591BB3">
        <w:rPr>
          <w:rFonts w:ascii="Times New Roman" w:hAnsi="Times New Roman"/>
          <w:sz w:val="24"/>
          <w:szCs w:val="24"/>
        </w:rPr>
        <w:t>ould take part in</w:t>
      </w:r>
      <w:r w:rsidR="00AE440B" w:rsidRPr="00591BB3">
        <w:rPr>
          <w:rFonts w:ascii="Times New Roman" w:hAnsi="Times New Roman"/>
          <w:sz w:val="24"/>
          <w:szCs w:val="24"/>
        </w:rPr>
        <w:t xml:space="preserve">; they will </w:t>
      </w:r>
      <w:r w:rsidR="005F2D8E" w:rsidRPr="00591BB3">
        <w:rPr>
          <w:rFonts w:ascii="Times New Roman" w:hAnsi="Times New Roman"/>
          <w:sz w:val="24"/>
          <w:szCs w:val="24"/>
        </w:rPr>
        <w:t>be required to</w:t>
      </w:r>
      <w:r w:rsidR="00AE440B" w:rsidRPr="00591BB3">
        <w:rPr>
          <w:rFonts w:ascii="Times New Roman" w:hAnsi="Times New Roman"/>
          <w:sz w:val="24"/>
          <w:szCs w:val="24"/>
        </w:rPr>
        <w:t xml:space="preserve"> select </w:t>
      </w:r>
      <w:r w:rsidR="00B21FA4" w:rsidRPr="00591BB3">
        <w:rPr>
          <w:rFonts w:ascii="Times New Roman" w:hAnsi="Times New Roman"/>
          <w:sz w:val="24"/>
          <w:szCs w:val="24"/>
        </w:rPr>
        <w:t xml:space="preserve">at least two of the </w:t>
      </w:r>
      <w:r w:rsidRPr="00591BB3">
        <w:rPr>
          <w:rFonts w:ascii="Times New Roman" w:hAnsi="Times New Roman"/>
          <w:sz w:val="24"/>
          <w:szCs w:val="24"/>
        </w:rPr>
        <w:t>four methods to be eligible</w:t>
      </w:r>
      <w:r w:rsidR="003B348E" w:rsidRPr="00591BB3">
        <w:rPr>
          <w:rFonts w:ascii="Times New Roman" w:hAnsi="Times New Roman"/>
          <w:sz w:val="24"/>
          <w:szCs w:val="24"/>
        </w:rPr>
        <w:t xml:space="preserve"> for</w:t>
      </w:r>
      <w:r w:rsidR="00B21FA4" w:rsidRPr="00591BB3">
        <w:rPr>
          <w:rFonts w:ascii="Times New Roman" w:hAnsi="Times New Roman"/>
          <w:sz w:val="24"/>
          <w:szCs w:val="24"/>
        </w:rPr>
        <w:t xml:space="preserve"> the</w:t>
      </w:r>
      <w:r w:rsidR="00AE440B" w:rsidRPr="00591BB3">
        <w:rPr>
          <w:rFonts w:ascii="Times New Roman" w:hAnsi="Times New Roman"/>
          <w:sz w:val="24"/>
          <w:szCs w:val="24"/>
        </w:rPr>
        <w:t xml:space="preserve"> study</w:t>
      </w:r>
      <w:r w:rsidR="00982BE3" w:rsidRPr="00591BB3">
        <w:rPr>
          <w:rFonts w:ascii="Times New Roman" w:hAnsi="Times New Roman"/>
          <w:sz w:val="24"/>
          <w:szCs w:val="24"/>
        </w:rPr>
        <w:t xml:space="preserve">. </w:t>
      </w:r>
      <w:r w:rsidR="000A0CF7" w:rsidRPr="00591BB3">
        <w:rPr>
          <w:rFonts w:ascii="Times New Roman" w:hAnsi="Times New Roman"/>
          <w:sz w:val="24"/>
          <w:szCs w:val="24"/>
        </w:rPr>
        <w:t>The instructions will further explain that they will be randomly assigned to one of their selected methods or a control condition</w:t>
      </w:r>
      <w:r w:rsidR="00AE440B" w:rsidRPr="00591BB3">
        <w:rPr>
          <w:rFonts w:ascii="Times New Roman" w:hAnsi="Times New Roman"/>
          <w:sz w:val="24"/>
          <w:szCs w:val="24"/>
        </w:rPr>
        <w:t>,</w:t>
      </w:r>
      <w:r w:rsidR="00E514E0" w:rsidRPr="00591BB3">
        <w:rPr>
          <w:rFonts w:ascii="Times New Roman" w:hAnsi="Times New Roman"/>
          <w:sz w:val="24"/>
          <w:szCs w:val="24"/>
        </w:rPr>
        <w:t xml:space="preserve"> where they will be asked to read materials </w:t>
      </w:r>
      <w:r w:rsidR="000A0CF7" w:rsidRPr="00591BB3">
        <w:rPr>
          <w:rFonts w:ascii="Times New Roman" w:hAnsi="Times New Roman"/>
          <w:sz w:val="24"/>
          <w:szCs w:val="24"/>
        </w:rPr>
        <w:t xml:space="preserve">but not </w:t>
      </w:r>
      <w:r w:rsidR="0007081F" w:rsidRPr="00591BB3">
        <w:rPr>
          <w:rFonts w:ascii="Times New Roman" w:hAnsi="Times New Roman"/>
          <w:sz w:val="24"/>
          <w:szCs w:val="24"/>
        </w:rPr>
        <w:t xml:space="preserve">convene or </w:t>
      </w:r>
      <w:r w:rsidR="000A0CF7" w:rsidRPr="00591BB3">
        <w:rPr>
          <w:rFonts w:ascii="Times New Roman" w:hAnsi="Times New Roman"/>
          <w:sz w:val="24"/>
          <w:szCs w:val="24"/>
        </w:rPr>
        <w:t>take part in discussions</w:t>
      </w:r>
      <w:r w:rsidR="00982BE3" w:rsidRPr="00591BB3">
        <w:rPr>
          <w:rFonts w:ascii="Times New Roman" w:hAnsi="Times New Roman"/>
          <w:sz w:val="24"/>
          <w:szCs w:val="24"/>
        </w:rPr>
        <w:t xml:space="preserve">. </w:t>
      </w:r>
      <w:r w:rsidR="000A0CF7" w:rsidRPr="00591BB3">
        <w:rPr>
          <w:rFonts w:ascii="Times New Roman" w:hAnsi="Times New Roman"/>
          <w:sz w:val="24"/>
          <w:szCs w:val="24"/>
        </w:rPr>
        <w:t xml:space="preserve">Excluding subjects who would only select one </w:t>
      </w:r>
      <w:r w:rsidR="000A0CF7" w:rsidRPr="00591BB3">
        <w:rPr>
          <w:rFonts w:ascii="Times New Roman" w:hAnsi="Times New Roman"/>
          <w:sz w:val="24"/>
          <w:szCs w:val="24"/>
        </w:rPr>
        <w:lastRenderedPageBreak/>
        <w:t xml:space="preserve">method </w:t>
      </w:r>
      <w:r w:rsidR="00B21FA4" w:rsidRPr="00591BB3">
        <w:rPr>
          <w:rFonts w:ascii="Times New Roman" w:hAnsi="Times New Roman"/>
          <w:sz w:val="24"/>
          <w:szCs w:val="24"/>
        </w:rPr>
        <w:t xml:space="preserve">is necessary because </w:t>
      </w:r>
      <w:r w:rsidR="00613937" w:rsidRPr="00591BB3">
        <w:rPr>
          <w:rFonts w:ascii="Times New Roman" w:hAnsi="Times New Roman"/>
          <w:sz w:val="24"/>
          <w:szCs w:val="24"/>
        </w:rPr>
        <w:t xml:space="preserve">we would not be able to use </w:t>
      </w:r>
      <w:r w:rsidR="003B348E" w:rsidRPr="00591BB3">
        <w:rPr>
          <w:rFonts w:ascii="Times New Roman" w:hAnsi="Times New Roman"/>
          <w:sz w:val="24"/>
          <w:szCs w:val="24"/>
        </w:rPr>
        <w:t xml:space="preserve">those </w:t>
      </w:r>
      <w:r w:rsidR="00613937" w:rsidRPr="00591BB3">
        <w:rPr>
          <w:rFonts w:ascii="Times New Roman" w:hAnsi="Times New Roman"/>
          <w:sz w:val="24"/>
          <w:szCs w:val="24"/>
        </w:rPr>
        <w:t xml:space="preserve">persons </w:t>
      </w:r>
      <w:r w:rsidR="003B348E" w:rsidRPr="00591BB3">
        <w:rPr>
          <w:rFonts w:ascii="Times New Roman" w:hAnsi="Times New Roman"/>
          <w:sz w:val="24"/>
          <w:szCs w:val="24"/>
        </w:rPr>
        <w:t>when comparing one</w:t>
      </w:r>
      <w:r w:rsidR="00B21FA4" w:rsidRPr="00591BB3">
        <w:rPr>
          <w:rFonts w:ascii="Times New Roman" w:hAnsi="Times New Roman"/>
          <w:sz w:val="24"/>
          <w:szCs w:val="24"/>
        </w:rPr>
        <w:t xml:space="preserve"> method to </w:t>
      </w:r>
      <w:r w:rsidR="003B348E" w:rsidRPr="00591BB3">
        <w:rPr>
          <w:rFonts w:ascii="Times New Roman" w:hAnsi="Times New Roman"/>
          <w:sz w:val="24"/>
          <w:szCs w:val="24"/>
        </w:rPr>
        <w:t>an</w:t>
      </w:r>
      <w:r w:rsidR="00B21FA4" w:rsidRPr="00591BB3">
        <w:rPr>
          <w:rFonts w:ascii="Times New Roman" w:hAnsi="Times New Roman"/>
          <w:sz w:val="24"/>
          <w:szCs w:val="24"/>
        </w:rPr>
        <w:t xml:space="preserve">other. </w:t>
      </w:r>
    </w:p>
    <w:p w:rsidR="00627AC6" w:rsidRPr="00591BB3" w:rsidRDefault="00627AC6">
      <w:pPr>
        <w:pStyle w:val="NoSpacing"/>
        <w:rPr>
          <w:rFonts w:ascii="Times New Roman" w:hAnsi="Times New Roman"/>
          <w:sz w:val="24"/>
          <w:szCs w:val="24"/>
        </w:rPr>
      </w:pPr>
    </w:p>
    <w:p w:rsidR="00627AC6" w:rsidRPr="00591BB3" w:rsidRDefault="00596F16">
      <w:pPr>
        <w:pStyle w:val="NoSpacing"/>
        <w:rPr>
          <w:rFonts w:ascii="Times New Roman" w:hAnsi="Times New Roman"/>
          <w:sz w:val="24"/>
          <w:szCs w:val="24"/>
        </w:rPr>
      </w:pPr>
      <w:r w:rsidRPr="00591BB3">
        <w:rPr>
          <w:rFonts w:ascii="Times New Roman" w:hAnsi="Times New Roman"/>
          <w:sz w:val="24"/>
          <w:szCs w:val="24"/>
        </w:rPr>
        <w:t>As illustrated in Exhibit 2, t</w:t>
      </w:r>
      <w:r w:rsidR="006A081D" w:rsidRPr="00591BB3">
        <w:rPr>
          <w:rFonts w:ascii="Times New Roman" w:hAnsi="Times New Roman"/>
          <w:sz w:val="24"/>
          <w:szCs w:val="24"/>
        </w:rPr>
        <w:t>h</w:t>
      </w:r>
      <w:r w:rsidRPr="00591BB3">
        <w:rPr>
          <w:rFonts w:ascii="Times New Roman" w:hAnsi="Times New Roman"/>
          <w:sz w:val="24"/>
          <w:szCs w:val="24"/>
        </w:rPr>
        <w:t>is procedure</w:t>
      </w:r>
      <w:r w:rsidR="006A081D" w:rsidRPr="00591BB3">
        <w:rPr>
          <w:rFonts w:ascii="Times New Roman" w:hAnsi="Times New Roman"/>
          <w:sz w:val="24"/>
          <w:szCs w:val="24"/>
        </w:rPr>
        <w:t xml:space="preserve"> will establish up to </w:t>
      </w:r>
      <w:r w:rsidR="0041632A" w:rsidRPr="00591BB3">
        <w:rPr>
          <w:rFonts w:ascii="Times New Roman" w:hAnsi="Times New Roman"/>
          <w:sz w:val="24"/>
          <w:szCs w:val="24"/>
        </w:rPr>
        <w:t>11</w:t>
      </w:r>
      <w:r w:rsidR="005002F7" w:rsidRPr="00591BB3">
        <w:rPr>
          <w:rFonts w:ascii="Times New Roman" w:hAnsi="Times New Roman"/>
          <w:sz w:val="24"/>
          <w:szCs w:val="24"/>
        </w:rPr>
        <w:t xml:space="preserve"> </w:t>
      </w:r>
      <w:r w:rsidR="006A081D" w:rsidRPr="00591BB3">
        <w:rPr>
          <w:rFonts w:ascii="Times New Roman" w:hAnsi="Times New Roman"/>
          <w:sz w:val="24"/>
          <w:szCs w:val="24"/>
        </w:rPr>
        <w:t xml:space="preserve">pools of participants defined by all possible </w:t>
      </w:r>
      <w:r w:rsidRPr="00591BB3">
        <w:rPr>
          <w:rFonts w:ascii="Times New Roman" w:hAnsi="Times New Roman"/>
          <w:sz w:val="24"/>
          <w:szCs w:val="24"/>
        </w:rPr>
        <w:t xml:space="preserve">3- to </w:t>
      </w:r>
      <w:r w:rsidR="0041632A" w:rsidRPr="00591BB3">
        <w:rPr>
          <w:rFonts w:ascii="Times New Roman" w:hAnsi="Times New Roman"/>
          <w:sz w:val="24"/>
          <w:szCs w:val="24"/>
        </w:rPr>
        <w:t>5-</w:t>
      </w:r>
      <w:r w:rsidR="003D6DF5" w:rsidRPr="00591BB3">
        <w:rPr>
          <w:rFonts w:ascii="Times New Roman" w:hAnsi="Times New Roman"/>
          <w:sz w:val="24"/>
          <w:szCs w:val="24"/>
        </w:rPr>
        <w:t xml:space="preserve"> </w:t>
      </w:r>
      <w:r w:rsidRPr="00591BB3">
        <w:rPr>
          <w:rFonts w:ascii="Times New Roman" w:hAnsi="Times New Roman"/>
          <w:sz w:val="24"/>
          <w:szCs w:val="24"/>
        </w:rPr>
        <w:t xml:space="preserve">way </w:t>
      </w:r>
      <w:r w:rsidR="006A081D" w:rsidRPr="00591BB3">
        <w:rPr>
          <w:rFonts w:ascii="Times New Roman" w:hAnsi="Times New Roman"/>
          <w:sz w:val="24"/>
          <w:szCs w:val="24"/>
        </w:rPr>
        <w:t xml:space="preserve">combinations of the </w:t>
      </w:r>
      <w:r w:rsidR="0041632A" w:rsidRPr="00591BB3">
        <w:rPr>
          <w:rFonts w:ascii="Times New Roman" w:hAnsi="Times New Roman"/>
          <w:sz w:val="24"/>
          <w:szCs w:val="24"/>
        </w:rPr>
        <w:t>four</w:t>
      </w:r>
      <w:r w:rsidR="00721634" w:rsidRPr="00591BB3">
        <w:rPr>
          <w:rFonts w:ascii="Times New Roman" w:hAnsi="Times New Roman"/>
          <w:sz w:val="24"/>
          <w:szCs w:val="24"/>
        </w:rPr>
        <w:t xml:space="preserve"> </w:t>
      </w:r>
      <w:r w:rsidR="006A081D" w:rsidRPr="00591BB3">
        <w:rPr>
          <w:rFonts w:ascii="Times New Roman" w:hAnsi="Times New Roman"/>
          <w:sz w:val="24"/>
          <w:szCs w:val="24"/>
        </w:rPr>
        <w:t>methods</w:t>
      </w:r>
      <w:r w:rsidRPr="00591BB3">
        <w:rPr>
          <w:rFonts w:ascii="Times New Roman" w:hAnsi="Times New Roman"/>
          <w:sz w:val="24"/>
          <w:szCs w:val="24"/>
        </w:rPr>
        <w:t xml:space="preserve">, where A through </w:t>
      </w:r>
      <w:r w:rsidR="0041632A" w:rsidRPr="00591BB3">
        <w:rPr>
          <w:rFonts w:ascii="Times New Roman" w:hAnsi="Times New Roman"/>
          <w:sz w:val="24"/>
          <w:szCs w:val="24"/>
        </w:rPr>
        <w:t>D</w:t>
      </w:r>
      <w:r w:rsidR="00721634" w:rsidRPr="00591BB3">
        <w:rPr>
          <w:rFonts w:ascii="Times New Roman" w:hAnsi="Times New Roman"/>
          <w:sz w:val="24"/>
          <w:szCs w:val="24"/>
        </w:rPr>
        <w:t xml:space="preserve"> </w:t>
      </w:r>
      <w:r w:rsidRPr="00591BB3">
        <w:rPr>
          <w:rFonts w:ascii="Times New Roman" w:hAnsi="Times New Roman"/>
          <w:sz w:val="24"/>
          <w:szCs w:val="24"/>
        </w:rPr>
        <w:t xml:space="preserve">represent the </w:t>
      </w:r>
      <w:r w:rsidR="0041632A" w:rsidRPr="00591BB3">
        <w:rPr>
          <w:rFonts w:ascii="Times New Roman" w:hAnsi="Times New Roman"/>
          <w:sz w:val="24"/>
          <w:szCs w:val="24"/>
        </w:rPr>
        <w:t>four</w:t>
      </w:r>
      <w:r w:rsidR="001641F5" w:rsidRPr="00591BB3">
        <w:rPr>
          <w:rFonts w:ascii="Times New Roman" w:hAnsi="Times New Roman"/>
          <w:sz w:val="24"/>
          <w:szCs w:val="24"/>
        </w:rPr>
        <w:t xml:space="preserve"> </w:t>
      </w:r>
      <w:r w:rsidRPr="00591BB3">
        <w:rPr>
          <w:rFonts w:ascii="Times New Roman" w:hAnsi="Times New Roman"/>
          <w:sz w:val="24"/>
          <w:szCs w:val="24"/>
        </w:rPr>
        <w:t>methods and X represents the control group</w:t>
      </w:r>
      <w:r w:rsidR="003D6DF5" w:rsidRPr="00591BB3">
        <w:rPr>
          <w:rFonts w:ascii="Times New Roman" w:hAnsi="Times New Roman"/>
          <w:sz w:val="24"/>
          <w:szCs w:val="24"/>
        </w:rPr>
        <w:t>.</w:t>
      </w:r>
      <w:r w:rsidR="000A0CF7" w:rsidRPr="00591BB3">
        <w:rPr>
          <w:rFonts w:ascii="Times New Roman" w:hAnsi="Times New Roman"/>
          <w:sz w:val="24"/>
          <w:szCs w:val="24"/>
        </w:rPr>
        <w:t xml:space="preserve">  </w:t>
      </w:r>
    </w:p>
    <w:p w:rsidR="00627AC6" w:rsidRPr="00591BB3" w:rsidRDefault="00627AC6">
      <w:pPr>
        <w:pStyle w:val="NoSpacing"/>
        <w:rPr>
          <w:rFonts w:ascii="Times New Roman" w:hAnsi="Times New Roman"/>
          <w:sz w:val="24"/>
          <w:szCs w:val="24"/>
        </w:rPr>
      </w:pPr>
    </w:p>
    <w:p w:rsidR="00627AC6" w:rsidRPr="00591BB3" w:rsidRDefault="00A10B59">
      <w:pPr>
        <w:pStyle w:val="NoSpacing"/>
        <w:keepNext/>
        <w:rPr>
          <w:rFonts w:ascii="Times New Roman" w:hAnsi="Times New Roman"/>
          <w:b/>
          <w:sz w:val="24"/>
          <w:szCs w:val="24"/>
        </w:rPr>
      </w:pPr>
      <w:r w:rsidRPr="00591BB3">
        <w:rPr>
          <w:rFonts w:ascii="Times New Roman" w:hAnsi="Times New Roman"/>
          <w:b/>
          <w:sz w:val="24"/>
          <w:szCs w:val="24"/>
        </w:rPr>
        <w:t xml:space="preserve">Exhibit 2. </w:t>
      </w:r>
      <w:r w:rsidR="00C87241" w:rsidRPr="00591BB3">
        <w:rPr>
          <w:rFonts w:ascii="Times New Roman" w:hAnsi="Times New Roman"/>
          <w:b/>
          <w:sz w:val="24"/>
          <w:szCs w:val="24"/>
        </w:rPr>
        <w:t xml:space="preserve">Potential Participant Pools Following Participant Selection of </w:t>
      </w:r>
      <w:r w:rsidR="00C82B94" w:rsidRPr="00591BB3">
        <w:rPr>
          <w:rFonts w:ascii="Times New Roman" w:hAnsi="Times New Roman"/>
          <w:b/>
          <w:sz w:val="24"/>
          <w:szCs w:val="24"/>
        </w:rPr>
        <w:t>Two, Three, or Four Methods</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52"/>
        <w:gridCol w:w="2953"/>
        <w:gridCol w:w="2951"/>
      </w:tblGrid>
      <w:tr w:rsidR="005002F7" w:rsidRPr="00591BB3" w:rsidTr="00105CFE">
        <w:trPr>
          <w:tblHeader/>
        </w:trPr>
        <w:tc>
          <w:tcPr>
            <w:tcW w:w="1667" w:type="pct"/>
            <w:shd w:val="clear" w:color="auto" w:fill="8DB3E2" w:themeFill="text2" w:themeFillTint="66"/>
          </w:tcPr>
          <w:p w:rsidR="00627AC6" w:rsidRPr="00591BB3" w:rsidRDefault="00CB4F27">
            <w:pPr>
              <w:keepNext/>
              <w:ind w:left="0" w:firstLine="0"/>
              <w:jc w:val="center"/>
              <w:rPr>
                <w:rFonts w:ascii="Times New Roman" w:eastAsia="Times New Roman" w:hAnsi="Times New Roman"/>
                <w:b/>
                <w:sz w:val="24"/>
                <w:szCs w:val="24"/>
              </w:rPr>
            </w:pPr>
            <w:r w:rsidRPr="00591BB3">
              <w:rPr>
                <w:rFonts w:ascii="Times New Roman" w:hAnsi="Times New Roman"/>
                <w:b/>
                <w:sz w:val="24"/>
                <w:szCs w:val="24"/>
              </w:rPr>
              <w:t>Participants select 2 methods</w:t>
            </w:r>
          </w:p>
        </w:tc>
        <w:tc>
          <w:tcPr>
            <w:tcW w:w="1667" w:type="pct"/>
            <w:shd w:val="clear" w:color="auto" w:fill="8DB3E2" w:themeFill="text2" w:themeFillTint="66"/>
          </w:tcPr>
          <w:p w:rsidR="00627AC6" w:rsidRPr="00591BB3" w:rsidRDefault="00CB4F27">
            <w:pPr>
              <w:keepNext/>
              <w:ind w:left="0" w:firstLine="0"/>
              <w:jc w:val="center"/>
              <w:rPr>
                <w:rFonts w:ascii="Times New Roman" w:eastAsia="Times New Roman" w:hAnsi="Times New Roman"/>
                <w:b/>
                <w:sz w:val="24"/>
                <w:szCs w:val="24"/>
              </w:rPr>
            </w:pPr>
            <w:r w:rsidRPr="00591BB3">
              <w:rPr>
                <w:rFonts w:ascii="Times New Roman" w:hAnsi="Times New Roman"/>
                <w:b/>
                <w:sz w:val="24"/>
                <w:szCs w:val="24"/>
              </w:rPr>
              <w:t>Participants select 3 methods</w:t>
            </w:r>
          </w:p>
        </w:tc>
        <w:tc>
          <w:tcPr>
            <w:tcW w:w="1667" w:type="pct"/>
            <w:shd w:val="clear" w:color="auto" w:fill="8DB3E2" w:themeFill="text2" w:themeFillTint="66"/>
          </w:tcPr>
          <w:p w:rsidR="00627AC6" w:rsidRPr="00591BB3" w:rsidRDefault="00CB4F27">
            <w:pPr>
              <w:keepNext/>
              <w:ind w:left="0" w:firstLine="0"/>
              <w:jc w:val="center"/>
              <w:rPr>
                <w:rFonts w:ascii="Times New Roman" w:eastAsia="Times New Roman" w:hAnsi="Times New Roman"/>
                <w:b/>
                <w:sz w:val="24"/>
                <w:szCs w:val="24"/>
              </w:rPr>
            </w:pPr>
            <w:r w:rsidRPr="00591BB3">
              <w:rPr>
                <w:rFonts w:ascii="Times New Roman" w:hAnsi="Times New Roman"/>
                <w:b/>
                <w:sz w:val="24"/>
                <w:szCs w:val="24"/>
              </w:rPr>
              <w:t>Participants select 4 methods</w:t>
            </w:r>
          </w:p>
        </w:tc>
      </w:tr>
      <w:tr w:rsidR="005002F7" w:rsidRPr="00591BB3" w:rsidTr="00105CFE">
        <w:tc>
          <w:tcPr>
            <w:tcW w:w="1667" w:type="pct"/>
            <w:shd w:val="clear" w:color="auto" w:fill="auto"/>
          </w:tcPr>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6 combinations:</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ABX</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ACX</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ADX</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BCX</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BDX</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CDX</w:t>
            </w:r>
          </w:p>
        </w:tc>
        <w:tc>
          <w:tcPr>
            <w:tcW w:w="1667" w:type="pct"/>
            <w:shd w:val="clear" w:color="auto" w:fill="auto"/>
          </w:tcPr>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4 combinations:</w:t>
            </w:r>
          </w:p>
          <w:p w:rsidR="005002F7" w:rsidRPr="00591BB3" w:rsidRDefault="00CB4F27" w:rsidP="00940F3C">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ABCX</w:t>
            </w:r>
          </w:p>
          <w:p w:rsidR="00627AC6" w:rsidRPr="00591BB3" w:rsidRDefault="00CB4F27">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ABDX</w:t>
            </w:r>
          </w:p>
          <w:p w:rsidR="00627AC6" w:rsidRPr="00591BB3" w:rsidRDefault="00CB4F27">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ACDX</w:t>
            </w:r>
          </w:p>
          <w:p w:rsidR="00627AC6" w:rsidRPr="00591BB3" w:rsidRDefault="00CB4F27">
            <w:pPr>
              <w:keepNext/>
              <w:ind w:left="0" w:firstLine="0"/>
              <w:jc w:val="center"/>
              <w:rPr>
                <w:rFonts w:ascii="Times New Roman" w:eastAsia="Times New Roman" w:hAnsi="Times New Roman"/>
                <w:sz w:val="24"/>
                <w:szCs w:val="24"/>
              </w:rPr>
            </w:pPr>
            <w:r w:rsidRPr="00591BB3">
              <w:rPr>
                <w:rFonts w:ascii="Times New Roman" w:hAnsi="Times New Roman"/>
                <w:sz w:val="24"/>
                <w:szCs w:val="24"/>
              </w:rPr>
              <w:t>BCDX</w:t>
            </w:r>
          </w:p>
          <w:p w:rsidR="00627AC6" w:rsidRPr="00591BB3" w:rsidRDefault="00627AC6">
            <w:pPr>
              <w:keepNext/>
              <w:ind w:left="0" w:firstLine="0"/>
              <w:jc w:val="center"/>
              <w:rPr>
                <w:rFonts w:ascii="Times New Roman" w:eastAsia="Times New Roman" w:hAnsi="Times New Roman"/>
                <w:sz w:val="24"/>
                <w:szCs w:val="24"/>
              </w:rPr>
            </w:pPr>
          </w:p>
        </w:tc>
        <w:tc>
          <w:tcPr>
            <w:tcW w:w="1667" w:type="pct"/>
            <w:shd w:val="clear" w:color="auto" w:fill="auto"/>
          </w:tcPr>
          <w:p w:rsidR="00627AC6" w:rsidRPr="00591BB3" w:rsidRDefault="00CB4F27">
            <w:pPr>
              <w:keepNext/>
              <w:ind w:left="0" w:firstLine="0"/>
              <w:jc w:val="center"/>
              <w:rPr>
                <w:rFonts w:ascii="Times New Roman" w:eastAsia="Times New Roman" w:hAnsi="Times New Roman"/>
                <w:sz w:val="24"/>
                <w:szCs w:val="24"/>
              </w:rPr>
            </w:pPr>
            <w:r w:rsidRPr="00591BB3">
              <w:rPr>
                <w:rFonts w:ascii="Times New Roman" w:hAnsi="Times New Roman"/>
                <w:sz w:val="24"/>
                <w:szCs w:val="24"/>
              </w:rPr>
              <w:t>1 combination:</w:t>
            </w:r>
          </w:p>
          <w:p w:rsidR="00627AC6" w:rsidRPr="00591BB3" w:rsidRDefault="00CB4F27">
            <w:pPr>
              <w:keepNext/>
              <w:ind w:left="0" w:firstLine="0"/>
              <w:jc w:val="center"/>
              <w:rPr>
                <w:rFonts w:ascii="Times New Roman" w:eastAsia="Times New Roman" w:hAnsi="Times New Roman"/>
                <w:sz w:val="24"/>
                <w:szCs w:val="24"/>
              </w:rPr>
            </w:pPr>
            <w:r w:rsidRPr="00591BB3">
              <w:rPr>
                <w:rFonts w:ascii="Times New Roman" w:hAnsi="Times New Roman"/>
                <w:sz w:val="24"/>
                <w:szCs w:val="24"/>
              </w:rPr>
              <w:t>ABCDX</w:t>
            </w:r>
          </w:p>
          <w:p w:rsidR="00627AC6" w:rsidRPr="00591BB3" w:rsidRDefault="00627AC6">
            <w:pPr>
              <w:keepNext/>
              <w:ind w:left="0" w:firstLine="0"/>
              <w:jc w:val="center"/>
              <w:rPr>
                <w:rFonts w:ascii="Times New Roman" w:eastAsia="Times New Roman" w:hAnsi="Times New Roman"/>
                <w:sz w:val="24"/>
                <w:szCs w:val="24"/>
              </w:rPr>
            </w:pPr>
          </w:p>
        </w:tc>
      </w:tr>
    </w:tbl>
    <w:p w:rsidR="00E74A6B" w:rsidRPr="00591BB3" w:rsidRDefault="00E74A6B" w:rsidP="00940F3C">
      <w:pPr>
        <w:pStyle w:val="NoSpacing"/>
        <w:rPr>
          <w:rFonts w:ascii="Times New Roman" w:hAnsi="Times New Roman"/>
          <w:b/>
          <w:sz w:val="24"/>
          <w:szCs w:val="24"/>
        </w:rPr>
      </w:pPr>
    </w:p>
    <w:p w:rsidR="00D05EBC" w:rsidRPr="00591BB3" w:rsidRDefault="0041632A" w:rsidP="00940F3C">
      <w:pPr>
        <w:rPr>
          <w:b/>
          <w:i/>
        </w:rPr>
      </w:pPr>
      <w:r w:rsidRPr="00591BB3">
        <w:rPr>
          <w:b/>
          <w:i/>
        </w:rPr>
        <w:t xml:space="preserve">Step 2 </w:t>
      </w:r>
    </w:p>
    <w:p w:rsidR="006117A0" w:rsidRPr="00591BB3" w:rsidRDefault="006117A0" w:rsidP="00940F3C">
      <w:pPr>
        <w:pStyle w:val="NoSpacing"/>
        <w:rPr>
          <w:rFonts w:ascii="Times New Roman" w:hAnsi="Times New Roman"/>
          <w:sz w:val="24"/>
          <w:szCs w:val="24"/>
        </w:rPr>
      </w:pPr>
    </w:p>
    <w:p w:rsidR="00627AC6" w:rsidRPr="00591BB3" w:rsidRDefault="001D7176">
      <w:pPr>
        <w:pStyle w:val="NoSpacing"/>
        <w:rPr>
          <w:rFonts w:ascii="Times New Roman" w:hAnsi="Times New Roman"/>
          <w:sz w:val="24"/>
          <w:szCs w:val="24"/>
        </w:rPr>
      </w:pPr>
      <w:r w:rsidRPr="00591BB3">
        <w:rPr>
          <w:rFonts w:ascii="Times New Roman" w:hAnsi="Times New Roman"/>
          <w:sz w:val="24"/>
          <w:szCs w:val="24"/>
        </w:rPr>
        <w:t>In the second st</w:t>
      </w:r>
      <w:r w:rsidR="000A0CF7" w:rsidRPr="00591BB3">
        <w:rPr>
          <w:rFonts w:ascii="Times New Roman" w:hAnsi="Times New Roman"/>
          <w:sz w:val="24"/>
          <w:szCs w:val="24"/>
        </w:rPr>
        <w:t>ep</w:t>
      </w:r>
      <w:r w:rsidRPr="00591BB3">
        <w:rPr>
          <w:rFonts w:ascii="Times New Roman" w:hAnsi="Times New Roman"/>
          <w:sz w:val="24"/>
          <w:szCs w:val="24"/>
        </w:rPr>
        <w:t xml:space="preserve">, we will </w:t>
      </w:r>
      <w:r w:rsidR="009E2227" w:rsidRPr="00591BB3">
        <w:rPr>
          <w:rFonts w:ascii="Times New Roman" w:hAnsi="Times New Roman"/>
          <w:sz w:val="24"/>
          <w:szCs w:val="24"/>
        </w:rPr>
        <w:t xml:space="preserve">randomly assign </w:t>
      </w:r>
      <w:r w:rsidR="00982BE3" w:rsidRPr="00591BB3">
        <w:rPr>
          <w:rFonts w:ascii="Times New Roman" w:hAnsi="Times New Roman"/>
          <w:sz w:val="24"/>
          <w:szCs w:val="24"/>
        </w:rPr>
        <w:t>each participant to one of his or her</w:t>
      </w:r>
      <w:r w:rsidR="000A0CF7" w:rsidRPr="00591BB3">
        <w:rPr>
          <w:rFonts w:ascii="Times New Roman" w:hAnsi="Times New Roman"/>
          <w:sz w:val="24"/>
          <w:szCs w:val="24"/>
        </w:rPr>
        <w:t xml:space="preserve"> selected methods o</w:t>
      </w:r>
      <w:r w:rsidR="004F1FF5" w:rsidRPr="00591BB3">
        <w:rPr>
          <w:rFonts w:ascii="Times New Roman" w:hAnsi="Times New Roman"/>
          <w:sz w:val="24"/>
          <w:szCs w:val="24"/>
        </w:rPr>
        <w:t>r</w:t>
      </w:r>
      <w:r w:rsidR="000A0CF7" w:rsidRPr="00591BB3">
        <w:rPr>
          <w:rFonts w:ascii="Times New Roman" w:hAnsi="Times New Roman"/>
          <w:sz w:val="24"/>
          <w:szCs w:val="24"/>
        </w:rPr>
        <w:t xml:space="preserve"> the control condition</w:t>
      </w:r>
      <w:r w:rsidR="00982BE3" w:rsidRPr="00591BB3">
        <w:rPr>
          <w:rFonts w:ascii="Times New Roman" w:hAnsi="Times New Roman"/>
          <w:sz w:val="24"/>
          <w:szCs w:val="24"/>
        </w:rPr>
        <w:t xml:space="preserve">. </w:t>
      </w:r>
      <w:r w:rsidR="009E2227" w:rsidRPr="00591BB3">
        <w:rPr>
          <w:rFonts w:ascii="Times New Roman" w:hAnsi="Times New Roman"/>
          <w:sz w:val="24"/>
          <w:szCs w:val="24"/>
        </w:rPr>
        <w:t xml:space="preserve">In </w:t>
      </w:r>
      <w:r w:rsidR="0014571D" w:rsidRPr="00591BB3">
        <w:rPr>
          <w:rFonts w:ascii="Times New Roman" w:hAnsi="Times New Roman"/>
          <w:sz w:val="24"/>
          <w:szCs w:val="24"/>
        </w:rPr>
        <w:t xml:space="preserve">Exhibit </w:t>
      </w:r>
      <w:r w:rsidR="00B9682F" w:rsidRPr="00591BB3">
        <w:rPr>
          <w:rFonts w:ascii="Times New Roman" w:hAnsi="Times New Roman"/>
          <w:sz w:val="24"/>
          <w:szCs w:val="24"/>
        </w:rPr>
        <w:t>3</w:t>
      </w:r>
      <w:r w:rsidR="00FB42AB" w:rsidRPr="00591BB3">
        <w:rPr>
          <w:rFonts w:ascii="Times New Roman" w:hAnsi="Times New Roman"/>
          <w:sz w:val="24"/>
          <w:szCs w:val="24"/>
        </w:rPr>
        <w:t>,</w:t>
      </w:r>
      <w:r w:rsidR="00612FA0" w:rsidRPr="00591BB3">
        <w:rPr>
          <w:rFonts w:ascii="Times New Roman" w:hAnsi="Times New Roman"/>
          <w:sz w:val="24"/>
          <w:szCs w:val="24"/>
        </w:rPr>
        <w:t xml:space="preserve"> we illustrate</w:t>
      </w:r>
      <w:r w:rsidR="009E2227" w:rsidRPr="00591BB3">
        <w:rPr>
          <w:rFonts w:ascii="Times New Roman" w:hAnsi="Times New Roman"/>
          <w:sz w:val="24"/>
          <w:szCs w:val="24"/>
        </w:rPr>
        <w:t xml:space="preserve"> </w:t>
      </w:r>
      <w:r w:rsidR="00E514E0" w:rsidRPr="00591BB3">
        <w:rPr>
          <w:rFonts w:ascii="Times New Roman" w:hAnsi="Times New Roman"/>
          <w:sz w:val="24"/>
          <w:szCs w:val="24"/>
        </w:rPr>
        <w:t xml:space="preserve">how randomization might work for our first four recruits. Recruit 1 will accept A and C, and Recruit 2 will accept B and </w:t>
      </w:r>
      <w:r w:rsidR="00CB4F27" w:rsidRPr="00591BB3">
        <w:rPr>
          <w:rFonts w:ascii="Times New Roman" w:hAnsi="Times New Roman"/>
          <w:sz w:val="24"/>
          <w:szCs w:val="24"/>
        </w:rPr>
        <w:t>D</w:t>
      </w:r>
      <w:r w:rsidR="00FB42AB" w:rsidRPr="00591BB3">
        <w:rPr>
          <w:rFonts w:ascii="Times New Roman" w:hAnsi="Times New Roman"/>
          <w:sz w:val="24"/>
          <w:szCs w:val="24"/>
        </w:rPr>
        <w:t xml:space="preserve">. </w:t>
      </w:r>
      <w:r w:rsidR="005D3FDC" w:rsidRPr="00591BB3">
        <w:rPr>
          <w:rFonts w:ascii="Times New Roman" w:hAnsi="Times New Roman"/>
          <w:sz w:val="24"/>
          <w:szCs w:val="24"/>
        </w:rPr>
        <w:t>R</w:t>
      </w:r>
      <w:r w:rsidR="00612FA0" w:rsidRPr="00591BB3">
        <w:rPr>
          <w:rFonts w:ascii="Times New Roman" w:hAnsi="Times New Roman"/>
          <w:sz w:val="24"/>
          <w:szCs w:val="24"/>
        </w:rPr>
        <w:t xml:space="preserve">ecruit </w:t>
      </w:r>
      <w:r w:rsidR="005D3FDC" w:rsidRPr="00591BB3">
        <w:rPr>
          <w:rFonts w:ascii="Times New Roman" w:hAnsi="Times New Roman"/>
          <w:sz w:val="24"/>
          <w:szCs w:val="24"/>
        </w:rPr>
        <w:t>1 will be randomized to A</w:t>
      </w:r>
      <w:r w:rsidR="00AE440B" w:rsidRPr="00591BB3">
        <w:rPr>
          <w:rFonts w:ascii="Times New Roman" w:hAnsi="Times New Roman"/>
          <w:sz w:val="24"/>
          <w:szCs w:val="24"/>
        </w:rPr>
        <w:t>,</w:t>
      </w:r>
      <w:r w:rsidR="005D3FDC" w:rsidRPr="00591BB3">
        <w:rPr>
          <w:rFonts w:ascii="Times New Roman" w:hAnsi="Times New Roman"/>
          <w:sz w:val="24"/>
          <w:szCs w:val="24"/>
        </w:rPr>
        <w:t xml:space="preserve"> C</w:t>
      </w:r>
      <w:r w:rsidR="00AE440B" w:rsidRPr="00591BB3">
        <w:rPr>
          <w:rFonts w:ascii="Times New Roman" w:hAnsi="Times New Roman"/>
          <w:sz w:val="24"/>
          <w:szCs w:val="24"/>
        </w:rPr>
        <w:t>,</w:t>
      </w:r>
      <w:r w:rsidR="005D3FDC" w:rsidRPr="00591BB3">
        <w:rPr>
          <w:rFonts w:ascii="Times New Roman" w:hAnsi="Times New Roman"/>
          <w:sz w:val="24"/>
          <w:szCs w:val="24"/>
        </w:rPr>
        <w:t xml:space="preserve"> or X</w:t>
      </w:r>
      <w:r w:rsidR="00982BE3" w:rsidRPr="00591BB3">
        <w:rPr>
          <w:rFonts w:ascii="Times New Roman" w:hAnsi="Times New Roman"/>
          <w:sz w:val="24"/>
          <w:szCs w:val="24"/>
        </w:rPr>
        <w:t xml:space="preserve">. </w:t>
      </w:r>
      <w:r w:rsidR="005D3FDC" w:rsidRPr="00591BB3">
        <w:rPr>
          <w:rFonts w:ascii="Times New Roman" w:hAnsi="Times New Roman"/>
          <w:sz w:val="24"/>
          <w:szCs w:val="24"/>
        </w:rPr>
        <w:t>R</w:t>
      </w:r>
      <w:r w:rsidR="00612FA0" w:rsidRPr="00591BB3">
        <w:rPr>
          <w:rFonts w:ascii="Times New Roman" w:hAnsi="Times New Roman"/>
          <w:sz w:val="24"/>
          <w:szCs w:val="24"/>
        </w:rPr>
        <w:t>ecruit</w:t>
      </w:r>
      <w:r w:rsidR="007D6BE2" w:rsidRPr="00591BB3">
        <w:rPr>
          <w:rFonts w:ascii="Times New Roman" w:hAnsi="Times New Roman"/>
          <w:sz w:val="24"/>
          <w:szCs w:val="24"/>
        </w:rPr>
        <w:t xml:space="preserve"> </w:t>
      </w:r>
      <w:r w:rsidR="005D3FDC" w:rsidRPr="00591BB3">
        <w:rPr>
          <w:rFonts w:ascii="Times New Roman" w:hAnsi="Times New Roman"/>
          <w:sz w:val="24"/>
          <w:szCs w:val="24"/>
        </w:rPr>
        <w:t>2 will be randomized to B</w:t>
      </w:r>
      <w:r w:rsidR="00B9682F" w:rsidRPr="00591BB3">
        <w:rPr>
          <w:rFonts w:ascii="Times New Roman" w:hAnsi="Times New Roman"/>
          <w:sz w:val="24"/>
          <w:szCs w:val="24"/>
        </w:rPr>
        <w:t>,</w:t>
      </w:r>
      <w:r w:rsidR="005D3FDC" w:rsidRPr="00591BB3">
        <w:rPr>
          <w:rFonts w:ascii="Times New Roman" w:hAnsi="Times New Roman"/>
          <w:sz w:val="24"/>
          <w:szCs w:val="24"/>
        </w:rPr>
        <w:t xml:space="preserve"> D</w:t>
      </w:r>
      <w:r w:rsidR="00B9682F" w:rsidRPr="00591BB3">
        <w:rPr>
          <w:rFonts w:ascii="Times New Roman" w:hAnsi="Times New Roman"/>
          <w:sz w:val="24"/>
          <w:szCs w:val="24"/>
        </w:rPr>
        <w:t>,</w:t>
      </w:r>
      <w:r w:rsidR="00E5244C" w:rsidRPr="00591BB3">
        <w:rPr>
          <w:rFonts w:ascii="Times New Roman" w:hAnsi="Times New Roman"/>
          <w:sz w:val="24"/>
          <w:szCs w:val="24"/>
        </w:rPr>
        <w:t xml:space="preserve"> </w:t>
      </w:r>
      <w:r w:rsidR="005D3FDC" w:rsidRPr="00591BB3">
        <w:rPr>
          <w:rFonts w:ascii="Times New Roman" w:hAnsi="Times New Roman"/>
          <w:sz w:val="24"/>
          <w:szCs w:val="24"/>
        </w:rPr>
        <w:t>or X.</w:t>
      </w:r>
      <w:r w:rsidR="00DE21F5" w:rsidRPr="00591BB3">
        <w:rPr>
          <w:rFonts w:ascii="Times New Roman" w:hAnsi="Times New Roman"/>
          <w:sz w:val="24"/>
          <w:szCs w:val="24"/>
        </w:rPr>
        <w:t xml:space="preserve"> Recruit 3 would be randomized to A, C, D, or X</w:t>
      </w:r>
      <w:r w:rsidR="00982BE3" w:rsidRPr="00591BB3">
        <w:rPr>
          <w:rFonts w:ascii="Times New Roman" w:hAnsi="Times New Roman"/>
          <w:sz w:val="24"/>
          <w:szCs w:val="24"/>
        </w:rPr>
        <w:t xml:space="preserve">. </w:t>
      </w:r>
      <w:r w:rsidR="001D4DA9" w:rsidRPr="00591BB3">
        <w:rPr>
          <w:rFonts w:ascii="Times New Roman" w:hAnsi="Times New Roman"/>
          <w:sz w:val="24"/>
          <w:szCs w:val="24"/>
        </w:rPr>
        <w:t xml:space="preserve"> </w:t>
      </w:r>
      <w:r w:rsidR="00DE21F5" w:rsidRPr="00591BB3">
        <w:rPr>
          <w:rFonts w:ascii="Times New Roman" w:hAnsi="Times New Roman"/>
          <w:sz w:val="24"/>
          <w:szCs w:val="24"/>
        </w:rPr>
        <w:t xml:space="preserve">Recruit 4 would be randomized to </w:t>
      </w:r>
      <w:r w:rsidR="00CB4F27" w:rsidRPr="00591BB3">
        <w:rPr>
          <w:rFonts w:ascii="Times New Roman" w:hAnsi="Times New Roman"/>
          <w:sz w:val="24"/>
          <w:szCs w:val="24"/>
        </w:rPr>
        <w:t>C, D,</w:t>
      </w:r>
      <w:r w:rsidR="00DE21F5" w:rsidRPr="00591BB3">
        <w:rPr>
          <w:rFonts w:ascii="Times New Roman" w:hAnsi="Times New Roman"/>
          <w:sz w:val="24"/>
          <w:szCs w:val="24"/>
        </w:rPr>
        <w:t xml:space="preserve"> or X.</w:t>
      </w:r>
    </w:p>
    <w:p w:rsidR="00627AC6" w:rsidRPr="00591BB3" w:rsidRDefault="00627AC6">
      <w:pPr>
        <w:pStyle w:val="NoSpacing"/>
        <w:rPr>
          <w:rFonts w:ascii="Times New Roman" w:hAnsi="Times New Roman"/>
          <w:sz w:val="24"/>
          <w:szCs w:val="24"/>
        </w:rPr>
      </w:pPr>
    </w:p>
    <w:p w:rsidR="00627AC6" w:rsidRPr="00591BB3" w:rsidRDefault="006C75B6">
      <w:pPr>
        <w:rPr>
          <w:b/>
        </w:rPr>
      </w:pPr>
      <w:r w:rsidRPr="00591BB3">
        <w:t>R</w:t>
      </w:r>
      <w:r w:rsidR="00612FA0" w:rsidRPr="00591BB3">
        <w:t>ecruits</w:t>
      </w:r>
      <w:r w:rsidR="00F56FD4" w:rsidRPr="00591BB3">
        <w:t xml:space="preserve"> </w:t>
      </w:r>
      <w:r w:rsidRPr="00591BB3">
        <w:t>3</w:t>
      </w:r>
      <w:r w:rsidR="005C6451" w:rsidRPr="00591BB3">
        <w:t xml:space="preserve"> </w:t>
      </w:r>
      <w:r w:rsidRPr="00591BB3">
        <w:t>and 4 would be</w:t>
      </w:r>
      <w:r w:rsidR="00DE21F5" w:rsidRPr="00591BB3">
        <w:t xml:space="preserve"> eligible for the</w:t>
      </w:r>
      <w:r w:rsidRPr="00591BB3">
        <w:t xml:space="preserve"> sample that is used to compare </w:t>
      </w:r>
      <w:r w:rsidR="005C6451" w:rsidRPr="00591BB3">
        <w:t xml:space="preserve">C </w:t>
      </w:r>
      <w:r w:rsidR="00CB4F27" w:rsidRPr="00591BB3">
        <w:t>and D, because both</w:t>
      </w:r>
      <w:r w:rsidR="005C6451" w:rsidRPr="00591BB3">
        <w:t xml:space="preserve"> </w:t>
      </w:r>
      <w:r w:rsidRPr="00591BB3">
        <w:t xml:space="preserve">of them said they would accept assignment to </w:t>
      </w:r>
      <w:r w:rsidR="00CB4F27" w:rsidRPr="00591BB3">
        <w:t>C and D</w:t>
      </w:r>
      <w:r w:rsidR="007C0815" w:rsidRPr="00591BB3">
        <w:t>, even though they did not all choose the same combination of methods.</w:t>
      </w:r>
      <w:r w:rsidRPr="00591BB3">
        <w:t xml:space="preserve"> </w:t>
      </w:r>
      <w:r w:rsidR="00AE440B" w:rsidRPr="00591BB3">
        <w:t xml:space="preserve"> </w:t>
      </w:r>
      <w:r w:rsidR="00DE21F5" w:rsidRPr="00591BB3">
        <w:t>However, t</w:t>
      </w:r>
      <w:r w:rsidRPr="00591BB3">
        <w:t xml:space="preserve">hey will be included in the </w:t>
      </w:r>
      <w:r w:rsidR="005C6451" w:rsidRPr="00591BB3">
        <w:t>C</w:t>
      </w:r>
      <w:r w:rsidRPr="00591BB3">
        <w:t>:</w:t>
      </w:r>
      <w:r w:rsidR="00DC4413" w:rsidRPr="00591BB3">
        <w:t xml:space="preserve"> </w:t>
      </w:r>
      <w:r w:rsidR="005C6451" w:rsidRPr="00591BB3">
        <w:t xml:space="preserve">D </w:t>
      </w:r>
      <w:r w:rsidRPr="00591BB3">
        <w:t>contras</w:t>
      </w:r>
      <w:r w:rsidR="007C0815" w:rsidRPr="00591BB3">
        <w:t>t</w:t>
      </w:r>
      <w:r w:rsidR="00DE21F5" w:rsidRPr="00591BB3">
        <w:t xml:space="preserve"> only if they are actually randomized to </w:t>
      </w:r>
      <w:r w:rsidR="005C6451" w:rsidRPr="00591BB3">
        <w:t xml:space="preserve">C </w:t>
      </w:r>
      <w:r w:rsidR="00DE21F5" w:rsidRPr="00591BB3">
        <w:t xml:space="preserve">or </w:t>
      </w:r>
      <w:r w:rsidR="005C6451" w:rsidRPr="00591BB3">
        <w:t>D</w:t>
      </w:r>
      <w:r w:rsidR="00982BE3" w:rsidRPr="00591BB3">
        <w:t xml:space="preserve">. </w:t>
      </w:r>
      <w:r w:rsidR="003326C1" w:rsidRPr="00591BB3">
        <w:t xml:space="preserve">This approach </w:t>
      </w:r>
      <w:r w:rsidR="007C0815" w:rsidRPr="00591BB3">
        <w:t>minimizes</w:t>
      </w:r>
      <w:r w:rsidR="003326C1" w:rsidRPr="00591BB3">
        <w:t xml:space="preserve"> selection bias when making the pair-wise contrasts</w:t>
      </w:r>
      <w:r w:rsidR="007C0815" w:rsidRPr="00591BB3">
        <w:t>, because the analysis is limited to the pool of participants who find both methods acceptable.</w:t>
      </w:r>
      <w:r w:rsidR="003326C1" w:rsidRPr="00591BB3">
        <w:t xml:space="preserve"> </w:t>
      </w:r>
    </w:p>
    <w:p w:rsidR="00627AC6" w:rsidRPr="00591BB3" w:rsidRDefault="00627AC6">
      <w:pPr>
        <w:rPr>
          <w:b/>
        </w:rPr>
      </w:pPr>
    </w:p>
    <w:p w:rsidR="00627AC6" w:rsidRPr="00591BB3" w:rsidRDefault="00EE4270">
      <w:pPr>
        <w:keepNext/>
      </w:pPr>
      <w:r w:rsidRPr="00591BB3">
        <w:rPr>
          <w:b/>
        </w:rPr>
        <w:t xml:space="preserve">Exhibit </w:t>
      </w:r>
      <w:r w:rsidR="00B9682F" w:rsidRPr="00591BB3">
        <w:rPr>
          <w:b/>
        </w:rPr>
        <w:t>3</w:t>
      </w:r>
      <w:r w:rsidR="00FB42AB" w:rsidRPr="00591BB3">
        <w:rPr>
          <w:b/>
        </w:rPr>
        <w:t xml:space="preserve">. </w:t>
      </w:r>
      <w:r w:rsidR="00B9682F" w:rsidRPr="00591BB3">
        <w:rPr>
          <w:b/>
        </w:rPr>
        <w:t xml:space="preserve">Example </w:t>
      </w:r>
      <w:r w:rsidRPr="00591BB3">
        <w:rPr>
          <w:b/>
        </w:rPr>
        <w:t>Randomization Matrix</w:t>
      </w:r>
      <w:r w:rsidR="00B9682F" w:rsidRPr="00591BB3">
        <w:rPr>
          <w:b/>
        </w:rPr>
        <w:t xml:space="preserve"> of First Four Recruits as Demonstration</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7"/>
        <w:gridCol w:w="1959"/>
        <w:gridCol w:w="1929"/>
        <w:gridCol w:w="2003"/>
        <w:gridCol w:w="1598"/>
      </w:tblGrid>
      <w:tr w:rsidR="00E5244C" w:rsidRPr="00591BB3" w:rsidTr="004E4CAE">
        <w:tc>
          <w:tcPr>
            <w:tcW w:w="793" w:type="pct"/>
            <w:shd w:val="clear" w:color="auto" w:fill="8DB3E2" w:themeFill="text2" w:themeFillTint="66"/>
          </w:tcPr>
          <w:p w:rsidR="00627AC6" w:rsidRPr="00591BB3" w:rsidRDefault="00E5244C">
            <w:pPr>
              <w:pStyle w:val="NoSpacing"/>
              <w:keepNext/>
              <w:ind w:left="0" w:firstLine="0"/>
              <w:jc w:val="center"/>
              <w:rPr>
                <w:rFonts w:ascii="Times New Roman" w:hAnsi="Times New Roman"/>
                <w:b/>
                <w:sz w:val="24"/>
                <w:szCs w:val="24"/>
              </w:rPr>
            </w:pPr>
            <w:r w:rsidRPr="00591BB3">
              <w:rPr>
                <w:rFonts w:ascii="Times New Roman" w:hAnsi="Times New Roman"/>
                <w:b/>
                <w:sz w:val="24"/>
                <w:szCs w:val="24"/>
              </w:rPr>
              <w:t>Example Recruit</w:t>
            </w:r>
          </w:p>
          <w:p w:rsidR="00627AC6" w:rsidRPr="00591BB3" w:rsidRDefault="00627AC6">
            <w:pPr>
              <w:pStyle w:val="NoSpacing"/>
              <w:keepNext/>
              <w:ind w:left="0" w:firstLine="0"/>
              <w:jc w:val="center"/>
              <w:rPr>
                <w:rFonts w:ascii="Times New Roman" w:hAnsi="Times New Roman"/>
                <w:b/>
                <w:sz w:val="24"/>
                <w:szCs w:val="24"/>
              </w:rPr>
            </w:pPr>
          </w:p>
        </w:tc>
        <w:tc>
          <w:tcPr>
            <w:tcW w:w="1127" w:type="pct"/>
            <w:shd w:val="clear" w:color="auto" w:fill="8DB3E2" w:themeFill="text2" w:themeFillTint="66"/>
          </w:tcPr>
          <w:p w:rsidR="00627AC6" w:rsidRPr="00591BB3" w:rsidRDefault="00E5244C">
            <w:pPr>
              <w:pStyle w:val="NoSpacing"/>
              <w:keepNext/>
              <w:ind w:left="0" w:firstLine="0"/>
              <w:jc w:val="center"/>
              <w:rPr>
                <w:rFonts w:ascii="Times New Roman" w:hAnsi="Times New Roman"/>
                <w:b/>
                <w:sz w:val="24"/>
                <w:szCs w:val="24"/>
              </w:rPr>
            </w:pPr>
            <w:r w:rsidRPr="00591BB3">
              <w:rPr>
                <w:rFonts w:ascii="Times New Roman" w:hAnsi="Times New Roman"/>
                <w:b/>
                <w:sz w:val="24"/>
                <w:szCs w:val="24"/>
              </w:rPr>
              <w:t>Method A: Brief Citizens’ Deliberation (BCD)</w:t>
            </w:r>
          </w:p>
        </w:tc>
        <w:tc>
          <w:tcPr>
            <w:tcW w:w="1110" w:type="pct"/>
            <w:shd w:val="clear" w:color="auto" w:fill="8DB3E2" w:themeFill="text2" w:themeFillTint="66"/>
          </w:tcPr>
          <w:p w:rsidR="00627AC6" w:rsidRPr="00591BB3" w:rsidRDefault="00E5244C">
            <w:pPr>
              <w:pStyle w:val="NoSpacing"/>
              <w:keepNext/>
              <w:ind w:left="0" w:firstLine="0"/>
              <w:jc w:val="center"/>
              <w:rPr>
                <w:rFonts w:ascii="Times New Roman" w:hAnsi="Times New Roman"/>
                <w:b/>
                <w:sz w:val="24"/>
                <w:szCs w:val="24"/>
              </w:rPr>
            </w:pPr>
            <w:r w:rsidRPr="00591BB3">
              <w:rPr>
                <w:rFonts w:ascii="Times New Roman" w:hAnsi="Times New Roman"/>
                <w:b/>
                <w:sz w:val="24"/>
                <w:szCs w:val="24"/>
              </w:rPr>
              <w:t>Method B: Online Deliberative Polling</w:t>
            </w:r>
            <w:r w:rsidRPr="00591BB3">
              <w:rPr>
                <w:rFonts w:ascii="Times New Roman Bold" w:hAnsi="Times New Roman Bold"/>
                <w:b/>
                <w:sz w:val="24"/>
                <w:szCs w:val="24"/>
                <w:vertAlign w:val="superscript"/>
              </w:rPr>
              <w:t xml:space="preserve">® </w:t>
            </w:r>
            <w:r w:rsidRPr="00591BB3">
              <w:rPr>
                <w:rFonts w:ascii="Times New Roman" w:hAnsi="Times New Roman"/>
                <w:b/>
                <w:sz w:val="24"/>
                <w:szCs w:val="24"/>
              </w:rPr>
              <w:t>(ODP)</w:t>
            </w:r>
          </w:p>
        </w:tc>
        <w:tc>
          <w:tcPr>
            <w:tcW w:w="1047" w:type="pct"/>
            <w:shd w:val="clear" w:color="auto" w:fill="8DB3E2" w:themeFill="text2" w:themeFillTint="66"/>
          </w:tcPr>
          <w:p w:rsidR="00627AC6" w:rsidRPr="00591BB3" w:rsidRDefault="00E5244C">
            <w:pPr>
              <w:pStyle w:val="NoSpacing"/>
              <w:keepNext/>
              <w:ind w:left="0" w:firstLine="0"/>
              <w:jc w:val="center"/>
              <w:rPr>
                <w:rFonts w:ascii="Times New Roman" w:hAnsi="Times New Roman"/>
                <w:b/>
                <w:sz w:val="24"/>
                <w:szCs w:val="24"/>
              </w:rPr>
            </w:pPr>
            <w:r w:rsidRPr="00591BB3">
              <w:rPr>
                <w:rFonts w:ascii="Times New Roman" w:hAnsi="Times New Roman"/>
                <w:b/>
                <w:sz w:val="24"/>
                <w:szCs w:val="24"/>
              </w:rPr>
              <w:t xml:space="preserve">Method C: </w:t>
            </w:r>
            <w:r w:rsidR="00D05EBC" w:rsidRPr="00591BB3">
              <w:rPr>
                <w:rFonts w:ascii="Times New Roman" w:hAnsi="Times New Roman"/>
                <w:b/>
                <w:sz w:val="24"/>
                <w:szCs w:val="24"/>
              </w:rPr>
              <w:t>Community Deliberation(CD)</w:t>
            </w:r>
          </w:p>
        </w:tc>
        <w:tc>
          <w:tcPr>
            <w:tcW w:w="924" w:type="pct"/>
            <w:shd w:val="clear" w:color="auto" w:fill="8DB3E2" w:themeFill="text2" w:themeFillTint="66"/>
          </w:tcPr>
          <w:p w:rsidR="00627AC6" w:rsidRPr="00591BB3" w:rsidRDefault="00E5244C">
            <w:pPr>
              <w:pStyle w:val="NoSpacing"/>
              <w:keepNext/>
              <w:ind w:left="0" w:firstLine="0"/>
              <w:jc w:val="center"/>
              <w:rPr>
                <w:rFonts w:ascii="Times New Roman" w:hAnsi="Times New Roman"/>
                <w:b/>
                <w:sz w:val="24"/>
                <w:szCs w:val="24"/>
              </w:rPr>
            </w:pPr>
            <w:r w:rsidRPr="00591BB3">
              <w:rPr>
                <w:rFonts w:ascii="Times New Roman" w:hAnsi="Times New Roman"/>
                <w:b/>
                <w:sz w:val="24"/>
                <w:szCs w:val="24"/>
              </w:rPr>
              <w:t xml:space="preserve">Method D: Citizens’ Panel </w:t>
            </w:r>
          </w:p>
          <w:p w:rsidR="00627AC6" w:rsidRPr="00591BB3" w:rsidRDefault="00E5244C">
            <w:pPr>
              <w:pStyle w:val="NoSpacing"/>
              <w:keepNext/>
              <w:ind w:left="0" w:firstLine="0"/>
              <w:jc w:val="center"/>
              <w:rPr>
                <w:rFonts w:ascii="Times New Roman" w:hAnsi="Times New Roman"/>
                <w:b/>
                <w:sz w:val="24"/>
                <w:szCs w:val="24"/>
              </w:rPr>
            </w:pPr>
            <w:r w:rsidRPr="00591BB3">
              <w:rPr>
                <w:rFonts w:ascii="Times New Roman" w:hAnsi="Times New Roman"/>
                <w:b/>
                <w:sz w:val="24"/>
                <w:szCs w:val="24"/>
              </w:rPr>
              <w:t>(CP)</w:t>
            </w:r>
          </w:p>
        </w:tc>
      </w:tr>
      <w:tr w:rsidR="00E5244C" w:rsidRPr="00591BB3" w:rsidTr="004E4CAE">
        <w:tc>
          <w:tcPr>
            <w:tcW w:w="793"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1</w:t>
            </w:r>
          </w:p>
        </w:tc>
        <w:tc>
          <w:tcPr>
            <w:tcW w:w="1127"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c>
          <w:tcPr>
            <w:tcW w:w="1110" w:type="pct"/>
          </w:tcPr>
          <w:p w:rsidR="00E5244C" w:rsidRPr="00591BB3" w:rsidRDefault="00E5244C" w:rsidP="00940F3C">
            <w:pPr>
              <w:pStyle w:val="NoSpacing"/>
              <w:keepNext/>
              <w:ind w:left="0" w:firstLine="0"/>
              <w:jc w:val="center"/>
              <w:rPr>
                <w:rFonts w:ascii="Times New Roman" w:hAnsi="Times New Roman"/>
                <w:sz w:val="24"/>
                <w:szCs w:val="24"/>
              </w:rPr>
            </w:pPr>
          </w:p>
        </w:tc>
        <w:tc>
          <w:tcPr>
            <w:tcW w:w="1047"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c>
          <w:tcPr>
            <w:tcW w:w="924" w:type="pct"/>
          </w:tcPr>
          <w:p w:rsidR="00627AC6" w:rsidRPr="00591BB3" w:rsidRDefault="00627AC6">
            <w:pPr>
              <w:pStyle w:val="NoSpacing"/>
              <w:keepNext/>
              <w:ind w:left="0" w:firstLine="0"/>
              <w:jc w:val="center"/>
              <w:rPr>
                <w:rFonts w:ascii="Times New Roman" w:hAnsi="Times New Roman"/>
                <w:sz w:val="24"/>
                <w:szCs w:val="24"/>
              </w:rPr>
            </w:pPr>
          </w:p>
        </w:tc>
      </w:tr>
      <w:tr w:rsidR="00E5244C" w:rsidRPr="00591BB3" w:rsidTr="004E4CAE">
        <w:tc>
          <w:tcPr>
            <w:tcW w:w="793"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2</w:t>
            </w:r>
          </w:p>
        </w:tc>
        <w:tc>
          <w:tcPr>
            <w:tcW w:w="1127" w:type="pct"/>
          </w:tcPr>
          <w:p w:rsidR="00E5244C" w:rsidRPr="00591BB3" w:rsidRDefault="00E5244C" w:rsidP="00940F3C">
            <w:pPr>
              <w:pStyle w:val="NoSpacing"/>
              <w:keepNext/>
              <w:ind w:left="0" w:firstLine="0"/>
              <w:jc w:val="center"/>
              <w:rPr>
                <w:rFonts w:ascii="Times New Roman" w:hAnsi="Times New Roman"/>
                <w:sz w:val="24"/>
                <w:szCs w:val="24"/>
              </w:rPr>
            </w:pPr>
          </w:p>
        </w:tc>
        <w:tc>
          <w:tcPr>
            <w:tcW w:w="1110"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c>
          <w:tcPr>
            <w:tcW w:w="1047" w:type="pct"/>
          </w:tcPr>
          <w:p w:rsidR="00E5244C" w:rsidRPr="00591BB3" w:rsidRDefault="00E5244C" w:rsidP="00940F3C">
            <w:pPr>
              <w:pStyle w:val="NoSpacing"/>
              <w:keepNext/>
              <w:ind w:left="0" w:firstLine="0"/>
              <w:jc w:val="center"/>
              <w:rPr>
                <w:rFonts w:ascii="Times New Roman" w:hAnsi="Times New Roman"/>
                <w:sz w:val="24"/>
                <w:szCs w:val="24"/>
              </w:rPr>
            </w:pPr>
          </w:p>
        </w:tc>
        <w:tc>
          <w:tcPr>
            <w:tcW w:w="924" w:type="pct"/>
          </w:tcPr>
          <w:p w:rsidR="00627AC6" w:rsidRPr="00591BB3" w:rsidRDefault="00E5244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r>
      <w:tr w:rsidR="00E5244C" w:rsidRPr="00591BB3" w:rsidTr="004E4CAE">
        <w:tc>
          <w:tcPr>
            <w:tcW w:w="793"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3</w:t>
            </w:r>
          </w:p>
        </w:tc>
        <w:tc>
          <w:tcPr>
            <w:tcW w:w="1127"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c>
          <w:tcPr>
            <w:tcW w:w="1110" w:type="pct"/>
          </w:tcPr>
          <w:p w:rsidR="00E5244C" w:rsidRPr="00591BB3" w:rsidRDefault="00E5244C" w:rsidP="00940F3C">
            <w:pPr>
              <w:pStyle w:val="NoSpacing"/>
              <w:keepNext/>
              <w:ind w:left="0" w:firstLine="0"/>
              <w:jc w:val="center"/>
              <w:rPr>
                <w:rFonts w:ascii="Times New Roman" w:hAnsi="Times New Roman"/>
                <w:sz w:val="24"/>
                <w:szCs w:val="24"/>
              </w:rPr>
            </w:pPr>
          </w:p>
        </w:tc>
        <w:tc>
          <w:tcPr>
            <w:tcW w:w="1047"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c>
          <w:tcPr>
            <w:tcW w:w="924" w:type="pct"/>
          </w:tcPr>
          <w:p w:rsidR="00627AC6" w:rsidRPr="00591BB3" w:rsidRDefault="00E5244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r>
      <w:tr w:rsidR="00E5244C" w:rsidRPr="00591BB3" w:rsidTr="004E4CAE">
        <w:tc>
          <w:tcPr>
            <w:tcW w:w="793"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4</w:t>
            </w:r>
          </w:p>
        </w:tc>
        <w:tc>
          <w:tcPr>
            <w:tcW w:w="1127" w:type="pct"/>
          </w:tcPr>
          <w:p w:rsidR="00E5244C" w:rsidRPr="00591BB3" w:rsidRDefault="00E5244C" w:rsidP="00940F3C">
            <w:pPr>
              <w:pStyle w:val="NoSpacing"/>
              <w:keepNext/>
              <w:ind w:left="0" w:firstLine="0"/>
              <w:jc w:val="center"/>
              <w:rPr>
                <w:rFonts w:ascii="Times New Roman" w:hAnsi="Times New Roman"/>
                <w:sz w:val="24"/>
                <w:szCs w:val="24"/>
              </w:rPr>
            </w:pPr>
          </w:p>
        </w:tc>
        <w:tc>
          <w:tcPr>
            <w:tcW w:w="1110" w:type="pct"/>
          </w:tcPr>
          <w:p w:rsidR="00E5244C" w:rsidRPr="00591BB3" w:rsidRDefault="00E5244C" w:rsidP="00940F3C">
            <w:pPr>
              <w:pStyle w:val="NoSpacing"/>
              <w:keepNext/>
              <w:ind w:left="0" w:firstLine="0"/>
              <w:jc w:val="center"/>
              <w:rPr>
                <w:rFonts w:ascii="Times New Roman" w:hAnsi="Times New Roman"/>
                <w:sz w:val="24"/>
                <w:szCs w:val="24"/>
              </w:rPr>
            </w:pPr>
          </w:p>
        </w:tc>
        <w:tc>
          <w:tcPr>
            <w:tcW w:w="1047" w:type="pct"/>
          </w:tcPr>
          <w:p w:rsidR="00E5244C" w:rsidRPr="00591BB3" w:rsidRDefault="00E5244C" w:rsidP="00940F3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c>
          <w:tcPr>
            <w:tcW w:w="924" w:type="pct"/>
          </w:tcPr>
          <w:p w:rsidR="00627AC6" w:rsidRPr="00591BB3" w:rsidRDefault="00E5244C">
            <w:pPr>
              <w:pStyle w:val="NoSpacing"/>
              <w:keepNext/>
              <w:ind w:left="0" w:firstLine="0"/>
              <w:jc w:val="center"/>
              <w:rPr>
                <w:rFonts w:ascii="Times New Roman" w:hAnsi="Times New Roman"/>
                <w:sz w:val="24"/>
                <w:szCs w:val="24"/>
              </w:rPr>
            </w:pPr>
            <w:r w:rsidRPr="00591BB3">
              <w:rPr>
                <w:rFonts w:ascii="Times New Roman" w:hAnsi="Times New Roman"/>
                <w:sz w:val="24"/>
                <w:szCs w:val="24"/>
              </w:rPr>
              <w:t>X</w:t>
            </w:r>
          </w:p>
        </w:tc>
      </w:tr>
    </w:tbl>
    <w:p w:rsidR="001D7176" w:rsidRPr="00591BB3" w:rsidRDefault="001D7176" w:rsidP="00940F3C">
      <w:pPr>
        <w:pStyle w:val="NoSpacing"/>
        <w:rPr>
          <w:rFonts w:ascii="Times New Roman" w:hAnsi="Times New Roman"/>
          <w:sz w:val="24"/>
          <w:szCs w:val="24"/>
        </w:rPr>
      </w:pPr>
    </w:p>
    <w:p w:rsidR="006117A0" w:rsidRPr="00591BB3" w:rsidRDefault="00484BF9" w:rsidP="00940F3C">
      <w:pPr>
        <w:pStyle w:val="NoSpacing"/>
        <w:rPr>
          <w:rFonts w:ascii="Times New Roman" w:hAnsi="Times New Roman"/>
          <w:sz w:val="24"/>
          <w:szCs w:val="24"/>
        </w:rPr>
      </w:pPr>
      <w:r w:rsidRPr="00591BB3">
        <w:rPr>
          <w:rFonts w:ascii="Times New Roman" w:hAnsi="Times New Roman"/>
          <w:sz w:val="24"/>
          <w:szCs w:val="24"/>
        </w:rPr>
        <w:lastRenderedPageBreak/>
        <w:t xml:space="preserve">Extending the illustration beyond the four recruits in Exhibit </w:t>
      </w:r>
      <w:r w:rsidR="00B9682F" w:rsidRPr="00591BB3">
        <w:rPr>
          <w:rFonts w:ascii="Times New Roman" w:hAnsi="Times New Roman"/>
          <w:sz w:val="24"/>
          <w:szCs w:val="24"/>
        </w:rPr>
        <w:t>3</w:t>
      </w:r>
      <w:r w:rsidRPr="00591BB3">
        <w:rPr>
          <w:rFonts w:ascii="Times New Roman" w:hAnsi="Times New Roman"/>
          <w:sz w:val="24"/>
          <w:szCs w:val="24"/>
        </w:rPr>
        <w:t xml:space="preserve">, </w:t>
      </w:r>
      <w:r w:rsidR="007C0815" w:rsidRPr="00591BB3">
        <w:rPr>
          <w:rFonts w:ascii="Times New Roman" w:hAnsi="Times New Roman"/>
          <w:sz w:val="24"/>
          <w:szCs w:val="24"/>
        </w:rPr>
        <w:t>eligibility for the contrast between methods</w:t>
      </w:r>
      <w:r w:rsidRPr="00591BB3">
        <w:rPr>
          <w:rFonts w:ascii="Times New Roman" w:hAnsi="Times New Roman"/>
          <w:sz w:val="24"/>
          <w:szCs w:val="24"/>
        </w:rPr>
        <w:t xml:space="preserve"> </w:t>
      </w:r>
      <w:r w:rsidR="0041632A" w:rsidRPr="00591BB3">
        <w:rPr>
          <w:rFonts w:ascii="Times New Roman" w:hAnsi="Times New Roman"/>
          <w:sz w:val="24"/>
          <w:szCs w:val="24"/>
        </w:rPr>
        <w:t>A and B</w:t>
      </w:r>
      <w:r w:rsidR="005C6451" w:rsidRPr="00591BB3">
        <w:rPr>
          <w:rFonts w:ascii="Times New Roman" w:hAnsi="Times New Roman"/>
          <w:sz w:val="24"/>
          <w:szCs w:val="24"/>
        </w:rPr>
        <w:t xml:space="preserve"> </w:t>
      </w:r>
      <w:r w:rsidR="00E30E52" w:rsidRPr="00591BB3">
        <w:rPr>
          <w:rFonts w:ascii="Times New Roman" w:hAnsi="Times New Roman"/>
          <w:sz w:val="24"/>
          <w:szCs w:val="24"/>
        </w:rPr>
        <w:t xml:space="preserve">will </w:t>
      </w:r>
      <w:r w:rsidR="007C0815" w:rsidRPr="00591BB3">
        <w:rPr>
          <w:rFonts w:ascii="Times New Roman" w:hAnsi="Times New Roman"/>
          <w:sz w:val="24"/>
          <w:szCs w:val="24"/>
        </w:rPr>
        <w:t xml:space="preserve">be limited to participants who chose any combination that includes </w:t>
      </w:r>
      <w:r w:rsidR="0041632A" w:rsidRPr="00591BB3">
        <w:rPr>
          <w:rFonts w:ascii="Times New Roman" w:hAnsi="Times New Roman"/>
          <w:sz w:val="24"/>
          <w:szCs w:val="24"/>
        </w:rPr>
        <w:t>A and B—AB, ABC, ABD, ABCD</w:t>
      </w:r>
      <w:r w:rsidR="007C0815" w:rsidRPr="00591BB3">
        <w:rPr>
          <w:rFonts w:ascii="Times New Roman" w:hAnsi="Times New Roman"/>
          <w:sz w:val="24"/>
          <w:szCs w:val="24"/>
        </w:rPr>
        <w:t xml:space="preserve">—and the contrast will be made between the subset of those persons who were randomly assigned to either </w:t>
      </w:r>
      <w:r w:rsidR="0041632A" w:rsidRPr="00591BB3">
        <w:rPr>
          <w:rFonts w:ascii="Times New Roman" w:hAnsi="Times New Roman"/>
          <w:sz w:val="24"/>
          <w:szCs w:val="24"/>
        </w:rPr>
        <w:t>A or B</w:t>
      </w:r>
      <w:r w:rsidR="007E7F8F" w:rsidRPr="00591BB3">
        <w:rPr>
          <w:rFonts w:ascii="Times New Roman" w:hAnsi="Times New Roman"/>
          <w:sz w:val="24"/>
          <w:szCs w:val="24"/>
        </w:rPr>
        <w:t>.</w:t>
      </w:r>
      <w:r w:rsidR="00AE440B" w:rsidRPr="00591BB3">
        <w:rPr>
          <w:rFonts w:ascii="Times New Roman" w:hAnsi="Times New Roman"/>
          <w:sz w:val="24"/>
          <w:szCs w:val="24"/>
        </w:rPr>
        <w:t xml:space="preserve"> </w:t>
      </w:r>
      <w:r w:rsidR="00F8229B" w:rsidRPr="00591BB3">
        <w:rPr>
          <w:rFonts w:ascii="Times New Roman" w:hAnsi="Times New Roman"/>
          <w:sz w:val="24"/>
          <w:szCs w:val="24"/>
        </w:rPr>
        <w:t xml:space="preserve">This </w:t>
      </w:r>
      <w:r w:rsidR="003D577F" w:rsidRPr="00591BB3">
        <w:rPr>
          <w:rFonts w:ascii="Times New Roman" w:hAnsi="Times New Roman"/>
          <w:sz w:val="24"/>
          <w:szCs w:val="24"/>
        </w:rPr>
        <w:t xml:space="preserve">approach </w:t>
      </w:r>
      <w:r w:rsidR="00F8229B" w:rsidRPr="00591BB3">
        <w:rPr>
          <w:rFonts w:ascii="Times New Roman" w:hAnsi="Times New Roman"/>
          <w:sz w:val="24"/>
          <w:szCs w:val="24"/>
        </w:rPr>
        <w:t xml:space="preserve">ensures that each estimate includes all sample members for whom the respective treatment contrast is relevant. </w:t>
      </w:r>
    </w:p>
    <w:p w:rsidR="00627AC6" w:rsidRPr="00591BB3" w:rsidRDefault="00627AC6">
      <w:pPr>
        <w:pStyle w:val="NoSpacing"/>
        <w:rPr>
          <w:rFonts w:ascii="Times New Roman" w:hAnsi="Times New Roman"/>
          <w:sz w:val="24"/>
          <w:szCs w:val="24"/>
        </w:rPr>
      </w:pPr>
    </w:p>
    <w:p w:rsidR="00627AC6" w:rsidRPr="00591BB3" w:rsidRDefault="00CB4F27">
      <w:pPr>
        <w:rPr>
          <w:b/>
        </w:rPr>
      </w:pPr>
      <w:r w:rsidRPr="00591BB3">
        <w:rPr>
          <w:b/>
        </w:rPr>
        <w:t>Sample Allocation</w:t>
      </w:r>
    </w:p>
    <w:p w:rsidR="00627AC6" w:rsidRPr="00591BB3" w:rsidRDefault="00627AC6">
      <w:pPr>
        <w:pStyle w:val="NoSpacing"/>
        <w:rPr>
          <w:rFonts w:ascii="Times New Roman" w:hAnsi="Times New Roman"/>
          <w:sz w:val="24"/>
          <w:szCs w:val="24"/>
        </w:rPr>
      </w:pPr>
    </w:p>
    <w:p w:rsidR="00627AC6" w:rsidRPr="00591BB3" w:rsidRDefault="0041632A">
      <w:pPr>
        <w:pStyle w:val="NoSpacing"/>
        <w:rPr>
          <w:rFonts w:ascii="Times New Roman" w:hAnsi="Times New Roman"/>
          <w:sz w:val="24"/>
          <w:szCs w:val="24"/>
        </w:rPr>
      </w:pPr>
      <w:r w:rsidRPr="00591BB3">
        <w:rPr>
          <w:rFonts w:ascii="Times New Roman" w:hAnsi="Times New Roman"/>
          <w:sz w:val="24"/>
          <w:szCs w:val="24"/>
        </w:rPr>
        <w:t xml:space="preserve">Exhibit </w:t>
      </w:r>
      <w:r w:rsidR="00A4149C" w:rsidRPr="00591BB3">
        <w:rPr>
          <w:rFonts w:ascii="Times New Roman" w:hAnsi="Times New Roman"/>
          <w:sz w:val="24"/>
          <w:szCs w:val="24"/>
        </w:rPr>
        <w:t>4</w:t>
      </w:r>
      <w:r w:rsidRPr="00591BB3">
        <w:rPr>
          <w:rFonts w:ascii="Times New Roman" w:hAnsi="Times New Roman"/>
          <w:sz w:val="24"/>
          <w:szCs w:val="24"/>
        </w:rPr>
        <w:t xml:space="preserve"> shows the target sample allocation for the entire study. The minimum detectable effect size (MDES) for each of our research hypotheses, based on these target sample sizes across the five experimental conditions, is shown in the following section on </w:t>
      </w:r>
      <w:r w:rsidR="00CB4F27" w:rsidRPr="00591BB3">
        <w:rPr>
          <w:rFonts w:ascii="Times New Roman" w:hAnsi="Times New Roman"/>
          <w:sz w:val="24"/>
          <w:szCs w:val="24"/>
        </w:rPr>
        <w:t>Analysis and Statistical Power Considerations.</w:t>
      </w:r>
    </w:p>
    <w:p w:rsidR="00627AC6" w:rsidRPr="00591BB3" w:rsidRDefault="00627AC6">
      <w:pPr>
        <w:rPr>
          <w:rFonts w:eastAsia="Calibri"/>
        </w:rPr>
      </w:pPr>
    </w:p>
    <w:p w:rsidR="00DD08E4" w:rsidRPr="00591BB3" w:rsidRDefault="00DD08E4" w:rsidP="00940F3C">
      <w:r w:rsidRPr="00591BB3">
        <w:rPr>
          <w:b/>
        </w:rPr>
        <w:t xml:space="preserve">Exhibit </w:t>
      </w:r>
      <w:r w:rsidR="00A4149C" w:rsidRPr="00591BB3">
        <w:rPr>
          <w:b/>
        </w:rPr>
        <w:t>4</w:t>
      </w:r>
      <w:r w:rsidRPr="00591BB3">
        <w:rPr>
          <w:b/>
        </w:rPr>
        <w:t xml:space="preserve">. </w:t>
      </w:r>
      <w:r w:rsidRPr="00591BB3">
        <w:rPr>
          <w:b/>
          <w:noProof/>
        </w:rPr>
        <w:t>Sample Allocation Targets across the Five Experimental Conditions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762"/>
        <w:gridCol w:w="2832"/>
        <w:gridCol w:w="2262"/>
      </w:tblGrid>
      <w:tr w:rsidR="00DD08E4" w:rsidRPr="00591BB3" w:rsidTr="004E4CAE">
        <w:trPr>
          <w:trHeight w:val="510"/>
          <w:tblHeader/>
        </w:trPr>
        <w:tc>
          <w:tcPr>
            <w:tcW w:w="2124" w:type="pct"/>
            <w:shd w:val="clear" w:color="auto" w:fill="8DB3E2"/>
            <w:vAlign w:val="bottom"/>
          </w:tcPr>
          <w:p w:rsidR="00DD08E4" w:rsidRPr="00591BB3" w:rsidRDefault="0041632A" w:rsidP="00940F3C">
            <w:pPr>
              <w:pStyle w:val="AIRTableColumnHead"/>
              <w:spacing w:before="0" w:after="0"/>
              <w:jc w:val="center"/>
              <w:rPr>
                <w:sz w:val="24"/>
                <w:szCs w:val="24"/>
              </w:rPr>
            </w:pPr>
            <w:r w:rsidRPr="00591BB3">
              <w:rPr>
                <w:sz w:val="24"/>
                <w:szCs w:val="24"/>
              </w:rPr>
              <w:t>Deliberative Method</w:t>
            </w:r>
          </w:p>
        </w:tc>
        <w:tc>
          <w:tcPr>
            <w:tcW w:w="1599" w:type="pct"/>
            <w:shd w:val="clear" w:color="auto" w:fill="8DB3E2"/>
            <w:vAlign w:val="bottom"/>
          </w:tcPr>
          <w:p w:rsidR="00627AC6" w:rsidRPr="00591BB3" w:rsidRDefault="00627AC6">
            <w:pPr>
              <w:pStyle w:val="AIRTableColumnHead"/>
              <w:spacing w:before="0" w:after="0"/>
              <w:jc w:val="center"/>
              <w:rPr>
                <w:sz w:val="24"/>
                <w:szCs w:val="24"/>
              </w:rPr>
            </w:pPr>
          </w:p>
        </w:tc>
        <w:tc>
          <w:tcPr>
            <w:tcW w:w="1277" w:type="pct"/>
            <w:shd w:val="clear" w:color="auto" w:fill="8DB3E2"/>
            <w:vAlign w:val="bottom"/>
          </w:tcPr>
          <w:p w:rsidR="001A6DC9" w:rsidRPr="00591BB3" w:rsidRDefault="0041632A">
            <w:pPr>
              <w:pStyle w:val="AIRTableColumnHead"/>
              <w:spacing w:before="0" w:after="0"/>
              <w:jc w:val="center"/>
              <w:rPr>
                <w:sz w:val="24"/>
                <w:szCs w:val="24"/>
              </w:rPr>
            </w:pPr>
            <w:r w:rsidRPr="00591BB3">
              <w:rPr>
                <w:sz w:val="24"/>
                <w:szCs w:val="24"/>
              </w:rPr>
              <w:t>Number of Participants and Groups</w:t>
            </w:r>
          </w:p>
        </w:tc>
      </w:tr>
      <w:tr w:rsidR="00DD08E4" w:rsidRPr="00591BB3" w:rsidTr="004E4CAE">
        <w:trPr>
          <w:trHeight w:val="300"/>
        </w:trPr>
        <w:tc>
          <w:tcPr>
            <w:tcW w:w="2124" w:type="pct"/>
            <w:vMerge w:val="restart"/>
          </w:tcPr>
          <w:p w:rsidR="00DD08E4" w:rsidRPr="00591BB3" w:rsidRDefault="0041632A" w:rsidP="00940F3C">
            <w:pPr>
              <w:pStyle w:val="AIRTableColumnStub"/>
              <w:spacing w:before="0" w:after="0"/>
              <w:rPr>
                <w:sz w:val="24"/>
                <w:szCs w:val="24"/>
              </w:rPr>
            </w:pPr>
            <w:r w:rsidRPr="00591BB3">
              <w:rPr>
                <w:sz w:val="24"/>
                <w:szCs w:val="24"/>
              </w:rPr>
              <w:t>Brief Citizens’ Deliberation: A</w:t>
            </w:r>
          </w:p>
        </w:tc>
        <w:tc>
          <w:tcPr>
            <w:tcW w:w="1599" w:type="pct"/>
            <w:vAlign w:val="bottom"/>
          </w:tcPr>
          <w:p w:rsidR="00DD08E4" w:rsidRPr="00591BB3" w:rsidRDefault="0041632A" w:rsidP="00940F3C">
            <w:pPr>
              <w:pStyle w:val="AIRTableText"/>
              <w:spacing w:before="0" w:after="0"/>
              <w:rPr>
                <w:sz w:val="24"/>
                <w:szCs w:val="24"/>
              </w:rPr>
            </w:pPr>
            <w:r w:rsidRPr="00591BB3">
              <w:rPr>
                <w:sz w:val="24"/>
                <w:szCs w:val="24"/>
              </w:rPr>
              <w:t># participants per group</w:t>
            </w:r>
          </w:p>
        </w:tc>
        <w:tc>
          <w:tcPr>
            <w:tcW w:w="1277" w:type="pct"/>
            <w:shd w:val="clear" w:color="auto" w:fill="auto"/>
            <w:vAlign w:val="bottom"/>
          </w:tcPr>
          <w:p w:rsidR="00627AC6" w:rsidRPr="00591BB3" w:rsidRDefault="0041632A">
            <w:pPr>
              <w:jc w:val="right"/>
              <w:rPr>
                <w:color w:val="000000"/>
              </w:rPr>
            </w:pPr>
            <w:r w:rsidRPr="00591BB3">
              <w:rPr>
                <w:color w:val="000000"/>
              </w:rPr>
              <w:t>12</w:t>
            </w:r>
          </w:p>
        </w:tc>
      </w:tr>
      <w:tr w:rsidR="00DD08E4" w:rsidRPr="00591BB3" w:rsidTr="004E4CAE">
        <w:trPr>
          <w:trHeight w:val="300"/>
        </w:trPr>
        <w:tc>
          <w:tcPr>
            <w:tcW w:w="2124" w:type="pct"/>
            <w:vMerge/>
            <w:vAlign w:val="center"/>
          </w:tcPr>
          <w:p w:rsidR="00627AC6" w:rsidRPr="00591BB3" w:rsidRDefault="00627AC6">
            <w:pPr>
              <w:pStyle w:val="AIRTableColumnStub"/>
              <w:spacing w:before="0" w:after="0"/>
              <w:rPr>
                <w:sz w:val="24"/>
                <w:szCs w:val="24"/>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 groups</w:t>
            </w:r>
          </w:p>
        </w:tc>
        <w:tc>
          <w:tcPr>
            <w:tcW w:w="1277" w:type="pct"/>
            <w:vAlign w:val="bottom"/>
          </w:tcPr>
          <w:p w:rsidR="00627AC6" w:rsidRPr="00591BB3" w:rsidRDefault="0041632A">
            <w:pPr>
              <w:jc w:val="right"/>
              <w:rPr>
                <w:color w:val="000000"/>
              </w:rPr>
            </w:pPr>
            <w:r w:rsidRPr="00591BB3">
              <w:rPr>
                <w:color w:val="000000"/>
              </w:rPr>
              <w:t>24</w:t>
            </w:r>
          </w:p>
        </w:tc>
      </w:tr>
      <w:tr w:rsidR="00DD08E4" w:rsidRPr="00591BB3" w:rsidTr="004E4CAE">
        <w:trPr>
          <w:trHeight w:val="315"/>
        </w:trPr>
        <w:tc>
          <w:tcPr>
            <w:tcW w:w="2124" w:type="pct"/>
            <w:vMerge/>
            <w:vAlign w:val="center"/>
          </w:tcPr>
          <w:p w:rsidR="00627AC6" w:rsidRPr="00591BB3" w:rsidRDefault="00627AC6">
            <w:pPr>
              <w:pStyle w:val="AIRTableColumnStub"/>
              <w:spacing w:before="0" w:after="0"/>
              <w:rPr>
                <w:sz w:val="24"/>
                <w:szCs w:val="24"/>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Total sample</w:t>
            </w:r>
          </w:p>
        </w:tc>
        <w:tc>
          <w:tcPr>
            <w:tcW w:w="1277" w:type="pct"/>
            <w:vAlign w:val="bottom"/>
          </w:tcPr>
          <w:p w:rsidR="00627AC6" w:rsidRPr="00591BB3" w:rsidRDefault="0041632A">
            <w:pPr>
              <w:jc w:val="right"/>
              <w:rPr>
                <w:color w:val="000000"/>
              </w:rPr>
            </w:pPr>
            <w:r w:rsidRPr="00591BB3">
              <w:rPr>
                <w:color w:val="000000"/>
              </w:rPr>
              <w:t>288</w:t>
            </w:r>
          </w:p>
        </w:tc>
      </w:tr>
      <w:tr w:rsidR="00DD08E4" w:rsidRPr="00591BB3" w:rsidTr="004E4CAE">
        <w:trPr>
          <w:trHeight w:val="300"/>
        </w:trPr>
        <w:tc>
          <w:tcPr>
            <w:tcW w:w="2124" w:type="pct"/>
            <w:vMerge w:val="restart"/>
          </w:tcPr>
          <w:p w:rsidR="00DD08E4" w:rsidRPr="00591BB3" w:rsidRDefault="0041632A" w:rsidP="00940F3C">
            <w:pPr>
              <w:pStyle w:val="AIRTableColumnStub"/>
              <w:spacing w:before="0" w:after="0"/>
              <w:rPr>
                <w:sz w:val="24"/>
                <w:szCs w:val="24"/>
              </w:rPr>
            </w:pPr>
            <w:r w:rsidRPr="00591BB3">
              <w:rPr>
                <w:sz w:val="24"/>
                <w:szCs w:val="24"/>
              </w:rPr>
              <w:t xml:space="preserve">Online Deliberative Polling®: </w:t>
            </w:r>
            <w:r w:rsidRPr="00591BB3">
              <w:rPr>
                <w:iCs/>
                <w:sz w:val="24"/>
                <w:szCs w:val="24"/>
              </w:rPr>
              <w:t>B</w:t>
            </w:r>
            <w:r w:rsidRPr="00591BB3">
              <w:rPr>
                <w:sz w:val="24"/>
                <w:szCs w:val="24"/>
              </w:rPr>
              <w:t xml:space="preserve"> </w:t>
            </w:r>
          </w:p>
        </w:tc>
        <w:tc>
          <w:tcPr>
            <w:tcW w:w="1599" w:type="pct"/>
            <w:vAlign w:val="bottom"/>
          </w:tcPr>
          <w:p w:rsidR="00DD08E4" w:rsidRPr="00591BB3" w:rsidRDefault="0041632A" w:rsidP="00940F3C">
            <w:pPr>
              <w:pStyle w:val="AIRTableText"/>
              <w:spacing w:before="0" w:after="0"/>
              <w:rPr>
                <w:sz w:val="24"/>
                <w:szCs w:val="24"/>
              </w:rPr>
            </w:pPr>
            <w:r w:rsidRPr="00591BB3">
              <w:rPr>
                <w:sz w:val="24"/>
                <w:szCs w:val="24"/>
              </w:rPr>
              <w:t># participants per group</w:t>
            </w:r>
          </w:p>
        </w:tc>
        <w:tc>
          <w:tcPr>
            <w:tcW w:w="1277" w:type="pct"/>
            <w:vAlign w:val="bottom"/>
          </w:tcPr>
          <w:p w:rsidR="00627AC6" w:rsidRPr="00591BB3" w:rsidRDefault="0041632A">
            <w:pPr>
              <w:jc w:val="right"/>
              <w:rPr>
                <w:color w:val="000000"/>
              </w:rPr>
            </w:pPr>
            <w:r w:rsidRPr="00591BB3">
              <w:rPr>
                <w:color w:val="000000"/>
              </w:rPr>
              <w:t>12</w:t>
            </w:r>
          </w:p>
        </w:tc>
      </w:tr>
      <w:tr w:rsidR="00DD08E4" w:rsidRPr="00591BB3" w:rsidTr="004E4CAE">
        <w:trPr>
          <w:trHeight w:val="300"/>
        </w:trPr>
        <w:tc>
          <w:tcPr>
            <w:tcW w:w="2124" w:type="pct"/>
            <w:vMerge/>
            <w:vAlign w:val="center"/>
          </w:tcPr>
          <w:p w:rsidR="00627AC6" w:rsidRPr="00591BB3" w:rsidRDefault="00627AC6">
            <w:pPr>
              <w:pStyle w:val="AIRTableColumnStub"/>
              <w:spacing w:before="0" w:after="0"/>
              <w:rPr>
                <w:sz w:val="24"/>
                <w:szCs w:val="24"/>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 groups</w:t>
            </w:r>
          </w:p>
        </w:tc>
        <w:tc>
          <w:tcPr>
            <w:tcW w:w="1277" w:type="pct"/>
            <w:vAlign w:val="bottom"/>
          </w:tcPr>
          <w:p w:rsidR="00627AC6" w:rsidRPr="00591BB3" w:rsidRDefault="0041632A">
            <w:pPr>
              <w:jc w:val="right"/>
              <w:rPr>
                <w:color w:val="000000"/>
              </w:rPr>
            </w:pPr>
            <w:r w:rsidRPr="00591BB3">
              <w:rPr>
                <w:color w:val="000000"/>
              </w:rPr>
              <w:t>24</w:t>
            </w:r>
          </w:p>
        </w:tc>
      </w:tr>
      <w:tr w:rsidR="00DD08E4" w:rsidRPr="00591BB3" w:rsidTr="004E4CAE">
        <w:trPr>
          <w:trHeight w:val="315"/>
        </w:trPr>
        <w:tc>
          <w:tcPr>
            <w:tcW w:w="2124" w:type="pct"/>
            <w:vMerge/>
            <w:vAlign w:val="center"/>
          </w:tcPr>
          <w:p w:rsidR="00627AC6" w:rsidRPr="00591BB3" w:rsidRDefault="00627AC6">
            <w:pPr>
              <w:pStyle w:val="AIRTableColumnStub"/>
              <w:spacing w:before="0" w:after="0"/>
              <w:rPr>
                <w:sz w:val="24"/>
                <w:szCs w:val="24"/>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Total sample</w:t>
            </w:r>
          </w:p>
        </w:tc>
        <w:tc>
          <w:tcPr>
            <w:tcW w:w="1277" w:type="pct"/>
            <w:vAlign w:val="bottom"/>
          </w:tcPr>
          <w:p w:rsidR="00627AC6" w:rsidRPr="00591BB3" w:rsidRDefault="0041632A">
            <w:pPr>
              <w:jc w:val="right"/>
              <w:rPr>
                <w:color w:val="000000"/>
              </w:rPr>
            </w:pPr>
            <w:r w:rsidRPr="00591BB3">
              <w:rPr>
                <w:color w:val="000000"/>
              </w:rPr>
              <w:t>288</w:t>
            </w:r>
          </w:p>
        </w:tc>
      </w:tr>
      <w:tr w:rsidR="00DD08E4" w:rsidRPr="00591BB3" w:rsidTr="004E4CAE">
        <w:trPr>
          <w:trHeight w:val="300"/>
        </w:trPr>
        <w:tc>
          <w:tcPr>
            <w:tcW w:w="2124" w:type="pct"/>
            <w:vMerge w:val="restart"/>
          </w:tcPr>
          <w:p w:rsidR="00DD08E4" w:rsidRPr="00591BB3" w:rsidRDefault="00CB4F27" w:rsidP="00940F3C">
            <w:pPr>
              <w:pStyle w:val="AIRTableColumnStub"/>
              <w:spacing w:before="0" w:after="0"/>
              <w:rPr>
                <w:sz w:val="24"/>
                <w:szCs w:val="24"/>
              </w:rPr>
            </w:pPr>
            <w:r w:rsidRPr="00591BB3">
              <w:rPr>
                <w:sz w:val="24"/>
                <w:szCs w:val="24"/>
              </w:rPr>
              <w:t>Community Deliberation</w:t>
            </w:r>
            <w:r w:rsidR="0041632A" w:rsidRPr="00591BB3">
              <w:rPr>
                <w:sz w:val="24"/>
                <w:szCs w:val="24"/>
              </w:rPr>
              <w:t xml:space="preserve">: </w:t>
            </w:r>
            <w:r w:rsidR="0041632A" w:rsidRPr="00591BB3">
              <w:rPr>
                <w:iCs/>
                <w:sz w:val="24"/>
                <w:szCs w:val="24"/>
              </w:rPr>
              <w:t>C</w:t>
            </w:r>
          </w:p>
        </w:tc>
        <w:tc>
          <w:tcPr>
            <w:tcW w:w="1599" w:type="pct"/>
            <w:vAlign w:val="bottom"/>
          </w:tcPr>
          <w:p w:rsidR="00DD08E4" w:rsidRPr="00591BB3" w:rsidRDefault="0041632A" w:rsidP="00940F3C">
            <w:pPr>
              <w:pStyle w:val="AIRTableText"/>
              <w:spacing w:before="0" w:after="0"/>
              <w:rPr>
                <w:sz w:val="24"/>
                <w:szCs w:val="24"/>
              </w:rPr>
            </w:pPr>
            <w:r w:rsidRPr="00591BB3">
              <w:rPr>
                <w:sz w:val="24"/>
                <w:szCs w:val="24"/>
              </w:rPr>
              <w:t># participants per group</w:t>
            </w:r>
          </w:p>
        </w:tc>
        <w:tc>
          <w:tcPr>
            <w:tcW w:w="1277" w:type="pct"/>
            <w:shd w:val="clear" w:color="auto" w:fill="auto"/>
            <w:vAlign w:val="bottom"/>
          </w:tcPr>
          <w:p w:rsidR="00627AC6" w:rsidRPr="00591BB3" w:rsidRDefault="0041632A">
            <w:pPr>
              <w:jc w:val="right"/>
              <w:rPr>
                <w:color w:val="000000"/>
              </w:rPr>
            </w:pPr>
            <w:r w:rsidRPr="00591BB3">
              <w:rPr>
                <w:color w:val="000000"/>
              </w:rPr>
              <w:t>12</w:t>
            </w:r>
          </w:p>
        </w:tc>
      </w:tr>
      <w:tr w:rsidR="00DD08E4" w:rsidRPr="00591BB3" w:rsidTr="004E4CAE">
        <w:trPr>
          <w:trHeight w:val="300"/>
        </w:trPr>
        <w:tc>
          <w:tcPr>
            <w:tcW w:w="2124" w:type="pct"/>
            <w:vMerge/>
            <w:vAlign w:val="center"/>
          </w:tcPr>
          <w:p w:rsidR="00627AC6" w:rsidRPr="00591BB3" w:rsidRDefault="00627AC6">
            <w:pPr>
              <w:pStyle w:val="AIRTableColumnStub"/>
              <w:spacing w:before="0" w:after="0"/>
              <w:rPr>
                <w:sz w:val="24"/>
                <w:szCs w:val="24"/>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 groups</w:t>
            </w:r>
          </w:p>
        </w:tc>
        <w:tc>
          <w:tcPr>
            <w:tcW w:w="1277" w:type="pct"/>
            <w:vAlign w:val="bottom"/>
          </w:tcPr>
          <w:p w:rsidR="00627AC6" w:rsidRPr="00591BB3" w:rsidRDefault="0041632A">
            <w:pPr>
              <w:jc w:val="right"/>
              <w:rPr>
                <w:color w:val="000000"/>
              </w:rPr>
            </w:pPr>
            <w:r w:rsidRPr="00591BB3">
              <w:rPr>
                <w:color w:val="000000"/>
              </w:rPr>
              <w:t>24</w:t>
            </w:r>
          </w:p>
        </w:tc>
      </w:tr>
      <w:tr w:rsidR="00DD08E4" w:rsidRPr="00591BB3" w:rsidTr="004E4CAE">
        <w:trPr>
          <w:trHeight w:val="315"/>
        </w:trPr>
        <w:tc>
          <w:tcPr>
            <w:tcW w:w="2124" w:type="pct"/>
            <w:vMerge/>
            <w:vAlign w:val="center"/>
          </w:tcPr>
          <w:p w:rsidR="00627AC6" w:rsidRPr="00591BB3" w:rsidRDefault="00627AC6">
            <w:pPr>
              <w:pStyle w:val="AIRTableColumnStub"/>
              <w:spacing w:before="0" w:after="0"/>
              <w:rPr>
                <w:sz w:val="24"/>
                <w:szCs w:val="24"/>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Total sample</w:t>
            </w:r>
          </w:p>
        </w:tc>
        <w:tc>
          <w:tcPr>
            <w:tcW w:w="1277" w:type="pct"/>
            <w:vAlign w:val="bottom"/>
          </w:tcPr>
          <w:p w:rsidR="00627AC6" w:rsidRPr="00591BB3" w:rsidRDefault="0041632A">
            <w:pPr>
              <w:jc w:val="right"/>
              <w:rPr>
                <w:color w:val="000000"/>
              </w:rPr>
            </w:pPr>
            <w:r w:rsidRPr="00591BB3">
              <w:rPr>
                <w:color w:val="000000"/>
              </w:rPr>
              <w:t>288</w:t>
            </w:r>
          </w:p>
        </w:tc>
      </w:tr>
      <w:tr w:rsidR="00DD08E4" w:rsidRPr="00591BB3" w:rsidTr="004E4CAE">
        <w:trPr>
          <w:cantSplit/>
          <w:trHeight w:val="300"/>
        </w:trPr>
        <w:tc>
          <w:tcPr>
            <w:tcW w:w="2124" w:type="pct"/>
            <w:vMerge w:val="restart"/>
          </w:tcPr>
          <w:p w:rsidR="00DD08E4" w:rsidRPr="00591BB3" w:rsidRDefault="0041632A" w:rsidP="00940F3C">
            <w:pPr>
              <w:pStyle w:val="AIRTableColumnStub"/>
              <w:keepNext/>
              <w:keepLines/>
              <w:spacing w:before="0" w:after="0"/>
              <w:rPr>
                <w:i/>
                <w:iCs/>
                <w:sz w:val="24"/>
                <w:szCs w:val="24"/>
              </w:rPr>
            </w:pPr>
            <w:r w:rsidRPr="00591BB3">
              <w:rPr>
                <w:sz w:val="24"/>
                <w:szCs w:val="24"/>
              </w:rPr>
              <w:t>Citizens’ Panel: D</w:t>
            </w:r>
            <w:r w:rsidRPr="00591BB3">
              <w:rPr>
                <w:i/>
                <w:iCs/>
                <w:sz w:val="24"/>
                <w:szCs w:val="24"/>
              </w:rPr>
              <w:t xml:space="preserve"> </w:t>
            </w:r>
          </w:p>
        </w:tc>
        <w:tc>
          <w:tcPr>
            <w:tcW w:w="1599" w:type="pct"/>
            <w:vAlign w:val="bottom"/>
          </w:tcPr>
          <w:p w:rsidR="00DD08E4" w:rsidRPr="00591BB3" w:rsidRDefault="0041632A" w:rsidP="00940F3C">
            <w:pPr>
              <w:pStyle w:val="AIRTableText"/>
              <w:keepNext/>
              <w:keepLines/>
              <w:spacing w:before="0" w:after="0"/>
              <w:rPr>
                <w:sz w:val="24"/>
                <w:szCs w:val="24"/>
              </w:rPr>
            </w:pPr>
            <w:r w:rsidRPr="00591BB3">
              <w:rPr>
                <w:sz w:val="24"/>
                <w:szCs w:val="24"/>
              </w:rPr>
              <w:t># participants per group</w:t>
            </w:r>
          </w:p>
        </w:tc>
        <w:tc>
          <w:tcPr>
            <w:tcW w:w="1277" w:type="pct"/>
            <w:vAlign w:val="bottom"/>
          </w:tcPr>
          <w:p w:rsidR="00627AC6" w:rsidRPr="00591BB3" w:rsidRDefault="0041632A">
            <w:pPr>
              <w:pStyle w:val="AIRTableText"/>
              <w:keepNext/>
              <w:keepLines/>
              <w:spacing w:before="0" w:after="0"/>
              <w:jc w:val="right"/>
              <w:rPr>
                <w:sz w:val="24"/>
                <w:szCs w:val="24"/>
              </w:rPr>
            </w:pPr>
            <w:r w:rsidRPr="00591BB3">
              <w:rPr>
                <w:sz w:val="24"/>
                <w:szCs w:val="24"/>
              </w:rPr>
              <w:t>24</w:t>
            </w:r>
          </w:p>
        </w:tc>
      </w:tr>
      <w:tr w:rsidR="00DD08E4" w:rsidRPr="00591BB3" w:rsidTr="004E4CAE">
        <w:trPr>
          <w:trHeight w:val="300"/>
        </w:trPr>
        <w:tc>
          <w:tcPr>
            <w:tcW w:w="2124" w:type="pct"/>
            <w:vMerge/>
          </w:tcPr>
          <w:p w:rsidR="00627AC6" w:rsidRPr="00591BB3" w:rsidRDefault="00627AC6">
            <w:pPr>
              <w:rPr>
                <w:color w:val="000000"/>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 groups</w:t>
            </w:r>
          </w:p>
        </w:tc>
        <w:tc>
          <w:tcPr>
            <w:tcW w:w="1277" w:type="pct"/>
            <w:vAlign w:val="bottom"/>
          </w:tcPr>
          <w:p w:rsidR="00627AC6" w:rsidRPr="00591BB3" w:rsidRDefault="0041632A">
            <w:pPr>
              <w:pStyle w:val="AIRTableText"/>
              <w:spacing w:before="0" w:after="0"/>
              <w:jc w:val="right"/>
              <w:rPr>
                <w:sz w:val="24"/>
                <w:szCs w:val="24"/>
              </w:rPr>
            </w:pPr>
            <w:r w:rsidRPr="00591BB3">
              <w:rPr>
                <w:sz w:val="24"/>
                <w:szCs w:val="24"/>
              </w:rPr>
              <w:t>4</w:t>
            </w:r>
          </w:p>
        </w:tc>
      </w:tr>
      <w:tr w:rsidR="00DD08E4" w:rsidRPr="00591BB3" w:rsidTr="004E4CAE">
        <w:trPr>
          <w:trHeight w:val="315"/>
        </w:trPr>
        <w:tc>
          <w:tcPr>
            <w:tcW w:w="2124" w:type="pct"/>
            <w:vMerge/>
          </w:tcPr>
          <w:p w:rsidR="00627AC6" w:rsidRPr="00591BB3" w:rsidRDefault="00627AC6">
            <w:pPr>
              <w:rPr>
                <w:color w:val="000000"/>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Total sample</w:t>
            </w:r>
          </w:p>
        </w:tc>
        <w:tc>
          <w:tcPr>
            <w:tcW w:w="1277" w:type="pct"/>
            <w:vAlign w:val="bottom"/>
          </w:tcPr>
          <w:p w:rsidR="00627AC6" w:rsidRPr="00591BB3" w:rsidRDefault="0041632A">
            <w:pPr>
              <w:pStyle w:val="AIRTableText"/>
              <w:spacing w:before="0" w:after="0"/>
              <w:jc w:val="right"/>
              <w:rPr>
                <w:sz w:val="24"/>
                <w:szCs w:val="24"/>
              </w:rPr>
            </w:pPr>
            <w:r w:rsidRPr="00591BB3">
              <w:rPr>
                <w:sz w:val="24"/>
                <w:szCs w:val="24"/>
              </w:rPr>
              <w:t>96</w:t>
            </w:r>
          </w:p>
        </w:tc>
      </w:tr>
      <w:tr w:rsidR="00DD08E4" w:rsidRPr="00591BB3" w:rsidTr="004E4CAE">
        <w:trPr>
          <w:cantSplit/>
          <w:trHeight w:val="300"/>
        </w:trPr>
        <w:tc>
          <w:tcPr>
            <w:tcW w:w="2124" w:type="pct"/>
            <w:vMerge w:val="restart"/>
          </w:tcPr>
          <w:p w:rsidR="00DD08E4" w:rsidRPr="00591BB3" w:rsidRDefault="0041632A" w:rsidP="00940F3C">
            <w:pPr>
              <w:pStyle w:val="AIRTableColumnHead"/>
              <w:keepNext/>
              <w:keepLines/>
              <w:spacing w:before="0" w:after="0"/>
              <w:rPr>
                <w:sz w:val="24"/>
                <w:szCs w:val="24"/>
              </w:rPr>
            </w:pPr>
            <w:r w:rsidRPr="00591BB3">
              <w:rPr>
                <w:sz w:val="24"/>
                <w:szCs w:val="24"/>
              </w:rPr>
              <w:t>Deliberative Groups Subtotal </w:t>
            </w:r>
          </w:p>
        </w:tc>
        <w:tc>
          <w:tcPr>
            <w:tcW w:w="1599" w:type="pct"/>
            <w:vAlign w:val="bottom"/>
          </w:tcPr>
          <w:p w:rsidR="001A6DC9" w:rsidRPr="00591BB3" w:rsidRDefault="0041632A">
            <w:pPr>
              <w:pStyle w:val="AIRTableText"/>
              <w:keepNext/>
              <w:keepLines/>
              <w:tabs>
                <w:tab w:val="center" w:pos="4320"/>
                <w:tab w:val="right" w:pos="8640"/>
              </w:tabs>
              <w:spacing w:before="0" w:after="0"/>
              <w:jc w:val="both"/>
              <w:rPr>
                <w:sz w:val="24"/>
                <w:szCs w:val="24"/>
              </w:rPr>
            </w:pPr>
            <w:r w:rsidRPr="00591BB3">
              <w:rPr>
                <w:sz w:val="24"/>
                <w:szCs w:val="24"/>
              </w:rPr>
              <w:t># groups</w:t>
            </w:r>
          </w:p>
        </w:tc>
        <w:tc>
          <w:tcPr>
            <w:tcW w:w="1277" w:type="pct"/>
            <w:vAlign w:val="bottom"/>
          </w:tcPr>
          <w:p w:rsidR="001A6DC9" w:rsidRPr="00591BB3" w:rsidRDefault="0041632A">
            <w:pPr>
              <w:pStyle w:val="AIRTableText"/>
              <w:keepNext/>
              <w:keepLines/>
              <w:tabs>
                <w:tab w:val="center" w:pos="4320"/>
                <w:tab w:val="right" w:pos="8640"/>
              </w:tabs>
              <w:spacing w:before="0" w:after="0"/>
              <w:jc w:val="right"/>
              <w:rPr>
                <w:sz w:val="24"/>
                <w:szCs w:val="24"/>
              </w:rPr>
            </w:pPr>
            <w:r w:rsidRPr="00591BB3">
              <w:rPr>
                <w:sz w:val="24"/>
                <w:szCs w:val="24"/>
              </w:rPr>
              <w:t>76</w:t>
            </w:r>
          </w:p>
        </w:tc>
      </w:tr>
      <w:tr w:rsidR="00DD08E4" w:rsidRPr="00591BB3" w:rsidTr="004E4CAE">
        <w:trPr>
          <w:trHeight w:val="315"/>
        </w:trPr>
        <w:tc>
          <w:tcPr>
            <w:tcW w:w="2124" w:type="pct"/>
            <w:vMerge/>
            <w:vAlign w:val="center"/>
          </w:tcPr>
          <w:p w:rsidR="00627AC6" w:rsidRPr="00591BB3" w:rsidRDefault="00627AC6">
            <w:pPr>
              <w:rPr>
                <w:color w:val="000000"/>
              </w:rPr>
            </w:pPr>
          </w:p>
        </w:tc>
        <w:tc>
          <w:tcPr>
            <w:tcW w:w="1599" w:type="pct"/>
            <w:vAlign w:val="bottom"/>
          </w:tcPr>
          <w:p w:rsidR="00627AC6" w:rsidRPr="00591BB3" w:rsidRDefault="0041632A">
            <w:pPr>
              <w:pStyle w:val="AIRTableText"/>
              <w:spacing w:before="0" w:after="0"/>
              <w:rPr>
                <w:sz w:val="24"/>
                <w:szCs w:val="24"/>
              </w:rPr>
            </w:pPr>
            <w:r w:rsidRPr="00591BB3">
              <w:rPr>
                <w:sz w:val="24"/>
                <w:szCs w:val="24"/>
              </w:rPr>
              <w:t>Total</w:t>
            </w:r>
          </w:p>
        </w:tc>
        <w:tc>
          <w:tcPr>
            <w:tcW w:w="1277" w:type="pct"/>
            <w:vAlign w:val="bottom"/>
          </w:tcPr>
          <w:p w:rsidR="00627AC6" w:rsidRPr="00591BB3" w:rsidRDefault="0041632A">
            <w:pPr>
              <w:pStyle w:val="AIRTableText"/>
              <w:spacing w:before="0" w:after="0"/>
              <w:jc w:val="right"/>
              <w:rPr>
                <w:sz w:val="24"/>
                <w:szCs w:val="24"/>
              </w:rPr>
            </w:pPr>
            <w:r w:rsidRPr="00591BB3">
              <w:rPr>
                <w:sz w:val="24"/>
                <w:szCs w:val="24"/>
              </w:rPr>
              <w:t>960</w:t>
            </w:r>
          </w:p>
        </w:tc>
      </w:tr>
      <w:tr w:rsidR="00DD08E4" w:rsidRPr="00591BB3" w:rsidTr="004E4CAE">
        <w:trPr>
          <w:cantSplit/>
          <w:trHeight w:val="315"/>
        </w:trPr>
        <w:tc>
          <w:tcPr>
            <w:tcW w:w="2124" w:type="pct"/>
          </w:tcPr>
          <w:p w:rsidR="00DD08E4" w:rsidRPr="00591BB3" w:rsidRDefault="0041632A" w:rsidP="00940F3C">
            <w:pPr>
              <w:pStyle w:val="AIRTableColumnStub"/>
              <w:spacing w:before="0" w:after="0"/>
              <w:rPr>
                <w:sz w:val="24"/>
                <w:szCs w:val="24"/>
              </w:rPr>
            </w:pPr>
            <w:r w:rsidRPr="00591BB3">
              <w:rPr>
                <w:sz w:val="24"/>
                <w:szCs w:val="24"/>
              </w:rPr>
              <w:t xml:space="preserve">Control: </w:t>
            </w:r>
            <w:r w:rsidRPr="00591BB3">
              <w:rPr>
                <w:iCs/>
                <w:sz w:val="24"/>
                <w:szCs w:val="24"/>
              </w:rPr>
              <w:t>X</w:t>
            </w:r>
            <w:r w:rsidRPr="00591BB3">
              <w:rPr>
                <w:sz w:val="24"/>
                <w:szCs w:val="24"/>
              </w:rPr>
              <w:t xml:space="preserve"> </w:t>
            </w:r>
          </w:p>
        </w:tc>
        <w:tc>
          <w:tcPr>
            <w:tcW w:w="1599" w:type="pct"/>
            <w:vAlign w:val="bottom"/>
          </w:tcPr>
          <w:p w:rsidR="00DD08E4" w:rsidRPr="00591BB3" w:rsidRDefault="0041632A" w:rsidP="00940F3C">
            <w:pPr>
              <w:pStyle w:val="AIRTableText"/>
              <w:spacing w:before="0" w:after="0"/>
              <w:rPr>
                <w:sz w:val="24"/>
                <w:szCs w:val="24"/>
              </w:rPr>
            </w:pPr>
            <w:r w:rsidRPr="00591BB3">
              <w:rPr>
                <w:sz w:val="24"/>
                <w:szCs w:val="24"/>
              </w:rPr>
              <w:t>Total sample</w:t>
            </w:r>
          </w:p>
        </w:tc>
        <w:tc>
          <w:tcPr>
            <w:tcW w:w="1277" w:type="pct"/>
            <w:vAlign w:val="bottom"/>
          </w:tcPr>
          <w:p w:rsidR="00627AC6" w:rsidRPr="00591BB3" w:rsidRDefault="0041632A">
            <w:pPr>
              <w:pStyle w:val="AIRTableText"/>
              <w:spacing w:before="0" w:after="0"/>
              <w:jc w:val="right"/>
              <w:rPr>
                <w:sz w:val="24"/>
                <w:szCs w:val="24"/>
              </w:rPr>
            </w:pPr>
            <w:r w:rsidRPr="00591BB3">
              <w:rPr>
                <w:sz w:val="24"/>
                <w:szCs w:val="24"/>
              </w:rPr>
              <w:t>336</w:t>
            </w:r>
          </w:p>
        </w:tc>
      </w:tr>
      <w:tr w:rsidR="00DD08E4" w:rsidRPr="00591BB3" w:rsidTr="004E4CAE">
        <w:trPr>
          <w:trHeight w:val="300"/>
        </w:trPr>
        <w:tc>
          <w:tcPr>
            <w:tcW w:w="2124" w:type="pct"/>
            <w:vMerge w:val="restart"/>
          </w:tcPr>
          <w:p w:rsidR="00DD08E4" w:rsidRPr="00591BB3" w:rsidRDefault="0041632A" w:rsidP="00940F3C">
            <w:pPr>
              <w:pStyle w:val="AIRTableText"/>
              <w:spacing w:before="0" w:after="0"/>
              <w:rPr>
                <w:b/>
                <w:sz w:val="24"/>
                <w:szCs w:val="24"/>
              </w:rPr>
            </w:pPr>
            <w:r w:rsidRPr="00591BB3">
              <w:rPr>
                <w:b/>
                <w:sz w:val="24"/>
                <w:szCs w:val="24"/>
              </w:rPr>
              <w:t>Total Deliberation plus Control</w:t>
            </w:r>
          </w:p>
        </w:tc>
        <w:tc>
          <w:tcPr>
            <w:tcW w:w="1599" w:type="pct"/>
            <w:vAlign w:val="bottom"/>
          </w:tcPr>
          <w:p w:rsidR="00DD08E4" w:rsidRPr="00591BB3" w:rsidRDefault="0041632A" w:rsidP="00940F3C">
            <w:pPr>
              <w:pStyle w:val="AIRTableText"/>
              <w:spacing w:before="0" w:after="0"/>
              <w:rPr>
                <w:b/>
                <w:bCs/>
                <w:sz w:val="24"/>
                <w:szCs w:val="24"/>
              </w:rPr>
            </w:pPr>
            <w:r w:rsidRPr="00591BB3">
              <w:rPr>
                <w:b/>
                <w:bCs/>
                <w:sz w:val="24"/>
                <w:szCs w:val="24"/>
              </w:rPr>
              <w:t># groups</w:t>
            </w:r>
          </w:p>
        </w:tc>
        <w:tc>
          <w:tcPr>
            <w:tcW w:w="1277" w:type="pct"/>
            <w:vAlign w:val="bottom"/>
          </w:tcPr>
          <w:p w:rsidR="00627AC6" w:rsidRPr="00591BB3" w:rsidRDefault="0041632A">
            <w:pPr>
              <w:pStyle w:val="AIRTableText"/>
              <w:spacing w:before="0" w:after="0"/>
              <w:jc w:val="right"/>
              <w:rPr>
                <w:b/>
                <w:bCs/>
                <w:sz w:val="24"/>
                <w:szCs w:val="24"/>
              </w:rPr>
            </w:pPr>
            <w:r w:rsidRPr="00591BB3">
              <w:rPr>
                <w:b/>
                <w:bCs/>
                <w:sz w:val="24"/>
                <w:szCs w:val="24"/>
              </w:rPr>
              <w:t>76</w:t>
            </w:r>
          </w:p>
        </w:tc>
      </w:tr>
      <w:tr w:rsidR="00DD08E4" w:rsidRPr="00591BB3" w:rsidTr="004E4CAE">
        <w:trPr>
          <w:trHeight w:val="315"/>
        </w:trPr>
        <w:tc>
          <w:tcPr>
            <w:tcW w:w="2124" w:type="pct"/>
            <w:vMerge/>
            <w:vAlign w:val="center"/>
          </w:tcPr>
          <w:p w:rsidR="00627AC6" w:rsidRPr="00591BB3" w:rsidRDefault="00627AC6">
            <w:pPr>
              <w:rPr>
                <w:b/>
                <w:bCs/>
                <w:color w:val="000000"/>
              </w:rPr>
            </w:pPr>
          </w:p>
        </w:tc>
        <w:tc>
          <w:tcPr>
            <w:tcW w:w="1599" w:type="pct"/>
            <w:vAlign w:val="bottom"/>
          </w:tcPr>
          <w:p w:rsidR="00627AC6" w:rsidRPr="00591BB3" w:rsidRDefault="0041632A">
            <w:pPr>
              <w:pStyle w:val="AIRTableText"/>
              <w:spacing w:before="0" w:after="0"/>
              <w:rPr>
                <w:b/>
                <w:bCs/>
                <w:sz w:val="24"/>
                <w:szCs w:val="24"/>
              </w:rPr>
            </w:pPr>
            <w:r w:rsidRPr="00591BB3">
              <w:rPr>
                <w:b/>
                <w:bCs/>
                <w:sz w:val="24"/>
                <w:szCs w:val="24"/>
              </w:rPr>
              <w:t>Total sample</w:t>
            </w:r>
          </w:p>
        </w:tc>
        <w:tc>
          <w:tcPr>
            <w:tcW w:w="1277" w:type="pct"/>
            <w:vAlign w:val="bottom"/>
          </w:tcPr>
          <w:p w:rsidR="00627AC6" w:rsidRPr="00591BB3" w:rsidRDefault="0041632A">
            <w:pPr>
              <w:pStyle w:val="AIRTableText"/>
              <w:spacing w:before="0" w:after="0"/>
              <w:jc w:val="right"/>
              <w:rPr>
                <w:b/>
                <w:bCs/>
                <w:sz w:val="24"/>
                <w:szCs w:val="24"/>
              </w:rPr>
            </w:pPr>
            <w:r w:rsidRPr="00591BB3">
              <w:rPr>
                <w:b/>
                <w:bCs/>
                <w:sz w:val="24"/>
                <w:szCs w:val="24"/>
              </w:rPr>
              <w:t>1,296</w:t>
            </w:r>
          </w:p>
        </w:tc>
      </w:tr>
    </w:tbl>
    <w:p w:rsidR="00DD08E4" w:rsidRPr="00591BB3" w:rsidRDefault="00DD08E4" w:rsidP="00940F3C"/>
    <w:p w:rsidR="00DD08E4" w:rsidRPr="00591BB3" w:rsidRDefault="00646E7D" w:rsidP="00940F3C">
      <w:r w:rsidRPr="00591BB3">
        <w:t xml:space="preserve">We expect </w:t>
      </w:r>
      <w:r w:rsidR="00982BE3" w:rsidRPr="00591BB3">
        <w:t xml:space="preserve">up to 30% attrition from the time of recruitment to the time the deliberative sessions are held; that is, we expect approximately 70% of respondents who say they will come to the deliberative sessions to participate. </w:t>
      </w:r>
      <w:r w:rsidRPr="00591BB3">
        <w:t xml:space="preserve">This estimate is based on team members’ personal experience with deliberative groups, but it </w:t>
      </w:r>
      <w:r w:rsidR="005D1B93" w:rsidRPr="00591BB3">
        <w:t>is also consistent with other group resea</w:t>
      </w:r>
      <w:r w:rsidR="00DB73B1" w:rsidRPr="00591BB3">
        <w:t xml:space="preserve">rch for </w:t>
      </w:r>
      <w:r w:rsidR="005D1B93" w:rsidRPr="00591BB3">
        <w:t xml:space="preserve">which participants are recruited </w:t>
      </w:r>
      <w:r w:rsidR="00DB73B1" w:rsidRPr="00591BB3">
        <w:t xml:space="preserve">(e.g., focus groups). </w:t>
      </w:r>
      <w:r w:rsidR="00DD08E4" w:rsidRPr="00591BB3">
        <w:t xml:space="preserve">In order to achieve the desired total sample size indicated in Exhibit </w:t>
      </w:r>
      <w:r w:rsidR="002C2866" w:rsidRPr="00591BB3">
        <w:t>4</w:t>
      </w:r>
      <w:r w:rsidR="00DD08E4" w:rsidRPr="00591BB3">
        <w:t>, we will oversample by 30%, recruiting 1,68</w:t>
      </w:r>
      <w:r w:rsidR="002704DB" w:rsidRPr="00591BB3">
        <w:t>0</w:t>
      </w:r>
      <w:r w:rsidR="00DD08E4" w:rsidRPr="00591BB3">
        <w:t xml:space="preserve"> participants to achieve the desired sample of 1,296 participants.  </w:t>
      </w:r>
    </w:p>
    <w:p w:rsidR="00627AC6" w:rsidRPr="00591BB3" w:rsidRDefault="0041632A">
      <w:pPr>
        <w:pStyle w:val="NoSpacing"/>
        <w:rPr>
          <w:b/>
        </w:rPr>
      </w:pPr>
      <w:r w:rsidRPr="00591BB3">
        <w:rPr>
          <w:rFonts w:ascii="Times New Roman" w:hAnsi="Times New Roman"/>
          <w:b/>
          <w:sz w:val="24"/>
          <w:szCs w:val="24"/>
        </w:rPr>
        <w:t>Analysis and Statistical Power Consideration</w:t>
      </w:r>
      <w:r w:rsidRPr="00591BB3">
        <w:rPr>
          <w:b/>
        </w:rPr>
        <w:t>s</w:t>
      </w:r>
    </w:p>
    <w:p w:rsidR="00627AC6" w:rsidRPr="00591BB3" w:rsidRDefault="00627AC6">
      <w:pPr>
        <w:pStyle w:val="NoSpacing"/>
        <w:rPr>
          <w:rFonts w:ascii="Times New Roman" w:hAnsi="Times New Roman"/>
          <w:sz w:val="24"/>
          <w:szCs w:val="24"/>
        </w:rPr>
      </w:pPr>
    </w:p>
    <w:p w:rsidR="00627AC6" w:rsidRPr="00591BB3" w:rsidRDefault="004D07FE">
      <w:r w:rsidRPr="00591BB3">
        <w:t xml:space="preserve">Answering Research Question 1 (see Supporting Statement, Section A16) calls for pair-wise comparisons of each method with the control group. We will answer Research Question 1 in two steps. First, we will compare each deliberative method to the control group to establish its individual effectiveness compared to education alone. Then we will pool deliberation participants from all effective methods to compare deliberation to control and establish the overall effect of deliberation. To make the individual comparison between a deliberative method and the control group, we will use all the participants who are assigned to either the pertinent method or the control group. </w:t>
      </w:r>
      <w:r w:rsidR="003C4F8B" w:rsidRPr="00591BB3">
        <w:t>F</w:t>
      </w:r>
      <w:r w:rsidRPr="00591BB3">
        <w:t>or the pooled contrast between all the deliberative methods and control, we will use all the participants who are randomly assigned to one of the five experimental conditions.</w:t>
      </w:r>
    </w:p>
    <w:p w:rsidR="00627AC6" w:rsidRPr="00591BB3" w:rsidRDefault="00627AC6"/>
    <w:p w:rsidR="00627AC6" w:rsidRPr="00591BB3" w:rsidRDefault="004D07FE">
      <w:r w:rsidRPr="00591BB3">
        <w:t xml:space="preserve">Research Question 2 (see Supporting Statement, Section A16) </w:t>
      </w:r>
      <w:r w:rsidR="00C16DE4" w:rsidRPr="00591BB3">
        <w:t xml:space="preserve">addresses </w:t>
      </w:r>
      <w:r w:rsidR="003A5DDE" w:rsidRPr="00591BB3">
        <w:t xml:space="preserve">how burden changes </w:t>
      </w:r>
      <w:r w:rsidRPr="00591BB3">
        <w:t xml:space="preserve">the effectiveness </w:t>
      </w:r>
      <w:r w:rsidR="00C16DE4" w:rsidRPr="00591BB3">
        <w:t xml:space="preserve">of methods </w:t>
      </w:r>
      <w:r w:rsidRPr="00591BB3">
        <w:t>(</w:t>
      </w:r>
      <w:r w:rsidR="00C16DE4" w:rsidRPr="00591BB3">
        <w:t>i.e.,</w:t>
      </w:r>
      <w:r w:rsidR="00940F3C" w:rsidRPr="00591BB3">
        <w:t xml:space="preserve"> </w:t>
      </w:r>
      <w:r w:rsidRPr="00591BB3">
        <w:t xml:space="preserve">knowledge </w:t>
      </w:r>
      <w:r w:rsidR="00C16DE4" w:rsidRPr="00591BB3">
        <w:t xml:space="preserve">of </w:t>
      </w:r>
      <w:r w:rsidRPr="00591BB3">
        <w:t>and attitudes toward the deliberative topics</w:t>
      </w:r>
      <w:r w:rsidR="00C16DE4" w:rsidRPr="00591BB3">
        <w:t>,</w:t>
      </w:r>
      <w:r w:rsidRPr="00591BB3">
        <w:t xml:space="preserve"> and </w:t>
      </w:r>
      <w:r w:rsidR="000F0EF2" w:rsidRPr="00591BB3">
        <w:t xml:space="preserve">selected </w:t>
      </w:r>
      <w:r w:rsidR="00C16DE4" w:rsidRPr="00591BB3">
        <w:t>measures list</w:t>
      </w:r>
      <w:r w:rsidR="000F0EF2" w:rsidRPr="00591BB3">
        <w:t>ed</w:t>
      </w:r>
      <w:r w:rsidR="00C16DE4" w:rsidRPr="00591BB3">
        <w:t xml:space="preserve"> under </w:t>
      </w:r>
      <w:r w:rsidR="000F0EF2" w:rsidRPr="00591BB3">
        <w:t xml:space="preserve">quality of deliberative discourse and implementation </w:t>
      </w:r>
      <w:r w:rsidR="00C16DE4" w:rsidRPr="00591BB3">
        <w:t>in Section A16</w:t>
      </w:r>
      <w:r w:rsidRPr="00591BB3">
        <w:t>)</w:t>
      </w:r>
      <w:r w:rsidR="00982BE3" w:rsidRPr="00591BB3">
        <w:t xml:space="preserve">. </w:t>
      </w:r>
      <w:r w:rsidR="00D96C0D" w:rsidRPr="00591BB3">
        <w:t>W</w:t>
      </w:r>
      <w:r w:rsidRPr="00591BB3">
        <w:t xml:space="preserve">e will conduct pooled comparisons of the two lower burden methods (BCD + ODP) vs. the two higher burden methods (CD + CP) </w:t>
      </w:r>
      <w:r w:rsidR="00D96C0D" w:rsidRPr="00591BB3">
        <w:t xml:space="preserve">to evaluate the impact of burden.  We </w:t>
      </w:r>
      <w:r w:rsidRPr="00591BB3">
        <w:t>will also compare each of the lower burden methods with the pooled higher burden methods: BCD vs. (CD + CP) and ODP vs. (CD + CP)</w:t>
      </w:r>
      <w:r w:rsidR="00982BE3" w:rsidRPr="00591BB3">
        <w:t xml:space="preserve">. </w:t>
      </w:r>
      <w:r w:rsidR="00D96C0D" w:rsidRPr="00591BB3">
        <w:t xml:space="preserve"> Finally, </w:t>
      </w:r>
      <w:r w:rsidRPr="00591BB3">
        <w:t xml:space="preserve">we will compare the </w:t>
      </w:r>
      <w:r w:rsidR="00D96C0D" w:rsidRPr="00591BB3">
        <w:t xml:space="preserve">methods with the greatest difference in burden, the </w:t>
      </w:r>
      <w:r w:rsidRPr="00591BB3">
        <w:t xml:space="preserve">lowest </w:t>
      </w:r>
      <w:r w:rsidR="00D96C0D" w:rsidRPr="00591BB3">
        <w:t xml:space="preserve">(BCD) </w:t>
      </w:r>
      <w:r w:rsidRPr="00591BB3">
        <w:t xml:space="preserve">vs. </w:t>
      </w:r>
      <w:r w:rsidR="00D96C0D" w:rsidRPr="00591BB3">
        <w:t xml:space="preserve">the </w:t>
      </w:r>
      <w:r w:rsidRPr="00591BB3">
        <w:t xml:space="preserve">highest </w:t>
      </w:r>
      <w:r w:rsidR="00D96C0D" w:rsidRPr="00591BB3">
        <w:t>(</w:t>
      </w:r>
      <w:r w:rsidRPr="00591BB3">
        <w:t>CP</w:t>
      </w:r>
      <w:r w:rsidR="00D96C0D" w:rsidRPr="00591BB3">
        <w:t xml:space="preserve">). </w:t>
      </w:r>
    </w:p>
    <w:p w:rsidR="00627AC6" w:rsidRPr="00591BB3" w:rsidRDefault="00627AC6">
      <w:pPr>
        <w:pStyle w:val="NoSpacing"/>
        <w:rPr>
          <w:rFonts w:ascii="Times New Roman" w:hAnsi="Times New Roman"/>
          <w:sz w:val="24"/>
          <w:szCs w:val="24"/>
        </w:rPr>
      </w:pPr>
    </w:p>
    <w:p w:rsidR="001A6DC9" w:rsidRPr="00591BB3" w:rsidRDefault="000F0EF2">
      <w:pPr>
        <w:pStyle w:val="NoSpacing"/>
        <w:rPr>
          <w:rFonts w:ascii="Times New Roman" w:hAnsi="Times New Roman"/>
          <w:sz w:val="24"/>
          <w:szCs w:val="24"/>
        </w:rPr>
      </w:pPr>
      <w:r w:rsidRPr="00591BB3">
        <w:rPr>
          <w:rFonts w:ascii="Times New Roman" w:hAnsi="Times New Roman"/>
          <w:sz w:val="24"/>
          <w:szCs w:val="24"/>
        </w:rPr>
        <w:t xml:space="preserve">Research Question 3 (see Supporting Statement, Section A16) asks whether specific methods are more effective than other ones.  </w:t>
      </w:r>
      <w:r w:rsidR="00972238" w:rsidRPr="00591BB3">
        <w:rPr>
          <w:rFonts w:ascii="Times New Roman" w:hAnsi="Times New Roman"/>
          <w:sz w:val="24"/>
          <w:szCs w:val="24"/>
        </w:rPr>
        <w:t>We will conduct a c</w:t>
      </w:r>
      <w:r w:rsidR="0041632A" w:rsidRPr="00591BB3">
        <w:rPr>
          <w:rFonts w:ascii="Times New Roman" w:hAnsi="Times New Roman"/>
          <w:sz w:val="24"/>
          <w:szCs w:val="24"/>
        </w:rPr>
        <w:t xml:space="preserve">omparison of </w:t>
      </w:r>
      <w:r w:rsidR="00F709F3" w:rsidRPr="00591BB3">
        <w:rPr>
          <w:rFonts w:ascii="Times New Roman" w:hAnsi="Times New Roman"/>
          <w:sz w:val="24"/>
          <w:szCs w:val="24"/>
        </w:rPr>
        <w:t>methods that differ by mode</w:t>
      </w:r>
      <w:r w:rsidR="00972238" w:rsidRPr="00591BB3">
        <w:rPr>
          <w:rFonts w:ascii="Times New Roman" w:hAnsi="Times New Roman"/>
          <w:sz w:val="24"/>
          <w:szCs w:val="24"/>
        </w:rPr>
        <w:t>:</w:t>
      </w:r>
      <w:r w:rsidR="00F709F3" w:rsidRPr="00591BB3">
        <w:rPr>
          <w:rFonts w:ascii="Times New Roman" w:hAnsi="Times New Roman"/>
          <w:sz w:val="24"/>
          <w:szCs w:val="24"/>
        </w:rPr>
        <w:t xml:space="preserve"> BCD (exclusively in-person) vs</w:t>
      </w:r>
      <w:r w:rsidR="00940F3C" w:rsidRPr="00591BB3">
        <w:rPr>
          <w:rFonts w:ascii="Times New Roman" w:hAnsi="Times New Roman"/>
          <w:sz w:val="24"/>
          <w:szCs w:val="24"/>
        </w:rPr>
        <w:t>.</w:t>
      </w:r>
      <w:r w:rsidR="00F709F3" w:rsidRPr="00591BB3">
        <w:rPr>
          <w:rFonts w:ascii="Times New Roman" w:hAnsi="Times New Roman"/>
          <w:sz w:val="24"/>
          <w:szCs w:val="24"/>
        </w:rPr>
        <w:t xml:space="preserve"> ODP (exclusively on-line)</w:t>
      </w:r>
      <w:r w:rsidR="00972238" w:rsidRPr="00591BB3">
        <w:rPr>
          <w:rFonts w:ascii="Times New Roman" w:hAnsi="Times New Roman"/>
          <w:sz w:val="24"/>
          <w:szCs w:val="24"/>
        </w:rPr>
        <w:t>; b</w:t>
      </w:r>
      <w:r w:rsidR="00F709F3" w:rsidRPr="00591BB3">
        <w:rPr>
          <w:rFonts w:ascii="Times New Roman" w:hAnsi="Times New Roman"/>
          <w:sz w:val="24"/>
          <w:szCs w:val="24"/>
        </w:rPr>
        <w:t xml:space="preserve">oth </w:t>
      </w:r>
      <w:r w:rsidR="00972238" w:rsidRPr="00591BB3">
        <w:rPr>
          <w:rFonts w:ascii="Times New Roman" w:hAnsi="Times New Roman"/>
          <w:sz w:val="24"/>
          <w:szCs w:val="24"/>
        </w:rPr>
        <w:t xml:space="preserve">of which </w:t>
      </w:r>
      <w:r w:rsidR="00F709F3" w:rsidRPr="00591BB3">
        <w:rPr>
          <w:rFonts w:ascii="Times New Roman" w:hAnsi="Times New Roman"/>
          <w:sz w:val="24"/>
          <w:szCs w:val="24"/>
        </w:rPr>
        <w:t xml:space="preserve">are low burden methods.  </w:t>
      </w:r>
      <w:r w:rsidR="00972238" w:rsidRPr="00591BB3">
        <w:rPr>
          <w:rFonts w:ascii="Times New Roman" w:hAnsi="Times New Roman"/>
          <w:sz w:val="24"/>
          <w:szCs w:val="24"/>
        </w:rPr>
        <w:t xml:space="preserve">We will also compare </w:t>
      </w:r>
      <w:r w:rsidR="0041632A" w:rsidRPr="00591BB3">
        <w:rPr>
          <w:rFonts w:ascii="Times New Roman" w:hAnsi="Times New Roman"/>
          <w:sz w:val="24"/>
          <w:szCs w:val="24"/>
        </w:rPr>
        <w:t>CD vs. CP</w:t>
      </w:r>
      <w:r w:rsidR="00F709F3" w:rsidRPr="00591BB3">
        <w:rPr>
          <w:rFonts w:ascii="Times New Roman" w:hAnsi="Times New Roman"/>
          <w:sz w:val="24"/>
          <w:szCs w:val="24"/>
        </w:rPr>
        <w:t xml:space="preserve"> to ascertain whether the most intensive method (CP) is substantially different in effectiveness </w:t>
      </w:r>
      <w:r w:rsidR="002E265F" w:rsidRPr="00591BB3">
        <w:rPr>
          <w:rFonts w:ascii="Times New Roman" w:hAnsi="Times New Roman"/>
          <w:sz w:val="24"/>
          <w:szCs w:val="24"/>
        </w:rPr>
        <w:t xml:space="preserve">from the less burdensome – but still relatively intensive – CD method.  </w:t>
      </w:r>
    </w:p>
    <w:p w:rsidR="001A6DC9" w:rsidRPr="00591BB3" w:rsidRDefault="001A6DC9">
      <w:pPr>
        <w:pStyle w:val="NoSpacing"/>
        <w:rPr>
          <w:rFonts w:ascii="Times New Roman" w:hAnsi="Times New Roman"/>
          <w:sz w:val="24"/>
          <w:szCs w:val="24"/>
        </w:rPr>
      </w:pPr>
    </w:p>
    <w:p w:rsidR="00D769B7" w:rsidRPr="00591BB3" w:rsidRDefault="00D769B7" w:rsidP="00D769B7">
      <w:pPr>
        <w:pStyle w:val="NoSpacing"/>
        <w:rPr>
          <w:rFonts w:ascii="Times New Roman" w:hAnsi="Times New Roman"/>
          <w:i/>
          <w:sz w:val="24"/>
          <w:szCs w:val="24"/>
          <w:u w:val="single"/>
        </w:rPr>
      </w:pPr>
      <w:r w:rsidRPr="00591BB3">
        <w:rPr>
          <w:rFonts w:ascii="Times New Roman" w:hAnsi="Times New Roman"/>
          <w:i/>
          <w:sz w:val="24"/>
          <w:szCs w:val="24"/>
          <w:u w:val="single"/>
        </w:rPr>
        <w:t>Minimum Detectable Effect Size for Research Hypotheses</w:t>
      </w:r>
    </w:p>
    <w:p w:rsidR="00D769B7" w:rsidRPr="00591BB3" w:rsidRDefault="00D769B7" w:rsidP="00D769B7">
      <w:pPr>
        <w:pStyle w:val="NoSpacing"/>
        <w:rPr>
          <w:rFonts w:ascii="Times New Roman" w:hAnsi="Times New Roman"/>
          <w:i/>
          <w:sz w:val="24"/>
          <w:szCs w:val="24"/>
          <w:u w:val="single"/>
        </w:rPr>
      </w:pPr>
    </w:p>
    <w:p w:rsidR="00D769B7" w:rsidRPr="00591BB3" w:rsidRDefault="00D769B7" w:rsidP="00D769B7">
      <w:pPr>
        <w:pStyle w:val="NoSpacing"/>
        <w:rPr>
          <w:rFonts w:ascii="Times New Roman" w:hAnsi="Times New Roman"/>
          <w:b/>
          <w:sz w:val="24"/>
          <w:szCs w:val="24"/>
        </w:rPr>
      </w:pPr>
      <w:r w:rsidRPr="00591BB3">
        <w:rPr>
          <w:rFonts w:ascii="Times New Roman" w:hAnsi="Times New Roman"/>
          <w:sz w:val="24"/>
          <w:szCs w:val="24"/>
        </w:rPr>
        <w:t xml:space="preserve">Based on information obtained from previous studies, we have chosen sample size targets to detect </w:t>
      </w:r>
      <w:r w:rsidRPr="00591BB3">
        <w:rPr>
          <w:rFonts w:ascii="Times New Roman" w:hAnsi="Times New Roman"/>
          <w:i/>
          <w:sz w:val="24"/>
          <w:szCs w:val="24"/>
        </w:rPr>
        <w:t>moderate effect</w:t>
      </w:r>
      <w:r w:rsidRPr="00591BB3">
        <w:rPr>
          <w:rFonts w:ascii="Times New Roman" w:hAnsi="Times New Roman"/>
          <w:sz w:val="24"/>
          <w:szCs w:val="24"/>
        </w:rPr>
        <w:t xml:space="preserve"> sizes for the most important research hypotheses. With the current design, we estimate that the minimum detectable effect size (MDES) for the most important comparisons ranges from 0.21-0.40.</w:t>
      </w:r>
      <w:r w:rsidRPr="00591BB3">
        <w:rPr>
          <w:rFonts w:ascii="Times New Roman" w:hAnsi="Times New Roman"/>
          <w:b/>
          <w:sz w:val="24"/>
          <w:szCs w:val="24"/>
        </w:rPr>
        <w:t xml:space="preserve"> </w:t>
      </w:r>
    </w:p>
    <w:p w:rsidR="00D769B7" w:rsidRPr="00591BB3" w:rsidRDefault="00D769B7" w:rsidP="00D769B7">
      <w:pPr>
        <w:pStyle w:val="NoSpacing"/>
        <w:rPr>
          <w:rFonts w:ascii="Times New Roman" w:hAnsi="Times New Roman"/>
          <w:sz w:val="24"/>
          <w:szCs w:val="24"/>
        </w:rPr>
      </w:pPr>
    </w:p>
    <w:p w:rsidR="00D769B7" w:rsidRPr="00591BB3" w:rsidRDefault="00D769B7" w:rsidP="00D769B7">
      <w:r w:rsidRPr="00591BB3">
        <w:t xml:space="preserve">Exhibit </w:t>
      </w:r>
      <w:r w:rsidR="0006755D" w:rsidRPr="00591BB3">
        <w:t>5</w:t>
      </w:r>
      <w:r w:rsidRPr="00591BB3">
        <w:t xml:space="preserve"> lists the minimum detectable effect size (MDES) with 80% power for each of our research hypotheses. The power calculations, conducted using Optimal Design Software (Spybrook, Raudenbush, Congdon, &amp; Martinez, 2009), are based on the following assumptions: </w:t>
      </w:r>
    </w:p>
    <w:p w:rsidR="00D769B7" w:rsidRPr="00591BB3" w:rsidRDefault="00D769B7" w:rsidP="00D769B7">
      <w:pPr>
        <w:pStyle w:val="NoSpacing"/>
        <w:numPr>
          <w:ilvl w:val="0"/>
          <w:numId w:val="11"/>
        </w:numPr>
        <w:rPr>
          <w:rFonts w:ascii="Times New Roman" w:hAnsi="Times New Roman"/>
          <w:sz w:val="24"/>
          <w:szCs w:val="24"/>
        </w:rPr>
      </w:pPr>
      <w:r w:rsidRPr="00591BB3">
        <w:rPr>
          <w:rFonts w:ascii="Times New Roman" w:hAnsi="Times New Roman"/>
          <w:sz w:val="24"/>
          <w:szCs w:val="24"/>
        </w:rPr>
        <w:t>The outcome measure is a continuous variable;</w:t>
      </w:r>
    </w:p>
    <w:p w:rsidR="00D769B7" w:rsidRPr="00591BB3" w:rsidRDefault="00D769B7" w:rsidP="00D769B7">
      <w:pPr>
        <w:pStyle w:val="NoSpacing"/>
        <w:numPr>
          <w:ilvl w:val="0"/>
          <w:numId w:val="11"/>
        </w:numPr>
        <w:rPr>
          <w:rFonts w:ascii="Times New Roman" w:hAnsi="Times New Roman"/>
          <w:sz w:val="24"/>
          <w:szCs w:val="24"/>
        </w:rPr>
      </w:pPr>
      <w:r w:rsidRPr="00591BB3">
        <w:rPr>
          <w:rFonts w:ascii="Times New Roman" w:hAnsi="Times New Roman"/>
          <w:sz w:val="24"/>
          <w:szCs w:val="24"/>
        </w:rPr>
        <w:t>There are 12 persons in each deliberative group;</w:t>
      </w:r>
    </w:p>
    <w:p w:rsidR="00D769B7" w:rsidRPr="00591BB3" w:rsidRDefault="00D769B7" w:rsidP="00D769B7">
      <w:pPr>
        <w:pStyle w:val="CFBodyText-Numbered"/>
        <w:numPr>
          <w:ilvl w:val="0"/>
          <w:numId w:val="11"/>
        </w:numPr>
      </w:pPr>
      <w:r w:rsidRPr="00591BB3">
        <w:t>The intra-class correlation is 0.03 within each deliberative group</w:t>
      </w:r>
      <w:r w:rsidRPr="00591BB3">
        <w:rPr>
          <w:rStyle w:val="FootnoteReference"/>
        </w:rPr>
        <w:footnoteReference w:id="2"/>
      </w:r>
      <w:r w:rsidRPr="00591BB3">
        <w:t>;</w:t>
      </w:r>
    </w:p>
    <w:p w:rsidR="00D769B7" w:rsidRPr="00591BB3" w:rsidRDefault="00D769B7" w:rsidP="00D769B7">
      <w:pPr>
        <w:pStyle w:val="CFBodyText-Numbered"/>
        <w:numPr>
          <w:ilvl w:val="0"/>
          <w:numId w:val="11"/>
        </w:numPr>
      </w:pPr>
      <w:r w:rsidRPr="00591BB3">
        <w:t xml:space="preserve">The Type I error rate is 5% for two-tailed tests </w:t>
      </w:r>
    </w:p>
    <w:p w:rsidR="00D769B7" w:rsidRPr="00591BB3" w:rsidRDefault="00D769B7" w:rsidP="00D769B7"/>
    <w:p w:rsidR="00D769B7" w:rsidRPr="00591BB3" w:rsidRDefault="00D769B7" w:rsidP="00D769B7">
      <w:r w:rsidRPr="00591BB3">
        <w:t xml:space="preserve">Although the effect sizes we can detect in tests involving CP are larger than with our other methods, these are the tests where we expect to find the greatest differences in pair-wise comparisons. So, although the effect size for CP vs. control is </w:t>
      </w:r>
      <w:r w:rsidR="001D4DA9" w:rsidRPr="00591BB3">
        <w:t>0</w:t>
      </w:r>
      <w:r w:rsidRPr="00591BB3">
        <w:t xml:space="preserve">.40 as compared to BCD, ODP, or CD vs. control at </w:t>
      </w:r>
      <w:r w:rsidR="001D4DA9" w:rsidRPr="00591BB3">
        <w:t>0</w:t>
      </w:r>
      <w:r w:rsidRPr="00591BB3">
        <w:t>.27, there should be a greater difference between CP and control, because it is by far the most intensive deliberation experience.</w:t>
      </w:r>
    </w:p>
    <w:p w:rsidR="00D769B7" w:rsidRPr="00591BB3" w:rsidRDefault="00D769B7" w:rsidP="00D769B7"/>
    <w:p w:rsidR="00D769B7" w:rsidRPr="00591BB3" w:rsidRDefault="00D769B7" w:rsidP="00D769B7">
      <w:r w:rsidRPr="00591BB3">
        <w:t>Further, although it is (almost) always preferable to increase power, we have selected our strategy so that we can detect a medium effect size – one likely to be visible to the naked eye of a careful observer, as per Cohen (1992) – as what we need for evaluating choices between methods. By this criterion, if we do not detect a difference between CP and CD (MDES=</w:t>
      </w:r>
      <w:r w:rsidR="001D4DA9" w:rsidRPr="00591BB3">
        <w:t>0</w:t>
      </w:r>
      <w:r w:rsidRPr="00591BB3">
        <w:t>.40-</w:t>
      </w:r>
      <w:r w:rsidR="001D4DA9" w:rsidRPr="00591BB3">
        <w:t>0</w:t>
      </w:r>
      <w:r w:rsidRPr="00591BB3">
        <w:t>.73), we would be supported in pooling these methods. We expect that ultimately, small effect size will be trivial relative to the cost differences between the methods. Therefore, our focus is on detecting the moderate effect sizes that will be meaningful for future decisions about how to use public deliberation.</w:t>
      </w:r>
    </w:p>
    <w:p w:rsidR="001A6DC9" w:rsidRPr="00591BB3" w:rsidRDefault="001A6DC9">
      <w:pPr>
        <w:rPr>
          <w:b/>
          <w:bCs/>
        </w:rPr>
      </w:pPr>
    </w:p>
    <w:p w:rsidR="001A6DC9" w:rsidRPr="00591BB3" w:rsidRDefault="0041632A">
      <w:pPr>
        <w:rPr>
          <w:b/>
          <w:bCs/>
        </w:rPr>
      </w:pPr>
      <w:r w:rsidRPr="00591BB3">
        <w:rPr>
          <w:b/>
          <w:bCs/>
        </w:rPr>
        <w:t xml:space="preserve">Exhibit </w:t>
      </w:r>
      <w:r w:rsidR="00A4149C" w:rsidRPr="00591BB3">
        <w:rPr>
          <w:b/>
          <w:bCs/>
        </w:rPr>
        <w:t>5</w:t>
      </w:r>
      <w:r w:rsidR="00B47BEB" w:rsidRPr="00591BB3">
        <w:rPr>
          <w:b/>
          <w:bCs/>
        </w:rPr>
        <w:t xml:space="preserve">. </w:t>
      </w:r>
      <w:r w:rsidRPr="00591BB3">
        <w:rPr>
          <w:b/>
          <w:bCs/>
        </w:rPr>
        <w:t>Statistical Power Estimates for Various Comparisons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28"/>
        <w:gridCol w:w="2115"/>
        <w:gridCol w:w="1755"/>
      </w:tblGrid>
      <w:tr w:rsidR="00593A72" w:rsidRPr="00591BB3" w:rsidTr="00E26C45">
        <w:trPr>
          <w:trHeight w:val="252"/>
          <w:tblHeader/>
        </w:trPr>
        <w:tc>
          <w:tcPr>
            <w:tcW w:w="4428" w:type="dxa"/>
            <w:vMerge w:val="restart"/>
            <w:shd w:val="clear" w:color="auto" w:fill="8DB3E2" w:themeFill="text2" w:themeFillTint="66"/>
            <w:tcMar>
              <w:top w:w="0" w:type="dxa"/>
              <w:left w:w="108" w:type="dxa"/>
              <w:bottom w:w="0" w:type="dxa"/>
              <w:right w:w="108" w:type="dxa"/>
            </w:tcMar>
          </w:tcPr>
          <w:p w:rsidR="001A6DC9" w:rsidRPr="00591BB3" w:rsidRDefault="001A6DC9">
            <w:pPr>
              <w:jc w:val="center"/>
              <w:rPr>
                <w:rFonts w:eastAsiaTheme="minorHAnsi"/>
                <w:b/>
              </w:rPr>
            </w:pPr>
          </w:p>
          <w:p w:rsidR="001A6DC9" w:rsidRPr="00591BB3" w:rsidRDefault="00CB4F27">
            <w:pPr>
              <w:jc w:val="center"/>
              <w:rPr>
                <w:rFonts w:ascii="Calibri" w:eastAsiaTheme="minorHAnsi" w:hAnsi="Calibri" w:cs="Calibri"/>
                <w:b/>
                <w:sz w:val="22"/>
                <w:szCs w:val="22"/>
              </w:rPr>
            </w:pPr>
            <w:r w:rsidRPr="00591BB3">
              <w:rPr>
                <w:b/>
              </w:rPr>
              <w:t>Research Question</w:t>
            </w:r>
          </w:p>
        </w:tc>
        <w:tc>
          <w:tcPr>
            <w:tcW w:w="3870" w:type="dxa"/>
            <w:gridSpan w:val="2"/>
            <w:shd w:val="clear" w:color="auto" w:fill="8DB3E2" w:themeFill="text2" w:themeFillTint="66"/>
            <w:tcMar>
              <w:top w:w="0" w:type="dxa"/>
              <w:left w:w="108" w:type="dxa"/>
              <w:bottom w:w="0" w:type="dxa"/>
              <w:right w:w="108" w:type="dxa"/>
            </w:tcMar>
            <w:hideMark/>
          </w:tcPr>
          <w:p w:rsidR="001A6DC9" w:rsidRPr="00591BB3" w:rsidRDefault="00CB4F27">
            <w:pPr>
              <w:jc w:val="center"/>
              <w:rPr>
                <w:rFonts w:ascii="Calibri" w:eastAsiaTheme="minorHAnsi" w:hAnsi="Calibri" w:cs="Calibri"/>
                <w:b/>
              </w:rPr>
            </w:pPr>
            <w:r w:rsidRPr="00591BB3">
              <w:rPr>
                <w:b/>
              </w:rPr>
              <w:t>Minimum Detectable Effect Size</w:t>
            </w:r>
          </w:p>
          <w:p w:rsidR="001A6DC9" w:rsidRPr="00591BB3" w:rsidRDefault="00CB4F27">
            <w:pPr>
              <w:jc w:val="center"/>
              <w:rPr>
                <w:rFonts w:ascii="Calibri" w:eastAsiaTheme="minorHAnsi" w:hAnsi="Calibri" w:cs="Calibri"/>
                <w:b/>
                <w:sz w:val="22"/>
                <w:szCs w:val="22"/>
              </w:rPr>
            </w:pPr>
            <w:r w:rsidRPr="00591BB3">
              <w:rPr>
                <w:b/>
              </w:rPr>
              <w:t>(MDES)</w:t>
            </w:r>
          </w:p>
        </w:tc>
      </w:tr>
      <w:tr w:rsidR="00593A72" w:rsidRPr="00591BB3" w:rsidTr="00E26C45">
        <w:trPr>
          <w:trHeight w:val="252"/>
          <w:tblHeader/>
        </w:trPr>
        <w:tc>
          <w:tcPr>
            <w:tcW w:w="0" w:type="auto"/>
            <w:vMerge/>
            <w:shd w:val="clear" w:color="auto" w:fill="8DB3E2" w:themeFill="text2" w:themeFillTint="66"/>
            <w:hideMark/>
          </w:tcPr>
          <w:p w:rsidR="001A6DC9" w:rsidRPr="00591BB3" w:rsidRDefault="001A6DC9">
            <w:pPr>
              <w:jc w:val="center"/>
              <w:rPr>
                <w:rFonts w:ascii="Calibri" w:eastAsiaTheme="minorHAnsi" w:hAnsi="Calibri" w:cs="Calibri"/>
                <w:b/>
                <w:sz w:val="22"/>
                <w:szCs w:val="22"/>
              </w:rPr>
            </w:pPr>
          </w:p>
        </w:tc>
        <w:tc>
          <w:tcPr>
            <w:tcW w:w="2115" w:type="dxa"/>
            <w:shd w:val="clear" w:color="auto" w:fill="8DB3E2" w:themeFill="text2" w:themeFillTint="66"/>
            <w:tcMar>
              <w:top w:w="0" w:type="dxa"/>
              <w:left w:w="108" w:type="dxa"/>
              <w:bottom w:w="0" w:type="dxa"/>
              <w:right w:w="108" w:type="dxa"/>
            </w:tcMar>
            <w:hideMark/>
          </w:tcPr>
          <w:p w:rsidR="001A6DC9" w:rsidRPr="00591BB3" w:rsidRDefault="00CB4F27">
            <w:pPr>
              <w:jc w:val="center"/>
              <w:rPr>
                <w:rFonts w:eastAsiaTheme="minorHAnsi"/>
                <w:b/>
              </w:rPr>
            </w:pPr>
            <w:r w:rsidRPr="00591BB3">
              <w:rPr>
                <w:b/>
              </w:rPr>
              <w:t>Lower Bound*</w:t>
            </w:r>
          </w:p>
        </w:tc>
        <w:tc>
          <w:tcPr>
            <w:tcW w:w="1755" w:type="dxa"/>
            <w:shd w:val="clear" w:color="auto" w:fill="8DB3E2" w:themeFill="text2" w:themeFillTint="66"/>
            <w:hideMark/>
          </w:tcPr>
          <w:p w:rsidR="001A6DC9" w:rsidRPr="00591BB3" w:rsidRDefault="00CB4F27">
            <w:pPr>
              <w:jc w:val="center"/>
              <w:rPr>
                <w:rFonts w:eastAsiaTheme="minorHAnsi"/>
                <w:b/>
              </w:rPr>
            </w:pPr>
            <w:r w:rsidRPr="00591BB3">
              <w:rPr>
                <w:b/>
              </w:rPr>
              <w:t>Upper Bound*</w:t>
            </w:r>
          </w:p>
        </w:tc>
      </w:tr>
      <w:tr w:rsidR="00593A72" w:rsidRPr="00591BB3" w:rsidTr="00E26C45">
        <w:tc>
          <w:tcPr>
            <w:tcW w:w="8298" w:type="dxa"/>
            <w:gridSpan w:val="3"/>
            <w:tcMar>
              <w:top w:w="0" w:type="dxa"/>
              <w:left w:w="108" w:type="dxa"/>
              <w:bottom w:w="0" w:type="dxa"/>
              <w:right w:w="108" w:type="dxa"/>
            </w:tcMar>
          </w:tcPr>
          <w:p w:rsidR="001A6DC9" w:rsidRPr="00591BB3" w:rsidRDefault="001A6DC9">
            <w:pPr>
              <w:rPr>
                <w:rFonts w:eastAsiaTheme="minorHAnsi"/>
              </w:rPr>
            </w:pPr>
          </w:p>
          <w:p w:rsidR="001A6DC9" w:rsidRPr="00591BB3" w:rsidRDefault="0041632A">
            <w:pPr>
              <w:rPr>
                <w:rFonts w:ascii="Calibri" w:eastAsiaTheme="minorHAnsi" w:hAnsi="Calibri" w:cs="Calibri"/>
                <w:sz w:val="22"/>
                <w:szCs w:val="22"/>
              </w:rPr>
            </w:pPr>
            <w:r w:rsidRPr="00591BB3">
              <w:t>1. Is public deliberation more or less effective than education only</w:t>
            </w:r>
            <w:r w:rsidR="00982BE3" w:rsidRPr="00591BB3">
              <w:t xml:space="preserve">. </w:t>
            </w:r>
          </w:p>
        </w:tc>
      </w:tr>
      <w:tr w:rsidR="00593A72" w:rsidRPr="00591BB3" w:rsidTr="00E26C45">
        <w:tc>
          <w:tcPr>
            <w:tcW w:w="4428" w:type="dxa"/>
            <w:tcMar>
              <w:top w:w="0" w:type="dxa"/>
              <w:left w:w="108" w:type="dxa"/>
              <w:bottom w:w="0" w:type="dxa"/>
              <w:right w:w="108" w:type="dxa"/>
            </w:tcMar>
            <w:hideMark/>
          </w:tcPr>
          <w:p w:rsidR="001A6DC9" w:rsidRPr="00591BB3" w:rsidRDefault="0041632A">
            <w:pPr>
              <w:rPr>
                <w:rFonts w:ascii="Calibri" w:eastAsiaTheme="minorHAnsi" w:hAnsi="Calibri" w:cs="Calibri"/>
                <w:sz w:val="22"/>
                <w:szCs w:val="22"/>
              </w:rPr>
            </w:pPr>
            <w:r w:rsidRPr="00591BB3">
              <w:t>     BCD vs. Control</w:t>
            </w:r>
          </w:p>
        </w:tc>
        <w:tc>
          <w:tcPr>
            <w:tcW w:w="3870" w:type="dxa"/>
            <w:gridSpan w:val="2"/>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0.27</w:t>
            </w:r>
          </w:p>
        </w:tc>
      </w:tr>
      <w:tr w:rsidR="00593A72" w:rsidRPr="00591BB3" w:rsidTr="00E26C45">
        <w:tc>
          <w:tcPr>
            <w:tcW w:w="4428" w:type="dxa"/>
            <w:tcMar>
              <w:top w:w="0" w:type="dxa"/>
              <w:left w:w="108" w:type="dxa"/>
              <w:bottom w:w="0" w:type="dxa"/>
              <w:right w:w="108" w:type="dxa"/>
            </w:tcMar>
            <w:hideMark/>
          </w:tcPr>
          <w:p w:rsidR="001A6DC9" w:rsidRPr="00591BB3" w:rsidRDefault="0041632A">
            <w:pPr>
              <w:rPr>
                <w:rFonts w:ascii="Calibri" w:eastAsiaTheme="minorHAnsi" w:hAnsi="Calibri" w:cs="Calibri"/>
                <w:sz w:val="22"/>
                <w:szCs w:val="22"/>
              </w:rPr>
            </w:pPr>
            <w:r w:rsidRPr="00591BB3">
              <w:t>     ODP vs. Control</w:t>
            </w:r>
          </w:p>
        </w:tc>
        <w:tc>
          <w:tcPr>
            <w:tcW w:w="3870" w:type="dxa"/>
            <w:gridSpan w:val="2"/>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0.27</w:t>
            </w:r>
          </w:p>
        </w:tc>
      </w:tr>
      <w:tr w:rsidR="00593A72" w:rsidRPr="00591BB3" w:rsidTr="00E26C45">
        <w:tc>
          <w:tcPr>
            <w:tcW w:w="4428" w:type="dxa"/>
            <w:tcMar>
              <w:top w:w="0" w:type="dxa"/>
              <w:left w:w="108" w:type="dxa"/>
              <w:bottom w:w="0" w:type="dxa"/>
              <w:right w:w="108" w:type="dxa"/>
            </w:tcMar>
            <w:hideMark/>
          </w:tcPr>
          <w:p w:rsidR="001A6DC9" w:rsidRPr="00591BB3" w:rsidRDefault="0041632A">
            <w:pPr>
              <w:rPr>
                <w:rFonts w:ascii="Calibri" w:eastAsiaTheme="minorHAnsi" w:hAnsi="Calibri" w:cs="Calibri"/>
                <w:sz w:val="22"/>
                <w:szCs w:val="22"/>
              </w:rPr>
            </w:pPr>
            <w:r w:rsidRPr="00591BB3">
              <w:t>     CD vs. Control</w:t>
            </w:r>
          </w:p>
        </w:tc>
        <w:tc>
          <w:tcPr>
            <w:tcW w:w="3870" w:type="dxa"/>
            <w:gridSpan w:val="2"/>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0.27</w:t>
            </w:r>
          </w:p>
        </w:tc>
      </w:tr>
      <w:tr w:rsidR="00593A72" w:rsidRPr="00591BB3" w:rsidTr="00E26C45">
        <w:tc>
          <w:tcPr>
            <w:tcW w:w="4428" w:type="dxa"/>
            <w:tcMar>
              <w:top w:w="0" w:type="dxa"/>
              <w:left w:w="108" w:type="dxa"/>
              <w:bottom w:w="0" w:type="dxa"/>
              <w:right w:w="108" w:type="dxa"/>
            </w:tcMar>
            <w:hideMark/>
          </w:tcPr>
          <w:p w:rsidR="001A6DC9" w:rsidRPr="00591BB3" w:rsidRDefault="0041632A">
            <w:pPr>
              <w:rPr>
                <w:rFonts w:ascii="Calibri" w:eastAsiaTheme="minorHAnsi" w:hAnsi="Calibri" w:cs="Calibri"/>
                <w:sz w:val="22"/>
                <w:szCs w:val="22"/>
              </w:rPr>
            </w:pPr>
            <w:r w:rsidRPr="00591BB3">
              <w:t>     CP vs. Control</w:t>
            </w:r>
          </w:p>
        </w:tc>
        <w:tc>
          <w:tcPr>
            <w:tcW w:w="3870" w:type="dxa"/>
            <w:gridSpan w:val="2"/>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0.40</w:t>
            </w:r>
          </w:p>
        </w:tc>
      </w:tr>
      <w:tr w:rsidR="00593A72" w:rsidRPr="00591BB3" w:rsidTr="00E26C45">
        <w:tc>
          <w:tcPr>
            <w:tcW w:w="4428" w:type="dxa"/>
            <w:tcMar>
              <w:top w:w="0" w:type="dxa"/>
              <w:left w:w="108" w:type="dxa"/>
              <w:bottom w:w="0" w:type="dxa"/>
              <w:right w:w="108" w:type="dxa"/>
            </w:tcMar>
            <w:hideMark/>
          </w:tcPr>
          <w:p w:rsidR="001A6DC9" w:rsidRPr="00591BB3" w:rsidRDefault="0041632A">
            <w:pPr>
              <w:rPr>
                <w:rFonts w:ascii="Calibri" w:eastAsiaTheme="minorHAnsi" w:hAnsi="Calibri" w:cs="Calibri"/>
                <w:sz w:val="22"/>
                <w:szCs w:val="22"/>
              </w:rPr>
            </w:pPr>
            <w:r w:rsidRPr="00591BB3">
              <w:t>     All methods combined vs. Control**</w:t>
            </w:r>
          </w:p>
        </w:tc>
        <w:tc>
          <w:tcPr>
            <w:tcW w:w="3870" w:type="dxa"/>
            <w:gridSpan w:val="2"/>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0.21</w:t>
            </w:r>
          </w:p>
        </w:tc>
      </w:tr>
      <w:tr w:rsidR="00593A72" w:rsidRPr="00591BB3" w:rsidTr="00E26C45">
        <w:tc>
          <w:tcPr>
            <w:tcW w:w="8298" w:type="dxa"/>
            <w:gridSpan w:val="3"/>
            <w:tcMar>
              <w:top w:w="0" w:type="dxa"/>
              <w:left w:w="108" w:type="dxa"/>
              <w:bottom w:w="0" w:type="dxa"/>
              <w:right w:w="108" w:type="dxa"/>
            </w:tcMar>
          </w:tcPr>
          <w:p w:rsidR="001A6DC9" w:rsidRPr="00591BB3" w:rsidRDefault="001A6DC9">
            <w:pPr>
              <w:rPr>
                <w:rFonts w:eastAsiaTheme="minorHAnsi"/>
              </w:rPr>
            </w:pPr>
          </w:p>
          <w:p w:rsidR="001A6DC9" w:rsidRPr="00591BB3" w:rsidRDefault="0041632A">
            <w:pPr>
              <w:rPr>
                <w:rFonts w:ascii="Calibri" w:eastAsiaTheme="minorHAnsi" w:hAnsi="Calibri" w:cs="Calibri"/>
                <w:sz w:val="22"/>
                <w:szCs w:val="22"/>
              </w:rPr>
            </w:pPr>
            <w:r w:rsidRPr="00591BB3">
              <w:t>2. How does burden change effectiveness</w:t>
            </w:r>
            <w:r w:rsidR="00982BE3" w:rsidRPr="00591BB3">
              <w:t xml:space="preserve">? </w:t>
            </w:r>
          </w:p>
        </w:tc>
      </w:tr>
      <w:tr w:rsidR="00593A72" w:rsidRPr="00591BB3" w:rsidTr="00E26C45">
        <w:tc>
          <w:tcPr>
            <w:tcW w:w="4428" w:type="dxa"/>
            <w:tcMar>
              <w:top w:w="0" w:type="dxa"/>
              <w:left w:w="108" w:type="dxa"/>
              <w:bottom w:w="0" w:type="dxa"/>
              <w:right w:w="108" w:type="dxa"/>
            </w:tcMar>
            <w:hideMark/>
          </w:tcPr>
          <w:p w:rsidR="001A6DC9" w:rsidRPr="00591BB3" w:rsidRDefault="0041632A">
            <w:pPr>
              <w:rPr>
                <w:rFonts w:eastAsiaTheme="minorHAnsi"/>
              </w:rPr>
            </w:pPr>
            <w:r w:rsidRPr="00591BB3">
              <w:t>     (BCD+ODP) vs. (CD+CP)</w:t>
            </w:r>
          </w:p>
        </w:tc>
        <w:tc>
          <w:tcPr>
            <w:tcW w:w="3870" w:type="dxa"/>
            <w:gridSpan w:val="2"/>
            <w:tcMar>
              <w:top w:w="0" w:type="dxa"/>
              <w:left w:w="108" w:type="dxa"/>
              <w:bottom w:w="0" w:type="dxa"/>
              <w:right w:w="108" w:type="dxa"/>
            </w:tcMar>
            <w:hideMark/>
          </w:tcPr>
          <w:p w:rsidR="001A6DC9" w:rsidRPr="00591BB3" w:rsidRDefault="0041632A">
            <w:pPr>
              <w:jc w:val="center"/>
              <w:rPr>
                <w:rFonts w:eastAsiaTheme="minorHAnsi"/>
              </w:rPr>
            </w:pPr>
            <w:r w:rsidRPr="00591BB3">
              <w:t>0.22</w:t>
            </w:r>
          </w:p>
        </w:tc>
      </w:tr>
      <w:tr w:rsidR="00593A72" w:rsidRPr="00591BB3" w:rsidTr="00E26C45">
        <w:trPr>
          <w:trHeight w:val="340"/>
        </w:trPr>
        <w:tc>
          <w:tcPr>
            <w:tcW w:w="4428" w:type="dxa"/>
            <w:tcMar>
              <w:top w:w="0" w:type="dxa"/>
              <w:left w:w="108" w:type="dxa"/>
              <w:bottom w:w="0" w:type="dxa"/>
              <w:right w:w="108" w:type="dxa"/>
            </w:tcMar>
            <w:hideMark/>
          </w:tcPr>
          <w:p w:rsidR="001A6DC9" w:rsidRPr="00591BB3" w:rsidRDefault="0041632A">
            <w:pPr>
              <w:rPr>
                <w:rFonts w:ascii="Calibri" w:eastAsiaTheme="minorHAnsi" w:hAnsi="Calibri" w:cs="Calibri"/>
                <w:sz w:val="22"/>
                <w:szCs w:val="22"/>
              </w:rPr>
            </w:pPr>
            <w:r w:rsidRPr="00591BB3">
              <w:t>     BCD vs. CP</w:t>
            </w:r>
          </w:p>
        </w:tc>
        <w:tc>
          <w:tcPr>
            <w:tcW w:w="2115" w:type="dxa"/>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0.40</w:t>
            </w:r>
          </w:p>
        </w:tc>
        <w:tc>
          <w:tcPr>
            <w:tcW w:w="1755" w:type="dxa"/>
            <w:tcMar>
              <w:top w:w="0" w:type="dxa"/>
              <w:left w:w="108" w:type="dxa"/>
              <w:bottom w:w="0" w:type="dxa"/>
              <w:right w:w="108" w:type="dxa"/>
            </w:tcMar>
            <w:hideMark/>
          </w:tcPr>
          <w:p w:rsidR="001A6DC9" w:rsidRPr="00591BB3" w:rsidRDefault="0041632A">
            <w:pPr>
              <w:jc w:val="center"/>
              <w:rPr>
                <w:rFonts w:ascii="Calibri" w:eastAsiaTheme="minorHAnsi" w:hAnsi="Calibri" w:cs="Calibri"/>
                <w:sz w:val="22"/>
                <w:szCs w:val="22"/>
              </w:rPr>
            </w:pPr>
            <w:r w:rsidRPr="00591BB3">
              <w:t>0.54</w:t>
            </w:r>
          </w:p>
        </w:tc>
      </w:tr>
      <w:tr w:rsidR="00593A72" w:rsidRPr="00591BB3" w:rsidTr="00E26C45">
        <w:trPr>
          <w:trHeight w:val="223"/>
        </w:trPr>
        <w:tc>
          <w:tcPr>
            <w:tcW w:w="4428" w:type="dxa"/>
            <w:tcMar>
              <w:top w:w="0" w:type="dxa"/>
              <w:left w:w="108" w:type="dxa"/>
              <w:bottom w:w="0" w:type="dxa"/>
              <w:right w:w="108" w:type="dxa"/>
            </w:tcMar>
            <w:hideMark/>
          </w:tcPr>
          <w:p w:rsidR="001A6DC9" w:rsidRPr="00591BB3" w:rsidRDefault="0041632A">
            <w:pPr>
              <w:rPr>
                <w:rFonts w:eastAsiaTheme="minorHAnsi"/>
                <w:sz w:val="22"/>
              </w:rPr>
            </w:pPr>
            <w:r w:rsidRPr="00591BB3">
              <w:t>     BCD vs. (CD+CP)</w:t>
            </w:r>
          </w:p>
        </w:tc>
        <w:tc>
          <w:tcPr>
            <w:tcW w:w="3870" w:type="dxa"/>
            <w:gridSpan w:val="2"/>
            <w:tcMar>
              <w:top w:w="0" w:type="dxa"/>
              <w:left w:w="108" w:type="dxa"/>
              <w:bottom w:w="0" w:type="dxa"/>
              <w:right w:w="108" w:type="dxa"/>
            </w:tcMar>
            <w:hideMark/>
          </w:tcPr>
          <w:p w:rsidR="001A6DC9" w:rsidRPr="00591BB3" w:rsidRDefault="0041632A">
            <w:pPr>
              <w:tabs>
                <w:tab w:val="center" w:pos="4320"/>
                <w:tab w:val="right" w:pos="8640"/>
              </w:tabs>
              <w:jc w:val="center"/>
              <w:rPr>
                <w:rFonts w:eastAsiaTheme="minorHAnsi"/>
                <w:sz w:val="22"/>
              </w:rPr>
            </w:pPr>
            <w:r w:rsidRPr="00591BB3">
              <w:t>0.26</w:t>
            </w:r>
          </w:p>
        </w:tc>
      </w:tr>
      <w:tr w:rsidR="00593A72" w:rsidRPr="00591BB3" w:rsidTr="00E26C45">
        <w:tc>
          <w:tcPr>
            <w:tcW w:w="4428" w:type="dxa"/>
            <w:tcMar>
              <w:top w:w="0" w:type="dxa"/>
              <w:left w:w="108" w:type="dxa"/>
              <w:bottom w:w="0" w:type="dxa"/>
              <w:right w:w="108" w:type="dxa"/>
            </w:tcMar>
            <w:hideMark/>
          </w:tcPr>
          <w:p w:rsidR="001A6DC9" w:rsidRPr="00591BB3" w:rsidRDefault="0041632A">
            <w:pPr>
              <w:tabs>
                <w:tab w:val="center" w:pos="4320"/>
                <w:tab w:val="right" w:pos="8640"/>
              </w:tabs>
              <w:jc w:val="both"/>
              <w:rPr>
                <w:rFonts w:eastAsiaTheme="minorHAnsi"/>
                <w:sz w:val="22"/>
              </w:rPr>
            </w:pPr>
            <w:r w:rsidRPr="00591BB3">
              <w:t>     ODP vs. (CD+CP)</w:t>
            </w:r>
          </w:p>
        </w:tc>
        <w:tc>
          <w:tcPr>
            <w:tcW w:w="3870" w:type="dxa"/>
            <w:gridSpan w:val="2"/>
            <w:tcMar>
              <w:top w:w="0" w:type="dxa"/>
              <w:left w:w="108" w:type="dxa"/>
              <w:bottom w:w="0" w:type="dxa"/>
              <w:right w:w="108" w:type="dxa"/>
            </w:tcMar>
            <w:hideMark/>
          </w:tcPr>
          <w:p w:rsidR="001A6DC9" w:rsidRPr="00591BB3" w:rsidRDefault="0041632A">
            <w:pPr>
              <w:tabs>
                <w:tab w:val="center" w:pos="4320"/>
                <w:tab w:val="right" w:pos="8640"/>
              </w:tabs>
              <w:jc w:val="center"/>
              <w:rPr>
                <w:rFonts w:eastAsiaTheme="minorHAnsi"/>
                <w:sz w:val="22"/>
              </w:rPr>
            </w:pPr>
            <w:r w:rsidRPr="00591BB3">
              <w:t>0.26</w:t>
            </w:r>
          </w:p>
        </w:tc>
      </w:tr>
      <w:tr w:rsidR="00593A72" w:rsidRPr="00591BB3" w:rsidTr="00E26C45">
        <w:tc>
          <w:tcPr>
            <w:tcW w:w="8298" w:type="dxa"/>
            <w:gridSpan w:val="3"/>
            <w:tcMar>
              <w:top w:w="0" w:type="dxa"/>
              <w:left w:w="108" w:type="dxa"/>
              <w:bottom w:w="0" w:type="dxa"/>
              <w:right w:w="108" w:type="dxa"/>
            </w:tcMar>
          </w:tcPr>
          <w:p w:rsidR="00593A72" w:rsidRPr="00591BB3" w:rsidRDefault="00593A72" w:rsidP="00E26C45">
            <w:pPr>
              <w:rPr>
                <w:rFonts w:eastAsiaTheme="minorHAnsi"/>
              </w:rPr>
            </w:pPr>
          </w:p>
          <w:p w:rsidR="00593A72" w:rsidRPr="00591BB3" w:rsidRDefault="0041632A" w:rsidP="00227D87">
            <w:pPr>
              <w:rPr>
                <w:rFonts w:eastAsiaTheme="minorHAnsi"/>
              </w:rPr>
            </w:pPr>
            <w:r w:rsidRPr="00591BB3">
              <w:t xml:space="preserve">3. </w:t>
            </w:r>
            <w:r w:rsidR="00630AC0" w:rsidRPr="00591BB3">
              <w:t xml:space="preserve">Are specific deliberative </w:t>
            </w:r>
            <w:r w:rsidR="00C12D0C" w:rsidRPr="00591BB3">
              <w:t xml:space="preserve">methods </w:t>
            </w:r>
            <w:r w:rsidR="00630AC0" w:rsidRPr="00591BB3">
              <w:t xml:space="preserve">more effective than other ones? </w:t>
            </w:r>
          </w:p>
        </w:tc>
      </w:tr>
      <w:tr w:rsidR="00593A72" w:rsidRPr="00591BB3" w:rsidTr="00E26C45">
        <w:tc>
          <w:tcPr>
            <w:tcW w:w="4428" w:type="dxa"/>
            <w:tcMar>
              <w:top w:w="0" w:type="dxa"/>
              <w:left w:w="108" w:type="dxa"/>
              <w:bottom w:w="0" w:type="dxa"/>
              <w:right w:w="108" w:type="dxa"/>
            </w:tcMar>
            <w:hideMark/>
          </w:tcPr>
          <w:p w:rsidR="00593A72" w:rsidRPr="00591BB3" w:rsidRDefault="0041632A" w:rsidP="00E26C45">
            <w:pPr>
              <w:rPr>
                <w:rFonts w:ascii="Calibri" w:eastAsiaTheme="minorHAnsi" w:hAnsi="Calibri" w:cs="Calibri"/>
                <w:sz w:val="22"/>
                <w:szCs w:val="22"/>
              </w:rPr>
            </w:pPr>
            <w:r w:rsidRPr="00591BB3">
              <w:t xml:space="preserve">     BCD vs. ODP  </w:t>
            </w:r>
          </w:p>
        </w:tc>
        <w:tc>
          <w:tcPr>
            <w:tcW w:w="2115" w:type="dxa"/>
            <w:tcMar>
              <w:top w:w="0" w:type="dxa"/>
              <w:left w:w="108" w:type="dxa"/>
              <w:bottom w:w="0" w:type="dxa"/>
              <w:right w:w="108" w:type="dxa"/>
            </w:tcMar>
            <w:hideMark/>
          </w:tcPr>
          <w:p w:rsidR="00593A72" w:rsidRPr="00591BB3" w:rsidRDefault="0041632A" w:rsidP="00E26C45">
            <w:pPr>
              <w:jc w:val="center"/>
              <w:rPr>
                <w:rFonts w:ascii="Calibri" w:eastAsiaTheme="minorHAnsi" w:hAnsi="Calibri" w:cs="Calibri"/>
                <w:sz w:val="22"/>
                <w:szCs w:val="22"/>
              </w:rPr>
            </w:pPr>
            <w:r w:rsidRPr="00591BB3">
              <w:t>0.28</w:t>
            </w:r>
          </w:p>
        </w:tc>
        <w:tc>
          <w:tcPr>
            <w:tcW w:w="1755" w:type="dxa"/>
            <w:tcMar>
              <w:top w:w="0" w:type="dxa"/>
              <w:left w:w="108" w:type="dxa"/>
              <w:bottom w:w="0" w:type="dxa"/>
              <w:right w:w="108" w:type="dxa"/>
            </w:tcMar>
            <w:hideMark/>
          </w:tcPr>
          <w:p w:rsidR="00593A72" w:rsidRPr="00591BB3" w:rsidRDefault="0041632A" w:rsidP="00E26C45">
            <w:pPr>
              <w:jc w:val="center"/>
              <w:rPr>
                <w:rFonts w:ascii="Calibri" w:eastAsiaTheme="minorHAnsi" w:hAnsi="Calibri" w:cs="Calibri"/>
                <w:sz w:val="22"/>
                <w:szCs w:val="22"/>
              </w:rPr>
            </w:pPr>
            <w:r w:rsidRPr="00591BB3">
              <w:t>0.33</w:t>
            </w:r>
          </w:p>
        </w:tc>
      </w:tr>
      <w:tr w:rsidR="00593A72" w:rsidRPr="00591BB3" w:rsidTr="00E26C45">
        <w:tc>
          <w:tcPr>
            <w:tcW w:w="4428" w:type="dxa"/>
            <w:tcMar>
              <w:top w:w="0" w:type="dxa"/>
              <w:left w:w="108" w:type="dxa"/>
              <w:bottom w:w="0" w:type="dxa"/>
              <w:right w:w="108" w:type="dxa"/>
            </w:tcMar>
            <w:hideMark/>
          </w:tcPr>
          <w:p w:rsidR="00593A72" w:rsidRPr="00591BB3" w:rsidRDefault="0041632A" w:rsidP="00E26C45">
            <w:pPr>
              <w:rPr>
                <w:rFonts w:ascii="Calibri" w:eastAsiaTheme="minorHAnsi" w:hAnsi="Calibri" w:cs="Calibri"/>
                <w:sz w:val="22"/>
                <w:szCs w:val="22"/>
              </w:rPr>
            </w:pPr>
            <w:r w:rsidRPr="00591BB3">
              <w:t>     CD vs. CP</w:t>
            </w:r>
          </w:p>
        </w:tc>
        <w:tc>
          <w:tcPr>
            <w:tcW w:w="2115" w:type="dxa"/>
            <w:tcMar>
              <w:top w:w="0" w:type="dxa"/>
              <w:left w:w="108" w:type="dxa"/>
              <w:bottom w:w="0" w:type="dxa"/>
              <w:right w:w="108" w:type="dxa"/>
            </w:tcMar>
            <w:hideMark/>
          </w:tcPr>
          <w:p w:rsidR="00593A72" w:rsidRPr="00591BB3" w:rsidRDefault="0041632A" w:rsidP="00E26C45">
            <w:pPr>
              <w:jc w:val="center"/>
              <w:rPr>
                <w:rFonts w:ascii="Calibri" w:eastAsiaTheme="minorHAnsi" w:hAnsi="Calibri" w:cs="Calibri"/>
                <w:sz w:val="22"/>
                <w:szCs w:val="22"/>
              </w:rPr>
            </w:pPr>
            <w:r w:rsidRPr="00591BB3">
              <w:t>0.40</w:t>
            </w:r>
          </w:p>
        </w:tc>
        <w:tc>
          <w:tcPr>
            <w:tcW w:w="1755" w:type="dxa"/>
            <w:tcMar>
              <w:top w:w="0" w:type="dxa"/>
              <w:left w:w="108" w:type="dxa"/>
              <w:bottom w:w="0" w:type="dxa"/>
              <w:right w:w="108" w:type="dxa"/>
            </w:tcMar>
            <w:hideMark/>
          </w:tcPr>
          <w:p w:rsidR="00593A72" w:rsidRPr="00591BB3" w:rsidRDefault="0041632A" w:rsidP="00E26C45">
            <w:pPr>
              <w:jc w:val="center"/>
              <w:rPr>
                <w:rFonts w:ascii="Calibri" w:eastAsiaTheme="minorHAnsi" w:hAnsi="Calibri" w:cs="Calibri"/>
                <w:sz w:val="22"/>
                <w:szCs w:val="22"/>
              </w:rPr>
            </w:pPr>
            <w:r w:rsidRPr="00591BB3">
              <w:t>0.73</w:t>
            </w:r>
          </w:p>
        </w:tc>
      </w:tr>
    </w:tbl>
    <w:p w:rsidR="001A6DC9" w:rsidRPr="00591BB3" w:rsidRDefault="0041632A">
      <w:pPr>
        <w:rPr>
          <w:bCs/>
        </w:rPr>
      </w:pPr>
      <w:r w:rsidRPr="00591BB3">
        <w:rPr>
          <w:sz w:val="20"/>
          <w:szCs w:val="20"/>
        </w:rPr>
        <w:t xml:space="preserve">*Lower and upper bounds </w:t>
      </w:r>
      <w:r w:rsidR="00E26C45" w:rsidRPr="00591BB3">
        <w:rPr>
          <w:sz w:val="20"/>
          <w:szCs w:val="20"/>
        </w:rPr>
        <w:t>reflect maximum</w:t>
      </w:r>
      <w:r w:rsidRPr="00591BB3">
        <w:rPr>
          <w:sz w:val="20"/>
          <w:szCs w:val="20"/>
        </w:rPr>
        <w:t xml:space="preserve"> and minimum assumptions, respectively, about how many persons randomized to the method will be eligible for the comparison</w:t>
      </w:r>
      <w:r w:rsidR="00630AC0" w:rsidRPr="00591BB3">
        <w:rPr>
          <w:sz w:val="20"/>
          <w:szCs w:val="20"/>
        </w:rPr>
        <w:t>, based on our limited pilot experience.</w:t>
      </w:r>
      <w:r w:rsidRPr="00591BB3">
        <w:rPr>
          <w:sz w:val="22"/>
          <w:szCs w:val="22"/>
        </w:rPr>
        <w:t xml:space="preserve"> </w:t>
      </w:r>
      <w:r w:rsidR="00630AC0" w:rsidRPr="00591BB3">
        <w:rPr>
          <w:sz w:val="22"/>
          <w:szCs w:val="22"/>
        </w:rPr>
        <w:t>(</w:t>
      </w:r>
      <w:r w:rsidRPr="00591BB3">
        <w:rPr>
          <w:sz w:val="20"/>
          <w:szCs w:val="20"/>
        </w:rPr>
        <w:t xml:space="preserve">Eligibility is determined by participants’ willingness to participate in both methods involved in a comparison, </w:t>
      </w:r>
      <w:r w:rsidR="00630AC0" w:rsidRPr="00591BB3">
        <w:rPr>
          <w:sz w:val="20"/>
          <w:szCs w:val="20"/>
        </w:rPr>
        <w:t xml:space="preserve">reflecting </w:t>
      </w:r>
      <w:r w:rsidRPr="00591BB3">
        <w:rPr>
          <w:sz w:val="20"/>
          <w:szCs w:val="20"/>
        </w:rPr>
        <w:t>participant choice</w:t>
      </w:r>
      <w:r w:rsidR="00630AC0" w:rsidRPr="00591BB3">
        <w:rPr>
          <w:sz w:val="20"/>
          <w:szCs w:val="20"/>
        </w:rPr>
        <w:t xml:space="preserve"> rather than</w:t>
      </w:r>
      <w:r w:rsidRPr="00591BB3">
        <w:rPr>
          <w:sz w:val="20"/>
          <w:szCs w:val="20"/>
        </w:rPr>
        <w:t xml:space="preserve"> investigator assignment.</w:t>
      </w:r>
      <w:r w:rsidR="00630AC0" w:rsidRPr="00591BB3">
        <w:rPr>
          <w:sz w:val="20"/>
          <w:szCs w:val="20"/>
        </w:rPr>
        <w:t>)</w:t>
      </w:r>
      <w:r w:rsidRPr="00591BB3">
        <w:rPr>
          <w:sz w:val="20"/>
          <w:szCs w:val="20"/>
        </w:rPr>
        <w:t xml:space="preserve"> </w:t>
      </w:r>
    </w:p>
    <w:p w:rsidR="001A6DC9" w:rsidRPr="00591BB3" w:rsidRDefault="001A6DC9">
      <w:pPr>
        <w:rPr>
          <w:bCs/>
        </w:rPr>
      </w:pPr>
    </w:p>
    <w:p w:rsidR="001A6DC9" w:rsidRPr="00591BB3" w:rsidRDefault="0041632A">
      <w:r w:rsidRPr="00591BB3">
        <w:rPr>
          <w:bCs/>
        </w:rPr>
        <w:t xml:space="preserve">As shown in Exhibit </w:t>
      </w:r>
      <w:r w:rsidR="00A4149C" w:rsidRPr="00591BB3">
        <w:rPr>
          <w:bCs/>
        </w:rPr>
        <w:t>5</w:t>
      </w:r>
      <w:r w:rsidRPr="00591BB3">
        <w:rPr>
          <w:bCs/>
        </w:rPr>
        <w:t>, to answer Research Question 1 (“</w:t>
      </w:r>
      <w:r w:rsidRPr="00591BB3">
        <w:rPr>
          <w:b/>
          <w:bCs/>
          <w:i/>
        </w:rPr>
        <w:t>Is public deliberation more or less effective than education only?</w:t>
      </w:r>
      <w:r w:rsidRPr="00591BB3">
        <w:rPr>
          <w:bCs/>
        </w:rPr>
        <w:t xml:space="preserve">”), </w:t>
      </w:r>
      <w:r w:rsidR="001D4DA9" w:rsidRPr="00591BB3">
        <w:rPr>
          <w:bCs/>
        </w:rPr>
        <w:t>we</w:t>
      </w:r>
      <w:r w:rsidRPr="00591BB3">
        <w:rPr>
          <w:bCs/>
        </w:rPr>
        <w:t xml:space="preserve"> will be able to detect an effect as small as </w:t>
      </w:r>
      <w:r w:rsidR="00E26C45" w:rsidRPr="00591BB3">
        <w:rPr>
          <w:bCs/>
        </w:rPr>
        <w:t>0</w:t>
      </w:r>
      <w:r w:rsidRPr="00591BB3">
        <w:rPr>
          <w:bCs/>
        </w:rPr>
        <w:t xml:space="preserve">.27 when comparing </w:t>
      </w:r>
      <w:r w:rsidRPr="00591BB3">
        <w:t xml:space="preserve">BCD, ODP, or CD to the control group; and an effect of </w:t>
      </w:r>
      <w:r w:rsidR="00972238" w:rsidRPr="00591BB3">
        <w:t>0</w:t>
      </w:r>
      <w:r w:rsidRPr="00591BB3">
        <w:t xml:space="preserve">.40 when comparing CP to the control group. In addition, </w:t>
      </w:r>
      <w:r w:rsidR="00566DD2" w:rsidRPr="00591BB3">
        <w:t xml:space="preserve">when </w:t>
      </w:r>
      <w:r w:rsidRPr="00591BB3">
        <w:t xml:space="preserve">we pool deliberation participants from all effective methods to compare deliberation to control, we </w:t>
      </w:r>
      <w:r w:rsidR="00566DD2" w:rsidRPr="00591BB3">
        <w:t xml:space="preserve">will be able to </w:t>
      </w:r>
      <w:r w:rsidRPr="00591BB3">
        <w:t xml:space="preserve">detect an effect as small as </w:t>
      </w:r>
      <w:r w:rsidR="00972238" w:rsidRPr="00591BB3">
        <w:t>0</w:t>
      </w:r>
      <w:r w:rsidRPr="00591BB3">
        <w:t>.21</w:t>
      </w:r>
      <w:r w:rsidR="00566DD2" w:rsidRPr="00591BB3">
        <w:t>, depending on the number of methods included in the pooled comparison</w:t>
      </w:r>
      <w:r w:rsidRPr="00591BB3">
        <w:t xml:space="preserve">. </w:t>
      </w:r>
    </w:p>
    <w:p w:rsidR="001A6DC9" w:rsidRPr="00591BB3" w:rsidRDefault="001A6DC9"/>
    <w:p w:rsidR="00D769B7" w:rsidRPr="00591BB3" w:rsidRDefault="00D769B7" w:rsidP="001D4DA9">
      <w:r w:rsidRPr="00591BB3">
        <w:rPr>
          <w:bCs/>
        </w:rPr>
        <w:t>To answer Research Question 2 (“</w:t>
      </w:r>
      <w:r w:rsidRPr="00591BB3">
        <w:rPr>
          <w:b/>
          <w:bCs/>
          <w:i/>
        </w:rPr>
        <w:t>How does burden change effectiveness?</w:t>
      </w:r>
      <w:r w:rsidRPr="00591BB3">
        <w:rPr>
          <w:bCs/>
        </w:rPr>
        <w:t>”), we will conduct pooled comparisons of the lower and higher burden methods. We can detect an effect as small as 0.22 in this comparison, specifically between BCD + ODP (the pooled lower burden methods) vs. CP + CD (the pooled higher burden methods.</w:t>
      </w:r>
      <w:r w:rsidRPr="00591BB3">
        <w:t xml:space="preserve"> In comparing the least intensive method (BCD) with the most intensive (CP), we can detect an effect of 0.40-0.54.  </w:t>
      </w:r>
    </w:p>
    <w:p w:rsidR="00593A72" w:rsidRPr="00591BB3" w:rsidRDefault="00593A72" w:rsidP="001D4DA9">
      <w:pPr>
        <w:rPr>
          <w:color w:val="1F497D"/>
          <w:sz w:val="22"/>
          <w:szCs w:val="22"/>
        </w:rPr>
      </w:pPr>
    </w:p>
    <w:p w:rsidR="006D5B0A" w:rsidRPr="00591BB3" w:rsidRDefault="006D5B0A" w:rsidP="006D5B0A">
      <w:r w:rsidRPr="00591BB3">
        <w:t>To answer Research Question 3 (“</w:t>
      </w:r>
      <w:r w:rsidRPr="00591BB3">
        <w:rPr>
          <w:b/>
          <w:i/>
        </w:rPr>
        <w:t>Are specific deliberative methods more effective than other ones?</w:t>
      </w:r>
      <w:r w:rsidRPr="00591BB3">
        <w:t>”), we can detect an effect of 0.28-0.33 when comparing BCD (exclusively in-person method) with ODP (the exclusively online method) to examine the impact of mode.  Further, we can detect an effect of 0.40-0.73 when comparing the two higher burden methods (CD vs. CP).</w:t>
      </w:r>
      <w:r w:rsidR="00D241A0" w:rsidRPr="00591BB3">
        <w:t xml:space="preserve"> </w:t>
      </w:r>
    </w:p>
    <w:p w:rsidR="00C317DE" w:rsidRPr="00591BB3" w:rsidRDefault="00C317DE" w:rsidP="00940F3C">
      <w:pPr>
        <w:pStyle w:val="NoSpacing"/>
        <w:rPr>
          <w:rFonts w:ascii="Times New Roman" w:eastAsia="Times New Roman" w:hAnsi="Times New Roman"/>
          <w:sz w:val="24"/>
          <w:szCs w:val="24"/>
        </w:rPr>
      </w:pPr>
    </w:p>
    <w:p w:rsidR="00C317DE" w:rsidRPr="00591BB3" w:rsidRDefault="00C317DE" w:rsidP="00940F3C">
      <w:pPr>
        <w:pStyle w:val="NoSpacing"/>
        <w:rPr>
          <w:rFonts w:ascii="Times New Roman" w:hAnsi="Times New Roman"/>
          <w:i/>
          <w:sz w:val="24"/>
          <w:szCs w:val="24"/>
          <w:u w:val="single"/>
        </w:rPr>
      </w:pPr>
      <w:r w:rsidRPr="00591BB3">
        <w:rPr>
          <w:rFonts w:ascii="Times New Roman" w:hAnsi="Times New Roman"/>
          <w:i/>
          <w:sz w:val="24"/>
          <w:szCs w:val="24"/>
          <w:u w:val="single"/>
        </w:rPr>
        <w:t>Evidence for Anticipated Effect Size</w:t>
      </w:r>
    </w:p>
    <w:p w:rsidR="00C317DE" w:rsidRPr="00591BB3" w:rsidRDefault="00C317DE" w:rsidP="00940F3C">
      <w:pPr>
        <w:pStyle w:val="NoSpacing"/>
        <w:rPr>
          <w:rFonts w:ascii="Times New Roman" w:hAnsi="Times New Roman"/>
          <w:sz w:val="24"/>
          <w:szCs w:val="24"/>
        </w:rPr>
      </w:pPr>
      <w:r w:rsidRPr="00591BB3">
        <w:rPr>
          <w:rFonts w:ascii="Times New Roman" w:hAnsi="Times New Roman"/>
          <w:sz w:val="24"/>
          <w:szCs w:val="24"/>
        </w:rPr>
        <w:t>Our sample allocation targets are predicated on the assumption of finding a moderate effect for differences in pre-post change scores between experimental and control groups. The literature on effect sizes that can be expected from this design in studies of public deliberation is very limited</w:t>
      </w:r>
      <w:r w:rsidR="00982BE3" w:rsidRPr="00591BB3">
        <w:rPr>
          <w:rFonts w:ascii="Times New Roman" w:hAnsi="Times New Roman"/>
          <w:sz w:val="24"/>
          <w:szCs w:val="24"/>
        </w:rPr>
        <w:t xml:space="preserve">. </w:t>
      </w:r>
      <w:r w:rsidRPr="00591BB3">
        <w:rPr>
          <w:rFonts w:ascii="Times New Roman" w:hAnsi="Times New Roman"/>
          <w:sz w:val="24"/>
          <w:szCs w:val="24"/>
        </w:rPr>
        <w:t>Two studies of deliberation (Farrar et al., 2010; Kim et al., 2010) have measured change in attitudes using multiple outcome measures and found pre-post effect sizes in the 0.17 to 0.69 range. A third study using a randomized control trial (RCT, Min 2007) compared a post-intervention measure of knowledge between experimental and control arms and found an effect size of 1.67 when comparing in-person deliberation to control and 2.05 when comparing Internet deliberation to control.</w:t>
      </w:r>
    </w:p>
    <w:p w:rsidR="00C317DE" w:rsidRPr="00591BB3" w:rsidRDefault="00C317DE" w:rsidP="00940F3C">
      <w:pPr>
        <w:pStyle w:val="NoSpacing"/>
        <w:rPr>
          <w:rFonts w:ascii="Times New Roman" w:hAnsi="Times New Roman"/>
          <w:sz w:val="24"/>
          <w:szCs w:val="24"/>
        </w:rPr>
      </w:pPr>
    </w:p>
    <w:p w:rsidR="00627AC6" w:rsidRPr="00591BB3" w:rsidRDefault="00C317DE">
      <w:pPr>
        <w:rPr>
          <w:i/>
          <w:u w:val="single"/>
        </w:rPr>
      </w:pPr>
      <w:r w:rsidRPr="00591BB3">
        <w:rPr>
          <w:i/>
          <w:u w:val="single"/>
        </w:rPr>
        <w:t>Illustration of Effect</w:t>
      </w:r>
    </w:p>
    <w:p w:rsidR="00627AC6" w:rsidRPr="00591BB3" w:rsidRDefault="00C317DE">
      <w:pPr>
        <w:pStyle w:val="NoSpacing"/>
        <w:rPr>
          <w:rFonts w:ascii="Times New Roman" w:hAnsi="Times New Roman"/>
          <w:sz w:val="24"/>
          <w:szCs w:val="24"/>
        </w:rPr>
      </w:pPr>
      <w:r w:rsidRPr="00591BB3">
        <w:rPr>
          <w:rFonts w:ascii="Times New Roman" w:hAnsi="Times New Roman"/>
          <w:sz w:val="24"/>
          <w:szCs w:val="24"/>
        </w:rPr>
        <w:t>Like these studies, our surveys contain knowledge and attitude questions</w:t>
      </w:r>
      <w:r w:rsidR="00982BE3" w:rsidRPr="00591BB3">
        <w:rPr>
          <w:rFonts w:ascii="Times New Roman" w:hAnsi="Times New Roman"/>
          <w:sz w:val="24"/>
          <w:szCs w:val="24"/>
        </w:rPr>
        <w:t xml:space="preserve">. </w:t>
      </w:r>
      <w:r w:rsidRPr="00591BB3">
        <w:rPr>
          <w:rFonts w:ascii="Times New Roman" w:hAnsi="Times New Roman"/>
          <w:sz w:val="24"/>
          <w:szCs w:val="24"/>
        </w:rPr>
        <w:t>For knowledge questions, where each question is answered either correctly or incorrectly, we use the total number of correct answers among all knowledge questions as the overall knowledge score</w:t>
      </w:r>
      <w:r w:rsidR="00982BE3" w:rsidRPr="00591BB3">
        <w:rPr>
          <w:rFonts w:ascii="Times New Roman" w:hAnsi="Times New Roman"/>
          <w:sz w:val="24"/>
          <w:szCs w:val="24"/>
        </w:rPr>
        <w:t xml:space="preserve">. </w:t>
      </w:r>
      <w:r w:rsidRPr="00591BB3">
        <w:rPr>
          <w:rFonts w:ascii="Times New Roman" w:hAnsi="Times New Roman"/>
          <w:sz w:val="24"/>
          <w:szCs w:val="24"/>
        </w:rPr>
        <w:t>An example from our</w:t>
      </w:r>
      <w:r w:rsidR="0007081F" w:rsidRPr="00591BB3">
        <w:rPr>
          <w:rFonts w:ascii="Times New Roman" w:hAnsi="Times New Roman"/>
          <w:sz w:val="24"/>
          <w:szCs w:val="24"/>
        </w:rPr>
        <w:t xml:space="preserve"> Attachments C and E: Knowledge and Attitudes Pre- and Post-test Survey</w:t>
      </w:r>
      <w:r w:rsidRPr="00591BB3">
        <w:rPr>
          <w:rFonts w:ascii="Times New Roman" w:hAnsi="Times New Roman"/>
          <w:sz w:val="24"/>
          <w:szCs w:val="24"/>
        </w:rPr>
        <w:t xml:space="preserve"> is:</w:t>
      </w:r>
    </w:p>
    <w:p w:rsidR="00627AC6" w:rsidRPr="00591BB3" w:rsidRDefault="00627AC6">
      <w:pPr>
        <w:pStyle w:val="NoSpacing"/>
        <w:rPr>
          <w:rFonts w:ascii="Times New Roman" w:hAnsi="Times New Roman"/>
          <w:sz w:val="24"/>
          <w:szCs w:val="24"/>
        </w:rPr>
      </w:pPr>
    </w:p>
    <w:p w:rsidR="00627AC6" w:rsidRPr="00591BB3" w:rsidRDefault="00C317DE">
      <w:pPr>
        <w:pStyle w:val="NoSpacing"/>
        <w:rPr>
          <w:rFonts w:ascii="Times New Roman" w:hAnsi="Times New Roman"/>
          <w:sz w:val="24"/>
          <w:szCs w:val="24"/>
        </w:rPr>
      </w:pPr>
      <w:r w:rsidRPr="00591BB3">
        <w:rPr>
          <w:rFonts w:ascii="Times New Roman" w:hAnsi="Times New Roman"/>
          <w:sz w:val="24"/>
          <w:szCs w:val="24"/>
        </w:rPr>
        <w:t>For a new medicine to be approved for use in the United States, medical research results have to show that:</w:t>
      </w:r>
    </w:p>
    <w:p w:rsidR="00627AC6" w:rsidRPr="00591BB3" w:rsidRDefault="00C317DE">
      <w:pPr>
        <w:pStyle w:val="NoSpacing"/>
        <w:numPr>
          <w:ilvl w:val="0"/>
          <w:numId w:val="25"/>
        </w:numPr>
        <w:rPr>
          <w:rFonts w:ascii="Times New Roman" w:hAnsi="Times New Roman"/>
          <w:sz w:val="24"/>
          <w:szCs w:val="24"/>
        </w:rPr>
      </w:pPr>
      <w:r w:rsidRPr="00591BB3">
        <w:rPr>
          <w:rFonts w:ascii="Times New Roman" w:hAnsi="Times New Roman"/>
          <w:sz w:val="24"/>
          <w:szCs w:val="24"/>
        </w:rPr>
        <w:t>The new medicine works better than medicines already approved.</w:t>
      </w:r>
    </w:p>
    <w:p w:rsidR="00627AC6" w:rsidRPr="00591BB3" w:rsidRDefault="00C317DE">
      <w:pPr>
        <w:pStyle w:val="NoSpacing"/>
        <w:numPr>
          <w:ilvl w:val="0"/>
          <w:numId w:val="25"/>
        </w:numPr>
        <w:rPr>
          <w:rFonts w:ascii="Times New Roman" w:hAnsi="Times New Roman"/>
          <w:sz w:val="24"/>
          <w:szCs w:val="24"/>
        </w:rPr>
      </w:pPr>
      <w:r w:rsidRPr="00591BB3">
        <w:rPr>
          <w:rFonts w:ascii="Times New Roman" w:hAnsi="Times New Roman"/>
          <w:sz w:val="24"/>
          <w:szCs w:val="24"/>
        </w:rPr>
        <w:t>The new medicine is effective.</w:t>
      </w:r>
    </w:p>
    <w:p w:rsidR="00627AC6" w:rsidRPr="00591BB3" w:rsidRDefault="00C317DE">
      <w:pPr>
        <w:pStyle w:val="NoSpacing"/>
        <w:numPr>
          <w:ilvl w:val="0"/>
          <w:numId w:val="25"/>
        </w:numPr>
        <w:rPr>
          <w:rFonts w:ascii="Times New Roman" w:hAnsi="Times New Roman"/>
          <w:sz w:val="24"/>
          <w:szCs w:val="24"/>
        </w:rPr>
      </w:pPr>
      <w:r w:rsidRPr="00591BB3">
        <w:rPr>
          <w:rFonts w:ascii="Times New Roman" w:hAnsi="Times New Roman"/>
          <w:sz w:val="24"/>
          <w:szCs w:val="24"/>
        </w:rPr>
        <w:t>The new medicine is approved in other countries.</w:t>
      </w:r>
    </w:p>
    <w:p w:rsidR="00627AC6" w:rsidRPr="00591BB3" w:rsidRDefault="00C317DE">
      <w:pPr>
        <w:pStyle w:val="NoSpacing"/>
        <w:numPr>
          <w:ilvl w:val="0"/>
          <w:numId w:val="25"/>
        </w:numPr>
        <w:rPr>
          <w:rFonts w:ascii="Times New Roman" w:hAnsi="Times New Roman"/>
          <w:sz w:val="24"/>
          <w:szCs w:val="24"/>
        </w:rPr>
      </w:pPr>
      <w:r w:rsidRPr="00591BB3">
        <w:rPr>
          <w:rFonts w:ascii="Times New Roman" w:hAnsi="Times New Roman"/>
          <w:sz w:val="24"/>
          <w:szCs w:val="24"/>
        </w:rPr>
        <w:t>Don’t know</w:t>
      </w:r>
    </w:p>
    <w:p w:rsidR="00627AC6" w:rsidRPr="00591BB3" w:rsidRDefault="00627AC6">
      <w:pPr>
        <w:pStyle w:val="NoSpacing"/>
        <w:rPr>
          <w:rFonts w:ascii="Times New Roman" w:hAnsi="Times New Roman"/>
          <w:sz w:val="24"/>
          <w:szCs w:val="24"/>
        </w:rPr>
      </w:pPr>
    </w:p>
    <w:p w:rsidR="00627AC6" w:rsidRPr="00591BB3" w:rsidRDefault="00C317DE">
      <w:pPr>
        <w:pStyle w:val="NoSpacing"/>
        <w:rPr>
          <w:rFonts w:ascii="Times New Roman" w:hAnsi="Times New Roman"/>
          <w:sz w:val="24"/>
          <w:szCs w:val="24"/>
        </w:rPr>
      </w:pPr>
      <w:r w:rsidRPr="00591BB3">
        <w:rPr>
          <w:rFonts w:ascii="Times New Roman" w:hAnsi="Times New Roman"/>
          <w:sz w:val="24"/>
          <w:szCs w:val="24"/>
        </w:rPr>
        <w:t> Assuming the magnitude of our intervention effect is similar to Min (2007), we expect persons on average in the control group will answer 5 out of 8 questions correctly, while on average persons in the deliberative groups will answer 7.1 correctly</w:t>
      </w:r>
      <w:r w:rsidR="00982BE3" w:rsidRPr="00591BB3">
        <w:rPr>
          <w:rFonts w:ascii="Times New Roman" w:hAnsi="Times New Roman"/>
          <w:sz w:val="24"/>
          <w:szCs w:val="24"/>
        </w:rPr>
        <w:t xml:space="preserve">. </w:t>
      </w:r>
      <w:r w:rsidRPr="00591BB3">
        <w:rPr>
          <w:rFonts w:ascii="Times New Roman" w:hAnsi="Times New Roman"/>
          <w:sz w:val="24"/>
          <w:szCs w:val="24"/>
        </w:rPr>
        <w:t>The score difference of 2.1 points is equivalent to the standardized effect size of 1.67 obtained by Min, a large effect based on Cohen’s criteria</w:t>
      </w:r>
      <w:r w:rsidRPr="00591BB3">
        <w:rPr>
          <w:rStyle w:val="FootnoteReference"/>
          <w:rFonts w:ascii="Times New Roman" w:hAnsi="Times New Roman"/>
          <w:sz w:val="24"/>
          <w:szCs w:val="24"/>
        </w:rPr>
        <w:footnoteReference w:id="3"/>
      </w:r>
      <w:r w:rsidRPr="00591BB3">
        <w:rPr>
          <w:rFonts w:ascii="Times New Roman" w:hAnsi="Times New Roman"/>
          <w:sz w:val="24"/>
          <w:szCs w:val="24"/>
        </w:rPr>
        <w:t>.</w:t>
      </w:r>
    </w:p>
    <w:p w:rsidR="00627AC6" w:rsidRPr="00591BB3" w:rsidRDefault="00627AC6">
      <w:pPr>
        <w:pStyle w:val="NoSpacing"/>
        <w:rPr>
          <w:rFonts w:ascii="Times New Roman" w:hAnsi="Times New Roman"/>
          <w:sz w:val="24"/>
          <w:szCs w:val="24"/>
        </w:rPr>
      </w:pPr>
    </w:p>
    <w:p w:rsidR="004D26B1" w:rsidRPr="00591BB3" w:rsidRDefault="00C317DE">
      <w:pPr>
        <w:pStyle w:val="NoSpacing"/>
        <w:rPr>
          <w:rFonts w:ascii="Times New Roman" w:hAnsi="Times New Roman"/>
          <w:sz w:val="24"/>
          <w:szCs w:val="24"/>
        </w:rPr>
      </w:pPr>
      <w:r w:rsidRPr="00591BB3">
        <w:rPr>
          <w:rFonts w:ascii="Times New Roman" w:hAnsi="Times New Roman"/>
          <w:sz w:val="24"/>
          <w:szCs w:val="24"/>
        </w:rPr>
        <w:t>Most of our attitude questions are scored on a 5-point scale. For example:</w:t>
      </w:r>
    </w:p>
    <w:p w:rsidR="004D26B1" w:rsidRPr="00591BB3" w:rsidRDefault="004D26B1">
      <w:pPr>
        <w:pStyle w:val="NoSpacing"/>
        <w:rPr>
          <w:rFonts w:ascii="Times New Roman" w:hAnsi="Times New Roman"/>
          <w:sz w:val="24"/>
          <w:szCs w:val="24"/>
        </w:rPr>
      </w:pPr>
    </w:p>
    <w:p w:rsidR="00627AC6" w:rsidRPr="00591BB3" w:rsidRDefault="00C317DE">
      <w:pPr>
        <w:pStyle w:val="NoSpacing"/>
        <w:rPr>
          <w:rFonts w:ascii="Times New Roman" w:hAnsi="Times New Roman"/>
          <w:sz w:val="24"/>
          <w:szCs w:val="24"/>
        </w:rPr>
      </w:pPr>
      <w:r w:rsidRPr="00591BB3">
        <w:rPr>
          <w:rFonts w:ascii="Times New Roman" w:hAnsi="Times New Roman"/>
          <w:sz w:val="24"/>
          <w:szCs w:val="24"/>
        </w:rPr>
        <w:t>How important is it that people ask their doctors about medical research results related to their health problem?</w:t>
      </w:r>
    </w:p>
    <w:p w:rsidR="00627AC6" w:rsidRPr="00591BB3" w:rsidRDefault="00C317DE">
      <w:pPr>
        <w:pStyle w:val="NoSpacing"/>
        <w:numPr>
          <w:ilvl w:val="0"/>
          <w:numId w:val="26"/>
        </w:numPr>
        <w:rPr>
          <w:rFonts w:ascii="Times New Roman" w:hAnsi="Times New Roman"/>
          <w:sz w:val="24"/>
          <w:szCs w:val="24"/>
        </w:rPr>
      </w:pPr>
      <w:r w:rsidRPr="00591BB3">
        <w:rPr>
          <w:rFonts w:ascii="Times New Roman" w:hAnsi="Times New Roman"/>
          <w:sz w:val="24"/>
          <w:szCs w:val="24"/>
        </w:rPr>
        <w:t>Not important at all</w:t>
      </w:r>
    </w:p>
    <w:p w:rsidR="00627AC6" w:rsidRPr="00591BB3" w:rsidRDefault="00C317DE">
      <w:pPr>
        <w:pStyle w:val="NoSpacing"/>
        <w:numPr>
          <w:ilvl w:val="0"/>
          <w:numId w:val="26"/>
        </w:numPr>
        <w:rPr>
          <w:rFonts w:ascii="Times New Roman" w:hAnsi="Times New Roman"/>
          <w:sz w:val="24"/>
          <w:szCs w:val="24"/>
        </w:rPr>
      </w:pPr>
      <w:r w:rsidRPr="00591BB3">
        <w:rPr>
          <w:rFonts w:ascii="Times New Roman" w:hAnsi="Times New Roman"/>
          <w:sz w:val="24"/>
          <w:szCs w:val="24"/>
        </w:rPr>
        <w:t>Not important</w:t>
      </w:r>
    </w:p>
    <w:p w:rsidR="00627AC6" w:rsidRPr="00591BB3" w:rsidRDefault="00C317DE">
      <w:pPr>
        <w:pStyle w:val="NoSpacing"/>
        <w:numPr>
          <w:ilvl w:val="0"/>
          <w:numId w:val="26"/>
        </w:numPr>
        <w:rPr>
          <w:rFonts w:ascii="Times New Roman" w:hAnsi="Times New Roman"/>
          <w:sz w:val="24"/>
          <w:szCs w:val="24"/>
        </w:rPr>
      </w:pPr>
      <w:r w:rsidRPr="00591BB3">
        <w:rPr>
          <w:rFonts w:ascii="Times New Roman" w:hAnsi="Times New Roman"/>
          <w:sz w:val="24"/>
          <w:szCs w:val="24"/>
        </w:rPr>
        <w:t>No opinion</w:t>
      </w:r>
    </w:p>
    <w:p w:rsidR="00627AC6" w:rsidRPr="00591BB3" w:rsidRDefault="00C317DE">
      <w:pPr>
        <w:pStyle w:val="NoSpacing"/>
        <w:numPr>
          <w:ilvl w:val="0"/>
          <w:numId w:val="26"/>
        </w:numPr>
        <w:rPr>
          <w:rFonts w:ascii="Times New Roman" w:hAnsi="Times New Roman"/>
          <w:sz w:val="24"/>
          <w:szCs w:val="24"/>
        </w:rPr>
      </w:pPr>
      <w:r w:rsidRPr="00591BB3">
        <w:rPr>
          <w:rFonts w:ascii="Times New Roman" w:hAnsi="Times New Roman"/>
          <w:sz w:val="24"/>
          <w:szCs w:val="24"/>
        </w:rPr>
        <w:t>Important</w:t>
      </w:r>
    </w:p>
    <w:p w:rsidR="00627AC6" w:rsidRPr="00591BB3" w:rsidRDefault="00C317DE">
      <w:pPr>
        <w:pStyle w:val="NoSpacing"/>
        <w:numPr>
          <w:ilvl w:val="0"/>
          <w:numId w:val="26"/>
        </w:numPr>
        <w:rPr>
          <w:rFonts w:ascii="Times New Roman" w:hAnsi="Times New Roman"/>
          <w:sz w:val="24"/>
          <w:szCs w:val="24"/>
        </w:rPr>
      </w:pPr>
      <w:r w:rsidRPr="00591BB3">
        <w:rPr>
          <w:rFonts w:ascii="Times New Roman" w:hAnsi="Times New Roman"/>
          <w:sz w:val="24"/>
          <w:szCs w:val="24"/>
        </w:rPr>
        <w:t>Very Important</w:t>
      </w:r>
    </w:p>
    <w:p w:rsidR="00627AC6" w:rsidRPr="00591BB3" w:rsidRDefault="00627AC6">
      <w:pPr>
        <w:pStyle w:val="NoSpacing"/>
        <w:rPr>
          <w:rFonts w:ascii="Times New Roman" w:hAnsi="Times New Roman"/>
          <w:sz w:val="24"/>
          <w:szCs w:val="24"/>
        </w:rPr>
      </w:pPr>
    </w:p>
    <w:p w:rsidR="00627AC6" w:rsidRPr="00591BB3" w:rsidRDefault="00C317DE">
      <w:pPr>
        <w:pStyle w:val="NoSpacing"/>
        <w:rPr>
          <w:rFonts w:ascii="Times New Roman" w:hAnsi="Times New Roman"/>
          <w:sz w:val="24"/>
          <w:szCs w:val="24"/>
        </w:rPr>
      </w:pPr>
      <w:r w:rsidRPr="00591BB3">
        <w:rPr>
          <w:rFonts w:ascii="Times New Roman" w:hAnsi="Times New Roman"/>
          <w:sz w:val="24"/>
          <w:szCs w:val="24"/>
        </w:rPr>
        <w:t>If we assume that the magnitude of the intervention effect (i.e., pre-post change of response to this question) and the variance of responses across study participants are similar to those obtained by Farrar (2010), we expect a mean score change of .71 points on a 5-point scale. In other words, we expect that an average score on our attitude question of 3 (‘no opinion’) before deliberation will shift to a score of 3.71 (closer to ‘important’) after the deliberation, a meaningful shift</w:t>
      </w:r>
      <w:r w:rsidR="00982BE3" w:rsidRPr="00591BB3">
        <w:rPr>
          <w:rFonts w:ascii="Times New Roman" w:hAnsi="Times New Roman"/>
          <w:sz w:val="24"/>
          <w:szCs w:val="24"/>
        </w:rPr>
        <w:t xml:space="preserve">. </w:t>
      </w:r>
      <w:r w:rsidRPr="00591BB3">
        <w:rPr>
          <w:rFonts w:ascii="Times New Roman" w:hAnsi="Times New Roman"/>
          <w:sz w:val="24"/>
          <w:szCs w:val="24"/>
        </w:rPr>
        <w:t>From the statistical power perspective, the pre-post change of 0.71 scale points is equivalent to the standardized effect size of 0.69 that Farrar et al. reported, a moderate to large effect based on Cohen’s criteria. </w:t>
      </w:r>
    </w:p>
    <w:p w:rsidR="00627AC6" w:rsidRPr="00591BB3" w:rsidRDefault="00627AC6">
      <w:pPr>
        <w:pStyle w:val="NoSpacing"/>
        <w:rPr>
          <w:rFonts w:ascii="Times New Roman" w:hAnsi="Times New Roman"/>
          <w:sz w:val="24"/>
          <w:szCs w:val="24"/>
        </w:rPr>
      </w:pPr>
    </w:p>
    <w:p w:rsidR="00627AC6" w:rsidRPr="00591BB3" w:rsidRDefault="00957F14">
      <w:pPr>
        <w:pStyle w:val="Heading1"/>
        <w:spacing w:before="0" w:after="0"/>
        <w:ind w:left="0" w:firstLine="0"/>
      </w:pPr>
      <w:bookmarkStart w:id="20" w:name="_Toc301878592"/>
      <w:bookmarkStart w:id="21" w:name="_Toc301878642"/>
      <w:bookmarkStart w:id="22" w:name="_Toc302645953"/>
      <w:r w:rsidRPr="00591BB3">
        <w:t>2</w:t>
      </w:r>
      <w:r w:rsidR="00D205E2" w:rsidRPr="00591BB3">
        <w:t>.</w:t>
      </w:r>
      <w:r w:rsidRPr="00591BB3">
        <w:tab/>
        <w:t xml:space="preserve">Procedures for the Collection of </w:t>
      </w:r>
      <w:smartTag w:uri="urn:schemas-microsoft-com:office:smarttags" w:element="PersonName">
        <w:r w:rsidRPr="00591BB3">
          <w:t>Info</w:t>
        </w:r>
      </w:smartTag>
      <w:r w:rsidRPr="00591BB3">
        <w:t>rmation</w:t>
      </w:r>
      <w:bookmarkEnd w:id="20"/>
      <w:bookmarkEnd w:id="21"/>
      <w:bookmarkEnd w:id="22"/>
    </w:p>
    <w:p w:rsidR="00627AC6" w:rsidRPr="00591BB3" w:rsidRDefault="00627AC6">
      <w:pPr>
        <w:rPr>
          <w:b/>
        </w:rPr>
      </w:pPr>
    </w:p>
    <w:p w:rsidR="00627AC6" w:rsidRPr="00591BB3" w:rsidRDefault="00631358">
      <w:r w:rsidRPr="00591BB3">
        <w:rPr>
          <w:b/>
        </w:rPr>
        <w:t>Knowledge and Attitudes surveys (Attachment</w:t>
      </w:r>
      <w:r w:rsidR="005D2CD7" w:rsidRPr="00591BB3">
        <w:rPr>
          <w:b/>
        </w:rPr>
        <w:t>s</w:t>
      </w:r>
      <w:r w:rsidRPr="00591BB3">
        <w:rPr>
          <w:b/>
        </w:rPr>
        <w:t xml:space="preserve"> </w:t>
      </w:r>
      <w:r w:rsidR="00595180" w:rsidRPr="00591BB3">
        <w:rPr>
          <w:b/>
        </w:rPr>
        <w:t>C</w:t>
      </w:r>
      <w:r w:rsidR="005D2CD7" w:rsidRPr="00591BB3">
        <w:rPr>
          <w:b/>
        </w:rPr>
        <w:t xml:space="preserve"> and E</w:t>
      </w:r>
      <w:r w:rsidRPr="00591BB3">
        <w:rPr>
          <w:b/>
        </w:rPr>
        <w:t>)</w:t>
      </w:r>
    </w:p>
    <w:p w:rsidR="00627AC6" w:rsidRPr="00591BB3" w:rsidRDefault="00627AC6">
      <w:pPr>
        <w:pStyle w:val="CFBodyText"/>
        <w:spacing w:after="0"/>
        <w:rPr>
          <w:u w:val="single"/>
        </w:rPr>
      </w:pPr>
    </w:p>
    <w:p w:rsidR="00627AC6" w:rsidRPr="00591BB3" w:rsidRDefault="00631358">
      <w:pPr>
        <w:pStyle w:val="CFBodyText"/>
        <w:spacing w:after="0"/>
      </w:pPr>
      <w:r w:rsidRPr="00591BB3">
        <w:rPr>
          <w:u w:val="single"/>
        </w:rPr>
        <w:t>Objectives</w:t>
      </w:r>
      <w:r w:rsidR="00FB42AB" w:rsidRPr="00591BB3">
        <w:t xml:space="preserve">. </w:t>
      </w:r>
      <w:r w:rsidRPr="00591BB3">
        <w:t>The primary purpose of these surveys is to measure the effect of the deliberati</w:t>
      </w:r>
      <w:r w:rsidR="00F25ECC" w:rsidRPr="00591BB3">
        <w:t xml:space="preserve">on </w:t>
      </w:r>
      <w:r w:rsidRPr="00591BB3">
        <w:t>on knowledge of and attitudes toward the deliberative topic</w:t>
      </w:r>
      <w:r w:rsidR="00595180" w:rsidRPr="00591BB3">
        <w:t>s</w:t>
      </w:r>
      <w:r w:rsidR="00F25ECC" w:rsidRPr="00591BB3">
        <w:t>. We will compare pre- and post-deliberation knowledge and attitude measures for each of the contrasts discussed above.</w:t>
      </w:r>
    </w:p>
    <w:p w:rsidR="00627AC6" w:rsidRPr="00591BB3" w:rsidRDefault="00627AC6">
      <w:pPr>
        <w:pStyle w:val="CFBodyText"/>
        <w:spacing w:after="0"/>
        <w:rPr>
          <w:u w:val="single"/>
        </w:rPr>
      </w:pPr>
    </w:p>
    <w:p w:rsidR="00627AC6" w:rsidRPr="00591BB3" w:rsidRDefault="00631358">
      <w:pPr>
        <w:pStyle w:val="CFBodyText"/>
        <w:spacing w:after="0"/>
        <w:rPr>
          <w:u w:val="single"/>
        </w:rPr>
      </w:pPr>
      <w:r w:rsidRPr="00591BB3">
        <w:rPr>
          <w:u w:val="single"/>
        </w:rPr>
        <w:t>Participants.</w:t>
      </w:r>
      <w:r w:rsidRPr="00591BB3">
        <w:t xml:space="preserve"> The surveys will be conducted with</w:t>
      </w:r>
      <w:r w:rsidR="00E76EF2" w:rsidRPr="00591BB3">
        <w:t xml:space="preserve"> a 30% oversample of </w:t>
      </w:r>
      <w:r w:rsidRPr="00591BB3">
        <w:t>both deliberative methods participants and control subjects</w:t>
      </w:r>
      <w:r w:rsidR="00E76EF2" w:rsidRPr="00591BB3">
        <w:t xml:space="preserve"> (</w:t>
      </w:r>
      <w:r w:rsidR="0041632A" w:rsidRPr="00591BB3">
        <w:t>n=1,680</w:t>
      </w:r>
      <w:r w:rsidR="00E76EF2" w:rsidRPr="00591BB3">
        <w:t>)</w:t>
      </w:r>
      <w:r w:rsidR="00FB42AB" w:rsidRPr="00591BB3">
        <w:t xml:space="preserve">. </w:t>
      </w:r>
      <w:r w:rsidR="00E76EF2" w:rsidRPr="00591BB3">
        <w:t xml:space="preserve">The oversample is necessary to guard against </w:t>
      </w:r>
      <w:r w:rsidR="008B3834" w:rsidRPr="00591BB3">
        <w:t xml:space="preserve">the expected </w:t>
      </w:r>
      <w:r w:rsidR="00E76EF2" w:rsidRPr="00591BB3">
        <w:t>attrition</w:t>
      </w:r>
      <w:r w:rsidR="008B3834" w:rsidRPr="00591BB3">
        <w:t xml:space="preserve"> of 30</w:t>
      </w:r>
      <w:r w:rsidR="00D769B7" w:rsidRPr="00591BB3">
        <w:t>%</w:t>
      </w:r>
      <w:r w:rsidR="008B3834" w:rsidRPr="00591BB3">
        <w:t xml:space="preserve"> </w:t>
      </w:r>
      <w:r w:rsidR="00E76EF2" w:rsidRPr="00591BB3">
        <w:t>between the time respondents consent and agree to part</w:t>
      </w:r>
      <w:r w:rsidR="008B3834" w:rsidRPr="00591BB3">
        <w:t>icipate</w:t>
      </w:r>
      <w:r w:rsidR="00E76EF2" w:rsidRPr="00591BB3">
        <w:t xml:space="preserve"> in the study and the time of the actual implementation of the </w:t>
      </w:r>
      <w:r w:rsidR="008B3834" w:rsidRPr="00591BB3">
        <w:t>deliberative sessions</w:t>
      </w:r>
      <w:r w:rsidR="00982BE3" w:rsidRPr="00591BB3">
        <w:t xml:space="preserve">. </w:t>
      </w:r>
      <w:r w:rsidR="00D7593D" w:rsidRPr="00591BB3">
        <w:t xml:space="preserve">This estimate is based on </w:t>
      </w:r>
      <w:r w:rsidR="00D769B7" w:rsidRPr="00591BB3">
        <w:t>our experience</w:t>
      </w:r>
      <w:r w:rsidR="00D7593D" w:rsidRPr="00591BB3">
        <w:t xml:space="preserve"> in recruiting for and implementing similar events. </w:t>
      </w:r>
    </w:p>
    <w:p w:rsidR="00627AC6" w:rsidRPr="00591BB3" w:rsidRDefault="00627AC6">
      <w:pPr>
        <w:pStyle w:val="BodyText"/>
        <w:shd w:val="clear" w:color="auto" w:fill="FFFFFF"/>
        <w:spacing w:after="0"/>
        <w:rPr>
          <w:u w:val="single"/>
        </w:rPr>
      </w:pPr>
    </w:p>
    <w:p w:rsidR="00D769B7" w:rsidRPr="00591BB3" w:rsidRDefault="00D769B7" w:rsidP="00D769B7">
      <w:pPr>
        <w:pStyle w:val="BodyText"/>
        <w:shd w:val="clear" w:color="auto" w:fill="FFFFFF"/>
        <w:spacing w:after="0"/>
        <w:rPr>
          <w:b/>
        </w:rPr>
      </w:pPr>
      <w:r w:rsidRPr="00591BB3">
        <w:rPr>
          <w:u w:val="single"/>
        </w:rPr>
        <w:t>Procedures</w:t>
      </w:r>
      <w:r w:rsidRPr="00591BB3">
        <w:t xml:space="preserve">. As described, recruitment for the study will be conducted by a local recruitment firm from each of the four geographic locations. Recruitment firms will call the selected sample of participants from their database and ask participants screening questions. Participants who agree to take part in the study will go on to receive, in electronic format, the full informed consent text (Attachment A). Participants will be asked to (1) select the deliberative methods they agree to take part in (per the selection procedures described above), (2) consent to completing the surveys that are part of the evaluation of the methods, and (3) consent to having their participation in the deliberative methods recorded by audio-recordings using procedures that will not identify individual participants. When the online consent process is complete, participants will be asked to complete the online baseline Knowledge and Attitudes survey. Participants will be given the option of completing the survey at the time of consent or return later to complete the survey. We will send email reminders to participants who do not complete the survey at the time of consent. The follow-up Knowledge and Attitudes survey will be administered online within a week of participation in the deliberative methods. The online survey will be administered to all sampled participants regardless of whether or not they actually participate in the deliberative sessions, which will enable us to conduct a non-response analysis. The follow-up survey will be administered to controls in a staggered period to correspond to the deliberative methods implementation schedule to minimize temporal bias.  </w:t>
      </w:r>
    </w:p>
    <w:p w:rsidR="00627AC6" w:rsidRPr="00591BB3" w:rsidRDefault="00627AC6">
      <w:pPr>
        <w:pStyle w:val="BodyText"/>
        <w:shd w:val="clear" w:color="auto" w:fill="FFFFFF"/>
        <w:spacing w:after="0"/>
        <w:rPr>
          <w:b/>
        </w:rPr>
      </w:pPr>
    </w:p>
    <w:p w:rsidR="00627AC6" w:rsidRPr="00591BB3" w:rsidRDefault="00631358">
      <w:pPr>
        <w:pStyle w:val="BodyText"/>
        <w:shd w:val="clear" w:color="auto" w:fill="FFFFFF"/>
        <w:spacing w:after="0"/>
        <w:rPr>
          <w:b/>
        </w:rPr>
      </w:pPr>
      <w:r w:rsidRPr="00591BB3">
        <w:rPr>
          <w:b/>
        </w:rPr>
        <w:t>Deliberative Experience Survey</w:t>
      </w:r>
      <w:r w:rsidR="00FD4CE9" w:rsidRPr="00591BB3">
        <w:rPr>
          <w:b/>
        </w:rPr>
        <w:t xml:space="preserve"> (Attachment </w:t>
      </w:r>
      <w:r w:rsidR="005D2CD7" w:rsidRPr="00591BB3">
        <w:rPr>
          <w:b/>
        </w:rPr>
        <w:t>F</w:t>
      </w:r>
      <w:r w:rsidR="00FD4CE9" w:rsidRPr="00591BB3">
        <w:rPr>
          <w:b/>
        </w:rPr>
        <w:t xml:space="preserve">)  </w:t>
      </w:r>
    </w:p>
    <w:p w:rsidR="00627AC6" w:rsidRPr="00591BB3" w:rsidRDefault="00627AC6">
      <w:pPr>
        <w:pStyle w:val="CFBodyText"/>
        <w:spacing w:after="0"/>
        <w:rPr>
          <w:u w:val="single"/>
        </w:rPr>
      </w:pPr>
    </w:p>
    <w:p w:rsidR="00D769B7" w:rsidRPr="00591BB3" w:rsidRDefault="00D769B7" w:rsidP="00D769B7">
      <w:pPr>
        <w:pStyle w:val="CFBodyText"/>
        <w:spacing w:after="0"/>
      </w:pPr>
      <w:r w:rsidRPr="00591BB3">
        <w:rPr>
          <w:u w:val="single"/>
        </w:rPr>
        <w:t xml:space="preserve">Objectives. </w:t>
      </w:r>
      <w:r w:rsidRPr="00591BB3">
        <w:t>As mentioned, the four deliberative methods vary in duration, mode, educational materials, and other characteristics described in Supporting Statement A. We expect that these differences will affect participants’ experiences of and satisfaction with the deliberative process. To test this expectation, we will administer a post-intervention survey with persons who take part in the deliberative methods to obtain their reports about and ratings of the experience to determine participant preferences for each method. In the event that differences among methods in other outcomes, such as change in knowledge, attitudes, and beliefs, are small, participant preferences for characteristics of the method could be determining factors in deciding among methods to implement.</w:t>
      </w:r>
    </w:p>
    <w:p w:rsidR="00627AC6" w:rsidRPr="00591BB3" w:rsidRDefault="00627AC6">
      <w:pPr>
        <w:pStyle w:val="BodyText"/>
        <w:shd w:val="clear" w:color="auto" w:fill="FFFFFF"/>
        <w:spacing w:after="0"/>
        <w:rPr>
          <w:u w:val="single"/>
        </w:rPr>
      </w:pPr>
    </w:p>
    <w:p w:rsidR="00627AC6" w:rsidRPr="00591BB3" w:rsidRDefault="00631358">
      <w:pPr>
        <w:pStyle w:val="BodyText"/>
        <w:shd w:val="clear" w:color="auto" w:fill="FFFFFF"/>
        <w:spacing w:after="0"/>
        <w:rPr>
          <w:u w:val="single"/>
        </w:rPr>
      </w:pPr>
      <w:r w:rsidRPr="00591BB3">
        <w:rPr>
          <w:u w:val="single"/>
        </w:rPr>
        <w:t>Participants.</w:t>
      </w:r>
      <w:r w:rsidRPr="00591BB3">
        <w:t xml:space="preserve"> The survey will be administered to all </w:t>
      </w:r>
      <w:r w:rsidR="00E76EF2" w:rsidRPr="00591BB3">
        <w:t xml:space="preserve">individuals taking </w:t>
      </w:r>
      <w:r w:rsidRPr="00591BB3">
        <w:t>par</w:t>
      </w:r>
      <w:r w:rsidR="003D3A0F" w:rsidRPr="00591BB3">
        <w:t>t in the deliberative methods (n=</w:t>
      </w:r>
      <w:r w:rsidR="0041632A" w:rsidRPr="00591BB3">
        <w:t>960</w:t>
      </w:r>
      <w:r w:rsidR="003D3A0F" w:rsidRPr="00591BB3">
        <w:t>)</w:t>
      </w:r>
      <w:r w:rsidR="00982BE3" w:rsidRPr="00591BB3">
        <w:t xml:space="preserve">. </w:t>
      </w:r>
      <w:r w:rsidR="00E2312A" w:rsidRPr="00591BB3">
        <w:t>Control group members will not be surveyed.</w:t>
      </w:r>
    </w:p>
    <w:p w:rsidR="00627AC6" w:rsidRPr="00591BB3" w:rsidRDefault="00627AC6">
      <w:pPr>
        <w:rPr>
          <w:u w:val="single"/>
        </w:rPr>
      </w:pPr>
    </w:p>
    <w:p w:rsidR="00627AC6" w:rsidRPr="00591BB3" w:rsidRDefault="00631358">
      <w:pPr>
        <w:rPr>
          <w:color w:val="000000"/>
        </w:rPr>
      </w:pPr>
      <w:r w:rsidRPr="00591BB3">
        <w:rPr>
          <w:u w:val="single"/>
        </w:rPr>
        <w:t>Procedures</w:t>
      </w:r>
      <w:r w:rsidR="00FB42AB" w:rsidRPr="00591BB3">
        <w:rPr>
          <w:u w:val="single"/>
        </w:rPr>
        <w:t>.</w:t>
      </w:r>
      <w:r w:rsidR="00FB42AB" w:rsidRPr="00591BB3">
        <w:t xml:space="preserve"> </w:t>
      </w:r>
      <w:r w:rsidRPr="00591BB3">
        <w:rPr>
          <w:color w:val="000000"/>
        </w:rPr>
        <w:t>For</w:t>
      </w:r>
      <w:r w:rsidR="003D3A0F" w:rsidRPr="00591BB3">
        <w:rPr>
          <w:color w:val="000000"/>
        </w:rPr>
        <w:t xml:space="preserve"> the four</w:t>
      </w:r>
      <w:r w:rsidRPr="00591BB3">
        <w:rPr>
          <w:color w:val="000000"/>
        </w:rPr>
        <w:t xml:space="preserve"> in-person deliberative methods, </w:t>
      </w:r>
      <w:r w:rsidR="00C612AB" w:rsidRPr="00591BB3">
        <w:rPr>
          <w:color w:val="000000"/>
        </w:rPr>
        <w:t xml:space="preserve">a pen and paper </w:t>
      </w:r>
      <w:r w:rsidR="00C62490" w:rsidRPr="00591BB3">
        <w:rPr>
          <w:color w:val="000000"/>
        </w:rPr>
        <w:t>survey</w:t>
      </w:r>
      <w:r w:rsidRPr="00591BB3">
        <w:rPr>
          <w:color w:val="000000"/>
        </w:rPr>
        <w:t xml:space="preserve"> will be administered prior to leaving the facility at which the deliberative method </w:t>
      </w:r>
      <w:r w:rsidR="003D3A0F" w:rsidRPr="00591BB3">
        <w:rPr>
          <w:color w:val="000000"/>
        </w:rPr>
        <w:t>is</w:t>
      </w:r>
      <w:r w:rsidRPr="00591BB3">
        <w:rPr>
          <w:color w:val="000000"/>
        </w:rPr>
        <w:t xml:space="preserve"> held</w:t>
      </w:r>
      <w:r w:rsidR="00FB42AB" w:rsidRPr="00591BB3">
        <w:rPr>
          <w:color w:val="000000"/>
        </w:rPr>
        <w:t xml:space="preserve">. </w:t>
      </w:r>
      <w:r w:rsidRPr="00591BB3">
        <w:rPr>
          <w:color w:val="000000"/>
        </w:rPr>
        <w:t xml:space="preserve">For the online method, it will be administered online at the immediate conclusion of the </w:t>
      </w:r>
      <w:r w:rsidR="00E2312A" w:rsidRPr="00591BB3">
        <w:rPr>
          <w:color w:val="000000"/>
        </w:rPr>
        <w:t xml:space="preserve">final </w:t>
      </w:r>
      <w:r w:rsidRPr="00591BB3">
        <w:rPr>
          <w:color w:val="000000"/>
        </w:rPr>
        <w:t xml:space="preserve">deliberative </w:t>
      </w:r>
      <w:r w:rsidR="00E2312A" w:rsidRPr="00591BB3">
        <w:rPr>
          <w:color w:val="000000"/>
        </w:rPr>
        <w:t>session</w:t>
      </w:r>
      <w:r w:rsidRPr="00591BB3">
        <w:rPr>
          <w:color w:val="000000"/>
        </w:rPr>
        <w:t xml:space="preserve">.   </w:t>
      </w:r>
    </w:p>
    <w:p w:rsidR="00627AC6" w:rsidRPr="00591BB3" w:rsidRDefault="00627AC6">
      <w:pPr>
        <w:pStyle w:val="BodyText"/>
        <w:shd w:val="clear" w:color="auto" w:fill="FFFFFF"/>
        <w:spacing w:after="0"/>
        <w:rPr>
          <w:b/>
        </w:rPr>
      </w:pPr>
    </w:p>
    <w:p w:rsidR="00627AC6" w:rsidRPr="00591BB3" w:rsidRDefault="00926F6E">
      <w:pPr>
        <w:pStyle w:val="BodyText"/>
        <w:shd w:val="clear" w:color="auto" w:fill="FFFFFF"/>
        <w:spacing w:after="0"/>
        <w:rPr>
          <w:b/>
        </w:rPr>
      </w:pPr>
      <w:r w:rsidRPr="00591BB3">
        <w:rPr>
          <w:b/>
        </w:rPr>
        <w:t>Audio-</w:t>
      </w:r>
      <w:r w:rsidR="0007081F" w:rsidRPr="00591BB3">
        <w:rPr>
          <w:b/>
        </w:rPr>
        <w:t xml:space="preserve"> and video-</w:t>
      </w:r>
      <w:r w:rsidRPr="00591BB3">
        <w:rPr>
          <w:b/>
        </w:rPr>
        <w:t xml:space="preserve">recording </w:t>
      </w:r>
      <w:r w:rsidR="0030451E" w:rsidRPr="00591BB3">
        <w:rPr>
          <w:b/>
        </w:rPr>
        <w:t>transcript review</w:t>
      </w:r>
    </w:p>
    <w:p w:rsidR="00627AC6" w:rsidRPr="00591BB3" w:rsidRDefault="00627AC6">
      <w:pPr>
        <w:pStyle w:val="CFBodyText"/>
        <w:spacing w:after="0"/>
        <w:rPr>
          <w:u w:val="single"/>
        </w:rPr>
      </w:pPr>
      <w:bookmarkStart w:id="23" w:name="_Toc301878593"/>
      <w:bookmarkStart w:id="24" w:name="_Toc301878643"/>
    </w:p>
    <w:p w:rsidR="00627AC6" w:rsidRPr="00591BB3" w:rsidRDefault="0030451E">
      <w:pPr>
        <w:pStyle w:val="CFBodyText"/>
        <w:spacing w:after="0"/>
      </w:pPr>
      <w:r w:rsidRPr="00591BB3">
        <w:rPr>
          <w:u w:val="single"/>
        </w:rPr>
        <w:t xml:space="preserve">Objective. </w:t>
      </w:r>
      <w:r w:rsidR="003D3A0F" w:rsidRPr="00591BB3">
        <w:t xml:space="preserve">To collect qualitative data to summarize and report the results of the deliberations on the issue, the </w:t>
      </w:r>
      <w:r w:rsidR="003D3A0F" w:rsidRPr="00591BB3">
        <w:rPr>
          <w:i/>
        </w:rPr>
        <w:t>use of research evidence in healthcare decision-making</w:t>
      </w:r>
      <w:r w:rsidR="003D3A0F" w:rsidRPr="00591BB3">
        <w:t xml:space="preserve">.    </w:t>
      </w:r>
    </w:p>
    <w:bookmarkEnd w:id="23"/>
    <w:bookmarkEnd w:id="24"/>
    <w:p w:rsidR="00627AC6" w:rsidRPr="00591BB3" w:rsidRDefault="00627AC6">
      <w:pPr>
        <w:rPr>
          <w:b/>
        </w:rPr>
      </w:pPr>
    </w:p>
    <w:p w:rsidR="00627AC6" w:rsidRPr="00591BB3" w:rsidRDefault="00086F8E">
      <w:r w:rsidRPr="00591BB3">
        <w:rPr>
          <w:u w:val="single"/>
        </w:rPr>
        <w:t>Participants</w:t>
      </w:r>
      <w:r w:rsidR="00E2312A" w:rsidRPr="00591BB3">
        <w:rPr>
          <w:u w:val="single"/>
        </w:rPr>
        <w:t xml:space="preserve">. </w:t>
      </w:r>
      <w:r w:rsidR="00F34CE5" w:rsidRPr="00591BB3">
        <w:t xml:space="preserve">All </w:t>
      </w:r>
      <w:r w:rsidR="003D3A0F" w:rsidRPr="00591BB3">
        <w:t>deliberation participants</w:t>
      </w:r>
      <w:r w:rsidR="00982BE3" w:rsidRPr="00591BB3">
        <w:t xml:space="preserve">. </w:t>
      </w:r>
      <w:r w:rsidR="00E2312A" w:rsidRPr="00591BB3">
        <w:t>Control group members will be excluded.</w:t>
      </w:r>
    </w:p>
    <w:p w:rsidR="00627AC6" w:rsidRPr="00591BB3" w:rsidRDefault="00627AC6"/>
    <w:p w:rsidR="00627AC6" w:rsidRPr="00591BB3" w:rsidRDefault="00086F8E">
      <w:pPr>
        <w:pStyle w:val="CFBodyText"/>
        <w:spacing w:after="0"/>
      </w:pPr>
      <w:r w:rsidRPr="00591BB3">
        <w:rPr>
          <w:u w:val="single"/>
        </w:rPr>
        <w:t>Procedure</w:t>
      </w:r>
      <w:r w:rsidR="00982BE3" w:rsidRPr="00591BB3">
        <w:rPr>
          <w:u w:val="single"/>
        </w:rPr>
        <w:t xml:space="preserve">. </w:t>
      </w:r>
      <w:r w:rsidR="00926F6E" w:rsidRPr="00591BB3">
        <w:t>Audio-</w:t>
      </w:r>
      <w:r w:rsidR="0007081F" w:rsidRPr="00591BB3">
        <w:t xml:space="preserve"> and video-</w:t>
      </w:r>
      <w:r w:rsidR="00926F6E" w:rsidRPr="00591BB3">
        <w:t>recordings</w:t>
      </w:r>
      <w:r w:rsidR="00F34CE5" w:rsidRPr="00591BB3">
        <w:t xml:space="preserve"> of all deliberative sessions will be transcribed and cleaned (e.g., correction of typographical errors, mis-identified speakers, inaccurate acronyms). </w:t>
      </w:r>
      <w:r w:rsidR="00C62490" w:rsidRPr="00591BB3">
        <w:t xml:space="preserve">Qualitative data will include </w:t>
      </w:r>
      <w:r w:rsidR="00F34CE5" w:rsidRPr="00591BB3">
        <w:t xml:space="preserve">transcripts and notes from team debriefings that </w:t>
      </w:r>
      <w:r w:rsidR="00C62490" w:rsidRPr="00591BB3">
        <w:t xml:space="preserve">will be conducted immediately following </w:t>
      </w:r>
      <w:r w:rsidR="00FB42AB" w:rsidRPr="00591BB3">
        <w:t>all deliberative</w:t>
      </w:r>
      <w:r w:rsidR="00F34CE5" w:rsidRPr="00591BB3">
        <w:t xml:space="preserve"> sessions. </w:t>
      </w:r>
    </w:p>
    <w:p w:rsidR="00627AC6" w:rsidRPr="00591BB3" w:rsidRDefault="00627AC6">
      <w:pPr>
        <w:rPr>
          <w:rFonts w:eastAsia="Calibri"/>
        </w:rPr>
      </w:pPr>
    </w:p>
    <w:p w:rsidR="00627AC6" w:rsidRPr="00591BB3" w:rsidRDefault="0030451E">
      <w:pPr>
        <w:rPr>
          <w:rFonts w:eastAsia="Calibri"/>
        </w:rPr>
      </w:pPr>
      <w:r w:rsidRPr="00591BB3">
        <w:rPr>
          <w:rFonts w:eastAsia="Calibri"/>
        </w:rPr>
        <w:t>W</w:t>
      </w:r>
      <w:r w:rsidR="003633D3" w:rsidRPr="00591BB3">
        <w:rPr>
          <w:rFonts w:eastAsia="Calibri"/>
        </w:rPr>
        <w:t xml:space="preserve">e will define and apply a coding system for the </w:t>
      </w:r>
      <w:r w:rsidR="00E2312A" w:rsidRPr="00591BB3">
        <w:rPr>
          <w:rFonts w:eastAsia="Calibri"/>
        </w:rPr>
        <w:t xml:space="preserve">transcripts of the </w:t>
      </w:r>
      <w:r w:rsidR="003633D3" w:rsidRPr="00591BB3">
        <w:rPr>
          <w:rFonts w:eastAsia="Calibri"/>
        </w:rPr>
        <w:t>deliberati</w:t>
      </w:r>
      <w:r w:rsidR="00E2312A" w:rsidRPr="00591BB3">
        <w:rPr>
          <w:rFonts w:eastAsia="Calibri"/>
        </w:rPr>
        <w:t>ve sessions</w:t>
      </w:r>
      <w:r w:rsidR="003633D3" w:rsidRPr="00591BB3">
        <w:rPr>
          <w:rFonts w:eastAsia="Calibri"/>
        </w:rPr>
        <w:t xml:space="preserve">. This coding system will be applied using qualitative </w:t>
      </w:r>
      <w:r w:rsidR="00E2312A" w:rsidRPr="00591BB3">
        <w:rPr>
          <w:rFonts w:eastAsia="Calibri"/>
        </w:rPr>
        <w:t xml:space="preserve">analysis </w:t>
      </w:r>
      <w:r w:rsidR="003633D3" w:rsidRPr="00591BB3">
        <w:rPr>
          <w:rFonts w:eastAsia="Calibri"/>
        </w:rPr>
        <w:t xml:space="preserve">software to facilitate the retrieval, </w:t>
      </w:r>
      <w:r w:rsidR="0007081F" w:rsidRPr="00591BB3">
        <w:rPr>
          <w:rFonts w:eastAsia="Calibri"/>
        </w:rPr>
        <w:t>reduction</w:t>
      </w:r>
      <w:r w:rsidR="003633D3" w:rsidRPr="00591BB3">
        <w:rPr>
          <w:rFonts w:eastAsia="Calibri"/>
        </w:rPr>
        <w:t xml:space="preserve">, and </w:t>
      </w:r>
      <w:r w:rsidR="0007081F" w:rsidRPr="00591BB3">
        <w:rPr>
          <w:rFonts w:eastAsia="Calibri"/>
        </w:rPr>
        <w:t xml:space="preserve">analysis </w:t>
      </w:r>
      <w:r w:rsidR="003633D3" w:rsidRPr="00591BB3">
        <w:rPr>
          <w:rFonts w:eastAsia="Calibri"/>
        </w:rPr>
        <w:t xml:space="preserve">of data. The data will be coded by assigning labels to the units, clustering the codes into categories and hypothesizing about relationships among the categories. This process facilitates the identification of patterns and themes that could explain differences in outcomes.  </w:t>
      </w:r>
    </w:p>
    <w:p w:rsidR="00627AC6" w:rsidRPr="00591BB3" w:rsidRDefault="00627AC6">
      <w:pPr>
        <w:rPr>
          <w:rFonts w:ascii="Arial" w:hAnsi="Arial" w:cs="Arial"/>
          <w:b/>
          <w:bCs/>
          <w:kern w:val="32"/>
        </w:rPr>
      </w:pPr>
      <w:bookmarkStart w:id="25" w:name="_Toc443881765"/>
      <w:bookmarkStart w:id="26" w:name="_Toc451592252"/>
      <w:bookmarkStart w:id="27" w:name="_Toc5610293"/>
      <w:bookmarkStart w:id="28" w:name="_Toc99178799"/>
      <w:bookmarkStart w:id="29" w:name="_Toc301878596"/>
      <w:bookmarkStart w:id="30" w:name="_Toc301878646"/>
      <w:bookmarkStart w:id="31" w:name="_Toc302645954"/>
    </w:p>
    <w:p w:rsidR="00627AC6" w:rsidRPr="00591BB3" w:rsidRDefault="00957F14">
      <w:pPr>
        <w:pStyle w:val="Heading1"/>
        <w:spacing w:before="0" w:after="0"/>
      </w:pPr>
      <w:r w:rsidRPr="00591BB3">
        <w:t>3</w:t>
      </w:r>
      <w:r w:rsidR="00D205E2" w:rsidRPr="00591BB3">
        <w:t>.</w:t>
      </w:r>
      <w:r w:rsidRPr="00591BB3">
        <w:tab/>
        <w:t>Methods to Maximize Response Rates and Deal with Nonresponse</w:t>
      </w:r>
      <w:bookmarkEnd w:id="25"/>
      <w:bookmarkEnd w:id="26"/>
      <w:bookmarkEnd w:id="27"/>
      <w:bookmarkEnd w:id="28"/>
      <w:bookmarkEnd w:id="29"/>
      <w:bookmarkEnd w:id="30"/>
      <w:bookmarkEnd w:id="31"/>
    </w:p>
    <w:p w:rsidR="00627AC6" w:rsidRPr="00591BB3" w:rsidRDefault="00627AC6"/>
    <w:p w:rsidR="00D769B7" w:rsidRPr="00591BB3" w:rsidRDefault="00D769B7" w:rsidP="00D769B7">
      <w:pPr>
        <w:pStyle w:val="CFBodyText"/>
        <w:spacing w:after="0"/>
      </w:pPr>
      <w:r w:rsidRPr="00591BB3">
        <w:rPr>
          <w:b/>
        </w:rPr>
        <w:t>Participant recruitment.</w:t>
      </w:r>
      <w:r w:rsidRPr="00591BB3">
        <w:t xml:space="preserve"> Local recruitment firms will be used to recruit participants and collect informed consent. AIR will administer the online Knowledge and Attitude pre-test and post-test surveys. Participants recruited by recruitment firms have higher response rates than population-based sample selection methods such as random digit dialing because the respondents have previously expressed interest in taking part in research projects. This reduces the number of persons that need to be contacted in order to achieve the desired sample size, which reduces the total burden. The recruitment firms collect demographic data on their members that can be used to achieve the desired participant mix (e.g., ensure participation by under-represented groups), which also reduces the number of people we need to contact and enables us to conduct non-response analysis. </w:t>
      </w:r>
    </w:p>
    <w:p w:rsidR="00627AC6" w:rsidRPr="00591BB3" w:rsidRDefault="00627AC6"/>
    <w:p w:rsidR="00441B14" w:rsidRPr="00591BB3" w:rsidRDefault="00FD4CE9" w:rsidP="00441B14">
      <w:r w:rsidRPr="00591BB3">
        <w:rPr>
          <w:b/>
        </w:rPr>
        <w:t>Knowledge and Attitudes surveys (Attachment</w:t>
      </w:r>
      <w:r w:rsidR="005D2CD7" w:rsidRPr="00591BB3">
        <w:rPr>
          <w:b/>
        </w:rPr>
        <w:t>s</w:t>
      </w:r>
      <w:r w:rsidRPr="00591BB3">
        <w:rPr>
          <w:b/>
        </w:rPr>
        <w:t xml:space="preserve"> </w:t>
      </w:r>
      <w:r w:rsidR="003C0D61" w:rsidRPr="00591BB3">
        <w:rPr>
          <w:b/>
        </w:rPr>
        <w:t>C</w:t>
      </w:r>
      <w:r w:rsidR="005D2CD7" w:rsidRPr="00591BB3">
        <w:rPr>
          <w:b/>
        </w:rPr>
        <w:t xml:space="preserve"> and E</w:t>
      </w:r>
      <w:r w:rsidRPr="00591BB3">
        <w:rPr>
          <w:b/>
        </w:rPr>
        <w:t xml:space="preserve">). </w:t>
      </w:r>
      <w:r w:rsidR="00940F3C" w:rsidRPr="00591BB3">
        <w:t xml:space="preserve"> </w:t>
      </w:r>
      <w:r w:rsidR="00441B14" w:rsidRPr="00591BB3">
        <w:t xml:space="preserve">AIR will administer the online Knowledge and Attitude pre-test and post-test surveys. To maximize the response rate on these surveys, they will be administered online to make it convenient for participants to access and complete. Participants will be provided a payment of $25 for completion of each survey (pre-test and post-test). Compensation for time, effort, and inconvenience is typical for randomized controlled trials such as the one we are conducting and will improve the response rate for both the pre- and post-intervention surveys. We intend to administer both the pre- and post-intervention surveys to all 1,680 sampled persons, regardless of whether they participate in the deliberative sessions. This strategy will improve the quality of the nonresponse analysis by providing additional data on which to compare respondents and </w:t>
      </w:r>
      <w:proofErr w:type="spellStart"/>
      <w:r w:rsidR="00441B14" w:rsidRPr="00591BB3">
        <w:t>nonrespondents</w:t>
      </w:r>
      <w:proofErr w:type="spellEnd"/>
      <w:r w:rsidR="00441B14" w:rsidRPr="00591BB3">
        <w:t xml:space="preserve">. It will also enable us to conduct an “intent-to-treat” analysis (i.e., including both respondents and </w:t>
      </w:r>
      <w:proofErr w:type="spellStart"/>
      <w:r w:rsidR="00441B14" w:rsidRPr="00591BB3">
        <w:t>nonrespondents</w:t>
      </w:r>
      <w:proofErr w:type="spellEnd"/>
      <w:r w:rsidR="00441B14" w:rsidRPr="00591BB3">
        <w:t xml:space="preserve"> in the analytic statistical models), which compensates for the potential biasing effects of attrition. Our analysis will compare the findings from the intent-to-treat sample with the findings from the sample limited to those who participated to help us understand the impact of attrition on our findings.</w:t>
      </w:r>
    </w:p>
    <w:p w:rsidR="00441B14" w:rsidRPr="00591BB3" w:rsidRDefault="00441B14" w:rsidP="00441B14"/>
    <w:p w:rsidR="00627AC6" w:rsidRPr="00591BB3" w:rsidRDefault="00FD4CE9" w:rsidP="00D769B7">
      <w:r w:rsidRPr="00591BB3">
        <w:rPr>
          <w:b/>
        </w:rPr>
        <w:t>Deliberative Experience Survey (Attachment</w:t>
      </w:r>
      <w:r w:rsidR="00506994" w:rsidRPr="00591BB3">
        <w:rPr>
          <w:b/>
        </w:rPr>
        <w:t xml:space="preserve"> </w:t>
      </w:r>
      <w:r w:rsidR="005D2CD7" w:rsidRPr="00591BB3">
        <w:rPr>
          <w:b/>
        </w:rPr>
        <w:t>F</w:t>
      </w:r>
      <w:r w:rsidRPr="00591BB3">
        <w:rPr>
          <w:b/>
        </w:rPr>
        <w:t>)</w:t>
      </w:r>
      <w:r w:rsidR="00FB42AB" w:rsidRPr="00591BB3">
        <w:rPr>
          <w:b/>
        </w:rPr>
        <w:t xml:space="preserve">. </w:t>
      </w:r>
      <w:r w:rsidR="00CB4F27" w:rsidRPr="00591BB3">
        <w:t>To maximize the response rate on this survey, it will be administered at the immediate conclusion of the final deliberative session of each method. Participants will not receive a payment specifically for this survey; however, they will receive a combined payment for their participation in the deliberative session and completion of the immediate post-survey. The survey will be administered only to those sample members who complete the deliberation process to which they were assigned (n=960</w:t>
      </w:r>
      <w:r w:rsidR="00F72FA0" w:rsidRPr="00591BB3">
        <w:t>)</w:t>
      </w:r>
      <w:r w:rsidR="00084DFE" w:rsidRPr="00591BB3">
        <w:t xml:space="preserve">. </w:t>
      </w:r>
      <w:r w:rsidR="00F72FA0" w:rsidRPr="00591BB3">
        <w:t>It will not be administered to control group members.</w:t>
      </w:r>
    </w:p>
    <w:p w:rsidR="00CB4F27" w:rsidRPr="00591BB3" w:rsidRDefault="00CB4F27">
      <w:pPr>
        <w:rPr>
          <w:b/>
        </w:rPr>
      </w:pPr>
    </w:p>
    <w:p w:rsidR="00CB4F27" w:rsidRPr="00591BB3" w:rsidRDefault="00CB4F27" w:rsidP="00CB4F27">
      <w:pPr>
        <w:pStyle w:val="BodyText"/>
        <w:spacing w:after="0"/>
      </w:pPr>
      <w:r w:rsidRPr="00591BB3">
        <w:rPr>
          <w:b/>
        </w:rPr>
        <w:t xml:space="preserve">Audio- and video- recordings transcript review. </w:t>
      </w:r>
      <w:r w:rsidRPr="00591BB3">
        <w:t>The transcript review will capture data from 100% of the 960</w:t>
      </w:r>
      <w:r w:rsidR="00BA04C2" w:rsidRPr="00591BB3">
        <w:t xml:space="preserve"> </w:t>
      </w:r>
      <w:r w:rsidR="00193589" w:rsidRPr="00591BB3">
        <w:t xml:space="preserve">deliberation participants.  </w:t>
      </w:r>
    </w:p>
    <w:p w:rsidR="00627AC6" w:rsidRPr="00591BB3" w:rsidRDefault="00627AC6">
      <w:pPr>
        <w:pStyle w:val="Heading1"/>
        <w:spacing w:before="0" w:after="0"/>
      </w:pPr>
      <w:bookmarkStart w:id="32" w:name="_Toc443881766"/>
      <w:bookmarkStart w:id="33" w:name="_Toc451592253"/>
      <w:bookmarkStart w:id="34" w:name="_Toc5610294"/>
      <w:bookmarkStart w:id="35" w:name="_Toc99178800"/>
      <w:bookmarkStart w:id="36" w:name="_Toc301878597"/>
      <w:bookmarkStart w:id="37" w:name="_Toc301878647"/>
    </w:p>
    <w:p w:rsidR="00627AC6" w:rsidRPr="00591BB3" w:rsidRDefault="00957F14">
      <w:pPr>
        <w:pStyle w:val="Heading1"/>
        <w:spacing w:before="0" w:after="0"/>
      </w:pPr>
      <w:bookmarkStart w:id="38" w:name="_Toc302645955"/>
      <w:r w:rsidRPr="00591BB3">
        <w:t>4</w:t>
      </w:r>
      <w:r w:rsidR="00D205E2" w:rsidRPr="00591BB3">
        <w:t>.</w:t>
      </w:r>
      <w:r w:rsidRPr="00591BB3">
        <w:tab/>
        <w:t>Test of Procedures or Methods to be Undertaken</w:t>
      </w:r>
      <w:bookmarkEnd w:id="32"/>
      <w:bookmarkEnd w:id="33"/>
      <w:bookmarkEnd w:id="34"/>
      <w:bookmarkEnd w:id="35"/>
      <w:bookmarkEnd w:id="36"/>
      <w:bookmarkEnd w:id="37"/>
      <w:bookmarkEnd w:id="38"/>
    </w:p>
    <w:p w:rsidR="00627AC6" w:rsidRPr="00591BB3" w:rsidRDefault="00627AC6">
      <w:pPr>
        <w:rPr>
          <w:b/>
        </w:rPr>
      </w:pPr>
    </w:p>
    <w:p w:rsidR="00627AC6" w:rsidRPr="00591BB3" w:rsidRDefault="005113C0">
      <w:pPr>
        <w:rPr>
          <w:b/>
        </w:rPr>
      </w:pPr>
      <w:r w:rsidRPr="00591BB3">
        <w:rPr>
          <w:b/>
        </w:rPr>
        <w:t xml:space="preserve">Pilot of deliberative methods and qualitative analysis </w:t>
      </w:r>
    </w:p>
    <w:p w:rsidR="00627AC6" w:rsidRPr="00591BB3" w:rsidRDefault="00627AC6"/>
    <w:p w:rsidR="00627AC6" w:rsidRPr="00591BB3" w:rsidRDefault="005113C0">
      <w:r w:rsidRPr="00591BB3">
        <w:t>We conduct</w:t>
      </w:r>
      <w:r w:rsidR="004947AB" w:rsidRPr="00591BB3">
        <w:t>ed</w:t>
      </w:r>
      <w:r w:rsidRPr="00591BB3">
        <w:t xml:space="preserve"> a pilot</w:t>
      </w:r>
      <w:r w:rsidR="004947AB" w:rsidRPr="00591BB3">
        <w:t xml:space="preserve"> test</w:t>
      </w:r>
      <w:r w:rsidRPr="00591BB3">
        <w:t xml:space="preserve"> of the deliberative methods, implementing all </w:t>
      </w:r>
      <w:r w:rsidR="0041632A" w:rsidRPr="00591BB3">
        <w:t>four</w:t>
      </w:r>
      <w:r w:rsidR="007E52CF" w:rsidRPr="00591BB3">
        <w:t xml:space="preserve"> </w:t>
      </w:r>
      <w:r w:rsidRPr="00591BB3">
        <w:t>deliberative methods with fewer than 10 participants each</w:t>
      </w:r>
      <w:r w:rsidR="00982BE3" w:rsidRPr="00591BB3">
        <w:t xml:space="preserve">. </w:t>
      </w:r>
      <w:r w:rsidRPr="00591BB3">
        <w:t xml:space="preserve">The goals of the pilot </w:t>
      </w:r>
      <w:r w:rsidR="004947AB" w:rsidRPr="00591BB3">
        <w:t>were</w:t>
      </w:r>
      <w:r w:rsidRPr="00591BB3">
        <w:t xml:space="preserve"> to ensure that the various components of the study are implemented effectively</w:t>
      </w:r>
      <w:r w:rsidR="00FA5988" w:rsidRPr="00591BB3">
        <w:t>.</w:t>
      </w:r>
      <w:r w:rsidRPr="00591BB3">
        <w:t xml:space="preserve"> </w:t>
      </w:r>
      <w:r w:rsidR="00FA5988" w:rsidRPr="00591BB3">
        <w:t>T</w:t>
      </w:r>
      <w:r w:rsidRPr="00591BB3">
        <w:t>hese components include: recruitment and randomization procedures, educational materials, use of experts, technology tools, facilitat</w:t>
      </w:r>
      <w:r w:rsidR="0023423D" w:rsidRPr="00591BB3">
        <w:t>ion, and administration of the Deliberative Experiences Survey</w:t>
      </w:r>
      <w:r w:rsidRPr="00591BB3">
        <w:t xml:space="preserve">.  </w:t>
      </w:r>
    </w:p>
    <w:p w:rsidR="00627AC6" w:rsidRPr="00591BB3" w:rsidRDefault="00627AC6"/>
    <w:p w:rsidR="00627AC6" w:rsidRPr="00591BB3" w:rsidRDefault="0023423D">
      <w:pPr>
        <w:rPr>
          <w:rFonts w:ascii="Arial" w:hAnsi="Arial" w:cs="Arial"/>
          <w:b/>
          <w:bCs/>
          <w:kern w:val="32"/>
        </w:rPr>
      </w:pPr>
      <w:r w:rsidRPr="00591BB3">
        <w:t>All</w:t>
      </w:r>
      <w:r w:rsidR="00F17FEA" w:rsidRPr="00591BB3">
        <w:t xml:space="preserve"> surveys were cognitively tested with fewer than 10 participants each in the development phase</w:t>
      </w:r>
      <w:r w:rsidR="00982BE3" w:rsidRPr="00591BB3">
        <w:t xml:space="preserve">. </w:t>
      </w:r>
      <w:r w:rsidR="00F640B9" w:rsidRPr="00591BB3">
        <w:t xml:space="preserve">Cognitive testing consists of 1-on-1 interviews, which identify cognitive challenges that may present barriers to the effective use of the </w:t>
      </w:r>
      <w:r w:rsidR="00541728" w:rsidRPr="00591BB3">
        <w:t>instruments</w:t>
      </w:r>
      <w:r w:rsidR="00982BE3" w:rsidRPr="00591BB3">
        <w:t xml:space="preserve">. </w:t>
      </w:r>
      <w:r w:rsidR="00541728" w:rsidRPr="00591BB3">
        <w:t>We also conduct</w:t>
      </w:r>
      <w:r w:rsidR="007259D2" w:rsidRPr="00591BB3">
        <w:t>ed</w:t>
      </w:r>
      <w:r w:rsidR="00541728" w:rsidRPr="00591BB3">
        <w:t xml:space="preserve"> usability testing of the online surveys with fewer than 10 participants to be sure they are programmed correctly. </w:t>
      </w:r>
      <w:bookmarkStart w:id="39" w:name="_Toc443881767"/>
      <w:bookmarkStart w:id="40" w:name="_Toc451592254"/>
      <w:bookmarkStart w:id="41" w:name="_Toc5610295"/>
      <w:bookmarkStart w:id="42" w:name="_Toc99178801"/>
      <w:bookmarkStart w:id="43" w:name="_Toc301878598"/>
      <w:bookmarkStart w:id="44" w:name="_Toc301878648"/>
      <w:bookmarkStart w:id="45" w:name="_Toc302645956"/>
      <w:r w:rsidR="007259D2" w:rsidRPr="00591BB3">
        <w:br w:type="page"/>
      </w:r>
    </w:p>
    <w:p w:rsidR="00627AC6" w:rsidRPr="00591BB3" w:rsidRDefault="00957F14">
      <w:pPr>
        <w:pStyle w:val="Heading1"/>
        <w:spacing w:before="0" w:after="0"/>
      </w:pPr>
      <w:r w:rsidRPr="00591BB3">
        <w:t>5</w:t>
      </w:r>
      <w:r w:rsidR="00D205E2" w:rsidRPr="00591BB3">
        <w:t>.</w:t>
      </w:r>
      <w:r w:rsidRPr="00591BB3">
        <w:tab/>
        <w:t>Individuals Consulted on Statistical Aspects and Individuals Collecting and/or Analyzing Data</w:t>
      </w:r>
      <w:bookmarkEnd w:id="39"/>
      <w:bookmarkEnd w:id="40"/>
      <w:bookmarkEnd w:id="41"/>
      <w:bookmarkEnd w:id="42"/>
      <w:bookmarkEnd w:id="43"/>
      <w:bookmarkEnd w:id="44"/>
      <w:bookmarkEnd w:id="45"/>
    </w:p>
    <w:p w:rsidR="00627AC6" w:rsidRPr="00591BB3" w:rsidRDefault="00627AC6"/>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7"/>
        <w:gridCol w:w="2139"/>
        <w:gridCol w:w="3750"/>
      </w:tblGrid>
      <w:tr w:rsidR="006A2C60" w:rsidRPr="00591BB3" w:rsidTr="005D1B93">
        <w:trPr>
          <w:tblHeader/>
        </w:trPr>
        <w:tc>
          <w:tcPr>
            <w:tcW w:w="1755" w:type="pct"/>
            <w:shd w:val="clear" w:color="auto" w:fill="8DB3E2" w:themeFill="text2" w:themeFillTint="66"/>
          </w:tcPr>
          <w:p w:rsidR="00627AC6" w:rsidRPr="00591BB3" w:rsidRDefault="006A2C60">
            <w:pPr>
              <w:jc w:val="center"/>
              <w:rPr>
                <w:b/>
              </w:rPr>
            </w:pPr>
            <w:r w:rsidRPr="00591BB3">
              <w:rPr>
                <w:b/>
              </w:rPr>
              <w:t>Name (Affiliation)</w:t>
            </w:r>
          </w:p>
        </w:tc>
        <w:tc>
          <w:tcPr>
            <w:tcW w:w="1287" w:type="pct"/>
            <w:shd w:val="clear" w:color="auto" w:fill="8DB3E2" w:themeFill="text2" w:themeFillTint="66"/>
          </w:tcPr>
          <w:p w:rsidR="00627AC6" w:rsidRPr="00591BB3" w:rsidRDefault="006A2C60">
            <w:pPr>
              <w:jc w:val="center"/>
              <w:rPr>
                <w:b/>
              </w:rPr>
            </w:pPr>
            <w:r w:rsidRPr="00591BB3">
              <w:rPr>
                <w:b/>
              </w:rPr>
              <w:t>Telephone Number</w:t>
            </w:r>
          </w:p>
        </w:tc>
        <w:tc>
          <w:tcPr>
            <w:tcW w:w="1958" w:type="pct"/>
            <w:shd w:val="clear" w:color="auto" w:fill="8DB3E2" w:themeFill="text2" w:themeFillTint="66"/>
          </w:tcPr>
          <w:p w:rsidR="00627AC6" w:rsidRPr="00591BB3" w:rsidRDefault="006A2C60">
            <w:pPr>
              <w:jc w:val="center"/>
              <w:rPr>
                <w:b/>
              </w:rPr>
            </w:pPr>
            <w:r w:rsidRPr="00591BB3">
              <w:rPr>
                <w:b/>
              </w:rPr>
              <w:t>Email</w:t>
            </w:r>
          </w:p>
        </w:tc>
      </w:tr>
      <w:tr w:rsidR="006A2C60" w:rsidRPr="00591BB3" w:rsidTr="005D1B93">
        <w:tc>
          <w:tcPr>
            <w:tcW w:w="1755" w:type="pct"/>
          </w:tcPr>
          <w:p w:rsidR="006A2C60" w:rsidRPr="00591BB3" w:rsidRDefault="006A2C60" w:rsidP="00940F3C">
            <w:r w:rsidRPr="00591BB3">
              <w:t>Johannes Bos (AIR)</w:t>
            </w:r>
          </w:p>
        </w:tc>
        <w:tc>
          <w:tcPr>
            <w:tcW w:w="1287" w:type="pct"/>
          </w:tcPr>
          <w:p w:rsidR="006A2C60" w:rsidRPr="00591BB3" w:rsidRDefault="006A2C60" w:rsidP="00940F3C">
            <w:pPr>
              <w:jc w:val="center"/>
            </w:pPr>
            <w:r w:rsidRPr="00591BB3">
              <w:t>650-843-8110</w:t>
            </w:r>
          </w:p>
        </w:tc>
        <w:tc>
          <w:tcPr>
            <w:tcW w:w="1958" w:type="pct"/>
          </w:tcPr>
          <w:p w:rsidR="006A2C60" w:rsidRPr="00591BB3" w:rsidRDefault="00671961" w:rsidP="00940F3C">
            <w:hyperlink r:id="rId11" w:history="1">
              <w:r w:rsidR="006A2C60" w:rsidRPr="00591BB3">
                <w:rPr>
                  <w:rStyle w:val="Hyperlink"/>
                </w:rPr>
                <w:t>jbos@air.org</w:t>
              </w:r>
            </w:hyperlink>
            <w:r w:rsidR="006A2C60" w:rsidRPr="00591BB3">
              <w:t xml:space="preserve"> </w:t>
            </w:r>
          </w:p>
        </w:tc>
      </w:tr>
      <w:tr w:rsidR="006A2C60" w:rsidRPr="00591BB3" w:rsidTr="005D1B93">
        <w:tc>
          <w:tcPr>
            <w:tcW w:w="1755" w:type="pct"/>
          </w:tcPr>
          <w:p w:rsidR="006A2C60" w:rsidRPr="00591BB3" w:rsidRDefault="006A2C60" w:rsidP="00940F3C">
            <w:r w:rsidRPr="00591BB3">
              <w:t>Kristin Carman (AIR)</w:t>
            </w:r>
          </w:p>
        </w:tc>
        <w:tc>
          <w:tcPr>
            <w:tcW w:w="1287" w:type="pct"/>
          </w:tcPr>
          <w:p w:rsidR="006A2C60" w:rsidRPr="00591BB3" w:rsidRDefault="006A2C60" w:rsidP="00940F3C">
            <w:pPr>
              <w:jc w:val="center"/>
            </w:pPr>
            <w:r w:rsidRPr="00591BB3">
              <w:t>202-403-5090</w:t>
            </w:r>
          </w:p>
        </w:tc>
        <w:tc>
          <w:tcPr>
            <w:tcW w:w="1958" w:type="pct"/>
          </w:tcPr>
          <w:p w:rsidR="006A2C60" w:rsidRPr="00591BB3" w:rsidRDefault="00671961" w:rsidP="00940F3C">
            <w:hyperlink r:id="rId12" w:history="1">
              <w:r w:rsidR="006A2C60" w:rsidRPr="00591BB3">
                <w:rPr>
                  <w:rStyle w:val="Hyperlink"/>
                </w:rPr>
                <w:t>kcarman@air.org</w:t>
              </w:r>
            </w:hyperlink>
            <w:r w:rsidR="006A2C60" w:rsidRPr="00591BB3">
              <w:t xml:space="preserve"> </w:t>
            </w:r>
          </w:p>
        </w:tc>
      </w:tr>
      <w:tr w:rsidR="006A2C60" w:rsidRPr="00591BB3" w:rsidTr="005D1B93">
        <w:tc>
          <w:tcPr>
            <w:tcW w:w="1755" w:type="pct"/>
          </w:tcPr>
          <w:p w:rsidR="006A2C60" w:rsidRPr="00591BB3" w:rsidRDefault="006A2C60" w:rsidP="00940F3C">
            <w:r w:rsidRPr="00591BB3">
              <w:t>Kirsten Firminger (AIR)</w:t>
            </w:r>
          </w:p>
        </w:tc>
        <w:tc>
          <w:tcPr>
            <w:tcW w:w="1287" w:type="pct"/>
          </w:tcPr>
          <w:p w:rsidR="006A2C60" w:rsidRPr="00591BB3" w:rsidRDefault="006A2C60" w:rsidP="00940F3C">
            <w:pPr>
              <w:jc w:val="center"/>
            </w:pPr>
            <w:r w:rsidRPr="00591BB3">
              <w:t>919-918-4507</w:t>
            </w:r>
          </w:p>
        </w:tc>
        <w:tc>
          <w:tcPr>
            <w:tcW w:w="1958" w:type="pct"/>
          </w:tcPr>
          <w:p w:rsidR="006A2C60" w:rsidRPr="00591BB3" w:rsidRDefault="00671961" w:rsidP="00940F3C">
            <w:hyperlink r:id="rId13" w:history="1">
              <w:r w:rsidR="006A2C60" w:rsidRPr="00591BB3">
                <w:rPr>
                  <w:rStyle w:val="Hyperlink"/>
                </w:rPr>
                <w:t>kfirminger@air.org</w:t>
              </w:r>
            </w:hyperlink>
            <w:r w:rsidR="006A2C60" w:rsidRPr="00591BB3">
              <w:t xml:space="preserve"> </w:t>
            </w:r>
          </w:p>
        </w:tc>
      </w:tr>
      <w:tr w:rsidR="006A2C60" w:rsidRPr="00591BB3" w:rsidTr="005D1B93">
        <w:tc>
          <w:tcPr>
            <w:tcW w:w="1755" w:type="pct"/>
          </w:tcPr>
          <w:p w:rsidR="006A2C60" w:rsidRPr="00591BB3" w:rsidRDefault="006A2C60" w:rsidP="00940F3C">
            <w:r w:rsidRPr="00591BB3">
              <w:t>Steven Garfinkel (AIR)</w:t>
            </w:r>
          </w:p>
        </w:tc>
        <w:tc>
          <w:tcPr>
            <w:tcW w:w="1287" w:type="pct"/>
          </w:tcPr>
          <w:p w:rsidR="006A2C60" w:rsidRPr="00591BB3" w:rsidRDefault="006A2C60" w:rsidP="00940F3C">
            <w:pPr>
              <w:jc w:val="center"/>
            </w:pPr>
            <w:r w:rsidRPr="00591BB3">
              <w:t>919-918-2306</w:t>
            </w:r>
          </w:p>
        </w:tc>
        <w:tc>
          <w:tcPr>
            <w:tcW w:w="1958" w:type="pct"/>
          </w:tcPr>
          <w:p w:rsidR="006A2C60" w:rsidRPr="00591BB3" w:rsidRDefault="00671961" w:rsidP="00940F3C">
            <w:hyperlink r:id="rId14" w:history="1">
              <w:r w:rsidR="006A2C60" w:rsidRPr="00591BB3">
                <w:rPr>
                  <w:rStyle w:val="Hyperlink"/>
                </w:rPr>
                <w:t>sgarfinkel@air.org</w:t>
              </w:r>
            </w:hyperlink>
            <w:r w:rsidR="006A2C60" w:rsidRPr="00591BB3">
              <w:t xml:space="preserve"> </w:t>
            </w:r>
          </w:p>
        </w:tc>
      </w:tr>
      <w:tr w:rsidR="006A2C60" w:rsidRPr="00591BB3" w:rsidTr="005D1B93">
        <w:tc>
          <w:tcPr>
            <w:tcW w:w="1755" w:type="pct"/>
          </w:tcPr>
          <w:p w:rsidR="006A2C60" w:rsidRPr="00591BB3" w:rsidRDefault="006A2C60" w:rsidP="00940F3C">
            <w:r w:rsidRPr="00591BB3">
              <w:t>Dierdre Gilmore (AIR)</w:t>
            </w:r>
          </w:p>
        </w:tc>
        <w:tc>
          <w:tcPr>
            <w:tcW w:w="1287" w:type="pct"/>
          </w:tcPr>
          <w:p w:rsidR="006A2C60" w:rsidRPr="00591BB3" w:rsidRDefault="006A2C60" w:rsidP="00940F3C">
            <w:pPr>
              <w:jc w:val="center"/>
            </w:pPr>
            <w:r w:rsidRPr="00591BB3">
              <w:t>650-843-8139</w:t>
            </w:r>
          </w:p>
        </w:tc>
        <w:tc>
          <w:tcPr>
            <w:tcW w:w="1958" w:type="pct"/>
          </w:tcPr>
          <w:p w:rsidR="006A2C60" w:rsidRPr="00591BB3" w:rsidRDefault="00671961" w:rsidP="00940F3C">
            <w:hyperlink r:id="rId15" w:history="1">
              <w:r w:rsidR="006A2C60" w:rsidRPr="00591BB3">
                <w:rPr>
                  <w:rStyle w:val="Hyperlink"/>
                </w:rPr>
                <w:t>dgilmore@air.org</w:t>
              </w:r>
            </w:hyperlink>
            <w:r w:rsidR="006A2C60" w:rsidRPr="00591BB3">
              <w:t xml:space="preserve"> </w:t>
            </w:r>
          </w:p>
        </w:tc>
      </w:tr>
      <w:tr w:rsidR="006A2C60" w:rsidRPr="00591BB3" w:rsidTr="005D1B93">
        <w:tc>
          <w:tcPr>
            <w:tcW w:w="1755" w:type="pct"/>
          </w:tcPr>
          <w:p w:rsidR="006A2C60" w:rsidRPr="00591BB3" w:rsidRDefault="006A2C60" w:rsidP="00940F3C">
            <w:r w:rsidRPr="00591BB3">
              <w:t>Jessica Waddell Heeringa (AIR)</w:t>
            </w:r>
          </w:p>
        </w:tc>
        <w:tc>
          <w:tcPr>
            <w:tcW w:w="1287" w:type="pct"/>
          </w:tcPr>
          <w:p w:rsidR="006A2C60" w:rsidRPr="00591BB3" w:rsidRDefault="006A2C60" w:rsidP="00940F3C">
            <w:pPr>
              <w:jc w:val="center"/>
            </w:pPr>
            <w:r w:rsidRPr="00591BB3">
              <w:t>202-403-5947</w:t>
            </w:r>
          </w:p>
        </w:tc>
        <w:tc>
          <w:tcPr>
            <w:tcW w:w="1958" w:type="pct"/>
          </w:tcPr>
          <w:p w:rsidR="006A2C60" w:rsidRPr="00591BB3" w:rsidRDefault="00671961" w:rsidP="00940F3C">
            <w:hyperlink r:id="rId16" w:history="1">
              <w:r w:rsidR="006A2C60" w:rsidRPr="00591BB3">
                <w:rPr>
                  <w:rStyle w:val="Hyperlink"/>
                </w:rPr>
                <w:t>jheeringa@air.org</w:t>
              </w:r>
            </w:hyperlink>
          </w:p>
        </w:tc>
      </w:tr>
      <w:tr w:rsidR="006A2C60" w:rsidRPr="00591BB3" w:rsidTr="005D1B93">
        <w:tc>
          <w:tcPr>
            <w:tcW w:w="1755" w:type="pct"/>
          </w:tcPr>
          <w:p w:rsidR="006A2C60" w:rsidRPr="00591BB3" w:rsidRDefault="006A2C60" w:rsidP="00940F3C">
            <w:r w:rsidRPr="00591BB3">
              <w:t>Susan Heil (AIR)</w:t>
            </w:r>
          </w:p>
        </w:tc>
        <w:tc>
          <w:tcPr>
            <w:tcW w:w="1287" w:type="pct"/>
          </w:tcPr>
          <w:p w:rsidR="006A2C60" w:rsidRPr="00591BB3" w:rsidRDefault="006A2C60" w:rsidP="00940F3C">
            <w:pPr>
              <w:jc w:val="center"/>
            </w:pPr>
            <w:r w:rsidRPr="00591BB3">
              <w:t>301-592-2227</w:t>
            </w:r>
          </w:p>
        </w:tc>
        <w:tc>
          <w:tcPr>
            <w:tcW w:w="1958" w:type="pct"/>
          </w:tcPr>
          <w:p w:rsidR="006A2C60" w:rsidRPr="00591BB3" w:rsidRDefault="00671961" w:rsidP="00940F3C">
            <w:hyperlink r:id="rId17" w:history="1">
              <w:r w:rsidR="006A2C60" w:rsidRPr="00591BB3">
                <w:rPr>
                  <w:rStyle w:val="Hyperlink"/>
                </w:rPr>
                <w:t>sheil@air.org</w:t>
              </w:r>
            </w:hyperlink>
            <w:r w:rsidR="006A2C60" w:rsidRPr="00591BB3">
              <w:t xml:space="preserve"> </w:t>
            </w:r>
          </w:p>
        </w:tc>
      </w:tr>
      <w:tr w:rsidR="006A2C60" w:rsidRPr="00591BB3" w:rsidTr="005D1B93">
        <w:tc>
          <w:tcPr>
            <w:tcW w:w="1755" w:type="pct"/>
          </w:tcPr>
          <w:p w:rsidR="006A2C60" w:rsidRPr="00591BB3" w:rsidRDefault="006A2C60" w:rsidP="00940F3C">
            <w:r w:rsidRPr="00591BB3">
              <w:t>Maureen Maurer (AIR)</w:t>
            </w:r>
          </w:p>
        </w:tc>
        <w:tc>
          <w:tcPr>
            <w:tcW w:w="1287" w:type="pct"/>
          </w:tcPr>
          <w:p w:rsidR="006A2C60" w:rsidRPr="00591BB3" w:rsidRDefault="006A2C60" w:rsidP="00940F3C">
            <w:pPr>
              <w:jc w:val="center"/>
            </w:pPr>
            <w:r w:rsidRPr="00591BB3">
              <w:t>919-918-2308</w:t>
            </w:r>
          </w:p>
        </w:tc>
        <w:tc>
          <w:tcPr>
            <w:tcW w:w="1958" w:type="pct"/>
          </w:tcPr>
          <w:p w:rsidR="006A2C60" w:rsidRPr="00591BB3" w:rsidRDefault="00671961" w:rsidP="00940F3C">
            <w:hyperlink r:id="rId18" w:history="1">
              <w:r w:rsidR="006A2C60" w:rsidRPr="00591BB3">
                <w:rPr>
                  <w:rStyle w:val="Hyperlink"/>
                </w:rPr>
                <w:t>mmaurer@air.org</w:t>
              </w:r>
            </w:hyperlink>
            <w:r w:rsidR="006A2C60" w:rsidRPr="00591BB3">
              <w:t xml:space="preserve"> </w:t>
            </w:r>
          </w:p>
        </w:tc>
      </w:tr>
      <w:tr w:rsidR="006A2C60" w:rsidRPr="00591BB3" w:rsidTr="005D1B93">
        <w:tc>
          <w:tcPr>
            <w:tcW w:w="1755" w:type="pct"/>
          </w:tcPr>
          <w:p w:rsidR="006A2C60" w:rsidRPr="00591BB3" w:rsidRDefault="006A2C60" w:rsidP="00940F3C">
            <w:r w:rsidRPr="00591BB3">
              <w:t>Marilyn Moon (AIR)</w:t>
            </w:r>
          </w:p>
        </w:tc>
        <w:tc>
          <w:tcPr>
            <w:tcW w:w="1287" w:type="pct"/>
          </w:tcPr>
          <w:p w:rsidR="006A2C60" w:rsidRPr="00591BB3" w:rsidRDefault="006A2C60" w:rsidP="00940F3C">
            <w:pPr>
              <w:jc w:val="center"/>
            </w:pPr>
            <w:r w:rsidRPr="00591BB3">
              <w:rPr>
                <w:rStyle w:val="psrch-metadata1"/>
              </w:rPr>
              <w:t>301-592-2101</w:t>
            </w:r>
          </w:p>
        </w:tc>
        <w:tc>
          <w:tcPr>
            <w:tcW w:w="1958" w:type="pct"/>
          </w:tcPr>
          <w:p w:rsidR="006A2C60" w:rsidRPr="00591BB3" w:rsidRDefault="00671961" w:rsidP="00940F3C">
            <w:hyperlink r:id="rId19" w:history="1">
              <w:r w:rsidR="006A2C60" w:rsidRPr="00591BB3">
                <w:rPr>
                  <w:rStyle w:val="Hyperlink"/>
                </w:rPr>
                <w:t>mmoon@air.org</w:t>
              </w:r>
            </w:hyperlink>
            <w:r w:rsidR="006A2C60" w:rsidRPr="00591BB3">
              <w:t xml:space="preserve"> </w:t>
            </w:r>
          </w:p>
        </w:tc>
      </w:tr>
      <w:tr w:rsidR="006A2C60" w:rsidRPr="00591BB3" w:rsidTr="005D1B93">
        <w:tc>
          <w:tcPr>
            <w:tcW w:w="1755" w:type="pct"/>
          </w:tcPr>
          <w:p w:rsidR="006A2C60" w:rsidRPr="00591BB3" w:rsidRDefault="006A2C60" w:rsidP="00940F3C">
            <w:r w:rsidRPr="00591BB3">
              <w:t>HarmoniJoie Noel</w:t>
            </w:r>
          </w:p>
        </w:tc>
        <w:tc>
          <w:tcPr>
            <w:tcW w:w="1287" w:type="pct"/>
          </w:tcPr>
          <w:p w:rsidR="006A2C60" w:rsidRPr="00591BB3" w:rsidRDefault="006A2C60" w:rsidP="00940F3C">
            <w:pPr>
              <w:jc w:val="center"/>
              <w:rPr>
                <w:rStyle w:val="psrch-metadata1"/>
              </w:rPr>
            </w:pPr>
            <w:r w:rsidRPr="00591BB3">
              <w:rPr>
                <w:rStyle w:val="psrch-metadata1"/>
              </w:rPr>
              <w:t>202-403-5779</w:t>
            </w:r>
          </w:p>
        </w:tc>
        <w:tc>
          <w:tcPr>
            <w:tcW w:w="1958" w:type="pct"/>
          </w:tcPr>
          <w:p w:rsidR="006A2C60" w:rsidRPr="00591BB3" w:rsidRDefault="00671961" w:rsidP="00940F3C">
            <w:hyperlink r:id="rId20" w:history="1">
              <w:r w:rsidR="006A2C60" w:rsidRPr="00591BB3">
                <w:rPr>
                  <w:rStyle w:val="Hyperlink"/>
                </w:rPr>
                <w:t>hnoel@air.org</w:t>
              </w:r>
            </w:hyperlink>
          </w:p>
        </w:tc>
      </w:tr>
      <w:tr w:rsidR="006A2C60" w:rsidRPr="00591BB3" w:rsidTr="005D1B93">
        <w:tc>
          <w:tcPr>
            <w:tcW w:w="1755" w:type="pct"/>
          </w:tcPr>
          <w:p w:rsidR="006A2C60" w:rsidRPr="00591BB3" w:rsidRDefault="006A2C60" w:rsidP="00940F3C">
            <w:r w:rsidRPr="00591BB3">
              <w:t>Grace Wang (AIR)</w:t>
            </w:r>
          </w:p>
        </w:tc>
        <w:tc>
          <w:tcPr>
            <w:tcW w:w="1287" w:type="pct"/>
          </w:tcPr>
          <w:p w:rsidR="006A2C60" w:rsidRPr="00591BB3" w:rsidRDefault="006A2C60" w:rsidP="00940F3C">
            <w:pPr>
              <w:jc w:val="center"/>
            </w:pPr>
            <w:r w:rsidRPr="00591BB3">
              <w:t>650-843-8191</w:t>
            </w:r>
          </w:p>
        </w:tc>
        <w:tc>
          <w:tcPr>
            <w:tcW w:w="1958" w:type="pct"/>
          </w:tcPr>
          <w:p w:rsidR="006A2C60" w:rsidRPr="00591BB3" w:rsidRDefault="00671961" w:rsidP="00940F3C">
            <w:hyperlink r:id="rId21" w:history="1">
              <w:r w:rsidR="006A2C60" w:rsidRPr="00591BB3">
                <w:rPr>
                  <w:rStyle w:val="Hyperlink"/>
                </w:rPr>
                <w:t>gwang@air.org</w:t>
              </w:r>
            </w:hyperlink>
            <w:r w:rsidR="006A2C60" w:rsidRPr="00591BB3">
              <w:t xml:space="preserve"> </w:t>
            </w:r>
          </w:p>
        </w:tc>
      </w:tr>
      <w:tr w:rsidR="006A2C60" w:rsidRPr="00591BB3" w:rsidTr="005D1B93">
        <w:tc>
          <w:tcPr>
            <w:tcW w:w="1755" w:type="pct"/>
          </w:tcPr>
          <w:p w:rsidR="006A2C60" w:rsidRPr="00591BB3" w:rsidRDefault="006A2C60" w:rsidP="00940F3C">
            <w:r w:rsidRPr="00591BB3">
              <w:t>Amy Windham (AIR)</w:t>
            </w:r>
          </w:p>
        </w:tc>
        <w:tc>
          <w:tcPr>
            <w:tcW w:w="1287" w:type="pct"/>
          </w:tcPr>
          <w:p w:rsidR="006A2C60" w:rsidRPr="00591BB3" w:rsidRDefault="006A2C60" w:rsidP="00940F3C">
            <w:pPr>
              <w:jc w:val="center"/>
            </w:pPr>
            <w:r w:rsidRPr="00591BB3">
              <w:t>301-592-2165</w:t>
            </w:r>
          </w:p>
        </w:tc>
        <w:tc>
          <w:tcPr>
            <w:tcW w:w="1958" w:type="pct"/>
          </w:tcPr>
          <w:p w:rsidR="006A2C60" w:rsidRPr="00591BB3" w:rsidRDefault="00671961" w:rsidP="00940F3C">
            <w:hyperlink r:id="rId22" w:history="1">
              <w:r w:rsidR="006A2C60" w:rsidRPr="00591BB3">
                <w:rPr>
                  <w:rStyle w:val="Hyperlink"/>
                </w:rPr>
                <w:t>awindham@air.org</w:t>
              </w:r>
            </w:hyperlink>
            <w:r w:rsidR="006A2C60" w:rsidRPr="00591BB3">
              <w:t xml:space="preserve"> </w:t>
            </w:r>
          </w:p>
        </w:tc>
      </w:tr>
      <w:tr w:rsidR="006A2C60" w:rsidRPr="00591BB3" w:rsidTr="005D1B93">
        <w:tc>
          <w:tcPr>
            <w:tcW w:w="1755" w:type="pct"/>
          </w:tcPr>
          <w:p w:rsidR="006A2C60" w:rsidRPr="00591BB3" w:rsidRDefault="006A2C60" w:rsidP="00940F3C">
            <w:r w:rsidRPr="00591BB3">
              <w:t>Manshu Yang (AIR)</w:t>
            </w:r>
          </w:p>
        </w:tc>
        <w:tc>
          <w:tcPr>
            <w:tcW w:w="1287" w:type="pct"/>
          </w:tcPr>
          <w:p w:rsidR="006A2C60" w:rsidRPr="00591BB3" w:rsidRDefault="006A2C60" w:rsidP="00940F3C">
            <w:pPr>
              <w:jc w:val="center"/>
            </w:pPr>
            <w:r w:rsidRPr="00591BB3">
              <w:t>919-918-2312</w:t>
            </w:r>
          </w:p>
        </w:tc>
        <w:tc>
          <w:tcPr>
            <w:tcW w:w="1958" w:type="pct"/>
          </w:tcPr>
          <w:p w:rsidR="006A2C60" w:rsidRPr="00591BB3" w:rsidRDefault="00671961" w:rsidP="00940F3C">
            <w:hyperlink r:id="rId23" w:history="1">
              <w:r w:rsidR="006A2C60" w:rsidRPr="00591BB3">
                <w:rPr>
                  <w:rStyle w:val="Hyperlink"/>
                </w:rPr>
                <w:t>myang@air.org</w:t>
              </w:r>
            </w:hyperlink>
            <w:r w:rsidR="006A2C60" w:rsidRPr="00591BB3">
              <w:t xml:space="preserve"> </w:t>
            </w:r>
          </w:p>
        </w:tc>
      </w:tr>
      <w:tr w:rsidR="006A2C60" w:rsidRPr="00591BB3" w:rsidTr="005D1B93">
        <w:tc>
          <w:tcPr>
            <w:tcW w:w="1755" w:type="pct"/>
          </w:tcPr>
          <w:p w:rsidR="006A2C60" w:rsidRPr="00591BB3" w:rsidRDefault="006A2C60" w:rsidP="00940F3C">
            <w:r w:rsidRPr="00591BB3">
              <w:t>Stirling Bryan (consultant)</w:t>
            </w:r>
          </w:p>
        </w:tc>
        <w:tc>
          <w:tcPr>
            <w:tcW w:w="1287" w:type="pct"/>
          </w:tcPr>
          <w:p w:rsidR="006A2C60" w:rsidRPr="00591BB3" w:rsidRDefault="006A2C60" w:rsidP="00940F3C">
            <w:pPr>
              <w:jc w:val="center"/>
            </w:pPr>
            <w:r w:rsidRPr="00591BB3">
              <w:rPr>
                <w:bCs/>
                <w:color w:val="000000"/>
              </w:rPr>
              <w:t>604-875-4776 (Canada)</w:t>
            </w:r>
          </w:p>
        </w:tc>
        <w:tc>
          <w:tcPr>
            <w:tcW w:w="1958" w:type="pct"/>
          </w:tcPr>
          <w:p w:rsidR="006A2C60" w:rsidRPr="00591BB3" w:rsidRDefault="00671961" w:rsidP="00940F3C">
            <w:hyperlink r:id="rId24" w:history="1">
              <w:r w:rsidR="006A2C60" w:rsidRPr="00591BB3">
                <w:rPr>
                  <w:rStyle w:val="Hyperlink"/>
                </w:rPr>
                <w:t>Stirling.Bryan@ubc.ca</w:t>
              </w:r>
            </w:hyperlink>
            <w:r w:rsidR="006A2C60" w:rsidRPr="00591BB3">
              <w:t xml:space="preserve"> </w:t>
            </w:r>
          </w:p>
        </w:tc>
      </w:tr>
      <w:tr w:rsidR="006A2C60" w:rsidRPr="00591BB3" w:rsidTr="005D1B93">
        <w:tc>
          <w:tcPr>
            <w:tcW w:w="1755" w:type="pct"/>
          </w:tcPr>
          <w:p w:rsidR="006A2C60" w:rsidRPr="00591BB3" w:rsidRDefault="006A2C60" w:rsidP="00940F3C">
            <w:r w:rsidRPr="00591BB3">
              <w:t>Todd Davies (Symbolic Systems Program, Stanford)</w:t>
            </w:r>
          </w:p>
        </w:tc>
        <w:tc>
          <w:tcPr>
            <w:tcW w:w="1287" w:type="pct"/>
          </w:tcPr>
          <w:p w:rsidR="006A2C60" w:rsidRPr="00591BB3" w:rsidRDefault="006A2C60" w:rsidP="00940F3C">
            <w:pPr>
              <w:jc w:val="center"/>
            </w:pPr>
            <w:r w:rsidRPr="00591BB3">
              <w:t>650-723-4091</w:t>
            </w:r>
          </w:p>
        </w:tc>
        <w:tc>
          <w:tcPr>
            <w:tcW w:w="1958" w:type="pct"/>
          </w:tcPr>
          <w:p w:rsidR="006A2C60" w:rsidRPr="00591BB3" w:rsidRDefault="00671961" w:rsidP="00940F3C">
            <w:hyperlink r:id="rId25" w:history="1">
              <w:r w:rsidR="006A2C60" w:rsidRPr="00591BB3">
                <w:rPr>
                  <w:rStyle w:val="Hyperlink"/>
                </w:rPr>
                <w:t>davies@stanford.edu</w:t>
              </w:r>
            </w:hyperlink>
            <w:r w:rsidR="006A2C60" w:rsidRPr="00591BB3">
              <w:t xml:space="preserve"> </w:t>
            </w:r>
          </w:p>
        </w:tc>
      </w:tr>
      <w:tr w:rsidR="006A2C60" w:rsidRPr="00591BB3" w:rsidTr="005D1B93">
        <w:tc>
          <w:tcPr>
            <w:tcW w:w="1755" w:type="pct"/>
          </w:tcPr>
          <w:p w:rsidR="006A2C60" w:rsidRPr="00591BB3" w:rsidRDefault="006A2C60" w:rsidP="00940F3C">
            <w:r w:rsidRPr="00591BB3">
              <w:t>James Fishkin (Center for Deliberative Democracy, Stanford)</w:t>
            </w:r>
          </w:p>
        </w:tc>
        <w:tc>
          <w:tcPr>
            <w:tcW w:w="1287" w:type="pct"/>
          </w:tcPr>
          <w:p w:rsidR="006A2C60" w:rsidRPr="00591BB3" w:rsidRDefault="006A2C60" w:rsidP="00940F3C">
            <w:pPr>
              <w:jc w:val="center"/>
            </w:pPr>
            <w:r w:rsidRPr="00591BB3">
              <w:t>650-723-4611</w:t>
            </w:r>
          </w:p>
        </w:tc>
        <w:tc>
          <w:tcPr>
            <w:tcW w:w="1958" w:type="pct"/>
          </w:tcPr>
          <w:p w:rsidR="006A2C60" w:rsidRPr="00591BB3" w:rsidRDefault="00671961" w:rsidP="00940F3C">
            <w:hyperlink r:id="rId26" w:history="1">
              <w:r w:rsidR="006A2C60" w:rsidRPr="00591BB3">
                <w:rPr>
                  <w:rStyle w:val="Hyperlink"/>
                </w:rPr>
                <w:t>Fishkin@stanford.edu</w:t>
              </w:r>
            </w:hyperlink>
            <w:r w:rsidR="006A2C60" w:rsidRPr="00591BB3">
              <w:t xml:space="preserve"> </w:t>
            </w:r>
          </w:p>
        </w:tc>
      </w:tr>
      <w:tr w:rsidR="006A2C60" w:rsidRPr="00591BB3" w:rsidTr="005D1B93">
        <w:tc>
          <w:tcPr>
            <w:tcW w:w="1755" w:type="pct"/>
          </w:tcPr>
          <w:p w:rsidR="006A2C60" w:rsidRPr="00591BB3" w:rsidRDefault="006A2C60" w:rsidP="00940F3C">
            <w:r w:rsidRPr="00591BB3">
              <w:t>Marge Ginsburg (Center for Healthcare Decisions)</w:t>
            </w:r>
          </w:p>
        </w:tc>
        <w:tc>
          <w:tcPr>
            <w:tcW w:w="1287" w:type="pct"/>
          </w:tcPr>
          <w:p w:rsidR="006A2C60" w:rsidRPr="00591BB3" w:rsidRDefault="006A2C60" w:rsidP="00940F3C">
            <w:pPr>
              <w:jc w:val="center"/>
            </w:pPr>
            <w:r w:rsidRPr="00591BB3">
              <w:t>916-851-2828</w:t>
            </w:r>
          </w:p>
          <w:p w:rsidR="006A2C60" w:rsidRPr="00591BB3" w:rsidRDefault="006A2C60" w:rsidP="00940F3C">
            <w:pPr>
              <w:jc w:val="center"/>
            </w:pPr>
          </w:p>
        </w:tc>
        <w:tc>
          <w:tcPr>
            <w:tcW w:w="1958" w:type="pct"/>
          </w:tcPr>
          <w:p w:rsidR="006A2C60" w:rsidRPr="00591BB3" w:rsidRDefault="00671961" w:rsidP="00940F3C">
            <w:hyperlink r:id="rId27" w:history="1">
              <w:r w:rsidR="006A2C60" w:rsidRPr="00591BB3">
                <w:rPr>
                  <w:rStyle w:val="Hyperlink"/>
                </w:rPr>
                <w:t>Ginsburg@chcd.org</w:t>
              </w:r>
            </w:hyperlink>
            <w:r w:rsidR="006A2C60" w:rsidRPr="00591BB3">
              <w:t xml:space="preserve"> </w:t>
            </w:r>
          </w:p>
        </w:tc>
      </w:tr>
      <w:tr w:rsidR="006A2C60" w:rsidRPr="00591BB3" w:rsidTr="005D1B93">
        <w:tc>
          <w:tcPr>
            <w:tcW w:w="1755" w:type="pct"/>
          </w:tcPr>
          <w:p w:rsidR="006A2C60" w:rsidRPr="00591BB3" w:rsidRDefault="006A2C60" w:rsidP="00940F3C">
            <w:r w:rsidRPr="00591BB3">
              <w:t>Marthe Gold (consultant)</w:t>
            </w:r>
          </w:p>
        </w:tc>
        <w:tc>
          <w:tcPr>
            <w:tcW w:w="1287" w:type="pct"/>
          </w:tcPr>
          <w:p w:rsidR="006A2C60" w:rsidRPr="00591BB3" w:rsidRDefault="006A2C60" w:rsidP="00940F3C">
            <w:pPr>
              <w:jc w:val="center"/>
            </w:pPr>
            <w:r w:rsidRPr="00591BB3">
              <w:rPr>
                <w:bCs/>
                <w:color w:val="000000"/>
              </w:rPr>
              <w:t>212-650-7794</w:t>
            </w:r>
          </w:p>
        </w:tc>
        <w:tc>
          <w:tcPr>
            <w:tcW w:w="1958" w:type="pct"/>
          </w:tcPr>
          <w:p w:rsidR="006A2C60" w:rsidRPr="00591BB3" w:rsidRDefault="00671961" w:rsidP="00940F3C">
            <w:hyperlink r:id="rId28" w:history="1">
              <w:r w:rsidR="006A2C60" w:rsidRPr="00591BB3">
                <w:rPr>
                  <w:rStyle w:val="Hyperlink"/>
                  <w:bCs/>
                </w:rPr>
                <w:t>goldmr@med.cuny.edu</w:t>
              </w:r>
            </w:hyperlink>
          </w:p>
        </w:tc>
      </w:tr>
      <w:tr w:rsidR="006A2C60" w:rsidRPr="00591BB3" w:rsidTr="005D1B93">
        <w:tc>
          <w:tcPr>
            <w:tcW w:w="1755" w:type="pct"/>
          </w:tcPr>
          <w:p w:rsidR="006A2C60" w:rsidRPr="00591BB3" w:rsidRDefault="006A2C60" w:rsidP="00940F3C">
            <w:r w:rsidRPr="00591BB3">
              <w:t>Ela Pathak-Sen (consultant)</w:t>
            </w:r>
          </w:p>
        </w:tc>
        <w:tc>
          <w:tcPr>
            <w:tcW w:w="1287" w:type="pct"/>
          </w:tcPr>
          <w:p w:rsidR="006A2C60" w:rsidRPr="00591BB3" w:rsidRDefault="006A2C60" w:rsidP="00940F3C">
            <w:pPr>
              <w:jc w:val="center"/>
            </w:pPr>
            <w:r w:rsidRPr="00591BB3">
              <w:t>0-145-222-6206 (UK)</w:t>
            </w:r>
          </w:p>
        </w:tc>
        <w:tc>
          <w:tcPr>
            <w:tcW w:w="1958" w:type="pct"/>
          </w:tcPr>
          <w:p w:rsidR="006A2C60" w:rsidRPr="00591BB3" w:rsidRDefault="00671961" w:rsidP="00940F3C">
            <w:hyperlink r:id="rId29" w:history="1">
              <w:r w:rsidR="006A2C60" w:rsidRPr="00591BB3">
                <w:rPr>
                  <w:rStyle w:val="Hyperlink"/>
                </w:rPr>
                <w:t>ela@commotionuk.com</w:t>
              </w:r>
            </w:hyperlink>
            <w:r w:rsidR="006A2C60" w:rsidRPr="00591BB3">
              <w:t xml:space="preserve">  </w:t>
            </w:r>
          </w:p>
        </w:tc>
      </w:tr>
      <w:tr w:rsidR="006A2C60" w:rsidRPr="00591BB3" w:rsidTr="005D1B93">
        <w:tc>
          <w:tcPr>
            <w:tcW w:w="1755" w:type="pct"/>
          </w:tcPr>
          <w:p w:rsidR="006A2C60" w:rsidRPr="00591BB3" w:rsidRDefault="006A2C60" w:rsidP="00940F3C">
            <w:r w:rsidRPr="00591BB3">
              <w:t>Alice Siu (Center for Deliberative Democracy, Stanford)</w:t>
            </w:r>
          </w:p>
        </w:tc>
        <w:tc>
          <w:tcPr>
            <w:tcW w:w="1287" w:type="pct"/>
          </w:tcPr>
          <w:p w:rsidR="006A2C60" w:rsidRPr="00591BB3" w:rsidRDefault="006A2C60" w:rsidP="00940F3C">
            <w:pPr>
              <w:jc w:val="center"/>
            </w:pPr>
            <w:r w:rsidRPr="00591BB3">
              <w:rPr>
                <w:color w:val="000000"/>
              </w:rPr>
              <w:t>650-724-1301</w:t>
            </w:r>
          </w:p>
        </w:tc>
        <w:tc>
          <w:tcPr>
            <w:tcW w:w="1958" w:type="pct"/>
          </w:tcPr>
          <w:p w:rsidR="006A2C60" w:rsidRPr="00591BB3" w:rsidRDefault="00671961" w:rsidP="00940F3C">
            <w:pPr>
              <w:pStyle w:val="NormalWeb"/>
              <w:spacing w:before="0" w:beforeAutospacing="0" w:after="0" w:afterAutospacing="0"/>
            </w:pPr>
            <w:hyperlink r:id="rId30" w:history="1">
              <w:r w:rsidR="006A2C60" w:rsidRPr="00591BB3">
                <w:rPr>
                  <w:rStyle w:val="Hyperlink"/>
                </w:rPr>
                <w:t>asiu@stanford.edu</w:t>
              </w:r>
            </w:hyperlink>
            <w:r w:rsidR="006A2C60" w:rsidRPr="00591BB3">
              <w:t xml:space="preserve"> </w:t>
            </w:r>
          </w:p>
        </w:tc>
      </w:tr>
      <w:tr w:rsidR="006A2C60" w:rsidRPr="00591BB3" w:rsidTr="005D1B93">
        <w:tc>
          <w:tcPr>
            <w:tcW w:w="1755" w:type="pct"/>
          </w:tcPr>
          <w:p w:rsidR="006A2C60" w:rsidRPr="00591BB3" w:rsidRDefault="006A2C60" w:rsidP="00940F3C">
            <w:r w:rsidRPr="00591BB3">
              <w:t>Shoshanna Sofaer (consultant)</w:t>
            </w:r>
          </w:p>
        </w:tc>
        <w:tc>
          <w:tcPr>
            <w:tcW w:w="1287" w:type="pct"/>
          </w:tcPr>
          <w:p w:rsidR="006A2C60" w:rsidRPr="00591BB3" w:rsidRDefault="006A2C60" w:rsidP="00940F3C">
            <w:pPr>
              <w:jc w:val="center"/>
            </w:pPr>
            <w:r w:rsidRPr="00591BB3">
              <w:t>646-660-6815</w:t>
            </w:r>
          </w:p>
        </w:tc>
        <w:tc>
          <w:tcPr>
            <w:tcW w:w="1958" w:type="pct"/>
          </w:tcPr>
          <w:p w:rsidR="006A2C60" w:rsidRPr="00591BB3" w:rsidRDefault="00671961" w:rsidP="00940F3C">
            <w:pPr>
              <w:pStyle w:val="NormalWeb"/>
              <w:spacing w:before="0" w:beforeAutospacing="0" w:after="0" w:afterAutospacing="0"/>
            </w:pPr>
            <w:hyperlink r:id="rId31" w:history="1">
              <w:r w:rsidR="006A2C60" w:rsidRPr="00591BB3">
                <w:rPr>
                  <w:rStyle w:val="Hyperlink"/>
                </w:rPr>
                <w:t>Shoshanna.Sofaer@baruch.cuny.edu</w:t>
              </w:r>
            </w:hyperlink>
          </w:p>
        </w:tc>
      </w:tr>
    </w:tbl>
    <w:p w:rsidR="00957F14" w:rsidRPr="00591BB3" w:rsidRDefault="00957F14" w:rsidP="00940F3C">
      <w:pPr>
        <w:rPr>
          <w:color w:val="FF0000"/>
        </w:rPr>
      </w:pPr>
    </w:p>
    <w:p w:rsidR="00A60490" w:rsidRPr="00591BB3" w:rsidRDefault="00A60490" w:rsidP="00940F3C">
      <w:pPr>
        <w:rPr>
          <w:color w:val="FF0000"/>
        </w:rPr>
        <w:sectPr w:rsidR="00A60490" w:rsidRPr="00591BB3" w:rsidSect="00725AF3">
          <w:footerReference w:type="first" r:id="rId32"/>
          <w:pgSz w:w="12240" w:h="15840"/>
          <w:pgMar w:top="1440" w:right="1800" w:bottom="1440" w:left="1800" w:header="720" w:footer="720" w:gutter="0"/>
          <w:pgNumType w:start="1"/>
          <w:cols w:space="720"/>
          <w:titlePg/>
          <w:docGrid w:linePitch="360"/>
        </w:sectPr>
      </w:pPr>
    </w:p>
    <w:p w:rsidR="00627AC6" w:rsidRPr="00591BB3" w:rsidRDefault="00A60490">
      <w:pPr>
        <w:pStyle w:val="Heading1"/>
        <w:spacing w:before="0" w:after="0"/>
      </w:pPr>
      <w:bookmarkStart w:id="46" w:name="_Toc302645957"/>
      <w:r w:rsidRPr="00591BB3">
        <w:t>References</w:t>
      </w:r>
      <w:bookmarkEnd w:id="46"/>
    </w:p>
    <w:p w:rsidR="00627AC6" w:rsidRPr="00591BB3" w:rsidRDefault="00627AC6"/>
    <w:p w:rsidR="001A6DC9" w:rsidRPr="00591BB3" w:rsidRDefault="001D7748">
      <w:pPr>
        <w:pStyle w:val="ListParagraph"/>
        <w:numPr>
          <w:ilvl w:val="0"/>
          <w:numId w:val="27"/>
        </w:numPr>
        <w:spacing w:after="0" w:line="240" w:lineRule="auto"/>
        <w:rPr>
          <w:rStyle w:val="citation"/>
          <w:rFonts w:ascii="Times New Roman" w:hAnsi="Times New Roman"/>
          <w:sz w:val="24"/>
          <w:szCs w:val="24"/>
        </w:rPr>
      </w:pPr>
      <w:r w:rsidRPr="00591BB3">
        <w:rPr>
          <w:rStyle w:val="citation"/>
          <w:rFonts w:ascii="Times New Roman" w:hAnsi="Times New Roman"/>
          <w:sz w:val="24"/>
          <w:szCs w:val="24"/>
        </w:rPr>
        <w:t xml:space="preserve">Cohen, J. (1992). A power primer. </w:t>
      </w:r>
      <w:r w:rsidRPr="00591BB3">
        <w:rPr>
          <w:rStyle w:val="citation"/>
          <w:rFonts w:ascii="Times New Roman" w:hAnsi="Times New Roman"/>
          <w:i/>
          <w:iCs/>
          <w:sz w:val="24"/>
          <w:szCs w:val="24"/>
        </w:rPr>
        <w:t>Psychological Bulletin,</w:t>
      </w:r>
      <w:r w:rsidRPr="00591BB3">
        <w:rPr>
          <w:rStyle w:val="citation"/>
          <w:rFonts w:ascii="Times New Roman" w:hAnsi="Times New Roman"/>
          <w:sz w:val="24"/>
          <w:szCs w:val="24"/>
        </w:rPr>
        <w:t xml:space="preserve"> </w:t>
      </w:r>
      <w:r w:rsidRPr="00591BB3">
        <w:rPr>
          <w:rStyle w:val="citation"/>
          <w:rFonts w:ascii="Times New Roman" w:hAnsi="Times New Roman"/>
          <w:bCs/>
          <w:sz w:val="24"/>
          <w:szCs w:val="24"/>
        </w:rPr>
        <w:t>112</w:t>
      </w:r>
      <w:r w:rsidRPr="00591BB3">
        <w:rPr>
          <w:rStyle w:val="citation"/>
          <w:rFonts w:ascii="Times New Roman" w:hAnsi="Times New Roman"/>
          <w:sz w:val="24"/>
          <w:szCs w:val="24"/>
        </w:rPr>
        <w:t xml:space="preserve"> (1), 155–159</w:t>
      </w:r>
      <w:r w:rsidR="00A3768B" w:rsidRPr="00591BB3">
        <w:rPr>
          <w:rStyle w:val="citation"/>
          <w:rFonts w:ascii="Times New Roman" w:hAnsi="Times New Roman"/>
          <w:sz w:val="24"/>
          <w:szCs w:val="24"/>
        </w:rPr>
        <w:t>.</w:t>
      </w:r>
    </w:p>
    <w:p w:rsidR="001A6DC9" w:rsidRPr="00591BB3" w:rsidRDefault="001A6DC9">
      <w:pPr>
        <w:pStyle w:val="ListParagraph"/>
        <w:spacing w:after="0" w:line="240" w:lineRule="auto"/>
        <w:rPr>
          <w:rFonts w:ascii="Times New Roman" w:hAnsi="Times New Roman"/>
          <w:sz w:val="24"/>
          <w:szCs w:val="24"/>
        </w:rPr>
      </w:pPr>
    </w:p>
    <w:p w:rsidR="001A6DC9" w:rsidRPr="00591BB3" w:rsidRDefault="001D7748">
      <w:pPr>
        <w:pStyle w:val="ListParagraph"/>
        <w:numPr>
          <w:ilvl w:val="0"/>
          <w:numId w:val="27"/>
        </w:numPr>
        <w:spacing w:after="0" w:line="240" w:lineRule="auto"/>
        <w:rPr>
          <w:rFonts w:ascii="Times New Roman" w:hAnsi="Times New Roman"/>
          <w:sz w:val="24"/>
          <w:szCs w:val="24"/>
        </w:rPr>
      </w:pPr>
      <w:r w:rsidRPr="00591BB3">
        <w:rPr>
          <w:rFonts w:ascii="Times New Roman" w:hAnsi="Times New Roman"/>
          <w:sz w:val="24"/>
          <w:szCs w:val="24"/>
        </w:rPr>
        <w:t xml:space="preserve">Farrar, C., Fishkin, J. S., Green, D. P., List, C., Luskin, R. C., &amp; Paluck, E. L. (2010). Disaggregating deliberation’s effects: An experiment within a deliberative poll. </w:t>
      </w:r>
      <w:r w:rsidRPr="00591BB3">
        <w:rPr>
          <w:rFonts w:ascii="Times New Roman" w:hAnsi="Times New Roman"/>
          <w:i/>
          <w:sz w:val="24"/>
          <w:szCs w:val="24"/>
        </w:rPr>
        <w:t>British Journal of Political Science</w:t>
      </w:r>
      <w:r w:rsidRPr="00591BB3">
        <w:rPr>
          <w:rFonts w:ascii="Times New Roman" w:hAnsi="Times New Roman"/>
          <w:sz w:val="24"/>
          <w:szCs w:val="24"/>
        </w:rPr>
        <w:t>, 40(2), 333–347.</w:t>
      </w:r>
    </w:p>
    <w:p w:rsidR="001A6DC9" w:rsidRPr="00591BB3" w:rsidRDefault="001A6DC9">
      <w:pPr>
        <w:pStyle w:val="ListParagraph"/>
        <w:spacing w:after="0" w:line="240" w:lineRule="auto"/>
        <w:rPr>
          <w:rFonts w:ascii="Times New Roman" w:hAnsi="Times New Roman"/>
          <w:sz w:val="24"/>
          <w:szCs w:val="24"/>
        </w:rPr>
      </w:pPr>
    </w:p>
    <w:p w:rsidR="001A6DC9" w:rsidRPr="00591BB3" w:rsidRDefault="001D7748">
      <w:pPr>
        <w:pStyle w:val="ListParagraph"/>
        <w:numPr>
          <w:ilvl w:val="0"/>
          <w:numId w:val="27"/>
        </w:numPr>
        <w:spacing w:after="0" w:line="240" w:lineRule="auto"/>
        <w:rPr>
          <w:rFonts w:ascii="Times New Roman" w:hAnsi="Times New Roman"/>
          <w:sz w:val="24"/>
          <w:szCs w:val="24"/>
        </w:rPr>
      </w:pPr>
      <w:r w:rsidRPr="00591BB3">
        <w:rPr>
          <w:rFonts w:ascii="Times New Roman" w:hAnsi="Times New Roman"/>
          <w:sz w:val="24"/>
          <w:szCs w:val="24"/>
        </w:rPr>
        <w:t xml:space="preserve">Kim, S. Y., Uhlmann, R. A., Appelbaum, P. S., Knopman, D. S., Kim, H. M., Damschroder, L. et al. (2010). Deliberative assessment of surrogate consent in dementia research. </w:t>
      </w:r>
      <w:r w:rsidRPr="00591BB3">
        <w:rPr>
          <w:rFonts w:ascii="Times New Roman" w:hAnsi="Times New Roman"/>
          <w:i/>
          <w:sz w:val="24"/>
          <w:szCs w:val="24"/>
        </w:rPr>
        <w:t>Alzheimer’s Dement</w:t>
      </w:r>
      <w:r w:rsidRPr="00591BB3">
        <w:rPr>
          <w:rFonts w:ascii="Times New Roman" w:hAnsi="Times New Roman"/>
          <w:sz w:val="24"/>
          <w:szCs w:val="24"/>
        </w:rPr>
        <w:t>, 6(4), 342–350.</w:t>
      </w:r>
    </w:p>
    <w:p w:rsidR="001A6DC9" w:rsidRPr="00591BB3" w:rsidRDefault="001A6DC9">
      <w:pPr>
        <w:pStyle w:val="ListParagraph"/>
        <w:spacing w:after="0" w:line="240" w:lineRule="auto"/>
        <w:rPr>
          <w:rFonts w:ascii="Times New Roman" w:hAnsi="Times New Roman"/>
          <w:sz w:val="24"/>
          <w:szCs w:val="24"/>
        </w:rPr>
      </w:pPr>
    </w:p>
    <w:p w:rsidR="001A6DC9" w:rsidRPr="00591BB3" w:rsidRDefault="00102F7F">
      <w:pPr>
        <w:pStyle w:val="ListParagraph"/>
        <w:numPr>
          <w:ilvl w:val="0"/>
          <w:numId w:val="27"/>
        </w:numPr>
        <w:spacing w:after="0" w:line="240" w:lineRule="auto"/>
      </w:pPr>
      <w:r w:rsidRPr="00591BB3">
        <w:rPr>
          <w:rFonts w:ascii="Times New Roman" w:hAnsi="Times New Roman"/>
          <w:sz w:val="24"/>
          <w:szCs w:val="24"/>
        </w:rPr>
        <w:t xml:space="preserve">Min, S.-J. (2007). Online vs. face-to-face deliberation: Effects on civic engagement. </w:t>
      </w:r>
      <w:r w:rsidRPr="00591BB3">
        <w:rPr>
          <w:rFonts w:ascii="Times New Roman" w:hAnsi="Times New Roman"/>
          <w:i/>
          <w:sz w:val="24"/>
          <w:szCs w:val="24"/>
        </w:rPr>
        <w:t>Journal of Computer-Mediated Communication</w:t>
      </w:r>
      <w:r w:rsidRPr="00591BB3">
        <w:rPr>
          <w:rFonts w:ascii="Times New Roman" w:hAnsi="Times New Roman"/>
          <w:sz w:val="24"/>
          <w:szCs w:val="24"/>
        </w:rPr>
        <w:t>, 12(4), 1369–1387.</w:t>
      </w:r>
    </w:p>
    <w:p w:rsidR="007259D2" w:rsidRPr="00591BB3" w:rsidRDefault="00A60490" w:rsidP="00940F3C">
      <w:pPr>
        <w:pStyle w:val="CFReferences"/>
        <w:numPr>
          <w:ilvl w:val="0"/>
          <w:numId w:val="27"/>
        </w:numPr>
        <w:spacing w:after="0"/>
        <w:rPr>
          <w:i/>
          <w:iCs/>
        </w:rPr>
      </w:pPr>
      <w:r w:rsidRPr="00591BB3">
        <w:t xml:space="preserve">Office of the Press Secretary. (2011, February 10). </w:t>
      </w:r>
      <w:r w:rsidRPr="00591BB3">
        <w:rPr>
          <w:i/>
          <w:iCs/>
        </w:rPr>
        <w:t>President Obama details plan to</w:t>
      </w:r>
      <w:r w:rsidR="00A3768B" w:rsidRPr="00591BB3">
        <w:rPr>
          <w:i/>
          <w:iCs/>
        </w:rPr>
        <w:t xml:space="preserve"> </w:t>
      </w:r>
      <w:r w:rsidRPr="00591BB3">
        <w:rPr>
          <w:i/>
          <w:iCs/>
        </w:rPr>
        <w:t>win the future through expanded wireless access</w:t>
      </w:r>
      <w:r w:rsidR="00982BE3" w:rsidRPr="00591BB3">
        <w:rPr>
          <w:i/>
          <w:iCs/>
        </w:rPr>
        <w:t xml:space="preserve">. </w:t>
      </w:r>
      <w:r w:rsidR="00982BE3" w:rsidRPr="00591BB3">
        <w:t xml:space="preserve">Retrieved from </w:t>
      </w:r>
      <w:hyperlink r:id="rId33" w:history="1">
        <w:r w:rsidR="00982BE3" w:rsidRPr="00591BB3">
          <w:rPr>
            <w:rStyle w:val="Hyperlink"/>
          </w:rPr>
          <w:t>http://www.whitehouse.gov/the-press-office/2011/02/10/president-obama-details-plan-win-future-through-expanded-wireless-access</w:t>
        </w:r>
      </w:hyperlink>
      <w:r w:rsidR="00982BE3" w:rsidRPr="00591BB3">
        <w:t>.</w:t>
      </w:r>
    </w:p>
    <w:p w:rsidR="006117A0" w:rsidRPr="00591BB3" w:rsidRDefault="006117A0" w:rsidP="00940F3C">
      <w:pPr>
        <w:pStyle w:val="FootnoteText"/>
        <w:ind w:left="360"/>
        <w:rPr>
          <w:rFonts w:ascii="Times New Roman" w:hAnsi="Times New Roman" w:cs="Times New Roman"/>
          <w:sz w:val="24"/>
          <w:szCs w:val="24"/>
        </w:rPr>
      </w:pPr>
    </w:p>
    <w:p w:rsidR="007259D2" w:rsidRPr="00591BB3" w:rsidRDefault="00A60490" w:rsidP="00940F3C">
      <w:pPr>
        <w:pStyle w:val="FootnoteText"/>
        <w:numPr>
          <w:ilvl w:val="0"/>
          <w:numId w:val="27"/>
        </w:numPr>
        <w:rPr>
          <w:rFonts w:ascii="Times New Roman" w:hAnsi="Times New Roman" w:cs="Times New Roman"/>
          <w:sz w:val="24"/>
          <w:szCs w:val="24"/>
        </w:rPr>
      </w:pPr>
      <w:r w:rsidRPr="00591BB3">
        <w:rPr>
          <w:rFonts w:ascii="Times New Roman" w:hAnsi="Times New Roman" w:cs="Times New Roman"/>
          <w:sz w:val="24"/>
          <w:szCs w:val="24"/>
        </w:rPr>
        <w:t xml:space="preserve">Rowe, G., &amp; Frewer, L. J. (2000). Public Participation Methods: A Framework for Evaluation. </w:t>
      </w:r>
      <w:r w:rsidRPr="00591BB3">
        <w:rPr>
          <w:rFonts w:ascii="Times New Roman" w:hAnsi="Times New Roman" w:cs="Times New Roman"/>
          <w:i/>
          <w:iCs/>
          <w:sz w:val="24"/>
          <w:szCs w:val="24"/>
        </w:rPr>
        <w:t>Science, Technology &amp; Human Values, 25</w:t>
      </w:r>
      <w:r w:rsidRPr="00591BB3">
        <w:rPr>
          <w:rFonts w:ascii="Times New Roman" w:hAnsi="Times New Roman" w:cs="Times New Roman"/>
          <w:sz w:val="24"/>
          <w:szCs w:val="24"/>
        </w:rPr>
        <w:t>(1), 3-29.</w:t>
      </w:r>
    </w:p>
    <w:p w:rsidR="006117A0" w:rsidRPr="00591BB3" w:rsidRDefault="006117A0" w:rsidP="00940F3C">
      <w:pPr>
        <w:pStyle w:val="CFReferences"/>
        <w:spacing w:after="0"/>
        <w:ind w:left="360" w:firstLine="0"/>
      </w:pPr>
    </w:p>
    <w:p w:rsidR="00627AC6" w:rsidRPr="00591BB3" w:rsidRDefault="00A60490">
      <w:pPr>
        <w:pStyle w:val="CFReferences"/>
        <w:numPr>
          <w:ilvl w:val="0"/>
          <w:numId w:val="27"/>
        </w:numPr>
        <w:spacing w:after="0"/>
      </w:pPr>
      <w:r w:rsidRPr="00591BB3">
        <w:t>Spybrook, J., Raudenbush, S. W., Congdon, R., &amp; Martínez, A. (2009). Optimal Design for Longitudinal and Multilevel Research: Documentation for the “Optimal Design” Software</w:t>
      </w:r>
      <w:r w:rsidR="00982BE3" w:rsidRPr="00591BB3">
        <w:t xml:space="preserve">. </w:t>
      </w:r>
      <w:r w:rsidRPr="00591BB3">
        <w:t>University of Michigan, Ann Arbor, MI.</w:t>
      </w:r>
    </w:p>
    <w:p w:rsidR="00627AC6" w:rsidRPr="00591BB3" w:rsidRDefault="00627AC6">
      <w:pPr>
        <w:pStyle w:val="CFReferences"/>
        <w:spacing w:after="0"/>
        <w:ind w:left="360" w:firstLine="0"/>
      </w:pPr>
    </w:p>
    <w:p w:rsidR="00627AC6" w:rsidRPr="00591BB3" w:rsidRDefault="00A60490">
      <w:pPr>
        <w:pStyle w:val="CFReferences"/>
        <w:numPr>
          <w:ilvl w:val="0"/>
          <w:numId w:val="27"/>
        </w:numPr>
        <w:spacing w:after="0"/>
      </w:pPr>
      <w:r w:rsidRPr="00591BB3">
        <w:t xml:space="preserve">U.S. Department of Commerce, Economics and Statistics Administration and National Telecommunications and Information Administration. (2010). </w:t>
      </w:r>
      <w:r w:rsidR="00102F7F" w:rsidRPr="00591BB3">
        <w:rPr>
          <w:i/>
          <w:iCs/>
        </w:rPr>
        <w:t>Exploring the digital nation: home broadband internet adoption in the United States</w:t>
      </w:r>
      <w:r w:rsidR="00102F7F" w:rsidRPr="00591BB3">
        <w:t xml:space="preserve"> Retrieved from </w:t>
      </w:r>
      <w:hyperlink r:id="rId34" w:history="1">
        <w:r w:rsidRPr="00591BB3">
          <w:rPr>
            <w:rStyle w:val="Hyperlink"/>
          </w:rPr>
          <w:t>http://www.esa.doc.gov/Reports/exploring-digital-nation-home-broadband-internet-adoption-united-states</w:t>
        </w:r>
      </w:hyperlink>
      <w:r w:rsidRPr="00591BB3">
        <w:t>.</w:t>
      </w:r>
    </w:p>
    <w:p w:rsidR="00627AC6" w:rsidRPr="00591BB3" w:rsidRDefault="00627AC6">
      <w:pPr>
        <w:pStyle w:val="FootnoteText"/>
        <w:ind w:left="360"/>
        <w:rPr>
          <w:rFonts w:ascii="Times New Roman" w:hAnsi="Times New Roman" w:cs="Times New Roman"/>
          <w:sz w:val="24"/>
          <w:szCs w:val="24"/>
        </w:rPr>
      </w:pPr>
    </w:p>
    <w:p w:rsidR="00627AC6" w:rsidRPr="00591BB3" w:rsidRDefault="00A60490">
      <w:pPr>
        <w:pStyle w:val="FootnoteText"/>
        <w:numPr>
          <w:ilvl w:val="0"/>
          <w:numId w:val="27"/>
        </w:numPr>
        <w:rPr>
          <w:rFonts w:ascii="Times New Roman" w:hAnsi="Times New Roman" w:cs="Times New Roman"/>
          <w:sz w:val="24"/>
          <w:szCs w:val="24"/>
        </w:rPr>
      </w:pPr>
      <w:r w:rsidRPr="00591BB3">
        <w:rPr>
          <w:rFonts w:ascii="Times New Roman" w:hAnsi="Times New Roman" w:cs="Times New Roman"/>
          <w:sz w:val="24"/>
          <w:szCs w:val="24"/>
        </w:rPr>
        <w:t xml:space="preserve">Webler, T. (1995). "Right" discourse in citizen participation: an evaluative yardstick. In O. Renn, T. Webler &amp; P. Wiedemann (Eds.), </w:t>
      </w:r>
      <w:r w:rsidRPr="00591BB3">
        <w:rPr>
          <w:rFonts w:ascii="Times New Roman" w:hAnsi="Times New Roman" w:cs="Times New Roman"/>
          <w:i/>
          <w:iCs/>
          <w:sz w:val="24"/>
          <w:szCs w:val="24"/>
        </w:rPr>
        <w:t>Fairness and Competence in Citizen Participation: Evaluating Models for Environmental Discourse</w:t>
      </w:r>
      <w:r w:rsidR="00102F7F" w:rsidRPr="00591BB3">
        <w:rPr>
          <w:rFonts w:ascii="Times New Roman" w:hAnsi="Times New Roman" w:cs="Times New Roman"/>
          <w:sz w:val="24"/>
          <w:szCs w:val="24"/>
        </w:rPr>
        <w:t xml:space="preserve"> (pp. 35-86). Dordrecht: Kluwer Academic Publishers.</w:t>
      </w:r>
    </w:p>
    <w:p w:rsidR="00627AC6" w:rsidRDefault="00627AC6">
      <w:pPr>
        <w:rPr>
          <w:color w:val="FF0000"/>
        </w:rPr>
      </w:pPr>
    </w:p>
    <w:p w:rsidR="00627AC6" w:rsidRDefault="00627AC6">
      <w:pPr>
        <w:rPr>
          <w:color w:val="FF0000"/>
        </w:rPr>
      </w:pPr>
    </w:p>
    <w:sectPr w:rsidR="00627AC6" w:rsidSect="00BC1CE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61" w:rsidRDefault="00671961">
      <w:r>
        <w:separator/>
      </w:r>
    </w:p>
  </w:endnote>
  <w:endnote w:type="continuationSeparator" w:id="0">
    <w:p w:rsidR="00671961" w:rsidRDefault="006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095"/>
      <w:docPartObj>
        <w:docPartGallery w:val="Page Numbers (Bottom of Page)"/>
        <w:docPartUnique/>
      </w:docPartObj>
    </w:sdtPr>
    <w:sdtEndPr/>
    <w:sdtContent>
      <w:p w:rsidR="00C82B94" w:rsidRDefault="00671961">
        <w:pPr>
          <w:pStyle w:val="Footer"/>
          <w:jc w:val="center"/>
        </w:pPr>
        <w:r>
          <w:fldChar w:fldCharType="begin"/>
        </w:r>
        <w:r>
          <w:instrText xml:space="preserve"> PAGE   \* MERGEFORMAT </w:instrText>
        </w:r>
        <w:r>
          <w:fldChar w:fldCharType="separate"/>
        </w:r>
        <w:r w:rsidR="004A45C1">
          <w:rPr>
            <w:noProof/>
          </w:rPr>
          <w:t>5</w:t>
        </w:r>
        <w:r>
          <w:rPr>
            <w:noProof/>
          </w:rPr>
          <w:fldChar w:fldCharType="end"/>
        </w:r>
      </w:p>
    </w:sdtContent>
  </w:sdt>
  <w:p w:rsidR="00C82B94" w:rsidRPr="00C0367C" w:rsidRDefault="00C82B94">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94" w:rsidRDefault="00C82B94">
    <w:pPr>
      <w:pStyle w:val="Footer"/>
      <w:jc w:val="center"/>
    </w:pPr>
  </w:p>
  <w:p w:rsidR="00C82B94" w:rsidRDefault="00C82B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094"/>
      <w:docPartObj>
        <w:docPartGallery w:val="Page Numbers (Bottom of Page)"/>
        <w:docPartUnique/>
      </w:docPartObj>
    </w:sdtPr>
    <w:sdtEndPr/>
    <w:sdtContent>
      <w:p w:rsidR="00C82B94" w:rsidRDefault="00671961">
        <w:pPr>
          <w:pStyle w:val="Footer"/>
          <w:jc w:val="center"/>
        </w:pPr>
        <w:r>
          <w:fldChar w:fldCharType="begin"/>
        </w:r>
        <w:r>
          <w:instrText xml:space="preserve"> PAGE   \* MERGEFORMAT </w:instrText>
        </w:r>
        <w:r>
          <w:fldChar w:fldCharType="separate"/>
        </w:r>
        <w:r w:rsidR="004A45C1">
          <w:rPr>
            <w:noProof/>
          </w:rPr>
          <w:t>1</w:t>
        </w:r>
        <w:r>
          <w:rPr>
            <w:noProof/>
          </w:rPr>
          <w:fldChar w:fldCharType="end"/>
        </w:r>
      </w:p>
    </w:sdtContent>
  </w:sdt>
  <w:p w:rsidR="00C82B94" w:rsidRDefault="00C82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61" w:rsidRDefault="00671961">
      <w:r>
        <w:separator/>
      </w:r>
    </w:p>
  </w:footnote>
  <w:footnote w:type="continuationSeparator" w:id="0">
    <w:p w:rsidR="00671961" w:rsidRDefault="00671961">
      <w:r>
        <w:continuationSeparator/>
      </w:r>
    </w:p>
  </w:footnote>
  <w:footnote w:id="1">
    <w:p w:rsidR="00C82B94" w:rsidRDefault="00C82B94">
      <w:pPr>
        <w:pStyle w:val="FootnoteText"/>
        <w:ind w:left="216" w:hanging="216"/>
      </w:pPr>
      <w:r>
        <w:rPr>
          <w:rStyle w:val="FootnoteReference"/>
        </w:rPr>
        <w:footnoteRef/>
      </w:r>
      <w:r>
        <w:t xml:space="preserve"> </w:t>
      </w:r>
      <w:r w:rsidRPr="00DC0660">
        <w:rPr>
          <w:rFonts w:ascii="Times New Roman" w:hAnsi="Times New Roman" w:cs="Times New Roman"/>
        </w:rPr>
        <w:t>U.S. Census Bureau, Current Population Survey (CPS) and CPS, School Enrollment and Internet Use Supplement, October 2009.</w:t>
      </w:r>
    </w:p>
  </w:footnote>
  <w:footnote w:id="2">
    <w:p w:rsidR="00D769B7" w:rsidRDefault="00D769B7" w:rsidP="00D769B7">
      <w:pPr>
        <w:pStyle w:val="FootnoteText"/>
      </w:pPr>
      <w:r>
        <w:rPr>
          <w:rStyle w:val="FootnoteReference"/>
        </w:rPr>
        <w:footnoteRef/>
      </w:r>
      <w:r>
        <w:t xml:space="preserve"> </w:t>
      </w:r>
      <w:r w:rsidRPr="001D7748">
        <w:rPr>
          <w:rFonts w:ascii="Times New Roman" w:hAnsi="Times New Roman"/>
        </w:rPr>
        <w:t xml:space="preserve">The study participants will deliberate in groups (i.e., clusters), which is likely to make participants’ deliberation experience and attitudes within the same group more similar to each other than they would be if deliberation were an individual endeavor and the participants were independent of each other. We have taken this clustering (i.e., the intra-class correlation coefficient or ICC) into account when estimating the minimum </w:t>
      </w:r>
      <w:r>
        <w:rPr>
          <w:rFonts w:ascii="Times New Roman" w:hAnsi="Times New Roman"/>
        </w:rPr>
        <w:t>detectable effect sizes</w:t>
      </w:r>
      <w:r w:rsidRPr="001D7748">
        <w:rPr>
          <w:rFonts w:ascii="Times New Roman" w:hAnsi="Times New Roman"/>
        </w:rPr>
        <w:t xml:space="preserve"> in Exhibit </w:t>
      </w:r>
      <w:r w:rsidR="004D26B1">
        <w:rPr>
          <w:rFonts w:ascii="Times New Roman" w:hAnsi="Times New Roman"/>
        </w:rPr>
        <w:t>5</w:t>
      </w:r>
      <w:r w:rsidRPr="001D7748">
        <w:rPr>
          <w:rFonts w:ascii="Times New Roman" w:hAnsi="Times New Roman"/>
        </w:rPr>
        <w:t>.</w:t>
      </w:r>
    </w:p>
  </w:footnote>
  <w:footnote w:id="3">
    <w:p w:rsidR="00C82B94" w:rsidRPr="00385446" w:rsidRDefault="00C82B94" w:rsidP="00C317DE">
      <w:pPr>
        <w:pStyle w:val="FootnoteText"/>
        <w:rPr>
          <w:rFonts w:ascii="Times New Roman" w:hAnsi="Times New Roman" w:cs="Times New Roman"/>
        </w:rPr>
      </w:pPr>
      <w:r w:rsidRPr="001D7748">
        <w:rPr>
          <w:rStyle w:val="FootnoteReference"/>
          <w:rFonts w:ascii="Times New Roman" w:hAnsi="Times New Roman" w:cs="Times New Roman"/>
        </w:rPr>
        <w:footnoteRef/>
      </w:r>
      <w:r w:rsidRPr="001D7748">
        <w:rPr>
          <w:rFonts w:ascii="Times New Roman" w:hAnsi="Times New Roman" w:cs="Times New Roman"/>
        </w:rPr>
        <w:t xml:space="preserve"> According to Cohen (1992), an effect size of 0.2 to 0.3 is regarded as small effect, an effect size around 0.5 is regarded as moderate effect and an effect size equal to or larger than 0.8 is regarded as large effect.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08"/>
    <w:multiLevelType w:val="hybridMultilevel"/>
    <w:tmpl w:val="5F407616"/>
    <w:lvl w:ilvl="0" w:tplc="C39CEF8E">
      <w:start w:val="1"/>
      <w:numFmt w:val="decimal"/>
      <w:pStyle w:val="CFBodyTex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732E1C"/>
    <w:multiLevelType w:val="hybridMultilevel"/>
    <w:tmpl w:val="FDE26A42"/>
    <w:lvl w:ilvl="0" w:tplc="50A40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771D9"/>
    <w:multiLevelType w:val="hybridMultilevel"/>
    <w:tmpl w:val="A7F4B4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31A5D"/>
    <w:multiLevelType w:val="hybridMultilevel"/>
    <w:tmpl w:val="51CE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C2469"/>
    <w:multiLevelType w:val="hybridMultilevel"/>
    <w:tmpl w:val="1F5A1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AF1800"/>
    <w:multiLevelType w:val="hybridMultilevel"/>
    <w:tmpl w:val="B024E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B7A7D"/>
    <w:multiLevelType w:val="hybridMultilevel"/>
    <w:tmpl w:val="35AE9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E1436"/>
    <w:multiLevelType w:val="hybridMultilevel"/>
    <w:tmpl w:val="2C54F92E"/>
    <w:lvl w:ilvl="0" w:tplc="13061FFE">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D129E"/>
    <w:multiLevelType w:val="hybridMultilevel"/>
    <w:tmpl w:val="BFB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13FEF"/>
    <w:multiLevelType w:val="hybridMultilevel"/>
    <w:tmpl w:val="2542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66E01"/>
    <w:multiLevelType w:val="hybridMultilevel"/>
    <w:tmpl w:val="EEE4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55A58"/>
    <w:multiLevelType w:val="hybridMultilevel"/>
    <w:tmpl w:val="1FEE630C"/>
    <w:lvl w:ilvl="0" w:tplc="0924E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E86194"/>
    <w:multiLevelType w:val="hybridMultilevel"/>
    <w:tmpl w:val="82EAD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755DC"/>
    <w:multiLevelType w:val="hybridMultilevel"/>
    <w:tmpl w:val="59B8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25872"/>
    <w:multiLevelType w:val="hybridMultilevel"/>
    <w:tmpl w:val="EBD8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16071"/>
    <w:multiLevelType w:val="hybridMultilevel"/>
    <w:tmpl w:val="4A4C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878C8"/>
    <w:multiLevelType w:val="hybridMultilevel"/>
    <w:tmpl w:val="4158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18">
    <w:nsid w:val="549B014B"/>
    <w:multiLevelType w:val="hybridMultilevel"/>
    <w:tmpl w:val="5A4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D577E"/>
    <w:multiLevelType w:val="hybridMultilevel"/>
    <w:tmpl w:val="52F88E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D43E6A"/>
    <w:multiLevelType w:val="hybridMultilevel"/>
    <w:tmpl w:val="5D7A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64C23"/>
    <w:multiLevelType w:val="hybridMultilevel"/>
    <w:tmpl w:val="1FD8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E47988"/>
    <w:multiLevelType w:val="hybridMultilevel"/>
    <w:tmpl w:val="3808EE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1A5102"/>
    <w:multiLevelType w:val="hybridMultilevel"/>
    <w:tmpl w:val="4F46B3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9B704A"/>
    <w:multiLevelType w:val="hybridMultilevel"/>
    <w:tmpl w:val="46CED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F16B3"/>
    <w:multiLevelType w:val="hybridMultilevel"/>
    <w:tmpl w:val="FE6E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573722"/>
    <w:multiLevelType w:val="hybridMultilevel"/>
    <w:tmpl w:val="127C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E7DE9"/>
    <w:multiLevelType w:val="hybridMultilevel"/>
    <w:tmpl w:val="3E5A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18"/>
  </w:num>
  <w:num w:numId="4">
    <w:abstractNumId w:val="2"/>
  </w:num>
  <w:num w:numId="5">
    <w:abstractNumId w:val="4"/>
  </w:num>
  <w:num w:numId="6">
    <w:abstractNumId w:val="13"/>
  </w:num>
  <w:num w:numId="7">
    <w:abstractNumId w:val="0"/>
  </w:num>
  <w:num w:numId="8">
    <w:abstractNumId w:val="8"/>
  </w:num>
  <w:num w:numId="9">
    <w:abstractNumId w:val="26"/>
  </w:num>
  <w:num w:numId="10">
    <w:abstractNumId w:val="21"/>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4"/>
  </w:num>
  <w:num w:numId="15">
    <w:abstractNumId w:val="10"/>
  </w:num>
  <w:num w:numId="16">
    <w:abstractNumId w:val="15"/>
  </w:num>
  <w:num w:numId="17">
    <w:abstractNumId w:val="12"/>
  </w:num>
  <w:num w:numId="18">
    <w:abstractNumId w:val="20"/>
  </w:num>
  <w:num w:numId="19">
    <w:abstractNumId w:val="22"/>
  </w:num>
  <w:num w:numId="20">
    <w:abstractNumId w:val="11"/>
  </w:num>
  <w:num w:numId="21">
    <w:abstractNumId w:val="16"/>
  </w:num>
  <w:num w:numId="22">
    <w:abstractNumId w:val="6"/>
  </w:num>
  <w:num w:numId="23">
    <w:abstractNumId w:val="9"/>
  </w:num>
  <w:num w:numId="24">
    <w:abstractNumId w:val="7"/>
  </w:num>
  <w:num w:numId="25">
    <w:abstractNumId w:val="5"/>
  </w:num>
  <w:num w:numId="26">
    <w:abstractNumId w:val="25"/>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310E"/>
    <w:rsid w:val="0000563A"/>
    <w:rsid w:val="000215AC"/>
    <w:rsid w:val="0002207E"/>
    <w:rsid w:val="000234E6"/>
    <w:rsid w:val="00026146"/>
    <w:rsid w:val="000311E5"/>
    <w:rsid w:val="00034204"/>
    <w:rsid w:val="0004334D"/>
    <w:rsid w:val="00047929"/>
    <w:rsid w:val="0005035B"/>
    <w:rsid w:val="00050C21"/>
    <w:rsid w:val="000560FB"/>
    <w:rsid w:val="0006755D"/>
    <w:rsid w:val="00067E75"/>
    <w:rsid w:val="0007081F"/>
    <w:rsid w:val="00071744"/>
    <w:rsid w:val="00073219"/>
    <w:rsid w:val="00074F8E"/>
    <w:rsid w:val="00084DFE"/>
    <w:rsid w:val="00086F8E"/>
    <w:rsid w:val="00087154"/>
    <w:rsid w:val="000934B8"/>
    <w:rsid w:val="000939A7"/>
    <w:rsid w:val="00097D6F"/>
    <w:rsid w:val="000A0CF7"/>
    <w:rsid w:val="000A25B2"/>
    <w:rsid w:val="000A573E"/>
    <w:rsid w:val="000A6878"/>
    <w:rsid w:val="000A7D5C"/>
    <w:rsid w:val="000B1D35"/>
    <w:rsid w:val="000B4682"/>
    <w:rsid w:val="000B7ACC"/>
    <w:rsid w:val="000D190E"/>
    <w:rsid w:val="000E0928"/>
    <w:rsid w:val="000E6B74"/>
    <w:rsid w:val="000F0EF2"/>
    <w:rsid w:val="000F169C"/>
    <w:rsid w:val="000F380A"/>
    <w:rsid w:val="000F3CC0"/>
    <w:rsid w:val="000F69AD"/>
    <w:rsid w:val="001013FD"/>
    <w:rsid w:val="00102F7F"/>
    <w:rsid w:val="00105CFE"/>
    <w:rsid w:val="00107E05"/>
    <w:rsid w:val="00115285"/>
    <w:rsid w:val="00133611"/>
    <w:rsid w:val="00134A9A"/>
    <w:rsid w:val="001375E8"/>
    <w:rsid w:val="00143594"/>
    <w:rsid w:val="0014571D"/>
    <w:rsid w:val="00145E2B"/>
    <w:rsid w:val="00146979"/>
    <w:rsid w:val="0016080E"/>
    <w:rsid w:val="0016368E"/>
    <w:rsid w:val="001641F5"/>
    <w:rsid w:val="00171513"/>
    <w:rsid w:val="001719B1"/>
    <w:rsid w:val="001753F3"/>
    <w:rsid w:val="00182112"/>
    <w:rsid w:val="00193589"/>
    <w:rsid w:val="00193B23"/>
    <w:rsid w:val="00197085"/>
    <w:rsid w:val="001A6DC9"/>
    <w:rsid w:val="001A7B27"/>
    <w:rsid w:val="001A7E7E"/>
    <w:rsid w:val="001B1592"/>
    <w:rsid w:val="001B272F"/>
    <w:rsid w:val="001B65F0"/>
    <w:rsid w:val="001B6943"/>
    <w:rsid w:val="001C03B1"/>
    <w:rsid w:val="001C2F85"/>
    <w:rsid w:val="001D3227"/>
    <w:rsid w:val="001D4322"/>
    <w:rsid w:val="001D4DA9"/>
    <w:rsid w:val="001D7176"/>
    <w:rsid w:val="001D7748"/>
    <w:rsid w:val="001E2C04"/>
    <w:rsid w:val="001F0D0E"/>
    <w:rsid w:val="001F4E59"/>
    <w:rsid w:val="001F722F"/>
    <w:rsid w:val="00202D22"/>
    <w:rsid w:val="00206DC1"/>
    <w:rsid w:val="002075FF"/>
    <w:rsid w:val="00213C75"/>
    <w:rsid w:val="002141F0"/>
    <w:rsid w:val="00214D81"/>
    <w:rsid w:val="0021784E"/>
    <w:rsid w:val="00226206"/>
    <w:rsid w:val="00227D87"/>
    <w:rsid w:val="0023423D"/>
    <w:rsid w:val="002356D0"/>
    <w:rsid w:val="0024029C"/>
    <w:rsid w:val="00253C78"/>
    <w:rsid w:val="00255DD8"/>
    <w:rsid w:val="00261920"/>
    <w:rsid w:val="002656DB"/>
    <w:rsid w:val="00270054"/>
    <w:rsid w:val="002704DB"/>
    <w:rsid w:val="00276127"/>
    <w:rsid w:val="00287559"/>
    <w:rsid w:val="0029206D"/>
    <w:rsid w:val="002A02DC"/>
    <w:rsid w:val="002B088E"/>
    <w:rsid w:val="002B189C"/>
    <w:rsid w:val="002B5541"/>
    <w:rsid w:val="002C2866"/>
    <w:rsid w:val="002C78A1"/>
    <w:rsid w:val="002D2CA0"/>
    <w:rsid w:val="002D2CD6"/>
    <w:rsid w:val="002D620B"/>
    <w:rsid w:val="002D62B3"/>
    <w:rsid w:val="002D6AF6"/>
    <w:rsid w:val="002E265F"/>
    <w:rsid w:val="002E6546"/>
    <w:rsid w:val="002F1755"/>
    <w:rsid w:val="0030451E"/>
    <w:rsid w:val="003058A2"/>
    <w:rsid w:val="00305F85"/>
    <w:rsid w:val="003131E8"/>
    <w:rsid w:val="003204FA"/>
    <w:rsid w:val="003211EA"/>
    <w:rsid w:val="00322B88"/>
    <w:rsid w:val="00326C6C"/>
    <w:rsid w:val="003326C1"/>
    <w:rsid w:val="00332E7C"/>
    <w:rsid w:val="0033344A"/>
    <w:rsid w:val="003401F2"/>
    <w:rsid w:val="00340BED"/>
    <w:rsid w:val="00346DA4"/>
    <w:rsid w:val="0036163B"/>
    <w:rsid w:val="00361A9C"/>
    <w:rsid w:val="00362A57"/>
    <w:rsid w:val="003633D3"/>
    <w:rsid w:val="00363A11"/>
    <w:rsid w:val="00366182"/>
    <w:rsid w:val="00373FD5"/>
    <w:rsid w:val="00375298"/>
    <w:rsid w:val="0037556F"/>
    <w:rsid w:val="00383558"/>
    <w:rsid w:val="00385437"/>
    <w:rsid w:val="00385446"/>
    <w:rsid w:val="00391FF3"/>
    <w:rsid w:val="00394FB8"/>
    <w:rsid w:val="003A1F03"/>
    <w:rsid w:val="003A5DDE"/>
    <w:rsid w:val="003A66AB"/>
    <w:rsid w:val="003B348E"/>
    <w:rsid w:val="003B53F8"/>
    <w:rsid w:val="003C0D61"/>
    <w:rsid w:val="003C4A5D"/>
    <w:rsid w:val="003C4F8B"/>
    <w:rsid w:val="003D05E3"/>
    <w:rsid w:val="003D0DC0"/>
    <w:rsid w:val="003D3A0F"/>
    <w:rsid w:val="003D42CD"/>
    <w:rsid w:val="003D577F"/>
    <w:rsid w:val="003D66A1"/>
    <w:rsid w:val="003D6DF5"/>
    <w:rsid w:val="003D746F"/>
    <w:rsid w:val="003E4D51"/>
    <w:rsid w:val="003E5D3E"/>
    <w:rsid w:val="003E7ED4"/>
    <w:rsid w:val="003F4913"/>
    <w:rsid w:val="00401EAF"/>
    <w:rsid w:val="00403F58"/>
    <w:rsid w:val="00406F02"/>
    <w:rsid w:val="0041632A"/>
    <w:rsid w:val="004169D9"/>
    <w:rsid w:val="00424FC8"/>
    <w:rsid w:val="00430F77"/>
    <w:rsid w:val="0043565E"/>
    <w:rsid w:val="00440042"/>
    <w:rsid w:val="00441B14"/>
    <w:rsid w:val="0044209F"/>
    <w:rsid w:val="0044293E"/>
    <w:rsid w:val="00445629"/>
    <w:rsid w:val="00445776"/>
    <w:rsid w:val="00450C1C"/>
    <w:rsid w:val="00451B37"/>
    <w:rsid w:val="00454B82"/>
    <w:rsid w:val="00455AE7"/>
    <w:rsid w:val="0045787C"/>
    <w:rsid w:val="00466338"/>
    <w:rsid w:val="004814C5"/>
    <w:rsid w:val="00483A2B"/>
    <w:rsid w:val="00484BF9"/>
    <w:rsid w:val="004947AB"/>
    <w:rsid w:val="004957D0"/>
    <w:rsid w:val="00496570"/>
    <w:rsid w:val="004A40BF"/>
    <w:rsid w:val="004A45C1"/>
    <w:rsid w:val="004A70E1"/>
    <w:rsid w:val="004B6C50"/>
    <w:rsid w:val="004D07FE"/>
    <w:rsid w:val="004D26B1"/>
    <w:rsid w:val="004D3D17"/>
    <w:rsid w:val="004E4CAE"/>
    <w:rsid w:val="004E7F2F"/>
    <w:rsid w:val="004F0D09"/>
    <w:rsid w:val="004F1FF5"/>
    <w:rsid w:val="004F2747"/>
    <w:rsid w:val="004F6D62"/>
    <w:rsid w:val="005002F7"/>
    <w:rsid w:val="00501FFA"/>
    <w:rsid w:val="005042DE"/>
    <w:rsid w:val="00504CBE"/>
    <w:rsid w:val="005056D7"/>
    <w:rsid w:val="0050670B"/>
    <w:rsid w:val="00506994"/>
    <w:rsid w:val="005113C0"/>
    <w:rsid w:val="00513E57"/>
    <w:rsid w:val="005222DB"/>
    <w:rsid w:val="00530107"/>
    <w:rsid w:val="00533AE9"/>
    <w:rsid w:val="00536325"/>
    <w:rsid w:val="00536E1A"/>
    <w:rsid w:val="00537A47"/>
    <w:rsid w:val="00541728"/>
    <w:rsid w:val="005452C4"/>
    <w:rsid w:val="00550C98"/>
    <w:rsid w:val="00553C6F"/>
    <w:rsid w:val="005547B9"/>
    <w:rsid w:val="005562BC"/>
    <w:rsid w:val="00566DD2"/>
    <w:rsid w:val="00571A52"/>
    <w:rsid w:val="00573E53"/>
    <w:rsid w:val="0059069A"/>
    <w:rsid w:val="00591BB3"/>
    <w:rsid w:val="00592A01"/>
    <w:rsid w:val="00593A72"/>
    <w:rsid w:val="00595180"/>
    <w:rsid w:val="00595E4F"/>
    <w:rsid w:val="00596F16"/>
    <w:rsid w:val="005974BD"/>
    <w:rsid w:val="005B0FD2"/>
    <w:rsid w:val="005B182D"/>
    <w:rsid w:val="005B1D8D"/>
    <w:rsid w:val="005B2826"/>
    <w:rsid w:val="005B34B9"/>
    <w:rsid w:val="005B4983"/>
    <w:rsid w:val="005B669B"/>
    <w:rsid w:val="005C086A"/>
    <w:rsid w:val="005C374A"/>
    <w:rsid w:val="005C3DC2"/>
    <w:rsid w:val="005C491B"/>
    <w:rsid w:val="005C54A5"/>
    <w:rsid w:val="005C6451"/>
    <w:rsid w:val="005D1B93"/>
    <w:rsid w:val="005D2CD7"/>
    <w:rsid w:val="005D3103"/>
    <w:rsid w:val="005D3FDC"/>
    <w:rsid w:val="005E0BDB"/>
    <w:rsid w:val="005E2ADA"/>
    <w:rsid w:val="005E3002"/>
    <w:rsid w:val="005E4179"/>
    <w:rsid w:val="005E7A9B"/>
    <w:rsid w:val="005E7DEC"/>
    <w:rsid w:val="005F1EE5"/>
    <w:rsid w:val="005F2D8E"/>
    <w:rsid w:val="005F3E5F"/>
    <w:rsid w:val="0060061E"/>
    <w:rsid w:val="00604458"/>
    <w:rsid w:val="00607116"/>
    <w:rsid w:val="00607308"/>
    <w:rsid w:val="00610B86"/>
    <w:rsid w:val="006117A0"/>
    <w:rsid w:val="00612FA0"/>
    <w:rsid w:val="00613605"/>
    <w:rsid w:val="00613937"/>
    <w:rsid w:val="006139D1"/>
    <w:rsid w:val="006167F2"/>
    <w:rsid w:val="00622020"/>
    <w:rsid w:val="006228BC"/>
    <w:rsid w:val="00625B38"/>
    <w:rsid w:val="00627AC6"/>
    <w:rsid w:val="00627F32"/>
    <w:rsid w:val="00630AC0"/>
    <w:rsid w:val="00631358"/>
    <w:rsid w:val="00631461"/>
    <w:rsid w:val="006360D7"/>
    <w:rsid w:val="00636777"/>
    <w:rsid w:val="00646827"/>
    <w:rsid w:val="00646E7D"/>
    <w:rsid w:val="006478DC"/>
    <w:rsid w:val="00647F4C"/>
    <w:rsid w:val="0066230C"/>
    <w:rsid w:val="00663211"/>
    <w:rsid w:val="00666F71"/>
    <w:rsid w:val="00671961"/>
    <w:rsid w:val="00671DBB"/>
    <w:rsid w:val="00680E77"/>
    <w:rsid w:val="0068321A"/>
    <w:rsid w:val="0068502C"/>
    <w:rsid w:val="00686F3D"/>
    <w:rsid w:val="00695614"/>
    <w:rsid w:val="00697EFE"/>
    <w:rsid w:val="006A081D"/>
    <w:rsid w:val="006A137F"/>
    <w:rsid w:val="006A2C60"/>
    <w:rsid w:val="006A355B"/>
    <w:rsid w:val="006A7F16"/>
    <w:rsid w:val="006B649C"/>
    <w:rsid w:val="006C537A"/>
    <w:rsid w:val="006C6AFE"/>
    <w:rsid w:val="006C74EA"/>
    <w:rsid w:val="006C75B6"/>
    <w:rsid w:val="006C7B99"/>
    <w:rsid w:val="006D2CBA"/>
    <w:rsid w:val="006D442D"/>
    <w:rsid w:val="006D5385"/>
    <w:rsid w:val="006D56B3"/>
    <w:rsid w:val="006D5B0A"/>
    <w:rsid w:val="006D73A5"/>
    <w:rsid w:val="006D7F23"/>
    <w:rsid w:val="006E4A6C"/>
    <w:rsid w:val="006E557B"/>
    <w:rsid w:val="006F010B"/>
    <w:rsid w:val="006F1AFA"/>
    <w:rsid w:val="007033F2"/>
    <w:rsid w:val="0070544C"/>
    <w:rsid w:val="00705B5B"/>
    <w:rsid w:val="00710495"/>
    <w:rsid w:val="0071092E"/>
    <w:rsid w:val="007165CB"/>
    <w:rsid w:val="00721634"/>
    <w:rsid w:val="007259D2"/>
    <w:rsid w:val="00725AF3"/>
    <w:rsid w:val="00725C3B"/>
    <w:rsid w:val="0073133C"/>
    <w:rsid w:val="00733EFA"/>
    <w:rsid w:val="00734740"/>
    <w:rsid w:val="00741E04"/>
    <w:rsid w:val="00741EE3"/>
    <w:rsid w:val="00743B43"/>
    <w:rsid w:val="007476E8"/>
    <w:rsid w:val="00754DCD"/>
    <w:rsid w:val="007552A5"/>
    <w:rsid w:val="007560C4"/>
    <w:rsid w:val="00761607"/>
    <w:rsid w:val="0076205C"/>
    <w:rsid w:val="00770057"/>
    <w:rsid w:val="0077506C"/>
    <w:rsid w:val="0077677B"/>
    <w:rsid w:val="007907CE"/>
    <w:rsid w:val="00790877"/>
    <w:rsid w:val="00791F60"/>
    <w:rsid w:val="00794259"/>
    <w:rsid w:val="007A0F19"/>
    <w:rsid w:val="007A499A"/>
    <w:rsid w:val="007A6B92"/>
    <w:rsid w:val="007B04EA"/>
    <w:rsid w:val="007B4613"/>
    <w:rsid w:val="007B637D"/>
    <w:rsid w:val="007B65D4"/>
    <w:rsid w:val="007B7478"/>
    <w:rsid w:val="007C0815"/>
    <w:rsid w:val="007C0A89"/>
    <w:rsid w:val="007C16BD"/>
    <w:rsid w:val="007C321F"/>
    <w:rsid w:val="007D6BE2"/>
    <w:rsid w:val="007E269B"/>
    <w:rsid w:val="007E52CF"/>
    <w:rsid w:val="007E7F8F"/>
    <w:rsid w:val="007F0FE5"/>
    <w:rsid w:val="00807E31"/>
    <w:rsid w:val="00813F44"/>
    <w:rsid w:val="0081533D"/>
    <w:rsid w:val="00836B4A"/>
    <w:rsid w:val="008410AE"/>
    <w:rsid w:val="008412B9"/>
    <w:rsid w:val="00844DD4"/>
    <w:rsid w:val="00844FFA"/>
    <w:rsid w:val="00845225"/>
    <w:rsid w:val="00847536"/>
    <w:rsid w:val="00854524"/>
    <w:rsid w:val="0085671F"/>
    <w:rsid w:val="008576E9"/>
    <w:rsid w:val="008715CC"/>
    <w:rsid w:val="00876E6F"/>
    <w:rsid w:val="0087760C"/>
    <w:rsid w:val="008827AC"/>
    <w:rsid w:val="00883DDD"/>
    <w:rsid w:val="00893661"/>
    <w:rsid w:val="008A095F"/>
    <w:rsid w:val="008A576D"/>
    <w:rsid w:val="008B3834"/>
    <w:rsid w:val="008B60B4"/>
    <w:rsid w:val="008B63E0"/>
    <w:rsid w:val="008C1ACA"/>
    <w:rsid w:val="008C310E"/>
    <w:rsid w:val="008D2760"/>
    <w:rsid w:val="008E2F1B"/>
    <w:rsid w:val="008E5B94"/>
    <w:rsid w:val="008E63F6"/>
    <w:rsid w:val="008F048F"/>
    <w:rsid w:val="008F1293"/>
    <w:rsid w:val="008F13F6"/>
    <w:rsid w:val="008F2015"/>
    <w:rsid w:val="008F267A"/>
    <w:rsid w:val="008F30F8"/>
    <w:rsid w:val="008F37CD"/>
    <w:rsid w:val="008F4256"/>
    <w:rsid w:val="008F599F"/>
    <w:rsid w:val="00902064"/>
    <w:rsid w:val="00914810"/>
    <w:rsid w:val="00926F4F"/>
    <w:rsid w:val="00926F6E"/>
    <w:rsid w:val="00931C65"/>
    <w:rsid w:val="0093431F"/>
    <w:rsid w:val="0093634A"/>
    <w:rsid w:val="00937FF7"/>
    <w:rsid w:val="00940F3C"/>
    <w:rsid w:val="00944143"/>
    <w:rsid w:val="00944F48"/>
    <w:rsid w:val="00957F14"/>
    <w:rsid w:val="00965832"/>
    <w:rsid w:val="00965C33"/>
    <w:rsid w:val="00972238"/>
    <w:rsid w:val="00982BE3"/>
    <w:rsid w:val="009848BF"/>
    <w:rsid w:val="00985B90"/>
    <w:rsid w:val="009875A2"/>
    <w:rsid w:val="00994AF8"/>
    <w:rsid w:val="009965F7"/>
    <w:rsid w:val="009A4AB7"/>
    <w:rsid w:val="009A797C"/>
    <w:rsid w:val="009B01A5"/>
    <w:rsid w:val="009B16E8"/>
    <w:rsid w:val="009B2EBB"/>
    <w:rsid w:val="009C0069"/>
    <w:rsid w:val="009D15CB"/>
    <w:rsid w:val="009D684E"/>
    <w:rsid w:val="009E02A3"/>
    <w:rsid w:val="009E0308"/>
    <w:rsid w:val="009E20ED"/>
    <w:rsid w:val="009E2227"/>
    <w:rsid w:val="009F0EA8"/>
    <w:rsid w:val="009F7562"/>
    <w:rsid w:val="00A01437"/>
    <w:rsid w:val="00A10AC6"/>
    <w:rsid w:val="00A10B59"/>
    <w:rsid w:val="00A207B8"/>
    <w:rsid w:val="00A3180F"/>
    <w:rsid w:val="00A3507F"/>
    <w:rsid w:val="00A357BC"/>
    <w:rsid w:val="00A35BD2"/>
    <w:rsid w:val="00A36C6E"/>
    <w:rsid w:val="00A3768B"/>
    <w:rsid w:val="00A4149C"/>
    <w:rsid w:val="00A42B1D"/>
    <w:rsid w:val="00A46CF3"/>
    <w:rsid w:val="00A55A79"/>
    <w:rsid w:val="00A60490"/>
    <w:rsid w:val="00A64353"/>
    <w:rsid w:val="00A647D1"/>
    <w:rsid w:val="00A65329"/>
    <w:rsid w:val="00A674D8"/>
    <w:rsid w:val="00A71760"/>
    <w:rsid w:val="00A74081"/>
    <w:rsid w:val="00A7683E"/>
    <w:rsid w:val="00A83977"/>
    <w:rsid w:val="00A912E0"/>
    <w:rsid w:val="00AA0A3B"/>
    <w:rsid w:val="00AA1213"/>
    <w:rsid w:val="00AB298C"/>
    <w:rsid w:val="00AB31A3"/>
    <w:rsid w:val="00AB3BF2"/>
    <w:rsid w:val="00AB43DE"/>
    <w:rsid w:val="00AC2333"/>
    <w:rsid w:val="00AD023D"/>
    <w:rsid w:val="00AD2E44"/>
    <w:rsid w:val="00AD3AF9"/>
    <w:rsid w:val="00AE053B"/>
    <w:rsid w:val="00AE05B2"/>
    <w:rsid w:val="00AE440B"/>
    <w:rsid w:val="00AF405D"/>
    <w:rsid w:val="00AF5108"/>
    <w:rsid w:val="00AF6408"/>
    <w:rsid w:val="00B0288D"/>
    <w:rsid w:val="00B03AA4"/>
    <w:rsid w:val="00B048E3"/>
    <w:rsid w:val="00B059EE"/>
    <w:rsid w:val="00B0665D"/>
    <w:rsid w:val="00B06C8C"/>
    <w:rsid w:val="00B113DA"/>
    <w:rsid w:val="00B125AF"/>
    <w:rsid w:val="00B14E23"/>
    <w:rsid w:val="00B1677E"/>
    <w:rsid w:val="00B20C6F"/>
    <w:rsid w:val="00B21FA4"/>
    <w:rsid w:val="00B25AAA"/>
    <w:rsid w:val="00B27159"/>
    <w:rsid w:val="00B30CFD"/>
    <w:rsid w:val="00B32F31"/>
    <w:rsid w:val="00B4141C"/>
    <w:rsid w:val="00B41913"/>
    <w:rsid w:val="00B41EC6"/>
    <w:rsid w:val="00B44BDF"/>
    <w:rsid w:val="00B46181"/>
    <w:rsid w:val="00B47618"/>
    <w:rsid w:val="00B47BEB"/>
    <w:rsid w:val="00B5399F"/>
    <w:rsid w:val="00B57059"/>
    <w:rsid w:val="00B607A9"/>
    <w:rsid w:val="00B63F62"/>
    <w:rsid w:val="00B67FC7"/>
    <w:rsid w:val="00B71AE6"/>
    <w:rsid w:val="00B77067"/>
    <w:rsid w:val="00B80450"/>
    <w:rsid w:val="00B817F2"/>
    <w:rsid w:val="00B9682F"/>
    <w:rsid w:val="00BA04C2"/>
    <w:rsid w:val="00BA1DA1"/>
    <w:rsid w:val="00BA5AFD"/>
    <w:rsid w:val="00BA6063"/>
    <w:rsid w:val="00BA6A94"/>
    <w:rsid w:val="00BA75B5"/>
    <w:rsid w:val="00BB6874"/>
    <w:rsid w:val="00BB6CA6"/>
    <w:rsid w:val="00BB6E5F"/>
    <w:rsid w:val="00BC1CEA"/>
    <w:rsid w:val="00BC4E67"/>
    <w:rsid w:val="00BC52B5"/>
    <w:rsid w:val="00BC5A48"/>
    <w:rsid w:val="00BC7DF7"/>
    <w:rsid w:val="00BD0AEE"/>
    <w:rsid w:val="00BD24D5"/>
    <w:rsid w:val="00BD4425"/>
    <w:rsid w:val="00BE3F3D"/>
    <w:rsid w:val="00BF44B9"/>
    <w:rsid w:val="00BF5891"/>
    <w:rsid w:val="00BF5F3F"/>
    <w:rsid w:val="00BF7F2A"/>
    <w:rsid w:val="00C00280"/>
    <w:rsid w:val="00C04AD8"/>
    <w:rsid w:val="00C12D0C"/>
    <w:rsid w:val="00C16DE4"/>
    <w:rsid w:val="00C221C4"/>
    <w:rsid w:val="00C25DEA"/>
    <w:rsid w:val="00C317DE"/>
    <w:rsid w:val="00C33E58"/>
    <w:rsid w:val="00C36861"/>
    <w:rsid w:val="00C47DA9"/>
    <w:rsid w:val="00C51E68"/>
    <w:rsid w:val="00C55E42"/>
    <w:rsid w:val="00C577CC"/>
    <w:rsid w:val="00C57A72"/>
    <w:rsid w:val="00C612AB"/>
    <w:rsid w:val="00C61678"/>
    <w:rsid w:val="00C62490"/>
    <w:rsid w:val="00C660BE"/>
    <w:rsid w:val="00C76AAE"/>
    <w:rsid w:val="00C82B94"/>
    <w:rsid w:val="00C8544A"/>
    <w:rsid w:val="00C856B5"/>
    <w:rsid w:val="00C85C72"/>
    <w:rsid w:val="00C87241"/>
    <w:rsid w:val="00C9116E"/>
    <w:rsid w:val="00C94EE3"/>
    <w:rsid w:val="00CA02BF"/>
    <w:rsid w:val="00CA289D"/>
    <w:rsid w:val="00CB0CA5"/>
    <w:rsid w:val="00CB2EC8"/>
    <w:rsid w:val="00CB4F27"/>
    <w:rsid w:val="00CB58E4"/>
    <w:rsid w:val="00CB79CE"/>
    <w:rsid w:val="00CC0A52"/>
    <w:rsid w:val="00CC0BC0"/>
    <w:rsid w:val="00CD679B"/>
    <w:rsid w:val="00CD7A9B"/>
    <w:rsid w:val="00CE0D42"/>
    <w:rsid w:val="00CE2527"/>
    <w:rsid w:val="00CE42BE"/>
    <w:rsid w:val="00CE4905"/>
    <w:rsid w:val="00D0176B"/>
    <w:rsid w:val="00D04713"/>
    <w:rsid w:val="00D05EBC"/>
    <w:rsid w:val="00D1162B"/>
    <w:rsid w:val="00D203C7"/>
    <w:rsid w:val="00D205E2"/>
    <w:rsid w:val="00D20796"/>
    <w:rsid w:val="00D22B34"/>
    <w:rsid w:val="00D23BD5"/>
    <w:rsid w:val="00D241A0"/>
    <w:rsid w:val="00D369DB"/>
    <w:rsid w:val="00D400D5"/>
    <w:rsid w:val="00D403E5"/>
    <w:rsid w:val="00D432EF"/>
    <w:rsid w:val="00D47652"/>
    <w:rsid w:val="00D56C2E"/>
    <w:rsid w:val="00D63554"/>
    <w:rsid w:val="00D6646F"/>
    <w:rsid w:val="00D70D0F"/>
    <w:rsid w:val="00D7593D"/>
    <w:rsid w:val="00D769B7"/>
    <w:rsid w:val="00D76F23"/>
    <w:rsid w:val="00D80E8A"/>
    <w:rsid w:val="00D96C0D"/>
    <w:rsid w:val="00DA7BC0"/>
    <w:rsid w:val="00DB1B52"/>
    <w:rsid w:val="00DB73B1"/>
    <w:rsid w:val="00DC0660"/>
    <w:rsid w:val="00DC4413"/>
    <w:rsid w:val="00DC75E6"/>
    <w:rsid w:val="00DD0251"/>
    <w:rsid w:val="00DD08E4"/>
    <w:rsid w:val="00DD4C2D"/>
    <w:rsid w:val="00DD7112"/>
    <w:rsid w:val="00DE21F5"/>
    <w:rsid w:val="00DE3A26"/>
    <w:rsid w:val="00E01D76"/>
    <w:rsid w:val="00E05F19"/>
    <w:rsid w:val="00E10577"/>
    <w:rsid w:val="00E11471"/>
    <w:rsid w:val="00E168C3"/>
    <w:rsid w:val="00E2312A"/>
    <w:rsid w:val="00E26C45"/>
    <w:rsid w:val="00E27063"/>
    <w:rsid w:val="00E30E52"/>
    <w:rsid w:val="00E3521F"/>
    <w:rsid w:val="00E36A07"/>
    <w:rsid w:val="00E402ED"/>
    <w:rsid w:val="00E4610C"/>
    <w:rsid w:val="00E47274"/>
    <w:rsid w:val="00E514E0"/>
    <w:rsid w:val="00E5244C"/>
    <w:rsid w:val="00E55762"/>
    <w:rsid w:val="00E72B7B"/>
    <w:rsid w:val="00E74A6B"/>
    <w:rsid w:val="00E76EF2"/>
    <w:rsid w:val="00E82349"/>
    <w:rsid w:val="00E83E49"/>
    <w:rsid w:val="00E84490"/>
    <w:rsid w:val="00E87092"/>
    <w:rsid w:val="00E9087C"/>
    <w:rsid w:val="00E90A73"/>
    <w:rsid w:val="00E95AC9"/>
    <w:rsid w:val="00E96C68"/>
    <w:rsid w:val="00E96D30"/>
    <w:rsid w:val="00E971F9"/>
    <w:rsid w:val="00E97247"/>
    <w:rsid w:val="00EA29A0"/>
    <w:rsid w:val="00EA6E4F"/>
    <w:rsid w:val="00EB0832"/>
    <w:rsid w:val="00EB1AD9"/>
    <w:rsid w:val="00EC358C"/>
    <w:rsid w:val="00ED2093"/>
    <w:rsid w:val="00ED53B2"/>
    <w:rsid w:val="00EE4270"/>
    <w:rsid w:val="00EF3BF0"/>
    <w:rsid w:val="00F01CB2"/>
    <w:rsid w:val="00F125D4"/>
    <w:rsid w:val="00F136D6"/>
    <w:rsid w:val="00F14051"/>
    <w:rsid w:val="00F17FEA"/>
    <w:rsid w:val="00F20BB5"/>
    <w:rsid w:val="00F23C54"/>
    <w:rsid w:val="00F25847"/>
    <w:rsid w:val="00F25ECC"/>
    <w:rsid w:val="00F30C17"/>
    <w:rsid w:val="00F34CE5"/>
    <w:rsid w:val="00F3708B"/>
    <w:rsid w:val="00F375DB"/>
    <w:rsid w:val="00F4506A"/>
    <w:rsid w:val="00F460A8"/>
    <w:rsid w:val="00F546F7"/>
    <w:rsid w:val="00F558D8"/>
    <w:rsid w:val="00F56FD4"/>
    <w:rsid w:val="00F6189A"/>
    <w:rsid w:val="00F61CCC"/>
    <w:rsid w:val="00F63D72"/>
    <w:rsid w:val="00F640B9"/>
    <w:rsid w:val="00F709F3"/>
    <w:rsid w:val="00F72FA0"/>
    <w:rsid w:val="00F75DA7"/>
    <w:rsid w:val="00F77461"/>
    <w:rsid w:val="00F7789B"/>
    <w:rsid w:val="00F8229B"/>
    <w:rsid w:val="00F82654"/>
    <w:rsid w:val="00F85BA3"/>
    <w:rsid w:val="00F946B1"/>
    <w:rsid w:val="00FA5988"/>
    <w:rsid w:val="00FA7523"/>
    <w:rsid w:val="00FB001D"/>
    <w:rsid w:val="00FB19BD"/>
    <w:rsid w:val="00FB3348"/>
    <w:rsid w:val="00FB42AB"/>
    <w:rsid w:val="00FB646D"/>
    <w:rsid w:val="00FB7151"/>
    <w:rsid w:val="00FC2AEC"/>
    <w:rsid w:val="00FC3950"/>
    <w:rsid w:val="00FC3D3D"/>
    <w:rsid w:val="00FC4F81"/>
    <w:rsid w:val="00FC58A8"/>
    <w:rsid w:val="00FD4CE9"/>
    <w:rsid w:val="00FE17BA"/>
    <w:rsid w:val="00FE4D3F"/>
    <w:rsid w:val="00FF44A9"/>
    <w:rsid w:val="00FF4AAC"/>
    <w:rsid w:val="00FF6169"/>
    <w:rsid w:val="00FF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AE7"/>
    <w:rPr>
      <w:sz w:val="24"/>
      <w:szCs w:val="24"/>
    </w:rPr>
  </w:style>
  <w:style w:type="paragraph" w:styleId="Heading1">
    <w:name w:val="heading 1"/>
    <w:basedOn w:val="Normal"/>
    <w:next w:val="Normal"/>
    <w:qFormat/>
    <w:rsid w:val="00B71AE6"/>
    <w:pPr>
      <w:keepNext/>
      <w:spacing w:before="240" w:after="60"/>
      <w:ind w:left="360" w:hanging="360"/>
      <w:outlineLvl w:val="0"/>
    </w:pPr>
    <w:rPr>
      <w:rFonts w:ascii="Arial" w:hAnsi="Arial" w:cs="Arial"/>
      <w:b/>
      <w:bCs/>
      <w:kern w:val="32"/>
    </w:rPr>
  </w:style>
  <w:style w:type="paragraph" w:styleId="Heading2">
    <w:name w:val="heading 2"/>
    <w:aliases w:val="H2-Sec. Head"/>
    <w:basedOn w:val="Normal"/>
    <w:next w:val="P1-StandPara"/>
    <w:link w:val="Heading2Char"/>
    <w:qFormat/>
    <w:rsid w:val="006E557B"/>
    <w:pPr>
      <w:keepNext/>
      <w:tabs>
        <w:tab w:val="left" w:pos="1152"/>
      </w:tabs>
      <w:spacing w:after="360" w:line="360" w:lineRule="atLeast"/>
      <w:ind w:left="432" w:hanging="432"/>
      <w:jc w:val="both"/>
      <w:outlineLvl w:val="1"/>
    </w:pPr>
    <w:rPr>
      <w:b/>
      <w:sz w:val="22"/>
      <w:szCs w:val="20"/>
    </w:rPr>
  </w:style>
  <w:style w:type="paragraph" w:styleId="Heading3">
    <w:name w:val="heading 3"/>
    <w:basedOn w:val="Normal"/>
    <w:next w:val="Normal"/>
    <w:link w:val="Heading3Char"/>
    <w:semiHidden/>
    <w:unhideWhenUsed/>
    <w:qFormat/>
    <w:rsid w:val="00F34CE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9087C"/>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uiPriority w:val="39"/>
    <w:rsid w:val="00761607"/>
    <w:pPr>
      <w:tabs>
        <w:tab w:val="left" w:pos="0"/>
        <w:tab w:val="left" w:pos="720"/>
        <w:tab w:val="right" w:leader="dot" w:pos="9494"/>
      </w:tabs>
      <w:spacing w:before="120" w:after="120" w:line="480" w:lineRule="auto"/>
      <w:jc w:val="both"/>
    </w:pPr>
    <w:rPr>
      <w:b/>
      <w:caps/>
      <w:noProof/>
      <w:sz w:val="28"/>
      <w:szCs w:val="24"/>
    </w:rPr>
  </w:style>
  <w:style w:type="paragraph" w:styleId="TOC2">
    <w:name w:val="toc 2"/>
    <w:autoRedefine/>
    <w:uiPriority w:val="39"/>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link w:val="FooterChar"/>
    <w:uiPriority w:val="99"/>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paragraph" w:styleId="BodyText">
    <w:name w:val="Body Text"/>
    <w:basedOn w:val="Normal"/>
    <w:link w:val="BodyTextChar"/>
    <w:rsid w:val="00E72B7B"/>
    <w:pPr>
      <w:spacing w:after="120"/>
    </w:pPr>
  </w:style>
  <w:style w:type="character" w:customStyle="1" w:styleId="BodyTextChar">
    <w:name w:val="Body Text Char"/>
    <w:basedOn w:val="DefaultParagraphFont"/>
    <w:link w:val="BodyText"/>
    <w:rsid w:val="00E72B7B"/>
    <w:rPr>
      <w:sz w:val="24"/>
      <w:szCs w:val="24"/>
    </w:rPr>
  </w:style>
  <w:style w:type="paragraph" w:customStyle="1" w:styleId="CFBodyText">
    <w:name w:val="CF Body Text"/>
    <w:uiPriority w:val="99"/>
    <w:qFormat/>
    <w:rsid w:val="003401F2"/>
    <w:pPr>
      <w:spacing w:after="240"/>
    </w:pPr>
    <w:rPr>
      <w:rFonts w:eastAsia="Calibri"/>
      <w:sz w:val="24"/>
      <w:szCs w:val="24"/>
    </w:rPr>
  </w:style>
  <w:style w:type="paragraph" w:styleId="ListParagraph">
    <w:name w:val="List Paragraph"/>
    <w:basedOn w:val="Normal"/>
    <w:uiPriority w:val="34"/>
    <w:qFormat/>
    <w:rsid w:val="00790877"/>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627F32"/>
    <w:rPr>
      <w:color w:val="0000FF"/>
      <w:u w:val="single"/>
    </w:rPr>
  </w:style>
  <w:style w:type="character" w:styleId="CommentReference">
    <w:name w:val="annotation reference"/>
    <w:basedOn w:val="DefaultParagraphFont"/>
    <w:uiPriority w:val="99"/>
    <w:rsid w:val="00EB0832"/>
    <w:rPr>
      <w:sz w:val="16"/>
      <w:szCs w:val="16"/>
    </w:rPr>
  </w:style>
  <w:style w:type="paragraph" w:styleId="CommentText">
    <w:name w:val="annotation text"/>
    <w:basedOn w:val="Normal"/>
    <w:link w:val="CommentTextChar"/>
    <w:uiPriority w:val="99"/>
    <w:rsid w:val="00EB0832"/>
    <w:rPr>
      <w:sz w:val="20"/>
      <w:szCs w:val="20"/>
    </w:rPr>
  </w:style>
  <w:style w:type="character" w:customStyle="1" w:styleId="CommentTextChar">
    <w:name w:val="Comment Text Char"/>
    <w:basedOn w:val="DefaultParagraphFont"/>
    <w:link w:val="CommentText"/>
    <w:uiPriority w:val="99"/>
    <w:rsid w:val="00EB0832"/>
  </w:style>
  <w:style w:type="paragraph" w:styleId="CommentSubject">
    <w:name w:val="annotation subject"/>
    <w:basedOn w:val="CommentText"/>
    <w:next w:val="CommentText"/>
    <w:link w:val="CommentSubjectChar"/>
    <w:rsid w:val="00EB0832"/>
    <w:rPr>
      <w:b/>
      <w:bCs/>
    </w:rPr>
  </w:style>
  <w:style w:type="character" w:customStyle="1" w:styleId="CommentSubjectChar">
    <w:name w:val="Comment Subject Char"/>
    <w:basedOn w:val="CommentTextChar"/>
    <w:link w:val="CommentSubject"/>
    <w:rsid w:val="00EB0832"/>
    <w:rPr>
      <w:b/>
      <w:bCs/>
    </w:rPr>
  </w:style>
  <w:style w:type="paragraph" w:styleId="BalloonText">
    <w:name w:val="Balloon Text"/>
    <w:basedOn w:val="Normal"/>
    <w:link w:val="BalloonTextChar"/>
    <w:rsid w:val="00EB0832"/>
    <w:rPr>
      <w:rFonts w:ascii="Tahoma" w:hAnsi="Tahoma" w:cs="Tahoma"/>
      <w:sz w:val="16"/>
      <w:szCs w:val="16"/>
    </w:rPr>
  </w:style>
  <w:style w:type="character" w:customStyle="1" w:styleId="BalloonTextChar">
    <w:name w:val="Balloon Text Char"/>
    <w:basedOn w:val="DefaultParagraphFont"/>
    <w:link w:val="BalloonText"/>
    <w:rsid w:val="00EB0832"/>
    <w:rPr>
      <w:rFonts w:ascii="Tahoma" w:hAnsi="Tahoma" w:cs="Tahoma"/>
      <w:sz w:val="16"/>
      <w:szCs w:val="16"/>
    </w:rPr>
  </w:style>
  <w:style w:type="character" w:customStyle="1" w:styleId="Heading4Char">
    <w:name w:val="Heading 4 Char"/>
    <w:basedOn w:val="DefaultParagraphFont"/>
    <w:link w:val="Heading4"/>
    <w:uiPriority w:val="9"/>
    <w:rsid w:val="00E9087C"/>
    <w:rPr>
      <w:rFonts w:ascii="Cambria" w:eastAsia="Times New Roman" w:hAnsi="Cambria" w:cs="Times New Roman"/>
      <w:b/>
      <w:bCs/>
      <w:i/>
      <w:iCs/>
      <w:color w:val="4F81BD"/>
      <w:sz w:val="22"/>
      <w:szCs w:val="22"/>
    </w:rPr>
  </w:style>
  <w:style w:type="paragraph" w:styleId="FootnoteText">
    <w:name w:val="footnote text"/>
    <w:basedOn w:val="Normal"/>
    <w:link w:val="FootnoteTextChar"/>
    <w:uiPriority w:val="99"/>
    <w:rsid w:val="00E9087C"/>
    <w:rPr>
      <w:rFonts w:ascii="Calibri" w:hAnsi="Calibri" w:cs="Calibri"/>
      <w:sz w:val="20"/>
      <w:szCs w:val="20"/>
      <w:lang w:eastAsia="zh-CN"/>
    </w:rPr>
  </w:style>
  <w:style w:type="character" w:customStyle="1" w:styleId="FootnoteTextChar">
    <w:name w:val="Footnote Text Char"/>
    <w:basedOn w:val="DefaultParagraphFont"/>
    <w:link w:val="FootnoteText"/>
    <w:uiPriority w:val="99"/>
    <w:rsid w:val="00E9087C"/>
    <w:rPr>
      <w:rFonts w:ascii="Calibri" w:hAnsi="Calibri" w:cs="Calibri"/>
      <w:lang w:eastAsia="zh-CN"/>
    </w:rPr>
  </w:style>
  <w:style w:type="character" w:styleId="FootnoteReference">
    <w:name w:val="footnote reference"/>
    <w:basedOn w:val="DefaultParagraphFont"/>
    <w:uiPriority w:val="99"/>
    <w:rsid w:val="00E9087C"/>
    <w:rPr>
      <w:vertAlign w:val="superscript"/>
    </w:rPr>
  </w:style>
  <w:style w:type="paragraph" w:styleId="PlainText">
    <w:name w:val="Plain Text"/>
    <w:basedOn w:val="Normal"/>
    <w:link w:val="PlainTextChar"/>
    <w:uiPriority w:val="99"/>
    <w:unhideWhenUsed/>
    <w:rsid w:val="00E9087C"/>
    <w:rPr>
      <w:rFonts w:ascii="Consolas" w:eastAsia="Calibri" w:hAnsi="Consolas"/>
      <w:sz w:val="21"/>
      <w:szCs w:val="21"/>
    </w:rPr>
  </w:style>
  <w:style w:type="character" w:customStyle="1" w:styleId="PlainTextChar">
    <w:name w:val="Plain Text Char"/>
    <w:basedOn w:val="DefaultParagraphFont"/>
    <w:link w:val="PlainText"/>
    <w:uiPriority w:val="99"/>
    <w:rsid w:val="00E9087C"/>
    <w:rPr>
      <w:rFonts w:ascii="Consolas" w:eastAsia="Calibri" w:hAnsi="Consolas" w:cs="Times New Roman"/>
      <w:sz w:val="21"/>
      <w:szCs w:val="21"/>
    </w:rPr>
  </w:style>
  <w:style w:type="character" w:customStyle="1" w:styleId="apple-converted-space">
    <w:name w:val="apple-converted-space"/>
    <w:basedOn w:val="DefaultParagraphFont"/>
    <w:rsid w:val="00E9087C"/>
  </w:style>
  <w:style w:type="paragraph" w:styleId="NoSpacing">
    <w:name w:val="No Spacing"/>
    <w:uiPriority w:val="1"/>
    <w:qFormat/>
    <w:rsid w:val="00E9087C"/>
    <w:rPr>
      <w:rFonts w:ascii="Calibri" w:eastAsia="Calibri" w:hAnsi="Calibri"/>
      <w:sz w:val="22"/>
      <w:szCs w:val="22"/>
    </w:rPr>
  </w:style>
  <w:style w:type="paragraph" w:customStyle="1" w:styleId="CFBodyText-Numbered">
    <w:name w:val="CF Body Text-Numbered"/>
    <w:basedOn w:val="CFBodyText"/>
    <w:qFormat/>
    <w:rsid w:val="00F8229B"/>
    <w:pPr>
      <w:numPr>
        <w:numId w:val="7"/>
      </w:numPr>
      <w:spacing w:after="0"/>
    </w:pPr>
  </w:style>
  <w:style w:type="paragraph" w:customStyle="1" w:styleId="AIRTableColumnHead">
    <w:name w:val="_AIR Table Column Head"/>
    <w:uiPriority w:val="99"/>
    <w:rsid w:val="00F8229B"/>
    <w:pPr>
      <w:spacing w:before="40" w:after="40"/>
    </w:pPr>
    <w:rPr>
      <w:b/>
      <w:bCs/>
    </w:rPr>
  </w:style>
  <w:style w:type="paragraph" w:customStyle="1" w:styleId="AIRTableColumnStub">
    <w:name w:val="_AIR Table Column Stub"/>
    <w:uiPriority w:val="99"/>
    <w:rsid w:val="00F8229B"/>
    <w:pPr>
      <w:spacing w:before="40" w:after="40"/>
    </w:pPr>
    <w:rPr>
      <w:b/>
      <w:bCs/>
      <w:color w:val="000000"/>
    </w:rPr>
  </w:style>
  <w:style w:type="paragraph" w:customStyle="1" w:styleId="AIRTableText">
    <w:name w:val="_AIR Table Text"/>
    <w:uiPriority w:val="99"/>
    <w:rsid w:val="00F8229B"/>
    <w:pPr>
      <w:spacing w:before="40" w:after="40"/>
    </w:pPr>
    <w:rPr>
      <w:color w:val="000000"/>
    </w:rPr>
  </w:style>
  <w:style w:type="paragraph" w:customStyle="1" w:styleId="AIRExhibitTitle">
    <w:name w:val="_AIR Exhibit Title"/>
    <w:uiPriority w:val="99"/>
    <w:rsid w:val="00F8229B"/>
    <w:pPr>
      <w:keepNext/>
      <w:spacing w:after="120"/>
    </w:pPr>
    <w:rPr>
      <w:rFonts w:eastAsia="Calibri"/>
      <w:b/>
      <w:bCs/>
      <w:sz w:val="24"/>
      <w:szCs w:val="24"/>
    </w:rPr>
  </w:style>
  <w:style w:type="paragraph" w:customStyle="1" w:styleId="AIRTableTextFlushRight">
    <w:name w:val="_AIR Table Text Flush Right"/>
    <w:basedOn w:val="AIRTableText"/>
    <w:uiPriority w:val="99"/>
    <w:rsid w:val="00F8229B"/>
    <w:pPr>
      <w:jc w:val="right"/>
    </w:pPr>
  </w:style>
  <w:style w:type="character" w:customStyle="1" w:styleId="Heading3Char">
    <w:name w:val="Heading 3 Char"/>
    <w:basedOn w:val="DefaultParagraphFont"/>
    <w:link w:val="Heading3"/>
    <w:semiHidden/>
    <w:rsid w:val="00F34CE5"/>
    <w:rPr>
      <w:rFonts w:ascii="Cambria" w:eastAsia="Times New Roman" w:hAnsi="Cambria" w:cs="Times New Roman"/>
      <w:b/>
      <w:bCs/>
      <w:sz w:val="26"/>
      <w:szCs w:val="26"/>
    </w:rPr>
  </w:style>
  <w:style w:type="table" w:styleId="TableGrid">
    <w:name w:val="Table Grid"/>
    <w:basedOn w:val="TableNormal"/>
    <w:uiPriority w:val="59"/>
    <w:rsid w:val="00F34CE5"/>
    <w:pPr>
      <w:ind w:left="720" w:hanging="36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34CE5"/>
    <w:rPr>
      <w:sz w:val="22"/>
    </w:rPr>
  </w:style>
  <w:style w:type="table" w:styleId="MediumGrid3-Accent1">
    <w:name w:val="Medium Grid 3 Accent 1"/>
    <w:basedOn w:val="TableNormal"/>
    <w:uiPriority w:val="69"/>
    <w:rsid w:val="00F34CE5"/>
    <w:rPr>
      <w:rFonts w:ascii="Calibri" w:eastAsia="Calibri" w:hAnsi="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OC3">
    <w:name w:val="toc 3"/>
    <w:basedOn w:val="Normal"/>
    <w:next w:val="Normal"/>
    <w:autoRedefine/>
    <w:uiPriority w:val="39"/>
    <w:rsid w:val="00761607"/>
    <w:pPr>
      <w:ind w:left="480"/>
    </w:pPr>
  </w:style>
  <w:style w:type="paragraph" w:styleId="TOCHeading">
    <w:name w:val="TOC Heading"/>
    <w:basedOn w:val="Heading1"/>
    <w:next w:val="Normal"/>
    <w:uiPriority w:val="39"/>
    <w:semiHidden/>
    <w:unhideWhenUsed/>
    <w:qFormat/>
    <w:rsid w:val="00761607"/>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FC58A8"/>
    <w:rPr>
      <w:sz w:val="24"/>
      <w:szCs w:val="24"/>
    </w:rPr>
  </w:style>
  <w:style w:type="paragraph" w:styleId="Caption">
    <w:name w:val="caption"/>
    <w:basedOn w:val="Normal"/>
    <w:next w:val="Normal"/>
    <w:unhideWhenUsed/>
    <w:qFormat/>
    <w:rsid w:val="00C61678"/>
    <w:pPr>
      <w:spacing w:after="200"/>
    </w:pPr>
    <w:rPr>
      <w:b/>
      <w:bCs/>
      <w:color w:val="4F81BD" w:themeColor="accent1"/>
      <w:sz w:val="18"/>
      <w:szCs w:val="18"/>
    </w:rPr>
  </w:style>
  <w:style w:type="paragraph" w:styleId="EndnoteText">
    <w:name w:val="endnote text"/>
    <w:basedOn w:val="Normal"/>
    <w:link w:val="EndnoteTextChar"/>
    <w:rsid w:val="00592A01"/>
    <w:rPr>
      <w:sz w:val="20"/>
      <w:szCs w:val="20"/>
    </w:rPr>
  </w:style>
  <w:style w:type="character" w:customStyle="1" w:styleId="EndnoteTextChar">
    <w:name w:val="Endnote Text Char"/>
    <w:basedOn w:val="DefaultParagraphFont"/>
    <w:link w:val="EndnoteText"/>
    <w:rsid w:val="00592A01"/>
  </w:style>
  <w:style w:type="character" w:styleId="EndnoteReference">
    <w:name w:val="endnote reference"/>
    <w:basedOn w:val="DefaultParagraphFont"/>
    <w:rsid w:val="00592A01"/>
    <w:rPr>
      <w:vertAlign w:val="superscript"/>
    </w:rPr>
  </w:style>
  <w:style w:type="paragraph" w:customStyle="1" w:styleId="CFReferences">
    <w:name w:val="CF References"/>
    <w:uiPriority w:val="99"/>
    <w:rsid w:val="0033344A"/>
    <w:pPr>
      <w:keepLines/>
      <w:autoSpaceDE w:val="0"/>
      <w:autoSpaceDN w:val="0"/>
      <w:adjustRightInd w:val="0"/>
      <w:spacing w:after="240"/>
      <w:ind w:left="720" w:hanging="720"/>
    </w:pPr>
    <w:rPr>
      <w:rFonts w:eastAsia="Calibri"/>
      <w:sz w:val="24"/>
      <w:szCs w:val="24"/>
    </w:rPr>
  </w:style>
  <w:style w:type="character" w:customStyle="1" w:styleId="Heading2Char">
    <w:name w:val="Heading 2 Char"/>
    <w:aliases w:val="H2-Sec. Head Char"/>
    <w:basedOn w:val="DefaultParagraphFont"/>
    <w:link w:val="Heading2"/>
    <w:rsid w:val="00BD4425"/>
    <w:rPr>
      <w:b/>
      <w:sz w:val="22"/>
    </w:rPr>
  </w:style>
  <w:style w:type="paragraph" w:styleId="Header">
    <w:name w:val="header"/>
    <w:basedOn w:val="Normal"/>
    <w:link w:val="HeaderChar"/>
    <w:rsid w:val="00533AE9"/>
    <w:pPr>
      <w:tabs>
        <w:tab w:val="center" w:pos="4680"/>
        <w:tab w:val="right" w:pos="9360"/>
      </w:tabs>
    </w:pPr>
  </w:style>
  <w:style w:type="character" w:customStyle="1" w:styleId="HeaderChar">
    <w:name w:val="Header Char"/>
    <w:basedOn w:val="DefaultParagraphFont"/>
    <w:link w:val="Header"/>
    <w:rsid w:val="00533AE9"/>
    <w:rPr>
      <w:sz w:val="24"/>
      <w:szCs w:val="24"/>
    </w:rPr>
  </w:style>
  <w:style w:type="paragraph" w:styleId="NormalWeb">
    <w:name w:val="Normal (Web)"/>
    <w:basedOn w:val="Normal"/>
    <w:uiPriority w:val="99"/>
    <w:unhideWhenUsed/>
    <w:rsid w:val="00B20C6F"/>
    <w:pPr>
      <w:spacing w:before="100" w:beforeAutospacing="1" w:after="100" w:afterAutospacing="1"/>
    </w:pPr>
  </w:style>
  <w:style w:type="character" w:customStyle="1" w:styleId="psrch-metadata1">
    <w:name w:val="psrch-metadata1"/>
    <w:basedOn w:val="DefaultParagraphFont"/>
    <w:rsid w:val="00E74A6B"/>
    <w:rPr>
      <w:rFonts w:ascii="Tahoma" w:hAnsi="Tahoma" w:cs="Tahoma" w:hint="default"/>
      <w:color w:val="333333"/>
      <w:sz w:val="24"/>
      <w:szCs w:val="24"/>
    </w:rPr>
  </w:style>
  <w:style w:type="character" w:customStyle="1" w:styleId="citation">
    <w:name w:val="citation"/>
    <w:basedOn w:val="DefaultParagraphFont"/>
    <w:rsid w:val="000E0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1273">
      <w:bodyDiv w:val="1"/>
      <w:marLeft w:val="0"/>
      <w:marRight w:val="0"/>
      <w:marTop w:val="0"/>
      <w:marBottom w:val="0"/>
      <w:divBdr>
        <w:top w:val="none" w:sz="0" w:space="0" w:color="auto"/>
        <w:left w:val="none" w:sz="0" w:space="0" w:color="auto"/>
        <w:bottom w:val="none" w:sz="0" w:space="0" w:color="auto"/>
        <w:right w:val="none" w:sz="0" w:space="0" w:color="auto"/>
      </w:divBdr>
    </w:div>
    <w:div w:id="410660177">
      <w:bodyDiv w:val="1"/>
      <w:marLeft w:val="0"/>
      <w:marRight w:val="0"/>
      <w:marTop w:val="0"/>
      <w:marBottom w:val="0"/>
      <w:divBdr>
        <w:top w:val="none" w:sz="0" w:space="0" w:color="auto"/>
        <w:left w:val="none" w:sz="0" w:space="0" w:color="auto"/>
        <w:bottom w:val="none" w:sz="0" w:space="0" w:color="auto"/>
        <w:right w:val="none" w:sz="0" w:space="0" w:color="auto"/>
      </w:divBdr>
    </w:div>
    <w:div w:id="437067408">
      <w:bodyDiv w:val="1"/>
      <w:marLeft w:val="0"/>
      <w:marRight w:val="0"/>
      <w:marTop w:val="0"/>
      <w:marBottom w:val="0"/>
      <w:divBdr>
        <w:top w:val="none" w:sz="0" w:space="0" w:color="auto"/>
        <w:left w:val="none" w:sz="0" w:space="0" w:color="auto"/>
        <w:bottom w:val="none" w:sz="0" w:space="0" w:color="auto"/>
        <w:right w:val="none" w:sz="0" w:space="0" w:color="auto"/>
      </w:divBdr>
      <w:divsChild>
        <w:div w:id="1414888437">
          <w:marLeft w:val="0"/>
          <w:marRight w:val="0"/>
          <w:marTop w:val="0"/>
          <w:marBottom w:val="0"/>
          <w:divBdr>
            <w:top w:val="none" w:sz="0" w:space="0" w:color="auto"/>
            <w:left w:val="none" w:sz="0" w:space="0" w:color="auto"/>
            <w:bottom w:val="none" w:sz="0" w:space="0" w:color="auto"/>
            <w:right w:val="none" w:sz="0" w:space="0" w:color="auto"/>
          </w:divBdr>
          <w:divsChild>
            <w:div w:id="594555312">
              <w:marLeft w:val="0"/>
              <w:marRight w:val="0"/>
              <w:marTop w:val="0"/>
              <w:marBottom w:val="0"/>
              <w:divBdr>
                <w:top w:val="none" w:sz="0" w:space="0" w:color="auto"/>
                <w:left w:val="none" w:sz="0" w:space="0" w:color="auto"/>
                <w:bottom w:val="none" w:sz="0" w:space="0" w:color="auto"/>
                <w:right w:val="none" w:sz="0" w:space="0" w:color="auto"/>
              </w:divBdr>
              <w:divsChild>
                <w:div w:id="9675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03">
      <w:bodyDiv w:val="1"/>
      <w:marLeft w:val="0"/>
      <w:marRight w:val="0"/>
      <w:marTop w:val="0"/>
      <w:marBottom w:val="0"/>
      <w:divBdr>
        <w:top w:val="none" w:sz="0" w:space="0" w:color="auto"/>
        <w:left w:val="none" w:sz="0" w:space="0" w:color="auto"/>
        <w:bottom w:val="none" w:sz="0" w:space="0" w:color="auto"/>
        <w:right w:val="none" w:sz="0" w:space="0" w:color="auto"/>
      </w:divBdr>
    </w:div>
    <w:div w:id="585530301">
      <w:bodyDiv w:val="1"/>
      <w:marLeft w:val="0"/>
      <w:marRight w:val="0"/>
      <w:marTop w:val="0"/>
      <w:marBottom w:val="0"/>
      <w:divBdr>
        <w:top w:val="none" w:sz="0" w:space="0" w:color="auto"/>
        <w:left w:val="none" w:sz="0" w:space="0" w:color="auto"/>
        <w:bottom w:val="none" w:sz="0" w:space="0" w:color="auto"/>
        <w:right w:val="none" w:sz="0" w:space="0" w:color="auto"/>
      </w:divBdr>
    </w:div>
    <w:div w:id="1018047285">
      <w:bodyDiv w:val="1"/>
      <w:marLeft w:val="0"/>
      <w:marRight w:val="0"/>
      <w:marTop w:val="0"/>
      <w:marBottom w:val="0"/>
      <w:divBdr>
        <w:top w:val="none" w:sz="0" w:space="0" w:color="auto"/>
        <w:left w:val="none" w:sz="0" w:space="0" w:color="auto"/>
        <w:bottom w:val="none" w:sz="0" w:space="0" w:color="auto"/>
        <w:right w:val="none" w:sz="0" w:space="0" w:color="auto"/>
      </w:divBdr>
    </w:div>
    <w:div w:id="1022393328">
      <w:bodyDiv w:val="1"/>
      <w:marLeft w:val="0"/>
      <w:marRight w:val="0"/>
      <w:marTop w:val="0"/>
      <w:marBottom w:val="0"/>
      <w:divBdr>
        <w:top w:val="none" w:sz="0" w:space="0" w:color="auto"/>
        <w:left w:val="none" w:sz="0" w:space="0" w:color="auto"/>
        <w:bottom w:val="none" w:sz="0" w:space="0" w:color="auto"/>
        <w:right w:val="none" w:sz="0" w:space="0" w:color="auto"/>
      </w:divBdr>
    </w:div>
    <w:div w:id="1077509077">
      <w:bodyDiv w:val="1"/>
      <w:marLeft w:val="0"/>
      <w:marRight w:val="0"/>
      <w:marTop w:val="0"/>
      <w:marBottom w:val="0"/>
      <w:divBdr>
        <w:top w:val="none" w:sz="0" w:space="0" w:color="auto"/>
        <w:left w:val="none" w:sz="0" w:space="0" w:color="auto"/>
        <w:bottom w:val="none" w:sz="0" w:space="0" w:color="auto"/>
        <w:right w:val="none" w:sz="0" w:space="0" w:color="auto"/>
      </w:divBdr>
    </w:div>
    <w:div w:id="1239287883">
      <w:bodyDiv w:val="1"/>
      <w:marLeft w:val="0"/>
      <w:marRight w:val="0"/>
      <w:marTop w:val="0"/>
      <w:marBottom w:val="0"/>
      <w:divBdr>
        <w:top w:val="none" w:sz="0" w:space="0" w:color="auto"/>
        <w:left w:val="none" w:sz="0" w:space="0" w:color="auto"/>
        <w:bottom w:val="none" w:sz="0" w:space="0" w:color="auto"/>
        <w:right w:val="none" w:sz="0" w:space="0" w:color="auto"/>
      </w:divBdr>
    </w:div>
    <w:div w:id="1289318206">
      <w:bodyDiv w:val="1"/>
      <w:marLeft w:val="0"/>
      <w:marRight w:val="0"/>
      <w:marTop w:val="0"/>
      <w:marBottom w:val="0"/>
      <w:divBdr>
        <w:top w:val="none" w:sz="0" w:space="0" w:color="auto"/>
        <w:left w:val="none" w:sz="0" w:space="0" w:color="auto"/>
        <w:bottom w:val="none" w:sz="0" w:space="0" w:color="auto"/>
        <w:right w:val="none" w:sz="0" w:space="0" w:color="auto"/>
      </w:divBdr>
    </w:div>
    <w:div w:id="1536234138">
      <w:bodyDiv w:val="1"/>
      <w:marLeft w:val="0"/>
      <w:marRight w:val="0"/>
      <w:marTop w:val="0"/>
      <w:marBottom w:val="0"/>
      <w:divBdr>
        <w:top w:val="none" w:sz="0" w:space="0" w:color="auto"/>
        <w:left w:val="none" w:sz="0" w:space="0" w:color="auto"/>
        <w:bottom w:val="none" w:sz="0" w:space="0" w:color="auto"/>
        <w:right w:val="none" w:sz="0" w:space="0" w:color="auto"/>
      </w:divBdr>
    </w:div>
    <w:div w:id="1631476845">
      <w:bodyDiv w:val="1"/>
      <w:marLeft w:val="0"/>
      <w:marRight w:val="0"/>
      <w:marTop w:val="0"/>
      <w:marBottom w:val="0"/>
      <w:divBdr>
        <w:top w:val="none" w:sz="0" w:space="0" w:color="auto"/>
        <w:left w:val="none" w:sz="0" w:space="0" w:color="auto"/>
        <w:bottom w:val="none" w:sz="0" w:space="0" w:color="auto"/>
        <w:right w:val="none" w:sz="0" w:space="0" w:color="auto"/>
      </w:divBdr>
      <w:divsChild>
        <w:div w:id="799156533">
          <w:marLeft w:val="0"/>
          <w:marRight w:val="0"/>
          <w:marTop w:val="0"/>
          <w:marBottom w:val="0"/>
          <w:divBdr>
            <w:top w:val="none" w:sz="0" w:space="0" w:color="auto"/>
            <w:left w:val="none" w:sz="0" w:space="0" w:color="auto"/>
            <w:bottom w:val="none" w:sz="0" w:space="0" w:color="auto"/>
            <w:right w:val="none" w:sz="0" w:space="0" w:color="auto"/>
          </w:divBdr>
          <w:divsChild>
            <w:div w:id="439834968">
              <w:marLeft w:val="0"/>
              <w:marRight w:val="0"/>
              <w:marTop w:val="49"/>
              <w:marBottom w:val="0"/>
              <w:divBdr>
                <w:top w:val="none" w:sz="0" w:space="0" w:color="auto"/>
                <w:left w:val="none" w:sz="0" w:space="0" w:color="auto"/>
                <w:bottom w:val="none" w:sz="0" w:space="0" w:color="auto"/>
                <w:right w:val="none" w:sz="0" w:space="0" w:color="auto"/>
              </w:divBdr>
              <w:divsChild>
                <w:div w:id="929854026">
                  <w:marLeft w:val="1874"/>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 w:id="1657881717">
      <w:bodyDiv w:val="1"/>
      <w:marLeft w:val="0"/>
      <w:marRight w:val="0"/>
      <w:marTop w:val="0"/>
      <w:marBottom w:val="0"/>
      <w:divBdr>
        <w:top w:val="none" w:sz="0" w:space="0" w:color="auto"/>
        <w:left w:val="none" w:sz="0" w:space="0" w:color="auto"/>
        <w:bottom w:val="none" w:sz="0" w:space="0" w:color="auto"/>
        <w:right w:val="none" w:sz="0" w:space="0" w:color="auto"/>
      </w:divBdr>
    </w:div>
    <w:div w:id="18205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firminger@air.org" TargetMode="External"/><Relationship Id="rId18" Type="http://schemas.openxmlformats.org/officeDocument/2006/relationships/hyperlink" Target="mailto:mmaurer@air.org" TargetMode="External"/><Relationship Id="rId26" Type="http://schemas.openxmlformats.org/officeDocument/2006/relationships/hyperlink" Target="mailto:Fishkin@stanford.edu" TargetMode="External"/><Relationship Id="rId3" Type="http://schemas.openxmlformats.org/officeDocument/2006/relationships/styles" Target="styles.xml"/><Relationship Id="rId21" Type="http://schemas.openxmlformats.org/officeDocument/2006/relationships/hyperlink" Target="mailto:gwang@air.org" TargetMode="External"/><Relationship Id="rId34" Type="http://schemas.openxmlformats.org/officeDocument/2006/relationships/hyperlink" Target="http://www.esa.doc.gov/Reports/exploring-digital-nation-home-broadband-internet-adoption-united-states" TargetMode="External"/><Relationship Id="rId7" Type="http://schemas.openxmlformats.org/officeDocument/2006/relationships/footnotes" Target="footnotes.xml"/><Relationship Id="rId12" Type="http://schemas.openxmlformats.org/officeDocument/2006/relationships/hyperlink" Target="mailto:kcarman@air.org" TargetMode="External"/><Relationship Id="rId17" Type="http://schemas.openxmlformats.org/officeDocument/2006/relationships/hyperlink" Target="mailto:sheil@air.org" TargetMode="External"/><Relationship Id="rId25" Type="http://schemas.openxmlformats.org/officeDocument/2006/relationships/hyperlink" Target="mailto:davies@stanford.edu" TargetMode="External"/><Relationship Id="rId33" Type="http://schemas.openxmlformats.org/officeDocument/2006/relationships/hyperlink" Target="http://www.whitehouse.gov/the-press-office/2011/02/10/president-obama-details-plan-win-future-through-expanded-wireless-access" TargetMode="External"/><Relationship Id="rId2" Type="http://schemas.openxmlformats.org/officeDocument/2006/relationships/numbering" Target="numbering.xml"/><Relationship Id="rId16" Type="http://schemas.openxmlformats.org/officeDocument/2006/relationships/hyperlink" Target="mailto:jheeringa@air.org" TargetMode="External"/><Relationship Id="rId20" Type="http://schemas.openxmlformats.org/officeDocument/2006/relationships/hyperlink" Target="mailto:hnoel@air.org" TargetMode="External"/><Relationship Id="rId29" Type="http://schemas.openxmlformats.org/officeDocument/2006/relationships/hyperlink" Target="mailto:ela@commotionu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os@air.org" TargetMode="External"/><Relationship Id="rId24" Type="http://schemas.openxmlformats.org/officeDocument/2006/relationships/hyperlink" Target="mailto:Stirling.Bryan@ubc.ca"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dgilmore@air.org" TargetMode="External"/><Relationship Id="rId23" Type="http://schemas.openxmlformats.org/officeDocument/2006/relationships/hyperlink" Target="mailto:myang@air.org" TargetMode="External"/><Relationship Id="rId28" Type="http://schemas.openxmlformats.org/officeDocument/2006/relationships/hyperlink" Target="mailto:goldmr@med.cuny.edu"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mmoon@air.org" TargetMode="External"/><Relationship Id="rId31" Type="http://schemas.openxmlformats.org/officeDocument/2006/relationships/hyperlink" Target="mailto:Shoshanna.Sofaer@baruch.cuny.ed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garfinkel@air.org" TargetMode="External"/><Relationship Id="rId22" Type="http://schemas.openxmlformats.org/officeDocument/2006/relationships/hyperlink" Target="mailto:awindham@air.org" TargetMode="External"/><Relationship Id="rId27" Type="http://schemas.openxmlformats.org/officeDocument/2006/relationships/hyperlink" Target="mailto:Ginsburg@chcd.org" TargetMode="External"/><Relationship Id="rId30" Type="http://schemas.openxmlformats.org/officeDocument/2006/relationships/hyperlink" Target="mailto:asiu@stanford.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C519-3BF2-44E3-B44E-A2F59E4A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5732</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Supporting Statement 'B'  Preparation - 02/12/2008</vt:lpstr>
    </vt:vector>
  </TitlesOfParts>
  <Company>American Institutes for Research</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Preparation - 02/12/2008</dc:title>
  <dc:subject>Supporting Statement 'B'  Preparation - 02/12/2008</dc:subject>
  <dc:creator>OD/USER</dc:creator>
  <cp:keywords>Supporting Statement 'B'  Preparation - 02/12/2008</cp:keywords>
  <cp:lastModifiedBy>CTAC</cp:lastModifiedBy>
  <cp:revision>2</cp:revision>
  <cp:lastPrinted>2012-06-14T19:37:00Z</cp:lastPrinted>
  <dcterms:created xsi:type="dcterms:W3CDTF">2012-06-21T16:57:00Z</dcterms:created>
  <dcterms:modified xsi:type="dcterms:W3CDTF">2012-06-21T16:57:00Z</dcterms:modified>
</cp:coreProperties>
</file>