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A3" w:rsidRDefault="00146780" w:rsidP="00F623D5">
      <w:pPr>
        <w:tabs>
          <w:tab w:val="center" w:pos="4680"/>
        </w:tabs>
        <w:jc w:val="center"/>
        <w:rPr>
          <w:b/>
          <w:bCs/>
          <w:sz w:val="32"/>
          <w:szCs w:val="32"/>
        </w:rPr>
      </w:pPr>
      <w:r>
        <w:rPr>
          <w:b/>
          <w:bCs/>
          <w:sz w:val="32"/>
          <w:szCs w:val="32"/>
        </w:rPr>
        <w:t>Supporting Statem</w:t>
      </w:r>
      <w:r w:rsidR="001C6FFB">
        <w:rPr>
          <w:b/>
          <w:bCs/>
          <w:sz w:val="32"/>
          <w:szCs w:val="32"/>
        </w:rPr>
        <w:t xml:space="preserve">ent </w:t>
      </w:r>
      <w:r w:rsidR="00325EBF">
        <w:rPr>
          <w:b/>
          <w:bCs/>
          <w:sz w:val="32"/>
          <w:szCs w:val="32"/>
        </w:rPr>
        <w:t xml:space="preserve">– </w:t>
      </w:r>
      <w:r w:rsidR="005105C6">
        <w:rPr>
          <w:b/>
          <w:bCs/>
          <w:sz w:val="32"/>
          <w:szCs w:val="32"/>
        </w:rPr>
        <w:t xml:space="preserve">Application for Coverage in the </w:t>
      </w:r>
    </w:p>
    <w:p w:rsidR="00302D6D" w:rsidRPr="00302D6D" w:rsidRDefault="00BA3DA3" w:rsidP="00F623D5">
      <w:pPr>
        <w:tabs>
          <w:tab w:val="center" w:pos="4680"/>
        </w:tabs>
        <w:jc w:val="center"/>
        <w:rPr>
          <w:b/>
          <w:bCs/>
          <w:sz w:val="32"/>
          <w:szCs w:val="32"/>
        </w:rPr>
      </w:pPr>
      <w:r>
        <w:rPr>
          <w:b/>
          <w:bCs/>
          <w:sz w:val="32"/>
          <w:szCs w:val="32"/>
        </w:rPr>
        <w:t>Pre-Existing Condition Insurance Plan</w:t>
      </w:r>
    </w:p>
    <w:p w:rsidR="00E40229" w:rsidRDefault="00E40229" w:rsidP="00F623D5">
      <w:pPr>
        <w:rPr>
          <w:b/>
          <w:bCs/>
          <w:sz w:val="24"/>
        </w:rPr>
      </w:pPr>
    </w:p>
    <w:p w:rsidR="00146780" w:rsidRDefault="00146780" w:rsidP="00F623D5">
      <w:pPr>
        <w:rPr>
          <w:b/>
          <w:bCs/>
          <w:sz w:val="24"/>
        </w:rPr>
      </w:pPr>
      <w:r>
        <w:rPr>
          <w:b/>
          <w:bCs/>
          <w:sz w:val="24"/>
        </w:rPr>
        <w:t>A.</w:t>
      </w:r>
      <w:r>
        <w:rPr>
          <w:b/>
          <w:bCs/>
          <w:sz w:val="24"/>
        </w:rPr>
        <w:tab/>
        <w:t>Justification</w:t>
      </w:r>
    </w:p>
    <w:p w:rsidR="00073D3B" w:rsidRDefault="00073D3B" w:rsidP="00F623D5">
      <w:pPr>
        <w:rPr>
          <w:sz w:val="24"/>
        </w:rPr>
      </w:pPr>
    </w:p>
    <w:p w:rsidR="00146780" w:rsidRDefault="00146780" w:rsidP="00F623D5">
      <w:pPr>
        <w:numPr>
          <w:ilvl w:val="0"/>
          <w:numId w:val="1"/>
        </w:numPr>
        <w:rPr>
          <w:b/>
          <w:sz w:val="24"/>
        </w:rPr>
      </w:pPr>
      <w:r>
        <w:rPr>
          <w:b/>
          <w:sz w:val="24"/>
          <w:u w:val="single"/>
        </w:rPr>
        <w:t>Circumstances Making the Collection of Information Necessary</w:t>
      </w:r>
    </w:p>
    <w:p w:rsidR="00073D3B" w:rsidRDefault="00146780" w:rsidP="00F623D5">
      <w:pPr>
        <w:ind w:left="720"/>
        <w:rPr>
          <w:sz w:val="24"/>
        </w:rPr>
      </w:pPr>
      <w:r>
        <w:rPr>
          <w:sz w:val="24"/>
        </w:rPr>
        <w:tab/>
      </w:r>
    </w:p>
    <w:p w:rsidR="00325EBF" w:rsidRDefault="00325EBF" w:rsidP="00F623D5">
      <w:pPr>
        <w:ind w:left="360"/>
        <w:rPr>
          <w:sz w:val="24"/>
        </w:rPr>
      </w:pPr>
      <w:r w:rsidRPr="004D4F93">
        <w:rPr>
          <w:sz w:val="24"/>
        </w:rPr>
        <w:t xml:space="preserve">On March 23, 2010, the President signed into law H.R. 3590, the Patient Protection and Affordable Care Act </w:t>
      </w:r>
      <w:r w:rsidR="00D01D33">
        <w:rPr>
          <w:sz w:val="24"/>
        </w:rPr>
        <w:t xml:space="preserve">(Affordable Care Act), </w:t>
      </w:r>
      <w:r w:rsidRPr="004D4F93">
        <w:rPr>
          <w:sz w:val="24"/>
        </w:rPr>
        <w:t xml:space="preserve">Public Law 111-148.  Section 1101 of the law establishes a “temporary high risk health insurance pool program” </w:t>
      </w:r>
      <w:r w:rsidR="00DD7011">
        <w:rPr>
          <w:sz w:val="24"/>
        </w:rPr>
        <w:t xml:space="preserve">(which has been named the Pre-Existing Condition Insurance Plan, or PCIP) </w:t>
      </w:r>
      <w:r w:rsidRPr="004D4F93">
        <w:rPr>
          <w:sz w:val="24"/>
        </w:rPr>
        <w:t>to provide health insurance coverage to currently uninsured individuals with pre-existing conditions.  The law authorizes HHS to carry out the program directly or through contracts with states or private, non-profit entities.</w:t>
      </w:r>
      <w:r w:rsidR="00DD7011">
        <w:rPr>
          <w:sz w:val="24"/>
        </w:rPr>
        <w:t xml:space="preserve">  </w:t>
      </w:r>
    </w:p>
    <w:p w:rsidR="00141FDC" w:rsidRDefault="00141FDC" w:rsidP="00F623D5">
      <w:pPr>
        <w:ind w:left="360"/>
        <w:rPr>
          <w:sz w:val="24"/>
        </w:rPr>
      </w:pPr>
    </w:p>
    <w:p w:rsidR="000126EC" w:rsidRPr="000126EC" w:rsidRDefault="00141FDC" w:rsidP="000126EC">
      <w:pPr>
        <w:ind w:left="360"/>
        <w:rPr>
          <w:sz w:val="24"/>
        </w:rPr>
      </w:pPr>
      <w:r>
        <w:rPr>
          <w:sz w:val="24"/>
        </w:rPr>
        <w:t>The Department of Health and Human Services (HHS) Centers for Medicare &amp; Medicaid Services</w:t>
      </w:r>
      <w:r w:rsidR="000126EC">
        <w:rPr>
          <w:sz w:val="24"/>
        </w:rPr>
        <w:t>,</w:t>
      </w:r>
      <w:r>
        <w:rPr>
          <w:sz w:val="24"/>
        </w:rPr>
        <w:t xml:space="preserve"> Center for Consumer Information and Insurance Oversight is requesting </w:t>
      </w:r>
      <w:r w:rsidR="000126EC">
        <w:rPr>
          <w:sz w:val="24"/>
        </w:rPr>
        <w:t xml:space="preserve">emergency </w:t>
      </w:r>
      <w:r>
        <w:rPr>
          <w:sz w:val="24"/>
        </w:rPr>
        <w:t xml:space="preserve">clearance by the Office of Management and Budget </w:t>
      </w:r>
      <w:r w:rsidR="000126EC">
        <w:rPr>
          <w:sz w:val="24"/>
        </w:rPr>
        <w:t xml:space="preserve">for this new collection package.  This new package is being requested as a result of </w:t>
      </w:r>
      <w:r w:rsidR="000126EC" w:rsidRPr="000126EC">
        <w:rPr>
          <w:sz w:val="24"/>
        </w:rPr>
        <w:t>CMS</w:t>
      </w:r>
      <w:r w:rsidR="00587FB2">
        <w:rPr>
          <w:sz w:val="24"/>
        </w:rPr>
        <w:t>, in its administration of the PCIP program, serving as</w:t>
      </w:r>
      <w:r w:rsidR="009B1899">
        <w:rPr>
          <w:sz w:val="24"/>
        </w:rPr>
        <w:t xml:space="preserve"> a covered entity</w:t>
      </w:r>
      <w:r w:rsidR="009B1899" w:rsidRPr="000126EC">
        <w:rPr>
          <w:sz w:val="24"/>
        </w:rPr>
        <w:t xml:space="preserve"> </w:t>
      </w:r>
      <w:r w:rsidR="009B1899">
        <w:rPr>
          <w:sz w:val="24"/>
        </w:rPr>
        <w:t>under</w:t>
      </w:r>
      <w:r w:rsidR="000126EC" w:rsidRPr="000126EC">
        <w:rPr>
          <w:sz w:val="24"/>
        </w:rPr>
        <w:t xml:space="preserve"> </w:t>
      </w:r>
      <w:r w:rsidR="009B1899">
        <w:rPr>
          <w:sz w:val="24"/>
        </w:rPr>
        <w:t>the Health Insurance Portability and Accountability Act (</w:t>
      </w:r>
      <w:r w:rsidR="000126EC" w:rsidRPr="000126EC">
        <w:rPr>
          <w:sz w:val="24"/>
        </w:rPr>
        <w:t>HIPAA</w:t>
      </w:r>
      <w:r w:rsidR="009B1899">
        <w:rPr>
          <w:sz w:val="24"/>
        </w:rPr>
        <w:t>)</w:t>
      </w:r>
      <w:r w:rsidR="000126EC" w:rsidRPr="000126EC">
        <w:rPr>
          <w:sz w:val="24"/>
        </w:rPr>
        <w:t xml:space="preserve">.  </w:t>
      </w:r>
      <w:r w:rsidR="009B1899">
        <w:rPr>
          <w:sz w:val="24"/>
        </w:rPr>
        <w:t>Without a valid authorization</w:t>
      </w:r>
      <w:r w:rsidR="000126EC" w:rsidRPr="000126EC">
        <w:rPr>
          <w:sz w:val="24"/>
        </w:rPr>
        <w:t xml:space="preserve">, </w:t>
      </w:r>
      <w:r w:rsidR="009B1899">
        <w:rPr>
          <w:sz w:val="24"/>
        </w:rPr>
        <w:t>the PCIP program is unable to disclose information, with respect to an applicant or enrollee, about the status of an application, enrollment, premium billing or claim, to individuals of the applicant</w:t>
      </w:r>
      <w:r w:rsidR="00587FB2">
        <w:rPr>
          <w:sz w:val="24"/>
        </w:rPr>
        <w:t>’s</w:t>
      </w:r>
      <w:r w:rsidR="009B1899">
        <w:rPr>
          <w:sz w:val="24"/>
        </w:rPr>
        <w:t xml:space="preserve"> or enrollee’s choosing</w:t>
      </w:r>
      <w:r w:rsidR="000126EC" w:rsidRPr="000126EC">
        <w:rPr>
          <w:sz w:val="24"/>
        </w:rPr>
        <w:t xml:space="preserve">.  The HIPAA Authorization Form </w:t>
      </w:r>
      <w:r w:rsidR="001C3CE5">
        <w:rPr>
          <w:sz w:val="24"/>
        </w:rPr>
        <w:t xml:space="preserve">has been modeled </w:t>
      </w:r>
      <w:r w:rsidR="00B9502A">
        <w:rPr>
          <w:sz w:val="24"/>
        </w:rPr>
        <w:t>after</w:t>
      </w:r>
      <w:r w:rsidR="001C3CE5">
        <w:rPr>
          <w:sz w:val="24"/>
        </w:rPr>
        <w:t xml:space="preserve"> CMS’ Medicare HIPAA Authorization Form (OMB control number 0938-0930) and </w:t>
      </w:r>
      <w:r w:rsidR="000126EC" w:rsidRPr="000126EC">
        <w:rPr>
          <w:sz w:val="24"/>
        </w:rPr>
        <w:t xml:space="preserve">will be used </w:t>
      </w:r>
      <w:r w:rsidR="00587FB2">
        <w:rPr>
          <w:sz w:val="24"/>
        </w:rPr>
        <w:t>by</w:t>
      </w:r>
      <w:r w:rsidR="00587FB2" w:rsidRPr="000126EC">
        <w:rPr>
          <w:sz w:val="24"/>
        </w:rPr>
        <w:t xml:space="preserve"> </w:t>
      </w:r>
      <w:r w:rsidR="000126EC" w:rsidRPr="000126EC">
        <w:rPr>
          <w:sz w:val="24"/>
        </w:rPr>
        <w:t xml:space="preserve">applicants or enrollees to designate someone else to </w:t>
      </w:r>
      <w:r w:rsidR="00C376F2">
        <w:rPr>
          <w:sz w:val="24"/>
        </w:rPr>
        <w:t>communicate with</w:t>
      </w:r>
      <w:r w:rsidR="000126EC" w:rsidRPr="000126EC">
        <w:rPr>
          <w:sz w:val="24"/>
        </w:rPr>
        <w:t xml:space="preserve"> PCIP </w:t>
      </w:r>
      <w:r w:rsidR="00C376F2">
        <w:rPr>
          <w:sz w:val="24"/>
        </w:rPr>
        <w:t xml:space="preserve">about their </w:t>
      </w:r>
      <w:r w:rsidR="009B1899">
        <w:rPr>
          <w:sz w:val="24"/>
        </w:rPr>
        <w:t xml:space="preserve">protected </w:t>
      </w:r>
      <w:r w:rsidR="00C376F2">
        <w:rPr>
          <w:sz w:val="24"/>
        </w:rPr>
        <w:t>health information</w:t>
      </w:r>
      <w:r w:rsidR="009B1899">
        <w:rPr>
          <w:sz w:val="24"/>
        </w:rPr>
        <w:t xml:space="preserve"> (PHI)</w:t>
      </w:r>
      <w:r w:rsidR="000126EC" w:rsidRPr="000126EC">
        <w:rPr>
          <w:sz w:val="24"/>
        </w:rPr>
        <w:t xml:space="preserve">.  </w:t>
      </w:r>
    </w:p>
    <w:p w:rsidR="000126EC" w:rsidRDefault="000126EC" w:rsidP="00F623D5">
      <w:pPr>
        <w:ind w:left="360"/>
        <w:rPr>
          <w:sz w:val="24"/>
        </w:rPr>
      </w:pPr>
    </w:p>
    <w:p w:rsidR="00146780" w:rsidRDefault="00146780" w:rsidP="00F623D5">
      <w:pPr>
        <w:numPr>
          <w:ilvl w:val="0"/>
          <w:numId w:val="1"/>
        </w:numPr>
        <w:rPr>
          <w:b/>
          <w:sz w:val="24"/>
        </w:rPr>
      </w:pPr>
      <w:r>
        <w:rPr>
          <w:b/>
          <w:sz w:val="24"/>
          <w:u w:val="single"/>
        </w:rPr>
        <w:t>Purpose and Use of Information Collection</w:t>
      </w:r>
    </w:p>
    <w:p w:rsidR="00325EBF" w:rsidRDefault="00325EBF" w:rsidP="00F623D5">
      <w:pPr>
        <w:pStyle w:val="EndnoteText"/>
        <w:rPr>
          <w:sz w:val="24"/>
          <w:szCs w:val="24"/>
        </w:rPr>
      </w:pPr>
    </w:p>
    <w:p w:rsidR="006D69DE" w:rsidRPr="006D69DE" w:rsidRDefault="006D69DE" w:rsidP="00F623D5">
      <w:pPr>
        <w:pStyle w:val="EndnoteText"/>
        <w:ind w:left="360"/>
        <w:rPr>
          <w:sz w:val="24"/>
          <w:szCs w:val="24"/>
        </w:rPr>
      </w:pPr>
      <w:r>
        <w:rPr>
          <w:sz w:val="24"/>
          <w:szCs w:val="24"/>
        </w:rPr>
        <w:t xml:space="preserve">Unless permitted or required by law, the Health Insurance Portability and Accountability Act (HIPAA) </w:t>
      </w:r>
      <w:r w:rsidRPr="006D69DE">
        <w:rPr>
          <w:sz w:val="24"/>
          <w:szCs w:val="24"/>
        </w:rPr>
        <w:t xml:space="preserve">Privacy Rule (§ 164.508) prohibits </w:t>
      </w:r>
      <w:r>
        <w:rPr>
          <w:sz w:val="24"/>
          <w:szCs w:val="24"/>
        </w:rPr>
        <w:t>CMS’ PCIP program</w:t>
      </w:r>
      <w:r w:rsidRPr="006D69DE">
        <w:rPr>
          <w:sz w:val="24"/>
          <w:szCs w:val="24"/>
        </w:rPr>
        <w:t xml:space="preserve"> (a HIPAA covered entity) from disclosing an individual’s protected health information without a valid authorization.  In order to be valid, an authorization must include specified core elements and statements.  </w:t>
      </w:r>
      <w:r>
        <w:rPr>
          <w:sz w:val="24"/>
          <w:szCs w:val="24"/>
        </w:rPr>
        <w:t>CMS</w:t>
      </w:r>
      <w:r w:rsidRPr="006D69DE">
        <w:rPr>
          <w:sz w:val="24"/>
          <w:szCs w:val="24"/>
        </w:rPr>
        <w:t xml:space="preserve"> will make available to </w:t>
      </w:r>
      <w:r>
        <w:rPr>
          <w:sz w:val="24"/>
          <w:szCs w:val="24"/>
        </w:rPr>
        <w:t>PCIP</w:t>
      </w:r>
      <w:r w:rsidRPr="006D69DE">
        <w:rPr>
          <w:sz w:val="24"/>
          <w:szCs w:val="24"/>
        </w:rPr>
        <w:t xml:space="preserve"> </w:t>
      </w:r>
      <w:r>
        <w:rPr>
          <w:sz w:val="24"/>
          <w:szCs w:val="24"/>
        </w:rPr>
        <w:t>applicants and enrollees</w:t>
      </w:r>
      <w:r w:rsidRPr="006D69DE">
        <w:rPr>
          <w:sz w:val="24"/>
          <w:szCs w:val="24"/>
        </w:rPr>
        <w:t xml:space="preserve"> a standard, valid authorization to enable beneficiaries to request the disclosure of their protected health information.  </w:t>
      </w:r>
    </w:p>
    <w:p w:rsidR="006D69DE" w:rsidRDefault="006D69DE" w:rsidP="00F623D5">
      <w:pPr>
        <w:pStyle w:val="EndnoteText"/>
        <w:ind w:left="360"/>
        <w:rPr>
          <w:sz w:val="24"/>
          <w:szCs w:val="24"/>
        </w:rPr>
      </w:pPr>
    </w:p>
    <w:p w:rsidR="009E207E" w:rsidRDefault="006D69DE" w:rsidP="00F623D5">
      <w:pPr>
        <w:pStyle w:val="EndnoteText"/>
        <w:ind w:left="360"/>
        <w:rPr>
          <w:sz w:val="24"/>
          <w:szCs w:val="24"/>
        </w:rPr>
      </w:pPr>
      <w:r>
        <w:rPr>
          <w:sz w:val="24"/>
          <w:szCs w:val="24"/>
        </w:rPr>
        <w:t xml:space="preserve">CMS will make available to PCIP applicants and enrollees a standard, valid authorization to enable </w:t>
      </w:r>
      <w:r w:rsidR="00782D89">
        <w:rPr>
          <w:sz w:val="24"/>
          <w:szCs w:val="24"/>
        </w:rPr>
        <w:t xml:space="preserve">beneficiaries to </w:t>
      </w:r>
      <w:r w:rsidR="00C376F2">
        <w:rPr>
          <w:sz w:val="24"/>
          <w:szCs w:val="24"/>
        </w:rPr>
        <w:t>communicate with PCIP about their personal health information</w:t>
      </w:r>
      <w:r w:rsidR="00AE61BE">
        <w:rPr>
          <w:sz w:val="24"/>
          <w:szCs w:val="24"/>
        </w:rPr>
        <w:t xml:space="preserve">.  This is a critical </w:t>
      </w:r>
      <w:r w:rsidR="002141C1">
        <w:rPr>
          <w:sz w:val="24"/>
          <w:szCs w:val="24"/>
        </w:rPr>
        <w:t>tool</w:t>
      </w:r>
      <w:r w:rsidR="00AE61BE">
        <w:rPr>
          <w:sz w:val="24"/>
          <w:szCs w:val="24"/>
        </w:rPr>
        <w:t xml:space="preserve"> because the population the PCIP program serves is comprised of individuals with pre-existing conditions who may be incapacitated and need an advocate to help them apply </w:t>
      </w:r>
      <w:r>
        <w:rPr>
          <w:sz w:val="24"/>
          <w:szCs w:val="24"/>
        </w:rPr>
        <w:t xml:space="preserve">for </w:t>
      </w:r>
      <w:r w:rsidR="00AE61BE">
        <w:rPr>
          <w:sz w:val="24"/>
          <w:szCs w:val="24"/>
        </w:rPr>
        <w:t xml:space="preserve">or receive benefits from the program. </w:t>
      </w:r>
      <w:r>
        <w:rPr>
          <w:sz w:val="24"/>
          <w:szCs w:val="24"/>
        </w:rPr>
        <w:t xml:space="preserve"> </w:t>
      </w:r>
      <w:r w:rsidRPr="006D69DE">
        <w:rPr>
          <w:sz w:val="24"/>
          <w:szCs w:val="24"/>
        </w:rPr>
        <w:t xml:space="preserve">This standard authorization will simplify the process of requesting information disclosure for beneficiaries and minimize the response time for </w:t>
      </w:r>
      <w:r>
        <w:rPr>
          <w:sz w:val="24"/>
          <w:szCs w:val="24"/>
        </w:rPr>
        <w:t>the PCIP program</w:t>
      </w:r>
      <w:r w:rsidRPr="006D69DE">
        <w:rPr>
          <w:sz w:val="24"/>
          <w:szCs w:val="24"/>
        </w:rPr>
        <w:t>.</w:t>
      </w:r>
    </w:p>
    <w:p w:rsidR="007349BC" w:rsidRDefault="007349BC" w:rsidP="00F623D5">
      <w:pPr>
        <w:rPr>
          <w:sz w:val="24"/>
        </w:rPr>
      </w:pPr>
    </w:p>
    <w:p w:rsidR="00073D3B" w:rsidRDefault="00146780" w:rsidP="00F623D5">
      <w:pPr>
        <w:numPr>
          <w:ilvl w:val="0"/>
          <w:numId w:val="1"/>
        </w:numPr>
        <w:rPr>
          <w:sz w:val="24"/>
        </w:rPr>
      </w:pPr>
      <w:r>
        <w:rPr>
          <w:b/>
          <w:sz w:val="24"/>
          <w:u w:val="single"/>
        </w:rPr>
        <w:lastRenderedPageBreak/>
        <w:t>Use of Improved Information Technology and Burden Reduction</w:t>
      </w:r>
    </w:p>
    <w:p w:rsidR="00073D3B" w:rsidRDefault="00073D3B" w:rsidP="00F623D5">
      <w:pPr>
        <w:ind w:firstLine="720"/>
        <w:rPr>
          <w:sz w:val="24"/>
        </w:rPr>
      </w:pPr>
    </w:p>
    <w:p w:rsidR="0045013A" w:rsidRDefault="00AE61BE" w:rsidP="004F4BF7">
      <w:pPr>
        <w:ind w:left="360"/>
        <w:rPr>
          <w:sz w:val="24"/>
        </w:rPr>
      </w:pPr>
      <w:r>
        <w:rPr>
          <w:sz w:val="24"/>
        </w:rPr>
        <w:t xml:space="preserve">The HIPAA authorization form </w:t>
      </w:r>
      <w:r w:rsidR="00BB4D89">
        <w:rPr>
          <w:sz w:val="24"/>
        </w:rPr>
        <w:t>may</w:t>
      </w:r>
      <w:r w:rsidR="0045013A">
        <w:rPr>
          <w:sz w:val="24"/>
        </w:rPr>
        <w:t xml:space="preserve"> be submitted </w:t>
      </w:r>
      <w:r w:rsidR="00BB4D89">
        <w:rPr>
          <w:sz w:val="24"/>
        </w:rPr>
        <w:t>via fax, United States mail</w:t>
      </w:r>
      <w:r w:rsidR="0045013A">
        <w:rPr>
          <w:sz w:val="24"/>
        </w:rPr>
        <w:t xml:space="preserve"> or </w:t>
      </w:r>
      <w:r w:rsidR="00BB4D89">
        <w:rPr>
          <w:sz w:val="24"/>
        </w:rPr>
        <w:t>electronically, at the consumers</w:t>
      </w:r>
      <w:r w:rsidR="009B1899">
        <w:rPr>
          <w:sz w:val="24"/>
        </w:rPr>
        <w:t>’</w:t>
      </w:r>
      <w:r w:rsidR="00BB4D89">
        <w:rPr>
          <w:sz w:val="24"/>
        </w:rPr>
        <w:t xml:space="preserve"> discretion. </w:t>
      </w:r>
      <w:r>
        <w:rPr>
          <w:sz w:val="24"/>
        </w:rPr>
        <w:t xml:space="preserve"> </w:t>
      </w:r>
      <w:r w:rsidR="00BB4D89">
        <w:rPr>
          <w:sz w:val="24"/>
        </w:rPr>
        <w:t xml:space="preserve">Information will be collected from individuals with varying access to electronic </w:t>
      </w:r>
      <w:r w:rsidR="001D77EC">
        <w:rPr>
          <w:sz w:val="24"/>
        </w:rPr>
        <w:t>devices</w:t>
      </w:r>
      <w:r w:rsidR="00BB4D89">
        <w:rPr>
          <w:sz w:val="24"/>
        </w:rPr>
        <w:t xml:space="preserve"> and therefore requiring all individuals to submit information electronically </w:t>
      </w:r>
      <w:r w:rsidR="001D77EC">
        <w:rPr>
          <w:sz w:val="24"/>
        </w:rPr>
        <w:t>would</w:t>
      </w:r>
      <w:r w:rsidR="00BB4D89">
        <w:rPr>
          <w:sz w:val="24"/>
        </w:rPr>
        <w:t xml:space="preserve"> restrict individuals from being able to </w:t>
      </w:r>
      <w:r>
        <w:rPr>
          <w:sz w:val="24"/>
        </w:rPr>
        <w:t>designate an authorized representative to speak with the PCIP program on their behalf</w:t>
      </w:r>
      <w:r w:rsidR="00BB4D89">
        <w:rPr>
          <w:sz w:val="24"/>
        </w:rPr>
        <w:t xml:space="preserve">.   </w:t>
      </w:r>
    </w:p>
    <w:p w:rsidR="002141C1" w:rsidRDefault="002141C1" w:rsidP="004F4BF7">
      <w:pPr>
        <w:ind w:left="360"/>
        <w:rPr>
          <w:sz w:val="24"/>
        </w:rPr>
      </w:pPr>
    </w:p>
    <w:p w:rsidR="00146780" w:rsidRDefault="00146780" w:rsidP="00F623D5">
      <w:pPr>
        <w:numPr>
          <w:ilvl w:val="0"/>
          <w:numId w:val="1"/>
        </w:numPr>
        <w:rPr>
          <w:b/>
          <w:sz w:val="24"/>
        </w:rPr>
      </w:pPr>
      <w:r>
        <w:rPr>
          <w:b/>
          <w:sz w:val="24"/>
          <w:u w:val="single"/>
        </w:rPr>
        <w:t>Efforts to  Identify Duplication and Use of Similar Information</w:t>
      </w:r>
    </w:p>
    <w:p w:rsidR="00146780" w:rsidRDefault="00146780" w:rsidP="00F623D5">
      <w:pPr>
        <w:ind w:left="720"/>
        <w:rPr>
          <w:b/>
          <w:sz w:val="24"/>
        </w:rPr>
      </w:pPr>
    </w:p>
    <w:p w:rsidR="00B9502A" w:rsidRDefault="00B9502A" w:rsidP="00F623D5">
      <w:pPr>
        <w:ind w:left="360"/>
        <w:rPr>
          <w:sz w:val="24"/>
        </w:rPr>
      </w:pPr>
      <w:r w:rsidRPr="000126EC">
        <w:rPr>
          <w:sz w:val="24"/>
        </w:rPr>
        <w:t xml:space="preserve">The HIPAA Authorization Form </w:t>
      </w:r>
      <w:r>
        <w:rPr>
          <w:sz w:val="24"/>
        </w:rPr>
        <w:t xml:space="preserve">has been modeled after CMS’ Medicare HIPAA Authorization Form (OMB control number 0938-0930).  CMS made minimal changes to the existing HIPAA Authorization Form to make the form applicable to its PCIP program beneficiaries. </w:t>
      </w:r>
    </w:p>
    <w:p w:rsidR="00906EF0" w:rsidRDefault="00B9502A" w:rsidP="00F623D5">
      <w:pPr>
        <w:ind w:left="360"/>
        <w:rPr>
          <w:sz w:val="24"/>
        </w:rPr>
      </w:pPr>
      <w:r>
        <w:rPr>
          <w:sz w:val="24"/>
        </w:rPr>
        <w:t xml:space="preserve"> </w:t>
      </w:r>
      <w:r w:rsidR="008759B3">
        <w:rPr>
          <w:sz w:val="24"/>
        </w:rPr>
        <w:t xml:space="preserve"> </w:t>
      </w:r>
    </w:p>
    <w:p w:rsidR="00146780" w:rsidRDefault="00146780" w:rsidP="00F623D5">
      <w:pPr>
        <w:numPr>
          <w:ilvl w:val="0"/>
          <w:numId w:val="1"/>
        </w:numPr>
        <w:rPr>
          <w:color w:val="000000"/>
          <w:sz w:val="24"/>
        </w:rPr>
      </w:pPr>
      <w:r>
        <w:rPr>
          <w:b/>
          <w:sz w:val="24"/>
          <w:u w:val="single"/>
        </w:rPr>
        <w:t>Impact on Small Businesses or Other Small Entities</w:t>
      </w:r>
    </w:p>
    <w:p w:rsidR="00146780" w:rsidRDefault="00146780" w:rsidP="00F623D5">
      <w:pPr>
        <w:ind w:left="720"/>
        <w:rPr>
          <w:color w:val="000000"/>
          <w:sz w:val="24"/>
        </w:rPr>
      </w:pPr>
    </w:p>
    <w:p w:rsidR="00146780" w:rsidRDefault="00CF1620" w:rsidP="00F623D5">
      <w:pPr>
        <w:ind w:left="360"/>
        <w:rPr>
          <w:i/>
          <w:sz w:val="24"/>
        </w:rPr>
      </w:pPr>
      <w:r>
        <w:rPr>
          <w:sz w:val="24"/>
        </w:rPr>
        <w:t>No impact on small business</w:t>
      </w:r>
      <w:r w:rsidR="004F4A06">
        <w:rPr>
          <w:sz w:val="24"/>
        </w:rPr>
        <w:t>.</w:t>
      </w:r>
    </w:p>
    <w:p w:rsidR="00146780" w:rsidRDefault="00146780" w:rsidP="00F623D5">
      <w:pPr>
        <w:ind w:left="360"/>
        <w:rPr>
          <w:sz w:val="24"/>
        </w:rPr>
      </w:pPr>
    </w:p>
    <w:p w:rsidR="00146780" w:rsidRDefault="00146780" w:rsidP="00F623D5">
      <w:pPr>
        <w:numPr>
          <w:ilvl w:val="0"/>
          <w:numId w:val="1"/>
        </w:numPr>
        <w:rPr>
          <w:b/>
          <w:sz w:val="24"/>
        </w:rPr>
      </w:pPr>
      <w:r>
        <w:rPr>
          <w:b/>
          <w:sz w:val="24"/>
          <w:u w:val="single"/>
        </w:rPr>
        <w:t>Consequences of Collecting the Information Less Frequent Collection</w:t>
      </w:r>
    </w:p>
    <w:p w:rsidR="00146780" w:rsidRDefault="00146780" w:rsidP="00F623D5">
      <w:pPr>
        <w:ind w:left="720"/>
        <w:rPr>
          <w:b/>
          <w:sz w:val="24"/>
        </w:rPr>
      </w:pPr>
    </w:p>
    <w:p w:rsidR="00146780" w:rsidRDefault="00603A18" w:rsidP="00F623D5">
      <w:pPr>
        <w:widowControl/>
        <w:autoSpaceDE/>
        <w:autoSpaceDN/>
        <w:adjustRightInd/>
        <w:ind w:left="360"/>
        <w:rPr>
          <w:sz w:val="24"/>
        </w:rPr>
      </w:pPr>
      <w:r>
        <w:rPr>
          <w:sz w:val="24"/>
        </w:rPr>
        <w:t xml:space="preserve">Information collected </w:t>
      </w:r>
      <w:r w:rsidR="00906EF0">
        <w:rPr>
          <w:sz w:val="24"/>
        </w:rPr>
        <w:t xml:space="preserve">is a </w:t>
      </w:r>
      <w:r w:rsidR="00866D8C">
        <w:rPr>
          <w:sz w:val="24"/>
        </w:rPr>
        <w:t>one</w:t>
      </w:r>
      <w:r w:rsidR="00122041">
        <w:rPr>
          <w:sz w:val="24"/>
        </w:rPr>
        <w:t>-</w:t>
      </w:r>
      <w:r w:rsidR="00866D8C">
        <w:rPr>
          <w:sz w:val="24"/>
        </w:rPr>
        <w:t>time</w:t>
      </w:r>
      <w:r w:rsidR="00CF1620">
        <w:rPr>
          <w:sz w:val="24"/>
        </w:rPr>
        <w:t xml:space="preserve"> data </w:t>
      </w:r>
      <w:r w:rsidR="00906EF0">
        <w:rPr>
          <w:sz w:val="24"/>
        </w:rPr>
        <w:t>collection.</w:t>
      </w:r>
      <w:r>
        <w:rPr>
          <w:sz w:val="24"/>
        </w:rPr>
        <w:t xml:space="preserve">  </w:t>
      </w:r>
    </w:p>
    <w:p w:rsidR="00F623D5" w:rsidRDefault="00F623D5" w:rsidP="00F623D5">
      <w:pPr>
        <w:widowControl/>
        <w:autoSpaceDE/>
        <w:autoSpaceDN/>
        <w:adjustRightInd/>
        <w:ind w:left="360"/>
        <w:rPr>
          <w:color w:val="000000"/>
          <w:sz w:val="24"/>
        </w:rPr>
      </w:pPr>
    </w:p>
    <w:p w:rsidR="00906EF0" w:rsidRDefault="00146780" w:rsidP="00F623D5">
      <w:pPr>
        <w:numPr>
          <w:ilvl w:val="0"/>
          <w:numId w:val="1"/>
        </w:numPr>
        <w:rPr>
          <w:b/>
          <w:sz w:val="24"/>
        </w:rPr>
      </w:pPr>
      <w:r>
        <w:rPr>
          <w:b/>
          <w:sz w:val="24"/>
          <w:u w:val="single"/>
        </w:rPr>
        <w:t>Special Circumstances Relating to the Guidelines of 5 CFR 1320.5</w:t>
      </w:r>
    </w:p>
    <w:p w:rsidR="00906EF0" w:rsidRDefault="00906EF0" w:rsidP="00F623D5">
      <w:pPr>
        <w:rPr>
          <w:b/>
          <w:sz w:val="24"/>
        </w:rPr>
      </w:pPr>
    </w:p>
    <w:p w:rsidR="00CF1620" w:rsidRPr="00906EF0" w:rsidRDefault="00CF1620" w:rsidP="00F623D5">
      <w:pPr>
        <w:ind w:left="360"/>
        <w:rPr>
          <w:b/>
          <w:sz w:val="24"/>
        </w:rPr>
      </w:pPr>
      <w:r>
        <w:rPr>
          <w:sz w:val="24"/>
        </w:rPr>
        <w:t>No special circumstance</w:t>
      </w:r>
      <w:r w:rsidR="004F4A06">
        <w:rPr>
          <w:sz w:val="24"/>
        </w:rPr>
        <w:t>.</w:t>
      </w:r>
    </w:p>
    <w:p w:rsidR="00146780" w:rsidRDefault="00146780" w:rsidP="00F623D5">
      <w:pPr>
        <w:ind w:left="360"/>
        <w:rPr>
          <w:sz w:val="24"/>
        </w:rPr>
      </w:pPr>
    </w:p>
    <w:p w:rsidR="00146780" w:rsidRDefault="00146780" w:rsidP="00F623D5">
      <w:pPr>
        <w:numPr>
          <w:ilvl w:val="0"/>
          <w:numId w:val="1"/>
        </w:numPr>
        <w:rPr>
          <w:b/>
          <w:sz w:val="24"/>
        </w:rPr>
      </w:pPr>
      <w:r>
        <w:rPr>
          <w:b/>
          <w:iCs/>
          <w:sz w:val="24"/>
          <w:u w:val="single"/>
        </w:rPr>
        <w:t>Comments in Response to the Federal Register</w:t>
      </w:r>
      <w:r>
        <w:rPr>
          <w:b/>
          <w:sz w:val="24"/>
          <w:u w:val="single"/>
        </w:rPr>
        <w:t xml:space="preserve"> Notice/Outside Consultation</w:t>
      </w:r>
    </w:p>
    <w:p w:rsidR="00906EF0" w:rsidRDefault="00906EF0" w:rsidP="00F623D5">
      <w:pPr>
        <w:rPr>
          <w:b/>
          <w:sz w:val="24"/>
        </w:rPr>
      </w:pPr>
    </w:p>
    <w:p w:rsidR="00CF1620" w:rsidRDefault="00B410BA" w:rsidP="00F623D5">
      <w:pPr>
        <w:ind w:left="360"/>
        <w:rPr>
          <w:sz w:val="24"/>
        </w:rPr>
      </w:pPr>
      <w:r>
        <w:rPr>
          <w:sz w:val="24"/>
        </w:rPr>
        <w:t>The emergency Federal Register notice published on March 13, 2012 (77 FR 14807).</w:t>
      </w:r>
    </w:p>
    <w:p w:rsidR="00146780" w:rsidRDefault="00146780" w:rsidP="00F623D5">
      <w:pPr>
        <w:ind w:left="360"/>
        <w:rPr>
          <w:sz w:val="24"/>
        </w:rPr>
      </w:pPr>
    </w:p>
    <w:p w:rsidR="00146780" w:rsidRDefault="00146780" w:rsidP="00F623D5">
      <w:pPr>
        <w:numPr>
          <w:ilvl w:val="0"/>
          <w:numId w:val="1"/>
        </w:numPr>
        <w:rPr>
          <w:b/>
          <w:sz w:val="24"/>
        </w:rPr>
      </w:pPr>
      <w:r>
        <w:rPr>
          <w:b/>
          <w:sz w:val="24"/>
          <w:u w:val="single"/>
        </w:rPr>
        <w:t>Explanation of any Payment/Gift to Respondents</w:t>
      </w:r>
    </w:p>
    <w:p w:rsidR="00906EF0" w:rsidRDefault="00906EF0" w:rsidP="00F623D5">
      <w:pPr>
        <w:rPr>
          <w:sz w:val="24"/>
        </w:rPr>
      </w:pPr>
    </w:p>
    <w:p w:rsidR="00146780" w:rsidRDefault="00CF1620" w:rsidP="00F623D5">
      <w:pPr>
        <w:ind w:left="360"/>
        <w:rPr>
          <w:sz w:val="24"/>
        </w:rPr>
      </w:pPr>
      <w:r>
        <w:rPr>
          <w:sz w:val="24"/>
        </w:rPr>
        <w:t>Not applicable</w:t>
      </w:r>
      <w:r w:rsidR="00504B58">
        <w:rPr>
          <w:sz w:val="24"/>
        </w:rPr>
        <w:t>.</w:t>
      </w:r>
      <w:r>
        <w:rPr>
          <w:sz w:val="24"/>
        </w:rPr>
        <w:t xml:space="preserve"> </w:t>
      </w:r>
    </w:p>
    <w:p w:rsidR="00146780" w:rsidRDefault="00146780" w:rsidP="00F623D5">
      <w:pPr>
        <w:ind w:left="1440"/>
        <w:rPr>
          <w:sz w:val="24"/>
        </w:rPr>
      </w:pPr>
    </w:p>
    <w:p w:rsidR="00146780" w:rsidRPr="00906EF0" w:rsidRDefault="00146780" w:rsidP="00F623D5">
      <w:pPr>
        <w:numPr>
          <w:ilvl w:val="0"/>
          <w:numId w:val="1"/>
        </w:numPr>
        <w:rPr>
          <w:b/>
          <w:sz w:val="24"/>
        </w:rPr>
      </w:pPr>
      <w:r>
        <w:rPr>
          <w:b/>
          <w:sz w:val="24"/>
          <w:u w:val="single"/>
        </w:rPr>
        <w:t>Assurance of Confidentiality Provided to Respondents</w:t>
      </w:r>
    </w:p>
    <w:p w:rsidR="00906EF0" w:rsidRDefault="00906EF0" w:rsidP="00F623D5">
      <w:pPr>
        <w:ind w:left="720"/>
        <w:rPr>
          <w:b/>
          <w:sz w:val="24"/>
        </w:rPr>
      </w:pPr>
    </w:p>
    <w:p w:rsidR="00146780" w:rsidRDefault="00CF1620" w:rsidP="00F623D5">
      <w:pPr>
        <w:ind w:left="360"/>
        <w:rPr>
          <w:sz w:val="24"/>
        </w:rPr>
      </w:pPr>
      <w:r w:rsidRPr="008D60C0">
        <w:rPr>
          <w:sz w:val="24"/>
        </w:rPr>
        <w:t>All information will b</w:t>
      </w:r>
      <w:r w:rsidR="008759B3" w:rsidRPr="008D60C0">
        <w:rPr>
          <w:sz w:val="24"/>
        </w:rPr>
        <w:t xml:space="preserve">e kept </w:t>
      </w:r>
      <w:r w:rsidR="005F1B86" w:rsidRPr="008D60C0">
        <w:rPr>
          <w:sz w:val="24"/>
        </w:rPr>
        <w:t>private to the extent allowed by</w:t>
      </w:r>
      <w:r w:rsidR="008759B3" w:rsidRPr="008D60C0">
        <w:rPr>
          <w:sz w:val="24"/>
        </w:rPr>
        <w:t xml:space="preserve"> application laws/regulations.</w:t>
      </w:r>
      <w:r w:rsidR="008759B3">
        <w:rPr>
          <w:sz w:val="24"/>
        </w:rPr>
        <w:t xml:space="preserve"> </w:t>
      </w:r>
    </w:p>
    <w:p w:rsidR="00906EF0" w:rsidRDefault="00906EF0" w:rsidP="00F623D5">
      <w:pPr>
        <w:ind w:firstLine="720"/>
        <w:rPr>
          <w:sz w:val="24"/>
        </w:rPr>
      </w:pPr>
    </w:p>
    <w:p w:rsidR="00906EF0" w:rsidRDefault="00146780" w:rsidP="00F623D5">
      <w:pPr>
        <w:numPr>
          <w:ilvl w:val="0"/>
          <w:numId w:val="1"/>
        </w:numPr>
        <w:rPr>
          <w:b/>
          <w:sz w:val="24"/>
        </w:rPr>
      </w:pPr>
      <w:r>
        <w:rPr>
          <w:b/>
          <w:sz w:val="24"/>
          <w:u w:val="single"/>
        </w:rPr>
        <w:t>Justification for Sensitive Questions</w:t>
      </w:r>
    </w:p>
    <w:p w:rsidR="00906EF0" w:rsidRDefault="00906EF0" w:rsidP="00F623D5">
      <w:pPr>
        <w:rPr>
          <w:b/>
          <w:sz w:val="24"/>
        </w:rPr>
      </w:pPr>
    </w:p>
    <w:p w:rsidR="00146780" w:rsidRDefault="006961DB" w:rsidP="00993C59">
      <w:pPr>
        <w:ind w:left="360"/>
        <w:rPr>
          <w:sz w:val="24"/>
        </w:rPr>
      </w:pPr>
      <w:r>
        <w:rPr>
          <w:sz w:val="24"/>
        </w:rPr>
        <w:t xml:space="preserve">There are no sensitive questions. </w:t>
      </w:r>
    </w:p>
    <w:p w:rsidR="00617265" w:rsidRDefault="00617265" w:rsidP="00F623D5">
      <w:pPr>
        <w:ind w:left="360"/>
        <w:rPr>
          <w:sz w:val="24"/>
        </w:rPr>
      </w:pPr>
    </w:p>
    <w:p w:rsidR="00B9502A" w:rsidRDefault="00B9502A" w:rsidP="00F623D5">
      <w:pPr>
        <w:ind w:left="360"/>
        <w:rPr>
          <w:sz w:val="24"/>
        </w:rPr>
      </w:pPr>
    </w:p>
    <w:p w:rsidR="00146780" w:rsidRDefault="00146780" w:rsidP="00F623D5">
      <w:pPr>
        <w:numPr>
          <w:ilvl w:val="0"/>
          <w:numId w:val="1"/>
        </w:numPr>
        <w:rPr>
          <w:sz w:val="24"/>
        </w:rPr>
      </w:pPr>
      <w:r>
        <w:rPr>
          <w:b/>
          <w:sz w:val="24"/>
          <w:u w:val="single"/>
        </w:rPr>
        <w:t>Estimates</w:t>
      </w:r>
      <w:r w:rsidR="00906EF0">
        <w:rPr>
          <w:b/>
          <w:sz w:val="24"/>
          <w:u w:val="single"/>
        </w:rPr>
        <w:t xml:space="preserve"> of Annualized Burden </w:t>
      </w:r>
      <w:r>
        <w:rPr>
          <w:b/>
          <w:sz w:val="24"/>
          <w:u w:val="single"/>
        </w:rPr>
        <w:t xml:space="preserve">Hours </w:t>
      </w:r>
      <w:r>
        <w:rPr>
          <w:b/>
          <w:sz w:val="24"/>
        </w:rPr>
        <w:t>(Total Hours &amp; Wages</w:t>
      </w:r>
      <w:r>
        <w:rPr>
          <w:sz w:val="24"/>
        </w:rPr>
        <w:t>)</w:t>
      </w:r>
    </w:p>
    <w:p w:rsidR="00146780" w:rsidRDefault="00146780" w:rsidP="00F623D5">
      <w:pPr>
        <w:widowControl/>
        <w:rPr>
          <w:sz w:val="24"/>
        </w:rPr>
      </w:pPr>
    </w:p>
    <w:p w:rsidR="00807E3F" w:rsidRDefault="00C81211" w:rsidP="006961DB">
      <w:pPr>
        <w:widowControl/>
        <w:ind w:left="360"/>
        <w:rPr>
          <w:sz w:val="24"/>
        </w:rPr>
      </w:pPr>
      <w:r>
        <w:rPr>
          <w:sz w:val="24"/>
        </w:rPr>
        <w:t>Each</w:t>
      </w:r>
      <w:r w:rsidR="00807E3F">
        <w:rPr>
          <w:sz w:val="24"/>
        </w:rPr>
        <w:t xml:space="preserve"> individual will be asked </w:t>
      </w:r>
      <w:r w:rsidR="00904379">
        <w:rPr>
          <w:sz w:val="24"/>
        </w:rPr>
        <w:t xml:space="preserve">to complete </w:t>
      </w:r>
      <w:r w:rsidR="00F36A4B">
        <w:rPr>
          <w:sz w:val="24"/>
        </w:rPr>
        <w:t xml:space="preserve">the form </w:t>
      </w:r>
      <w:r>
        <w:rPr>
          <w:sz w:val="24"/>
        </w:rPr>
        <w:t>which will include providing the individual’s name, PCIP account number</w:t>
      </w:r>
      <w:r w:rsidR="009B1899">
        <w:rPr>
          <w:sz w:val="24"/>
        </w:rPr>
        <w:t xml:space="preserve"> (if known)</w:t>
      </w:r>
      <w:r>
        <w:rPr>
          <w:sz w:val="24"/>
        </w:rPr>
        <w:t xml:space="preserve">, date of birth, what personal health information they agree to share, the length of time the individual agrees their personal health information can be shared, </w:t>
      </w:r>
      <w:r w:rsidR="00696BB8">
        <w:rPr>
          <w:sz w:val="24"/>
        </w:rPr>
        <w:t xml:space="preserve">the names and addresses of the third party the individual wants PCIP to share their personal health information with, and an attestation that the individual is giving PCIP permission to share their personal health information with the third party listed in the form.  This completed form will be submitted to </w:t>
      </w:r>
      <w:r w:rsidR="009B1899">
        <w:rPr>
          <w:sz w:val="24"/>
        </w:rPr>
        <w:t>the PCIP benefits administrator, GEHA, which contracts with CMS</w:t>
      </w:r>
      <w:r w:rsidR="00696BB8">
        <w:rPr>
          <w:sz w:val="24"/>
        </w:rPr>
        <w:t xml:space="preserve">. </w:t>
      </w:r>
    </w:p>
    <w:p w:rsidR="00156FFE" w:rsidRDefault="00156FFE" w:rsidP="006961DB">
      <w:pPr>
        <w:widowControl/>
        <w:ind w:left="360"/>
        <w:rPr>
          <w:sz w:val="24"/>
        </w:rPr>
      </w:pPr>
    </w:p>
    <w:p w:rsidR="00866D8C" w:rsidRDefault="008847B4" w:rsidP="006961DB">
      <w:pPr>
        <w:widowControl/>
        <w:ind w:left="360"/>
        <w:rPr>
          <w:sz w:val="24"/>
        </w:rPr>
      </w:pPr>
      <w:r>
        <w:rPr>
          <w:sz w:val="24"/>
        </w:rPr>
        <w:t>We estimate t</w:t>
      </w:r>
      <w:r w:rsidR="00807E3F">
        <w:rPr>
          <w:sz w:val="24"/>
        </w:rPr>
        <w:t xml:space="preserve">hat it will take approximately </w:t>
      </w:r>
      <w:r w:rsidR="00696BB8">
        <w:rPr>
          <w:sz w:val="24"/>
        </w:rPr>
        <w:t>15</w:t>
      </w:r>
      <w:r w:rsidR="00807E3F">
        <w:rPr>
          <w:sz w:val="24"/>
        </w:rPr>
        <w:t xml:space="preserve"> minutes</w:t>
      </w:r>
      <w:r w:rsidR="008D4510">
        <w:rPr>
          <w:sz w:val="24"/>
        </w:rPr>
        <w:t xml:space="preserve"> </w:t>
      </w:r>
      <w:r>
        <w:rPr>
          <w:sz w:val="24"/>
        </w:rPr>
        <w:t xml:space="preserve">per applicant to </w:t>
      </w:r>
      <w:r w:rsidR="00807E3F">
        <w:rPr>
          <w:sz w:val="24"/>
        </w:rPr>
        <w:t xml:space="preserve">complete and submit a HIPAA </w:t>
      </w:r>
      <w:r w:rsidR="00696BB8">
        <w:rPr>
          <w:sz w:val="24"/>
        </w:rPr>
        <w:t>A</w:t>
      </w:r>
      <w:r w:rsidR="00807E3F">
        <w:rPr>
          <w:sz w:val="24"/>
        </w:rPr>
        <w:t xml:space="preserve">uthorization </w:t>
      </w:r>
      <w:r w:rsidR="00696BB8">
        <w:rPr>
          <w:sz w:val="24"/>
        </w:rPr>
        <w:t>F</w:t>
      </w:r>
      <w:r w:rsidR="00807E3F">
        <w:rPr>
          <w:sz w:val="24"/>
        </w:rPr>
        <w:t xml:space="preserve">orm </w:t>
      </w:r>
      <w:r w:rsidR="00696BB8">
        <w:rPr>
          <w:sz w:val="24"/>
        </w:rPr>
        <w:t>to the PCIP program</w:t>
      </w:r>
      <w:r w:rsidR="00807E3F">
        <w:rPr>
          <w:sz w:val="24"/>
        </w:rPr>
        <w:t xml:space="preserve">.  </w:t>
      </w:r>
    </w:p>
    <w:p w:rsidR="00866D8C" w:rsidRDefault="00866D8C" w:rsidP="00F623D5">
      <w:pPr>
        <w:widowControl/>
        <w:rPr>
          <w:sz w:val="24"/>
        </w:rPr>
      </w:pPr>
    </w:p>
    <w:p w:rsidR="00696BB8" w:rsidRDefault="00696BB8" w:rsidP="006961DB">
      <w:pPr>
        <w:widowControl/>
        <w:ind w:left="360"/>
        <w:rPr>
          <w:sz w:val="24"/>
        </w:rPr>
      </w:pPr>
      <w:r>
        <w:rPr>
          <w:sz w:val="24"/>
        </w:rPr>
        <w:t>The federally-run PCIP program operates in 23 states plus the District of Columbia and receives an average of 35,000 enrollment applications per year</w:t>
      </w:r>
      <w:r w:rsidR="004379DA">
        <w:rPr>
          <w:rStyle w:val="EndnoteReference"/>
          <w:sz w:val="24"/>
        </w:rPr>
        <w:endnoteReference w:id="1"/>
      </w:r>
      <w:r>
        <w:rPr>
          <w:sz w:val="24"/>
        </w:rPr>
        <w:t xml:space="preserve">.  </w:t>
      </w:r>
      <w:r w:rsidR="004379DA">
        <w:rPr>
          <w:sz w:val="24"/>
        </w:rPr>
        <w:t xml:space="preserve">To estimate the number of PCIP applicants and enrollees who may </w:t>
      </w:r>
      <w:r w:rsidR="009B6630">
        <w:rPr>
          <w:sz w:val="24"/>
        </w:rPr>
        <w:t>complete an authorization</w:t>
      </w:r>
      <w:r w:rsidR="004379DA">
        <w:rPr>
          <w:sz w:val="24"/>
        </w:rPr>
        <w:t xml:space="preserve">, we looked at the percentage of individuals who request </w:t>
      </w:r>
      <w:r w:rsidR="009B6630">
        <w:rPr>
          <w:sz w:val="24"/>
        </w:rPr>
        <w:t xml:space="preserve">an authorization </w:t>
      </w:r>
      <w:r w:rsidR="004379DA">
        <w:rPr>
          <w:sz w:val="24"/>
        </w:rPr>
        <w:t xml:space="preserve">in </w:t>
      </w:r>
      <w:r w:rsidR="009B6630">
        <w:rPr>
          <w:sz w:val="24"/>
        </w:rPr>
        <w:t>Medicare</w:t>
      </w:r>
      <w:r w:rsidR="004379DA">
        <w:rPr>
          <w:sz w:val="24"/>
        </w:rPr>
        <w:t xml:space="preserve"> as a baseline.  Medicare estimates 3% of its population will submit an </w:t>
      </w:r>
      <w:r w:rsidR="009B6630">
        <w:rPr>
          <w:sz w:val="24"/>
        </w:rPr>
        <w:t>authorization</w:t>
      </w:r>
      <w:r w:rsidR="004379DA">
        <w:rPr>
          <w:sz w:val="24"/>
        </w:rPr>
        <w:t xml:space="preserve"> per year</w:t>
      </w:r>
      <w:r w:rsidR="004379DA">
        <w:rPr>
          <w:rStyle w:val="EndnoteReference"/>
          <w:sz w:val="24"/>
        </w:rPr>
        <w:endnoteReference w:id="2"/>
      </w:r>
      <w:r w:rsidR="004379DA">
        <w:rPr>
          <w:sz w:val="24"/>
        </w:rPr>
        <w:t xml:space="preserve">. </w:t>
      </w:r>
      <w:r w:rsidR="009B6630">
        <w:rPr>
          <w:sz w:val="24"/>
        </w:rPr>
        <w:t xml:space="preserve"> However, since the PCIP program caters to an exclusive population comprised of individuals who have one or more pre-existing conditions, we believe it is likely we could receive double the percentage </w:t>
      </w:r>
      <w:r w:rsidR="00654B44">
        <w:rPr>
          <w:sz w:val="24"/>
        </w:rPr>
        <w:t>estimated by</w:t>
      </w:r>
      <w:r w:rsidR="009B6630">
        <w:rPr>
          <w:sz w:val="24"/>
        </w:rPr>
        <w:t xml:space="preserve"> Medicare.  Accordingly, PCIP estimates 6% </w:t>
      </w:r>
      <w:r w:rsidR="00654B44">
        <w:rPr>
          <w:sz w:val="24"/>
        </w:rPr>
        <w:t>(or 2,100)</w:t>
      </w:r>
      <w:r w:rsidR="00654B44">
        <w:rPr>
          <w:rStyle w:val="EndnoteReference"/>
          <w:sz w:val="24"/>
        </w:rPr>
        <w:endnoteReference w:id="3"/>
      </w:r>
      <w:r w:rsidR="00654B44">
        <w:rPr>
          <w:sz w:val="24"/>
        </w:rPr>
        <w:t xml:space="preserve"> </w:t>
      </w:r>
      <w:r w:rsidR="009B6630">
        <w:rPr>
          <w:sz w:val="24"/>
        </w:rPr>
        <w:t xml:space="preserve">of its applicants and enrollees may submit an authorization per year. </w:t>
      </w:r>
    </w:p>
    <w:p w:rsidR="00696BB8" w:rsidRDefault="00696BB8" w:rsidP="006961DB">
      <w:pPr>
        <w:widowControl/>
        <w:ind w:left="360"/>
        <w:rPr>
          <w:sz w:val="24"/>
        </w:rPr>
      </w:pPr>
    </w:p>
    <w:p w:rsidR="005F1B86" w:rsidRDefault="00452540" w:rsidP="006961DB">
      <w:pPr>
        <w:widowControl/>
        <w:ind w:left="360"/>
        <w:rPr>
          <w:sz w:val="24"/>
        </w:rPr>
      </w:pPr>
      <w:r>
        <w:rPr>
          <w:sz w:val="24"/>
        </w:rPr>
        <w:t xml:space="preserve">Based on </w:t>
      </w:r>
      <w:r w:rsidR="003A7E57">
        <w:rPr>
          <w:sz w:val="24"/>
        </w:rPr>
        <w:t>the above</w:t>
      </w:r>
      <w:r>
        <w:rPr>
          <w:sz w:val="24"/>
        </w:rPr>
        <w:t xml:space="preserve">, it is estimated that up to </w:t>
      </w:r>
      <w:r w:rsidR="003F27D0">
        <w:rPr>
          <w:sz w:val="24"/>
        </w:rPr>
        <w:t>2,100</w:t>
      </w:r>
      <w:r>
        <w:rPr>
          <w:sz w:val="24"/>
        </w:rPr>
        <w:t xml:space="preserve"> applicants</w:t>
      </w:r>
      <w:r w:rsidR="003F27D0">
        <w:rPr>
          <w:sz w:val="24"/>
        </w:rPr>
        <w:t xml:space="preserve"> and enrollees may submit an authorization annually.  There is no cost to PCIP beneficiaries to request, complete, submit, or have the authorization form processed by PCIP.  It should take approximately 15 minutes for a beneficiary to complete the authorization form.  15 minutes multiplied by 2,100 beneficiaries equals </w:t>
      </w:r>
      <w:r w:rsidR="009559F6">
        <w:rPr>
          <w:sz w:val="24"/>
        </w:rPr>
        <w:t>525</w:t>
      </w:r>
      <w:r w:rsidR="003F27D0">
        <w:rPr>
          <w:sz w:val="24"/>
        </w:rPr>
        <w:t xml:space="preserve"> hours. </w:t>
      </w:r>
    </w:p>
    <w:p w:rsidR="008A27A7" w:rsidRDefault="00C909DA" w:rsidP="00427C01">
      <w:pPr>
        <w:widowControl/>
        <w:ind w:firstLine="720"/>
        <w:rPr>
          <w:b/>
          <w:sz w:val="24"/>
        </w:rPr>
      </w:pPr>
      <w:r>
        <w:rPr>
          <w:sz w:val="24"/>
        </w:rPr>
        <w:t xml:space="preserve"> </w:t>
      </w:r>
    </w:p>
    <w:p w:rsidR="00146780" w:rsidRPr="005F1B86" w:rsidRDefault="00146780">
      <w:pPr>
        <w:widowControl/>
        <w:ind w:left="1440"/>
        <w:rPr>
          <w:b/>
          <w:sz w:val="24"/>
        </w:rPr>
      </w:pPr>
      <w:r w:rsidRPr="005F1B86">
        <w:rPr>
          <w:b/>
          <w:sz w:val="24"/>
        </w:rPr>
        <w:t>12A. Estimated Annualized Burden Hours</w:t>
      </w:r>
    </w:p>
    <w:p w:rsidR="00906EF0" w:rsidRDefault="00906EF0" w:rsidP="00906EF0">
      <w:pPr>
        <w:widowControl/>
        <w:rPr>
          <w:sz w:val="24"/>
        </w:rPr>
      </w:pPr>
    </w:p>
    <w:p w:rsidR="00F818BE" w:rsidRDefault="00F818BE" w:rsidP="00F818BE">
      <w:pPr>
        <w:rPr>
          <w:bCs/>
          <w:sz w:val="24"/>
        </w:rPr>
      </w:pPr>
      <w:r w:rsidRPr="00CC65F9">
        <w:rPr>
          <w:sz w:val="24"/>
        </w:rPr>
        <w:t xml:space="preserve">Estimated </w:t>
      </w:r>
      <w:r w:rsidRPr="00CC65F9">
        <w:rPr>
          <w:bCs/>
          <w:sz w:val="24"/>
        </w:rPr>
        <w:t xml:space="preserve">Annualized Burden Table </w:t>
      </w:r>
      <w:r>
        <w:rPr>
          <w:bCs/>
          <w:sz w:val="24"/>
        </w:rPr>
        <w:t>for 2012</w:t>
      </w:r>
    </w:p>
    <w:p w:rsidR="002479AB" w:rsidRPr="00CC65F9" w:rsidRDefault="002479AB" w:rsidP="00F818B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1A1E23" w:rsidRPr="004D467D">
        <w:trPr>
          <w:trHeight w:val="285"/>
        </w:trPr>
        <w:tc>
          <w:tcPr>
            <w:tcW w:w="1724" w:type="dxa"/>
          </w:tcPr>
          <w:p w:rsidR="001A1E23" w:rsidRPr="004D467D" w:rsidRDefault="00551CE7" w:rsidP="00BA3DA3">
            <w:pPr>
              <w:rPr>
                <w:sz w:val="24"/>
              </w:rPr>
            </w:pPr>
            <w:r>
              <w:rPr>
                <w:sz w:val="24"/>
              </w:rPr>
              <w:t>Complete &amp; Submit Form</w:t>
            </w:r>
            <w:r w:rsidR="001A1E23">
              <w:rPr>
                <w:sz w:val="24"/>
              </w:rPr>
              <w:t xml:space="preserve"> </w:t>
            </w:r>
          </w:p>
        </w:tc>
        <w:tc>
          <w:tcPr>
            <w:tcW w:w="1578" w:type="dxa"/>
          </w:tcPr>
          <w:p w:rsidR="001A1E23" w:rsidRPr="004D467D" w:rsidRDefault="001A1E23" w:rsidP="00BA3DA3">
            <w:pPr>
              <w:rPr>
                <w:sz w:val="24"/>
              </w:rPr>
            </w:pPr>
            <w:r>
              <w:rPr>
                <w:sz w:val="24"/>
              </w:rPr>
              <w:t>Individual</w:t>
            </w:r>
          </w:p>
        </w:tc>
        <w:tc>
          <w:tcPr>
            <w:tcW w:w="1523" w:type="dxa"/>
          </w:tcPr>
          <w:p w:rsidR="001A1E23" w:rsidRPr="004D467D" w:rsidRDefault="009C1A24" w:rsidP="00BA3DA3">
            <w:pPr>
              <w:rPr>
                <w:sz w:val="24"/>
              </w:rPr>
            </w:pPr>
            <w:r>
              <w:rPr>
                <w:sz w:val="24"/>
              </w:rPr>
              <w:t>2,100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551CE7">
            <w:pPr>
              <w:rPr>
                <w:sz w:val="24"/>
              </w:rPr>
            </w:pPr>
            <w:r>
              <w:rPr>
                <w:sz w:val="24"/>
              </w:rPr>
              <w:t xml:space="preserve"> .</w:t>
            </w:r>
            <w:r w:rsidR="00551CE7">
              <w:rPr>
                <w:sz w:val="24"/>
              </w:rPr>
              <w:t>25</w:t>
            </w:r>
          </w:p>
        </w:tc>
        <w:tc>
          <w:tcPr>
            <w:tcW w:w="1520" w:type="dxa"/>
            <w:vAlign w:val="bottom"/>
          </w:tcPr>
          <w:p w:rsidR="001A1E23" w:rsidRPr="00B81DA7" w:rsidRDefault="009559F6" w:rsidP="00084D87">
            <w:pPr>
              <w:jc w:val="right"/>
              <w:rPr>
                <w:color w:val="000000"/>
                <w:sz w:val="24"/>
              </w:rPr>
            </w:pPr>
            <w:r>
              <w:rPr>
                <w:color w:val="000000"/>
                <w:sz w:val="24"/>
              </w:rPr>
              <w:t>525</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551CE7" w:rsidP="00BA3DA3">
            <w:pPr>
              <w:rPr>
                <w:sz w:val="24"/>
              </w:rPr>
            </w:pPr>
            <w:r>
              <w:rPr>
                <w:sz w:val="24"/>
              </w:rPr>
              <w:t>.25</w:t>
            </w:r>
          </w:p>
        </w:tc>
        <w:tc>
          <w:tcPr>
            <w:tcW w:w="1520" w:type="dxa"/>
            <w:vAlign w:val="bottom"/>
          </w:tcPr>
          <w:p w:rsidR="001A1E23" w:rsidRPr="00B81DA7" w:rsidRDefault="009559F6" w:rsidP="00084D87">
            <w:pPr>
              <w:jc w:val="right"/>
              <w:rPr>
                <w:color w:val="000000"/>
                <w:sz w:val="24"/>
              </w:rPr>
            </w:pPr>
            <w:r>
              <w:rPr>
                <w:color w:val="000000"/>
                <w:sz w:val="24"/>
              </w:rPr>
              <w:t>525</w:t>
            </w:r>
            <w:r w:rsidR="00551CE7">
              <w:rPr>
                <w:color w:val="000000"/>
                <w:sz w:val="24"/>
              </w:rPr>
              <w:t xml:space="preserve"> </w:t>
            </w:r>
          </w:p>
        </w:tc>
      </w:tr>
    </w:tbl>
    <w:p w:rsidR="00F818BE" w:rsidRDefault="00F818BE">
      <w:pPr>
        <w:widowControl/>
        <w:ind w:left="1440"/>
        <w:rPr>
          <w:sz w:val="24"/>
        </w:rPr>
      </w:pPr>
    </w:p>
    <w:p w:rsidR="002479AB" w:rsidRDefault="002479AB">
      <w:pPr>
        <w:widowControl/>
        <w:ind w:left="1440"/>
        <w:rPr>
          <w:sz w:val="24"/>
        </w:rPr>
      </w:pPr>
    </w:p>
    <w:p w:rsidR="002479AB" w:rsidRDefault="002479AB">
      <w:pPr>
        <w:widowControl/>
        <w:ind w:left="1440"/>
        <w:rPr>
          <w:sz w:val="24"/>
        </w:rPr>
      </w:pPr>
    </w:p>
    <w:p w:rsidR="002479AB" w:rsidRDefault="002479AB">
      <w:pPr>
        <w:widowControl/>
        <w:ind w:left="1440"/>
        <w:rPr>
          <w:sz w:val="24"/>
        </w:rPr>
      </w:pPr>
    </w:p>
    <w:p w:rsidR="00F818BE" w:rsidRDefault="00F818BE" w:rsidP="00F818BE">
      <w:pPr>
        <w:rPr>
          <w:bCs/>
          <w:sz w:val="24"/>
        </w:rPr>
      </w:pPr>
      <w:r w:rsidRPr="00CC65F9">
        <w:rPr>
          <w:sz w:val="24"/>
        </w:rPr>
        <w:lastRenderedPageBreak/>
        <w:t xml:space="preserve">Estimated </w:t>
      </w:r>
      <w:r w:rsidRPr="00CC65F9">
        <w:rPr>
          <w:bCs/>
          <w:sz w:val="24"/>
        </w:rPr>
        <w:t xml:space="preserve">Annualized Burden Table </w:t>
      </w:r>
      <w:r>
        <w:rPr>
          <w:bCs/>
          <w:sz w:val="24"/>
        </w:rPr>
        <w:t>for 2013</w:t>
      </w:r>
    </w:p>
    <w:p w:rsidR="002479AB" w:rsidRPr="00CC65F9" w:rsidRDefault="002479AB" w:rsidP="00F818B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551CE7" w:rsidRPr="004D467D" w:rsidTr="003B0E2D">
        <w:trPr>
          <w:trHeight w:val="285"/>
        </w:trPr>
        <w:tc>
          <w:tcPr>
            <w:tcW w:w="1724" w:type="dxa"/>
          </w:tcPr>
          <w:p w:rsidR="00551CE7" w:rsidRPr="004D467D" w:rsidRDefault="00551CE7" w:rsidP="003B0E2D">
            <w:pPr>
              <w:rPr>
                <w:sz w:val="24"/>
              </w:rPr>
            </w:pPr>
            <w:r>
              <w:rPr>
                <w:sz w:val="24"/>
              </w:rPr>
              <w:t xml:space="preserve">Complete &amp; Submit Form </w:t>
            </w:r>
          </w:p>
        </w:tc>
        <w:tc>
          <w:tcPr>
            <w:tcW w:w="1578" w:type="dxa"/>
          </w:tcPr>
          <w:p w:rsidR="00551CE7" w:rsidRPr="004D467D" w:rsidRDefault="00551CE7" w:rsidP="003B0E2D">
            <w:pPr>
              <w:rPr>
                <w:sz w:val="24"/>
              </w:rPr>
            </w:pPr>
            <w:r>
              <w:rPr>
                <w:sz w:val="24"/>
              </w:rPr>
              <w:t>Individual</w:t>
            </w:r>
          </w:p>
        </w:tc>
        <w:tc>
          <w:tcPr>
            <w:tcW w:w="1523" w:type="dxa"/>
          </w:tcPr>
          <w:p w:rsidR="00551CE7" w:rsidRPr="004D467D" w:rsidRDefault="009559F6" w:rsidP="003B0E2D">
            <w:pPr>
              <w:rPr>
                <w:sz w:val="24"/>
              </w:rPr>
            </w:pPr>
            <w:r>
              <w:rPr>
                <w:sz w:val="24"/>
              </w:rPr>
              <w:t>2,100</w:t>
            </w:r>
          </w:p>
        </w:tc>
        <w:tc>
          <w:tcPr>
            <w:tcW w:w="1681" w:type="dxa"/>
          </w:tcPr>
          <w:p w:rsidR="00551CE7" w:rsidRPr="004D467D" w:rsidRDefault="00551CE7" w:rsidP="003B0E2D">
            <w:pPr>
              <w:rPr>
                <w:sz w:val="24"/>
              </w:rPr>
            </w:pPr>
            <w:r>
              <w:rPr>
                <w:sz w:val="24"/>
              </w:rPr>
              <w:t>1</w:t>
            </w:r>
          </w:p>
        </w:tc>
        <w:tc>
          <w:tcPr>
            <w:tcW w:w="1550" w:type="dxa"/>
          </w:tcPr>
          <w:p w:rsidR="00551CE7" w:rsidRPr="004D467D" w:rsidRDefault="00551CE7" w:rsidP="003B0E2D">
            <w:pPr>
              <w:rPr>
                <w:sz w:val="24"/>
              </w:rPr>
            </w:pPr>
            <w:r>
              <w:rPr>
                <w:sz w:val="24"/>
              </w:rPr>
              <w:t xml:space="preserve"> .25</w:t>
            </w:r>
          </w:p>
        </w:tc>
        <w:tc>
          <w:tcPr>
            <w:tcW w:w="1520" w:type="dxa"/>
            <w:vAlign w:val="bottom"/>
          </w:tcPr>
          <w:p w:rsidR="00551CE7" w:rsidRPr="00B81DA7" w:rsidRDefault="009559F6" w:rsidP="003B0E2D">
            <w:pPr>
              <w:jc w:val="right"/>
              <w:rPr>
                <w:color w:val="000000"/>
                <w:sz w:val="24"/>
              </w:rPr>
            </w:pPr>
            <w:r>
              <w:rPr>
                <w:color w:val="000000"/>
                <w:sz w:val="24"/>
              </w:rPr>
              <w:t>525</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1A1E23" w:rsidP="00551CE7">
            <w:pPr>
              <w:rPr>
                <w:sz w:val="24"/>
              </w:rPr>
            </w:pPr>
            <w:r>
              <w:rPr>
                <w:sz w:val="24"/>
              </w:rPr>
              <w:t xml:space="preserve"> </w:t>
            </w:r>
            <w:r w:rsidR="00551CE7">
              <w:rPr>
                <w:sz w:val="24"/>
              </w:rPr>
              <w:t>.25</w:t>
            </w:r>
          </w:p>
        </w:tc>
        <w:tc>
          <w:tcPr>
            <w:tcW w:w="1520" w:type="dxa"/>
            <w:vAlign w:val="bottom"/>
          </w:tcPr>
          <w:p w:rsidR="001A1E23" w:rsidRPr="00B81DA7" w:rsidRDefault="009559F6" w:rsidP="00084D87">
            <w:pPr>
              <w:jc w:val="right"/>
              <w:rPr>
                <w:color w:val="000000"/>
                <w:sz w:val="24"/>
              </w:rPr>
            </w:pPr>
            <w:r>
              <w:rPr>
                <w:color w:val="000000"/>
                <w:sz w:val="24"/>
              </w:rPr>
              <w:t>525</w:t>
            </w:r>
            <w:r w:rsidR="00551CE7">
              <w:rPr>
                <w:color w:val="000000"/>
                <w:sz w:val="24"/>
              </w:rPr>
              <w:t xml:space="preserve"> </w:t>
            </w:r>
          </w:p>
        </w:tc>
      </w:tr>
    </w:tbl>
    <w:p w:rsidR="0057235B" w:rsidRDefault="0057235B" w:rsidP="00F159EA">
      <w:pPr>
        <w:widowControl/>
        <w:ind w:left="1440"/>
        <w:rPr>
          <w:b/>
          <w:sz w:val="24"/>
        </w:rPr>
      </w:pPr>
    </w:p>
    <w:p w:rsidR="00551CE7" w:rsidRDefault="00551CE7" w:rsidP="00551CE7">
      <w:pPr>
        <w:rPr>
          <w:bCs/>
          <w:sz w:val="24"/>
        </w:rPr>
      </w:pPr>
      <w:r w:rsidRPr="00CC65F9">
        <w:rPr>
          <w:sz w:val="24"/>
        </w:rPr>
        <w:t xml:space="preserve">Estimated </w:t>
      </w:r>
      <w:r w:rsidRPr="00CC65F9">
        <w:rPr>
          <w:bCs/>
          <w:sz w:val="24"/>
        </w:rPr>
        <w:t xml:space="preserve">Annualized Burden Table </w:t>
      </w:r>
      <w:r>
        <w:rPr>
          <w:bCs/>
          <w:sz w:val="24"/>
        </w:rPr>
        <w:t>for 2014</w:t>
      </w:r>
    </w:p>
    <w:p w:rsidR="002479AB" w:rsidRPr="00CC65F9" w:rsidRDefault="002479AB" w:rsidP="00551CE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551CE7" w:rsidRPr="0064292E" w:rsidTr="003B0E2D">
        <w:trPr>
          <w:trHeight w:val="285"/>
        </w:trPr>
        <w:tc>
          <w:tcPr>
            <w:tcW w:w="1724" w:type="dxa"/>
          </w:tcPr>
          <w:p w:rsidR="00551CE7" w:rsidRPr="0064292E" w:rsidRDefault="00551CE7" w:rsidP="003B0E2D">
            <w:pPr>
              <w:rPr>
                <w:b/>
                <w:sz w:val="24"/>
              </w:rPr>
            </w:pPr>
            <w:r w:rsidRPr="0064292E">
              <w:rPr>
                <w:b/>
                <w:sz w:val="24"/>
              </w:rPr>
              <w:t xml:space="preserve">Forms </w:t>
            </w:r>
          </w:p>
          <w:p w:rsidR="00551CE7" w:rsidRPr="0064292E" w:rsidRDefault="00551CE7" w:rsidP="003B0E2D">
            <w:pPr>
              <w:rPr>
                <w:b/>
                <w:sz w:val="24"/>
              </w:rPr>
            </w:pPr>
            <w:r w:rsidRPr="0064292E">
              <w:rPr>
                <w:b/>
                <w:sz w:val="24"/>
              </w:rPr>
              <w:t xml:space="preserve">(If necessary) </w:t>
            </w:r>
          </w:p>
        </w:tc>
        <w:tc>
          <w:tcPr>
            <w:tcW w:w="1578" w:type="dxa"/>
          </w:tcPr>
          <w:p w:rsidR="00551CE7" w:rsidRPr="0064292E" w:rsidRDefault="00551CE7" w:rsidP="003B0E2D">
            <w:pPr>
              <w:rPr>
                <w:b/>
                <w:sz w:val="24"/>
              </w:rPr>
            </w:pPr>
            <w:r w:rsidRPr="0064292E">
              <w:rPr>
                <w:b/>
                <w:sz w:val="24"/>
              </w:rPr>
              <w:t>Type of Respondent</w:t>
            </w:r>
          </w:p>
          <w:p w:rsidR="00551CE7" w:rsidRPr="0064292E" w:rsidRDefault="00551CE7" w:rsidP="003B0E2D">
            <w:pPr>
              <w:rPr>
                <w:b/>
                <w:sz w:val="24"/>
              </w:rPr>
            </w:pPr>
          </w:p>
        </w:tc>
        <w:tc>
          <w:tcPr>
            <w:tcW w:w="1523" w:type="dxa"/>
          </w:tcPr>
          <w:p w:rsidR="00551CE7" w:rsidRPr="0064292E" w:rsidRDefault="00551CE7" w:rsidP="003B0E2D">
            <w:pPr>
              <w:rPr>
                <w:b/>
                <w:sz w:val="24"/>
              </w:rPr>
            </w:pPr>
            <w:r w:rsidRPr="0064292E">
              <w:rPr>
                <w:b/>
                <w:sz w:val="24"/>
              </w:rPr>
              <w:t xml:space="preserve">Number of  Respondents   </w:t>
            </w:r>
          </w:p>
        </w:tc>
        <w:tc>
          <w:tcPr>
            <w:tcW w:w="1681" w:type="dxa"/>
          </w:tcPr>
          <w:p w:rsidR="00551CE7" w:rsidRPr="0064292E" w:rsidRDefault="00551CE7" w:rsidP="003B0E2D">
            <w:pPr>
              <w:rPr>
                <w:b/>
                <w:sz w:val="24"/>
              </w:rPr>
            </w:pPr>
            <w:r w:rsidRPr="0064292E">
              <w:rPr>
                <w:b/>
                <w:sz w:val="24"/>
              </w:rPr>
              <w:t xml:space="preserve">Number of Responses per Respondent </w:t>
            </w:r>
          </w:p>
        </w:tc>
        <w:tc>
          <w:tcPr>
            <w:tcW w:w="1550" w:type="dxa"/>
          </w:tcPr>
          <w:p w:rsidR="00551CE7" w:rsidRPr="0064292E" w:rsidRDefault="00551CE7" w:rsidP="003B0E2D">
            <w:pPr>
              <w:rPr>
                <w:b/>
                <w:sz w:val="24"/>
              </w:rPr>
            </w:pPr>
            <w:r w:rsidRPr="0064292E">
              <w:rPr>
                <w:b/>
                <w:sz w:val="24"/>
              </w:rPr>
              <w:t xml:space="preserve">Average Burden hours per Response </w:t>
            </w:r>
          </w:p>
        </w:tc>
        <w:tc>
          <w:tcPr>
            <w:tcW w:w="1520" w:type="dxa"/>
          </w:tcPr>
          <w:p w:rsidR="00551CE7" w:rsidRPr="0064292E" w:rsidRDefault="00551CE7" w:rsidP="003B0E2D">
            <w:pPr>
              <w:rPr>
                <w:b/>
                <w:sz w:val="24"/>
              </w:rPr>
            </w:pPr>
            <w:r w:rsidRPr="0064292E">
              <w:rPr>
                <w:b/>
                <w:sz w:val="24"/>
              </w:rPr>
              <w:t xml:space="preserve">Total Burden Hours </w:t>
            </w:r>
          </w:p>
        </w:tc>
      </w:tr>
      <w:tr w:rsidR="00551CE7" w:rsidRPr="004D467D" w:rsidTr="003B0E2D">
        <w:trPr>
          <w:trHeight w:val="285"/>
        </w:trPr>
        <w:tc>
          <w:tcPr>
            <w:tcW w:w="1724" w:type="dxa"/>
          </w:tcPr>
          <w:p w:rsidR="00551CE7" w:rsidRPr="004D467D" w:rsidRDefault="00551CE7" w:rsidP="003B0E2D">
            <w:pPr>
              <w:rPr>
                <w:sz w:val="24"/>
              </w:rPr>
            </w:pPr>
            <w:r>
              <w:rPr>
                <w:sz w:val="24"/>
              </w:rPr>
              <w:t xml:space="preserve">Complete &amp; Submit Form </w:t>
            </w:r>
          </w:p>
        </w:tc>
        <w:tc>
          <w:tcPr>
            <w:tcW w:w="1578" w:type="dxa"/>
          </w:tcPr>
          <w:p w:rsidR="00551CE7" w:rsidRPr="004D467D" w:rsidRDefault="00551CE7" w:rsidP="003B0E2D">
            <w:pPr>
              <w:rPr>
                <w:sz w:val="24"/>
              </w:rPr>
            </w:pPr>
            <w:r>
              <w:rPr>
                <w:sz w:val="24"/>
              </w:rPr>
              <w:t>Individual</w:t>
            </w:r>
          </w:p>
        </w:tc>
        <w:tc>
          <w:tcPr>
            <w:tcW w:w="1523" w:type="dxa"/>
          </w:tcPr>
          <w:p w:rsidR="00551CE7" w:rsidRPr="004D467D" w:rsidRDefault="009559F6" w:rsidP="003B0E2D">
            <w:pPr>
              <w:rPr>
                <w:sz w:val="24"/>
              </w:rPr>
            </w:pPr>
            <w:r>
              <w:rPr>
                <w:sz w:val="24"/>
              </w:rPr>
              <w:t>2,100</w:t>
            </w:r>
          </w:p>
        </w:tc>
        <w:tc>
          <w:tcPr>
            <w:tcW w:w="1681" w:type="dxa"/>
          </w:tcPr>
          <w:p w:rsidR="00551CE7" w:rsidRPr="004D467D" w:rsidRDefault="00551CE7" w:rsidP="003B0E2D">
            <w:pPr>
              <w:rPr>
                <w:sz w:val="24"/>
              </w:rPr>
            </w:pPr>
            <w:r>
              <w:rPr>
                <w:sz w:val="24"/>
              </w:rPr>
              <w:t>1</w:t>
            </w:r>
          </w:p>
        </w:tc>
        <w:tc>
          <w:tcPr>
            <w:tcW w:w="1550" w:type="dxa"/>
          </w:tcPr>
          <w:p w:rsidR="00551CE7" w:rsidRPr="004D467D" w:rsidRDefault="00551CE7" w:rsidP="003B0E2D">
            <w:pPr>
              <w:rPr>
                <w:sz w:val="24"/>
              </w:rPr>
            </w:pPr>
            <w:r>
              <w:rPr>
                <w:sz w:val="24"/>
              </w:rPr>
              <w:t xml:space="preserve"> .25</w:t>
            </w:r>
          </w:p>
        </w:tc>
        <w:tc>
          <w:tcPr>
            <w:tcW w:w="1520" w:type="dxa"/>
            <w:vAlign w:val="bottom"/>
          </w:tcPr>
          <w:p w:rsidR="00551CE7" w:rsidRPr="00B81DA7" w:rsidRDefault="009559F6" w:rsidP="003B0E2D">
            <w:pPr>
              <w:jc w:val="right"/>
              <w:rPr>
                <w:color w:val="000000"/>
                <w:sz w:val="24"/>
              </w:rPr>
            </w:pPr>
            <w:r>
              <w:rPr>
                <w:color w:val="000000"/>
                <w:sz w:val="24"/>
              </w:rPr>
              <w:t>525</w:t>
            </w:r>
          </w:p>
        </w:tc>
      </w:tr>
      <w:tr w:rsidR="00551CE7" w:rsidRPr="004D467D" w:rsidTr="003B0E2D">
        <w:trPr>
          <w:trHeight w:val="285"/>
        </w:trPr>
        <w:tc>
          <w:tcPr>
            <w:tcW w:w="1724" w:type="dxa"/>
          </w:tcPr>
          <w:p w:rsidR="00551CE7" w:rsidRPr="004D467D" w:rsidRDefault="00551CE7" w:rsidP="003B0E2D">
            <w:pPr>
              <w:rPr>
                <w:sz w:val="24"/>
              </w:rPr>
            </w:pPr>
            <w:r w:rsidRPr="004D467D">
              <w:rPr>
                <w:sz w:val="24"/>
              </w:rPr>
              <w:t>Total</w:t>
            </w:r>
          </w:p>
        </w:tc>
        <w:tc>
          <w:tcPr>
            <w:tcW w:w="1578" w:type="dxa"/>
          </w:tcPr>
          <w:p w:rsidR="00551CE7" w:rsidRPr="004D467D" w:rsidRDefault="00551CE7" w:rsidP="003B0E2D">
            <w:pPr>
              <w:rPr>
                <w:sz w:val="24"/>
              </w:rPr>
            </w:pPr>
          </w:p>
        </w:tc>
        <w:tc>
          <w:tcPr>
            <w:tcW w:w="1523" w:type="dxa"/>
          </w:tcPr>
          <w:p w:rsidR="00551CE7" w:rsidRPr="004D467D" w:rsidRDefault="00551CE7" w:rsidP="003B0E2D">
            <w:pPr>
              <w:rPr>
                <w:sz w:val="24"/>
              </w:rPr>
            </w:pPr>
          </w:p>
        </w:tc>
        <w:tc>
          <w:tcPr>
            <w:tcW w:w="1681" w:type="dxa"/>
          </w:tcPr>
          <w:p w:rsidR="00551CE7" w:rsidRPr="004D467D" w:rsidRDefault="00551CE7" w:rsidP="003B0E2D">
            <w:pPr>
              <w:rPr>
                <w:sz w:val="24"/>
              </w:rPr>
            </w:pPr>
          </w:p>
        </w:tc>
        <w:tc>
          <w:tcPr>
            <w:tcW w:w="1550" w:type="dxa"/>
          </w:tcPr>
          <w:p w:rsidR="00551CE7" w:rsidRPr="004D467D" w:rsidRDefault="00551CE7" w:rsidP="003B0E2D">
            <w:pPr>
              <w:rPr>
                <w:sz w:val="24"/>
              </w:rPr>
            </w:pPr>
            <w:r>
              <w:rPr>
                <w:sz w:val="24"/>
              </w:rPr>
              <w:t>.25</w:t>
            </w:r>
          </w:p>
        </w:tc>
        <w:tc>
          <w:tcPr>
            <w:tcW w:w="1520" w:type="dxa"/>
            <w:vAlign w:val="bottom"/>
          </w:tcPr>
          <w:p w:rsidR="00551CE7" w:rsidRPr="00B81DA7" w:rsidRDefault="009559F6" w:rsidP="003B0E2D">
            <w:pPr>
              <w:jc w:val="right"/>
              <w:rPr>
                <w:color w:val="000000"/>
                <w:sz w:val="24"/>
              </w:rPr>
            </w:pPr>
            <w:r>
              <w:rPr>
                <w:color w:val="000000"/>
                <w:sz w:val="24"/>
              </w:rPr>
              <w:t>525</w:t>
            </w:r>
            <w:r w:rsidR="00551CE7">
              <w:rPr>
                <w:color w:val="000000"/>
                <w:sz w:val="24"/>
              </w:rPr>
              <w:t xml:space="preserve"> </w:t>
            </w:r>
          </w:p>
        </w:tc>
      </w:tr>
    </w:tbl>
    <w:p w:rsidR="00551CE7" w:rsidRDefault="00551CE7" w:rsidP="00F159EA">
      <w:pPr>
        <w:widowControl/>
        <w:ind w:left="1440"/>
        <w:rPr>
          <w:b/>
          <w:sz w:val="24"/>
        </w:rPr>
      </w:pPr>
    </w:p>
    <w:p w:rsidR="00F159EA" w:rsidRPr="00F159EA" w:rsidRDefault="00F159EA" w:rsidP="00F159EA">
      <w:pPr>
        <w:widowControl/>
        <w:ind w:left="1440"/>
        <w:rPr>
          <w:b/>
          <w:sz w:val="24"/>
        </w:rPr>
      </w:pPr>
      <w:r w:rsidRPr="00F159EA">
        <w:rPr>
          <w:b/>
          <w:sz w:val="24"/>
        </w:rPr>
        <w:t xml:space="preserve">12B. Cost Estimate for All Respondents Completing the </w:t>
      </w:r>
      <w:r w:rsidR="00F35723">
        <w:rPr>
          <w:b/>
          <w:sz w:val="24"/>
        </w:rPr>
        <w:t xml:space="preserve">Letter of Intent and Contact Information </w:t>
      </w:r>
      <w:r w:rsidR="00F35723" w:rsidRPr="00F159EA">
        <w:rPr>
          <w:b/>
          <w:sz w:val="24"/>
        </w:rPr>
        <w:t xml:space="preserve">  </w:t>
      </w:r>
    </w:p>
    <w:p w:rsidR="00F159EA" w:rsidRDefault="00F159EA" w:rsidP="00F159EA">
      <w:pPr>
        <w:widowControl/>
        <w:ind w:left="1440"/>
        <w:rPr>
          <w:szCs w:val="20"/>
        </w:rPr>
      </w:pPr>
    </w:p>
    <w:p w:rsidR="00E9432F" w:rsidRPr="00E9432F" w:rsidRDefault="00E9432F" w:rsidP="00E9432F">
      <w:pPr>
        <w:rPr>
          <w:bCs/>
          <w:iCs/>
          <w:sz w:val="24"/>
        </w:rPr>
      </w:pPr>
      <w:r w:rsidRPr="00E9432F">
        <w:rPr>
          <w:bCs/>
          <w:iCs/>
          <w:sz w:val="24"/>
        </w:rPr>
        <w:t xml:space="preserve">We have calculated the estimated burden hours associated with complying with this information collection request.  </w:t>
      </w:r>
      <w:r>
        <w:rPr>
          <w:bCs/>
          <w:iCs/>
          <w:sz w:val="24"/>
        </w:rPr>
        <w:t xml:space="preserve"> </w:t>
      </w:r>
      <w:r w:rsidRPr="00E9432F">
        <w:rPr>
          <w:bCs/>
          <w:iCs/>
          <w:sz w:val="24"/>
        </w:rPr>
        <w:t xml:space="preserve">However, we do not believe the respondents will incur any cost burden above </w:t>
      </w:r>
      <w:r w:rsidR="002479AB">
        <w:rPr>
          <w:bCs/>
          <w:iCs/>
          <w:sz w:val="24"/>
        </w:rPr>
        <w:t xml:space="preserve">other than </w:t>
      </w:r>
      <w:r w:rsidRPr="00E9432F">
        <w:rPr>
          <w:bCs/>
          <w:iCs/>
          <w:sz w:val="24"/>
        </w:rPr>
        <w:t xml:space="preserve">that associated with mailing the </w:t>
      </w:r>
      <w:r w:rsidR="002479AB">
        <w:rPr>
          <w:bCs/>
          <w:iCs/>
          <w:sz w:val="24"/>
        </w:rPr>
        <w:t>authorization</w:t>
      </w:r>
      <w:r w:rsidRPr="00E9432F">
        <w:rPr>
          <w:bCs/>
          <w:iCs/>
          <w:sz w:val="24"/>
        </w:rPr>
        <w:t>.  </w:t>
      </w:r>
      <w:r w:rsidR="00FF4DCF">
        <w:rPr>
          <w:bCs/>
          <w:iCs/>
          <w:sz w:val="24"/>
        </w:rPr>
        <w:t xml:space="preserve">There is no cost to PCIP beneficiaries to request, complete, or have the authorization processed by PCIP. </w:t>
      </w:r>
    </w:p>
    <w:p w:rsidR="008D60C0" w:rsidRDefault="008D60C0" w:rsidP="00C909DA">
      <w:pPr>
        <w:rPr>
          <w:b/>
          <w:sz w:val="24"/>
        </w:rPr>
      </w:pPr>
    </w:p>
    <w:p w:rsidR="001B6BFE" w:rsidRPr="009816F9" w:rsidRDefault="002479AB" w:rsidP="009816F9">
      <w:pPr>
        <w:rPr>
          <w:b/>
          <w:sz w:val="24"/>
        </w:rPr>
      </w:pPr>
      <w:r>
        <w:rPr>
          <w:b/>
          <w:sz w:val="24"/>
        </w:rPr>
        <w:t>Authorization</w:t>
      </w:r>
      <w:r w:rsidR="001B6BFE" w:rsidRPr="009816F9">
        <w:rPr>
          <w:b/>
          <w:sz w:val="24"/>
        </w:rPr>
        <w:t xml:space="preserve"> Process</w:t>
      </w:r>
      <w:r>
        <w:rPr>
          <w:b/>
          <w:sz w:val="24"/>
        </w:rPr>
        <w:t xml:space="preserve"> </w:t>
      </w:r>
    </w:p>
    <w:p w:rsidR="006960DD" w:rsidRDefault="006960DD" w:rsidP="009816F9">
      <w:pPr>
        <w:rPr>
          <w:sz w:val="24"/>
        </w:rPr>
      </w:pPr>
      <w:r>
        <w:rPr>
          <w:sz w:val="24"/>
        </w:rPr>
        <w:t xml:space="preserve">In order to complete the authorization, each individual will need to read the authorization, fill out the required information in the authorization form, </w:t>
      </w:r>
      <w:r w:rsidR="00587FB2">
        <w:rPr>
          <w:sz w:val="24"/>
        </w:rPr>
        <w:t xml:space="preserve">make a copy for themselves, </w:t>
      </w:r>
      <w:r>
        <w:rPr>
          <w:sz w:val="24"/>
        </w:rPr>
        <w:t xml:space="preserve">and submit the completed authorization to </w:t>
      </w:r>
      <w:r w:rsidR="00587FB2">
        <w:rPr>
          <w:sz w:val="24"/>
        </w:rPr>
        <w:t>the PCIP benefits administrator</w:t>
      </w:r>
      <w:r>
        <w:rPr>
          <w:sz w:val="24"/>
        </w:rPr>
        <w:t xml:space="preserve">.  This burden estimate encompasses the entire process of filling out the authorization which includes completing the individual’s name, PCIP account number, date of birth, what personal health information they agree to share, the length of time the individual agrees their personal health information can be shared, the names and addresses of the third party the individual wants PCIP to share their personal health information with, and an attestation that the individual is giving PCIP permission to share their personal health information with the third party listed in the form.  The completed authorization must be submitted to CMS, either by fax, United States mail or electronically.  </w:t>
      </w:r>
    </w:p>
    <w:p w:rsidR="006960DD" w:rsidRDefault="006960DD" w:rsidP="009816F9">
      <w:pPr>
        <w:rPr>
          <w:sz w:val="24"/>
        </w:rPr>
      </w:pPr>
    </w:p>
    <w:p w:rsidR="002479AB" w:rsidRDefault="006960DD" w:rsidP="009816F9">
      <w:pPr>
        <w:rPr>
          <w:sz w:val="24"/>
        </w:rPr>
      </w:pPr>
      <w:r>
        <w:rPr>
          <w:sz w:val="24"/>
        </w:rPr>
        <w:t xml:space="preserve">We estimate that it will take approximately </w:t>
      </w:r>
      <w:r w:rsidR="002479AB">
        <w:rPr>
          <w:sz w:val="24"/>
        </w:rPr>
        <w:t xml:space="preserve">15 minutes for a beneficiary to </w:t>
      </w:r>
      <w:r>
        <w:rPr>
          <w:sz w:val="24"/>
        </w:rPr>
        <w:t xml:space="preserve">read, </w:t>
      </w:r>
      <w:r w:rsidR="002479AB">
        <w:rPr>
          <w:sz w:val="24"/>
        </w:rPr>
        <w:t>complete</w:t>
      </w:r>
      <w:r>
        <w:rPr>
          <w:sz w:val="24"/>
        </w:rPr>
        <w:t>, and submit</w:t>
      </w:r>
      <w:r w:rsidR="002479AB">
        <w:rPr>
          <w:sz w:val="24"/>
        </w:rPr>
        <w:t xml:space="preserve"> the authorization form</w:t>
      </w:r>
      <w:r>
        <w:rPr>
          <w:sz w:val="24"/>
        </w:rPr>
        <w:t xml:space="preserve"> to </w:t>
      </w:r>
      <w:r w:rsidR="00587FB2">
        <w:rPr>
          <w:sz w:val="24"/>
        </w:rPr>
        <w:t>the PCIP benefits administrator</w:t>
      </w:r>
      <w:r w:rsidR="002479AB">
        <w:rPr>
          <w:sz w:val="24"/>
        </w:rPr>
        <w:t xml:space="preserve">.  </w:t>
      </w:r>
    </w:p>
    <w:p w:rsidR="00FF4DCF" w:rsidRDefault="00FF4DCF" w:rsidP="009816F9">
      <w:pPr>
        <w:rPr>
          <w:sz w:val="24"/>
        </w:rPr>
      </w:pPr>
    </w:p>
    <w:p w:rsidR="001B6BFE" w:rsidRPr="009816F9" w:rsidRDefault="007713DB" w:rsidP="009816F9">
      <w:pPr>
        <w:rPr>
          <w:sz w:val="24"/>
        </w:rPr>
      </w:pPr>
      <w:r w:rsidRPr="009816F9">
        <w:rPr>
          <w:sz w:val="24"/>
        </w:rPr>
        <w:t xml:space="preserve">It is estimated that up to </w:t>
      </w:r>
      <w:r w:rsidR="002479AB">
        <w:rPr>
          <w:sz w:val="24"/>
        </w:rPr>
        <w:t>2,100</w:t>
      </w:r>
      <w:r w:rsidRPr="009816F9">
        <w:rPr>
          <w:sz w:val="24"/>
        </w:rPr>
        <w:t xml:space="preserve"> respondents will submit an </w:t>
      </w:r>
      <w:r w:rsidR="002479AB">
        <w:rPr>
          <w:sz w:val="24"/>
        </w:rPr>
        <w:t>authorization</w:t>
      </w:r>
      <w:r w:rsidRPr="009816F9">
        <w:rPr>
          <w:sz w:val="24"/>
        </w:rPr>
        <w:t xml:space="preserve">. </w:t>
      </w:r>
    </w:p>
    <w:p w:rsidR="00146780" w:rsidRPr="00CF1620" w:rsidRDefault="00146780">
      <w:pPr>
        <w:numPr>
          <w:ilvl w:val="0"/>
          <w:numId w:val="1"/>
        </w:numPr>
        <w:rPr>
          <w:b/>
          <w:sz w:val="24"/>
        </w:rPr>
      </w:pPr>
      <w:r>
        <w:rPr>
          <w:b/>
          <w:sz w:val="24"/>
          <w:u w:val="single"/>
        </w:rPr>
        <w:lastRenderedPageBreak/>
        <w:t xml:space="preserve">Estimates of other Total Annual Cost Burden to Respondents or </w:t>
      </w:r>
      <w:r w:rsidR="003E3F6F">
        <w:rPr>
          <w:b/>
          <w:sz w:val="24"/>
          <w:u w:val="single"/>
        </w:rPr>
        <w:t xml:space="preserve">Record Keepers </w:t>
      </w:r>
      <w:r>
        <w:rPr>
          <w:b/>
          <w:sz w:val="24"/>
          <w:u w:val="single"/>
        </w:rPr>
        <w:t>/Capital Costs</w:t>
      </w:r>
    </w:p>
    <w:p w:rsidR="001C6FFB" w:rsidRDefault="001C6FFB" w:rsidP="001C6FFB">
      <w:pPr>
        <w:rPr>
          <w:b/>
          <w:sz w:val="24"/>
        </w:rPr>
      </w:pPr>
    </w:p>
    <w:p w:rsidR="00146780" w:rsidRDefault="00CF1620" w:rsidP="00B1089D">
      <w:pPr>
        <w:ind w:left="360"/>
        <w:rPr>
          <w:sz w:val="24"/>
        </w:rPr>
      </w:pPr>
      <w:r w:rsidRPr="001C6FFB">
        <w:rPr>
          <w:sz w:val="24"/>
        </w:rPr>
        <w:t>There are no additional record</w:t>
      </w:r>
      <w:r w:rsidR="003E3F6F">
        <w:rPr>
          <w:sz w:val="24"/>
        </w:rPr>
        <w:t xml:space="preserve"> </w:t>
      </w:r>
      <w:r w:rsidRPr="001C6FFB">
        <w:rPr>
          <w:sz w:val="24"/>
        </w:rPr>
        <w:t>keeping/capital costs</w:t>
      </w:r>
      <w:r w:rsidR="003E3F6F">
        <w:rPr>
          <w:sz w:val="24"/>
        </w:rPr>
        <w:t>.</w:t>
      </w:r>
      <w:r w:rsidRPr="001C6FFB">
        <w:rPr>
          <w:sz w:val="24"/>
        </w:rPr>
        <w:t xml:space="preserve"> </w:t>
      </w:r>
    </w:p>
    <w:p w:rsidR="00070BAC" w:rsidRPr="001C6FFB" w:rsidRDefault="00070BAC" w:rsidP="00B1089D">
      <w:pPr>
        <w:ind w:left="360"/>
        <w:rPr>
          <w:sz w:val="24"/>
        </w:rPr>
      </w:pPr>
    </w:p>
    <w:p w:rsidR="00146780" w:rsidRDefault="00146780">
      <w:pPr>
        <w:numPr>
          <w:ilvl w:val="0"/>
          <w:numId w:val="1"/>
        </w:numPr>
        <w:rPr>
          <w:b/>
          <w:sz w:val="24"/>
        </w:rPr>
      </w:pPr>
      <w:r>
        <w:rPr>
          <w:b/>
          <w:sz w:val="24"/>
          <w:u w:val="single"/>
        </w:rPr>
        <w:t>Annualized Cost to Federal Government</w:t>
      </w:r>
    </w:p>
    <w:p w:rsidR="00146780" w:rsidRDefault="00146780">
      <w:pPr>
        <w:ind w:left="720"/>
        <w:rPr>
          <w:sz w:val="24"/>
        </w:rPr>
      </w:pPr>
    </w:p>
    <w:p w:rsidR="000D118E" w:rsidRDefault="00881C8B" w:rsidP="00B1089D">
      <w:pPr>
        <w:ind w:left="360"/>
        <w:rPr>
          <w:sz w:val="24"/>
        </w:rPr>
      </w:pPr>
      <w:r>
        <w:rPr>
          <w:sz w:val="24"/>
        </w:rPr>
        <w:t xml:space="preserve">This is the cost to government to review the program. </w:t>
      </w:r>
    </w:p>
    <w:tbl>
      <w:tblPr>
        <w:tblpPr w:leftFromText="180" w:rightFromText="180" w:vertAnchor="text" w:horzAnchor="page" w:tblpX="1921" w:tblpY="136"/>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rsidR="003E3F6F" w:rsidRPr="004D467D">
        <w:tc>
          <w:tcPr>
            <w:tcW w:w="1430" w:type="dxa"/>
          </w:tcPr>
          <w:p w:rsidR="003E3F6F" w:rsidRPr="004D467D" w:rsidRDefault="003E3F6F" w:rsidP="003E3F6F">
            <w:pPr>
              <w:widowControl/>
              <w:rPr>
                <w:sz w:val="24"/>
              </w:rPr>
            </w:pPr>
            <w:r w:rsidRPr="004D467D">
              <w:rPr>
                <w:b/>
                <w:bCs/>
                <w:sz w:val="24"/>
              </w:rPr>
              <w:t>Type Federal employee support</w:t>
            </w:r>
          </w:p>
          <w:p w:rsidR="003E3F6F" w:rsidRPr="004D467D" w:rsidRDefault="003E3F6F" w:rsidP="003E3F6F">
            <w:pPr>
              <w:widowControl/>
              <w:rPr>
                <w:b/>
                <w:bCs/>
                <w:sz w:val="24"/>
              </w:rPr>
            </w:pPr>
          </w:p>
        </w:tc>
        <w:tc>
          <w:tcPr>
            <w:tcW w:w="1330" w:type="dxa"/>
          </w:tcPr>
          <w:p w:rsidR="003E3F6F" w:rsidRPr="004D467D" w:rsidRDefault="003E3F6F" w:rsidP="003E3F6F">
            <w:pPr>
              <w:widowControl/>
              <w:rPr>
                <w:b/>
                <w:bCs/>
                <w:sz w:val="24"/>
              </w:rPr>
            </w:pPr>
            <w:r w:rsidRPr="004D467D">
              <w:rPr>
                <w:b/>
                <w:bCs/>
                <w:sz w:val="24"/>
              </w:rPr>
              <w:t>Total Burden</w:t>
            </w:r>
          </w:p>
          <w:p w:rsidR="003E3F6F" w:rsidRPr="004D467D" w:rsidRDefault="003E3F6F" w:rsidP="003E3F6F">
            <w:pPr>
              <w:widowControl/>
              <w:rPr>
                <w:sz w:val="24"/>
              </w:rPr>
            </w:pPr>
            <w:r w:rsidRPr="004D467D">
              <w:rPr>
                <w:b/>
                <w:bCs/>
                <w:sz w:val="24"/>
              </w:rPr>
              <w:t>Hours</w:t>
            </w:r>
          </w:p>
          <w:p w:rsidR="003E3F6F" w:rsidRPr="004D467D" w:rsidRDefault="003E3F6F" w:rsidP="003E3F6F">
            <w:pPr>
              <w:widowControl/>
              <w:rPr>
                <w:b/>
                <w:bCs/>
                <w:sz w:val="24"/>
              </w:rPr>
            </w:pPr>
          </w:p>
        </w:tc>
        <w:tc>
          <w:tcPr>
            <w:tcW w:w="1429" w:type="dxa"/>
          </w:tcPr>
          <w:p w:rsidR="003E3F6F" w:rsidRPr="004D467D" w:rsidRDefault="003E3F6F" w:rsidP="003E3F6F">
            <w:pPr>
              <w:widowControl/>
              <w:rPr>
                <w:b/>
                <w:bCs/>
                <w:sz w:val="24"/>
              </w:rPr>
            </w:pPr>
            <w:r w:rsidRPr="004D467D">
              <w:rPr>
                <w:b/>
                <w:bCs/>
                <w:sz w:val="24"/>
              </w:rPr>
              <w:t>Hourly</w:t>
            </w:r>
          </w:p>
          <w:p w:rsidR="003E3F6F" w:rsidRPr="004D467D" w:rsidRDefault="003E3F6F" w:rsidP="003E3F6F">
            <w:pPr>
              <w:widowControl/>
              <w:rPr>
                <w:sz w:val="24"/>
              </w:rPr>
            </w:pPr>
            <w:r w:rsidRPr="004D467D">
              <w:rPr>
                <w:b/>
                <w:bCs/>
                <w:sz w:val="24"/>
              </w:rPr>
              <w:t xml:space="preserve">Wage Rate (GS </w:t>
            </w:r>
            <w:r w:rsidR="00B138BC">
              <w:rPr>
                <w:b/>
                <w:bCs/>
                <w:sz w:val="24"/>
              </w:rPr>
              <w:t xml:space="preserve">7 </w:t>
            </w:r>
            <w:r>
              <w:rPr>
                <w:b/>
                <w:bCs/>
                <w:sz w:val="24"/>
              </w:rPr>
              <w:t>equivalent</w:t>
            </w:r>
            <w:r w:rsidRPr="004D467D">
              <w:rPr>
                <w:b/>
                <w:bCs/>
                <w:sz w:val="24"/>
              </w:rPr>
              <w:t>)</w:t>
            </w:r>
          </w:p>
          <w:p w:rsidR="003E3F6F" w:rsidRPr="004D467D" w:rsidRDefault="003E3F6F" w:rsidP="003E3F6F">
            <w:pPr>
              <w:widowControl/>
              <w:rPr>
                <w:b/>
                <w:bCs/>
                <w:sz w:val="24"/>
              </w:rPr>
            </w:pPr>
          </w:p>
        </w:tc>
        <w:tc>
          <w:tcPr>
            <w:tcW w:w="1776" w:type="dxa"/>
          </w:tcPr>
          <w:p w:rsidR="003E3F6F" w:rsidRPr="004D467D" w:rsidRDefault="003E3F6F" w:rsidP="003E3F6F">
            <w:pPr>
              <w:widowControl/>
              <w:rPr>
                <w:b/>
                <w:bCs/>
                <w:sz w:val="24"/>
              </w:rPr>
            </w:pPr>
            <w:r w:rsidRPr="004D467D">
              <w:rPr>
                <w:b/>
                <w:bCs/>
                <w:sz w:val="24"/>
              </w:rPr>
              <w:t>Total Federal</w:t>
            </w:r>
          </w:p>
          <w:p w:rsidR="003E3F6F" w:rsidRPr="004D467D" w:rsidRDefault="003E3F6F" w:rsidP="003E3F6F">
            <w:pPr>
              <w:widowControl/>
              <w:rPr>
                <w:sz w:val="24"/>
              </w:rPr>
            </w:pPr>
            <w:r w:rsidRPr="004D467D">
              <w:rPr>
                <w:b/>
                <w:bCs/>
                <w:sz w:val="24"/>
              </w:rPr>
              <w:t>Government Costs</w:t>
            </w:r>
          </w:p>
          <w:p w:rsidR="003E3F6F" w:rsidRPr="004D467D" w:rsidRDefault="003E3F6F" w:rsidP="003E3F6F">
            <w:pPr>
              <w:widowControl/>
              <w:rPr>
                <w:b/>
                <w:bCs/>
                <w:sz w:val="24"/>
              </w:rPr>
            </w:pPr>
          </w:p>
        </w:tc>
      </w:tr>
      <w:tr w:rsidR="003E3F6F" w:rsidRPr="004D467D">
        <w:tc>
          <w:tcPr>
            <w:tcW w:w="1430" w:type="dxa"/>
          </w:tcPr>
          <w:p w:rsidR="003E3F6F" w:rsidRPr="004D467D" w:rsidRDefault="003E3F6F" w:rsidP="003E3F6F">
            <w:pPr>
              <w:rPr>
                <w:sz w:val="24"/>
              </w:rPr>
            </w:pPr>
            <w:r w:rsidRPr="004D467D">
              <w:rPr>
                <w:sz w:val="24"/>
              </w:rPr>
              <w:t xml:space="preserve">First level reviewer </w:t>
            </w:r>
          </w:p>
        </w:tc>
        <w:tc>
          <w:tcPr>
            <w:tcW w:w="1330" w:type="dxa"/>
          </w:tcPr>
          <w:p w:rsidR="003E3F6F" w:rsidRPr="004D467D" w:rsidRDefault="00CA0FB4" w:rsidP="003E3F6F">
            <w:pPr>
              <w:rPr>
                <w:sz w:val="24"/>
              </w:rPr>
            </w:pPr>
            <w:r>
              <w:rPr>
                <w:sz w:val="24"/>
              </w:rPr>
              <w:t>1</w:t>
            </w:r>
          </w:p>
        </w:tc>
        <w:tc>
          <w:tcPr>
            <w:tcW w:w="1429" w:type="dxa"/>
          </w:tcPr>
          <w:p w:rsidR="003E3F6F" w:rsidRDefault="003E3F6F" w:rsidP="00CA0FB4">
            <w:pPr>
              <w:jc w:val="right"/>
              <w:rPr>
                <w:sz w:val="24"/>
              </w:rPr>
            </w:pPr>
            <w:r w:rsidRPr="004D467D">
              <w:rPr>
                <w:sz w:val="24"/>
              </w:rPr>
              <w:t>$</w:t>
            </w:r>
            <w:r w:rsidR="00CA0FB4">
              <w:rPr>
                <w:sz w:val="24"/>
              </w:rPr>
              <w:t>20.22</w:t>
            </w:r>
          </w:p>
          <w:p w:rsidR="00B138BC" w:rsidRPr="004D467D" w:rsidRDefault="00B138BC" w:rsidP="00CA0FB4">
            <w:pPr>
              <w:jc w:val="right"/>
              <w:rPr>
                <w:sz w:val="24"/>
              </w:rPr>
            </w:pPr>
          </w:p>
        </w:tc>
        <w:tc>
          <w:tcPr>
            <w:tcW w:w="1776" w:type="dxa"/>
          </w:tcPr>
          <w:p w:rsidR="003E3F6F" w:rsidRPr="004D467D" w:rsidRDefault="003E3F6F" w:rsidP="00CA0FB4">
            <w:pPr>
              <w:jc w:val="right"/>
              <w:rPr>
                <w:sz w:val="24"/>
              </w:rPr>
            </w:pPr>
            <w:r>
              <w:rPr>
                <w:sz w:val="24"/>
              </w:rPr>
              <w:t>$</w:t>
            </w:r>
            <w:r w:rsidR="00CA0FB4">
              <w:rPr>
                <w:sz w:val="24"/>
              </w:rPr>
              <w:t>20.22</w:t>
            </w:r>
          </w:p>
        </w:tc>
      </w:tr>
      <w:tr w:rsidR="003E3F6F" w:rsidRPr="004D467D">
        <w:trPr>
          <w:trHeight w:val="440"/>
        </w:trPr>
        <w:tc>
          <w:tcPr>
            <w:tcW w:w="1430" w:type="dxa"/>
          </w:tcPr>
          <w:p w:rsidR="003E3F6F" w:rsidRPr="004D467D" w:rsidRDefault="003E3F6F" w:rsidP="003E3F6F">
            <w:pPr>
              <w:widowControl/>
              <w:rPr>
                <w:sz w:val="24"/>
              </w:rPr>
            </w:pPr>
            <w:r w:rsidRPr="004D467D">
              <w:rPr>
                <w:sz w:val="24"/>
              </w:rPr>
              <w:t>Total</w:t>
            </w:r>
          </w:p>
        </w:tc>
        <w:tc>
          <w:tcPr>
            <w:tcW w:w="1330" w:type="dxa"/>
          </w:tcPr>
          <w:p w:rsidR="003E3F6F" w:rsidRPr="004D467D" w:rsidRDefault="00CA0FB4" w:rsidP="003E3F6F">
            <w:pPr>
              <w:widowControl/>
              <w:rPr>
                <w:sz w:val="24"/>
              </w:rPr>
            </w:pPr>
            <w:r>
              <w:rPr>
                <w:sz w:val="24"/>
              </w:rPr>
              <w:t>1</w:t>
            </w:r>
          </w:p>
        </w:tc>
        <w:tc>
          <w:tcPr>
            <w:tcW w:w="1429" w:type="dxa"/>
          </w:tcPr>
          <w:p w:rsidR="003E3F6F" w:rsidRPr="004D467D" w:rsidRDefault="003E3F6F" w:rsidP="003E3F6F">
            <w:pPr>
              <w:widowControl/>
              <w:jc w:val="right"/>
              <w:rPr>
                <w:sz w:val="24"/>
              </w:rPr>
            </w:pPr>
          </w:p>
        </w:tc>
        <w:tc>
          <w:tcPr>
            <w:tcW w:w="1776" w:type="dxa"/>
          </w:tcPr>
          <w:p w:rsidR="003E3F6F" w:rsidRPr="004D467D" w:rsidRDefault="003E3F6F" w:rsidP="00CA0FB4">
            <w:pPr>
              <w:widowControl/>
              <w:jc w:val="right"/>
              <w:rPr>
                <w:sz w:val="24"/>
              </w:rPr>
            </w:pPr>
            <w:r>
              <w:rPr>
                <w:sz w:val="24"/>
              </w:rPr>
              <w:t>$</w:t>
            </w:r>
            <w:r w:rsidR="00CA0FB4">
              <w:rPr>
                <w:sz w:val="24"/>
              </w:rPr>
              <w:t>20.22</w:t>
            </w:r>
          </w:p>
        </w:tc>
      </w:tr>
    </w:tbl>
    <w:p w:rsidR="000D118E" w:rsidRDefault="000D118E">
      <w:pPr>
        <w:ind w:left="720"/>
        <w:rPr>
          <w:sz w:val="24"/>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1C6FFB" w:rsidRDefault="00622699" w:rsidP="003E3F6F">
      <w:pPr>
        <w:pStyle w:val="BodyTextIndent"/>
        <w:ind w:left="0" w:firstLine="360"/>
        <w:rPr>
          <w:rFonts w:ascii="Times New Roman" w:hAnsi="Times New Roman"/>
        </w:rPr>
      </w:pPr>
      <w:r>
        <w:rPr>
          <w:rFonts w:ascii="Times New Roman" w:hAnsi="Times New Roman"/>
        </w:rPr>
        <w:t xml:space="preserve">Salaries are based on a </w:t>
      </w:r>
      <w:r w:rsidR="006E6F3B">
        <w:rPr>
          <w:rFonts w:ascii="Times New Roman" w:hAnsi="Times New Roman"/>
        </w:rPr>
        <w:t xml:space="preserve">7 </w:t>
      </w:r>
      <w:r>
        <w:rPr>
          <w:rFonts w:ascii="Times New Roman" w:hAnsi="Times New Roman"/>
        </w:rPr>
        <w:t xml:space="preserve">Grade/Step </w:t>
      </w:r>
      <w:r w:rsidR="003E3F6F">
        <w:rPr>
          <w:rFonts w:ascii="Times New Roman" w:hAnsi="Times New Roman"/>
        </w:rPr>
        <w:t>1</w:t>
      </w:r>
      <w:r>
        <w:rPr>
          <w:rFonts w:ascii="Times New Roman" w:hAnsi="Times New Roman"/>
        </w:rPr>
        <w:t xml:space="preserve"> in Washington DC area. </w:t>
      </w:r>
    </w:p>
    <w:p w:rsidR="00F61BC0" w:rsidRDefault="00F61BC0" w:rsidP="003E3F6F">
      <w:pPr>
        <w:pStyle w:val="BodyTextIndent"/>
        <w:ind w:left="0" w:firstLine="360"/>
        <w:rPr>
          <w:rFonts w:ascii="Times New Roman" w:hAnsi="Times New Roman"/>
        </w:rPr>
      </w:pPr>
    </w:p>
    <w:p w:rsidR="00146780" w:rsidRDefault="00146780">
      <w:pPr>
        <w:numPr>
          <w:ilvl w:val="0"/>
          <w:numId w:val="1"/>
        </w:numPr>
        <w:rPr>
          <w:b/>
          <w:sz w:val="24"/>
        </w:rPr>
      </w:pPr>
      <w:r>
        <w:rPr>
          <w:b/>
          <w:sz w:val="24"/>
          <w:u w:val="single"/>
        </w:rPr>
        <w:t>Explanation for Program Changes or Adjustments</w:t>
      </w:r>
    </w:p>
    <w:p w:rsidR="00146780" w:rsidRDefault="00146780">
      <w:pPr>
        <w:ind w:left="720"/>
        <w:rPr>
          <w:b/>
          <w:sz w:val="24"/>
        </w:rPr>
      </w:pPr>
    </w:p>
    <w:p w:rsidR="00587FB2" w:rsidRPr="000126EC" w:rsidRDefault="00156FFE" w:rsidP="00587FB2">
      <w:pPr>
        <w:ind w:left="360"/>
        <w:rPr>
          <w:sz w:val="24"/>
        </w:rPr>
      </w:pPr>
      <w:r>
        <w:rPr>
          <w:sz w:val="24"/>
        </w:rPr>
        <w:t>This new data collection is being requested as a result of</w:t>
      </w:r>
      <w:r w:rsidRPr="000126EC">
        <w:rPr>
          <w:sz w:val="24"/>
        </w:rPr>
        <w:t xml:space="preserve"> CMS</w:t>
      </w:r>
      <w:r w:rsidR="00587FB2">
        <w:rPr>
          <w:sz w:val="24"/>
        </w:rPr>
        <w:t>, in its administration of the PCIP program,</w:t>
      </w:r>
      <w:r w:rsidRPr="000126EC">
        <w:rPr>
          <w:sz w:val="24"/>
        </w:rPr>
        <w:t xml:space="preserve"> </w:t>
      </w:r>
      <w:r w:rsidR="00587FB2">
        <w:rPr>
          <w:sz w:val="24"/>
        </w:rPr>
        <w:t>serving as a covered entity under</w:t>
      </w:r>
      <w:r w:rsidRPr="000126EC">
        <w:rPr>
          <w:sz w:val="24"/>
        </w:rPr>
        <w:t xml:space="preserve"> HIPAA.  </w:t>
      </w:r>
      <w:r w:rsidR="00587FB2">
        <w:rPr>
          <w:sz w:val="24"/>
        </w:rPr>
        <w:t>Without a valid authorization</w:t>
      </w:r>
      <w:r w:rsidR="00587FB2" w:rsidRPr="000126EC">
        <w:rPr>
          <w:sz w:val="24"/>
        </w:rPr>
        <w:t xml:space="preserve">, </w:t>
      </w:r>
      <w:r w:rsidR="00587FB2">
        <w:rPr>
          <w:sz w:val="24"/>
        </w:rPr>
        <w:t>the PCIP program is unable to disclose information, with respect to an applicant or enrollee, about the status of an application, enrollment, premium billing or claim, to individuals of the applicant’s or enrollee’s choosing</w:t>
      </w:r>
      <w:r w:rsidR="00587FB2" w:rsidRPr="000126EC">
        <w:rPr>
          <w:sz w:val="24"/>
        </w:rPr>
        <w:t xml:space="preserve">.  The HIPAA Authorization Form </w:t>
      </w:r>
      <w:r w:rsidR="00587FB2">
        <w:rPr>
          <w:sz w:val="24"/>
        </w:rPr>
        <w:t xml:space="preserve">has been modeled after CMS’ Medicare HIPAA Authorization Form (OMB control number 0938-0930) and </w:t>
      </w:r>
      <w:r w:rsidR="00587FB2" w:rsidRPr="000126EC">
        <w:rPr>
          <w:sz w:val="24"/>
        </w:rPr>
        <w:t xml:space="preserve">will be used </w:t>
      </w:r>
      <w:r w:rsidR="00587FB2">
        <w:rPr>
          <w:sz w:val="24"/>
        </w:rPr>
        <w:t>by</w:t>
      </w:r>
      <w:r w:rsidR="00587FB2" w:rsidRPr="000126EC">
        <w:rPr>
          <w:sz w:val="24"/>
        </w:rPr>
        <w:t xml:space="preserve"> applicants or enrollees to designate someone else to </w:t>
      </w:r>
      <w:r w:rsidR="00587FB2">
        <w:rPr>
          <w:sz w:val="24"/>
        </w:rPr>
        <w:t>communicate with</w:t>
      </w:r>
      <w:r w:rsidR="00587FB2" w:rsidRPr="000126EC">
        <w:rPr>
          <w:sz w:val="24"/>
        </w:rPr>
        <w:t xml:space="preserve"> PCIP </w:t>
      </w:r>
      <w:r w:rsidR="00587FB2">
        <w:rPr>
          <w:sz w:val="24"/>
        </w:rPr>
        <w:t xml:space="preserve">about their </w:t>
      </w:r>
      <w:r w:rsidR="00F41C41">
        <w:rPr>
          <w:sz w:val="24"/>
        </w:rPr>
        <w:t>personal health information</w:t>
      </w:r>
      <w:r w:rsidR="00587FB2">
        <w:rPr>
          <w:sz w:val="24"/>
        </w:rPr>
        <w:t>. </w:t>
      </w:r>
    </w:p>
    <w:p w:rsidR="006C618B" w:rsidRDefault="006C618B" w:rsidP="006E6F3B">
      <w:pPr>
        <w:pStyle w:val="BodyTextIndent"/>
        <w:ind w:left="360"/>
        <w:rPr>
          <w:rFonts w:ascii="Times New Roman" w:hAnsi="Times New Roman"/>
        </w:rPr>
      </w:pPr>
    </w:p>
    <w:p w:rsidR="00146780" w:rsidRDefault="00146780">
      <w:pPr>
        <w:numPr>
          <w:ilvl w:val="0"/>
          <w:numId w:val="1"/>
        </w:numPr>
        <w:rPr>
          <w:b/>
          <w:sz w:val="24"/>
        </w:rPr>
      </w:pPr>
      <w:r>
        <w:rPr>
          <w:b/>
          <w:sz w:val="24"/>
          <w:u w:val="single"/>
        </w:rPr>
        <w:t>Plans for Tabulation and Publication and Project Time Schedule</w:t>
      </w:r>
    </w:p>
    <w:p w:rsidR="00146780" w:rsidRDefault="00146780">
      <w:pPr>
        <w:ind w:left="720"/>
        <w:rPr>
          <w:b/>
          <w:sz w:val="24"/>
        </w:rPr>
      </w:pPr>
    </w:p>
    <w:p w:rsidR="000C637D" w:rsidRDefault="006E6F3B" w:rsidP="006E6F3B">
      <w:pPr>
        <w:ind w:left="360"/>
        <w:rPr>
          <w:sz w:val="24"/>
        </w:rPr>
      </w:pPr>
      <w:r>
        <w:rPr>
          <w:sz w:val="24"/>
        </w:rPr>
        <w:t>Data</w:t>
      </w:r>
      <w:r w:rsidR="00CF1620">
        <w:rPr>
          <w:sz w:val="24"/>
        </w:rPr>
        <w:t xml:space="preserve"> collection will begin as soon as clearance is receive</w:t>
      </w:r>
      <w:r w:rsidR="00881C8B">
        <w:rPr>
          <w:sz w:val="24"/>
        </w:rPr>
        <w:t xml:space="preserve">d and will be </w:t>
      </w:r>
      <w:r>
        <w:rPr>
          <w:sz w:val="24"/>
        </w:rPr>
        <w:t>collected daily</w:t>
      </w:r>
      <w:r w:rsidR="00B41761">
        <w:rPr>
          <w:sz w:val="24"/>
        </w:rPr>
        <w:t xml:space="preserve">, </w:t>
      </w:r>
      <w:r w:rsidR="00156FFE">
        <w:rPr>
          <w:sz w:val="24"/>
        </w:rPr>
        <w:t xml:space="preserve">through </w:t>
      </w:r>
      <w:r w:rsidR="00EB7E8A">
        <w:rPr>
          <w:sz w:val="24"/>
        </w:rPr>
        <w:t>2014</w:t>
      </w:r>
      <w:r w:rsidR="00156FFE">
        <w:rPr>
          <w:sz w:val="24"/>
        </w:rPr>
        <w:t>.  While the program terminates January 1, 2014</w:t>
      </w:r>
      <w:r w:rsidR="00B41761">
        <w:rPr>
          <w:sz w:val="24"/>
        </w:rPr>
        <w:t xml:space="preserve"> upon transition to the American Health Benefit Exchanges</w:t>
      </w:r>
      <w:r w:rsidR="00156FFE">
        <w:rPr>
          <w:sz w:val="24"/>
        </w:rPr>
        <w:t>,</w:t>
      </w:r>
      <w:r w:rsidR="00B41761">
        <w:rPr>
          <w:sz w:val="24"/>
        </w:rPr>
        <w:t xml:space="preserve"> </w:t>
      </w:r>
      <w:r w:rsidR="00156FFE">
        <w:rPr>
          <w:sz w:val="24"/>
        </w:rPr>
        <w:t>(</w:t>
      </w:r>
      <w:r w:rsidR="00B41761">
        <w:rPr>
          <w:sz w:val="24"/>
        </w:rPr>
        <w:t>established under sections 1311 or 1321 of the Patient Protection and Affordable Care Act</w:t>
      </w:r>
      <w:r w:rsidR="00156FFE">
        <w:rPr>
          <w:sz w:val="24"/>
        </w:rPr>
        <w:t xml:space="preserve">) it is expected this form could be used through </w:t>
      </w:r>
      <w:r w:rsidR="00EB7E8A">
        <w:rPr>
          <w:sz w:val="24"/>
        </w:rPr>
        <w:t>2014 while program claims incurred in 2013 continue</w:t>
      </w:r>
      <w:r w:rsidR="00156FFE">
        <w:rPr>
          <w:sz w:val="24"/>
        </w:rPr>
        <w:t xml:space="preserve"> to be </w:t>
      </w:r>
      <w:r w:rsidR="00EB7E8A">
        <w:rPr>
          <w:sz w:val="24"/>
        </w:rPr>
        <w:t>adjudicated</w:t>
      </w:r>
      <w:r w:rsidR="00B41761">
        <w:rPr>
          <w:sz w:val="24"/>
        </w:rPr>
        <w:t>.</w:t>
      </w:r>
    </w:p>
    <w:p w:rsidR="00BD7242" w:rsidRDefault="00BD7242" w:rsidP="006E6F3B">
      <w:pPr>
        <w:ind w:left="360"/>
        <w:rPr>
          <w:sz w:val="24"/>
        </w:rPr>
      </w:pPr>
    </w:p>
    <w:p w:rsidR="00146780" w:rsidRDefault="00146780">
      <w:pPr>
        <w:numPr>
          <w:ilvl w:val="0"/>
          <w:numId w:val="1"/>
        </w:numPr>
        <w:rPr>
          <w:b/>
          <w:sz w:val="24"/>
        </w:rPr>
      </w:pPr>
      <w:r>
        <w:rPr>
          <w:b/>
          <w:sz w:val="24"/>
          <w:u w:val="single"/>
        </w:rPr>
        <w:t>Reason(s) Display of OMB Expiration Date is Inappropriate</w:t>
      </w:r>
    </w:p>
    <w:p w:rsidR="001C6FFB" w:rsidRDefault="001C6FFB" w:rsidP="001C6FFB">
      <w:pPr>
        <w:pStyle w:val="BodyTextIndent"/>
        <w:rPr>
          <w:rFonts w:ascii="Times New Roman" w:hAnsi="Times New Roman"/>
        </w:rPr>
      </w:pPr>
    </w:p>
    <w:p w:rsidR="00146780" w:rsidRDefault="00CF1620" w:rsidP="00B1089D">
      <w:pPr>
        <w:pStyle w:val="BodyTextIndent"/>
        <w:ind w:left="360"/>
        <w:rPr>
          <w:rFonts w:ascii="Times New Roman" w:hAnsi="Times New Roman"/>
        </w:rPr>
      </w:pPr>
      <w:r>
        <w:rPr>
          <w:rFonts w:ascii="Times New Roman" w:hAnsi="Times New Roman"/>
        </w:rPr>
        <w:t xml:space="preserve">Not applicable. </w:t>
      </w:r>
    </w:p>
    <w:p w:rsidR="00146780" w:rsidRDefault="00146780">
      <w:pPr>
        <w:ind w:left="360"/>
        <w:rPr>
          <w:sz w:val="24"/>
        </w:rPr>
      </w:pPr>
    </w:p>
    <w:p w:rsidR="00F7705D" w:rsidRDefault="00F7705D">
      <w:pPr>
        <w:ind w:left="360"/>
        <w:rPr>
          <w:sz w:val="24"/>
        </w:rPr>
      </w:pPr>
    </w:p>
    <w:p w:rsidR="00F7705D" w:rsidRDefault="00F7705D">
      <w:pPr>
        <w:ind w:left="360"/>
        <w:rPr>
          <w:sz w:val="24"/>
        </w:rPr>
      </w:pPr>
    </w:p>
    <w:p w:rsidR="00146780" w:rsidRDefault="00146780">
      <w:pPr>
        <w:numPr>
          <w:ilvl w:val="0"/>
          <w:numId w:val="1"/>
        </w:numPr>
        <w:rPr>
          <w:b/>
          <w:sz w:val="24"/>
        </w:rPr>
      </w:pPr>
      <w:r>
        <w:rPr>
          <w:b/>
          <w:sz w:val="24"/>
          <w:u w:val="single"/>
        </w:rPr>
        <w:lastRenderedPageBreak/>
        <w:t>Exceptions to Certification for Paperwork Reduction Act Submissions</w:t>
      </w:r>
    </w:p>
    <w:p w:rsidR="001C6FFB" w:rsidRDefault="001C6FFB" w:rsidP="001C6FFB">
      <w:pPr>
        <w:pStyle w:val="BodyTextIndent"/>
        <w:rPr>
          <w:rFonts w:ascii="Times New Roman" w:hAnsi="Times New Roman"/>
        </w:rPr>
      </w:pPr>
    </w:p>
    <w:p w:rsidR="00146780" w:rsidRDefault="00146780" w:rsidP="00B1089D">
      <w:pPr>
        <w:pStyle w:val="BodyTextIndent"/>
        <w:ind w:left="360"/>
        <w:rPr>
          <w:rFonts w:ascii="Times New Roman" w:hAnsi="Times New Roman"/>
        </w:rPr>
      </w:pPr>
      <w:r>
        <w:rPr>
          <w:rFonts w:ascii="Times New Roman" w:hAnsi="Times New Roman"/>
        </w:rPr>
        <w:t>There are no e</w:t>
      </w:r>
      <w:r w:rsidR="00CF1620">
        <w:rPr>
          <w:rFonts w:ascii="Times New Roman" w:hAnsi="Times New Roman"/>
        </w:rPr>
        <w:t>xceptions to the certification.</w:t>
      </w:r>
    </w:p>
    <w:p w:rsidR="00146780" w:rsidRDefault="00146780">
      <w:pPr>
        <w:rPr>
          <w:sz w:val="24"/>
        </w:rPr>
      </w:pPr>
    </w:p>
    <w:p w:rsidR="00BE6542" w:rsidRDefault="00BE6542" w:rsidP="00BE6542">
      <w:pPr>
        <w:pStyle w:val="Heading1"/>
      </w:pPr>
      <w:r>
        <w:t xml:space="preserve">B.  </w:t>
      </w:r>
      <w:r w:rsidR="00146780">
        <w:t xml:space="preserve">Collection of Information Employing Statistical Methods </w:t>
      </w:r>
    </w:p>
    <w:p w:rsidR="00146780" w:rsidRDefault="00146780" w:rsidP="00CF1620">
      <w:pPr>
        <w:pStyle w:val="Heading1"/>
      </w:pPr>
    </w:p>
    <w:p w:rsidR="00FC5031" w:rsidRDefault="00B635E5">
      <w:pPr>
        <w:rPr>
          <w:sz w:val="24"/>
        </w:rPr>
      </w:pPr>
      <w:r>
        <w:rPr>
          <w:sz w:val="24"/>
        </w:rPr>
        <w:t xml:space="preserve">      </w:t>
      </w:r>
      <w:r w:rsidR="0016014D">
        <w:rPr>
          <w:sz w:val="24"/>
        </w:rPr>
        <w:t>Not applicable</w:t>
      </w:r>
      <w:r w:rsidR="00CF1620" w:rsidRPr="001C6FFB">
        <w:rPr>
          <w:sz w:val="24"/>
        </w:rPr>
        <w:t>.</w:t>
      </w:r>
      <w:r w:rsidR="0016014D">
        <w:rPr>
          <w:sz w:val="24"/>
        </w:rPr>
        <w:t xml:space="preserve">  The information collection does not employ statistical methods.</w:t>
      </w:r>
      <w:r w:rsidR="00CF1620" w:rsidRPr="001C6FFB">
        <w:rPr>
          <w:sz w:val="24"/>
        </w:rPr>
        <w:t xml:space="preserve"> </w:t>
      </w:r>
    </w:p>
    <w:p w:rsidR="00C23A61" w:rsidRDefault="00C23A61">
      <w:pPr>
        <w:rPr>
          <w:sz w:val="24"/>
        </w:rPr>
      </w:pPr>
    </w:p>
    <w:p w:rsidR="00C23A61" w:rsidRDefault="00C23A61"/>
    <w:sectPr w:rsidR="00C23A61" w:rsidSect="009E503E">
      <w:footerReference w:type="default" r:id="rId8"/>
      <w:footnotePr>
        <w:numFmt w:val="lowerRoman"/>
      </w:footnotePr>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03F" w:rsidRDefault="00B1103F">
      <w:r>
        <w:separator/>
      </w:r>
    </w:p>
  </w:endnote>
  <w:endnote w:type="continuationSeparator" w:id="0">
    <w:p w:rsidR="00B1103F" w:rsidRDefault="00B1103F">
      <w:r>
        <w:continuationSeparator/>
      </w:r>
    </w:p>
  </w:endnote>
  <w:endnote w:id="1">
    <w:p w:rsidR="004379DA" w:rsidRDefault="004379DA">
      <w:pPr>
        <w:pStyle w:val="EndnoteText"/>
      </w:pPr>
      <w:r>
        <w:rPr>
          <w:rStyle w:val="EndnoteReference"/>
        </w:rPr>
        <w:endnoteRef/>
      </w:r>
      <w:r>
        <w:t xml:space="preserve"> </w:t>
      </w:r>
      <w:r w:rsidR="00C23A61">
        <w:t xml:space="preserve">This figure is based on internal application statistics.  Applications received do not always equate to an enrollment.  However, because an applicant may submit an authorization this larger figure was used. </w:t>
      </w:r>
    </w:p>
  </w:endnote>
  <w:endnote w:id="2">
    <w:p w:rsidR="004379DA" w:rsidRDefault="004379DA">
      <w:pPr>
        <w:pStyle w:val="EndnoteText"/>
      </w:pPr>
      <w:r>
        <w:rPr>
          <w:rStyle w:val="EndnoteReference"/>
        </w:rPr>
        <w:endnoteRef/>
      </w:r>
      <w:r>
        <w:t xml:space="preserve"> Based on</w:t>
      </w:r>
      <w:r w:rsidR="00C23A61">
        <w:t xml:space="preserve"> Medicare’s</w:t>
      </w:r>
      <w:r>
        <w:t xml:space="preserve"> PRA package </w:t>
      </w:r>
      <w:r w:rsidR="00C23A61">
        <w:t xml:space="preserve">(OMB control number 0938-0930) estimating out of 39 million Medicare beneficiaries that approximately 1 million (or 3%) would submit authorizations.  </w:t>
      </w:r>
    </w:p>
  </w:endnote>
  <w:endnote w:id="3">
    <w:p w:rsidR="00654B44" w:rsidRDefault="00654B44">
      <w:pPr>
        <w:pStyle w:val="EndnoteText"/>
      </w:pPr>
      <w:r>
        <w:rPr>
          <w:rStyle w:val="EndnoteReference"/>
        </w:rPr>
        <w:endnoteRef/>
      </w:r>
      <w:r>
        <w:t xml:space="preserve"> 6% of 35,000 average applications received per year equals 2,100 authorizations</w:t>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DA3" w:rsidRDefault="00BA3DA3">
    <w:pPr>
      <w:spacing w:line="240" w:lineRule="exact"/>
    </w:pPr>
  </w:p>
  <w:p w:rsidR="00BA3DA3" w:rsidRDefault="00541DA8">
    <w:pPr>
      <w:framePr w:w="9361" w:wrap="notBeside" w:vAnchor="text" w:hAnchor="text" w:x="1" w:y="1"/>
      <w:jc w:val="center"/>
      <w:rPr>
        <w:sz w:val="24"/>
      </w:rPr>
    </w:pPr>
    <w:r>
      <w:rPr>
        <w:sz w:val="24"/>
      </w:rPr>
      <w:fldChar w:fldCharType="begin"/>
    </w:r>
    <w:r w:rsidR="00BA3DA3">
      <w:rPr>
        <w:sz w:val="24"/>
      </w:rPr>
      <w:instrText xml:space="preserve">PAGE </w:instrText>
    </w:r>
    <w:r>
      <w:rPr>
        <w:sz w:val="24"/>
      </w:rPr>
      <w:fldChar w:fldCharType="separate"/>
    </w:r>
    <w:r w:rsidR="00B410BA">
      <w:rPr>
        <w:noProof/>
        <w:sz w:val="24"/>
      </w:rPr>
      <w:t>6</w:t>
    </w:r>
    <w:r>
      <w:rPr>
        <w:sz w:val="24"/>
      </w:rPr>
      <w:fldChar w:fldCharType="end"/>
    </w:r>
  </w:p>
  <w:p w:rsidR="00BA3DA3" w:rsidRDefault="00BA3DA3">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03F" w:rsidRDefault="00B1103F">
      <w:r>
        <w:separator/>
      </w:r>
    </w:p>
  </w:footnote>
  <w:footnote w:type="continuationSeparator" w:id="0">
    <w:p w:rsidR="00B1103F" w:rsidRDefault="00B11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Courier New"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D403AC"/>
    <w:multiLevelType w:val="hybridMultilevel"/>
    <w:tmpl w:val="04D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5431"/>
    <w:multiLevelType w:val="hybridMultilevel"/>
    <w:tmpl w:val="2B12A1CA"/>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542150"/>
    <w:multiLevelType w:val="hybridMultilevel"/>
    <w:tmpl w:val="4C62AD7C"/>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F5822"/>
    <w:multiLevelType w:val="hybridMultilevel"/>
    <w:tmpl w:val="BF1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9033C5"/>
    <w:multiLevelType w:val="hybridMultilevel"/>
    <w:tmpl w:val="AED24044"/>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0237B8"/>
    <w:multiLevelType w:val="hybridMultilevel"/>
    <w:tmpl w:val="B240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D344C"/>
    <w:multiLevelType w:val="hybridMultilevel"/>
    <w:tmpl w:val="091CEB36"/>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EAC3668"/>
    <w:multiLevelType w:val="hybridMultilevel"/>
    <w:tmpl w:val="E8A4725A"/>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E7272"/>
    <w:multiLevelType w:val="hybridMultilevel"/>
    <w:tmpl w:val="92DA48D4"/>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FEE301E"/>
    <w:multiLevelType w:val="hybridMultilevel"/>
    <w:tmpl w:val="65A62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50727E4"/>
    <w:multiLevelType w:val="hybridMultilevel"/>
    <w:tmpl w:val="E1FA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D00E7D"/>
    <w:multiLevelType w:val="hybridMultilevel"/>
    <w:tmpl w:val="0CB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12E6B7F"/>
    <w:multiLevelType w:val="hybridMultilevel"/>
    <w:tmpl w:val="4A9E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34017F"/>
    <w:multiLevelType w:val="hybridMultilevel"/>
    <w:tmpl w:val="FCD8926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6F10BCF"/>
    <w:multiLevelType w:val="hybridMultilevel"/>
    <w:tmpl w:val="1A28B7B6"/>
    <w:lvl w:ilvl="0" w:tplc="68AE46BC">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020CC7"/>
    <w:multiLevelType w:val="hybridMultilevel"/>
    <w:tmpl w:val="B2D2B590"/>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8F2BE3"/>
    <w:multiLevelType w:val="hybridMultilevel"/>
    <w:tmpl w:val="9EF80CF2"/>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3"/>
  </w:num>
  <w:num w:numId="3">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4"/>
  </w:num>
  <w:num w:numId="6">
    <w:abstractNumId w:val="2"/>
  </w:num>
  <w:num w:numId="7">
    <w:abstractNumId w:val="10"/>
  </w:num>
  <w:num w:numId="8">
    <w:abstractNumId w:val="6"/>
  </w:num>
  <w:num w:numId="9">
    <w:abstractNumId w:val="1"/>
  </w:num>
  <w:num w:numId="10">
    <w:abstractNumId w:val="14"/>
  </w:num>
  <w:num w:numId="11">
    <w:abstractNumId w:val="3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4"/>
  </w:num>
  <w:num w:numId="15">
    <w:abstractNumId w:val="17"/>
  </w:num>
  <w:num w:numId="16">
    <w:abstractNumId w:val="32"/>
  </w:num>
  <w:num w:numId="17">
    <w:abstractNumId w:val="13"/>
  </w:num>
  <w:num w:numId="18">
    <w:abstractNumId w:val="5"/>
  </w:num>
  <w:num w:numId="19">
    <w:abstractNumId w:val="11"/>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9"/>
  </w:num>
  <w:num w:numId="22">
    <w:abstractNumId w:val="16"/>
  </w:num>
  <w:num w:numId="23">
    <w:abstractNumId w:val="31"/>
  </w:num>
  <w:num w:numId="24">
    <w:abstractNumId w:val="24"/>
  </w:num>
  <w:num w:numId="25">
    <w:abstractNumId w:val="15"/>
  </w:num>
  <w:num w:numId="26">
    <w:abstractNumId w:val="19"/>
  </w:num>
  <w:num w:numId="27">
    <w:abstractNumId w:val="18"/>
  </w:num>
  <w:num w:numId="28">
    <w:abstractNumId w:val="7"/>
  </w:num>
  <w:num w:numId="29">
    <w:abstractNumId w:val="29"/>
  </w:num>
  <w:num w:numId="30">
    <w:abstractNumId w:val="30"/>
  </w:num>
  <w:num w:numId="31">
    <w:abstractNumId w:val="22"/>
  </w:num>
  <w:num w:numId="32">
    <w:abstractNumId w:val="25"/>
  </w:num>
  <w:num w:numId="33">
    <w:abstractNumId w:val="8"/>
  </w:num>
  <w:num w:numId="34">
    <w:abstractNumId w:val="12"/>
  </w:num>
  <w:num w:numId="35">
    <w:abstractNumId w:val="3"/>
  </w:num>
  <w:num w:numId="36">
    <w:abstractNumId w:val="2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lowerRoman"/>
    <w:footnote w:id="-1"/>
    <w:footnote w:id="0"/>
  </w:footnotePr>
  <w:endnotePr>
    <w:numFmt w:val="decimal"/>
    <w:endnote w:id="-1"/>
    <w:endnote w:id="0"/>
  </w:endnotePr>
  <w:compat/>
  <w:rsids>
    <w:rsidRoot w:val="00CF1620"/>
    <w:rsid w:val="00004129"/>
    <w:rsid w:val="00005708"/>
    <w:rsid w:val="000126EC"/>
    <w:rsid w:val="000135AF"/>
    <w:rsid w:val="00016B51"/>
    <w:rsid w:val="00025ECB"/>
    <w:rsid w:val="00030518"/>
    <w:rsid w:val="000579CB"/>
    <w:rsid w:val="00064637"/>
    <w:rsid w:val="00064D14"/>
    <w:rsid w:val="00070BAC"/>
    <w:rsid w:val="00073D3B"/>
    <w:rsid w:val="000741F5"/>
    <w:rsid w:val="000765D8"/>
    <w:rsid w:val="00084D87"/>
    <w:rsid w:val="000878E2"/>
    <w:rsid w:val="000A1159"/>
    <w:rsid w:val="000A4797"/>
    <w:rsid w:val="000C521F"/>
    <w:rsid w:val="000C637D"/>
    <w:rsid w:val="000C68B8"/>
    <w:rsid w:val="000D118E"/>
    <w:rsid w:val="000E28E9"/>
    <w:rsid w:val="000F1521"/>
    <w:rsid w:val="000F784E"/>
    <w:rsid w:val="0010565D"/>
    <w:rsid w:val="001111F7"/>
    <w:rsid w:val="00117FE9"/>
    <w:rsid w:val="00121866"/>
    <w:rsid w:val="00122041"/>
    <w:rsid w:val="00131051"/>
    <w:rsid w:val="00137AE6"/>
    <w:rsid w:val="00141FDC"/>
    <w:rsid w:val="00142E8F"/>
    <w:rsid w:val="00146780"/>
    <w:rsid w:val="0014682A"/>
    <w:rsid w:val="001506E4"/>
    <w:rsid w:val="00154560"/>
    <w:rsid w:val="00155134"/>
    <w:rsid w:val="001565A7"/>
    <w:rsid w:val="00156FFE"/>
    <w:rsid w:val="0016014D"/>
    <w:rsid w:val="0017012F"/>
    <w:rsid w:val="0017410F"/>
    <w:rsid w:val="00177BAA"/>
    <w:rsid w:val="001804D8"/>
    <w:rsid w:val="0018215E"/>
    <w:rsid w:val="00185A55"/>
    <w:rsid w:val="00187F0E"/>
    <w:rsid w:val="00191377"/>
    <w:rsid w:val="0019521C"/>
    <w:rsid w:val="001A1E23"/>
    <w:rsid w:val="001A4C8B"/>
    <w:rsid w:val="001B6BFE"/>
    <w:rsid w:val="001C3CE5"/>
    <w:rsid w:val="001C6FFB"/>
    <w:rsid w:val="001D02E4"/>
    <w:rsid w:val="001D77EC"/>
    <w:rsid w:val="001E2912"/>
    <w:rsid w:val="001E32AE"/>
    <w:rsid w:val="001F7C63"/>
    <w:rsid w:val="0020075D"/>
    <w:rsid w:val="002021D7"/>
    <w:rsid w:val="002035B2"/>
    <w:rsid w:val="00204D46"/>
    <w:rsid w:val="00205960"/>
    <w:rsid w:val="002141C1"/>
    <w:rsid w:val="002169A4"/>
    <w:rsid w:val="002217C5"/>
    <w:rsid w:val="00241287"/>
    <w:rsid w:val="0024335D"/>
    <w:rsid w:val="002479AB"/>
    <w:rsid w:val="00250ED5"/>
    <w:rsid w:val="002675F2"/>
    <w:rsid w:val="00281315"/>
    <w:rsid w:val="0029415D"/>
    <w:rsid w:val="002A7F0B"/>
    <w:rsid w:val="002B1A95"/>
    <w:rsid w:val="002D36EA"/>
    <w:rsid w:val="002D515C"/>
    <w:rsid w:val="002E7762"/>
    <w:rsid w:val="002F1E8D"/>
    <w:rsid w:val="002F32F8"/>
    <w:rsid w:val="0030179A"/>
    <w:rsid w:val="00302D6D"/>
    <w:rsid w:val="0031212C"/>
    <w:rsid w:val="0031277E"/>
    <w:rsid w:val="00325EBF"/>
    <w:rsid w:val="003272C4"/>
    <w:rsid w:val="0033195B"/>
    <w:rsid w:val="00332B1E"/>
    <w:rsid w:val="003350F1"/>
    <w:rsid w:val="00343D37"/>
    <w:rsid w:val="00344E0B"/>
    <w:rsid w:val="00351303"/>
    <w:rsid w:val="003621CE"/>
    <w:rsid w:val="003652F0"/>
    <w:rsid w:val="00366DA1"/>
    <w:rsid w:val="003714CB"/>
    <w:rsid w:val="0037519B"/>
    <w:rsid w:val="00382191"/>
    <w:rsid w:val="003A2555"/>
    <w:rsid w:val="003A7E57"/>
    <w:rsid w:val="003C329A"/>
    <w:rsid w:val="003C49FC"/>
    <w:rsid w:val="003D1F51"/>
    <w:rsid w:val="003E3F12"/>
    <w:rsid w:val="003E3F6F"/>
    <w:rsid w:val="003F27D0"/>
    <w:rsid w:val="003F7516"/>
    <w:rsid w:val="004014AA"/>
    <w:rsid w:val="004045DD"/>
    <w:rsid w:val="00405C07"/>
    <w:rsid w:val="0041268A"/>
    <w:rsid w:val="00424AD3"/>
    <w:rsid w:val="00427C01"/>
    <w:rsid w:val="00431070"/>
    <w:rsid w:val="004379DA"/>
    <w:rsid w:val="0044440A"/>
    <w:rsid w:val="00445E2B"/>
    <w:rsid w:val="0045013A"/>
    <w:rsid w:val="0045082D"/>
    <w:rsid w:val="00452540"/>
    <w:rsid w:val="00452F23"/>
    <w:rsid w:val="004636C9"/>
    <w:rsid w:val="00497E38"/>
    <w:rsid w:val="004A65FF"/>
    <w:rsid w:val="004A7CBE"/>
    <w:rsid w:val="004B2A06"/>
    <w:rsid w:val="004D467D"/>
    <w:rsid w:val="004D4F93"/>
    <w:rsid w:val="004F30ED"/>
    <w:rsid w:val="004F39A9"/>
    <w:rsid w:val="004F4A06"/>
    <w:rsid w:val="004F4BF7"/>
    <w:rsid w:val="00504B58"/>
    <w:rsid w:val="005058C8"/>
    <w:rsid w:val="005105C6"/>
    <w:rsid w:val="00517087"/>
    <w:rsid w:val="0052713C"/>
    <w:rsid w:val="00541DA8"/>
    <w:rsid w:val="00551CE7"/>
    <w:rsid w:val="005531D8"/>
    <w:rsid w:val="00553BAE"/>
    <w:rsid w:val="0055595B"/>
    <w:rsid w:val="0056113E"/>
    <w:rsid w:val="00571183"/>
    <w:rsid w:val="0057235B"/>
    <w:rsid w:val="005753D5"/>
    <w:rsid w:val="00587FB2"/>
    <w:rsid w:val="00590788"/>
    <w:rsid w:val="00594F0A"/>
    <w:rsid w:val="005A1E7C"/>
    <w:rsid w:val="005A4BDA"/>
    <w:rsid w:val="005B29D0"/>
    <w:rsid w:val="005D0A24"/>
    <w:rsid w:val="005D7076"/>
    <w:rsid w:val="005D745D"/>
    <w:rsid w:val="005E3A82"/>
    <w:rsid w:val="005F1B86"/>
    <w:rsid w:val="005F1EDC"/>
    <w:rsid w:val="005F51AE"/>
    <w:rsid w:val="0060312A"/>
    <w:rsid w:val="00603A18"/>
    <w:rsid w:val="00604D73"/>
    <w:rsid w:val="00607B38"/>
    <w:rsid w:val="00614549"/>
    <w:rsid w:val="0061477C"/>
    <w:rsid w:val="00617265"/>
    <w:rsid w:val="00622699"/>
    <w:rsid w:val="00630363"/>
    <w:rsid w:val="0064292E"/>
    <w:rsid w:val="00644231"/>
    <w:rsid w:val="00645555"/>
    <w:rsid w:val="00651B23"/>
    <w:rsid w:val="00654B44"/>
    <w:rsid w:val="00657DF8"/>
    <w:rsid w:val="00661FFF"/>
    <w:rsid w:val="006650D8"/>
    <w:rsid w:val="00674EB4"/>
    <w:rsid w:val="00677E5A"/>
    <w:rsid w:val="006811D3"/>
    <w:rsid w:val="0068372A"/>
    <w:rsid w:val="00693350"/>
    <w:rsid w:val="00695F6C"/>
    <w:rsid w:val="006960DD"/>
    <w:rsid w:val="006961DB"/>
    <w:rsid w:val="00696BB8"/>
    <w:rsid w:val="00697C34"/>
    <w:rsid w:val="006A125A"/>
    <w:rsid w:val="006B19F8"/>
    <w:rsid w:val="006B210F"/>
    <w:rsid w:val="006B6C2F"/>
    <w:rsid w:val="006B70F4"/>
    <w:rsid w:val="006B71BE"/>
    <w:rsid w:val="006C3558"/>
    <w:rsid w:val="006C618B"/>
    <w:rsid w:val="006D2FDE"/>
    <w:rsid w:val="006D32C6"/>
    <w:rsid w:val="006D69DE"/>
    <w:rsid w:val="006E6F3B"/>
    <w:rsid w:val="0070165B"/>
    <w:rsid w:val="0071118C"/>
    <w:rsid w:val="00720815"/>
    <w:rsid w:val="007220D9"/>
    <w:rsid w:val="00724679"/>
    <w:rsid w:val="0073036D"/>
    <w:rsid w:val="00733735"/>
    <w:rsid w:val="007349BC"/>
    <w:rsid w:val="00750C00"/>
    <w:rsid w:val="00762CCB"/>
    <w:rsid w:val="00764ECC"/>
    <w:rsid w:val="007713DB"/>
    <w:rsid w:val="007755D7"/>
    <w:rsid w:val="00777F89"/>
    <w:rsid w:val="00782D89"/>
    <w:rsid w:val="0078333D"/>
    <w:rsid w:val="007C1CB3"/>
    <w:rsid w:val="007C2915"/>
    <w:rsid w:val="007C4698"/>
    <w:rsid w:val="007C4EA5"/>
    <w:rsid w:val="007F54BA"/>
    <w:rsid w:val="00806A6F"/>
    <w:rsid w:val="00807E3F"/>
    <w:rsid w:val="008101F4"/>
    <w:rsid w:val="008150FC"/>
    <w:rsid w:val="008228D1"/>
    <w:rsid w:val="0084116D"/>
    <w:rsid w:val="00841DBE"/>
    <w:rsid w:val="00847F5D"/>
    <w:rsid w:val="00850BA6"/>
    <w:rsid w:val="008517E3"/>
    <w:rsid w:val="0086109F"/>
    <w:rsid w:val="00866D8C"/>
    <w:rsid w:val="008721D2"/>
    <w:rsid w:val="008732E7"/>
    <w:rsid w:val="008759B3"/>
    <w:rsid w:val="00877067"/>
    <w:rsid w:val="00881C8B"/>
    <w:rsid w:val="00881DCC"/>
    <w:rsid w:val="0088334C"/>
    <w:rsid w:val="008847B4"/>
    <w:rsid w:val="00887EE1"/>
    <w:rsid w:val="008A27A7"/>
    <w:rsid w:val="008A5D95"/>
    <w:rsid w:val="008B19B2"/>
    <w:rsid w:val="008C1E71"/>
    <w:rsid w:val="008C4DF1"/>
    <w:rsid w:val="008D2E61"/>
    <w:rsid w:val="008D4510"/>
    <w:rsid w:val="008D60C0"/>
    <w:rsid w:val="008E30B6"/>
    <w:rsid w:val="008E5C1A"/>
    <w:rsid w:val="008E5E01"/>
    <w:rsid w:val="008F1554"/>
    <w:rsid w:val="008F15E3"/>
    <w:rsid w:val="00904379"/>
    <w:rsid w:val="00906EF0"/>
    <w:rsid w:val="00912A9F"/>
    <w:rsid w:val="00917C46"/>
    <w:rsid w:val="009223A6"/>
    <w:rsid w:val="00932AB1"/>
    <w:rsid w:val="00936F85"/>
    <w:rsid w:val="00943D73"/>
    <w:rsid w:val="009559F6"/>
    <w:rsid w:val="009615FD"/>
    <w:rsid w:val="00970572"/>
    <w:rsid w:val="00972DFA"/>
    <w:rsid w:val="0097469C"/>
    <w:rsid w:val="009816F9"/>
    <w:rsid w:val="009835FB"/>
    <w:rsid w:val="0098796F"/>
    <w:rsid w:val="00993822"/>
    <w:rsid w:val="00993C59"/>
    <w:rsid w:val="009A7D5E"/>
    <w:rsid w:val="009B1899"/>
    <w:rsid w:val="009B6630"/>
    <w:rsid w:val="009C1A24"/>
    <w:rsid w:val="009D0665"/>
    <w:rsid w:val="009D177E"/>
    <w:rsid w:val="009D649A"/>
    <w:rsid w:val="009E207E"/>
    <w:rsid w:val="009E503E"/>
    <w:rsid w:val="009F3B40"/>
    <w:rsid w:val="009F57BD"/>
    <w:rsid w:val="009F66F2"/>
    <w:rsid w:val="00A10CEF"/>
    <w:rsid w:val="00A12BD5"/>
    <w:rsid w:val="00A220A3"/>
    <w:rsid w:val="00A27FBB"/>
    <w:rsid w:val="00A309FE"/>
    <w:rsid w:val="00A3252F"/>
    <w:rsid w:val="00A346C2"/>
    <w:rsid w:val="00A44FEB"/>
    <w:rsid w:val="00A551ED"/>
    <w:rsid w:val="00A60D44"/>
    <w:rsid w:val="00A61BFB"/>
    <w:rsid w:val="00A654C9"/>
    <w:rsid w:val="00A70B09"/>
    <w:rsid w:val="00A84D7D"/>
    <w:rsid w:val="00AB18E8"/>
    <w:rsid w:val="00AB2F03"/>
    <w:rsid w:val="00AC146C"/>
    <w:rsid w:val="00AC2A51"/>
    <w:rsid w:val="00AD3ADB"/>
    <w:rsid w:val="00AE119D"/>
    <w:rsid w:val="00AE1632"/>
    <w:rsid w:val="00AE61BE"/>
    <w:rsid w:val="00AF6827"/>
    <w:rsid w:val="00B00748"/>
    <w:rsid w:val="00B1089D"/>
    <w:rsid w:val="00B1103F"/>
    <w:rsid w:val="00B12420"/>
    <w:rsid w:val="00B138BC"/>
    <w:rsid w:val="00B27045"/>
    <w:rsid w:val="00B31AB2"/>
    <w:rsid w:val="00B333B5"/>
    <w:rsid w:val="00B410BA"/>
    <w:rsid w:val="00B41761"/>
    <w:rsid w:val="00B4272D"/>
    <w:rsid w:val="00B56394"/>
    <w:rsid w:val="00B635E5"/>
    <w:rsid w:val="00B6406A"/>
    <w:rsid w:val="00B75935"/>
    <w:rsid w:val="00B76C47"/>
    <w:rsid w:val="00B81DA7"/>
    <w:rsid w:val="00B906D4"/>
    <w:rsid w:val="00B9502A"/>
    <w:rsid w:val="00B96323"/>
    <w:rsid w:val="00BA151A"/>
    <w:rsid w:val="00BA3DA3"/>
    <w:rsid w:val="00BB4D89"/>
    <w:rsid w:val="00BC5ABD"/>
    <w:rsid w:val="00BD7242"/>
    <w:rsid w:val="00BE3C1F"/>
    <w:rsid w:val="00BE6542"/>
    <w:rsid w:val="00BF0EE6"/>
    <w:rsid w:val="00BF1FE0"/>
    <w:rsid w:val="00C11995"/>
    <w:rsid w:val="00C12BAE"/>
    <w:rsid w:val="00C23A61"/>
    <w:rsid w:val="00C31B3D"/>
    <w:rsid w:val="00C376F2"/>
    <w:rsid w:val="00C5213A"/>
    <w:rsid w:val="00C56CB7"/>
    <w:rsid w:val="00C60EB3"/>
    <w:rsid w:val="00C64082"/>
    <w:rsid w:val="00C67156"/>
    <w:rsid w:val="00C67D9F"/>
    <w:rsid w:val="00C67EF5"/>
    <w:rsid w:val="00C7139B"/>
    <w:rsid w:val="00C71FDE"/>
    <w:rsid w:val="00C81211"/>
    <w:rsid w:val="00C909DA"/>
    <w:rsid w:val="00C93D2D"/>
    <w:rsid w:val="00C97CB3"/>
    <w:rsid w:val="00CA0FB4"/>
    <w:rsid w:val="00CA44C8"/>
    <w:rsid w:val="00CA5EF4"/>
    <w:rsid w:val="00CB39E1"/>
    <w:rsid w:val="00CB590D"/>
    <w:rsid w:val="00CC65F9"/>
    <w:rsid w:val="00CD1C22"/>
    <w:rsid w:val="00CD590B"/>
    <w:rsid w:val="00CE7E72"/>
    <w:rsid w:val="00CF0640"/>
    <w:rsid w:val="00CF13A8"/>
    <w:rsid w:val="00CF1620"/>
    <w:rsid w:val="00D01D33"/>
    <w:rsid w:val="00D1220C"/>
    <w:rsid w:val="00D17C70"/>
    <w:rsid w:val="00D57722"/>
    <w:rsid w:val="00D6714F"/>
    <w:rsid w:val="00D702D4"/>
    <w:rsid w:val="00D73478"/>
    <w:rsid w:val="00D9282D"/>
    <w:rsid w:val="00D953EF"/>
    <w:rsid w:val="00D97E29"/>
    <w:rsid w:val="00DA0909"/>
    <w:rsid w:val="00DA2A19"/>
    <w:rsid w:val="00DB5887"/>
    <w:rsid w:val="00DD3624"/>
    <w:rsid w:val="00DD5B9D"/>
    <w:rsid w:val="00DD7011"/>
    <w:rsid w:val="00DE368D"/>
    <w:rsid w:val="00DE5C14"/>
    <w:rsid w:val="00DE648B"/>
    <w:rsid w:val="00DE6D93"/>
    <w:rsid w:val="00DF6704"/>
    <w:rsid w:val="00E05325"/>
    <w:rsid w:val="00E07C02"/>
    <w:rsid w:val="00E13A22"/>
    <w:rsid w:val="00E1607C"/>
    <w:rsid w:val="00E21E5F"/>
    <w:rsid w:val="00E2437C"/>
    <w:rsid w:val="00E40229"/>
    <w:rsid w:val="00E457D3"/>
    <w:rsid w:val="00E60151"/>
    <w:rsid w:val="00E81F20"/>
    <w:rsid w:val="00E83E90"/>
    <w:rsid w:val="00E85777"/>
    <w:rsid w:val="00E9432F"/>
    <w:rsid w:val="00EB6402"/>
    <w:rsid w:val="00EB70DF"/>
    <w:rsid w:val="00EB7E8A"/>
    <w:rsid w:val="00EC157E"/>
    <w:rsid w:val="00EC3151"/>
    <w:rsid w:val="00EC4070"/>
    <w:rsid w:val="00EC4C62"/>
    <w:rsid w:val="00EC5A28"/>
    <w:rsid w:val="00EC788B"/>
    <w:rsid w:val="00ED5944"/>
    <w:rsid w:val="00F159A3"/>
    <w:rsid w:val="00F159EA"/>
    <w:rsid w:val="00F21169"/>
    <w:rsid w:val="00F24211"/>
    <w:rsid w:val="00F35723"/>
    <w:rsid w:val="00F36A4B"/>
    <w:rsid w:val="00F41C41"/>
    <w:rsid w:val="00F50CC8"/>
    <w:rsid w:val="00F61BC0"/>
    <w:rsid w:val="00F623D5"/>
    <w:rsid w:val="00F73EBA"/>
    <w:rsid w:val="00F7705D"/>
    <w:rsid w:val="00F818BE"/>
    <w:rsid w:val="00F93442"/>
    <w:rsid w:val="00F955C4"/>
    <w:rsid w:val="00F9566A"/>
    <w:rsid w:val="00FC5031"/>
    <w:rsid w:val="00FE167C"/>
    <w:rsid w:val="00FE52DF"/>
    <w:rsid w:val="00FF2A75"/>
    <w:rsid w:val="00FF4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9E503E"/>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503E"/>
  </w:style>
  <w:style w:type="paragraph" w:styleId="BodyTextIndent">
    <w:name w:val="Body Text Indent"/>
    <w:basedOn w:val="Normal"/>
    <w:rsid w:val="009E503E"/>
    <w:pPr>
      <w:ind w:left="720"/>
    </w:pPr>
    <w:rPr>
      <w:rFonts w:ascii="Baskerville Old Face" w:hAnsi="Baskerville Old Face"/>
      <w:sz w:val="24"/>
    </w:rPr>
  </w:style>
  <w:style w:type="table" w:styleId="TableGrid">
    <w:name w:val="Table Grid"/>
    <w:basedOn w:val="TableNormal"/>
    <w:rsid w:val="009E503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
    <w:name w:val="EmailStyle401"/>
    <w:aliases w:val="EmailStyle401"/>
    <w:basedOn w:val="DefaultParagraphFont"/>
    <w:semiHidden/>
    <w:personal/>
    <w:personalCompose/>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b/>
      <w:bCs/>
    </w:rPr>
  </w:style>
  <w:style w:type="paragraph" w:styleId="Revision">
    <w:name w:val="Revision"/>
    <w:hidden/>
    <w:uiPriority w:val="99"/>
    <w:semiHidden/>
    <w:rsid w:val="00C67EF5"/>
    <w:rPr>
      <w:szCs w:val="24"/>
    </w:rPr>
  </w:style>
  <w:style w:type="paragraph" w:styleId="ListParagraph">
    <w:name w:val="List Paragraph"/>
    <w:basedOn w:val="Normal"/>
    <w:uiPriority w:val="34"/>
    <w:qFormat/>
    <w:rsid w:val="00A3252F"/>
    <w:pPr>
      <w:widowControl/>
      <w:autoSpaceDE/>
      <w:autoSpaceDN/>
      <w:adjustRightInd/>
      <w:spacing w:after="200"/>
      <w:ind w:left="720"/>
    </w:pPr>
    <w:rPr>
      <w:rFonts w:ascii="Calibri" w:eastAsia="Calibri" w:hAnsi="Calibri" w:cs="Calibri"/>
      <w:sz w:val="22"/>
      <w:szCs w:val="22"/>
    </w:rPr>
  </w:style>
  <w:style w:type="paragraph" w:styleId="Footer">
    <w:name w:val="footer"/>
    <w:basedOn w:val="Normal"/>
    <w:link w:val="FooterChar"/>
    <w:uiPriority w:val="99"/>
    <w:rsid w:val="003C49FC"/>
    <w:pPr>
      <w:tabs>
        <w:tab w:val="center" w:pos="4680"/>
        <w:tab w:val="right" w:pos="9360"/>
      </w:tabs>
    </w:pPr>
  </w:style>
  <w:style w:type="character" w:customStyle="1" w:styleId="FooterChar">
    <w:name w:val="Footer Char"/>
    <w:basedOn w:val="DefaultParagraphFont"/>
    <w:link w:val="Footer"/>
    <w:uiPriority w:val="99"/>
    <w:rsid w:val="003C49FC"/>
    <w:rPr>
      <w:szCs w:val="24"/>
    </w:rPr>
  </w:style>
  <w:style w:type="character" w:styleId="EndnoteReference">
    <w:name w:val="endnote reference"/>
    <w:basedOn w:val="DefaultParagraphFont"/>
    <w:rsid w:val="004379DA"/>
    <w:rPr>
      <w:vertAlign w:val="superscript"/>
    </w:rPr>
  </w:style>
</w:styles>
</file>

<file path=word/webSettings.xml><?xml version="1.0" encoding="utf-8"?>
<w:webSettings xmlns:r="http://schemas.openxmlformats.org/officeDocument/2006/relationships" xmlns:w="http://schemas.openxmlformats.org/wordprocessingml/2006/main">
  <w:divs>
    <w:div w:id="627007295">
      <w:bodyDiv w:val="1"/>
      <w:marLeft w:val="0"/>
      <w:marRight w:val="0"/>
      <w:marTop w:val="0"/>
      <w:marBottom w:val="0"/>
      <w:divBdr>
        <w:top w:val="none" w:sz="0" w:space="0" w:color="auto"/>
        <w:left w:val="none" w:sz="0" w:space="0" w:color="auto"/>
        <w:bottom w:val="none" w:sz="0" w:space="0" w:color="auto"/>
        <w:right w:val="none" w:sz="0" w:space="0" w:color="auto"/>
      </w:divBdr>
    </w:div>
    <w:div w:id="633366148">
      <w:bodyDiv w:val="1"/>
      <w:marLeft w:val="0"/>
      <w:marRight w:val="0"/>
      <w:marTop w:val="0"/>
      <w:marBottom w:val="0"/>
      <w:divBdr>
        <w:top w:val="none" w:sz="0" w:space="0" w:color="auto"/>
        <w:left w:val="none" w:sz="0" w:space="0" w:color="auto"/>
        <w:bottom w:val="none" w:sz="0" w:space="0" w:color="auto"/>
        <w:right w:val="none" w:sz="0" w:space="0" w:color="auto"/>
      </w:divBdr>
    </w:div>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095706671">
      <w:bodyDiv w:val="1"/>
      <w:marLeft w:val="0"/>
      <w:marRight w:val="0"/>
      <w:marTop w:val="0"/>
      <w:marBottom w:val="0"/>
      <w:divBdr>
        <w:top w:val="none" w:sz="0" w:space="0" w:color="auto"/>
        <w:left w:val="none" w:sz="0" w:space="0" w:color="auto"/>
        <w:bottom w:val="none" w:sz="0" w:space="0" w:color="auto"/>
        <w:right w:val="none" w:sz="0" w:space="0" w:color="auto"/>
      </w:divBdr>
    </w:div>
    <w:div w:id="1350833008">
      <w:bodyDiv w:val="1"/>
      <w:marLeft w:val="0"/>
      <w:marRight w:val="0"/>
      <w:marTop w:val="0"/>
      <w:marBottom w:val="0"/>
      <w:divBdr>
        <w:top w:val="none" w:sz="0" w:space="0" w:color="auto"/>
        <w:left w:val="none" w:sz="0" w:space="0" w:color="auto"/>
        <w:bottom w:val="none" w:sz="0" w:space="0" w:color="auto"/>
        <w:right w:val="none" w:sz="0" w:space="0" w:color="auto"/>
      </w:divBdr>
    </w:div>
    <w:div w:id="1396709164">
      <w:bodyDiv w:val="1"/>
      <w:marLeft w:val="0"/>
      <w:marRight w:val="0"/>
      <w:marTop w:val="0"/>
      <w:marBottom w:val="0"/>
      <w:divBdr>
        <w:top w:val="none" w:sz="0" w:space="0" w:color="auto"/>
        <w:left w:val="none" w:sz="0" w:space="0" w:color="auto"/>
        <w:bottom w:val="none" w:sz="0" w:space="0" w:color="auto"/>
        <w:right w:val="none" w:sz="0" w:space="0" w:color="auto"/>
      </w:divBdr>
    </w:div>
    <w:div w:id="1423257968">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1871797286">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8BBE-D3E5-4C06-89E9-C2D7FA90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1689</Words>
  <Characters>9358</Characters>
  <Application>Microsoft Office Word</Application>
  <DocSecurity>0</DocSecurity>
  <Lines>467</Lines>
  <Paragraphs>155</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CMS</cp:lastModifiedBy>
  <cp:revision>2</cp:revision>
  <cp:lastPrinted>2012-02-17T15:11:00Z</cp:lastPrinted>
  <dcterms:created xsi:type="dcterms:W3CDTF">2012-03-14T20:29:00Z</dcterms:created>
  <dcterms:modified xsi:type="dcterms:W3CDTF">2012-03-14T20:29:00Z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941356150</vt:i4>
  </property>
  <property fmtid="{D5CDD505-2E9C-101B-9397-08002B2CF9AE}" pid="3" name="_NewReviewCycle">
    <vt:lpwstr/>
  </property>
  <property fmtid="{D5CDD505-2E9C-101B-9397-08002B2CF9AE}" pid="4" name="_EmailSubject">
    <vt:lpwstr>PCIP Emergency PRA Package</vt:lpwstr>
  </property>
  <property fmtid="{D5CDD505-2E9C-101B-9397-08002B2CF9AE}" pid="5" name="_AuthorEmail">
    <vt:lpwstr>Laura.Dash@cms.hhs.gov</vt:lpwstr>
  </property>
  <property fmtid="{D5CDD505-2E9C-101B-9397-08002B2CF9AE}" pid="6" name="_AuthorEmailDisplayName">
    <vt:lpwstr>Dash, Laura A. (CMS/CCIIO)</vt:lpwstr>
  </property>
  <property fmtid="{D5CDD505-2E9C-101B-9397-08002B2CF9AE}" pid="7" name="_PreviousAdHocReviewCycleID">
    <vt:i4>574909071</vt:i4>
  </property>
  <property fmtid="{D5CDD505-2E9C-101B-9397-08002B2CF9AE}" pid="8" name="_ReviewingToolsShownOnce">
    <vt:lpwstr/>
  </property>
</Properties>
</file>