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From: </w:t>
      </w:r>
      <w:r w:rsidR="00FD5357" w:rsidRPr="00FD5357">
        <w:rPr>
          <w:rFonts w:ascii="Georgia" w:hAnsi="Georgia" w:cs="Times New Roman"/>
        </w:rPr>
        <w:t>DHHS/CMS/OA/CCIIO/</w:t>
      </w:r>
      <w:r w:rsidR="001A6A7D" w:rsidRPr="003C7A68">
        <w:rPr>
          <w:rFonts w:ascii="Georgia" w:hAnsi="Georgia" w:cs="Times New Roman"/>
        </w:rPr>
        <w:t>Office of Health Insurance Exchanges</w:t>
      </w:r>
    </w:p>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To: </w:t>
      </w:r>
      <w:r w:rsidR="001A6A7D" w:rsidRPr="003C7A68">
        <w:rPr>
          <w:rFonts w:ascii="Georgia" w:hAnsi="Georgia" w:cs="Times New Roman"/>
        </w:rPr>
        <w:t>Office of Management and Budget</w:t>
      </w:r>
    </w:p>
    <w:p w:rsidR="00060AA4" w:rsidRDefault="00060AA4" w:rsidP="00060AA4">
      <w:pPr>
        <w:spacing w:after="0" w:line="240" w:lineRule="auto"/>
        <w:rPr>
          <w:rFonts w:ascii="Georgia" w:hAnsi="Georgia" w:cs="Times New Roman"/>
          <w:b/>
        </w:rPr>
      </w:pPr>
      <w:r w:rsidRPr="008E1B5D">
        <w:rPr>
          <w:rFonts w:ascii="Georgia" w:hAnsi="Georgia" w:cs="Times New Roman"/>
          <w:b/>
        </w:rPr>
        <w:t xml:space="preserve">Re: </w:t>
      </w:r>
      <w:r w:rsidR="00CC38EB">
        <w:rPr>
          <w:rFonts w:ascii="Georgia" w:hAnsi="Georgia" w:cs="Times New Roman"/>
        </w:rPr>
        <w:t>Requested</w:t>
      </w:r>
      <w:r w:rsidR="003C7A68" w:rsidRPr="003C7A68">
        <w:rPr>
          <w:rFonts w:ascii="Georgia" w:hAnsi="Georgia" w:cs="Times New Roman"/>
        </w:rPr>
        <w:t xml:space="preserve"> </w:t>
      </w:r>
      <w:r w:rsidR="00CC38EB">
        <w:rPr>
          <w:rFonts w:ascii="Georgia" w:hAnsi="Georgia" w:cs="Times New Roman"/>
        </w:rPr>
        <w:t>Approval of Non</w:t>
      </w:r>
      <w:r w:rsidR="009731D8">
        <w:rPr>
          <w:rFonts w:ascii="Georgia" w:hAnsi="Georgia" w:cs="Times New Roman"/>
        </w:rPr>
        <w:t>-</w:t>
      </w:r>
      <w:r w:rsidR="00CC38EB">
        <w:rPr>
          <w:rFonts w:ascii="Georgia" w:hAnsi="Georgia" w:cs="Times New Roman"/>
        </w:rPr>
        <w:t>substantive Change</w:t>
      </w:r>
      <w:r w:rsidR="003C7A68" w:rsidRPr="003C7A68">
        <w:rPr>
          <w:rFonts w:ascii="Georgia" w:hAnsi="Georgia" w:cs="Times New Roman"/>
        </w:rPr>
        <w:t xml:space="preserve"> to Notice of Action</w:t>
      </w:r>
      <w:r w:rsidR="003C7A68">
        <w:rPr>
          <w:rFonts w:ascii="Georgia" w:hAnsi="Georgia" w:cs="Times New Roman"/>
        </w:rPr>
        <w:t>:</w:t>
      </w:r>
      <w:r w:rsidR="003C7A68" w:rsidRPr="003C7A68">
        <w:rPr>
          <w:rFonts w:ascii="Georgia" w:hAnsi="Georgia" w:cs="Times New Roman"/>
        </w:rPr>
        <w:t xml:space="preserve"> </w:t>
      </w:r>
      <w:r w:rsidR="00613BFE" w:rsidRPr="003C7A68">
        <w:rPr>
          <w:rFonts w:ascii="Georgia" w:hAnsi="Georgia" w:cs="Times New Roman"/>
        </w:rPr>
        <w:t>Cooperative Agre</w:t>
      </w:r>
      <w:r w:rsidRPr="003C7A68">
        <w:rPr>
          <w:rFonts w:ascii="Georgia" w:hAnsi="Georgia" w:cs="Times New Roman"/>
        </w:rPr>
        <w:t>ement to Support Establishment o</w:t>
      </w:r>
      <w:r w:rsidR="00613BFE" w:rsidRPr="003C7A68">
        <w:rPr>
          <w:rFonts w:ascii="Georgia" w:hAnsi="Georgia" w:cs="Times New Roman"/>
        </w:rPr>
        <w:t>f State-Operated Health Insuranc</w:t>
      </w:r>
      <w:r w:rsidR="00100492" w:rsidRPr="003C7A68">
        <w:rPr>
          <w:rFonts w:ascii="Georgia" w:hAnsi="Georgia" w:cs="Times New Roman"/>
        </w:rPr>
        <w:t>e Exchanges</w:t>
      </w:r>
      <w:r w:rsidR="003C7A68">
        <w:rPr>
          <w:rFonts w:ascii="Georgia" w:hAnsi="Georgia" w:cs="Times New Roman"/>
        </w:rPr>
        <w:t xml:space="preserve"> (</w:t>
      </w:r>
      <w:r w:rsidR="001A6A7D" w:rsidRPr="003C7A68">
        <w:rPr>
          <w:rFonts w:ascii="Georgia" w:hAnsi="Georgia" w:cs="Times New Roman"/>
        </w:rPr>
        <w:t>OMB Control Number 0938-1119)</w:t>
      </w:r>
    </w:p>
    <w:p w:rsidR="008E1B5D" w:rsidRPr="003C7A68" w:rsidRDefault="003C7A68" w:rsidP="00060AA4">
      <w:pPr>
        <w:spacing w:after="0" w:line="240" w:lineRule="auto"/>
        <w:rPr>
          <w:rFonts w:ascii="Georgia" w:hAnsi="Georgia" w:cs="Times New Roman"/>
        </w:rPr>
      </w:pPr>
      <w:r>
        <w:rPr>
          <w:rFonts w:ascii="Georgia" w:hAnsi="Georgia" w:cs="Times New Roman"/>
          <w:b/>
        </w:rPr>
        <w:t xml:space="preserve">Date: </w:t>
      </w:r>
      <w:r w:rsidR="00CC38EB">
        <w:rPr>
          <w:rFonts w:ascii="Georgia" w:hAnsi="Georgia" w:cs="Times New Roman"/>
        </w:rPr>
        <w:t>0</w:t>
      </w:r>
      <w:r w:rsidR="003400C5">
        <w:rPr>
          <w:rFonts w:ascii="Georgia" w:hAnsi="Georgia" w:cs="Times New Roman"/>
        </w:rPr>
        <w:t>9</w:t>
      </w:r>
      <w:r w:rsidR="00CC38EB">
        <w:rPr>
          <w:rFonts w:ascii="Georgia" w:hAnsi="Georgia" w:cs="Times New Roman"/>
        </w:rPr>
        <w:t xml:space="preserve"> February 2012</w:t>
      </w:r>
    </w:p>
    <w:p w:rsidR="00D468C0" w:rsidRPr="008E1B5D" w:rsidRDefault="00134391" w:rsidP="00060AA4">
      <w:pPr>
        <w:spacing w:after="0" w:line="240" w:lineRule="auto"/>
        <w:rPr>
          <w:rFonts w:ascii="Georgia" w:hAnsi="Georgia" w:cs="Times New Roman"/>
        </w:rPr>
      </w:pPr>
      <w:r w:rsidRPr="00134391">
        <w:rPr>
          <w:rFonts w:ascii="Georgia" w:hAnsi="Georgia" w:cs="Times New Roman"/>
        </w:rPr>
        <w:pict>
          <v:rect id="_x0000_i1025" style="width:0;height:1.5pt" o:hralign="center" o:hrstd="t" o:hr="t" fillcolor="#aca899" stroked="f"/>
        </w:pict>
      </w:r>
    </w:p>
    <w:p w:rsidR="008E1B5D" w:rsidRDefault="008E1B5D" w:rsidP="008E1B5D">
      <w:pPr>
        <w:spacing w:after="0"/>
        <w:rPr>
          <w:rFonts w:ascii="Georgia" w:hAnsi="Georgia" w:cs="Times New Roman"/>
        </w:rPr>
      </w:pPr>
    </w:p>
    <w:p w:rsidR="008E1B5D" w:rsidRPr="008E1B5D" w:rsidRDefault="00357196" w:rsidP="008E1B5D">
      <w:pPr>
        <w:spacing w:after="0"/>
        <w:rPr>
          <w:rFonts w:ascii="Georgia" w:hAnsi="Georgia"/>
          <w:iCs/>
        </w:rPr>
      </w:pPr>
      <w:r>
        <w:rPr>
          <w:rFonts w:ascii="Georgia" w:hAnsi="Georgia" w:cs="Times New Roman"/>
          <w:b/>
        </w:rPr>
        <w:t>Summary</w:t>
      </w:r>
      <w:r>
        <w:rPr>
          <w:rFonts w:ascii="Georgia" w:hAnsi="Georgia" w:cs="Times New Roman"/>
        </w:rPr>
        <w:br/>
      </w:r>
      <w:proofErr w:type="gramStart"/>
      <w:r w:rsidR="008E1B5D">
        <w:rPr>
          <w:rFonts w:ascii="Georgia" w:hAnsi="Georgia" w:cs="Times New Roman"/>
        </w:rPr>
        <w:t>In</w:t>
      </w:r>
      <w:proofErr w:type="gramEnd"/>
      <w:r w:rsidR="008E1B5D">
        <w:rPr>
          <w:rFonts w:ascii="Georgia" w:hAnsi="Georgia" w:cs="Times New Roman"/>
        </w:rPr>
        <w:t xml:space="preserve"> January 2011, HHS released </w:t>
      </w:r>
      <w:r w:rsidR="008E1B5D" w:rsidRPr="008E1B5D">
        <w:rPr>
          <w:rFonts w:ascii="Georgia" w:hAnsi="Georgia" w:cs="Times New Roman"/>
        </w:rPr>
        <w:t>the Cooperative Agreement to Establish State-Operated Health Insurance Exchanges (IE-HBE-11-004)</w:t>
      </w:r>
      <w:r w:rsidR="008E1B5D">
        <w:rPr>
          <w:rFonts w:ascii="Georgia" w:hAnsi="Georgia" w:cs="Times New Roman"/>
        </w:rPr>
        <w:t xml:space="preserve"> fundin</w:t>
      </w:r>
      <w:r w:rsidR="003C7A68">
        <w:rPr>
          <w:rFonts w:ascii="Georgia" w:hAnsi="Georgia" w:cs="Times New Roman"/>
        </w:rPr>
        <w:t>g opportunity announcement (FOA</w:t>
      </w:r>
      <w:r w:rsidR="008E1B5D">
        <w:rPr>
          <w:rFonts w:ascii="Georgia" w:hAnsi="Georgia" w:cs="Times New Roman"/>
        </w:rPr>
        <w:t>.</w:t>
      </w:r>
      <w:r w:rsidR="003C7A68">
        <w:rPr>
          <w:rFonts w:ascii="Georgia" w:hAnsi="Georgia" w:cs="Times New Roman"/>
        </w:rPr>
        <w:t>)</w:t>
      </w:r>
      <w:r w:rsidR="008E1B5D">
        <w:rPr>
          <w:rFonts w:ascii="Georgia" w:hAnsi="Georgia" w:cs="Times New Roman"/>
        </w:rPr>
        <w:t xml:space="preserve">  This FOA </w:t>
      </w:r>
      <w:r w:rsidR="008E1B5D" w:rsidRPr="008E1B5D">
        <w:rPr>
          <w:rFonts w:ascii="Georgia" w:hAnsi="Georgia"/>
          <w:iCs/>
        </w:rPr>
        <w:t xml:space="preserve">provides States and the District of Columbia with financial assistance for the establishment of their </w:t>
      </w:r>
      <w:r w:rsidR="007E2C88">
        <w:rPr>
          <w:rFonts w:ascii="Georgia" w:hAnsi="Georgia"/>
          <w:iCs/>
        </w:rPr>
        <w:t>American Health Benefit Exchange</w:t>
      </w:r>
      <w:r w:rsidR="008E1B5D" w:rsidRPr="008E1B5D">
        <w:rPr>
          <w:rFonts w:ascii="Georgia" w:hAnsi="Georgia"/>
          <w:iCs/>
        </w:rPr>
        <w:t xml:space="preserve">. States may choose whether to apply for up to one-year funding or multi-year funding based on their level of progress. </w:t>
      </w:r>
      <w:r w:rsidR="008E1B5D">
        <w:rPr>
          <w:rFonts w:ascii="Georgia" w:hAnsi="Georgia"/>
          <w:iCs/>
        </w:rPr>
        <w:t xml:space="preserve"> </w:t>
      </w:r>
      <w:r w:rsidR="008E1B5D" w:rsidRPr="008E1B5D">
        <w:rPr>
          <w:rFonts w:ascii="Georgia" w:hAnsi="Georgia"/>
          <w:iCs/>
        </w:rPr>
        <w:t xml:space="preserve">State can also choose when to apply for grant funding based on their needs and planned expenditures.  </w:t>
      </w:r>
    </w:p>
    <w:p w:rsidR="008E1B5D" w:rsidRPr="008E1B5D" w:rsidRDefault="008E1B5D" w:rsidP="008E1B5D">
      <w:pPr>
        <w:numPr>
          <w:ilvl w:val="0"/>
          <w:numId w:val="10"/>
        </w:numPr>
        <w:spacing w:after="0"/>
        <w:rPr>
          <w:rFonts w:ascii="Georgia" w:hAnsi="Georgia"/>
          <w:iCs/>
        </w:rPr>
      </w:pPr>
      <w:r w:rsidRPr="008E1B5D">
        <w:rPr>
          <w:rFonts w:ascii="Georgia" w:hAnsi="Georgia"/>
          <w:i/>
          <w:iCs/>
        </w:rPr>
        <w:t>Level One Establishment</w:t>
      </w:r>
      <w:r w:rsidRPr="008E1B5D">
        <w:rPr>
          <w:rFonts w:ascii="Georgia" w:hAnsi="Georgia"/>
          <w:iCs/>
        </w:rPr>
        <w:t xml:space="preserve"> is open to States that received Exchange Planning grants. These cooperative agreements provide up to </w:t>
      </w:r>
      <w:r w:rsidRPr="008E1B5D">
        <w:rPr>
          <w:rFonts w:ascii="Georgia" w:hAnsi="Georgia"/>
          <w:iCs/>
          <w:u w:val="single"/>
        </w:rPr>
        <w:t>one year</w:t>
      </w:r>
      <w:r w:rsidRPr="008E1B5D">
        <w:rPr>
          <w:rFonts w:ascii="Georgia" w:hAnsi="Georgia"/>
          <w:iCs/>
        </w:rPr>
        <w:t xml:space="preserve"> of funding to States that have made some progress under their Exchange Planning grant but are not yet able to meet the eligibility requirements of </w:t>
      </w:r>
      <w:r w:rsidRPr="008E1B5D">
        <w:rPr>
          <w:rFonts w:ascii="Georgia" w:hAnsi="Georgia"/>
          <w:i/>
          <w:iCs/>
        </w:rPr>
        <w:t>Level Two Establishment</w:t>
      </w:r>
      <w:r w:rsidRPr="008E1B5D">
        <w:rPr>
          <w:rFonts w:ascii="Georgia" w:hAnsi="Georgia"/>
          <w:iCs/>
        </w:rPr>
        <w:t xml:space="preserve">. </w:t>
      </w:r>
    </w:p>
    <w:p w:rsidR="008E1B5D" w:rsidRPr="008E1B5D" w:rsidRDefault="008E1B5D" w:rsidP="008E1B5D">
      <w:pPr>
        <w:numPr>
          <w:ilvl w:val="0"/>
          <w:numId w:val="10"/>
        </w:numPr>
        <w:spacing w:after="0"/>
        <w:rPr>
          <w:rFonts w:ascii="Georgia" w:hAnsi="Georgia"/>
          <w:iCs/>
        </w:rPr>
      </w:pPr>
      <w:r w:rsidRPr="008E1B5D">
        <w:rPr>
          <w:rFonts w:ascii="Georgia" w:hAnsi="Georgia"/>
          <w:i/>
          <w:iCs/>
        </w:rPr>
        <w:t>Level Two Establishment</w:t>
      </w:r>
      <w:r w:rsidRPr="008E1B5D">
        <w:rPr>
          <w:rFonts w:ascii="Georgia" w:hAnsi="Georgia"/>
          <w:iCs/>
        </w:rPr>
        <w:t xml:space="preserve"> grants have a project period of up to four years (from the date of award through December 31, 2014). </w:t>
      </w:r>
      <w:r>
        <w:rPr>
          <w:rFonts w:ascii="Georgia" w:hAnsi="Georgia"/>
          <w:iCs/>
        </w:rPr>
        <w:t xml:space="preserve"> </w:t>
      </w:r>
      <w:r w:rsidRPr="008E1B5D">
        <w:rPr>
          <w:rFonts w:ascii="Georgia" w:hAnsi="Georgia"/>
          <w:iCs/>
        </w:rPr>
        <w:t xml:space="preserve">Level Two Establishment applicants have to meet the following additional eligibility criteria: </w:t>
      </w:r>
    </w:p>
    <w:p w:rsidR="008E1B5D" w:rsidRPr="008E1B5D" w:rsidRDefault="008E1B5D" w:rsidP="008E1B5D">
      <w:pPr>
        <w:spacing w:after="0"/>
        <w:ind w:left="1080"/>
        <w:rPr>
          <w:rFonts w:ascii="Georgia" w:hAnsi="Georgia"/>
          <w:iCs/>
        </w:rPr>
      </w:pPr>
      <w:r w:rsidRPr="008E1B5D">
        <w:rPr>
          <w:rFonts w:ascii="Georgia" w:hAnsi="Georgia"/>
          <w:iCs/>
        </w:rPr>
        <w:t xml:space="preserve">A. Has the necessary legal authority to establish and operate an Exchange that complies with Federal requirements available at the time of the application. </w:t>
      </w:r>
    </w:p>
    <w:p w:rsidR="008E1B5D" w:rsidRPr="008E1B5D" w:rsidRDefault="008E1B5D" w:rsidP="008E1B5D">
      <w:pPr>
        <w:spacing w:after="0"/>
        <w:ind w:left="720" w:firstLine="360"/>
        <w:rPr>
          <w:rFonts w:ascii="Georgia" w:hAnsi="Georgia"/>
          <w:iCs/>
        </w:rPr>
      </w:pPr>
      <w:r w:rsidRPr="008E1B5D">
        <w:rPr>
          <w:rFonts w:ascii="Georgia" w:hAnsi="Georgia"/>
          <w:iCs/>
        </w:rPr>
        <w:t xml:space="preserve">B. Has established a governance structure for the Exchange. </w:t>
      </w:r>
    </w:p>
    <w:p w:rsidR="008E1B5D" w:rsidRPr="008E1B5D" w:rsidRDefault="008E1B5D" w:rsidP="008E1B5D">
      <w:pPr>
        <w:spacing w:after="0"/>
        <w:ind w:left="720" w:firstLine="360"/>
        <w:rPr>
          <w:rFonts w:ascii="Georgia" w:hAnsi="Georgia"/>
          <w:iCs/>
        </w:rPr>
      </w:pPr>
      <w:r w:rsidRPr="008E1B5D">
        <w:rPr>
          <w:rFonts w:ascii="Georgia" w:hAnsi="Georgia"/>
          <w:iCs/>
        </w:rPr>
        <w:t xml:space="preserve">C. </w:t>
      </w:r>
      <w:r w:rsidR="007E2C88">
        <w:rPr>
          <w:rFonts w:ascii="Georgia" w:hAnsi="Georgia"/>
          <w:iCs/>
        </w:rPr>
        <w:t xml:space="preserve">  </w:t>
      </w:r>
      <w:r w:rsidRPr="008E1B5D">
        <w:rPr>
          <w:rFonts w:ascii="Georgia" w:hAnsi="Georgia"/>
          <w:iCs/>
        </w:rPr>
        <w:t xml:space="preserve">1) Submits a complete budget through 2014; </w:t>
      </w:r>
    </w:p>
    <w:p w:rsidR="008E1B5D" w:rsidRPr="008E1B5D" w:rsidRDefault="008E1B5D" w:rsidP="008E1B5D">
      <w:pPr>
        <w:spacing w:after="0"/>
        <w:ind w:left="720" w:firstLine="720"/>
        <w:rPr>
          <w:rFonts w:ascii="Georgia" w:hAnsi="Georgia"/>
          <w:iCs/>
        </w:rPr>
      </w:pPr>
      <w:r w:rsidRPr="008E1B5D">
        <w:rPr>
          <w:rFonts w:ascii="Georgia" w:hAnsi="Georgia"/>
          <w:iCs/>
        </w:rPr>
        <w:t xml:space="preserve">2) Submits an initial plan discussing financial sustainability by 2015; and </w:t>
      </w:r>
    </w:p>
    <w:p w:rsidR="008E1B5D" w:rsidRPr="008E1B5D" w:rsidRDefault="008E1B5D" w:rsidP="008E1B5D">
      <w:pPr>
        <w:spacing w:after="0"/>
        <w:ind w:left="720" w:firstLine="720"/>
        <w:rPr>
          <w:rFonts w:ascii="Georgia" w:hAnsi="Georgia"/>
          <w:iCs/>
        </w:rPr>
      </w:pPr>
      <w:r w:rsidRPr="008E1B5D">
        <w:rPr>
          <w:rFonts w:ascii="Georgia" w:hAnsi="Georgia"/>
          <w:iCs/>
        </w:rPr>
        <w:t xml:space="preserve">3) Submits a plan outlining steps to prevent fraud, waste, and abuse. </w:t>
      </w:r>
    </w:p>
    <w:p w:rsidR="008E1B5D" w:rsidRPr="008E1B5D" w:rsidRDefault="008E1B5D" w:rsidP="008E1B5D">
      <w:pPr>
        <w:spacing w:after="0"/>
        <w:ind w:left="1080"/>
        <w:rPr>
          <w:rFonts w:ascii="Georgia" w:hAnsi="Georgia"/>
          <w:iCs/>
        </w:rPr>
      </w:pPr>
      <w:r w:rsidRPr="008E1B5D">
        <w:rPr>
          <w:rFonts w:ascii="Georgia" w:hAnsi="Georgia"/>
          <w:iCs/>
        </w:rPr>
        <w:t xml:space="preserve">D. Submits a plan describing how capacity for providing assistance to individuals and small businesses in the State will be created, continued, and/or expanded, including provision for a call center. </w:t>
      </w:r>
      <w:r w:rsidRPr="008E1B5D">
        <w:rPr>
          <w:rFonts w:ascii="Georgia" w:hAnsi="Georgia"/>
          <w:iCs/>
        </w:rPr>
        <w:br/>
      </w:r>
    </w:p>
    <w:p w:rsidR="00357196" w:rsidRPr="008E1B5D" w:rsidRDefault="00733DE1" w:rsidP="00357196">
      <w:pPr>
        <w:spacing w:after="0"/>
        <w:rPr>
          <w:rFonts w:ascii="Georgia" w:hAnsi="Georgia" w:cs="Times New Roman"/>
        </w:rPr>
      </w:pPr>
      <w:r w:rsidRPr="008E1B5D">
        <w:rPr>
          <w:rFonts w:ascii="Georgia" w:hAnsi="Georgia" w:cs="Times New Roman"/>
        </w:rPr>
        <w:t>In the months following the publication of</w:t>
      </w:r>
      <w:r w:rsidR="007E2C88">
        <w:rPr>
          <w:rFonts w:ascii="Georgia" w:hAnsi="Georgia" w:cs="Times New Roman"/>
        </w:rPr>
        <w:t xml:space="preserve"> this FOA</w:t>
      </w:r>
      <w:r w:rsidR="003D5738" w:rsidRPr="008E1B5D">
        <w:rPr>
          <w:rFonts w:ascii="Georgia" w:hAnsi="Georgia" w:cs="Times New Roman"/>
        </w:rPr>
        <w:t>, we have learned more about the</w:t>
      </w:r>
      <w:r w:rsidRPr="008E1B5D">
        <w:rPr>
          <w:rFonts w:ascii="Georgia" w:hAnsi="Georgia" w:cs="Times New Roman"/>
        </w:rPr>
        <w:t xml:space="preserve"> flexibility available to States as they work to establish Exchanges. </w:t>
      </w:r>
      <w:r w:rsidR="003D5738" w:rsidRPr="008E1B5D">
        <w:rPr>
          <w:rFonts w:ascii="Georgia" w:hAnsi="Georgia" w:cs="Times New Roman"/>
        </w:rPr>
        <w:t>As a result there are some key amendments to the Establishment FOA that would allow for States to continue to apply for</w:t>
      </w:r>
      <w:r w:rsidR="006056FA">
        <w:rPr>
          <w:rFonts w:ascii="Georgia" w:hAnsi="Georgia" w:cs="Times New Roman"/>
        </w:rPr>
        <w:t xml:space="preserve"> Level One </w:t>
      </w:r>
      <w:r w:rsidR="003D5738" w:rsidRPr="008E1B5D">
        <w:rPr>
          <w:rFonts w:ascii="Georgia" w:hAnsi="Georgia" w:cs="Times New Roman"/>
        </w:rPr>
        <w:t xml:space="preserve">funding </w:t>
      </w:r>
      <w:r w:rsidR="00357196">
        <w:rPr>
          <w:rFonts w:ascii="Georgia" w:hAnsi="Georgia" w:cs="Times New Roman"/>
        </w:rPr>
        <w:t xml:space="preserve">into </w:t>
      </w:r>
      <w:r w:rsidR="006056FA">
        <w:rPr>
          <w:rFonts w:ascii="Georgia" w:hAnsi="Georgia" w:cs="Times New Roman"/>
        </w:rPr>
        <w:t>June</w:t>
      </w:r>
      <w:r w:rsidR="00357196">
        <w:rPr>
          <w:rFonts w:ascii="Georgia" w:hAnsi="Georgia" w:cs="Times New Roman"/>
        </w:rPr>
        <w:t xml:space="preserve"> 2012 </w:t>
      </w:r>
      <w:r w:rsidR="003D5738" w:rsidRPr="008E1B5D">
        <w:rPr>
          <w:rFonts w:ascii="Georgia" w:hAnsi="Georgia" w:cs="Times New Roman"/>
        </w:rPr>
        <w:t>as needed to establish Exchanges, as well as provide clarification on use of Establishment grant funds and activities States are to carry out</w:t>
      </w:r>
      <w:r w:rsidR="00341457" w:rsidRPr="008E1B5D">
        <w:rPr>
          <w:rFonts w:ascii="Georgia" w:hAnsi="Georgia" w:cs="Times New Roman"/>
        </w:rPr>
        <w:t xml:space="preserve">.  </w:t>
      </w:r>
      <w:r w:rsidR="007E2C88">
        <w:rPr>
          <w:rFonts w:ascii="Georgia" w:hAnsi="Georgia" w:cs="Times New Roman"/>
        </w:rPr>
        <w:br/>
      </w:r>
      <w:r w:rsidR="007E2C88">
        <w:rPr>
          <w:rFonts w:ascii="Georgia" w:hAnsi="Georgia" w:cs="Times New Roman"/>
        </w:rPr>
        <w:br/>
        <w:t xml:space="preserve">We do not anticipate </w:t>
      </w:r>
      <w:r w:rsidR="00357196">
        <w:rPr>
          <w:rFonts w:ascii="Georgia" w:hAnsi="Georgia" w:cs="Times New Roman"/>
        </w:rPr>
        <w:t xml:space="preserve">that this amendment will result in </w:t>
      </w:r>
      <w:r w:rsidR="005A06CD">
        <w:rPr>
          <w:rFonts w:ascii="Georgia" w:hAnsi="Georgia" w:cs="Times New Roman"/>
        </w:rPr>
        <w:t>a significant increase</w:t>
      </w:r>
      <w:r w:rsidR="007E2C88">
        <w:rPr>
          <w:rFonts w:ascii="Georgia" w:hAnsi="Georgia" w:cs="Times New Roman"/>
        </w:rPr>
        <w:t xml:space="preserve"> in the burden </w:t>
      </w:r>
      <w:r w:rsidR="00357196">
        <w:rPr>
          <w:rFonts w:ascii="Georgia" w:hAnsi="Georgia" w:cs="Times New Roman"/>
        </w:rPr>
        <w:t xml:space="preserve">to respondents.  </w:t>
      </w:r>
      <w:r w:rsidR="00357196" w:rsidRPr="008E1B5D">
        <w:rPr>
          <w:rFonts w:ascii="Georgia" w:hAnsi="Georgia" w:cs="Times New Roman"/>
        </w:rPr>
        <w:t xml:space="preserve">We are requesting that </w:t>
      </w:r>
      <w:r w:rsidR="005A06CD">
        <w:rPr>
          <w:rFonts w:ascii="Georgia" w:hAnsi="Georgia" w:cs="Times New Roman"/>
        </w:rPr>
        <w:t>non-substantive change</w:t>
      </w:r>
      <w:r w:rsidR="00357196" w:rsidRPr="008E1B5D">
        <w:rPr>
          <w:rFonts w:ascii="Georgia" w:hAnsi="Georgia" w:cs="Times New Roman"/>
        </w:rPr>
        <w:t xml:space="preserve"> for this </w:t>
      </w:r>
      <w:r w:rsidR="005A06CD">
        <w:rPr>
          <w:rFonts w:ascii="Georgia" w:hAnsi="Georgia" w:cs="Times New Roman"/>
        </w:rPr>
        <w:t>package</w:t>
      </w:r>
      <w:r w:rsidR="00357196" w:rsidRPr="008E1B5D">
        <w:rPr>
          <w:rFonts w:ascii="Georgia" w:hAnsi="Georgia" w:cs="Times New Roman"/>
        </w:rPr>
        <w:t xml:space="preserve"> be approved and issued by </w:t>
      </w:r>
      <w:r w:rsidR="005A06CD">
        <w:rPr>
          <w:rFonts w:ascii="Georgia" w:hAnsi="Georgia" w:cs="Times New Roman"/>
        </w:rPr>
        <w:t>15 March 2012</w:t>
      </w:r>
      <w:r w:rsidR="00357196" w:rsidRPr="008E1B5D">
        <w:rPr>
          <w:rFonts w:ascii="Georgia" w:hAnsi="Georgia" w:cs="Times New Roman"/>
        </w:rPr>
        <w:t xml:space="preserve">.  This will </w:t>
      </w:r>
      <w:r w:rsidR="005A06CD">
        <w:rPr>
          <w:rFonts w:ascii="Georgia" w:hAnsi="Georgia" w:cs="Times New Roman"/>
        </w:rPr>
        <w:t xml:space="preserve">provide respondents with ample opportunity to prepare for the change ahead of the 30 April 2012 progress report due date.   </w:t>
      </w:r>
    </w:p>
    <w:p w:rsidR="007E2C88" w:rsidRDefault="007E2C88" w:rsidP="008E1B5D">
      <w:pPr>
        <w:rPr>
          <w:rFonts w:ascii="Georgia" w:hAnsi="Georgia" w:cs="Times New Roman"/>
        </w:rPr>
      </w:pPr>
      <w:r>
        <w:rPr>
          <w:rFonts w:ascii="Georgia" w:hAnsi="Georgia" w:cs="Times New Roman"/>
        </w:rPr>
        <w:br/>
      </w:r>
    </w:p>
    <w:p w:rsidR="007E2C88" w:rsidRPr="007E2C88" w:rsidRDefault="00CC38EB" w:rsidP="00357196">
      <w:pPr>
        <w:spacing w:after="0"/>
        <w:rPr>
          <w:rFonts w:ascii="Georgia" w:hAnsi="Georgia" w:cs="Times New Roman"/>
          <w:b/>
        </w:rPr>
      </w:pPr>
      <w:r>
        <w:rPr>
          <w:rFonts w:ascii="Georgia" w:hAnsi="Georgia" w:cs="Times New Roman"/>
          <w:b/>
        </w:rPr>
        <w:lastRenderedPageBreak/>
        <w:t>Changes</w:t>
      </w:r>
    </w:p>
    <w:p w:rsidR="00341457" w:rsidRPr="008E1B5D" w:rsidRDefault="00CC38EB" w:rsidP="008E1B5D">
      <w:pPr>
        <w:rPr>
          <w:rFonts w:ascii="Georgia" w:hAnsi="Georgia" w:cs="Times New Roman"/>
        </w:rPr>
      </w:pPr>
      <w:r>
        <w:rPr>
          <w:rFonts w:ascii="Georgia" w:hAnsi="Georgia" w:cs="Times New Roman"/>
        </w:rPr>
        <w:t>CCIIO request</w:t>
      </w:r>
      <w:r w:rsidR="00C15C88">
        <w:rPr>
          <w:rFonts w:ascii="Georgia" w:hAnsi="Georgia" w:cs="Times New Roman"/>
        </w:rPr>
        <w:t>s</w:t>
      </w:r>
      <w:r>
        <w:rPr>
          <w:rFonts w:ascii="Georgia" w:hAnsi="Georgia" w:cs="Times New Roman"/>
        </w:rPr>
        <w:t xml:space="preserve"> approval of non-substantive change</w:t>
      </w:r>
      <w:r w:rsidR="00341457" w:rsidRPr="008E1B5D">
        <w:rPr>
          <w:rFonts w:ascii="Georgia" w:hAnsi="Georgia" w:cs="Times New Roman"/>
        </w:rPr>
        <w:t xml:space="preserve"> around </w:t>
      </w:r>
      <w:r>
        <w:rPr>
          <w:rFonts w:ascii="Georgia" w:hAnsi="Georgia" w:cs="Times New Roman"/>
        </w:rPr>
        <w:t>two</w:t>
      </w:r>
      <w:r w:rsidR="00341457" w:rsidRPr="008E1B5D">
        <w:rPr>
          <w:rFonts w:ascii="Georgia" w:hAnsi="Georgia" w:cs="Times New Roman"/>
        </w:rPr>
        <w:t xml:space="preserve"> issues</w:t>
      </w:r>
      <w:r w:rsidR="00876FE1" w:rsidRPr="008E1B5D">
        <w:rPr>
          <w:rFonts w:ascii="Georgia" w:hAnsi="Georgia" w:cs="Times New Roman"/>
        </w:rPr>
        <w:t xml:space="preserve">: </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1) </w:t>
      </w:r>
      <w:r w:rsidR="00CC38EB">
        <w:rPr>
          <w:rFonts w:ascii="Georgia" w:hAnsi="Georgia" w:cs="Times New Roman"/>
        </w:rPr>
        <w:t>System Development Lifecycle (</w:t>
      </w:r>
      <w:r w:rsidR="00E41EE2">
        <w:rPr>
          <w:rFonts w:ascii="Georgia" w:hAnsi="Georgia" w:cs="Times New Roman"/>
        </w:rPr>
        <w:t>SDLC</w:t>
      </w:r>
      <w:r w:rsidR="00CC38EB">
        <w:rPr>
          <w:rFonts w:ascii="Georgia" w:hAnsi="Georgia" w:cs="Times New Roman"/>
        </w:rPr>
        <w:t>)</w:t>
      </w:r>
      <w:r w:rsidR="00E41EE2">
        <w:rPr>
          <w:rFonts w:ascii="Georgia" w:hAnsi="Georgia" w:cs="Times New Roman"/>
        </w:rPr>
        <w:t xml:space="preserve"> Reviews </w:t>
      </w:r>
      <w:r w:rsidR="00D90A5D">
        <w:rPr>
          <w:rFonts w:ascii="Georgia" w:hAnsi="Georgia" w:cs="Times New Roman"/>
        </w:rPr>
        <w:t xml:space="preserve">and On-Site Performance Reviews will be </w:t>
      </w:r>
      <w:r w:rsidR="00CC38EB">
        <w:rPr>
          <w:rFonts w:ascii="Georgia" w:hAnsi="Georgia" w:cs="Times New Roman"/>
        </w:rPr>
        <w:t>conducted together</w:t>
      </w:r>
      <w:r w:rsidR="00D90A5D">
        <w:rPr>
          <w:rFonts w:ascii="Georgia" w:hAnsi="Georgia" w:cs="Times New Roman"/>
        </w:rPr>
        <w:t xml:space="preserve"> and re</w:t>
      </w:r>
      <w:r w:rsidR="00E41EE2">
        <w:rPr>
          <w:rFonts w:ascii="Georgia" w:hAnsi="Georgia" w:cs="Times New Roman"/>
        </w:rPr>
        <w:t xml:space="preserve">named </w:t>
      </w:r>
      <w:r w:rsidR="00CC38EB">
        <w:rPr>
          <w:rFonts w:ascii="Georgia" w:hAnsi="Georgia" w:cs="Times New Roman"/>
        </w:rPr>
        <w:t>“</w:t>
      </w:r>
      <w:r w:rsidR="00E41EE2">
        <w:rPr>
          <w:rFonts w:ascii="Georgia" w:hAnsi="Georgia" w:cs="Times New Roman"/>
        </w:rPr>
        <w:t xml:space="preserve">Establishment </w:t>
      </w:r>
      <w:r w:rsidR="00CC38EB">
        <w:rPr>
          <w:rFonts w:ascii="Georgia" w:hAnsi="Georgia" w:cs="Times New Roman"/>
        </w:rPr>
        <w:t>R</w:t>
      </w:r>
      <w:r w:rsidR="00E41EE2">
        <w:rPr>
          <w:rFonts w:ascii="Georgia" w:hAnsi="Georgia" w:cs="Times New Roman"/>
        </w:rPr>
        <w:t>eviews</w:t>
      </w:r>
      <w:r w:rsidR="00CC38EB">
        <w:rPr>
          <w:rFonts w:ascii="Georgia" w:hAnsi="Georgia" w:cs="Times New Roman"/>
        </w:rPr>
        <w:t>”</w:t>
      </w:r>
    </w:p>
    <w:p w:rsidR="003D5738" w:rsidRDefault="00CC38EB" w:rsidP="00357196">
      <w:pPr>
        <w:spacing w:after="0"/>
        <w:ind w:left="720"/>
        <w:rPr>
          <w:rFonts w:ascii="Georgia" w:hAnsi="Georgia" w:cs="Times New Roman"/>
        </w:rPr>
      </w:pPr>
      <w:r>
        <w:rPr>
          <w:rFonts w:ascii="Georgia" w:hAnsi="Georgia" w:cs="Times New Roman"/>
        </w:rPr>
        <w:t>2</w:t>
      </w:r>
      <w:r w:rsidR="00341457" w:rsidRPr="008E1B5D">
        <w:rPr>
          <w:rFonts w:ascii="Georgia" w:hAnsi="Georgia" w:cs="Times New Roman"/>
        </w:rPr>
        <w:t xml:space="preserve">) </w:t>
      </w:r>
      <w:r w:rsidR="00E41EE2">
        <w:rPr>
          <w:rFonts w:ascii="Georgia" w:hAnsi="Georgia" w:cs="Times New Roman"/>
        </w:rPr>
        <w:t>Requirements will be revised to reduce duplicative reporting and decrease burden</w:t>
      </w:r>
    </w:p>
    <w:p w:rsidR="00CC38EB" w:rsidRDefault="00CC38EB" w:rsidP="00CC38EB">
      <w:pPr>
        <w:spacing w:after="0"/>
        <w:rPr>
          <w:rFonts w:ascii="Georgia" w:hAnsi="Georgia" w:cs="Times New Roman"/>
        </w:rPr>
      </w:pPr>
    </w:p>
    <w:p w:rsidR="00CC38EB" w:rsidRPr="00CC38EB" w:rsidRDefault="00CC38EB" w:rsidP="00CC38EB">
      <w:pPr>
        <w:spacing w:after="0"/>
        <w:rPr>
          <w:rFonts w:ascii="Georgia" w:hAnsi="Georgia" w:cs="Times New Roman"/>
          <w:i/>
        </w:rPr>
      </w:pPr>
      <w:r w:rsidRPr="00CC38EB">
        <w:rPr>
          <w:rFonts w:ascii="Georgia" w:hAnsi="Georgia" w:cs="Times New Roman"/>
          <w:i/>
        </w:rPr>
        <w:t>1) SDLC Reviews and On-Site Performance Reviews will be conducted together and renamed “Establishment Reviews</w:t>
      </w:r>
      <w:r w:rsidR="00150DFB">
        <w:rPr>
          <w:rFonts w:ascii="Georgia" w:hAnsi="Georgia" w:cs="Times New Roman"/>
          <w:i/>
        </w:rPr>
        <w:t>.</w:t>
      </w:r>
      <w:r w:rsidRPr="00CC38EB">
        <w:rPr>
          <w:rFonts w:ascii="Georgia" w:hAnsi="Georgia" w:cs="Times New Roman"/>
          <w:i/>
        </w:rPr>
        <w:t>”</w:t>
      </w:r>
    </w:p>
    <w:p w:rsidR="00CC38EB" w:rsidRDefault="00CC38EB" w:rsidP="00CC38EB">
      <w:pPr>
        <w:spacing w:after="0"/>
        <w:rPr>
          <w:rFonts w:ascii="Georgia" w:hAnsi="Georgia" w:cs="Times New Roman"/>
        </w:rPr>
      </w:pPr>
    </w:p>
    <w:p w:rsidR="00E1546B" w:rsidRDefault="00CC38EB" w:rsidP="00E1546B">
      <w:pPr>
        <w:spacing w:after="0"/>
        <w:rPr>
          <w:rFonts w:ascii="Georgia" w:hAnsi="Georgia" w:cs="Times New Roman"/>
        </w:rPr>
      </w:pPr>
      <w:r>
        <w:rPr>
          <w:rFonts w:ascii="Georgia" w:hAnsi="Georgia" w:cs="Times New Roman"/>
        </w:rPr>
        <w:t>The current FOA describes two types of periodic collaborative reviews processes conducted between CCIIO and the gr</w:t>
      </w:r>
      <w:r w:rsidR="00E1546B">
        <w:rPr>
          <w:rFonts w:ascii="Georgia" w:hAnsi="Georgia" w:cs="Times New Roman"/>
        </w:rPr>
        <w:t>ant entity over the course of establishing an Exchange: four to six SDLC Reviews, and as-needed on-site performance reviews to address technical assistance needs.</w:t>
      </w:r>
      <w:r>
        <w:rPr>
          <w:rFonts w:ascii="Georgia" w:hAnsi="Georgia" w:cs="Times New Roman"/>
        </w:rPr>
        <w:t xml:space="preserve">  </w:t>
      </w:r>
      <w:r w:rsidR="00E1546B">
        <w:rPr>
          <w:rFonts w:ascii="Georgia" w:hAnsi="Georgia" w:cs="Times New Roman"/>
        </w:rPr>
        <w:t>This version proposes two key changes to that process:</w:t>
      </w:r>
    </w:p>
    <w:p w:rsidR="00E1546B" w:rsidRDefault="00E1546B" w:rsidP="00E1546B">
      <w:pPr>
        <w:pStyle w:val="ListParagraph"/>
        <w:numPr>
          <w:ilvl w:val="0"/>
          <w:numId w:val="13"/>
        </w:numPr>
        <w:rPr>
          <w:rFonts w:ascii="Georgia" w:hAnsi="Georgia"/>
        </w:rPr>
      </w:pPr>
      <w:r>
        <w:rPr>
          <w:rFonts w:ascii="Georgia" w:hAnsi="Georgia"/>
        </w:rPr>
        <w:t>Conduct the SDLC Reviews and Performance Reviews together as an Establishment Review</w:t>
      </w:r>
      <w:r w:rsidR="00150DFB">
        <w:rPr>
          <w:rFonts w:ascii="Georgia" w:hAnsi="Georgia"/>
        </w:rPr>
        <w:t>.</w:t>
      </w:r>
    </w:p>
    <w:p w:rsidR="00E1546B" w:rsidRPr="00E1546B" w:rsidRDefault="00E1546B" w:rsidP="00E1546B">
      <w:pPr>
        <w:pStyle w:val="ListParagraph"/>
        <w:numPr>
          <w:ilvl w:val="0"/>
          <w:numId w:val="13"/>
        </w:numPr>
        <w:rPr>
          <w:rFonts w:ascii="Georgia" w:hAnsi="Georgia"/>
        </w:rPr>
      </w:pPr>
      <w:r>
        <w:rPr>
          <w:rFonts w:ascii="Georgia" w:hAnsi="Georgia"/>
        </w:rPr>
        <w:t xml:space="preserve">Reduce the total number of collaborative reviews to three. </w:t>
      </w:r>
    </w:p>
    <w:p w:rsidR="00CC38EB" w:rsidRPr="00E1546B" w:rsidRDefault="00CC38EB" w:rsidP="00CC38EB">
      <w:pPr>
        <w:spacing w:after="0"/>
        <w:rPr>
          <w:rFonts w:ascii="Georgia" w:hAnsi="Georgia" w:cs="Times New Roman"/>
          <w:i/>
        </w:rPr>
      </w:pPr>
    </w:p>
    <w:p w:rsidR="00E1546B" w:rsidRPr="009C62CA" w:rsidRDefault="00E1546B" w:rsidP="00E1546B">
      <w:pPr>
        <w:spacing w:after="0"/>
        <w:rPr>
          <w:rFonts w:ascii="Georgia" w:hAnsi="Georgia" w:cs="Times New Roman"/>
          <w:i/>
        </w:rPr>
      </w:pPr>
      <w:r w:rsidRPr="00E1546B">
        <w:rPr>
          <w:rFonts w:ascii="Georgia" w:hAnsi="Georgia" w:cs="Times New Roman"/>
          <w:i/>
        </w:rPr>
        <w:t xml:space="preserve">2) Requirements will be </w:t>
      </w:r>
      <w:r w:rsidRPr="009C62CA">
        <w:rPr>
          <w:rFonts w:ascii="Georgia" w:hAnsi="Georgia" w:cs="Times New Roman"/>
          <w:i/>
        </w:rPr>
        <w:t>revised to reduce duplicative reporting and decrease burden</w:t>
      </w:r>
      <w:r w:rsidR="00150DFB" w:rsidRPr="009C62CA">
        <w:rPr>
          <w:rFonts w:ascii="Georgia" w:hAnsi="Georgia" w:cs="Times New Roman"/>
          <w:i/>
        </w:rPr>
        <w:t>.</w:t>
      </w:r>
    </w:p>
    <w:p w:rsidR="00150DFB" w:rsidRPr="009C62CA" w:rsidRDefault="00150DFB" w:rsidP="00E1546B">
      <w:pPr>
        <w:spacing w:after="0"/>
        <w:rPr>
          <w:rFonts w:ascii="Georgia" w:hAnsi="Georgia" w:cs="Times New Roman"/>
          <w:i/>
        </w:rPr>
      </w:pPr>
    </w:p>
    <w:p w:rsidR="00150DFB" w:rsidRPr="009C62CA" w:rsidRDefault="00150DFB" w:rsidP="00E1546B">
      <w:pPr>
        <w:spacing w:after="0"/>
        <w:rPr>
          <w:rFonts w:ascii="Georgia" w:hAnsi="Georgia" w:cs="Times New Roman"/>
        </w:rPr>
      </w:pPr>
      <w:r w:rsidRPr="009C62CA">
        <w:rPr>
          <w:rFonts w:ascii="Georgia" w:hAnsi="Georgia" w:cs="Times New Roman"/>
        </w:rPr>
        <w:t xml:space="preserve">The current FOA requires quarterly progress reports.  Due to the more holistic information collection approach envisioned in an Establishment Review, CCIIO proposes to reduce the frequency with which grantees are required to provide additional progress data: </w:t>
      </w:r>
    </w:p>
    <w:p w:rsidR="00150DFB" w:rsidRPr="009C62CA" w:rsidRDefault="00150DFB" w:rsidP="00150DFB">
      <w:pPr>
        <w:pStyle w:val="ListParagraph"/>
        <w:numPr>
          <w:ilvl w:val="0"/>
          <w:numId w:val="14"/>
        </w:numPr>
        <w:rPr>
          <w:rFonts w:ascii="Georgia" w:hAnsi="Georgia"/>
        </w:rPr>
      </w:pPr>
      <w:r w:rsidRPr="009C62CA">
        <w:rPr>
          <w:rFonts w:ascii="Georgia" w:hAnsi="Georgia"/>
        </w:rPr>
        <w:t xml:space="preserve">Progress reports will be </w:t>
      </w:r>
      <w:r w:rsidR="0078003F">
        <w:rPr>
          <w:rFonts w:ascii="Georgia" w:hAnsi="Georgia"/>
        </w:rPr>
        <w:t>reduced from one per quarter to one every six months, with the final progress report serving as a cumulative final report</w:t>
      </w:r>
      <w:r w:rsidR="003400C5">
        <w:rPr>
          <w:rFonts w:ascii="Georgia" w:hAnsi="Georgia"/>
        </w:rPr>
        <w:t>, due no later than ninety days after the end of the project period</w:t>
      </w:r>
      <w:r w:rsidRPr="009C62CA">
        <w:rPr>
          <w:rFonts w:ascii="Georgia" w:hAnsi="Georgia"/>
        </w:rPr>
        <w:t xml:space="preserve">.  </w:t>
      </w:r>
    </w:p>
    <w:p w:rsidR="00150DFB" w:rsidRPr="009C62CA" w:rsidRDefault="00980075" w:rsidP="00150DFB">
      <w:pPr>
        <w:pStyle w:val="ListParagraph"/>
        <w:numPr>
          <w:ilvl w:val="0"/>
          <w:numId w:val="14"/>
        </w:numPr>
        <w:rPr>
          <w:rFonts w:ascii="Georgia" w:hAnsi="Georgia"/>
        </w:rPr>
      </w:pPr>
      <w:r w:rsidRPr="009C62CA">
        <w:rPr>
          <w:rFonts w:ascii="Georgia" w:hAnsi="Georgia"/>
        </w:rPr>
        <w:t>For reporting periods in which a grantee successfully completes an Establishment Review, they will submit a condensed progress report to supplement</w:t>
      </w:r>
      <w:r w:rsidR="0078003F">
        <w:rPr>
          <w:rFonts w:ascii="Georgia" w:hAnsi="Georgia"/>
        </w:rPr>
        <w:t xml:space="preserve"> and update</w:t>
      </w:r>
      <w:r w:rsidRPr="009C62CA">
        <w:rPr>
          <w:rFonts w:ascii="Georgia" w:hAnsi="Georgia"/>
        </w:rPr>
        <w:t xml:space="preserve"> any program areas </w:t>
      </w:r>
      <w:r w:rsidR="0078003F">
        <w:rPr>
          <w:rFonts w:ascii="Georgia" w:hAnsi="Georgia"/>
        </w:rPr>
        <w:t>or</w:t>
      </w:r>
      <w:r w:rsidRPr="009C62CA">
        <w:rPr>
          <w:rFonts w:ascii="Georgia" w:hAnsi="Georgia"/>
        </w:rPr>
        <w:t xml:space="preserve"> activities not addressed in an Establishment Review process.</w:t>
      </w:r>
    </w:p>
    <w:p w:rsidR="00E1546B" w:rsidRPr="009C62CA" w:rsidRDefault="00E1546B" w:rsidP="00CC38EB">
      <w:pPr>
        <w:spacing w:after="0"/>
        <w:rPr>
          <w:rFonts w:ascii="Georgia" w:hAnsi="Georgia" w:cs="Times New Roman"/>
        </w:rPr>
      </w:pPr>
    </w:p>
    <w:p w:rsidR="00CC38EB" w:rsidRPr="009C62CA" w:rsidRDefault="00CC38EB" w:rsidP="00CC38EB">
      <w:pPr>
        <w:spacing w:after="0"/>
        <w:rPr>
          <w:rFonts w:ascii="Georgia" w:hAnsi="Georgia" w:cs="Times New Roman"/>
        </w:rPr>
      </w:pPr>
    </w:p>
    <w:p w:rsidR="009731D8" w:rsidRDefault="00CC38EB" w:rsidP="00CC38EB">
      <w:pPr>
        <w:spacing w:after="0"/>
        <w:rPr>
          <w:rFonts w:ascii="Georgia" w:hAnsi="Georgia" w:cs="Times New Roman"/>
          <w:b/>
        </w:rPr>
      </w:pPr>
      <w:r w:rsidRPr="009C62CA">
        <w:rPr>
          <w:rFonts w:ascii="Georgia" w:hAnsi="Georgia" w:cs="Times New Roman"/>
          <w:b/>
        </w:rPr>
        <w:t>Anticipated Burden Impact</w:t>
      </w:r>
    </w:p>
    <w:p w:rsidR="009731D8" w:rsidRDefault="009731D8" w:rsidP="00CC38EB">
      <w:pPr>
        <w:spacing w:after="0"/>
        <w:rPr>
          <w:rFonts w:ascii="Georgia" w:hAnsi="Georgia" w:cs="Times New Roman"/>
          <w:b/>
        </w:rPr>
      </w:pPr>
    </w:p>
    <w:p w:rsidR="009731D8" w:rsidRDefault="009731D8" w:rsidP="00CC38EB">
      <w:pPr>
        <w:spacing w:after="0"/>
        <w:rPr>
          <w:rFonts w:ascii="Georgia" w:hAnsi="Georgia" w:cs="Times New Roman"/>
        </w:rPr>
      </w:pPr>
      <w:r w:rsidRPr="009731D8">
        <w:rPr>
          <w:rFonts w:ascii="Georgia" w:hAnsi="Georgia" w:cs="Times New Roman"/>
        </w:rPr>
        <w:t xml:space="preserve">CCIIO anticipates there will be no increase in burden to grantees based on this change.  </w:t>
      </w:r>
      <w:r>
        <w:rPr>
          <w:rFonts w:ascii="Georgia" w:hAnsi="Georgia" w:cs="Times New Roman"/>
        </w:rPr>
        <w:t xml:space="preserve">Based on the reduced frequency of progress report submission, we anticipate an annual decrease in total respondent burden.  </w:t>
      </w:r>
    </w:p>
    <w:p w:rsidR="000752B4" w:rsidRDefault="000752B4" w:rsidP="00CC38EB">
      <w:pPr>
        <w:spacing w:after="0"/>
        <w:rPr>
          <w:rFonts w:ascii="Georgia" w:hAnsi="Georgia" w:cs="Times New Roman"/>
        </w:rPr>
      </w:pPr>
    </w:p>
    <w:p w:rsidR="000752B4" w:rsidRPr="009731D8" w:rsidRDefault="000752B4" w:rsidP="00CC38EB">
      <w:pPr>
        <w:spacing w:after="0"/>
        <w:rPr>
          <w:rFonts w:ascii="Georgia" w:hAnsi="Georgia" w:cs="Times New Roman"/>
        </w:rPr>
        <w:sectPr w:rsidR="000752B4" w:rsidRPr="009731D8" w:rsidSect="009731D8">
          <w:footerReference w:type="default" r:id="rId7"/>
          <w:pgSz w:w="12240" w:h="15840"/>
          <w:pgMar w:top="1440" w:right="1080" w:bottom="1440" w:left="1080" w:header="720" w:footer="720" w:gutter="0"/>
          <w:cols w:space="720"/>
          <w:docGrid w:linePitch="360"/>
        </w:sectPr>
      </w:pPr>
      <w:r>
        <w:rPr>
          <w:rFonts w:ascii="Georgia" w:hAnsi="Georgia" w:cs="Times New Roman"/>
        </w:rPr>
        <w:t xml:space="preserve">CCIIO does not anticipate a change in grantee burden associated with the combination of SDLC Gate Reviews and On-Site Performance Reviews into Establishment Reviews. </w:t>
      </w:r>
    </w:p>
    <w:p w:rsidR="009731D8" w:rsidRDefault="009731D8" w:rsidP="009731D8">
      <w:pPr>
        <w:pStyle w:val="Heading3"/>
        <w:spacing w:before="0"/>
      </w:pPr>
      <w:r w:rsidRPr="000274BD">
        <w:lastRenderedPageBreak/>
        <w:t xml:space="preserve">Summary of </w:t>
      </w:r>
      <w:r>
        <w:t xml:space="preserve">Establishment Grant Reporting </w:t>
      </w:r>
      <w:r w:rsidRPr="000274BD">
        <w:t>Requirements</w:t>
      </w:r>
    </w:p>
    <w:tbl>
      <w:tblPr>
        <w:tblStyle w:val="LightGrid-Accent11"/>
        <w:tblW w:w="13464" w:type="dxa"/>
        <w:tblLook w:val="04A0"/>
      </w:tblPr>
      <w:tblGrid>
        <w:gridCol w:w="1638"/>
        <w:gridCol w:w="4050"/>
        <w:gridCol w:w="7776"/>
      </w:tblGrid>
      <w:tr w:rsidR="00E30A28" w:rsidRPr="00AD7445" w:rsidTr="00295BEA">
        <w:trPr>
          <w:cnfStyle w:val="100000000000"/>
          <w:trHeight w:val="574"/>
        </w:trPr>
        <w:tc>
          <w:tcPr>
            <w:cnfStyle w:val="001000000000"/>
            <w:tcW w:w="1638" w:type="dxa"/>
          </w:tcPr>
          <w:p w:rsidR="00E30A28" w:rsidRPr="00AD7445" w:rsidRDefault="00E30A28" w:rsidP="00295BEA">
            <w:pPr>
              <w:jc w:val="center"/>
              <w:rPr>
                <w:rFonts w:asciiTheme="minorHAnsi" w:hAnsiTheme="minorHAnsi" w:cstheme="minorHAnsi"/>
                <w:sz w:val="24"/>
                <w:szCs w:val="24"/>
              </w:rPr>
            </w:pPr>
            <w:r w:rsidRPr="00AD7445">
              <w:rPr>
                <w:rFonts w:asciiTheme="minorHAnsi" w:hAnsiTheme="minorHAnsi" w:cstheme="minorHAnsi"/>
                <w:sz w:val="24"/>
                <w:szCs w:val="24"/>
              </w:rPr>
              <w:t>Grant Report</w:t>
            </w:r>
          </w:p>
        </w:tc>
        <w:tc>
          <w:tcPr>
            <w:tcW w:w="4050" w:type="dxa"/>
          </w:tcPr>
          <w:p w:rsidR="00E30A28" w:rsidRPr="00AD7445" w:rsidRDefault="00E30A28" w:rsidP="00295BEA">
            <w:pPr>
              <w:jc w:val="center"/>
              <w:cnfStyle w:val="100000000000"/>
              <w:rPr>
                <w:rFonts w:asciiTheme="minorHAnsi" w:hAnsiTheme="minorHAnsi" w:cstheme="minorHAnsi"/>
                <w:sz w:val="24"/>
                <w:szCs w:val="24"/>
              </w:rPr>
            </w:pPr>
            <w:r w:rsidRPr="00AD7445">
              <w:rPr>
                <w:rFonts w:asciiTheme="minorHAnsi" w:hAnsiTheme="minorHAnsi" w:cstheme="minorHAnsi"/>
                <w:sz w:val="24"/>
                <w:szCs w:val="24"/>
              </w:rPr>
              <w:t>Previous Requirement</w:t>
            </w:r>
          </w:p>
        </w:tc>
        <w:tc>
          <w:tcPr>
            <w:tcW w:w="7776" w:type="dxa"/>
          </w:tcPr>
          <w:p w:rsidR="00E30A28" w:rsidRPr="00AD7445" w:rsidRDefault="00E30A28" w:rsidP="00295BEA">
            <w:pPr>
              <w:jc w:val="center"/>
              <w:cnfStyle w:val="100000000000"/>
              <w:rPr>
                <w:rFonts w:asciiTheme="minorHAnsi" w:hAnsiTheme="minorHAnsi" w:cstheme="minorHAnsi"/>
                <w:sz w:val="24"/>
                <w:szCs w:val="24"/>
              </w:rPr>
            </w:pPr>
            <w:r w:rsidRPr="00AD7445">
              <w:rPr>
                <w:rFonts w:asciiTheme="minorHAnsi" w:hAnsiTheme="minorHAnsi" w:cstheme="minorHAnsi"/>
                <w:sz w:val="24"/>
                <w:szCs w:val="24"/>
              </w:rPr>
              <w:t>New Requirement</w:t>
            </w:r>
          </w:p>
        </w:tc>
      </w:tr>
      <w:tr w:rsidR="00E30A28" w:rsidRPr="00AD7445" w:rsidTr="00295BEA">
        <w:trPr>
          <w:cnfStyle w:val="000000100000"/>
          <w:trHeight w:val="331"/>
        </w:trPr>
        <w:tc>
          <w:tcPr>
            <w:cnfStyle w:val="001000000000"/>
            <w:tcW w:w="1638" w:type="dxa"/>
            <w:tcBorders>
              <w:top w:val="single" w:sz="18" w:space="0" w:color="4F81BD" w:themeColor="accent1"/>
            </w:tcBorders>
          </w:tcPr>
          <w:p w:rsidR="00E30A28" w:rsidRPr="00AD7445" w:rsidRDefault="00E30A28" w:rsidP="00295BEA">
            <w:pPr>
              <w:rPr>
                <w:rFonts w:asciiTheme="minorHAnsi" w:hAnsiTheme="minorHAnsi" w:cstheme="minorHAnsi"/>
                <w:sz w:val="24"/>
                <w:szCs w:val="24"/>
              </w:rPr>
            </w:pPr>
            <w:r w:rsidRPr="00AD7445">
              <w:rPr>
                <w:rFonts w:asciiTheme="minorHAnsi" w:hAnsiTheme="minorHAnsi" w:cstheme="minorHAnsi"/>
                <w:sz w:val="24"/>
                <w:szCs w:val="24"/>
              </w:rPr>
              <w:t>Progress Report</w:t>
            </w:r>
          </w:p>
        </w:tc>
        <w:tc>
          <w:tcPr>
            <w:tcW w:w="4050" w:type="dxa"/>
            <w:tcBorders>
              <w:top w:val="single" w:sz="18" w:space="0" w:color="4F81BD" w:themeColor="accent1"/>
            </w:tcBorders>
          </w:tcPr>
          <w:p w:rsidR="00E30A28" w:rsidRPr="00AD7445" w:rsidRDefault="00E30A28" w:rsidP="00295BEA">
            <w:pPr>
              <w:cnfStyle w:val="000000100000"/>
              <w:rPr>
                <w:rFonts w:asciiTheme="minorHAnsi" w:hAnsiTheme="minorHAnsi" w:cstheme="minorHAnsi"/>
                <w:sz w:val="24"/>
                <w:szCs w:val="24"/>
              </w:rPr>
            </w:pPr>
            <w:r>
              <w:rPr>
                <w:rFonts w:asciiTheme="minorHAnsi" w:hAnsiTheme="minorHAnsi" w:cstheme="minorHAnsi"/>
                <w:sz w:val="24"/>
                <w:szCs w:val="24"/>
              </w:rPr>
              <w:t xml:space="preserve">For all grantees: </w:t>
            </w:r>
            <w:r w:rsidRPr="00AD7445">
              <w:rPr>
                <w:rFonts w:asciiTheme="minorHAnsi" w:hAnsiTheme="minorHAnsi" w:cstheme="minorHAnsi"/>
                <w:sz w:val="24"/>
                <w:szCs w:val="24"/>
              </w:rPr>
              <w:t>Submit quarterly based on the template provided at the time of award.</w:t>
            </w:r>
          </w:p>
        </w:tc>
        <w:tc>
          <w:tcPr>
            <w:tcW w:w="7776" w:type="dxa"/>
            <w:tcBorders>
              <w:top w:val="single" w:sz="18" w:space="0" w:color="4F81BD" w:themeColor="accent1"/>
            </w:tcBorders>
          </w:tcPr>
          <w:p w:rsidR="00E30A28" w:rsidRPr="00AD7445" w:rsidRDefault="00E30A28" w:rsidP="00E30A28">
            <w:pPr>
              <w:pStyle w:val="ListParagraph"/>
              <w:numPr>
                <w:ilvl w:val="0"/>
                <w:numId w:val="15"/>
              </w:numPr>
              <w:ind w:left="289" w:hanging="180"/>
              <w:contextualSpacing/>
              <w:cnfStyle w:val="000000100000"/>
              <w:rPr>
                <w:rFonts w:asciiTheme="minorHAnsi" w:hAnsiTheme="minorHAnsi" w:cstheme="minorHAnsi"/>
                <w:sz w:val="22"/>
                <w:szCs w:val="22"/>
              </w:rPr>
            </w:pPr>
            <w:r w:rsidRPr="00AD7445">
              <w:rPr>
                <w:rFonts w:asciiTheme="minorHAnsi" w:hAnsiTheme="minorHAnsi" w:cstheme="minorHAnsi"/>
                <w:b/>
                <w:sz w:val="22"/>
                <w:szCs w:val="22"/>
                <w:u w:val="single"/>
              </w:rPr>
              <w:t>If you have successfully completed an Establishment Review in the past two calendar</w:t>
            </w:r>
            <w:r>
              <w:rPr>
                <w:rFonts w:asciiTheme="minorHAnsi" w:hAnsiTheme="minorHAnsi" w:cstheme="minorHAnsi"/>
                <w:b/>
                <w:sz w:val="22"/>
                <w:szCs w:val="22"/>
                <w:u w:val="single"/>
              </w:rPr>
              <w:t xml:space="preserve"> </w:t>
            </w:r>
            <w:r w:rsidRPr="00AD7445">
              <w:rPr>
                <w:rFonts w:asciiTheme="minorHAnsi" w:hAnsiTheme="minorHAnsi" w:cstheme="minorHAnsi"/>
                <w:b/>
                <w:sz w:val="22"/>
                <w:szCs w:val="22"/>
                <w:u w:val="single"/>
              </w:rPr>
              <w:t>quarters:</w:t>
            </w:r>
            <w:r w:rsidRPr="00AD7445">
              <w:rPr>
                <w:rFonts w:asciiTheme="minorHAnsi" w:hAnsiTheme="minorHAnsi" w:cstheme="minorHAnsi"/>
                <w:b/>
                <w:sz w:val="22"/>
                <w:szCs w:val="22"/>
              </w:rPr>
              <w:t xml:space="preserve"> </w:t>
            </w:r>
            <w:r w:rsidRPr="00AD7445">
              <w:rPr>
                <w:rFonts w:asciiTheme="minorHAnsi" w:hAnsiTheme="minorHAnsi" w:cstheme="minorHAnsi"/>
                <w:b/>
                <w:sz w:val="22"/>
                <w:szCs w:val="22"/>
              </w:rPr>
              <w:br/>
            </w:r>
            <w:r w:rsidRPr="00AD7445">
              <w:rPr>
                <w:rFonts w:asciiTheme="minorHAnsi" w:hAnsiTheme="minorHAnsi" w:cstheme="minorHAnsi"/>
                <w:sz w:val="22"/>
                <w:szCs w:val="22"/>
              </w:rPr>
              <w:t xml:space="preserve">Submit a </w:t>
            </w:r>
            <w:r w:rsidRPr="00AD7445">
              <w:rPr>
                <w:rFonts w:asciiTheme="minorHAnsi" w:hAnsiTheme="minorHAnsi" w:cstheme="minorHAnsi"/>
                <w:b/>
                <w:sz w:val="22"/>
                <w:szCs w:val="22"/>
                <w:u w:val="single"/>
              </w:rPr>
              <w:t>short-</w:t>
            </w:r>
            <w:r w:rsidRPr="00CD5841">
              <w:rPr>
                <w:rFonts w:asciiTheme="minorHAnsi" w:hAnsiTheme="minorHAnsi" w:cstheme="minorHAnsi"/>
                <w:b/>
                <w:sz w:val="22"/>
                <w:szCs w:val="22"/>
                <w:u w:val="single"/>
              </w:rPr>
              <w:t>form</w:t>
            </w:r>
            <w:r w:rsidRPr="00CD5841">
              <w:rPr>
                <w:rFonts w:asciiTheme="minorHAnsi" w:hAnsiTheme="minorHAnsi" w:cstheme="minorHAnsi"/>
                <w:sz w:val="22"/>
                <w:szCs w:val="22"/>
              </w:rPr>
              <w:t xml:space="preserve"> progress update </w:t>
            </w:r>
            <w:r w:rsidRPr="00CD5841">
              <w:rPr>
                <w:rFonts w:asciiTheme="minorHAnsi" w:hAnsiTheme="minorHAnsi" w:cstheme="minorHAnsi"/>
                <w:b/>
                <w:sz w:val="22"/>
                <w:szCs w:val="22"/>
                <w:u w:val="single"/>
              </w:rPr>
              <w:t>every six months,</w:t>
            </w:r>
            <w:r w:rsidRPr="00CD5841">
              <w:rPr>
                <w:rFonts w:asciiTheme="minorHAnsi" w:hAnsiTheme="minorHAnsi" w:cstheme="minorHAnsi"/>
                <w:sz w:val="22"/>
                <w:szCs w:val="22"/>
              </w:rPr>
              <w:t xml:space="preserve"> based on the template provided.   </w:t>
            </w:r>
            <w:r w:rsidRPr="00CD5841">
              <w:rPr>
                <w:rFonts w:asciiTheme="minorHAnsi" w:hAnsiTheme="minorHAnsi" w:cstheme="minorHAnsi"/>
                <w:color w:val="000000"/>
                <w:sz w:val="22"/>
                <w:szCs w:val="22"/>
              </w:rPr>
              <w:t>The final Progress Report will serve as the final project report and should be comprehensive of the work performed throughout the project period.  It is due within 90 days of the end of the project period.</w:t>
            </w:r>
          </w:p>
          <w:p w:rsidR="00E30A28" w:rsidRPr="00AD7445" w:rsidRDefault="00E30A28" w:rsidP="00295BEA">
            <w:pPr>
              <w:ind w:left="289" w:hanging="180"/>
              <w:cnfStyle w:val="000000100000"/>
              <w:rPr>
                <w:rFonts w:asciiTheme="minorHAnsi" w:hAnsiTheme="minorHAnsi" w:cstheme="minorHAnsi"/>
                <w:b/>
                <w:sz w:val="22"/>
                <w:szCs w:val="22"/>
              </w:rPr>
            </w:pPr>
          </w:p>
          <w:p w:rsidR="00E30A28" w:rsidRPr="00AD7445" w:rsidRDefault="00E30A28" w:rsidP="00E30A28">
            <w:pPr>
              <w:pStyle w:val="ListParagraph"/>
              <w:numPr>
                <w:ilvl w:val="0"/>
                <w:numId w:val="15"/>
              </w:numPr>
              <w:ind w:left="289" w:hanging="180"/>
              <w:contextualSpacing/>
              <w:cnfStyle w:val="000000100000"/>
              <w:rPr>
                <w:rFonts w:asciiTheme="minorHAnsi" w:hAnsiTheme="minorHAnsi" w:cstheme="minorHAnsi"/>
                <w:sz w:val="22"/>
                <w:szCs w:val="22"/>
              </w:rPr>
            </w:pPr>
            <w:r w:rsidRPr="00AD7445">
              <w:rPr>
                <w:rFonts w:asciiTheme="minorHAnsi" w:hAnsiTheme="minorHAnsi" w:cstheme="minorHAnsi"/>
                <w:b/>
                <w:sz w:val="22"/>
                <w:szCs w:val="22"/>
                <w:u w:val="single"/>
              </w:rPr>
              <w:t>If you have NOT successfully completed an Establishment Review in the past two calendar quarters:</w:t>
            </w:r>
            <w:r w:rsidRPr="00AD7445">
              <w:rPr>
                <w:rFonts w:asciiTheme="minorHAnsi" w:hAnsiTheme="minorHAnsi" w:cstheme="minorHAnsi"/>
                <w:b/>
                <w:sz w:val="22"/>
                <w:szCs w:val="22"/>
              </w:rPr>
              <w:t xml:space="preserve"> </w:t>
            </w:r>
            <w:r w:rsidRPr="00AD7445">
              <w:rPr>
                <w:rFonts w:asciiTheme="minorHAnsi" w:hAnsiTheme="minorHAnsi" w:cstheme="minorHAnsi"/>
                <w:b/>
                <w:sz w:val="22"/>
                <w:szCs w:val="22"/>
              </w:rPr>
              <w:br/>
            </w:r>
            <w:r w:rsidRPr="00AD7445">
              <w:rPr>
                <w:rFonts w:asciiTheme="minorHAnsi" w:hAnsiTheme="minorHAnsi" w:cstheme="minorHAnsi"/>
                <w:sz w:val="22"/>
                <w:szCs w:val="22"/>
              </w:rPr>
              <w:t xml:space="preserve">Submit a full progress report </w:t>
            </w:r>
            <w:r>
              <w:rPr>
                <w:rFonts w:asciiTheme="minorHAnsi" w:hAnsiTheme="minorHAnsi" w:cstheme="minorHAnsi"/>
                <w:b/>
                <w:sz w:val="22"/>
                <w:szCs w:val="22"/>
                <w:u w:val="single"/>
              </w:rPr>
              <w:t xml:space="preserve">every six months, </w:t>
            </w:r>
            <w:r w:rsidRPr="00AD7445">
              <w:rPr>
                <w:rFonts w:asciiTheme="minorHAnsi" w:hAnsiTheme="minorHAnsi" w:cstheme="minorHAnsi"/>
                <w:sz w:val="22"/>
                <w:szCs w:val="22"/>
              </w:rPr>
              <w:t>based on the template provided.</w:t>
            </w:r>
            <w:r>
              <w:rPr>
                <w:rFonts w:asciiTheme="minorHAnsi" w:hAnsiTheme="minorHAnsi" w:cstheme="minorHAnsi"/>
                <w:sz w:val="22"/>
                <w:szCs w:val="22"/>
              </w:rPr>
              <w:t xml:space="preserve">  </w:t>
            </w:r>
            <w:r w:rsidRPr="00CD5841">
              <w:rPr>
                <w:rFonts w:asciiTheme="minorHAnsi" w:hAnsiTheme="minorHAnsi" w:cstheme="minorHAnsi"/>
                <w:color w:val="000000"/>
                <w:sz w:val="22"/>
                <w:szCs w:val="22"/>
              </w:rPr>
              <w:t>The final Progress Report will serve as the final project report and should be comprehensive of the work performed throughout the project period.  It is due within 90 days of the end of the project period.</w:t>
            </w:r>
          </w:p>
        </w:tc>
      </w:tr>
      <w:tr w:rsidR="00E30A28" w:rsidRPr="00AD7445" w:rsidTr="00295BEA">
        <w:trPr>
          <w:cnfStyle w:val="000000010000"/>
          <w:trHeight w:val="317"/>
        </w:trPr>
        <w:tc>
          <w:tcPr>
            <w:cnfStyle w:val="001000000000"/>
            <w:tcW w:w="1638" w:type="dxa"/>
          </w:tcPr>
          <w:p w:rsidR="00E30A28" w:rsidRPr="00AD7445" w:rsidRDefault="00E30A28" w:rsidP="00295BEA">
            <w:pPr>
              <w:rPr>
                <w:rFonts w:asciiTheme="minorHAnsi" w:hAnsiTheme="minorHAnsi" w:cstheme="minorHAnsi"/>
                <w:sz w:val="24"/>
                <w:szCs w:val="24"/>
              </w:rPr>
            </w:pPr>
            <w:r>
              <w:rPr>
                <w:rFonts w:asciiTheme="minorHAnsi" w:hAnsiTheme="minorHAnsi" w:cstheme="minorHAnsi"/>
                <w:sz w:val="24"/>
                <w:szCs w:val="24"/>
              </w:rPr>
              <w:t>Establishment Review</w:t>
            </w:r>
          </w:p>
        </w:tc>
        <w:tc>
          <w:tcPr>
            <w:tcW w:w="4050" w:type="dxa"/>
          </w:tcPr>
          <w:p w:rsidR="00E30A28" w:rsidRPr="00A4285A" w:rsidRDefault="00E30A28" w:rsidP="00E30A28">
            <w:pPr>
              <w:pStyle w:val="ListParagraph"/>
              <w:numPr>
                <w:ilvl w:val="0"/>
                <w:numId w:val="15"/>
              </w:numPr>
              <w:ind w:left="289" w:hanging="180"/>
              <w:contextualSpacing/>
              <w:cnfStyle w:val="000000010000"/>
              <w:rPr>
                <w:rFonts w:asciiTheme="minorHAnsi" w:hAnsiTheme="minorHAnsi" w:cstheme="minorHAnsi"/>
                <w:sz w:val="22"/>
                <w:szCs w:val="22"/>
              </w:rPr>
            </w:pPr>
            <w:r w:rsidRPr="00A4285A">
              <w:rPr>
                <w:rFonts w:asciiTheme="minorHAnsi" w:hAnsiTheme="minorHAnsi" w:cstheme="minorHAnsi"/>
                <w:sz w:val="22"/>
                <w:szCs w:val="22"/>
              </w:rPr>
              <w:t>Renamed Establishment Reviews</w:t>
            </w:r>
          </w:p>
          <w:p w:rsidR="00E30A28" w:rsidRPr="00A4285A" w:rsidRDefault="00E30A28" w:rsidP="00E30A28">
            <w:pPr>
              <w:pStyle w:val="ListParagraph"/>
              <w:numPr>
                <w:ilvl w:val="0"/>
                <w:numId w:val="15"/>
              </w:numPr>
              <w:ind w:left="289" w:hanging="180"/>
              <w:contextualSpacing/>
              <w:cnfStyle w:val="000000010000"/>
              <w:rPr>
                <w:rFonts w:asciiTheme="minorHAnsi" w:hAnsiTheme="minorHAnsi" w:cstheme="minorHAnsi"/>
                <w:sz w:val="22"/>
                <w:szCs w:val="22"/>
              </w:rPr>
            </w:pPr>
            <w:r w:rsidRPr="00A4285A">
              <w:rPr>
                <w:rFonts w:asciiTheme="minorHAnsi" w:hAnsiTheme="minorHAnsi" w:cstheme="minorHAnsi"/>
                <w:sz w:val="22"/>
                <w:szCs w:val="22"/>
              </w:rPr>
              <w:t>Three reviews over the course of the Exchange Establishment program</w:t>
            </w:r>
          </w:p>
        </w:tc>
        <w:tc>
          <w:tcPr>
            <w:tcW w:w="7776" w:type="dxa"/>
          </w:tcPr>
          <w:p w:rsidR="00E30A28" w:rsidRPr="00A4285A" w:rsidRDefault="00E30A28" w:rsidP="00E30A28">
            <w:pPr>
              <w:pStyle w:val="ListParagraph"/>
              <w:numPr>
                <w:ilvl w:val="0"/>
                <w:numId w:val="15"/>
              </w:numPr>
              <w:ind w:left="289" w:hanging="180"/>
              <w:contextualSpacing/>
              <w:cnfStyle w:val="000000010000"/>
              <w:rPr>
                <w:rFonts w:asciiTheme="minorHAnsi" w:hAnsiTheme="minorHAnsi" w:cstheme="minorHAnsi"/>
                <w:sz w:val="22"/>
                <w:szCs w:val="22"/>
              </w:rPr>
            </w:pPr>
            <w:r w:rsidRPr="00A4285A">
              <w:rPr>
                <w:rFonts w:asciiTheme="minorHAnsi" w:hAnsiTheme="minorHAnsi" w:cstheme="minorHAnsi"/>
                <w:sz w:val="22"/>
                <w:szCs w:val="22"/>
              </w:rPr>
              <w:t>Renamed Establishment Reviews</w:t>
            </w:r>
          </w:p>
          <w:p w:rsidR="00E30A28" w:rsidRPr="00A4285A" w:rsidRDefault="00E30A28" w:rsidP="00E30A28">
            <w:pPr>
              <w:pStyle w:val="ListParagraph"/>
              <w:numPr>
                <w:ilvl w:val="0"/>
                <w:numId w:val="15"/>
              </w:numPr>
              <w:ind w:left="289" w:hanging="180"/>
              <w:contextualSpacing/>
              <w:cnfStyle w:val="000000010000"/>
              <w:rPr>
                <w:rFonts w:asciiTheme="minorHAnsi" w:hAnsiTheme="minorHAnsi" w:cstheme="minorHAnsi"/>
                <w:sz w:val="22"/>
                <w:szCs w:val="22"/>
              </w:rPr>
            </w:pPr>
            <w:r w:rsidRPr="00A4285A">
              <w:rPr>
                <w:rFonts w:asciiTheme="minorHAnsi" w:hAnsiTheme="minorHAnsi" w:cstheme="minorHAnsi"/>
                <w:sz w:val="22"/>
                <w:szCs w:val="22"/>
              </w:rPr>
              <w:t>Three reviews over the course of the Exchange Establishment program</w:t>
            </w:r>
          </w:p>
        </w:tc>
      </w:tr>
      <w:tr w:rsidR="00E30A28" w:rsidRPr="00AD7445" w:rsidTr="00295BEA">
        <w:trPr>
          <w:cnfStyle w:val="000000100000"/>
          <w:trHeight w:val="317"/>
        </w:trPr>
        <w:tc>
          <w:tcPr>
            <w:cnfStyle w:val="001000000000"/>
            <w:tcW w:w="1638" w:type="dxa"/>
            <w:tcBorders>
              <w:bottom w:val="single" w:sz="4" w:space="0" w:color="auto"/>
            </w:tcBorders>
          </w:tcPr>
          <w:p w:rsidR="00E30A28" w:rsidRPr="00AD7445" w:rsidRDefault="00E30A28" w:rsidP="00295BEA">
            <w:pPr>
              <w:rPr>
                <w:rFonts w:asciiTheme="minorHAnsi" w:hAnsiTheme="minorHAnsi" w:cstheme="minorHAnsi"/>
                <w:sz w:val="24"/>
                <w:szCs w:val="24"/>
              </w:rPr>
            </w:pPr>
            <w:r w:rsidRPr="00AD7445">
              <w:rPr>
                <w:rFonts w:asciiTheme="minorHAnsi" w:hAnsiTheme="minorHAnsi" w:cstheme="minorHAnsi"/>
                <w:sz w:val="24"/>
                <w:szCs w:val="24"/>
              </w:rPr>
              <w:t>On-Site Performance Review</w:t>
            </w:r>
          </w:p>
        </w:tc>
        <w:tc>
          <w:tcPr>
            <w:tcW w:w="4050" w:type="dxa"/>
            <w:tcBorders>
              <w:bottom w:val="single" w:sz="4" w:space="0" w:color="auto"/>
            </w:tcBorders>
          </w:tcPr>
          <w:p w:rsidR="00E30A28" w:rsidRPr="00A4285A" w:rsidRDefault="00E30A28" w:rsidP="00E30A28">
            <w:pPr>
              <w:pStyle w:val="ListParagraph"/>
              <w:numPr>
                <w:ilvl w:val="0"/>
                <w:numId w:val="15"/>
              </w:numPr>
              <w:ind w:left="289" w:hanging="180"/>
              <w:contextualSpacing/>
              <w:cnfStyle w:val="000000100000"/>
              <w:rPr>
                <w:rFonts w:asciiTheme="minorHAnsi" w:hAnsiTheme="minorHAnsi" w:cstheme="minorHAnsi"/>
                <w:sz w:val="22"/>
                <w:szCs w:val="22"/>
              </w:rPr>
            </w:pPr>
            <w:r w:rsidRPr="00A4285A">
              <w:rPr>
                <w:rFonts w:asciiTheme="minorHAnsi" w:hAnsiTheme="minorHAnsi" w:cstheme="minorHAnsi"/>
                <w:sz w:val="22"/>
                <w:szCs w:val="22"/>
              </w:rPr>
              <w:t xml:space="preserve">Subsumed into Establishment Review (above)  </w:t>
            </w:r>
          </w:p>
        </w:tc>
        <w:tc>
          <w:tcPr>
            <w:tcW w:w="7776" w:type="dxa"/>
            <w:tcBorders>
              <w:bottom w:val="single" w:sz="4" w:space="0" w:color="auto"/>
            </w:tcBorders>
          </w:tcPr>
          <w:p w:rsidR="00E30A28" w:rsidRPr="00A4285A" w:rsidRDefault="00E30A28" w:rsidP="00E30A28">
            <w:pPr>
              <w:pStyle w:val="ListParagraph"/>
              <w:numPr>
                <w:ilvl w:val="0"/>
                <w:numId w:val="15"/>
              </w:numPr>
              <w:ind w:left="289" w:hanging="180"/>
              <w:contextualSpacing/>
              <w:cnfStyle w:val="000000100000"/>
              <w:rPr>
                <w:rFonts w:asciiTheme="minorHAnsi" w:hAnsiTheme="minorHAnsi" w:cstheme="minorHAnsi"/>
                <w:sz w:val="22"/>
                <w:szCs w:val="22"/>
              </w:rPr>
            </w:pPr>
            <w:r w:rsidRPr="00A4285A">
              <w:rPr>
                <w:rFonts w:asciiTheme="minorHAnsi" w:hAnsiTheme="minorHAnsi" w:cstheme="minorHAnsi"/>
                <w:sz w:val="22"/>
                <w:szCs w:val="22"/>
              </w:rPr>
              <w:t xml:space="preserve">Subsumed into Establishment Review (above)  </w:t>
            </w:r>
          </w:p>
        </w:tc>
      </w:tr>
      <w:tr w:rsidR="00E30A28" w:rsidRPr="00AD7445" w:rsidTr="00295BEA">
        <w:trPr>
          <w:cnfStyle w:val="000000010000"/>
          <w:trHeight w:val="317"/>
        </w:trPr>
        <w:tc>
          <w:tcPr>
            <w:cnfStyle w:val="001000000000"/>
            <w:tcW w:w="1638" w:type="dxa"/>
            <w:tcBorders>
              <w:bottom w:val="single" w:sz="4" w:space="0" w:color="auto"/>
            </w:tcBorders>
          </w:tcPr>
          <w:p w:rsidR="00E30A28" w:rsidRPr="00AD7445" w:rsidRDefault="00E30A28" w:rsidP="00295BEA">
            <w:pPr>
              <w:rPr>
                <w:rFonts w:asciiTheme="minorHAnsi" w:hAnsiTheme="minorHAnsi" w:cstheme="minorHAnsi"/>
                <w:sz w:val="24"/>
                <w:szCs w:val="24"/>
              </w:rPr>
            </w:pPr>
            <w:r w:rsidRPr="00AD7445">
              <w:rPr>
                <w:rFonts w:asciiTheme="minorHAnsi" w:hAnsiTheme="minorHAnsi" w:cstheme="minorHAnsi"/>
                <w:sz w:val="24"/>
                <w:szCs w:val="24"/>
              </w:rPr>
              <w:t>Work Plan Update</w:t>
            </w:r>
          </w:p>
        </w:tc>
        <w:tc>
          <w:tcPr>
            <w:tcW w:w="4050" w:type="dxa"/>
            <w:tcBorders>
              <w:bottom w:val="single" w:sz="4" w:space="0" w:color="auto"/>
            </w:tcBorders>
          </w:tcPr>
          <w:p w:rsidR="00E30A28" w:rsidRPr="00AD7445" w:rsidRDefault="00E30A28" w:rsidP="00295BEA">
            <w:pPr>
              <w:cnfStyle w:val="000000010000"/>
              <w:rPr>
                <w:rFonts w:asciiTheme="minorHAnsi" w:hAnsiTheme="minorHAnsi" w:cstheme="minorHAnsi"/>
                <w:sz w:val="24"/>
                <w:szCs w:val="24"/>
              </w:rPr>
            </w:pPr>
            <w:r w:rsidRPr="00AD7445">
              <w:rPr>
                <w:rFonts w:asciiTheme="minorHAnsi" w:hAnsiTheme="minorHAnsi" w:cstheme="minorHAnsi"/>
                <w:sz w:val="24"/>
                <w:szCs w:val="24"/>
              </w:rPr>
              <w:t>Provide updates to approved work plan consistent with Federal reporting requirements.</w:t>
            </w:r>
          </w:p>
        </w:tc>
        <w:tc>
          <w:tcPr>
            <w:tcW w:w="7776" w:type="dxa"/>
            <w:tcBorders>
              <w:bottom w:val="single" w:sz="4" w:space="0" w:color="auto"/>
            </w:tcBorders>
          </w:tcPr>
          <w:p w:rsidR="00E30A28" w:rsidRPr="00AD7445" w:rsidRDefault="00E30A28" w:rsidP="00E30A28">
            <w:pPr>
              <w:pStyle w:val="ListParagraph"/>
              <w:numPr>
                <w:ilvl w:val="0"/>
                <w:numId w:val="15"/>
              </w:numPr>
              <w:ind w:left="289" w:hanging="180"/>
              <w:contextualSpacing/>
              <w:cnfStyle w:val="000000010000"/>
              <w:rPr>
                <w:rFonts w:asciiTheme="minorHAnsi" w:hAnsiTheme="minorHAnsi" w:cstheme="minorHAnsi"/>
                <w:sz w:val="22"/>
                <w:szCs w:val="22"/>
              </w:rPr>
            </w:pPr>
            <w:r w:rsidRPr="00AD7445">
              <w:rPr>
                <w:rFonts w:asciiTheme="minorHAnsi" w:hAnsiTheme="minorHAnsi" w:cstheme="minorHAnsi"/>
                <w:sz w:val="22"/>
                <w:szCs w:val="22"/>
              </w:rPr>
              <w:t>No change.</w:t>
            </w:r>
          </w:p>
        </w:tc>
      </w:tr>
      <w:tr w:rsidR="00E30A28" w:rsidRPr="00AD7445" w:rsidTr="00295BEA">
        <w:trPr>
          <w:cnfStyle w:val="000000100000"/>
          <w:trHeight w:val="628"/>
        </w:trPr>
        <w:tc>
          <w:tcPr>
            <w:cnfStyle w:val="001000000000"/>
            <w:tcW w:w="1638" w:type="dxa"/>
            <w:tcBorders>
              <w:bottom w:val="none" w:sz="0" w:space="0" w:color="auto"/>
            </w:tcBorders>
          </w:tcPr>
          <w:p w:rsidR="00E30A28" w:rsidRPr="00AD7445" w:rsidRDefault="00E30A28" w:rsidP="00295BEA">
            <w:pPr>
              <w:rPr>
                <w:rFonts w:asciiTheme="minorHAnsi" w:hAnsiTheme="minorHAnsi" w:cstheme="minorHAnsi"/>
                <w:sz w:val="24"/>
                <w:szCs w:val="24"/>
              </w:rPr>
            </w:pPr>
            <w:r w:rsidRPr="00AD7445">
              <w:rPr>
                <w:rFonts w:asciiTheme="minorHAnsi" w:hAnsiTheme="minorHAnsi" w:cstheme="minorHAnsi"/>
                <w:sz w:val="24"/>
                <w:szCs w:val="24"/>
              </w:rPr>
              <w:t>Public Report</w:t>
            </w:r>
          </w:p>
        </w:tc>
        <w:tc>
          <w:tcPr>
            <w:tcW w:w="4050" w:type="dxa"/>
            <w:tcBorders>
              <w:bottom w:val="none" w:sz="0" w:space="0" w:color="auto"/>
            </w:tcBorders>
          </w:tcPr>
          <w:p w:rsidR="00E30A28" w:rsidRPr="00AD7445" w:rsidRDefault="00E30A28" w:rsidP="00295BEA">
            <w:pPr>
              <w:cnfStyle w:val="000000100000"/>
              <w:rPr>
                <w:rFonts w:asciiTheme="minorHAnsi" w:hAnsiTheme="minorHAnsi" w:cstheme="minorHAnsi"/>
                <w:sz w:val="24"/>
                <w:szCs w:val="24"/>
              </w:rPr>
            </w:pPr>
            <w:r w:rsidRPr="00AD7445">
              <w:rPr>
                <w:rFonts w:asciiTheme="minorHAnsi" w:hAnsiTheme="minorHAnsi" w:cstheme="minorHAnsi"/>
                <w:sz w:val="24"/>
                <w:szCs w:val="24"/>
              </w:rPr>
              <w:t>Post reports based on the template provided at the time of award.</w:t>
            </w:r>
          </w:p>
        </w:tc>
        <w:tc>
          <w:tcPr>
            <w:tcW w:w="7776" w:type="dxa"/>
            <w:tcBorders>
              <w:bottom w:val="none" w:sz="0" w:space="0" w:color="auto"/>
            </w:tcBorders>
          </w:tcPr>
          <w:p w:rsidR="00E30A28" w:rsidRPr="00AD7445" w:rsidRDefault="00E30A28" w:rsidP="00E30A28">
            <w:pPr>
              <w:pStyle w:val="ListParagraph"/>
              <w:numPr>
                <w:ilvl w:val="0"/>
                <w:numId w:val="15"/>
              </w:numPr>
              <w:ind w:left="289" w:hanging="180"/>
              <w:contextualSpacing/>
              <w:cnfStyle w:val="000000100000"/>
              <w:rPr>
                <w:rFonts w:asciiTheme="minorHAnsi" w:hAnsiTheme="minorHAnsi" w:cstheme="minorHAnsi"/>
                <w:sz w:val="22"/>
                <w:szCs w:val="22"/>
              </w:rPr>
            </w:pPr>
            <w:r w:rsidRPr="00AD7445">
              <w:rPr>
                <w:rFonts w:asciiTheme="minorHAnsi" w:hAnsiTheme="minorHAnsi" w:cstheme="minorHAnsi"/>
                <w:sz w:val="22"/>
                <w:szCs w:val="22"/>
              </w:rPr>
              <w:t>No change.</w:t>
            </w:r>
          </w:p>
        </w:tc>
      </w:tr>
      <w:tr w:rsidR="00E30A28" w:rsidRPr="00AD7445" w:rsidTr="00295BEA">
        <w:trPr>
          <w:cnfStyle w:val="000000010000"/>
          <w:trHeight w:val="317"/>
        </w:trPr>
        <w:tc>
          <w:tcPr>
            <w:cnfStyle w:val="001000000000"/>
            <w:tcW w:w="1638" w:type="dxa"/>
            <w:tcBorders>
              <w:bottom w:val="none" w:sz="0" w:space="0" w:color="auto"/>
            </w:tcBorders>
          </w:tcPr>
          <w:p w:rsidR="00E30A28" w:rsidRPr="00AD7445" w:rsidRDefault="00E30A28" w:rsidP="00295BEA">
            <w:pPr>
              <w:rPr>
                <w:rFonts w:asciiTheme="minorHAnsi" w:hAnsiTheme="minorHAnsi" w:cstheme="minorHAnsi"/>
                <w:sz w:val="24"/>
                <w:szCs w:val="24"/>
              </w:rPr>
            </w:pPr>
            <w:r w:rsidRPr="00AD7445">
              <w:rPr>
                <w:rFonts w:asciiTheme="minorHAnsi" w:hAnsiTheme="minorHAnsi" w:cstheme="minorHAnsi"/>
                <w:sz w:val="24"/>
                <w:szCs w:val="24"/>
              </w:rPr>
              <w:t>Required Federal Financial Reports</w:t>
            </w:r>
          </w:p>
        </w:tc>
        <w:tc>
          <w:tcPr>
            <w:tcW w:w="4050" w:type="dxa"/>
            <w:tcBorders>
              <w:bottom w:val="none" w:sz="0" w:space="0" w:color="auto"/>
            </w:tcBorders>
          </w:tcPr>
          <w:p w:rsidR="00E30A28" w:rsidRPr="00AD7445" w:rsidRDefault="00E30A28" w:rsidP="00295BEA">
            <w:pPr>
              <w:cnfStyle w:val="000000010000"/>
              <w:rPr>
                <w:rFonts w:asciiTheme="minorHAnsi" w:hAnsiTheme="minorHAnsi" w:cstheme="minorHAnsi"/>
                <w:sz w:val="24"/>
                <w:szCs w:val="24"/>
              </w:rPr>
            </w:pPr>
            <w:r w:rsidRPr="00AD7445">
              <w:rPr>
                <w:rFonts w:asciiTheme="minorHAnsi" w:hAnsiTheme="minorHAnsi" w:cstheme="minorHAnsi"/>
                <w:sz w:val="24"/>
                <w:szCs w:val="24"/>
              </w:rPr>
              <w:t>Submit SF-425 on a quarterly basis and comply with other financial reporting requirements provided in the Notice of Grant Award.</w:t>
            </w:r>
          </w:p>
        </w:tc>
        <w:tc>
          <w:tcPr>
            <w:tcW w:w="7776" w:type="dxa"/>
            <w:tcBorders>
              <w:bottom w:val="none" w:sz="0" w:space="0" w:color="auto"/>
            </w:tcBorders>
          </w:tcPr>
          <w:p w:rsidR="00E30A28" w:rsidRPr="00AD7445" w:rsidRDefault="00E30A28" w:rsidP="00E30A28">
            <w:pPr>
              <w:pStyle w:val="ListParagraph"/>
              <w:numPr>
                <w:ilvl w:val="0"/>
                <w:numId w:val="15"/>
              </w:numPr>
              <w:ind w:left="289" w:hanging="180"/>
              <w:contextualSpacing/>
              <w:cnfStyle w:val="000000010000"/>
              <w:rPr>
                <w:rFonts w:asciiTheme="minorHAnsi" w:hAnsiTheme="minorHAnsi" w:cstheme="minorHAnsi"/>
                <w:sz w:val="22"/>
                <w:szCs w:val="22"/>
              </w:rPr>
            </w:pPr>
            <w:r w:rsidRPr="00AD7445">
              <w:rPr>
                <w:rFonts w:asciiTheme="minorHAnsi" w:hAnsiTheme="minorHAnsi" w:cstheme="minorHAnsi"/>
                <w:sz w:val="22"/>
                <w:szCs w:val="22"/>
              </w:rPr>
              <w:t>No change.</w:t>
            </w:r>
          </w:p>
        </w:tc>
      </w:tr>
    </w:tbl>
    <w:p w:rsidR="003C7A68" w:rsidRPr="008E1B5D" w:rsidRDefault="003C7A68" w:rsidP="008E1B5D">
      <w:pPr>
        <w:spacing w:after="0"/>
        <w:rPr>
          <w:rFonts w:ascii="Georgia" w:hAnsi="Georgia" w:cs="Times New Roman"/>
        </w:rPr>
      </w:pPr>
    </w:p>
    <w:sectPr w:rsidR="003C7A68" w:rsidRPr="008E1B5D" w:rsidSect="00CC38EB">
      <w:pgSz w:w="15840" w:h="12240" w:orient="landscape"/>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03F" w:rsidRDefault="0078003F" w:rsidP="00361B99">
      <w:pPr>
        <w:spacing w:after="0" w:line="240" w:lineRule="auto"/>
      </w:pPr>
      <w:r>
        <w:separator/>
      </w:r>
    </w:p>
  </w:endnote>
  <w:endnote w:type="continuationSeparator" w:id="0">
    <w:p w:rsidR="0078003F" w:rsidRDefault="0078003F" w:rsidP="00361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03F" w:rsidRPr="00CF0EE4" w:rsidRDefault="0078003F" w:rsidP="00361B99">
    <w:pPr>
      <w:jc w:val="center"/>
      <w:rPr>
        <w:sz w:val="18"/>
        <w:szCs w:val="18"/>
      </w:rPr>
    </w:pPr>
    <w:r w:rsidRPr="00CF0EE4">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03F" w:rsidRDefault="0078003F" w:rsidP="00361B99">
      <w:pPr>
        <w:spacing w:after="0" w:line="240" w:lineRule="auto"/>
      </w:pPr>
      <w:r>
        <w:separator/>
      </w:r>
    </w:p>
  </w:footnote>
  <w:footnote w:type="continuationSeparator" w:id="0">
    <w:p w:rsidR="0078003F" w:rsidRDefault="0078003F" w:rsidP="00361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AE1560E"/>
    <w:multiLevelType w:val="hybridMultilevel"/>
    <w:tmpl w:val="404621D0"/>
    <w:lvl w:ilvl="0" w:tplc="853A6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0065FA"/>
    <w:multiLevelType w:val="hybridMultilevel"/>
    <w:tmpl w:val="E5A8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D3CFF"/>
    <w:multiLevelType w:val="hybridMultilevel"/>
    <w:tmpl w:val="BE901A36"/>
    <w:lvl w:ilvl="0" w:tplc="98EC0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F802FA"/>
    <w:multiLevelType w:val="hybridMultilevel"/>
    <w:tmpl w:val="AA949808"/>
    <w:lvl w:ilvl="0" w:tplc="CB0E5B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93360E"/>
    <w:multiLevelType w:val="hybridMultilevel"/>
    <w:tmpl w:val="48F66FDE"/>
    <w:lvl w:ilvl="0" w:tplc="31F60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1"/>
  </w:num>
  <w:num w:numId="8">
    <w:abstractNumId w:val="0"/>
  </w:num>
  <w:num w:numId="9">
    <w:abstractNumId w:val="3"/>
  </w:num>
  <w:num w:numId="10">
    <w:abstractNumId w:val="9"/>
  </w:num>
  <w:num w:numId="11">
    <w:abstractNumId w:val="10"/>
  </w:num>
  <w:num w:numId="12">
    <w:abstractNumId w:val="11"/>
  </w:num>
  <w:num w:numId="13">
    <w:abstractNumId w:val="7"/>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0307"/>
    <w:rsid w:val="0000488B"/>
    <w:rsid w:val="00011F75"/>
    <w:rsid w:val="000576B9"/>
    <w:rsid w:val="00060AA4"/>
    <w:rsid w:val="000752B4"/>
    <w:rsid w:val="000A086C"/>
    <w:rsid w:val="000B1433"/>
    <w:rsid w:val="000B2E0B"/>
    <w:rsid w:val="000B3AFB"/>
    <w:rsid w:val="000C52BA"/>
    <w:rsid w:val="00100492"/>
    <w:rsid w:val="00111D32"/>
    <w:rsid w:val="00124192"/>
    <w:rsid w:val="001260C1"/>
    <w:rsid w:val="00134391"/>
    <w:rsid w:val="00137616"/>
    <w:rsid w:val="00150AB5"/>
    <w:rsid w:val="00150DFB"/>
    <w:rsid w:val="001820E1"/>
    <w:rsid w:val="001A6A7D"/>
    <w:rsid w:val="001F6CF2"/>
    <w:rsid w:val="002113DB"/>
    <w:rsid w:val="00211992"/>
    <w:rsid w:val="00221807"/>
    <w:rsid w:val="00255877"/>
    <w:rsid w:val="00281749"/>
    <w:rsid w:val="002A2299"/>
    <w:rsid w:val="002E642E"/>
    <w:rsid w:val="002E6BD9"/>
    <w:rsid w:val="002F1954"/>
    <w:rsid w:val="0031430C"/>
    <w:rsid w:val="003376B6"/>
    <w:rsid w:val="003400C5"/>
    <w:rsid w:val="00341457"/>
    <w:rsid w:val="00354446"/>
    <w:rsid w:val="00357196"/>
    <w:rsid w:val="00361B99"/>
    <w:rsid w:val="00375B2C"/>
    <w:rsid w:val="00394595"/>
    <w:rsid w:val="003A0307"/>
    <w:rsid w:val="003A341B"/>
    <w:rsid w:val="003C7A68"/>
    <w:rsid w:val="003D5738"/>
    <w:rsid w:val="003E7E2A"/>
    <w:rsid w:val="003F3890"/>
    <w:rsid w:val="004116CE"/>
    <w:rsid w:val="00431DF8"/>
    <w:rsid w:val="0045004C"/>
    <w:rsid w:val="0045280C"/>
    <w:rsid w:val="00461C79"/>
    <w:rsid w:val="00494CE9"/>
    <w:rsid w:val="00496047"/>
    <w:rsid w:val="004D3DA2"/>
    <w:rsid w:val="004F3211"/>
    <w:rsid w:val="004F3D74"/>
    <w:rsid w:val="00512384"/>
    <w:rsid w:val="005170A0"/>
    <w:rsid w:val="00534868"/>
    <w:rsid w:val="00545A83"/>
    <w:rsid w:val="00552B56"/>
    <w:rsid w:val="005A06CD"/>
    <w:rsid w:val="005A774F"/>
    <w:rsid w:val="005B1BDE"/>
    <w:rsid w:val="005B5321"/>
    <w:rsid w:val="005E327F"/>
    <w:rsid w:val="005E79D9"/>
    <w:rsid w:val="006056FA"/>
    <w:rsid w:val="00613BFE"/>
    <w:rsid w:val="00614EFD"/>
    <w:rsid w:val="00630DD1"/>
    <w:rsid w:val="0063479A"/>
    <w:rsid w:val="006405FA"/>
    <w:rsid w:val="00652417"/>
    <w:rsid w:val="00687050"/>
    <w:rsid w:val="00693232"/>
    <w:rsid w:val="006B30C1"/>
    <w:rsid w:val="006C329B"/>
    <w:rsid w:val="006E622E"/>
    <w:rsid w:val="00711D6C"/>
    <w:rsid w:val="0072227D"/>
    <w:rsid w:val="00733DE1"/>
    <w:rsid w:val="007360A4"/>
    <w:rsid w:val="007771A0"/>
    <w:rsid w:val="0078003F"/>
    <w:rsid w:val="00780E5B"/>
    <w:rsid w:val="007824A8"/>
    <w:rsid w:val="007A7275"/>
    <w:rsid w:val="007B292D"/>
    <w:rsid w:val="007E2C88"/>
    <w:rsid w:val="00824E3F"/>
    <w:rsid w:val="0085099F"/>
    <w:rsid w:val="00860DE5"/>
    <w:rsid w:val="00865D12"/>
    <w:rsid w:val="00876FE1"/>
    <w:rsid w:val="00881285"/>
    <w:rsid w:val="008A0694"/>
    <w:rsid w:val="008C5902"/>
    <w:rsid w:val="008D66C5"/>
    <w:rsid w:val="008E1B5D"/>
    <w:rsid w:val="008F4D2D"/>
    <w:rsid w:val="009731D8"/>
    <w:rsid w:val="00980075"/>
    <w:rsid w:val="0098597E"/>
    <w:rsid w:val="009B1FD0"/>
    <w:rsid w:val="009C62CA"/>
    <w:rsid w:val="00A1443E"/>
    <w:rsid w:val="00A17662"/>
    <w:rsid w:val="00A24EF4"/>
    <w:rsid w:val="00A46FEF"/>
    <w:rsid w:val="00A6269B"/>
    <w:rsid w:val="00A67B63"/>
    <w:rsid w:val="00A9537A"/>
    <w:rsid w:val="00AA232F"/>
    <w:rsid w:val="00AA3D25"/>
    <w:rsid w:val="00AD221B"/>
    <w:rsid w:val="00AD34AC"/>
    <w:rsid w:val="00AD51C7"/>
    <w:rsid w:val="00B56D1B"/>
    <w:rsid w:val="00B73A6E"/>
    <w:rsid w:val="00B936FC"/>
    <w:rsid w:val="00BB1C0D"/>
    <w:rsid w:val="00BE3D03"/>
    <w:rsid w:val="00C15C88"/>
    <w:rsid w:val="00C31E7E"/>
    <w:rsid w:val="00C41004"/>
    <w:rsid w:val="00C44F09"/>
    <w:rsid w:val="00C47D71"/>
    <w:rsid w:val="00CC38EB"/>
    <w:rsid w:val="00CC652D"/>
    <w:rsid w:val="00D468C0"/>
    <w:rsid w:val="00D90A5D"/>
    <w:rsid w:val="00DA657A"/>
    <w:rsid w:val="00DD2B57"/>
    <w:rsid w:val="00DE4991"/>
    <w:rsid w:val="00E1546B"/>
    <w:rsid w:val="00E30A28"/>
    <w:rsid w:val="00E41EE2"/>
    <w:rsid w:val="00E53CF0"/>
    <w:rsid w:val="00EC783A"/>
    <w:rsid w:val="00ED6C77"/>
    <w:rsid w:val="00F04250"/>
    <w:rsid w:val="00F06BAB"/>
    <w:rsid w:val="00F50E04"/>
    <w:rsid w:val="00F53477"/>
    <w:rsid w:val="00F71953"/>
    <w:rsid w:val="00F927E1"/>
    <w:rsid w:val="00FA0628"/>
    <w:rsid w:val="00FC36C5"/>
    <w:rsid w:val="00FD5357"/>
    <w:rsid w:val="00FD7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E1"/>
  </w:style>
  <w:style w:type="paragraph" w:styleId="Heading3">
    <w:name w:val="heading 3"/>
    <w:basedOn w:val="Normal"/>
    <w:next w:val="Normal"/>
    <w:link w:val="Heading3Char"/>
    <w:uiPriority w:val="9"/>
    <w:unhideWhenUsed/>
    <w:qFormat/>
    <w:rsid w:val="009731D8"/>
    <w:pPr>
      <w:pBdr>
        <w:top w:val="single" w:sz="6" w:space="2" w:color="4F81BD" w:themeColor="accent1"/>
        <w:left w:val="single" w:sz="6" w:space="2" w:color="4F81BD" w:themeColor="accent1"/>
      </w:pBdr>
      <w:spacing w:before="300" w:after="0"/>
      <w:outlineLvl w:val="2"/>
    </w:pPr>
    <w:rPr>
      <w:rFonts w:eastAsiaTheme="minorEastAsia"/>
      <w:caps/>
      <w:color w:val="243F60" w:themeColor="accent1" w:themeShade="7F"/>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rPr>
  </w:style>
  <w:style w:type="table" w:styleId="LightGrid-Accent1">
    <w:name w:val="Light Grid Accent 1"/>
    <w:basedOn w:val="TableNormal"/>
    <w:uiPriority w:val="62"/>
    <w:rsid w:val="00E41EE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731D8"/>
    <w:rPr>
      <w:rFonts w:eastAsiaTheme="minorEastAsia"/>
      <w:caps/>
      <w:color w:val="243F60" w:themeColor="accent1" w:themeShade="7F"/>
      <w:spacing w:val="15"/>
      <w:lang w:bidi="en-US"/>
    </w:rPr>
  </w:style>
  <w:style w:type="table" w:customStyle="1" w:styleId="LightGrid-Accent11">
    <w:name w:val="Light Grid - Accent 11"/>
    <w:basedOn w:val="TableNormal"/>
    <w:uiPriority w:val="62"/>
    <w:rsid w:val="00E30A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Katherine Harkins</cp:lastModifiedBy>
  <cp:revision>3</cp:revision>
  <cp:lastPrinted>2012-01-11T14:45:00Z</cp:lastPrinted>
  <dcterms:created xsi:type="dcterms:W3CDTF">2012-02-10T00:53:00Z</dcterms:created>
  <dcterms:modified xsi:type="dcterms:W3CDTF">2012-02-10T01:07:00Z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-776710855</vt:i4>
  </property>
  <property fmtid="{D5CDD505-2E9C-101B-9397-08002B2CF9AE}" pid="3" name="_NewReviewCycle">
    <vt:lpwstr/>
  </property>
  <property fmtid="{D5CDD505-2E9C-101B-9397-08002B2CF9AE}" pid="4" name="_EmailSubject">
    <vt:lpwstr>0938-1119: Request for non-substantive change to Cooperative Agreements to Support Establishment of State-Operated Health Insurance Exchanges - (Funding Opportunity Number: IE-HBE-11-004)</vt:lpwstr>
  </property>
  <property fmtid="{D5CDD505-2E9C-101B-9397-08002B2CF9AE}" pid="5" name="_AuthorEmail">
    <vt:lpwstr>katherine.harkins@cms.hhs.gov</vt:lpwstr>
  </property>
  <property fmtid="{D5CDD505-2E9C-101B-9397-08002B2CF9AE}" pid="6" name="_AuthorEmailDisplayName">
    <vt:lpwstr>Harkins, Katherine K. (CMS/CCIIO)</vt:lpwstr>
  </property>
  <property fmtid="{D5CDD505-2E9C-101B-9397-08002B2CF9AE}" pid="7" name="_PreviousAdHocReviewCycleID">
    <vt:i4>1521545356</vt:i4>
  </property>
</Properties>
</file>