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8C9" w:rsidRDefault="00AA78C9" w:rsidP="000E57BA">
      <w:r>
        <w:t>BJS Passback Response to OMB</w:t>
      </w:r>
    </w:p>
    <w:p w:rsidR="00AA78C9" w:rsidRDefault="00AA78C9" w:rsidP="00AA78C9">
      <w:pPr>
        <w:autoSpaceDE w:val="0"/>
        <w:autoSpaceDN w:val="0"/>
        <w:adjustRightInd w:val="0"/>
        <w:ind w:left="2880" w:hanging="2880"/>
        <w:rPr>
          <w:i/>
        </w:rPr>
      </w:pPr>
      <w:proofErr w:type="gramStart"/>
      <w:r w:rsidRPr="00034249">
        <w:t>Generic Clearance, OMB Number 1121-0325.</w:t>
      </w:r>
      <w:proofErr w:type="gramEnd"/>
    </w:p>
    <w:p w:rsidR="00AA78C9" w:rsidRDefault="00AA78C9" w:rsidP="000E57BA">
      <w:r>
        <w:t>February 9, 2012</w:t>
      </w:r>
    </w:p>
    <w:p w:rsidR="00AA78C9" w:rsidRDefault="00AA78C9" w:rsidP="000E57BA"/>
    <w:p w:rsidR="00AA78C9" w:rsidRPr="00AA78C9" w:rsidRDefault="00AA78C9" w:rsidP="000E57BA"/>
    <w:p w:rsidR="000E57BA" w:rsidRDefault="007C215E" w:rsidP="000E57BA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 </w:t>
      </w:r>
      <w:r w:rsidR="000E57BA" w:rsidRPr="007A5BDC">
        <w:rPr>
          <w:b/>
          <w:i/>
        </w:rPr>
        <w:t>Please update the incentives discussion in the summary document and in the incentives appendix for the other federal surveys per the additional information provided below</w:t>
      </w:r>
      <w:proofErr w:type="gramStart"/>
      <w:r w:rsidR="000E57BA" w:rsidRPr="007A5BDC">
        <w:rPr>
          <w:b/>
          <w:i/>
        </w:rPr>
        <w:t xml:space="preserve">.  </w:t>
      </w:r>
      <w:proofErr w:type="gramEnd"/>
      <w:r w:rsidR="000E57BA" w:rsidRPr="007A5BDC">
        <w:rPr>
          <w:b/>
          <w:i/>
        </w:rPr>
        <w:t xml:space="preserve">It seems that your analysis is based in part on dated information and in part on a less than complete understanding of the NHES and NSECE findings.  </w:t>
      </w:r>
    </w:p>
    <w:p w:rsidR="007B5366" w:rsidRPr="007B5366" w:rsidRDefault="007B5366" w:rsidP="007B5366">
      <w:pPr>
        <w:rPr>
          <w:b/>
          <w:i/>
        </w:rPr>
      </w:pPr>
    </w:p>
    <w:p w:rsidR="004353EE" w:rsidRPr="00413A7C" w:rsidRDefault="00087FE5" w:rsidP="000E57BA">
      <w:pPr>
        <w:rPr>
          <w:i/>
        </w:rPr>
      </w:pPr>
      <w:r w:rsidRPr="00413A7C">
        <w:rPr>
          <w:i/>
        </w:rPr>
        <w:t xml:space="preserve"> </w:t>
      </w:r>
    </w:p>
    <w:p w:rsidR="008E796F" w:rsidRDefault="008E796F" w:rsidP="00600E26">
      <w:pPr>
        <w:pStyle w:val="bodytextpsg"/>
        <w:ind w:left="360"/>
        <w:rPr>
          <w:rFonts w:asciiTheme="minorHAnsi" w:hAnsiTheme="minorHAnsi"/>
          <w:u w:val="single"/>
        </w:rPr>
      </w:pPr>
      <w:r w:rsidRPr="008E796F">
        <w:rPr>
          <w:rFonts w:asciiTheme="minorHAnsi" w:hAnsiTheme="minorHAnsi"/>
          <w:u w:val="single"/>
        </w:rPr>
        <w:t>NHES and NSECE</w:t>
      </w:r>
      <w:r w:rsidR="007926B9">
        <w:rPr>
          <w:rFonts w:asciiTheme="minorHAnsi" w:hAnsiTheme="minorHAnsi"/>
          <w:u w:val="single"/>
        </w:rPr>
        <w:t xml:space="preserve"> Findings</w:t>
      </w:r>
    </w:p>
    <w:p w:rsidR="008E38CE" w:rsidRDefault="008E38CE" w:rsidP="00600E26">
      <w:pPr>
        <w:pStyle w:val="bodytextpsg"/>
        <w:ind w:left="360"/>
        <w:rPr>
          <w:rFonts w:asciiTheme="minorHAnsi" w:hAnsiTheme="minorHAnsi"/>
          <w:u w:val="single"/>
        </w:rPr>
      </w:pPr>
    </w:p>
    <w:p w:rsidR="007B28C2" w:rsidRDefault="007926B9" w:rsidP="007B28C2">
      <w:pPr>
        <w:ind w:left="360"/>
        <w:rPr>
          <w:rFonts w:asciiTheme="minorHAnsi" w:hAnsiTheme="minorHAnsi"/>
        </w:rPr>
      </w:pPr>
      <w:r w:rsidRPr="00413A7C">
        <w:t>Thank you for providing more current information about the incentive plans for the NHES</w:t>
      </w:r>
      <w:r w:rsidR="007B5366">
        <w:t xml:space="preserve"> and </w:t>
      </w:r>
      <w:r w:rsidRPr="00413A7C">
        <w:t>NSECE</w:t>
      </w:r>
      <w:r w:rsidR="007B5366">
        <w:t xml:space="preserve">. The </w:t>
      </w:r>
      <w:r w:rsidR="0071092A">
        <w:t xml:space="preserve">results of the </w:t>
      </w:r>
      <w:r w:rsidR="007B5366">
        <w:t xml:space="preserve">respective </w:t>
      </w:r>
      <w:r w:rsidR="0071092A">
        <w:t xml:space="preserve">studies </w:t>
      </w:r>
      <w:r w:rsidR="007B5366" w:rsidRPr="00675F36">
        <w:rPr>
          <w:rFonts w:asciiTheme="minorHAnsi" w:hAnsiTheme="minorHAnsi"/>
        </w:rPr>
        <w:t>yield important findings</w:t>
      </w:r>
      <w:r w:rsidR="00141914">
        <w:rPr>
          <w:rFonts w:asciiTheme="minorHAnsi" w:hAnsiTheme="minorHAnsi"/>
        </w:rPr>
        <w:t xml:space="preserve"> on prepaid incentives</w:t>
      </w:r>
      <w:r w:rsidR="007B5366" w:rsidRPr="00675F36">
        <w:rPr>
          <w:rFonts w:asciiTheme="minorHAnsi" w:hAnsiTheme="minorHAnsi"/>
        </w:rPr>
        <w:t xml:space="preserve"> for </w:t>
      </w:r>
      <w:r w:rsidR="007B5366">
        <w:rPr>
          <w:rFonts w:asciiTheme="minorHAnsi" w:hAnsiTheme="minorHAnsi"/>
        </w:rPr>
        <w:t xml:space="preserve">federal agencies and </w:t>
      </w:r>
      <w:r w:rsidR="007B5366" w:rsidRPr="00675F36">
        <w:rPr>
          <w:rFonts w:asciiTheme="minorHAnsi" w:hAnsiTheme="minorHAnsi"/>
        </w:rPr>
        <w:t>the research community</w:t>
      </w:r>
      <w:r w:rsidR="007B5366" w:rsidRPr="00226179">
        <w:rPr>
          <w:rFonts w:asciiTheme="minorHAnsi" w:hAnsiTheme="minorHAnsi"/>
        </w:rPr>
        <w:t xml:space="preserve">. </w:t>
      </w:r>
      <w:r w:rsidR="007B5366">
        <w:rPr>
          <w:rFonts w:asciiTheme="minorHAnsi" w:hAnsiTheme="minorHAnsi"/>
        </w:rPr>
        <w:t xml:space="preserve">We have taken this opportunity to review the </w:t>
      </w:r>
      <w:r w:rsidR="007B5366" w:rsidRPr="00226179">
        <w:rPr>
          <w:rFonts w:asciiTheme="minorHAnsi" w:hAnsiTheme="minorHAnsi"/>
        </w:rPr>
        <w:t>OMB</w:t>
      </w:r>
      <w:r w:rsidR="007B5366">
        <w:rPr>
          <w:rFonts w:asciiTheme="minorHAnsi" w:hAnsiTheme="minorHAnsi"/>
        </w:rPr>
        <w:t xml:space="preserve"> packages for these studies and </w:t>
      </w:r>
      <w:r w:rsidRPr="00413A7C">
        <w:t xml:space="preserve">have updated </w:t>
      </w:r>
      <w:r w:rsidR="009D4BAD">
        <w:t>our</w:t>
      </w:r>
      <w:r w:rsidRPr="00413A7C">
        <w:t xml:space="preserve"> d</w:t>
      </w:r>
      <w:r w:rsidR="009D4BAD">
        <w:t xml:space="preserve">escription of </w:t>
      </w:r>
      <w:r w:rsidR="00501D9E">
        <w:t>NHES and NSECE</w:t>
      </w:r>
      <w:r>
        <w:t xml:space="preserve"> studies in Attachment 1 (Incentives)</w:t>
      </w:r>
      <w:r w:rsidR="007B5366">
        <w:t xml:space="preserve">. </w:t>
      </w:r>
    </w:p>
    <w:p w:rsidR="007B28C2" w:rsidRDefault="007B28C2" w:rsidP="00600E26">
      <w:pPr>
        <w:pStyle w:val="bodytextpsg"/>
        <w:ind w:left="360"/>
        <w:rPr>
          <w:rFonts w:asciiTheme="minorHAnsi" w:hAnsiTheme="minorHAnsi"/>
        </w:rPr>
      </w:pPr>
    </w:p>
    <w:p w:rsidR="00F53610" w:rsidRDefault="009D4BAD" w:rsidP="00600E26">
      <w:pPr>
        <w:pStyle w:val="bodytextps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Our understanding of </w:t>
      </w:r>
      <w:r w:rsidR="008A36B0" w:rsidRPr="00226179">
        <w:rPr>
          <w:rFonts w:asciiTheme="minorHAnsi" w:hAnsiTheme="minorHAnsi"/>
        </w:rPr>
        <w:t>NHES</w:t>
      </w:r>
      <w:r w:rsidR="00501D9E">
        <w:rPr>
          <w:rFonts w:asciiTheme="minorHAnsi" w:hAnsiTheme="minorHAnsi"/>
        </w:rPr>
        <w:t xml:space="preserve"> is that the 2011</w:t>
      </w:r>
      <w:r w:rsidR="007B28C2">
        <w:rPr>
          <w:rFonts w:asciiTheme="minorHAnsi" w:hAnsiTheme="minorHAnsi"/>
        </w:rPr>
        <w:t xml:space="preserve"> field test</w:t>
      </w:r>
      <w:r w:rsidR="00672F49">
        <w:rPr>
          <w:rFonts w:asciiTheme="minorHAnsi" w:hAnsiTheme="minorHAnsi"/>
        </w:rPr>
        <w:t xml:space="preserve"> is</w:t>
      </w:r>
      <w:r w:rsidR="00501D9E">
        <w:rPr>
          <w:rFonts w:asciiTheme="minorHAnsi" w:hAnsiTheme="minorHAnsi"/>
        </w:rPr>
        <w:t xml:space="preserve"> designed</w:t>
      </w:r>
      <w:r w:rsidR="00672F49">
        <w:rPr>
          <w:rFonts w:asciiTheme="minorHAnsi" w:hAnsiTheme="minorHAnsi"/>
        </w:rPr>
        <w:t xml:space="preserve"> to </w:t>
      </w:r>
      <w:r w:rsidR="00287D2A">
        <w:rPr>
          <w:rFonts w:asciiTheme="minorHAnsi" w:hAnsiTheme="minorHAnsi"/>
        </w:rPr>
        <w:t>"further refine an optimal strategy for the use of incentives</w:t>
      </w:r>
      <w:r w:rsidR="00501D9E">
        <w:rPr>
          <w:rFonts w:asciiTheme="minorHAnsi" w:hAnsiTheme="minorHAnsi"/>
        </w:rPr>
        <w:t>"</w:t>
      </w:r>
      <w:r w:rsidR="00287D2A">
        <w:rPr>
          <w:rFonts w:asciiTheme="minorHAnsi" w:hAnsiTheme="minorHAnsi"/>
        </w:rPr>
        <w:t xml:space="preserve"> in the topical component of the survey.</w:t>
      </w:r>
      <w:r w:rsidR="008A36B0" w:rsidRPr="00226179">
        <w:rPr>
          <w:rFonts w:asciiTheme="minorHAnsi" w:hAnsiTheme="minorHAnsi"/>
        </w:rPr>
        <w:t xml:space="preserve"> </w:t>
      </w:r>
      <w:r w:rsidR="00226179">
        <w:rPr>
          <w:rFonts w:asciiTheme="minorHAnsi" w:hAnsiTheme="minorHAnsi"/>
        </w:rPr>
        <w:t xml:space="preserve">In addition to </w:t>
      </w:r>
      <w:r w:rsidR="002A0ADF">
        <w:rPr>
          <w:rFonts w:asciiTheme="minorHAnsi" w:hAnsiTheme="minorHAnsi"/>
        </w:rPr>
        <w:t>the</w:t>
      </w:r>
      <w:r w:rsidR="00226179">
        <w:rPr>
          <w:rFonts w:asciiTheme="minorHAnsi" w:hAnsiTheme="minorHAnsi"/>
        </w:rPr>
        <w:t xml:space="preserve"> prepaid incentive </w:t>
      </w:r>
      <w:r w:rsidR="002A0ADF">
        <w:rPr>
          <w:rFonts w:asciiTheme="minorHAnsi" w:hAnsiTheme="minorHAnsi"/>
        </w:rPr>
        <w:t xml:space="preserve">offered with </w:t>
      </w:r>
      <w:r w:rsidR="00226179">
        <w:rPr>
          <w:rFonts w:asciiTheme="minorHAnsi" w:hAnsiTheme="minorHAnsi"/>
        </w:rPr>
        <w:t>the</w:t>
      </w:r>
      <w:r w:rsidR="006C4072">
        <w:rPr>
          <w:rFonts w:asciiTheme="minorHAnsi" w:hAnsiTheme="minorHAnsi"/>
        </w:rPr>
        <w:t xml:space="preserve"> initial</w:t>
      </w:r>
      <w:r w:rsidR="00226179">
        <w:rPr>
          <w:rFonts w:asciiTheme="minorHAnsi" w:hAnsiTheme="minorHAnsi"/>
        </w:rPr>
        <w:t xml:space="preserve"> mail screener, </w:t>
      </w:r>
      <w:r w:rsidR="007528A1">
        <w:rPr>
          <w:rFonts w:asciiTheme="minorHAnsi" w:hAnsiTheme="minorHAnsi"/>
        </w:rPr>
        <w:t xml:space="preserve">NHES is </w:t>
      </w:r>
      <w:r w:rsidR="002A0ADF">
        <w:rPr>
          <w:rFonts w:asciiTheme="minorHAnsi" w:hAnsiTheme="minorHAnsi"/>
        </w:rPr>
        <w:t>experiment</w:t>
      </w:r>
      <w:r w:rsidR="007528A1">
        <w:rPr>
          <w:rFonts w:asciiTheme="minorHAnsi" w:hAnsiTheme="minorHAnsi"/>
        </w:rPr>
        <w:t>ing</w:t>
      </w:r>
      <w:r w:rsidR="002A0ADF">
        <w:rPr>
          <w:rFonts w:asciiTheme="minorHAnsi" w:hAnsiTheme="minorHAnsi"/>
        </w:rPr>
        <w:t xml:space="preserve"> with the amount of the topical survey incentive ($5 and $15) </w:t>
      </w:r>
      <w:r w:rsidR="008A36B0" w:rsidRPr="00226179">
        <w:rPr>
          <w:rFonts w:asciiTheme="minorHAnsi" w:hAnsiTheme="minorHAnsi"/>
        </w:rPr>
        <w:t xml:space="preserve">based on the </w:t>
      </w:r>
      <w:r w:rsidR="00226179">
        <w:rPr>
          <w:rFonts w:asciiTheme="minorHAnsi" w:hAnsiTheme="minorHAnsi"/>
        </w:rPr>
        <w:t xml:space="preserve">timing of the </w:t>
      </w:r>
      <w:r w:rsidR="002A0ADF">
        <w:rPr>
          <w:rFonts w:asciiTheme="minorHAnsi" w:hAnsiTheme="minorHAnsi"/>
        </w:rPr>
        <w:t>screener response.</w:t>
      </w:r>
      <w:r w:rsidR="00897691" w:rsidRPr="00226179">
        <w:rPr>
          <w:rFonts w:asciiTheme="minorHAnsi" w:hAnsiTheme="minorHAnsi"/>
        </w:rPr>
        <w:t xml:space="preserve"> </w:t>
      </w:r>
      <w:r w:rsidR="008A36B0" w:rsidRPr="00226179">
        <w:rPr>
          <w:rFonts w:asciiTheme="minorHAnsi" w:hAnsiTheme="minorHAnsi"/>
        </w:rPr>
        <w:t xml:space="preserve">Similarly, the </w:t>
      </w:r>
      <w:r w:rsidR="00897691" w:rsidRPr="00226179">
        <w:rPr>
          <w:rFonts w:asciiTheme="minorHAnsi" w:hAnsiTheme="minorHAnsi"/>
        </w:rPr>
        <w:t xml:space="preserve">incentive strategy to be deployed for the NSECE is </w:t>
      </w:r>
      <w:r w:rsidR="007B5366">
        <w:rPr>
          <w:rFonts w:asciiTheme="minorHAnsi" w:hAnsiTheme="minorHAnsi"/>
        </w:rPr>
        <w:t xml:space="preserve">informed by </w:t>
      </w:r>
      <w:r w:rsidR="00897691" w:rsidRPr="00226179">
        <w:rPr>
          <w:rFonts w:asciiTheme="minorHAnsi" w:hAnsiTheme="minorHAnsi"/>
        </w:rPr>
        <w:t xml:space="preserve">outcomes of </w:t>
      </w:r>
      <w:r>
        <w:rPr>
          <w:rFonts w:asciiTheme="minorHAnsi" w:hAnsiTheme="minorHAnsi"/>
        </w:rPr>
        <w:t xml:space="preserve">previous </w:t>
      </w:r>
      <w:r w:rsidR="00897691" w:rsidRPr="00226179">
        <w:rPr>
          <w:rFonts w:asciiTheme="minorHAnsi" w:hAnsiTheme="minorHAnsi"/>
        </w:rPr>
        <w:t>incentive experiments implemented during their 2011 field test. Like NHES, the NSECE will offer a $2 incentive in the first mailing of the household screener</w:t>
      </w:r>
      <w:r w:rsidR="000B1B38" w:rsidRPr="00226179">
        <w:rPr>
          <w:rFonts w:asciiTheme="minorHAnsi" w:hAnsiTheme="minorHAnsi"/>
        </w:rPr>
        <w:t>, an amount that proved more successful than the $1 incentive tested in the NSECE field test</w:t>
      </w:r>
      <w:r w:rsidR="00897691" w:rsidRPr="00226179">
        <w:rPr>
          <w:rFonts w:asciiTheme="minorHAnsi" w:hAnsiTheme="minorHAnsi"/>
        </w:rPr>
        <w:t xml:space="preserve">. </w:t>
      </w:r>
      <w:r w:rsidR="000B1B38" w:rsidRPr="00226179">
        <w:rPr>
          <w:rFonts w:asciiTheme="minorHAnsi" w:hAnsiTheme="minorHAnsi"/>
        </w:rPr>
        <w:t xml:space="preserve">An additional prepaid incentive of $5 will be </w:t>
      </w:r>
      <w:r w:rsidR="00C509DD" w:rsidRPr="00226179">
        <w:rPr>
          <w:rFonts w:asciiTheme="minorHAnsi" w:hAnsiTheme="minorHAnsi"/>
        </w:rPr>
        <w:t>mailed with</w:t>
      </w:r>
      <w:r w:rsidR="008A36B0" w:rsidRPr="00226179">
        <w:rPr>
          <w:rFonts w:asciiTheme="minorHAnsi" w:hAnsiTheme="minorHAnsi"/>
        </w:rPr>
        <w:t xml:space="preserve"> the eligibility notification letter that precedes the in-person interviews.</w:t>
      </w:r>
      <w:r w:rsidR="008A36B0" w:rsidRPr="00675F36">
        <w:rPr>
          <w:rFonts w:asciiTheme="minorHAnsi" w:hAnsiTheme="minorHAnsi"/>
        </w:rPr>
        <w:t xml:space="preserve"> </w:t>
      </w:r>
      <w:r w:rsidR="00287D2A">
        <w:rPr>
          <w:rFonts w:asciiTheme="minorHAnsi" w:hAnsiTheme="minorHAnsi"/>
        </w:rPr>
        <w:t xml:space="preserve">Both NHES and NSECE are building upon previous incentive experiments and are at the stage of </w:t>
      </w:r>
      <w:r w:rsidR="00300CE7">
        <w:rPr>
          <w:rFonts w:asciiTheme="minorHAnsi" w:hAnsiTheme="minorHAnsi"/>
        </w:rPr>
        <w:t>refining strategies and</w:t>
      </w:r>
      <w:r w:rsidR="00287D2A">
        <w:rPr>
          <w:rFonts w:asciiTheme="minorHAnsi" w:hAnsiTheme="minorHAnsi"/>
        </w:rPr>
        <w:t xml:space="preserve"> optimal incentive amounts</w:t>
      </w:r>
      <w:r w:rsidR="0071092A">
        <w:rPr>
          <w:rFonts w:asciiTheme="minorHAnsi" w:hAnsiTheme="minorHAnsi"/>
        </w:rPr>
        <w:t xml:space="preserve"> for their methodologies</w:t>
      </w:r>
      <w:r w:rsidR="00287D2A">
        <w:rPr>
          <w:rFonts w:asciiTheme="minorHAnsi" w:hAnsiTheme="minorHAnsi"/>
        </w:rPr>
        <w:t>.</w:t>
      </w:r>
    </w:p>
    <w:p w:rsidR="00F53610" w:rsidRDefault="00F53610" w:rsidP="00600E26">
      <w:pPr>
        <w:pStyle w:val="bodytextpsg"/>
        <w:ind w:left="360"/>
        <w:rPr>
          <w:rFonts w:asciiTheme="minorHAnsi" w:hAnsiTheme="minorHAnsi"/>
        </w:rPr>
      </w:pPr>
    </w:p>
    <w:p w:rsidR="00F53610" w:rsidRDefault="00F53610" w:rsidP="00600E26">
      <w:pPr>
        <w:pStyle w:val="bodytextpsg"/>
        <w:ind w:left="360"/>
        <w:rPr>
          <w:rFonts w:asciiTheme="minorHAnsi" w:hAnsiTheme="minorHAnsi"/>
          <w:u w:val="single"/>
        </w:rPr>
      </w:pPr>
      <w:r w:rsidRPr="00F53610">
        <w:rPr>
          <w:rFonts w:asciiTheme="minorHAnsi" w:hAnsiTheme="minorHAnsi"/>
          <w:u w:val="single"/>
        </w:rPr>
        <w:t>How the Survey of Crime Victimization is Different</w:t>
      </w:r>
    </w:p>
    <w:p w:rsidR="00F64230" w:rsidRDefault="00F64230" w:rsidP="00600E26">
      <w:pPr>
        <w:pStyle w:val="bodytextpsg"/>
        <w:ind w:left="360"/>
        <w:rPr>
          <w:rFonts w:asciiTheme="minorHAnsi" w:hAnsiTheme="minorHAnsi"/>
          <w:u w:val="single"/>
        </w:rPr>
      </w:pPr>
    </w:p>
    <w:p w:rsidR="001C3903" w:rsidRDefault="00BE281B" w:rsidP="00600E26">
      <w:pPr>
        <w:pStyle w:val="bodytextpsg"/>
        <w:ind w:left="360"/>
        <w:rPr>
          <w:rFonts w:ascii="Calibri" w:hAnsi="Calibri" w:cs="Times New Roman"/>
        </w:rPr>
      </w:pPr>
      <w:r w:rsidRPr="00BE281B">
        <w:rPr>
          <w:rFonts w:ascii="Calibri" w:hAnsi="Calibri"/>
        </w:rPr>
        <w:t xml:space="preserve">In developing the SCV incentive strategy we considered the use of pre-pay incentives </w:t>
      </w:r>
      <w:r>
        <w:rPr>
          <w:rFonts w:ascii="Calibri" w:hAnsi="Calibri"/>
        </w:rPr>
        <w:t>which have</w:t>
      </w:r>
      <w:r w:rsidRPr="00BE281B">
        <w:rPr>
          <w:rFonts w:ascii="Calibri" w:hAnsi="Calibri"/>
        </w:rPr>
        <w:t xml:space="preserve"> been repeatedly endorsed in the literature (Singer, 2002). </w:t>
      </w:r>
      <w:r>
        <w:rPr>
          <w:rFonts w:ascii="Calibri" w:hAnsi="Calibri"/>
        </w:rPr>
        <w:t>However, t</w:t>
      </w:r>
      <w:r w:rsidR="008E796F" w:rsidRPr="00BE281B">
        <w:rPr>
          <w:rFonts w:ascii="Calibri" w:hAnsi="Calibri" w:cs="Times New Roman"/>
        </w:rPr>
        <w:t>here</w:t>
      </w:r>
      <w:r w:rsidR="008E796F">
        <w:rPr>
          <w:rFonts w:ascii="Calibri" w:hAnsi="Calibri" w:cs="Times New Roman"/>
        </w:rPr>
        <w:t xml:space="preserve"> are important distinctions between the Survey of Crime Victimization (SCV) and studies such as NHES and NSECE</w:t>
      </w:r>
      <w:r>
        <w:rPr>
          <w:rFonts w:ascii="Calibri" w:hAnsi="Calibri" w:cs="Times New Roman"/>
        </w:rPr>
        <w:t xml:space="preserve"> that utilize pre-paid strategies</w:t>
      </w:r>
      <w:r w:rsidR="008E796F">
        <w:rPr>
          <w:rFonts w:ascii="Calibri" w:hAnsi="Calibri" w:cs="Times New Roman"/>
        </w:rPr>
        <w:t>. The SC</w:t>
      </w:r>
      <w:r w:rsidR="00293DC1">
        <w:rPr>
          <w:rFonts w:ascii="Calibri" w:hAnsi="Calibri" w:cs="Times New Roman"/>
        </w:rPr>
        <w:t>V contains multiple survey mode</w:t>
      </w:r>
      <w:r w:rsidR="008E796F">
        <w:rPr>
          <w:rFonts w:ascii="Calibri" w:hAnsi="Calibri" w:cs="Times New Roman"/>
        </w:rPr>
        <w:t xml:space="preserve"> choices for respondents </w:t>
      </w:r>
      <w:r w:rsidR="00F53610">
        <w:rPr>
          <w:rFonts w:ascii="Calibri" w:hAnsi="Calibri" w:cs="Times New Roman"/>
        </w:rPr>
        <w:t>(CAPI, CATI, inbound CATI, and Web</w:t>
      </w:r>
      <w:r>
        <w:rPr>
          <w:rFonts w:ascii="Calibri" w:hAnsi="Calibri" w:cs="Times New Roman"/>
        </w:rPr>
        <w:t>)</w:t>
      </w:r>
      <w:r w:rsidR="00600E26" w:rsidRPr="00A620C2">
        <w:rPr>
          <w:rFonts w:ascii="Calibri" w:hAnsi="Calibri" w:cs="Times New Roman"/>
        </w:rPr>
        <w:t xml:space="preserve"> and </w:t>
      </w:r>
      <w:r w:rsidR="008E796F">
        <w:rPr>
          <w:rFonts w:ascii="Calibri" w:hAnsi="Calibri" w:cs="Times New Roman"/>
        </w:rPr>
        <w:t xml:space="preserve">substantially different </w:t>
      </w:r>
      <w:r w:rsidR="00600E26" w:rsidRPr="00A620C2">
        <w:rPr>
          <w:rFonts w:ascii="Calibri" w:hAnsi="Calibri" w:cs="Times New Roman"/>
        </w:rPr>
        <w:t>eligibility criteria</w:t>
      </w:r>
      <w:r w:rsidR="00240689">
        <w:rPr>
          <w:rFonts w:ascii="Calibri" w:hAnsi="Calibri" w:cs="Times New Roman"/>
        </w:rPr>
        <w:t xml:space="preserve"> (all individuals versus one </w:t>
      </w:r>
      <w:r w:rsidR="007528A1">
        <w:rPr>
          <w:rFonts w:ascii="Calibri" w:hAnsi="Calibri" w:cs="Times New Roman"/>
        </w:rPr>
        <w:t xml:space="preserve">screened </w:t>
      </w:r>
      <w:r w:rsidR="00240689">
        <w:rPr>
          <w:rFonts w:ascii="Calibri" w:hAnsi="Calibri" w:cs="Times New Roman"/>
        </w:rPr>
        <w:t>individual)</w:t>
      </w:r>
      <w:r w:rsidR="008E796F">
        <w:rPr>
          <w:rFonts w:ascii="Calibri" w:hAnsi="Calibri" w:cs="Times New Roman"/>
        </w:rPr>
        <w:t xml:space="preserve">. </w:t>
      </w:r>
      <w:r w:rsidR="007B5366">
        <w:rPr>
          <w:rFonts w:ascii="Calibri" w:hAnsi="Calibri" w:cs="Times New Roman"/>
        </w:rPr>
        <w:t xml:space="preserve">During the development of the SCV, these </w:t>
      </w:r>
      <w:r w:rsidR="008E796F">
        <w:rPr>
          <w:rFonts w:ascii="Calibri" w:hAnsi="Calibri" w:cs="Times New Roman"/>
        </w:rPr>
        <w:t xml:space="preserve">factors </w:t>
      </w:r>
      <w:r w:rsidR="007B5366">
        <w:rPr>
          <w:rFonts w:ascii="Calibri" w:hAnsi="Calibri" w:cs="Times New Roman"/>
        </w:rPr>
        <w:t xml:space="preserve">encouraged us to consider the promised, rather pre-paid incentive approach. </w:t>
      </w:r>
      <w:r w:rsidR="00F53610">
        <w:rPr>
          <w:rFonts w:ascii="Calibri" w:hAnsi="Calibri" w:cs="Times New Roman"/>
        </w:rPr>
        <w:t>Additionally—</w:t>
      </w:r>
    </w:p>
    <w:p w:rsidR="001C3903" w:rsidRDefault="001C3903" w:rsidP="00600E26">
      <w:pPr>
        <w:pStyle w:val="bodytextpsg"/>
        <w:ind w:left="360"/>
        <w:rPr>
          <w:rFonts w:ascii="Calibri" w:hAnsi="Calibri" w:cs="Times New Roman"/>
        </w:rPr>
      </w:pPr>
    </w:p>
    <w:p w:rsidR="007528A1" w:rsidRPr="007C215E" w:rsidRDefault="00A947CE" w:rsidP="007C215E">
      <w:pPr>
        <w:pStyle w:val="bodytextpsg"/>
        <w:numPr>
          <w:ilvl w:val="0"/>
          <w:numId w:val="8"/>
        </w:numPr>
        <w:rPr>
          <w:rFonts w:ascii="Calibri" w:hAnsi="Calibri" w:cs="Times New Roman"/>
        </w:rPr>
      </w:pPr>
      <w:r w:rsidRPr="007C215E">
        <w:rPr>
          <w:rFonts w:ascii="Calibri" w:hAnsi="Calibri" w:cs="Times New Roman"/>
        </w:rPr>
        <w:t xml:space="preserve">The selection process </w:t>
      </w:r>
      <w:r w:rsidR="001F5026">
        <w:rPr>
          <w:rFonts w:ascii="Calibri" w:hAnsi="Calibri" w:cs="Times New Roman"/>
        </w:rPr>
        <w:t xml:space="preserve">between SCV and NHES/NSECE </w:t>
      </w:r>
      <w:r w:rsidRPr="007C215E">
        <w:rPr>
          <w:rFonts w:ascii="Calibri" w:hAnsi="Calibri" w:cs="Times New Roman"/>
        </w:rPr>
        <w:t>differs</w:t>
      </w:r>
      <w:r w:rsidR="006112E7">
        <w:rPr>
          <w:rFonts w:ascii="Calibri" w:hAnsi="Calibri" w:cs="Times New Roman"/>
        </w:rPr>
        <w:t xml:space="preserve"> substantially</w:t>
      </w:r>
      <w:r w:rsidRPr="007C215E">
        <w:rPr>
          <w:rFonts w:ascii="Calibri" w:hAnsi="Calibri" w:cs="Times New Roman"/>
        </w:rPr>
        <w:t xml:space="preserve">. </w:t>
      </w:r>
      <w:r w:rsidR="00312884" w:rsidRPr="007C215E">
        <w:rPr>
          <w:rFonts w:ascii="Calibri" w:hAnsi="Calibri" w:cs="Times New Roman"/>
        </w:rPr>
        <w:t xml:space="preserve">Prepaid incentives are </w:t>
      </w:r>
      <w:r w:rsidR="00DB1CD0" w:rsidRPr="007C215E">
        <w:rPr>
          <w:rFonts w:ascii="Calibri" w:hAnsi="Calibri" w:cs="Times New Roman"/>
        </w:rPr>
        <w:t>generally</w:t>
      </w:r>
      <w:r w:rsidR="00312884" w:rsidRPr="007C215E">
        <w:rPr>
          <w:rFonts w:ascii="Calibri" w:hAnsi="Calibri" w:cs="Times New Roman"/>
        </w:rPr>
        <w:t xml:space="preserve"> sent to a household in expectation that</w:t>
      </w:r>
      <w:r w:rsidR="00103E20">
        <w:rPr>
          <w:rFonts w:ascii="Calibri" w:hAnsi="Calibri" w:cs="Times New Roman"/>
        </w:rPr>
        <w:t xml:space="preserve"> a</w:t>
      </w:r>
      <w:r w:rsidR="00312884" w:rsidRPr="007C215E">
        <w:rPr>
          <w:rFonts w:ascii="Calibri" w:hAnsi="Calibri" w:cs="Times New Roman"/>
        </w:rPr>
        <w:t xml:space="preserve"> member of the household will cooperate with the survey request. </w:t>
      </w:r>
      <w:r w:rsidR="00E36589" w:rsidRPr="007C215E">
        <w:rPr>
          <w:rFonts w:ascii="Calibri" w:hAnsi="Calibri" w:cs="Times New Roman"/>
        </w:rPr>
        <w:t>The person responding to the</w:t>
      </w:r>
      <w:r w:rsidR="006112E7">
        <w:rPr>
          <w:rFonts w:ascii="Calibri" w:hAnsi="Calibri" w:cs="Times New Roman"/>
        </w:rPr>
        <w:t xml:space="preserve"> initial </w:t>
      </w:r>
      <w:r w:rsidR="00E36589" w:rsidRPr="007C215E">
        <w:rPr>
          <w:rFonts w:ascii="Calibri" w:hAnsi="Calibri" w:cs="Times New Roman"/>
        </w:rPr>
        <w:t>survey</w:t>
      </w:r>
      <w:r w:rsidR="006112E7">
        <w:rPr>
          <w:rFonts w:ascii="Calibri" w:hAnsi="Calibri" w:cs="Times New Roman"/>
        </w:rPr>
        <w:t xml:space="preserve"> request</w:t>
      </w:r>
      <w:r w:rsidR="00E36589" w:rsidRPr="007C215E">
        <w:rPr>
          <w:rFonts w:ascii="Calibri" w:hAnsi="Calibri" w:cs="Times New Roman"/>
        </w:rPr>
        <w:t xml:space="preserve"> can be </w:t>
      </w:r>
      <w:r w:rsidR="00E36589" w:rsidRPr="007C215E">
        <w:rPr>
          <w:rFonts w:ascii="Calibri" w:hAnsi="Calibri" w:cs="Times New Roman"/>
          <w:i/>
        </w:rPr>
        <w:t>any</w:t>
      </w:r>
      <w:r w:rsidR="00103E20">
        <w:rPr>
          <w:rFonts w:ascii="Calibri" w:hAnsi="Calibri" w:cs="Times New Roman"/>
          <w:i/>
        </w:rPr>
        <w:t xml:space="preserve"> </w:t>
      </w:r>
      <w:r w:rsidR="006112E7">
        <w:rPr>
          <w:rFonts w:ascii="Calibri" w:hAnsi="Calibri" w:cs="Times New Roman"/>
          <w:i/>
        </w:rPr>
        <w:t xml:space="preserve">one </w:t>
      </w:r>
      <w:r w:rsidR="00E36589" w:rsidRPr="007C215E">
        <w:rPr>
          <w:rFonts w:ascii="Calibri" w:hAnsi="Calibri" w:cs="Times New Roman"/>
        </w:rPr>
        <w:t xml:space="preserve">person residing in the household. </w:t>
      </w:r>
      <w:r w:rsidR="00DB1CD0" w:rsidRPr="007C215E">
        <w:rPr>
          <w:rFonts w:ascii="Calibri" w:hAnsi="Calibri" w:cs="Times New Roman"/>
        </w:rPr>
        <w:t xml:space="preserve">This </w:t>
      </w:r>
      <w:r w:rsidR="00E36589" w:rsidRPr="007C215E">
        <w:rPr>
          <w:rFonts w:ascii="Calibri" w:hAnsi="Calibri" w:cs="Times New Roman"/>
        </w:rPr>
        <w:t xml:space="preserve">is a key distinction </w:t>
      </w:r>
      <w:r w:rsidR="006112E7">
        <w:rPr>
          <w:rFonts w:ascii="Calibri" w:hAnsi="Calibri" w:cs="Times New Roman"/>
        </w:rPr>
        <w:t xml:space="preserve">for the </w:t>
      </w:r>
      <w:r w:rsidR="00E36589" w:rsidRPr="007C215E">
        <w:rPr>
          <w:rFonts w:ascii="Calibri" w:hAnsi="Calibri" w:cs="Times New Roman"/>
        </w:rPr>
        <w:t xml:space="preserve">SCV which </w:t>
      </w:r>
      <w:r w:rsidR="00312884" w:rsidRPr="007C215E">
        <w:rPr>
          <w:rFonts w:ascii="Calibri" w:hAnsi="Calibri" w:cs="Times New Roman"/>
        </w:rPr>
        <w:t xml:space="preserve">is designed to </w:t>
      </w:r>
      <w:r w:rsidR="00E36589" w:rsidRPr="007C215E">
        <w:rPr>
          <w:rFonts w:ascii="Calibri" w:hAnsi="Calibri" w:cs="Times New Roman"/>
        </w:rPr>
        <w:t xml:space="preserve">elicit </w:t>
      </w:r>
      <w:r w:rsidR="00E36589" w:rsidRPr="007C215E">
        <w:rPr>
          <w:rFonts w:ascii="Calibri" w:hAnsi="Calibri" w:cs="Times New Roman"/>
        </w:rPr>
        <w:lastRenderedPageBreak/>
        <w:t>s</w:t>
      </w:r>
      <w:r w:rsidR="00312884" w:rsidRPr="007C215E">
        <w:rPr>
          <w:rFonts w:ascii="Calibri" w:hAnsi="Calibri" w:cs="Times New Roman"/>
        </w:rPr>
        <w:t xml:space="preserve">urvey </w:t>
      </w:r>
      <w:r w:rsidR="00E36589" w:rsidRPr="007C215E">
        <w:rPr>
          <w:rFonts w:ascii="Calibri" w:hAnsi="Calibri" w:cs="Times New Roman"/>
        </w:rPr>
        <w:t>response</w:t>
      </w:r>
      <w:r w:rsidR="006112E7">
        <w:rPr>
          <w:rFonts w:ascii="Calibri" w:hAnsi="Calibri" w:cs="Times New Roman"/>
        </w:rPr>
        <w:t>s</w:t>
      </w:r>
      <w:r w:rsidR="00E36589" w:rsidRPr="007C215E">
        <w:rPr>
          <w:rFonts w:ascii="Calibri" w:hAnsi="Calibri" w:cs="Times New Roman"/>
        </w:rPr>
        <w:t xml:space="preserve"> from </w:t>
      </w:r>
      <w:r w:rsidR="00312884" w:rsidRPr="007C215E">
        <w:rPr>
          <w:rFonts w:ascii="Calibri" w:hAnsi="Calibri" w:cs="Times New Roman"/>
        </w:rPr>
        <w:t xml:space="preserve">multiple </w:t>
      </w:r>
      <w:r w:rsidR="00E36589" w:rsidRPr="007C215E">
        <w:rPr>
          <w:rFonts w:ascii="Calibri" w:hAnsi="Calibri" w:cs="Times New Roman"/>
        </w:rPr>
        <w:t xml:space="preserve">unknown </w:t>
      </w:r>
      <w:r w:rsidR="00312884" w:rsidRPr="007C215E">
        <w:rPr>
          <w:rFonts w:ascii="Calibri" w:hAnsi="Calibri" w:cs="Times New Roman"/>
        </w:rPr>
        <w:t>household members</w:t>
      </w:r>
      <w:r w:rsidR="006112E7">
        <w:rPr>
          <w:rFonts w:ascii="Calibri" w:hAnsi="Calibri" w:cs="Times New Roman"/>
        </w:rPr>
        <w:t xml:space="preserve"> during the first contact</w:t>
      </w:r>
      <w:r w:rsidR="00312884" w:rsidRPr="007C215E">
        <w:rPr>
          <w:rFonts w:ascii="Calibri" w:hAnsi="Calibri" w:cs="Times New Roman"/>
        </w:rPr>
        <w:t xml:space="preserve">--in this case, all adults age 18 and older. </w:t>
      </w:r>
    </w:p>
    <w:p w:rsidR="007528A1" w:rsidRDefault="007528A1" w:rsidP="00F53610">
      <w:pPr>
        <w:pStyle w:val="bodytextpsg"/>
        <w:ind w:left="1080"/>
        <w:rPr>
          <w:rFonts w:ascii="Calibri" w:hAnsi="Calibri" w:cs="Times New Roman"/>
        </w:rPr>
      </w:pPr>
    </w:p>
    <w:p w:rsidR="005D34D5" w:rsidRPr="00A947CE" w:rsidRDefault="001F5026" w:rsidP="009E033F">
      <w:pPr>
        <w:pStyle w:val="bodytextpsg"/>
        <w:numPr>
          <w:ilvl w:val="0"/>
          <w:numId w:val="8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Instrumentation differs </w:t>
      </w:r>
      <w:r w:rsidR="00F52853">
        <w:rPr>
          <w:rFonts w:ascii="Calibri" w:hAnsi="Calibri" w:cs="Times New Roman"/>
        </w:rPr>
        <w:t>amongst</w:t>
      </w:r>
      <w:r w:rsidR="00A947CE" w:rsidRPr="00A947CE">
        <w:rPr>
          <w:rFonts w:ascii="Calibri" w:hAnsi="Calibri" w:cs="Times New Roman"/>
        </w:rPr>
        <w:t xml:space="preserve"> t</w:t>
      </w:r>
      <w:r w:rsidR="0007285D" w:rsidRPr="00A947CE">
        <w:rPr>
          <w:rFonts w:ascii="Calibri" w:hAnsi="Calibri" w:cs="Times New Roman"/>
        </w:rPr>
        <w:t>he SCV</w:t>
      </w:r>
      <w:r w:rsidR="009E033F" w:rsidRPr="00A947CE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 xml:space="preserve">and </w:t>
      </w:r>
      <w:r w:rsidR="0007285D" w:rsidRPr="00A947CE">
        <w:rPr>
          <w:rFonts w:ascii="Calibri" w:hAnsi="Calibri" w:cs="Times New Roman"/>
        </w:rPr>
        <w:t>NHES</w:t>
      </w:r>
      <w:r>
        <w:rPr>
          <w:rFonts w:ascii="Calibri" w:hAnsi="Calibri" w:cs="Times New Roman"/>
        </w:rPr>
        <w:t>/</w:t>
      </w:r>
      <w:r w:rsidR="0007285D" w:rsidRPr="00A947CE">
        <w:rPr>
          <w:rFonts w:ascii="Calibri" w:hAnsi="Calibri" w:cs="Times New Roman"/>
        </w:rPr>
        <w:t>NSECE</w:t>
      </w:r>
      <w:r>
        <w:rPr>
          <w:rFonts w:ascii="Calibri" w:hAnsi="Calibri" w:cs="Times New Roman"/>
        </w:rPr>
        <w:t xml:space="preserve"> studies</w:t>
      </w:r>
      <w:r w:rsidR="00A947CE">
        <w:rPr>
          <w:rFonts w:ascii="Calibri" w:hAnsi="Calibri" w:cs="Times New Roman"/>
        </w:rPr>
        <w:t xml:space="preserve">. For the SCV, </w:t>
      </w:r>
      <w:r>
        <w:rPr>
          <w:rFonts w:ascii="Calibri" w:hAnsi="Calibri" w:cs="Times New Roman"/>
        </w:rPr>
        <w:t xml:space="preserve">the </w:t>
      </w:r>
      <w:r w:rsidR="00EB6B52">
        <w:rPr>
          <w:rFonts w:ascii="Calibri" w:hAnsi="Calibri" w:cs="Times New Roman"/>
        </w:rPr>
        <w:t xml:space="preserve">modified </w:t>
      </w:r>
      <w:r w:rsidR="005D34D5" w:rsidRPr="00A947CE">
        <w:rPr>
          <w:rFonts w:ascii="Calibri" w:hAnsi="Calibri" w:cs="Times New Roman"/>
        </w:rPr>
        <w:t xml:space="preserve">crime </w:t>
      </w:r>
      <w:r w:rsidR="0007285D" w:rsidRPr="00A947CE">
        <w:rPr>
          <w:rFonts w:ascii="Calibri" w:hAnsi="Calibri" w:cs="Times New Roman"/>
        </w:rPr>
        <w:t>s</w:t>
      </w:r>
      <w:r w:rsidR="005D34D5" w:rsidRPr="00A947CE">
        <w:rPr>
          <w:rFonts w:ascii="Calibri" w:hAnsi="Calibri" w:cs="Times New Roman"/>
        </w:rPr>
        <w:t xml:space="preserve">creener is </w:t>
      </w:r>
      <w:r w:rsidR="005D34D5" w:rsidRPr="00A947CE">
        <w:rPr>
          <w:rFonts w:ascii="Calibri" w:hAnsi="Calibri" w:cs="Times New Roman"/>
          <w:i/>
          <w:iCs/>
        </w:rPr>
        <w:t xml:space="preserve">not </w:t>
      </w:r>
      <w:r w:rsidR="005D34D5" w:rsidRPr="00A947CE">
        <w:rPr>
          <w:rFonts w:ascii="Calibri" w:hAnsi="Calibri" w:cs="Times New Roman"/>
        </w:rPr>
        <w:t xml:space="preserve">a separate instrument from the </w:t>
      </w:r>
      <w:r w:rsidR="0007285D" w:rsidRPr="00A947CE">
        <w:rPr>
          <w:rFonts w:ascii="Calibri" w:hAnsi="Calibri" w:cs="Times New Roman"/>
        </w:rPr>
        <w:t>c</w:t>
      </w:r>
      <w:r w:rsidR="005D34D5" w:rsidRPr="00A947CE">
        <w:rPr>
          <w:rFonts w:ascii="Calibri" w:hAnsi="Calibri" w:cs="Times New Roman"/>
        </w:rPr>
        <w:t xml:space="preserve">rime </w:t>
      </w:r>
      <w:r w:rsidR="0007285D" w:rsidRPr="00A947CE">
        <w:rPr>
          <w:rFonts w:ascii="Calibri" w:hAnsi="Calibri" w:cs="Times New Roman"/>
        </w:rPr>
        <w:t>i</w:t>
      </w:r>
      <w:r w:rsidR="005D34D5" w:rsidRPr="00A947CE">
        <w:rPr>
          <w:rFonts w:ascii="Calibri" w:hAnsi="Calibri" w:cs="Times New Roman"/>
        </w:rPr>
        <w:t xml:space="preserve">ncident </w:t>
      </w:r>
      <w:r w:rsidR="0007285D" w:rsidRPr="00A947CE">
        <w:rPr>
          <w:rFonts w:ascii="Calibri" w:hAnsi="Calibri" w:cs="Times New Roman"/>
        </w:rPr>
        <w:t>r</w:t>
      </w:r>
      <w:r w:rsidR="005D34D5" w:rsidRPr="00A947CE">
        <w:rPr>
          <w:rFonts w:ascii="Calibri" w:hAnsi="Calibri" w:cs="Times New Roman"/>
        </w:rPr>
        <w:t>eport</w:t>
      </w:r>
      <w:r w:rsidR="009E033F" w:rsidRPr="00A947CE">
        <w:rPr>
          <w:rFonts w:ascii="Calibri" w:hAnsi="Calibri" w:cs="Times New Roman"/>
        </w:rPr>
        <w:t xml:space="preserve"> nor is </w:t>
      </w:r>
      <w:r w:rsidR="0071092A">
        <w:rPr>
          <w:rFonts w:ascii="Calibri" w:hAnsi="Calibri" w:cs="Times New Roman"/>
        </w:rPr>
        <w:t xml:space="preserve">the screener </w:t>
      </w:r>
      <w:r w:rsidR="009E033F" w:rsidRPr="00A947CE">
        <w:rPr>
          <w:rFonts w:ascii="Calibri" w:hAnsi="Calibri" w:cs="Times New Roman"/>
        </w:rPr>
        <w:t xml:space="preserve">designed to identify a single respondent </w:t>
      </w:r>
      <w:r w:rsidR="0071092A">
        <w:rPr>
          <w:rFonts w:ascii="Calibri" w:hAnsi="Calibri" w:cs="Times New Roman"/>
        </w:rPr>
        <w:t>that will</w:t>
      </w:r>
      <w:r w:rsidR="009E033F" w:rsidRPr="00A947CE">
        <w:rPr>
          <w:rFonts w:ascii="Calibri" w:hAnsi="Calibri" w:cs="Times New Roman"/>
        </w:rPr>
        <w:t xml:space="preserve"> receive topical questions</w:t>
      </w:r>
      <w:r w:rsidR="00A947CE">
        <w:rPr>
          <w:rFonts w:ascii="Calibri" w:hAnsi="Calibri" w:cs="Times New Roman"/>
        </w:rPr>
        <w:t xml:space="preserve"> </w:t>
      </w:r>
      <w:r w:rsidR="00A62027">
        <w:rPr>
          <w:rFonts w:ascii="Calibri" w:hAnsi="Calibri" w:cs="Times New Roman"/>
        </w:rPr>
        <w:t xml:space="preserve">(e.g. crime incident form) </w:t>
      </w:r>
      <w:r w:rsidR="00A947CE">
        <w:rPr>
          <w:rFonts w:ascii="Calibri" w:hAnsi="Calibri" w:cs="Times New Roman"/>
        </w:rPr>
        <w:t>at a later date</w:t>
      </w:r>
      <w:r w:rsidR="0007285D" w:rsidRPr="00A947CE">
        <w:rPr>
          <w:rFonts w:ascii="Calibri" w:hAnsi="Calibri" w:cs="Times New Roman"/>
        </w:rPr>
        <w:t xml:space="preserve">. </w:t>
      </w:r>
      <w:r w:rsidR="00CB3CFF" w:rsidRPr="00A947CE">
        <w:rPr>
          <w:rFonts w:ascii="Calibri" w:hAnsi="Calibri" w:cs="Times New Roman"/>
        </w:rPr>
        <w:t>The</w:t>
      </w:r>
      <w:r w:rsidR="006D3879" w:rsidRPr="00A947CE">
        <w:rPr>
          <w:rFonts w:ascii="Calibri" w:hAnsi="Calibri" w:cs="Times New Roman"/>
        </w:rPr>
        <w:t xml:space="preserve"> SCV</w:t>
      </w:r>
      <w:r w:rsidR="0007285D" w:rsidRPr="00A947CE">
        <w:rPr>
          <w:rFonts w:ascii="Calibri" w:hAnsi="Calibri" w:cs="Times New Roman"/>
        </w:rPr>
        <w:t xml:space="preserve"> incident report serves t</w:t>
      </w:r>
      <w:r w:rsidR="00CB3CFF" w:rsidRPr="00A947CE">
        <w:rPr>
          <w:rFonts w:ascii="Calibri" w:hAnsi="Calibri" w:cs="Times New Roman"/>
        </w:rPr>
        <w:t>w</w:t>
      </w:r>
      <w:r w:rsidR="0007285D" w:rsidRPr="00A947CE">
        <w:rPr>
          <w:rFonts w:ascii="Calibri" w:hAnsi="Calibri" w:cs="Times New Roman"/>
        </w:rPr>
        <w:t>o purposes</w:t>
      </w:r>
      <w:r w:rsidR="0071092A">
        <w:rPr>
          <w:rFonts w:ascii="Calibri" w:hAnsi="Calibri" w:cs="Times New Roman"/>
        </w:rPr>
        <w:t>—</w:t>
      </w:r>
      <w:r w:rsidR="00E648B4">
        <w:rPr>
          <w:rFonts w:ascii="Calibri" w:hAnsi="Calibri" w:cs="Times New Roman"/>
        </w:rPr>
        <w:t>1)</w:t>
      </w:r>
      <w:r w:rsidR="0007285D" w:rsidRPr="00A947CE">
        <w:rPr>
          <w:rFonts w:ascii="Calibri" w:hAnsi="Calibri" w:cs="Times New Roman"/>
        </w:rPr>
        <w:t xml:space="preserve"> to provide details </w:t>
      </w:r>
      <w:r w:rsidR="00D05657">
        <w:rPr>
          <w:rFonts w:ascii="Calibri" w:hAnsi="Calibri" w:cs="Times New Roman"/>
        </w:rPr>
        <w:t xml:space="preserve">needed to classify and unfound </w:t>
      </w:r>
      <w:r w:rsidR="0071092A">
        <w:rPr>
          <w:rFonts w:ascii="Calibri" w:hAnsi="Calibri" w:cs="Times New Roman"/>
        </w:rPr>
        <w:t>incidents</w:t>
      </w:r>
      <w:r w:rsidR="0007285D" w:rsidRPr="00A947CE">
        <w:rPr>
          <w:rFonts w:ascii="Calibri" w:hAnsi="Calibri" w:cs="Times New Roman"/>
        </w:rPr>
        <w:t>,</w:t>
      </w:r>
      <w:r w:rsidR="00D05657">
        <w:rPr>
          <w:rFonts w:ascii="Calibri" w:hAnsi="Calibri" w:cs="Times New Roman"/>
        </w:rPr>
        <w:t xml:space="preserve"> </w:t>
      </w:r>
      <w:r w:rsidR="0007285D" w:rsidRPr="00A947CE">
        <w:rPr>
          <w:rFonts w:ascii="Calibri" w:hAnsi="Calibri" w:cs="Times New Roman"/>
        </w:rPr>
        <w:t>and</w:t>
      </w:r>
      <w:r w:rsidR="00E648B4">
        <w:rPr>
          <w:rFonts w:ascii="Calibri" w:hAnsi="Calibri" w:cs="Times New Roman"/>
        </w:rPr>
        <w:t xml:space="preserve"> 2)</w:t>
      </w:r>
      <w:r w:rsidR="0016187D">
        <w:rPr>
          <w:rFonts w:ascii="Calibri" w:hAnsi="Calibri" w:cs="Times New Roman"/>
        </w:rPr>
        <w:t xml:space="preserve"> </w:t>
      </w:r>
      <w:r w:rsidR="00E648B4">
        <w:rPr>
          <w:rFonts w:ascii="Calibri" w:hAnsi="Calibri" w:cs="Times New Roman"/>
        </w:rPr>
        <w:t>as</w:t>
      </w:r>
      <w:r w:rsidR="0007285D" w:rsidRPr="00A947CE">
        <w:rPr>
          <w:rFonts w:ascii="Calibri" w:hAnsi="Calibri" w:cs="Times New Roman"/>
        </w:rPr>
        <w:t xml:space="preserve"> a tool to identify </w:t>
      </w:r>
      <w:r w:rsidR="00E648B4">
        <w:rPr>
          <w:rFonts w:ascii="Calibri" w:hAnsi="Calibri" w:cs="Times New Roman"/>
        </w:rPr>
        <w:t xml:space="preserve">the number of </w:t>
      </w:r>
      <w:r w:rsidR="0007285D" w:rsidRPr="00A947CE">
        <w:rPr>
          <w:rFonts w:ascii="Calibri" w:hAnsi="Calibri" w:cs="Times New Roman"/>
        </w:rPr>
        <w:t xml:space="preserve">crime incident reports </w:t>
      </w:r>
      <w:r w:rsidR="00E648B4">
        <w:rPr>
          <w:rFonts w:ascii="Calibri" w:hAnsi="Calibri" w:cs="Times New Roman"/>
        </w:rPr>
        <w:t>to be completed during the</w:t>
      </w:r>
      <w:r w:rsidR="00CB3CFF" w:rsidRPr="00A947CE">
        <w:rPr>
          <w:rFonts w:ascii="Calibri" w:hAnsi="Calibri" w:cs="Times New Roman"/>
        </w:rPr>
        <w:t xml:space="preserve"> interview</w:t>
      </w:r>
      <w:r w:rsidR="0007285D" w:rsidRPr="00A947CE">
        <w:rPr>
          <w:rFonts w:ascii="Calibri" w:hAnsi="Calibri" w:cs="Times New Roman"/>
        </w:rPr>
        <w:t>.</w:t>
      </w:r>
      <w:r w:rsidR="009E033F" w:rsidRPr="00A947CE">
        <w:rPr>
          <w:rFonts w:ascii="Calibri" w:hAnsi="Calibri" w:cs="Times New Roman"/>
        </w:rPr>
        <w:t xml:space="preserve"> </w:t>
      </w:r>
    </w:p>
    <w:p w:rsidR="005D34D5" w:rsidRDefault="005D34D5" w:rsidP="009E033F">
      <w:pPr>
        <w:pStyle w:val="bodytextpsg"/>
        <w:ind w:left="360"/>
        <w:rPr>
          <w:rFonts w:ascii="Calibri" w:hAnsi="Calibri" w:cs="Times New Roman"/>
        </w:rPr>
      </w:pPr>
    </w:p>
    <w:p w:rsidR="00020034" w:rsidRPr="00C62C99" w:rsidRDefault="00A62027" w:rsidP="00020034">
      <w:pPr>
        <w:pStyle w:val="bodytextpsg"/>
        <w:numPr>
          <w:ilvl w:val="0"/>
          <w:numId w:val="8"/>
        </w:numPr>
        <w:rPr>
          <w:rFonts w:asciiTheme="minorHAnsi" w:hAnsiTheme="minorHAnsi" w:cs="Times New Roman"/>
        </w:rPr>
      </w:pPr>
      <w:r>
        <w:rPr>
          <w:rFonts w:ascii="Calibri" w:hAnsi="Calibri" w:cs="Times New Roman"/>
        </w:rPr>
        <w:t>T</w:t>
      </w:r>
      <w:r w:rsidR="00F52853" w:rsidRPr="00C62C99">
        <w:rPr>
          <w:rFonts w:ascii="Calibri" w:hAnsi="Calibri" w:cs="Times New Roman"/>
        </w:rPr>
        <w:t>here</w:t>
      </w:r>
      <w:r w:rsidR="001F5026" w:rsidRPr="00C62C99">
        <w:rPr>
          <w:rFonts w:ascii="Calibri" w:hAnsi="Calibri" w:cs="Times New Roman"/>
        </w:rPr>
        <w:t xml:space="preserve"> </w:t>
      </w:r>
      <w:r w:rsidR="00020034" w:rsidRPr="00C62C99">
        <w:rPr>
          <w:rFonts w:ascii="Calibri" w:hAnsi="Calibri" w:cs="Times New Roman"/>
        </w:rPr>
        <w:t xml:space="preserve">are </w:t>
      </w:r>
      <w:r w:rsidR="001F5026" w:rsidRPr="00C62C99">
        <w:rPr>
          <w:rFonts w:ascii="Calibri" w:hAnsi="Calibri" w:cs="Times New Roman"/>
        </w:rPr>
        <w:t xml:space="preserve">important mode differences </w:t>
      </w:r>
      <w:r w:rsidR="003A44D0" w:rsidRPr="00C62C99">
        <w:rPr>
          <w:rFonts w:ascii="Calibri" w:hAnsi="Calibri" w:cs="Times New Roman"/>
        </w:rPr>
        <w:t xml:space="preserve">amongst </w:t>
      </w:r>
      <w:r w:rsidR="001F5026" w:rsidRPr="00C62C99">
        <w:rPr>
          <w:rFonts w:ascii="Calibri" w:hAnsi="Calibri" w:cs="Times New Roman"/>
        </w:rPr>
        <w:t xml:space="preserve">the studies. </w:t>
      </w:r>
      <w:r w:rsidR="00600E26" w:rsidRPr="00C62C99">
        <w:rPr>
          <w:rFonts w:ascii="Calibri" w:hAnsi="Calibri" w:cs="Times New Roman"/>
        </w:rPr>
        <w:t xml:space="preserve">Unlike the NHES and NSECE, </w:t>
      </w:r>
      <w:r w:rsidR="001C3903" w:rsidRPr="00C62C99">
        <w:rPr>
          <w:rFonts w:ascii="Calibri" w:hAnsi="Calibri" w:cs="Times New Roman"/>
        </w:rPr>
        <w:t>the SCV</w:t>
      </w:r>
      <w:r w:rsidR="00600E26" w:rsidRPr="00C62C99">
        <w:rPr>
          <w:rFonts w:ascii="Calibri" w:hAnsi="Calibri" w:cs="Times New Roman"/>
        </w:rPr>
        <w:t xml:space="preserve"> requires sample members to answer questions </w:t>
      </w:r>
      <w:r w:rsidR="003A44D0" w:rsidRPr="00C62C99">
        <w:rPr>
          <w:rFonts w:ascii="Calibri" w:hAnsi="Calibri" w:cs="Times New Roman"/>
        </w:rPr>
        <w:t xml:space="preserve">not only by mail or in person but also by </w:t>
      </w:r>
      <w:r w:rsidR="00600E26" w:rsidRPr="00C62C99">
        <w:rPr>
          <w:rFonts w:ascii="Calibri" w:hAnsi="Calibri" w:cs="Times New Roman"/>
        </w:rPr>
        <w:t>inbound CATI</w:t>
      </w:r>
      <w:r w:rsidR="003A44D0" w:rsidRPr="00C62C99">
        <w:rPr>
          <w:rFonts w:ascii="Calibri" w:hAnsi="Calibri" w:cs="Times New Roman"/>
        </w:rPr>
        <w:t xml:space="preserve"> </w:t>
      </w:r>
      <w:r w:rsidR="00600E26" w:rsidRPr="00C62C99">
        <w:rPr>
          <w:rFonts w:ascii="Calibri" w:hAnsi="Calibri" w:cs="Times New Roman"/>
        </w:rPr>
        <w:t xml:space="preserve">or via the </w:t>
      </w:r>
      <w:r w:rsidR="00B50B24" w:rsidRPr="00C62C99">
        <w:rPr>
          <w:rFonts w:ascii="Calibri" w:hAnsi="Calibri" w:cs="Times New Roman"/>
        </w:rPr>
        <w:t>W</w:t>
      </w:r>
      <w:r w:rsidR="00600E26" w:rsidRPr="00C62C99">
        <w:rPr>
          <w:rFonts w:ascii="Calibri" w:hAnsi="Calibri" w:cs="Times New Roman"/>
        </w:rPr>
        <w:t xml:space="preserve">eb. </w:t>
      </w:r>
      <w:r w:rsidR="001F5026" w:rsidRPr="00C62C99">
        <w:rPr>
          <w:rFonts w:ascii="Calibri" w:hAnsi="Calibri" w:cs="Times New Roman"/>
        </w:rPr>
        <w:t>Th</w:t>
      </w:r>
      <w:r w:rsidR="003A44D0" w:rsidRPr="00C62C99">
        <w:rPr>
          <w:rFonts w:ascii="Calibri" w:hAnsi="Calibri" w:cs="Times New Roman"/>
        </w:rPr>
        <w:t>ese self-administered modes are</w:t>
      </w:r>
      <w:r w:rsidR="001F5026" w:rsidRPr="00C62C99">
        <w:rPr>
          <w:rFonts w:ascii="Calibri" w:hAnsi="Calibri" w:cs="Times New Roman"/>
        </w:rPr>
        <w:t xml:space="preserve"> especially important during Wave 2 in which respondents are asked to complete </w:t>
      </w:r>
      <w:r w:rsidR="003A44D0" w:rsidRPr="00C62C99">
        <w:rPr>
          <w:rFonts w:ascii="Calibri" w:hAnsi="Calibri" w:cs="Times New Roman"/>
        </w:rPr>
        <w:t xml:space="preserve">their </w:t>
      </w:r>
      <w:r w:rsidR="001F5026" w:rsidRPr="00C62C99">
        <w:rPr>
          <w:rFonts w:ascii="Calibri" w:hAnsi="Calibri" w:cs="Times New Roman"/>
        </w:rPr>
        <w:t xml:space="preserve">interviews by </w:t>
      </w:r>
      <w:r w:rsidR="003A44D0" w:rsidRPr="00C62C99">
        <w:rPr>
          <w:rFonts w:ascii="Calibri" w:hAnsi="Calibri" w:cs="Times New Roman"/>
        </w:rPr>
        <w:t>calling into a</w:t>
      </w:r>
      <w:r w:rsidR="001F5026" w:rsidRPr="00C62C99">
        <w:rPr>
          <w:rFonts w:ascii="Calibri" w:hAnsi="Calibri" w:cs="Times New Roman"/>
        </w:rPr>
        <w:t xml:space="preserve"> CATI </w:t>
      </w:r>
      <w:r w:rsidR="003A44D0" w:rsidRPr="00C62C99">
        <w:rPr>
          <w:rFonts w:ascii="Calibri" w:hAnsi="Calibri" w:cs="Times New Roman"/>
        </w:rPr>
        <w:t xml:space="preserve">facility </w:t>
      </w:r>
      <w:r w:rsidR="001F5026" w:rsidRPr="00C62C99">
        <w:rPr>
          <w:rFonts w:ascii="Calibri" w:hAnsi="Calibri" w:cs="Times New Roman"/>
        </w:rPr>
        <w:t xml:space="preserve">or </w:t>
      </w:r>
      <w:r w:rsidR="003A44D0" w:rsidRPr="00C62C99">
        <w:rPr>
          <w:rFonts w:ascii="Calibri" w:hAnsi="Calibri" w:cs="Times New Roman"/>
        </w:rPr>
        <w:t xml:space="preserve">navigating to a </w:t>
      </w:r>
      <w:r w:rsidR="001F5026" w:rsidRPr="00C62C99">
        <w:rPr>
          <w:rFonts w:ascii="Calibri" w:hAnsi="Calibri" w:cs="Times New Roman"/>
        </w:rPr>
        <w:t>Web</w:t>
      </w:r>
      <w:r w:rsidR="003A44D0" w:rsidRPr="00C62C99">
        <w:rPr>
          <w:rFonts w:ascii="Calibri" w:hAnsi="Calibri" w:cs="Times New Roman"/>
        </w:rPr>
        <w:t>site</w:t>
      </w:r>
      <w:r w:rsidR="00C62C99" w:rsidRPr="00C62C99">
        <w:rPr>
          <w:rFonts w:ascii="Calibri" w:hAnsi="Calibri" w:cs="Times New Roman"/>
        </w:rPr>
        <w:t xml:space="preserve"> via computer</w:t>
      </w:r>
      <w:r w:rsidR="001F5026" w:rsidRPr="00C62C99">
        <w:rPr>
          <w:rFonts w:ascii="Calibri" w:hAnsi="Calibri" w:cs="Times New Roman"/>
        </w:rPr>
        <w:t xml:space="preserve">. </w:t>
      </w:r>
    </w:p>
    <w:p w:rsidR="00C62C99" w:rsidRPr="00C62C99" w:rsidRDefault="00C62C99" w:rsidP="00C62C99">
      <w:pPr>
        <w:pStyle w:val="bodytextpsg"/>
        <w:ind w:left="720"/>
        <w:rPr>
          <w:rFonts w:asciiTheme="minorHAnsi" w:hAnsiTheme="minorHAnsi" w:cs="Times New Roman"/>
        </w:rPr>
      </w:pPr>
    </w:p>
    <w:p w:rsidR="00C62C99" w:rsidRDefault="00C62C99" w:rsidP="00C62C99">
      <w:pPr>
        <w:pStyle w:val="bodytextpsg"/>
        <w:ind w:left="36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This mixed mode design originally included mail instruments in addition to the inbound CATI and Web modes. However, d</w:t>
      </w:r>
      <w:r w:rsidRPr="005E34DF">
        <w:rPr>
          <w:rFonts w:asciiTheme="minorHAnsi" w:hAnsiTheme="minorHAnsi" w:cs="Times New Roman"/>
        </w:rPr>
        <w:t xml:space="preserve">ue to the complexity of the </w:t>
      </w:r>
      <w:r>
        <w:rPr>
          <w:rFonts w:asciiTheme="minorHAnsi" w:hAnsiTheme="minorHAnsi" w:cs="Times New Roman"/>
        </w:rPr>
        <w:t>NCVS</w:t>
      </w:r>
      <w:r w:rsidRPr="005E34DF">
        <w:rPr>
          <w:rFonts w:asciiTheme="minorHAnsi" w:hAnsiTheme="minorHAnsi" w:cs="Times New Roman"/>
        </w:rPr>
        <w:t xml:space="preserve">, a mail </w:t>
      </w:r>
      <w:r>
        <w:rPr>
          <w:rFonts w:asciiTheme="minorHAnsi" w:hAnsiTheme="minorHAnsi" w:cs="Times New Roman"/>
        </w:rPr>
        <w:t xml:space="preserve">instrument </w:t>
      </w:r>
      <w:r w:rsidRPr="005E34DF">
        <w:rPr>
          <w:rFonts w:asciiTheme="minorHAnsi" w:hAnsiTheme="minorHAnsi" w:cs="Times New Roman"/>
        </w:rPr>
        <w:t>will not be implemented in the SCV</w:t>
      </w:r>
      <w:r>
        <w:rPr>
          <w:rFonts w:asciiTheme="minorHAnsi" w:hAnsiTheme="minorHAnsi" w:cs="Times New Roman"/>
        </w:rPr>
        <w:t xml:space="preserve"> field test</w:t>
      </w:r>
      <w:r w:rsidRPr="005E34DF">
        <w:rPr>
          <w:rFonts w:asciiTheme="minorHAnsi" w:hAnsiTheme="minorHAnsi" w:cs="Times New Roman"/>
        </w:rPr>
        <w:t xml:space="preserve">.  </w:t>
      </w:r>
      <w:r>
        <w:rPr>
          <w:rFonts w:asciiTheme="minorHAnsi" w:hAnsiTheme="minorHAnsi" w:cs="Times New Roman"/>
        </w:rPr>
        <w:t>C</w:t>
      </w:r>
      <w:r w:rsidRPr="005E34DF">
        <w:rPr>
          <w:rFonts w:asciiTheme="minorHAnsi" w:hAnsiTheme="minorHAnsi" w:cs="Times New Roman"/>
        </w:rPr>
        <w:t>ognitive testing of the dr</w:t>
      </w:r>
      <w:r>
        <w:rPr>
          <w:rFonts w:asciiTheme="minorHAnsi" w:hAnsiTheme="minorHAnsi" w:cs="Times New Roman"/>
        </w:rPr>
        <w:t xml:space="preserve">aft mail survey demonstrated that </w:t>
      </w:r>
      <w:r w:rsidR="00270C93">
        <w:rPr>
          <w:rFonts w:asciiTheme="minorHAnsi" w:hAnsiTheme="minorHAnsi" w:cs="Times New Roman"/>
        </w:rPr>
        <w:t>terminology</w:t>
      </w:r>
      <w:r>
        <w:rPr>
          <w:rFonts w:asciiTheme="minorHAnsi" w:hAnsiTheme="minorHAnsi" w:cs="Times New Roman"/>
        </w:rPr>
        <w:t xml:space="preserve"> </w:t>
      </w:r>
      <w:r w:rsidR="001C2C52">
        <w:rPr>
          <w:rFonts w:asciiTheme="minorHAnsi" w:hAnsiTheme="minorHAnsi" w:cs="Times New Roman"/>
        </w:rPr>
        <w:t xml:space="preserve">and cognitive tasks associated with the </w:t>
      </w:r>
      <w:r>
        <w:rPr>
          <w:rFonts w:asciiTheme="minorHAnsi" w:hAnsiTheme="minorHAnsi" w:cs="Times New Roman"/>
        </w:rPr>
        <w:t xml:space="preserve">NCVS made </w:t>
      </w:r>
      <w:r w:rsidR="001C2C52">
        <w:rPr>
          <w:rFonts w:asciiTheme="minorHAnsi" w:hAnsiTheme="minorHAnsi" w:cs="Times New Roman"/>
        </w:rPr>
        <w:t xml:space="preserve">adaptation to a mail instrument impossible without an overhaul of the questionnaire. </w:t>
      </w:r>
    </w:p>
    <w:p w:rsidR="00C62C99" w:rsidRDefault="00C62C99" w:rsidP="00C62C99">
      <w:pPr>
        <w:pStyle w:val="bodytextpsg"/>
        <w:ind w:left="360"/>
        <w:rPr>
          <w:rFonts w:ascii="Calibri" w:hAnsi="Calibri" w:cs="Times New Roman"/>
        </w:rPr>
      </w:pPr>
    </w:p>
    <w:p w:rsidR="00C62C99" w:rsidRPr="00270C93" w:rsidRDefault="00020034" w:rsidP="00C62C99">
      <w:pPr>
        <w:pStyle w:val="bodytextpsg"/>
        <w:ind w:left="360"/>
        <w:rPr>
          <w:rFonts w:ascii="Calibri" w:hAnsi="Calibri" w:cs="Times New Roman"/>
        </w:rPr>
      </w:pPr>
      <w:r>
        <w:rPr>
          <w:rFonts w:ascii="Calibri" w:hAnsi="Calibri" w:cs="Times New Roman"/>
        </w:rPr>
        <w:t>While t</w:t>
      </w:r>
      <w:r w:rsidRPr="00E648B4">
        <w:rPr>
          <w:rFonts w:ascii="Calibri" w:hAnsi="Calibri" w:cs="Times New Roman"/>
        </w:rPr>
        <w:t>he advantages of prepaid incentives over promised have been demonstrated consistently for mail surveys (see Church, 1993, for a meta</w:t>
      </w:r>
      <w:r>
        <w:rPr>
          <w:rFonts w:ascii="Calibri" w:hAnsi="Calibri" w:cs="Times New Roman"/>
        </w:rPr>
        <w:t>-</w:t>
      </w:r>
      <w:r w:rsidRPr="00E648B4">
        <w:rPr>
          <w:rFonts w:ascii="Calibri" w:hAnsi="Calibri" w:cs="Times New Roman"/>
        </w:rPr>
        <w:t xml:space="preserve">analysis), </w:t>
      </w:r>
      <w:r>
        <w:rPr>
          <w:rFonts w:ascii="Calibri" w:hAnsi="Calibri" w:cs="Times New Roman"/>
        </w:rPr>
        <w:t xml:space="preserve">there is no research demonstrating significant </w:t>
      </w:r>
      <w:r w:rsidRPr="00E648B4">
        <w:rPr>
          <w:rFonts w:asciiTheme="minorHAnsi" w:hAnsiTheme="minorHAnsi"/>
        </w:rPr>
        <w:t>advantages of prepaid over promised incentives in interviewer-administered surveys (see Singer et al., 1999 for a meta</w:t>
      </w:r>
      <w:r w:rsidR="00C62C99">
        <w:rPr>
          <w:rFonts w:asciiTheme="minorHAnsi" w:hAnsiTheme="minorHAnsi"/>
        </w:rPr>
        <w:t>-</w:t>
      </w:r>
      <w:r w:rsidRPr="00E648B4">
        <w:rPr>
          <w:rFonts w:asciiTheme="minorHAnsi" w:hAnsiTheme="minorHAnsi"/>
        </w:rPr>
        <w:t>analysis)</w:t>
      </w:r>
      <w:r w:rsidRPr="00E648B4">
        <w:rPr>
          <w:rFonts w:ascii="Calibri" w:hAnsi="Calibri" w:cs="Times New Roman"/>
        </w:rPr>
        <w:t xml:space="preserve">.  </w:t>
      </w:r>
      <w:r w:rsidR="00C62C99" w:rsidRPr="00E648B4">
        <w:rPr>
          <w:rFonts w:ascii="Calibri" w:hAnsi="Calibri" w:cs="Times New Roman"/>
        </w:rPr>
        <w:t xml:space="preserve">The effectiveness of prepaid incentives on participation rates remains unknown when the survey request is separate from </w:t>
      </w:r>
      <w:r w:rsidR="00C62C99">
        <w:rPr>
          <w:rFonts w:ascii="Calibri" w:hAnsi="Calibri" w:cs="Times New Roman"/>
        </w:rPr>
        <w:t>the actual interview</w:t>
      </w:r>
      <w:r w:rsidR="00C62C99" w:rsidRPr="00C62C99">
        <w:rPr>
          <w:rFonts w:ascii="Calibri" w:hAnsi="Calibri" w:cs="Times New Roman"/>
        </w:rPr>
        <w:t xml:space="preserve"> </w:t>
      </w:r>
      <w:r w:rsidR="00C62C99">
        <w:rPr>
          <w:rFonts w:ascii="Calibri" w:hAnsi="Calibri" w:cs="Times New Roman"/>
        </w:rPr>
        <w:t xml:space="preserve">as is the case with the self-administered modes of </w:t>
      </w:r>
      <w:r w:rsidR="00C62C99" w:rsidRPr="00E648B4">
        <w:rPr>
          <w:rFonts w:ascii="Calibri" w:hAnsi="Calibri" w:cs="Times New Roman"/>
        </w:rPr>
        <w:t>inbound CATI or Web.</w:t>
      </w:r>
      <w:r w:rsidR="00C62C99">
        <w:rPr>
          <w:rFonts w:ascii="Calibri" w:hAnsi="Calibri" w:cs="Times New Roman"/>
        </w:rPr>
        <w:t xml:space="preserve"> </w:t>
      </w:r>
      <w:r w:rsidR="00270C93">
        <w:rPr>
          <w:rFonts w:ascii="Calibri" w:hAnsi="Calibri" w:cs="Times New Roman"/>
        </w:rPr>
        <w:t xml:space="preserve">By design </w:t>
      </w:r>
      <w:r w:rsidR="00C62C99">
        <w:rPr>
          <w:rFonts w:ascii="Calibri" w:hAnsi="Calibri" w:cs="Times New Roman"/>
        </w:rPr>
        <w:t xml:space="preserve">NHES and NSECE </w:t>
      </w:r>
      <w:r w:rsidR="00270C93">
        <w:rPr>
          <w:rFonts w:ascii="Calibri" w:hAnsi="Calibri" w:cs="Times New Roman"/>
        </w:rPr>
        <w:t xml:space="preserve">are able </w:t>
      </w:r>
      <w:r w:rsidR="00C62C99">
        <w:rPr>
          <w:rFonts w:ascii="Calibri" w:hAnsi="Calibri" w:cs="Times New Roman"/>
        </w:rPr>
        <w:t>include a prepaid incentive with the mailed survey request</w:t>
      </w:r>
      <w:r w:rsidR="00270C93">
        <w:rPr>
          <w:rFonts w:ascii="Calibri" w:hAnsi="Calibri" w:cs="Times New Roman"/>
        </w:rPr>
        <w:t>, while t</w:t>
      </w:r>
      <w:r w:rsidR="00C62C99">
        <w:rPr>
          <w:rFonts w:ascii="Calibri" w:hAnsi="Calibri" w:cs="Times New Roman"/>
        </w:rPr>
        <w:t>he SCV is not</w:t>
      </w:r>
      <w:r w:rsidR="00270C93">
        <w:rPr>
          <w:rFonts w:ascii="Calibri" w:hAnsi="Calibri" w:cs="Times New Roman"/>
        </w:rPr>
        <w:t xml:space="preserve">. </w:t>
      </w:r>
      <w:r w:rsidR="00C62C99">
        <w:rPr>
          <w:rFonts w:ascii="Calibri" w:hAnsi="Calibri" w:cs="Times New Roman"/>
        </w:rPr>
        <w:t xml:space="preserve"> </w:t>
      </w:r>
    </w:p>
    <w:p w:rsidR="00C62C99" w:rsidRDefault="00C62C99" w:rsidP="005E34DF">
      <w:pPr>
        <w:pStyle w:val="bodytextpsg"/>
        <w:ind w:left="360"/>
        <w:rPr>
          <w:rFonts w:asciiTheme="minorHAnsi" w:hAnsiTheme="minorHAnsi" w:cs="Times New Roman"/>
        </w:rPr>
      </w:pPr>
    </w:p>
    <w:p w:rsidR="00F52853" w:rsidRPr="005E34DF" w:rsidRDefault="00F52853" w:rsidP="005E34DF">
      <w:pPr>
        <w:pStyle w:val="bodytextpsg"/>
        <w:ind w:left="360"/>
        <w:rPr>
          <w:rFonts w:asciiTheme="minorHAnsi" w:hAnsiTheme="minorHAnsi" w:cs="Times New Roman"/>
        </w:rPr>
      </w:pPr>
    </w:p>
    <w:p w:rsidR="00240689" w:rsidRPr="005E34DF" w:rsidRDefault="007B28C2" w:rsidP="00F133CC">
      <w:pPr>
        <w:pStyle w:val="bodytextpsg"/>
        <w:ind w:left="360"/>
        <w:rPr>
          <w:rFonts w:asciiTheme="minorHAnsi" w:hAnsiTheme="minorHAnsi" w:cs="Times New Roman"/>
          <w:u w:val="single"/>
        </w:rPr>
      </w:pPr>
      <w:r w:rsidRPr="005E34DF">
        <w:rPr>
          <w:rFonts w:asciiTheme="minorHAnsi" w:hAnsiTheme="minorHAnsi" w:cs="Times New Roman"/>
          <w:u w:val="single"/>
        </w:rPr>
        <w:t xml:space="preserve">Justification for </w:t>
      </w:r>
      <w:r w:rsidR="00240689" w:rsidRPr="005E34DF">
        <w:rPr>
          <w:rFonts w:asciiTheme="minorHAnsi" w:hAnsiTheme="minorHAnsi" w:cs="Times New Roman"/>
          <w:u w:val="single"/>
        </w:rPr>
        <w:t>Incentive Strategy</w:t>
      </w:r>
    </w:p>
    <w:p w:rsidR="007B28C2" w:rsidRPr="00240689" w:rsidRDefault="007B28C2" w:rsidP="00F133CC">
      <w:pPr>
        <w:pStyle w:val="bodytextpsg"/>
        <w:ind w:left="360"/>
        <w:rPr>
          <w:rFonts w:ascii="Calibri" w:hAnsi="Calibri" w:cs="Times New Roman"/>
          <w:u w:val="single"/>
        </w:rPr>
      </w:pPr>
    </w:p>
    <w:p w:rsidR="002E097D" w:rsidRDefault="00240689" w:rsidP="007712C9">
      <w:pPr>
        <w:pStyle w:val="bodytextpsg"/>
        <w:ind w:left="360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Our </w:t>
      </w:r>
      <w:r w:rsidR="00031310">
        <w:rPr>
          <w:rFonts w:ascii="Calibri" w:hAnsi="Calibri" w:cs="Times New Roman"/>
        </w:rPr>
        <w:t>proposed</w:t>
      </w:r>
      <w:r>
        <w:rPr>
          <w:rFonts w:ascii="Calibri" w:hAnsi="Calibri" w:cs="Times New Roman"/>
        </w:rPr>
        <w:t xml:space="preserve"> incentive structure</w:t>
      </w:r>
      <w:r w:rsidR="00031310">
        <w:rPr>
          <w:rFonts w:ascii="Calibri" w:hAnsi="Calibri" w:cs="Times New Roman"/>
        </w:rPr>
        <w:t xml:space="preserve"> is</w:t>
      </w:r>
      <w:r>
        <w:rPr>
          <w:rFonts w:ascii="Calibri" w:hAnsi="Calibri" w:cs="Times New Roman"/>
        </w:rPr>
        <w:t xml:space="preserve"> based </w:t>
      </w:r>
      <w:r w:rsidR="007120FF">
        <w:rPr>
          <w:rFonts w:ascii="Calibri" w:hAnsi="Calibri" w:cs="Times New Roman"/>
        </w:rPr>
        <w:t>on the absence of</w:t>
      </w:r>
      <w:r w:rsidRPr="006F3192">
        <w:rPr>
          <w:rFonts w:ascii="Calibri" w:hAnsi="Calibri" w:cs="Times New Roman"/>
        </w:rPr>
        <w:t xml:space="preserve"> research </w:t>
      </w:r>
      <w:r>
        <w:rPr>
          <w:rFonts w:ascii="Calibri" w:hAnsi="Calibri" w:cs="Times New Roman"/>
        </w:rPr>
        <w:t xml:space="preserve">examining </w:t>
      </w:r>
      <w:r w:rsidRPr="00A620C2">
        <w:rPr>
          <w:rFonts w:ascii="Calibri" w:hAnsi="Calibri" w:cs="Times New Roman"/>
        </w:rPr>
        <w:t xml:space="preserve">the effect of a </w:t>
      </w:r>
      <w:r w:rsidRPr="00377C01">
        <w:rPr>
          <w:rFonts w:ascii="Calibri" w:hAnsi="Calibri" w:cs="Times New Roman"/>
          <w:i/>
          <w:iCs/>
        </w:rPr>
        <w:t>single</w:t>
      </w:r>
      <w:r w:rsidRPr="00A620C2">
        <w:rPr>
          <w:rFonts w:ascii="Calibri" w:hAnsi="Calibri" w:cs="Times New Roman"/>
        </w:rPr>
        <w:t xml:space="preserve"> </w:t>
      </w:r>
      <w:r w:rsidRPr="00031310">
        <w:rPr>
          <w:rFonts w:ascii="Calibri" w:hAnsi="Calibri" w:cs="Times New Roman"/>
          <w:i/>
        </w:rPr>
        <w:t>household</w:t>
      </w:r>
      <w:r>
        <w:rPr>
          <w:rFonts w:ascii="Calibri" w:hAnsi="Calibri" w:cs="Times New Roman"/>
        </w:rPr>
        <w:t xml:space="preserve"> </w:t>
      </w:r>
      <w:r w:rsidRPr="00A620C2">
        <w:rPr>
          <w:rFonts w:ascii="Calibri" w:hAnsi="Calibri" w:cs="Times New Roman"/>
        </w:rPr>
        <w:t xml:space="preserve">prepaid incentive on survey participation by </w:t>
      </w:r>
      <w:r w:rsidRPr="00A620C2">
        <w:rPr>
          <w:rFonts w:ascii="Calibri" w:hAnsi="Calibri" w:cs="Times New Roman"/>
          <w:i/>
          <w:iCs/>
        </w:rPr>
        <w:t>all</w:t>
      </w:r>
      <w:r w:rsidRPr="00A620C2">
        <w:rPr>
          <w:rFonts w:ascii="Calibri" w:hAnsi="Calibri" w:cs="Times New Roman"/>
        </w:rPr>
        <w:t xml:space="preserve"> </w:t>
      </w:r>
      <w:r w:rsidRPr="00031310">
        <w:rPr>
          <w:rFonts w:ascii="Calibri" w:hAnsi="Calibri" w:cs="Times New Roman"/>
          <w:i/>
        </w:rPr>
        <w:t>eligible</w:t>
      </w:r>
      <w:r w:rsidRPr="00A620C2">
        <w:rPr>
          <w:rFonts w:ascii="Calibri" w:hAnsi="Calibri" w:cs="Times New Roman"/>
        </w:rPr>
        <w:t xml:space="preserve"> </w:t>
      </w:r>
      <w:r w:rsidRPr="00031310">
        <w:rPr>
          <w:rFonts w:ascii="Calibri" w:hAnsi="Calibri" w:cs="Times New Roman"/>
          <w:i/>
        </w:rPr>
        <w:t>members</w:t>
      </w:r>
      <w:r w:rsidRPr="00A620C2">
        <w:rPr>
          <w:rFonts w:ascii="Calibri" w:hAnsi="Calibri" w:cs="Times New Roman"/>
        </w:rPr>
        <w:t xml:space="preserve"> of the household</w:t>
      </w:r>
      <w:r>
        <w:rPr>
          <w:rFonts w:ascii="Calibri" w:hAnsi="Calibri" w:cs="Times New Roman"/>
        </w:rPr>
        <w:t xml:space="preserve">. </w:t>
      </w:r>
    </w:p>
    <w:p w:rsidR="002E097D" w:rsidRDefault="002E097D" w:rsidP="007712C9">
      <w:pPr>
        <w:pStyle w:val="bodytextpsg"/>
        <w:ind w:left="360"/>
        <w:rPr>
          <w:rFonts w:ascii="Calibri" w:hAnsi="Calibri" w:cs="Times New Roman"/>
        </w:rPr>
      </w:pPr>
    </w:p>
    <w:p w:rsidR="005723C8" w:rsidRPr="00431A91" w:rsidRDefault="00AE623A" w:rsidP="007712C9">
      <w:pPr>
        <w:pStyle w:val="bodytextpsg"/>
        <w:ind w:left="360"/>
        <w:rPr>
          <w:rFonts w:asciiTheme="minorHAnsi" w:hAnsiTheme="minorHAnsi" w:cs="Times New Roman"/>
        </w:rPr>
      </w:pPr>
      <w:r>
        <w:rPr>
          <w:rFonts w:ascii="Calibri" w:hAnsi="Calibri" w:cs="Times New Roman"/>
        </w:rPr>
        <w:t>When initially designing this study, t</w:t>
      </w:r>
      <w:r w:rsidR="007120FF">
        <w:rPr>
          <w:rFonts w:ascii="Calibri" w:hAnsi="Calibri" w:cs="Times New Roman"/>
        </w:rPr>
        <w:t>he t</w:t>
      </w:r>
      <w:r>
        <w:rPr>
          <w:rFonts w:ascii="Calibri" w:hAnsi="Calibri" w:cs="Times New Roman"/>
        </w:rPr>
        <w:t xml:space="preserve">esting </w:t>
      </w:r>
      <w:r w:rsidR="007120FF">
        <w:rPr>
          <w:rFonts w:ascii="Calibri" w:hAnsi="Calibri" w:cs="Times New Roman"/>
        </w:rPr>
        <w:t xml:space="preserve">of </w:t>
      </w:r>
      <w:r>
        <w:rPr>
          <w:rFonts w:ascii="Calibri" w:hAnsi="Calibri" w:cs="Times New Roman"/>
        </w:rPr>
        <w:t xml:space="preserve">a promised $10 </w:t>
      </w:r>
      <w:r w:rsidR="007120FF">
        <w:rPr>
          <w:rFonts w:ascii="Calibri" w:hAnsi="Calibri" w:cs="Times New Roman"/>
        </w:rPr>
        <w:t xml:space="preserve">incentive </w:t>
      </w:r>
      <w:r>
        <w:rPr>
          <w:rFonts w:ascii="Calibri" w:hAnsi="Calibri" w:cs="Times New Roman"/>
        </w:rPr>
        <w:t xml:space="preserve">was recommended </w:t>
      </w:r>
      <w:r w:rsidR="00055044">
        <w:rPr>
          <w:rFonts w:ascii="Calibri" w:hAnsi="Calibri" w:cs="Times New Roman"/>
        </w:rPr>
        <w:t xml:space="preserve">for </w:t>
      </w:r>
      <w:r w:rsidR="00431A91">
        <w:rPr>
          <w:rFonts w:ascii="Calibri" w:hAnsi="Calibri" w:cs="Times New Roman"/>
        </w:rPr>
        <w:t xml:space="preserve">three </w:t>
      </w:r>
      <w:r w:rsidR="00055044" w:rsidRPr="00431A91">
        <w:rPr>
          <w:rFonts w:asciiTheme="minorHAnsi" w:hAnsiTheme="minorHAnsi" w:cs="Times New Roman"/>
        </w:rPr>
        <w:t xml:space="preserve">reasons. </w:t>
      </w:r>
      <w:r w:rsidR="00031310" w:rsidRPr="00431A91">
        <w:rPr>
          <w:rFonts w:asciiTheme="minorHAnsi" w:hAnsiTheme="minorHAnsi" w:cs="Times New Roman"/>
        </w:rPr>
        <w:t xml:space="preserve">First, </w:t>
      </w:r>
      <w:r w:rsidR="00431A91">
        <w:rPr>
          <w:rFonts w:asciiTheme="minorHAnsi" w:hAnsiTheme="minorHAnsi" w:cs="Times New Roman"/>
        </w:rPr>
        <w:t xml:space="preserve">the SCV employs </w:t>
      </w:r>
      <w:r w:rsidR="00031310" w:rsidRPr="00431A91">
        <w:rPr>
          <w:rFonts w:asciiTheme="minorHAnsi" w:hAnsiTheme="minorHAnsi" w:cs="Times New Roman"/>
        </w:rPr>
        <w:t>i</w:t>
      </w:r>
      <w:r w:rsidR="00031310" w:rsidRPr="00431A91">
        <w:rPr>
          <w:rFonts w:asciiTheme="minorHAnsi" w:hAnsiTheme="minorHAnsi" w:cs="Times New Roman"/>
          <w:sz w:val="23"/>
          <w:szCs w:val="23"/>
        </w:rPr>
        <w:t>ncentives in order to examine whether comparable response rates may be achieved in self-administered modes (inbound CATI and Web)</w:t>
      </w:r>
      <w:r w:rsidR="00431A91">
        <w:rPr>
          <w:rFonts w:asciiTheme="minorHAnsi" w:hAnsiTheme="minorHAnsi" w:cs="Times New Roman"/>
          <w:sz w:val="23"/>
          <w:szCs w:val="23"/>
        </w:rPr>
        <w:t xml:space="preserve"> as in the ongoing NCVS</w:t>
      </w:r>
      <w:r w:rsidR="00031310" w:rsidRPr="00431A91">
        <w:rPr>
          <w:rFonts w:asciiTheme="minorHAnsi" w:hAnsiTheme="minorHAnsi" w:cs="Times New Roman"/>
          <w:sz w:val="23"/>
          <w:szCs w:val="23"/>
        </w:rPr>
        <w:t xml:space="preserve">. While a lower promised amount (e.g. $5) may suffice, without previous tests including NCVS instruments or the population sampled, </w:t>
      </w:r>
      <w:r w:rsidR="00431A91">
        <w:rPr>
          <w:rFonts w:asciiTheme="minorHAnsi" w:hAnsiTheme="minorHAnsi" w:cs="Times New Roman"/>
          <w:sz w:val="23"/>
          <w:szCs w:val="23"/>
        </w:rPr>
        <w:t>this test</w:t>
      </w:r>
      <w:r w:rsidR="00031310" w:rsidRPr="00431A91">
        <w:rPr>
          <w:rFonts w:asciiTheme="minorHAnsi" w:hAnsiTheme="minorHAnsi" w:cs="Times New Roman"/>
          <w:sz w:val="23"/>
          <w:szCs w:val="23"/>
        </w:rPr>
        <w:t xml:space="preserve"> may be jeopardized </w:t>
      </w:r>
      <w:r w:rsidR="00BF10BB" w:rsidRPr="00431A91">
        <w:rPr>
          <w:rFonts w:asciiTheme="minorHAnsi" w:hAnsiTheme="minorHAnsi" w:cs="Times New Roman"/>
          <w:sz w:val="23"/>
          <w:szCs w:val="23"/>
        </w:rPr>
        <w:t>by</w:t>
      </w:r>
      <w:r w:rsidR="00031310" w:rsidRPr="00431A91">
        <w:rPr>
          <w:rFonts w:asciiTheme="minorHAnsi" w:hAnsiTheme="minorHAnsi" w:cs="Times New Roman"/>
          <w:sz w:val="23"/>
          <w:szCs w:val="23"/>
        </w:rPr>
        <w:t xml:space="preserve"> low response rates.</w:t>
      </w:r>
      <w:r w:rsidR="00055044" w:rsidRPr="00431A91">
        <w:rPr>
          <w:rFonts w:asciiTheme="minorHAnsi" w:hAnsiTheme="minorHAnsi" w:cs="Times New Roman"/>
        </w:rPr>
        <w:t xml:space="preserve"> Second, </w:t>
      </w:r>
      <w:r w:rsidR="00031310" w:rsidRPr="00431A91">
        <w:rPr>
          <w:rFonts w:asciiTheme="minorHAnsi" w:hAnsiTheme="minorHAnsi" w:cs="Times New Roman"/>
        </w:rPr>
        <w:t xml:space="preserve">without prior knowledge of household composition, </w:t>
      </w:r>
      <w:r w:rsidR="00BF10BB" w:rsidRPr="00431A91">
        <w:rPr>
          <w:rFonts w:asciiTheme="minorHAnsi" w:hAnsiTheme="minorHAnsi" w:cs="Times New Roman"/>
        </w:rPr>
        <w:t xml:space="preserve">we are unable to determine the number of prepaid incentives that would be required in each household. Third, </w:t>
      </w:r>
      <w:r w:rsidR="00055044" w:rsidRPr="00431A91">
        <w:rPr>
          <w:rFonts w:asciiTheme="minorHAnsi" w:hAnsiTheme="minorHAnsi" w:cs="Times New Roman"/>
        </w:rPr>
        <w:t xml:space="preserve">the $10 </w:t>
      </w:r>
      <w:r w:rsidRPr="00431A91">
        <w:rPr>
          <w:rFonts w:asciiTheme="minorHAnsi" w:hAnsiTheme="minorHAnsi" w:cs="Times New Roman"/>
        </w:rPr>
        <w:t>amount ha</w:t>
      </w:r>
      <w:r w:rsidR="00055044" w:rsidRPr="00431A91">
        <w:rPr>
          <w:rFonts w:asciiTheme="minorHAnsi" w:hAnsiTheme="minorHAnsi" w:cs="Times New Roman"/>
        </w:rPr>
        <w:t xml:space="preserve">s </w:t>
      </w:r>
      <w:r w:rsidRPr="00431A91">
        <w:rPr>
          <w:rFonts w:asciiTheme="minorHAnsi" w:hAnsiTheme="minorHAnsi" w:cs="Times New Roman"/>
        </w:rPr>
        <w:t>not been tested as extensively as a pre-paid $5</w:t>
      </w:r>
      <w:r w:rsidR="007120FF" w:rsidRPr="00431A91">
        <w:rPr>
          <w:rFonts w:asciiTheme="minorHAnsi" w:hAnsiTheme="minorHAnsi" w:cs="Times New Roman"/>
        </w:rPr>
        <w:t xml:space="preserve"> </w:t>
      </w:r>
      <w:r w:rsidR="00BF10BB" w:rsidRPr="00431A91">
        <w:rPr>
          <w:rFonts w:asciiTheme="minorHAnsi" w:hAnsiTheme="minorHAnsi" w:cs="Times New Roman"/>
        </w:rPr>
        <w:t xml:space="preserve">incentive </w:t>
      </w:r>
      <w:r w:rsidR="007120FF" w:rsidRPr="00431A91">
        <w:rPr>
          <w:rFonts w:asciiTheme="minorHAnsi" w:hAnsiTheme="minorHAnsi" w:cs="Times New Roman"/>
        </w:rPr>
        <w:t>in self-administered modes, specifically inbound CATI and Web</w:t>
      </w:r>
      <w:r w:rsidRPr="00431A91">
        <w:rPr>
          <w:rFonts w:asciiTheme="minorHAnsi" w:hAnsiTheme="minorHAnsi" w:cs="Times New Roman"/>
        </w:rPr>
        <w:t xml:space="preserve">. </w:t>
      </w:r>
      <w:r w:rsidR="007120FF" w:rsidRPr="00431A91">
        <w:rPr>
          <w:rFonts w:asciiTheme="minorHAnsi" w:hAnsiTheme="minorHAnsi" w:cs="Times New Roman"/>
        </w:rPr>
        <w:t>The</w:t>
      </w:r>
      <w:r w:rsidRPr="00431A91">
        <w:rPr>
          <w:rFonts w:asciiTheme="minorHAnsi" w:hAnsiTheme="minorHAnsi" w:cs="Times New Roman"/>
        </w:rPr>
        <w:t xml:space="preserve"> hypothesis is that a promised incentive may work differently for Web and inbound CATI</w:t>
      </w:r>
      <w:r w:rsidR="007120FF" w:rsidRPr="00431A91">
        <w:rPr>
          <w:rFonts w:asciiTheme="minorHAnsi" w:hAnsiTheme="minorHAnsi" w:cs="Times New Roman"/>
        </w:rPr>
        <w:t xml:space="preserve"> than </w:t>
      </w:r>
      <w:r w:rsidR="005723C8" w:rsidRPr="00431A91">
        <w:rPr>
          <w:rFonts w:asciiTheme="minorHAnsi" w:hAnsiTheme="minorHAnsi" w:cs="Times New Roman"/>
        </w:rPr>
        <w:t>a telephone or mail survey</w:t>
      </w:r>
      <w:r w:rsidRPr="00431A91">
        <w:rPr>
          <w:rFonts w:asciiTheme="minorHAnsi" w:hAnsiTheme="minorHAnsi" w:cs="Times New Roman"/>
        </w:rPr>
        <w:t xml:space="preserve">. </w:t>
      </w:r>
    </w:p>
    <w:p w:rsidR="005723C8" w:rsidRDefault="005723C8" w:rsidP="007712C9">
      <w:pPr>
        <w:pStyle w:val="bodytextpsg"/>
        <w:ind w:left="360"/>
        <w:rPr>
          <w:rFonts w:ascii="Calibri" w:hAnsi="Calibri" w:cs="Times New Roman"/>
        </w:rPr>
      </w:pPr>
    </w:p>
    <w:p w:rsidR="00635DDE" w:rsidRPr="00431A91" w:rsidRDefault="00055044" w:rsidP="00431A91">
      <w:pPr>
        <w:pStyle w:val="bodytextpsg"/>
        <w:ind w:left="360"/>
        <w:rPr>
          <w:rFonts w:asciiTheme="minorHAnsi" w:hAnsiTheme="minorHAnsi"/>
        </w:rPr>
      </w:pPr>
      <w:r>
        <w:rPr>
          <w:rFonts w:ascii="Calibri" w:hAnsi="Calibri" w:cs="Times New Roman"/>
        </w:rPr>
        <w:t>The design of</w:t>
      </w:r>
      <w:r w:rsidR="005723C8">
        <w:rPr>
          <w:rFonts w:ascii="Calibri" w:hAnsi="Calibri" w:cs="Times New Roman"/>
        </w:rPr>
        <w:t xml:space="preserve"> this </w:t>
      </w:r>
      <w:r>
        <w:rPr>
          <w:rFonts w:ascii="Calibri" w:hAnsi="Calibri" w:cs="Times New Roman"/>
        </w:rPr>
        <w:t xml:space="preserve">research would therefore </w:t>
      </w:r>
      <w:r w:rsidR="00F85064">
        <w:rPr>
          <w:rFonts w:ascii="Calibri" w:hAnsi="Calibri" w:cs="Times New Roman"/>
        </w:rPr>
        <w:t>add</w:t>
      </w:r>
      <w:r>
        <w:rPr>
          <w:rFonts w:ascii="Calibri" w:hAnsi="Calibri" w:cs="Times New Roman"/>
        </w:rPr>
        <w:t xml:space="preserve"> to the research literature, specifically for self-administered modes for which there is little known, i.e. inbound CATI and Web.</w:t>
      </w:r>
      <w:r w:rsidR="005723C8">
        <w:rPr>
          <w:rFonts w:ascii="Calibri" w:hAnsi="Calibri" w:cs="Times New Roman"/>
        </w:rPr>
        <w:t xml:space="preserve"> </w:t>
      </w:r>
      <w:r w:rsidR="007712C9">
        <w:rPr>
          <w:rFonts w:asciiTheme="minorHAnsi" w:hAnsiTheme="minorHAnsi"/>
        </w:rPr>
        <w:t xml:space="preserve">Additionally, </w:t>
      </w:r>
      <w:r w:rsidR="005723C8">
        <w:rPr>
          <w:rFonts w:asciiTheme="minorHAnsi" w:hAnsiTheme="minorHAnsi"/>
        </w:rPr>
        <w:t xml:space="preserve">we are guided by the work of Groves (2008) </w:t>
      </w:r>
      <w:r w:rsidR="00635DDE">
        <w:rPr>
          <w:rFonts w:asciiTheme="minorHAnsi" w:hAnsiTheme="minorHAnsi"/>
        </w:rPr>
        <w:t>which states</w:t>
      </w:r>
      <w:r w:rsidR="005723C8">
        <w:rPr>
          <w:rFonts w:asciiTheme="minorHAnsi" w:hAnsiTheme="minorHAnsi"/>
        </w:rPr>
        <w:t xml:space="preserve"> </w:t>
      </w:r>
      <w:r w:rsidR="007712C9" w:rsidRPr="00431A91">
        <w:rPr>
          <w:rFonts w:asciiTheme="minorHAnsi" w:hAnsiTheme="minorHAnsi"/>
          <w:i/>
          <w:color w:val="292526"/>
        </w:rPr>
        <w:t>there is a value in a permanent randomized incentive component in every survey rather than reliance on methodological studies that are informative for a particular estimate, from a particular survey, at a particular tim</w:t>
      </w:r>
      <w:r w:rsidR="000626DD" w:rsidRPr="00431A91">
        <w:rPr>
          <w:rFonts w:asciiTheme="minorHAnsi" w:hAnsiTheme="minorHAnsi"/>
          <w:i/>
          <w:color w:val="292526"/>
        </w:rPr>
        <w:t>e.</w:t>
      </w:r>
      <w:r w:rsidR="007712C9" w:rsidRPr="00635DDE">
        <w:rPr>
          <w:rFonts w:asciiTheme="minorHAnsi" w:hAnsiTheme="minorHAnsi"/>
          <w:color w:val="292526"/>
        </w:rPr>
        <w:t xml:space="preserve"> </w:t>
      </w:r>
      <w:r w:rsidR="00635DDE" w:rsidRPr="00431A91">
        <w:rPr>
          <w:rFonts w:asciiTheme="minorHAnsi" w:hAnsiTheme="minorHAnsi"/>
        </w:rPr>
        <w:t>Given the length of the SCV interview (estimated respondent burden for the study is 7-8 minutes per crime Screener, plus 8-9 minutes for each completed Crime Incident Report) and other key design features (address-based sample, selection of all age-eligible adults in each household), we believe a $10 promised incentive is the optimal incentive strategy. Please</w:t>
      </w:r>
      <w:r w:rsidR="004F6D31">
        <w:rPr>
          <w:rFonts w:asciiTheme="minorHAnsi" w:hAnsiTheme="minorHAnsi"/>
        </w:rPr>
        <w:t xml:space="preserve"> see Attachment 1 for revisions to our more detailed discussion our incentive strategy.</w:t>
      </w:r>
    </w:p>
    <w:p w:rsidR="007712C9" w:rsidRPr="00635DDE" w:rsidRDefault="007712C9" w:rsidP="007712C9">
      <w:pPr>
        <w:pStyle w:val="bodytextpsg"/>
        <w:ind w:left="360"/>
        <w:rPr>
          <w:rFonts w:asciiTheme="minorHAnsi" w:hAnsiTheme="minorHAnsi"/>
        </w:rPr>
      </w:pPr>
    </w:p>
    <w:p w:rsidR="007712C9" w:rsidRDefault="007712C9" w:rsidP="007712C9">
      <w:pPr>
        <w:pStyle w:val="bodytextpsg"/>
        <w:ind w:left="360"/>
        <w:rPr>
          <w:rFonts w:asciiTheme="minorHAnsi" w:hAnsiTheme="minorHAnsi"/>
        </w:rPr>
      </w:pPr>
    </w:p>
    <w:p w:rsidR="000626DD" w:rsidRDefault="009F4DBD" w:rsidP="00F64230">
      <w:pPr>
        <w:pStyle w:val="bodytextpsg"/>
        <w:ind w:left="360"/>
        <w:rPr>
          <w:rFonts w:asciiTheme="minorHAnsi" w:hAnsiTheme="minorHAnsi" w:cs="Times New Roman"/>
        </w:rPr>
      </w:pPr>
      <w:r w:rsidRPr="00034C5D">
        <w:rPr>
          <w:rFonts w:asciiTheme="minorHAnsi" w:hAnsiTheme="minorHAnsi" w:cs="Times New Roman"/>
        </w:rPr>
        <w:t>BJS is has funded two projects examining the use of self-administered modes in the NCVS, and we are keenly aware of how the</w:t>
      </w:r>
      <w:r w:rsidR="000626DD">
        <w:rPr>
          <w:rFonts w:asciiTheme="minorHAnsi" w:hAnsiTheme="minorHAnsi" w:cs="Times New Roman"/>
        </w:rPr>
        <w:t>se</w:t>
      </w:r>
      <w:r w:rsidRPr="00034C5D">
        <w:rPr>
          <w:rFonts w:asciiTheme="minorHAnsi" w:hAnsiTheme="minorHAnsi" w:cs="Times New Roman"/>
        </w:rPr>
        <w:t xml:space="preserve"> two projects will ultimately dovetail to inform a redesigned NCVS. </w:t>
      </w:r>
    </w:p>
    <w:p w:rsidR="00AE623A" w:rsidRPr="00034C5D" w:rsidRDefault="009F4DBD" w:rsidP="00BA1166">
      <w:pPr>
        <w:pStyle w:val="bodytextpsg"/>
        <w:ind w:left="360"/>
        <w:rPr>
          <w:rFonts w:asciiTheme="minorHAnsi" w:hAnsiTheme="minorHAnsi"/>
        </w:rPr>
      </w:pPr>
      <w:r w:rsidRPr="00034C5D">
        <w:rPr>
          <w:rFonts w:asciiTheme="minorHAnsi" w:hAnsiTheme="minorHAnsi" w:cs="Times New Roman"/>
        </w:rPr>
        <w:t>The purpose of th</w:t>
      </w:r>
      <w:r w:rsidR="000626DD">
        <w:rPr>
          <w:rFonts w:asciiTheme="minorHAnsi" w:hAnsiTheme="minorHAnsi" w:cs="Times New Roman"/>
        </w:rPr>
        <w:t xml:space="preserve">ese projects is to examine the viability of less expensive alternative modes of survey administration. </w:t>
      </w:r>
      <w:r w:rsidRPr="00034C5D">
        <w:rPr>
          <w:rFonts w:asciiTheme="minorHAnsi" w:hAnsiTheme="minorHAnsi" w:cs="Times New Roman"/>
        </w:rPr>
        <w:t xml:space="preserve">If results from this mode research indicate that </w:t>
      </w:r>
      <w:r w:rsidR="002E097D">
        <w:rPr>
          <w:rFonts w:asciiTheme="minorHAnsi" w:hAnsiTheme="minorHAnsi" w:cs="Times New Roman"/>
        </w:rPr>
        <w:t xml:space="preserve">response rates are affected by incentives for inbound CATI and Web, </w:t>
      </w:r>
      <w:r w:rsidRPr="00034C5D">
        <w:rPr>
          <w:rFonts w:asciiTheme="minorHAnsi" w:hAnsiTheme="minorHAnsi" w:cs="Times New Roman"/>
        </w:rPr>
        <w:t xml:space="preserve">then BJS may pursue additional testing to refine </w:t>
      </w:r>
      <w:r w:rsidR="000626DD">
        <w:rPr>
          <w:rFonts w:asciiTheme="minorHAnsi" w:hAnsiTheme="minorHAnsi" w:cs="Times New Roman"/>
        </w:rPr>
        <w:t>an</w:t>
      </w:r>
      <w:r w:rsidRPr="00034C5D">
        <w:rPr>
          <w:rFonts w:asciiTheme="minorHAnsi" w:hAnsiTheme="minorHAnsi" w:cs="Times New Roman"/>
        </w:rPr>
        <w:t xml:space="preserve"> optimal incentive amount. </w:t>
      </w:r>
      <w:r w:rsidR="002E097D">
        <w:rPr>
          <w:rFonts w:asciiTheme="minorHAnsi" w:hAnsiTheme="minorHAnsi" w:cs="Times New Roman"/>
        </w:rPr>
        <w:t>At this time, w</w:t>
      </w:r>
      <w:r w:rsidR="00F144C3" w:rsidRPr="00034C5D">
        <w:rPr>
          <w:rFonts w:asciiTheme="minorHAnsi" w:hAnsiTheme="minorHAnsi"/>
        </w:rPr>
        <w:t>e are deeply concerned that the lack of a sufficiently motivating promised incentive to all members of the household upon completion of the survey will</w:t>
      </w:r>
      <w:r w:rsidR="00010338" w:rsidRPr="00034C5D">
        <w:rPr>
          <w:rFonts w:asciiTheme="minorHAnsi" w:hAnsiTheme="minorHAnsi"/>
        </w:rPr>
        <w:t xml:space="preserve"> adversely affect response rate</w:t>
      </w:r>
      <w:r w:rsidRPr="00034C5D">
        <w:rPr>
          <w:rFonts w:asciiTheme="minorHAnsi" w:hAnsiTheme="minorHAnsi"/>
        </w:rPr>
        <w:t>s</w:t>
      </w:r>
      <w:r w:rsidR="000626DD">
        <w:rPr>
          <w:rFonts w:asciiTheme="minorHAnsi" w:hAnsiTheme="minorHAnsi"/>
        </w:rPr>
        <w:t xml:space="preserve">. </w:t>
      </w:r>
      <w:r w:rsidR="00E5524D" w:rsidRPr="00034C5D">
        <w:rPr>
          <w:rFonts w:asciiTheme="minorHAnsi" w:hAnsiTheme="minorHAnsi" w:cs="Times New Roman"/>
        </w:rPr>
        <w:t>BJS rec</w:t>
      </w:r>
      <w:r w:rsidR="002E097D">
        <w:rPr>
          <w:rFonts w:asciiTheme="minorHAnsi" w:hAnsiTheme="minorHAnsi" w:cs="Times New Roman"/>
        </w:rPr>
        <w:t>ently received approval to test Interactive Voice Technology (IVR)</w:t>
      </w:r>
      <w:r w:rsidR="00E5524D" w:rsidRPr="00034C5D">
        <w:rPr>
          <w:rFonts w:asciiTheme="minorHAnsi" w:hAnsiTheme="minorHAnsi" w:cs="Times New Roman"/>
        </w:rPr>
        <w:t xml:space="preserve"> utilizing a $10 promised incentive. We feel that the current study will add to our IVR efforts</w:t>
      </w:r>
      <w:r w:rsidR="00F85064" w:rsidRPr="00034C5D">
        <w:rPr>
          <w:rFonts w:asciiTheme="minorHAnsi" w:hAnsiTheme="minorHAnsi" w:cs="Times New Roman"/>
        </w:rPr>
        <w:t xml:space="preserve"> in assessing the </w:t>
      </w:r>
      <w:r w:rsidR="007712C9" w:rsidRPr="00034C5D">
        <w:rPr>
          <w:rFonts w:asciiTheme="minorHAnsi" w:hAnsiTheme="minorHAnsi" w:cs="Times New Roman"/>
        </w:rPr>
        <w:t xml:space="preserve">viability of self-administered modes </w:t>
      </w:r>
      <w:r w:rsidR="002E097D">
        <w:rPr>
          <w:rFonts w:asciiTheme="minorHAnsi" w:hAnsiTheme="minorHAnsi" w:cs="Times New Roman"/>
        </w:rPr>
        <w:t>in a redesigned NCVS</w:t>
      </w:r>
      <w:r w:rsidR="000626DD">
        <w:rPr>
          <w:rFonts w:asciiTheme="minorHAnsi" w:hAnsiTheme="minorHAnsi" w:cs="Times New Roman"/>
        </w:rPr>
        <w:t>.</w:t>
      </w:r>
      <w:r w:rsidR="00BA1166" w:rsidRPr="00034C5D">
        <w:rPr>
          <w:rFonts w:asciiTheme="minorHAnsi" w:hAnsiTheme="minorHAnsi" w:cs="Times New Roman"/>
        </w:rPr>
        <w:t xml:space="preserve"> </w:t>
      </w:r>
    </w:p>
    <w:p w:rsidR="00AE623A" w:rsidRPr="00BA1166" w:rsidRDefault="00AE623A" w:rsidP="00F133CC">
      <w:pPr>
        <w:pStyle w:val="bodytextpsg"/>
        <w:ind w:left="360"/>
        <w:rPr>
          <w:rFonts w:asciiTheme="minorHAnsi" w:hAnsiTheme="minorHAnsi" w:cs="Times New Roman"/>
        </w:rPr>
      </w:pPr>
    </w:p>
    <w:p w:rsidR="007712C9" w:rsidRDefault="007712C9" w:rsidP="00C75747">
      <w:pPr>
        <w:ind w:left="360"/>
        <w:rPr>
          <w:u w:val="single"/>
        </w:rPr>
      </w:pPr>
      <w:r w:rsidRPr="007712C9">
        <w:rPr>
          <w:u w:val="single"/>
        </w:rPr>
        <w:t>Clarification on Inclusion of NSFG and NSDUH in Previous Justification</w:t>
      </w:r>
    </w:p>
    <w:p w:rsidR="00E919CB" w:rsidRPr="007712C9" w:rsidRDefault="00E919CB" w:rsidP="00C75747">
      <w:pPr>
        <w:ind w:left="360"/>
        <w:rPr>
          <w:u w:val="single"/>
        </w:rPr>
      </w:pPr>
    </w:p>
    <w:p w:rsidR="00E919CB" w:rsidRDefault="00D86D73" w:rsidP="00C75747">
      <w:pPr>
        <w:ind w:left="360"/>
      </w:pPr>
      <w:r>
        <w:t>Our discussion of incentive</w:t>
      </w:r>
      <w:r w:rsidR="00D52E58">
        <w:t>s</w:t>
      </w:r>
      <w:r>
        <w:t xml:space="preserve"> in Attachment 1 (Incentives) include</w:t>
      </w:r>
      <w:r w:rsidR="00D61223">
        <w:t>s</w:t>
      </w:r>
      <w:r>
        <w:t xml:space="preserve"> a brief summary of </w:t>
      </w:r>
      <w:r w:rsidR="00413A7C" w:rsidRPr="00F072FD">
        <w:t xml:space="preserve">incentive amounts offered by other federal surveys. </w:t>
      </w:r>
      <w:r>
        <w:t xml:space="preserve">As OMB has pointed out, some of these studies, like the National Survey of Family Growth (NSFG), place a </w:t>
      </w:r>
      <w:r w:rsidR="00413A7C" w:rsidRPr="00F072FD">
        <w:t xml:space="preserve">greater burden on respondents as a result of the sensitive nature of some survey items and the length and complexity of the interview itself. </w:t>
      </w:r>
    </w:p>
    <w:p w:rsidR="00E919CB" w:rsidRDefault="00E919CB" w:rsidP="00C75747">
      <w:pPr>
        <w:ind w:left="360"/>
      </w:pPr>
    </w:p>
    <w:p w:rsidR="00E919CB" w:rsidRDefault="00F64230" w:rsidP="00C75747">
      <w:pPr>
        <w:ind w:left="360"/>
      </w:pPr>
      <w:r>
        <w:t>A</w:t>
      </w:r>
      <w:r w:rsidR="00413A7C" w:rsidRPr="00F072FD">
        <w:t>lthough shorter in length, the SCV also includes questions that may be deemed sensitive by some respondents</w:t>
      </w:r>
      <w:r w:rsidR="004F6D31">
        <w:t>. This is especially the case for victims of crime such as intimate partner violence, rape or sexual assault, robbery or aggravated assaults</w:t>
      </w:r>
      <w:proofErr w:type="gramStart"/>
      <w:r w:rsidR="00413A7C" w:rsidRPr="00F072FD">
        <w:t xml:space="preserve">. </w:t>
      </w:r>
      <w:r w:rsidR="00F072FD" w:rsidRPr="00F072FD">
        <w:t xml:space="preserve"> </w:t>
      </w:r>
      <w:proofErr w:type="gramEnd"/>
      <w:r w:rsidR="00EC5A50">
        <w:t>I</w:t>
      </w:r>
      <w:r w:rsidR="00F072FD" w:rsidRPr="00F072FD">
        <w:t xml:space="preserve">n developing our </w:t>
      </w:r>
      <w:r w:rsidR="00EC5A50">
        <w:t xml:space="preserve">incentive </w:t>
      </w:r>
      <w:r w:rsidR="00D86D73">
        <w:t>strategy</w:t>
      </w:r>
      <w:r w:rsidR="00F072FD" w:rsidRPr="00F072FD">
        <w:t>, we examined the in</w:t>
      </w:r>
      <w:r w:rsidR="00413A7C" w:rsidRPr="00F072FD">
        <w:t xml:space="preserve">centive </w:t>
      </w:r>
      <w:r w:rsidR="00F072FD">
        <w:t>protocols</w:t>
      </w:r>
      <w:r w:rsidR="00413A7C" w:rsidRPr="00F072FD">
        <w:t xml:space="preserve"> of </w:t>
      </w:r>
      <w:r w:rsidR="00F072FD" w:rsidRPr="00F072FD">
        <w:t xml:space="preserve">a number of </w:t>
      </w:r>
      <w:r w:rsidR="00413A7C" w:rsidRPr="00F072FD">
        <w:t xml:space="preserve">federal surveys, </w:t>
      </w:r>
      <w:r w:rsidR="00F072FD" w:rsidRPr="00F072FD">
        <w:t xml:space="preserve">including those </w:t>
      </w:r>
      <w:r w:rsidR="002A52C6">
        <w:t>t</w:t>
      </w:r>
      <w:r w:rsidR="00F072FD" w:rsidRPr="00F072FD">
        <w:t>hat collect sensitive data like the NSFG,</w:t>
      </w:r>
      <w:r w:rsidR="002A52C6">
        <w:t xml:space="preserve"> </w:t>
      </w:r>
      <w:r w:rsidR="00413A7C" w:rsidRPr="00F072FD">
        <w:t xml:space="preserve">to better understand the range of incentives that are being offered to respondents given their survey mode options and </w:t>
      </w:r>
      <w:r w:rsidR="00D61223">
        <w:t xml:space="preserve">the </w:t>
      </w:r>
      <w:r w:rsidR="00413A7C" w:rsidRPr="00F072FD">
        <w:t xml:space="preserve">response </w:t>
      </w:r>
      <w:r w:rsidR="00413A7C" w:rsidRPr="00CB1CD6">
        <w:t>burden</w:t>
      </w:r>
      <w:r w:rsidR="00965714" w:rsidRPr="00CB1CD6">
        <w:t>.</w:t>
      </w:r>
      <w:r w:rsidR="00413A7C" w:rsidRPr="00CB1CD6">
        <w:t xml:space="preserve"> </w:t>
      </w:r>
      <w:r w:rsidR="00C75747" w:rsidRPr="00CB1CD6">
        <w:t xml:space="preserve"> </w:t>
      </w:r>
    </w:p>
    <w:p w:rsidR="00E919CB" w:rsidRDefault="00E919CB" w:rsidP="00C75747">
      <w:pPr>
        <w:ind w:left="360"/>
      </w:pPr>
    </w:p>
    <w:p w:rsidR="00E919CB" w:rsidRDefault="00F8095E" w:rsidP="00C75747">
      <w:pPr>
        <w:ind w:left="360"/>
      </w:pPr>
      <w:r w:rsidRPr="00CB1CD6">
        <w:t xml:space="preserve">In </w:t>
      </w:r>
      <w:r w:rsidR="0022309F">
        <w:t>the updated</w:t>
      </w:r>
      <w:r w:rsidRPr="00CB1CD6">
        <w:t xml:space="preserve"> Attachment 1 we have </w:t>
      </w:r>
      <w:r w:rsidR="00165469">
        <w:t>cited</w:t>
      </w:r>
      <w:r w:rsidR="0022309F">
        <w:t xml:space="preserve"> additional</w:t>
      </w:r>
      <w:r w:rsidR="00165469">
        <w:t xml:space="preserve"> examples of federal surveys that</w:t>
      </w:r>
      <w:r w:rsidRPr="00CB1CD6">
        <w:t xml:space="preserve"> offer</w:t>
      </w:r>
      <w:r w:rsidR="00165469">
        <w:t xml:space="preserve"> </w:t>
      </w:r>
      <w:r w:rsidRPr="00CB1CD6">
        <w:t>incentive</w:t>
      </w:r>
      <w:r w:rsidR="00165469">
        <w:t>s, most of which are</w:t>
      </w:r>
      <w:r w:rsidRPr="00CB1CD6">
        <w:t xml:space="preserve"> condition</w:t>
      </w:r>
      <w:r w:rsidR="00165469">
        <w:t>al</w:t>
      </w:r>
      <w:r w:rsidRPr="00CB1CD6">
        <w:t xml:space="preserve"> on the completion of the survey.</w:t>
      </w:r>
      <w:r w:rsidR="00C7565B" w:rsidRPr="00CB1CD6">
        <w:t xml:space="preserve"> </w:t>
      </w:r>
      <w:r w:rsidR="00EC5A50" w:rsidRPr="00CB1CD6">
        <w:t>This information was helpful as we considered</w:t>
      </w:r>
      <w:r w:rsidR="00EC5A50">
        <w:t xml:space="preserve"> the</w:t>
      </w:r>
      <w:r w:rsidR="00EC5A50" w:rsidRPr="00F072FD">
        <w:t xml:space="preserve"> optimal incentive amount to test against </w:t>
      </w:r>
      <w:r w:rsidR="00034AC4">
        <w:t>a</w:t>
      </w:r>
      <w:r w:rsidR="00EC5A50" w:rsidRPr="00F072FD">
        <w:t xml:space="preserve"> $0 incentive condition</w:t>
      </w:r>
      <w:r w:rsidR="00EC5A50">
        <w:t xml:space="preserve"> in</w:t>
      </w:r>
      <w:r w:rsidR="00EC5A50" w:rsidRPr="00F072FD">
        <w:t xml:space="preserve"> the SCV</w:t>
      </w:r>
      <w:proofErr w:type="gramStart"/>
      <w:r w:rsidR="00EC5A50" w:rsidRPr="00F072FD">
        <w:t xml:space="preserve">. </w:t>
      </w:r>
      <w:r w:rsidR="00EC5A50">
        <w:t xml:space="preserve"> </w:t>
      </w:r>
      <w:proofErr w:type="gramEnd"/>
      <w:r w:rsidR="000D3AAF">
        <w:t>The $</w:t>
      </w:r>
      <w:r w:rsidR="002936E6">
        <w:t>10</w:t>
      </w:r>
      <w:r w:rsidR="004D55D1">
        <w:t xml:space="preserve"> promised</w:t>
      </w:r>
      <w:r w:rsidR="000D3AAF">
        <w:t xml:space="preserve"> amount was chosen in light of prior </w:t>
      </w:r>
      <w:r w:rsidR="00D61223">
        <w:t xml:space="preserve">research </w:t>
      </w:r>
      <w:r w:rsidR="008B3081">
        <w:t>showing</w:t>
      </w:r>
      <w:r w:rsidR="00D61223">
        <w:t xml:space="preserve"> that significant effects of promised incentives </w:t>
      </w:r>
      <w:r w:rsidR="008B3081">
        <w:t xml:space="preserve">(compared to a no incentive condition), offered at the completion of the survey, </w:t>
      </w:r>
      <w:r w:rsidR="00D61223">
        <w:t>were at least $5, with most being $15 or more</w:t>
      </w:r>
      <w:r w:rsidR="008B3081">
        <w:t xml:space="preserve"> </w:t>
      </w:r>
      <w:r w:rsidR="00D61223">
        <w:t>(</w:t>
      </w:r>
      <w:r w:rsidR="008B3081">
        <w:t xml:space="preserve">Yu and Cooper, 1983; </w:t>
      </w:r>
      <w:proofErr w:type="spellStart"/>
      <w:r w:rsidR="00D61223">
        <w:t>Strouse</w:t>
      </w:r>
      <w:proofErr w:type="spellEnd"/>
      <w:r w:rsidR="00D61223">
        <w:t xml:space="preserve"> and Hall, 1997; Singer</w:t>
      </w:r>
      <w:r w:rsidR="00A40375">
        <w:t xml:space="preserve"> et al.</w:t>
      </w:r>
      <w:r w:rsidR="00D61223">
        <w:t>, 2000; C</w:t>
      </w:r>
      <w:r w:rsidR="000D3AAF">
        <w:t>a</w:t>
      </w:r>
      <w:r w:rsidR="00D61223">
        <w:t xml:space="preserve">ntor et al, 2003).  </w:t>
      </w:r>
    </w:p>
    <w:p w:rsidR="00E919CB" w:rsidRDefault="00E919CB" w:rsidP="00C75747">
      <w:pPr>
        <w:ind w:left="360"/>
      </w:pPr>
    </w:p>
    <w:p w:rsidR="00413A7C" w:rsidRDefault="00413A7C" w:rsidP="000E57BA">
      <w:pPr>
        <w:ind w:left="720"/>
      </w:pPr>
    </w:p>
    <w:p w:rsidR="000E57BA" w:rsidRPr="007A5BDC" w:rsidRDefault="000E57BA" w:rsidP="000E57BA">
      <w:pPr>
        <w:pStyle w:val="ListParagraph"/>
        <w:numPr>
          <w:ilvl w:val="0"/>
          <w:numId w:val="1"/>
        </w:numPr>
        <w:rPr>
          <w:b/>
          <w:i/>
        </w:rPr>
      </w:pPr>
      <w:r w:rsidRPr="007A5BDC">
        <w:rPr>
          <w:b/>
          <w:i/>
        </w:rPr>
        <w:t>Please remove references to the incentive payment being “compensation for your time” in the cover to the survey and letters</w:t>
      </w:r>
      <w:proofErr w:type="gramStart"/>
      <w:r w:rsidRPr="007A5BDC">
        <w:rPr>
          <w:b/>
          <w:i/>
        </w:rPr>
        <w:t xml:space="preserve">.  </w:t>
      </w:r>
      <w:proofErr w:type="gramEnd"/>
      <w:r w:rsidRPr="007A5BDC">
        <w:rPr>
          <w:b/>
          <w:i/>
        </w:rPr>
        <w:t>Incentives are not payments</w:t>
      </w:r>
      <w:proofErr w:type="gramStart"/>
      <w:r w:rsidRPr="007A5BDC">
        <w:rPr>
          <w:b/>
          <w:i/>
        </w:rPr>
        <w:t xml:space="preserve">.  </w:t>
      </w:r>
      <w:proofErr w:type="gramEnd"/>
      <w:r w:rsidRPr="007A5BDC">
        <w:rPr>
          <w:b/>
          <w:i/>
        </w:rPr>
        <w:t>You can use “expression of appreciation” or similar.</w:t>
      </w:r>
    </w:p>
    <w:p w:rsidR="000E57BA" w:rsidRDefault="000E57BA" w:rsidP="000E57BA"/>
    <w:p w:rsidR="004A2037" w:rsidRPr="00413A7C" w:rsidRDefault="000E57BA" w:rsidP="004A2037">
      <w:pPr>
        <w:ind w:left="360"/>
      </w:pPr>
      <w:r w:rsidRPr="00413A7C">
        <w:t xml:space="preserve">We have revised the wording in </w:t>
      </w:r>
      <w:r w:rsidR="00FE4DC7" w:rsidRPr="00413A7C">
        <w:t>the survey materials</w:t>
      </w:r>
      <w:r w:rsidRPr="00413A7C">
        <w:t xml:space="preserve"> to refer to incentives as “tokens of appreciation” rather than “compensation for your time.</w:t>
      </w:r>
      <w:proofErr w:type="gramStart"/>
      <w:r w:rsidRPr="00413A7C">
        <w:t xml:space="preserve">”  </w:t>
      </w:r>
      <w:proofErr w:type="gramEnd"/>
      <w:r w:rsidRPr="00413A7C">
        <w:t xml:space="preserve">The revised materials are provided in </w:t>
      </w:r>
      <w:r w:rsidR="00831D0B" w:rsidRPr="00413A7C">
        <w:t>Attachment 11 (</w:t>
      </w:r>
      <w:r w:rsidR="004E0CCE" w:rsidRPr="00413A7C">
        <w:t>Contacting Sampled Addresses and Gaining Cooperation</w:t>
      </w:r>
      <w:r w:rsidR="00831D0B" w:rsidRPr="00413A7C">
        <w:t xml:space="preserve">) </w:t>
      </w:r>
      <w:r w:rsidR="00931010" w:rsidRPr="00413A7C">
        <w:t>and changes are highlighted in yellow for ease of review</w:t>
      </w:r>
      <w:proofErr w:type="gramStart"/>
      <w:r w:rsidRPr="00413A7C">
        <w:t xml:space="preserve">. </w:t>
      </w:r>
      <w:r w:rsidR="004A2037" w:rsidRPr="00413A7C">
        <w:t xml:space="preserve"> </w:t>
      </w:r>
      <w:proofErr w:type="gramEnd"/>
      <w:r w:rsidR="00831D0B" w:rsidRPr="00413A7C">
        <w:t xml:space="preserve">Below </w:t>
      </w:r>
      <w:r w:rsidR="00931010" w:rsidRPr="00413A7C">
        <w:t>is a</w:t>
      </w:r>
      <w:r w:rsidR="00831D0B" w:rsidRPr="00413A7C">
        <w:t xml:space="preserve"> list of specific items that have been modified:</w:t>
      </w:r>
    </w:p>
    <w:p w:rsidR="004A2037" w:rsidRPr="00413A7C" w:rsidRDefault="004A2037" w:rsidP="004A2037">
      <w:pPr>
        <w:ind w:left="360"/>
      </w:pPr>
    </w:p>
    <w:p w:rsidR="00831D0B" w:rsidRPr="00413A7C" w:rsidRDefault="00831D0B" w:rsidP="004A2037">
      <w:pPr>
        <w:numPr>
          <w:ilvl w:val="0"/>
          <w:numId w:val="3"/>
        </w:numPr>
      </w:pPr>
      <w:r w:rsidRPr="00413A7C">
        <w:t xml:space="preserve">Exhibits 11-1 and 11-3: Consent forms for </w:t>
      </w:r>
      <w:r w:rsidR="00931010" w:rsidRPr="00413A7C">
        <w:t>incentive</w:t>
      </w:r>
      <w:r w:rsidRPr="00413A7C">
        <w:t xml:space="preserve"> treatment group</w:t>
      </w:r>
    </w:p>
    <w:p w:rsidR="00831D0B" w:rsidRPr="00413A7C" w:rsidRDefault="00831D0B" w:rsidP="004A2037">
      <w:pPr>
        <w:numPr>
          <w:ilvl w:val="0"/>
          <w:numId w:val="3"/>
        </w:numPr>
      </w:pPr>
      <w:r w:rsidRPr="00413A7C">
        <w:t xml:space="preserve">Exhibits 11-6 and 11-8: Lead letters for </w:t>
      </w:r>
      <w:r w:rsidR="00931010" w:rsidRPr="00413A7C">
        <w:t>incentive</w:t>
      </w:r>
      <w:r w:rsidRPr="00413A7C">
        <w:t xml:space="preserve"> treatment group</w:t>
      </w:r>
    </w:p>
    <w:p w:rsidR="00831D0B" w:rsidRPr="00413A7C" w:rsidRDefault="00831D0B" w:rsidP="004A2037">
      <w:pPr>
        <w:numPr>
          <w:ilvl w:val="0"/>
          <w:numId w:val="3"/>
        </w:numPr>
      </w:pPr>
      <w:r w:rsidRPr="00413A7C">
        <w:t xml:space="preserve">Exhibit 11-13: Return letter for </w:t>
      </w:r>
      <w:r w:rsidR="00931010" w:rsidRPr="00413A7C">
        <w:t>incentive</w:t>
      </w:r>
      <w:r w:rsidRPr="00413A7C">
        <w:t xml:space="preserve"> treatment group</w:t>
      </w:r>
    </w:p>
    <w:p w:rsidR="00831D0B" w:rsidRPr="00413A7C" w:rsidRDefault="00831D0B" w:rsidP="004A2037">
      <w:pPr>
        <w:numPr>
          <w:ilvl w:val="0"/>
          <w:numId w:val="3"/>
        </w:numPr>
      </w:pPr>
      <w:r w:rsidRPr="00413A7C">
        <w:t xml:space="preserve">Exhibit 11-15: Thank for letter for </w:t>
      </w:r>
      <w:r w:rsidR="00931010" w:rsidRPr="00413A7C">
        <w:t>incentive</w:t>
      </w:r>
      <w:r w:rsidRPr="00413A7C">
        <w:t xml:space="preserve"> treatment group</w:t>
      </w:r>
    </w:p>
    <w:p w:rsidR="00831D0B" w:rsidRPr="00413A7C" w:rsidRDefault="00831D0B" w:rsidP="004A2037">
      <w:pPr>
        <w:numPr>
          <w:ilvl w:val="0"/>
          <w:numId w:val="3"/>
        </w:numPr>
      </w:pPr>
      <w:r w:rsidRPr="00413A7C">
        <w:t>Exhibits 11-17, 11-19, and 11-21: Nonresponse letters for</w:t>
      </w:r>
      <w:r w:rsidR="00931010" w:rsidRPr="00413A7C">
        <w:t xml:space="preserve"> incentive</w:t>
      </w:r>
      <w:r w:rsidRPr="00413A7C">
        <w:t xml:space="preserve"> treatment group</w:t>
      </w:r>
    </w:p>
    <w:p w:rsidR="00831D0B" w:rsidRPr="00413A7C" w:rsidRDefault="00831D0B" w:rsidP="004A2037">
      <w:pPr>
        <w:numPr>
          <w:ilvl w:val="0"/>
          <w:numId w:val="3"/>
        </w:numPr>
      </w:pPr>
      <w:r w:rsidRPr="00413A7C">
        <w:t xml:space="preserve">Exhibits 11-23, 11-25, and 11-27: Refusal letters for </w:t>
      </w:r>
      <w:r w:rsidR="00931010" w:rsidRPr="00413A7C">
        <w:t>incentive</w:t>
      </w:r>
      <w:r w:rsidRPr="00413A7C">
        <w:t xml:space="preserve"> treatment group</w:t>
      </w:r>
    </w:p>
    <w:p w:rsidR="00831D0B" w:rsidRPr="00413A7C" w:rsidRDefault="00831D0B" w:rsidP="004A2037">
      <w:pPr>
        <w:numPr>
          <w:ilvl w:val="0"/>
          <w:numId w:val="3"/>
        </w:numPr>
      </w:pPr>
      <w:r w:rsidRPr="00413A7C">
        <w:t>Exhibit 11-28 and 11-30: Thank you/reminder cards for incentive treatment group</w:t>
      </w:r>
    </w:p>
    <w:p w:rsidR="000E57BA" w:rsidRPr="00413A7C" w:rsidRDefault="00831D0B" w:rsidP="00831D0B">
      <w:pPr>
        <w:numPr>
          <w:ilvl w:val="0"/>
          <w:numId w:val="3"/>
        </w:numPr>
      </w:pPr>
      <w:r w:rsidRPr="00413A7C">
        <w:t>Exhibit 11-33: Incentive receipt</w:t>
      </w:r>
    </w:p>
    <w:p w:rsidR="000E57BA" w:rsidRPr="000E57BA" w:rsidRDefault="000E57BA" w:rsidP="000E57BA">
      <w:pPr>
        <w:ind w:left="360"/>
        <w:rPr>
          <w:i/>
        </w:rPr>
      </w:pPr>
    </w:p>
    <w:p w:rsidR="000E57BA" w:rsidRPr="007A5BDC" w:rsidRDefault="000E57BA" w:rsidP="000E57BA">
      <w:pPr>
        <w:pStyle w:val="ListParagraph"/>
        <w:numPr>
          <w:ilvl w:val="0"/>
          <w:numId w:val="1"/>
        </w:numPr>
        <w:rPr>
          <w:b/>
          <w:i/>
        </w:rPr>
      </w:pPr>
      <w:r w:rsidRPr="007A5BDC">
        <w:rPr>
          <w:b/>
          <w:i/>
        </w:rPr>
        <w:t>The race question should include the instruction “please check one or more” – you may NOT use “all that apply.</w:t>
      </w:r>
      <w:proofErr w:type="gramStart"/>
      <w:r w:rsidRPr="007A5BDC">
        <w:rPr>
          <w:b/>
          <w:i/>
        </w:rPr>
        <w:t xml:space="preserve">”  </w:t>
      </w:r>
      <w:proofErr w:type="gramEnd"/>
      <w:r w:rsidRPr="007A5BDC">
        <w:rPr>
          <w:b/>
          <w:i/>
        </w:rPr>
        <w:t>PLEASE check this before submitting to OMB in the future</w:t>
      </w:r>
      <w:proofErr w:type="gramStart"/>
      <w:r w:rsidRPr="007A5BDC">
        <w:rPr>
          <w:b/>
          <w:i/>
        </w:rPr>
        <w:t xml:space="preserve">.  </w:t>
      </w:r>
      <w:proofErr w:type="gramEnd"/>
      <w:r w:rsidRPr="007A5BDC">
        <w:rPr>
          <w:b/>
          <w:i/>
        </w:rPr>
        <w:t>We have to correct this way too often.</w:t>
      </w:r>
    </w:p>
    <w:p w:rsidR="000E57BA" w:rsidRDefault="000E57BA" w:rsidP="000E57BA"/>
    <w:p w:rsidR="000E57BA" w:rsidRPr="00413A7C" w:rsidRDefault="000E57BA" w:rsidP="000E57BA">
      <w:pPr>
        <w:ind w:left="360"/>
      </w:pPr>
      <w:r w:rsidRPr="00413A7C">
        <w:t xml:space="preserve">We apologize for the oversight in the wording of </w:t>
      </w:r>
      <w:r w:rsidR="009527FD" w:rsidRPr="00413A7C">
        <w:t>several race</w:t>
      </w:r>
      <w:r w:rsidRPr="00413A7C">
        <w:t xml:space="preserve"> questions in </w:t>
      </w:r>
      <w:r w:rsidR="009527FD" w:rsidRPr="00413A7C">
        <w:t>SCV instruments</w:t>
      </w:r>
      <w:r w:rsidRPr="00413A7C">
        <w:t xml:space="preserve">. We have </w:t>
      </w:r>
      <w:r w:rsidR="00E71D87" w:rsidRPr="00413A7C">
        <w:t>revised</w:t>
      </w:r>
      <w:r w:rsidRPr="00413A7C">
        <w:t xml:space="preserve"> the wording as follows:</w:t>
      </w:r>
    </w:p>
    <w:p w:rsidR="004F45B6" w:rsidRPr="00413A7C" w:rsidRDefault="004F45B6" w:rsidP="000E57BA">
      <w:pPr>
        <w:ind w:left="360"/>
      </w:pPr>
    </w:p>
    <w:p w:rsidR="009F3F91" w:rsidRPr="00413A7C" w:rsidRDefault="00544F18" w:rsidP="009F3F91">
      <w:pPr>
        <w:pStyle w:val="ListParagraph"/>
        <w:numPr>
          <w:ilvl w:val="0"/>
          <w:numId w:val="4"/>
        </w:numPr>
        <w:ind w:left="720"/>
      </w:pPr>
      <w:r w:rsidRPr="00413A7C">
        <w:t xml:space="preserve">Attachment 3 - </w:t>
      </w:r>
      <w:r w:rsidR="009F3F91" w:rsidRPr="00413A7C">
        <w:t xml:space="preserve">CATI/CAPI Address Verification and Household Enumeration Questionnaire: </w:t>
      </w:r>
    </w:p>
    <w:p w:rsidR="009F3F91" w:rsidRPr="00413A7C" w:rsidRDefault="009F3F91" w:rsidP="009F3F91">
      <w:pPr>
        <w:pStyle w:val="ListParagraph"/>
        <w:numPr>
          <w:ilvl w:val="1"/>
          <w:numId w:val="4"/>
        </w:numPr>
        <w:ind w:left="1080"/>
      </w:pPr>
      <w:r w:rsidRPr="00413A7C">
        <w:t xml:space="preserve">Section B, Question 2F- </w:t>
      </w:r>
      <w:r w:rsidR="00E71D87" w:rsidRPr="00413A7C">
        <w:t>Changed</w:t>
      </w:r>
      <w:r w:rsidRPr="00413A7C">
        <w:t xml:space="preserve"> “all that apply” interviewer instruction to “Please </w:t>
      </w:r>
      <w:r w:rsidR="00544F18" w:rsidRPr="00413A7C">
        <w:t>select</w:t>
      </w:r>
      <w:r w:rsidRPr="00413A7C">
        <w:t xml:space="preserve"> one or more.”</w:t>
      </w:r>
    </w:p>
    <w:p w:rsidR="00544F18" w:rsidRPr="00413A7C" w:rsidRDefault="00544F18" w:rsidP="00544F18">
      <w:pPr>
        <w:pStyle w:val="ListParagraph"/>
        <w:numPr>
          <w:ilvl w:val="0"/>
          <w:numId w:val="4"/>
        </w:numPr>
        <w:ind w:left="720"/>
      </w:pPr>
      <w:r w:rsidRPr="00413A7C">
        <w:t xml:space="preserve">Attachment 4a - CATI/CAPI Screener: </w:t>
      </w:r>
    </w:p>
    <w:p w:rsidR="00544F18" w:rsidRPr="00413A7C" w:rsidRDefault="00544F18" w:rsidP="00544F18">
      <w:pPr>
        <w:pStyle w:val="ListParagraph"/>
        <w:numPr>
          <w:ilvl w:val="1"/>
          <w:numId w:val="4"/>
        </w:numPr>
        <w:ind w:left="1080"/>
      </w:pPr>
      <w:r w:rsidRPr="00413A7C">
        <w:t>Questions 6 and 8g – Changed “check one or more” instruction to “Please select one or more.”</w:t>
      </w:r>
    </w:p>
    <w:p w:rsidR="00544F18" w:rsidRPr="00413A7C" w:rsidRDefault="00544F18" w:rsidP="00544F18">
      <w:pPr>
        <w:pStyle w:val="ListParagraph"/>
        <w:numPr>
          <w:ilvl w:val="0"/>
          <w:numId w:val="4"/>
        </w:numPr>
        <w:ind w:left="720"/>
      </w:pPr>
      <w:r w:rsidRPr="00413A7C">
        <w:t>Attachment 4b - CATI/CAPI Crime Incident Report:</w:t>
      </w:r>
    </w:p>
    <w:p w:rsidR="00544F18" w:rsidRPr="00413A7C" w:rsidRDefault="00544F18" w:rsidP="00544F18">
      <w:pPr>
        <w:pStyle w:val="ListParagraph"/>
        <w:numPr>
          <w:ilvl w:val="1"/>
          <w:numId w:val="4"/>
        </w:numPr>
        <w:ind w:left="1080"/>
      </w:pPr>
      <w:r w:rsidRPr="00413A7C">
        <w:rPr>
          <w:bCs/>
        </w:rPr>
        <w:t>Question 44b – Original wording was: “What race or races was the offender? You may select more than one. Was the offender...</w:t>
      </w:r>
      <w:proofErr w:type="gramStart"/>
      <w:r w:rsidRPr="00413A7C">
        <w:rPr>
          <w:bCs/>
        </w:rPr>
        <w:t>”</w:t>
      </w:r>
      <w:proofErr w:type="gramEnd"/>
      <w:r w:rsidRPr="00413A7C">
        <w:rPr>
          <w:bCs/>
        </w:rPr>
        <w:t xml:space="preserve"> Changed to “What race or races was the offender? Please select one or more. Was the offender…</w:t>
      </w:r>
      <w:proofErr w:type="gramStart"/>
      <w:r w:rsidRPr="00413A7C">
        <w:rPr>
          <w:bCs/>
        </w:rPr>
        <w:t>”</w:t>
      </w:r>
      <w:proofErr w:type="gramEnd"/>
    </w:p>
    <w:p w:rsidR="00544F18" w:rsidRPr="00413A7C" w:rsidRDefault="00544F18" w:rsidP="00544F18">
      <w:pPr>
        <w:pStyle w:val="ListParagraph"/>
        <w:numPr>
          <w:ilvl w:val="1"/>
          <w:numId w:val="4"/>
        </w:numPr>
        <w:ind w:left="1080"/>
      </w:pPr>
      <w:r w:rsidRPr="00413A7C">
        <w:rPr>
          <w:bCs/>
        </w:rPr>
        <w:t>Question 56c – Original wording was: “What race or races were the offenders? Were they...” Changed to “What race or races were the offenders? Please select one or more. Were they…”</w:t>
      </w:r>
    </w:p>
    <w:p w:rsidR="009F3F91" w:rsidRPr="00413A7C" w:rsidRDefault="00544F18" w:rsidP="009F3F91">
      <w:pPr>
        <w:pStyle w:val="ListParagraph"/>
        <w:numPr>
          <w:ilvl w:val="0"/>
          <w:numId w:val="4"/>
        </w:numPr>
        <w:ind w:left="720"/>
      </w:pPr>
      <w:r w:rsidRPr="00413A7C">
        <w:t xml:space="preserve">Attachment 5 - </w:t>
      </w:r>
      <w:r w:rsidR="009F3F91" w:rsidRPr="00413A7C">
        <w:t xml:space="preserve">Web Survey Instrument: </w:t>
      </w:r>
    </w:p>
    <w:p w:rsidR="009F3F91" w:rsidRPr="00413A7C" w:rsidRDefault="009F3F91" w:rsidP="009F3F91">
      <w:pPr>
        <w:pStyle w:val="ListParagraph"/>
        <w:numPr>
          <w:ilvl w:val="1"/>
          <w:numId w:val="4"/>
        </w:numPr>
        <w:ind w:left="1080"/>
      </w:pPr>
      <w:r w:rsidRPr="00413A7C">
        <w:t xml:space="preserve">Page 2, respondent race question – </w:t>
      </w:r>
      <w:r w:rsidR="00E71D87" w:rsidRPr="00413A7C">
        <w:t>Changed</w:t>
      </w:r>
      <w:r w:rsidRPr="00413A7C">
        <w:t xml:space="preserve"> </w:t>
      </w:r>
      <w:proofErr w:type="gramStart"/>
      <w:r w:rsidRPr="00413A7C">
        <w:t>“ all</w:t>
      </w:r>
      <w:proofErr w:type="gramEnd"/>
      <w:r w:rsidRPr="00413A7C">
        <w:t xml:space="preserve"> that apply” instruction to “Please </w:t>
      </w:r>
      <w:r w:rsidR="00544F18" w:rsidRPr="00413A7C">
        <w:t>select</w:t>
      </w:r>
      <w:r w:rsidRPr="00413A7C">
        <w:t xml:space="preserve"> one or more.”</w:t>
      </w:r>
    </w:p>
    <w:p w:rsidR="009F3F91" w:rsidRPr="00413A7C" w:rsidRDefault="009F3F91" w:rsidP="004F45B6">
      <w:pPr>
        <w:pStyle w:val="ListParagraph"/>
        <w:numPr>
          <w:ilvl w:val="1"/>
          <w:numId w:val="4"/>
        </w:numPr>
        <w:ind w:left="1080"/>
      </w:pPr>
      <w:r w:rsidRPr="00413A7C">
        <w:rPr>
          <w:bCs/>
        </w:rPr>
        <w:t xml:space="preserve">Question 34a – </w:t>
      </w:r>
      <w:r w:rsidR="00E71D87" w:rsidRPr="00413A7C">
        <w:rPr>
          <w:bCs/>
        </w:rPr>
        <w:t>Original wording was:</w:t>
      </w:r>
      <w:r w:rsidRPr="00413A7C">
        <w:rPr>
          <w:bCs/>
        </w:rPr>
        <w:t xml:space="preserve"> “What race or races was the offender? You may mark more than one. Was the offender...</w:t>
      </w:r>
      <w:proofErr w:type="gramStart"/>
      <w:r w:rsidRPr="00413A7C">
        <w:rPr>
          <w:bCs/>
        </w:rPr>
        <w:t xml:space="preserve">” </w:t>
      </w:r>
      <w:r w:rsidR="004F45B6" w:rsidRPr="00413A7C">
        <w:t xml:space="preserve"> </w:t>
      </w:r>
      <w:proofErr w:type="gramEnd"/>
      <w:r w:rsidRPr="00413A7C">
        <w:rPr>
          <w:bCs/>
        </w:rPr>
        <w:t>Change</w:t>
      </w:r>
      <w:r w:rsidR="00E71D87" w:rsidRPr="00413A7C">
        <w:rPr>
          <w:bCs/>
        </w:rPr>
        <w:t>d</w:t>
      </w:r>
      <w:r w:rsidRPr="00413A7C">
        <w:rPr>
          <w:bCs/>
        </w:rPr>
        <w:t xml:space="preserve"> to</w:t>
      </w:r>
      <w:r w:rsidR="00E71D87" w:rsidRPr="00413A7C">
        <w:rPr>
          <w:bCs/>
        </w:rPr>
        <w:t>:</w:t>
      </w:r>
      <w:r w:rsidRPr="00413A7C">
        <w:rPr>
          <w:bCs/>
        </w:rPr>
        <w:t xml:space="preserve"> “What race or races was the offender? </w:t>
      </w:r>
      <w:r w:rsidR="00544F18" w:rsidRPr="00413A7C">
        <w:rPr>
          <w:bCs/>
        </w:rPr>
        <w:t xml:space="preserve">Please </w:t>
      </w:r>
      <w:r w:rsidRPr="00413A7C">
        <w:rPr>
          <w:bCs/>
        </w:rPr>
        <w:t>select one or more. Was the offender…</w:t>
      </w:r>
      <w:proofErr w:type="gramStart"/>
      <w:r w:rsidRPr="00413A7C">
        <w:rPr>
          <w:bCs/>
        </w:rPr>
        <w:t>”</w:t>
      </w:r>
      <w:proofErr w:type="gramEnd"/>
    </w:p>
    <w:p w:rsidR="009F3F91" w:rsidRPr="00413A7C" w:rsidRDefault="009F3F91" w:rsidP="009F3F91">
      <w:pPr>
        <w:pStyle w:val="ListParagraph"/>
        <w:numPr>
          <w:ilvl w:val="1"/>
          <w:numId w:val="4"/>
        </w:numPr>
        <w:ind w:left="1080"/>
      </w:pPr>
      <w:r w:rsidRPr="00413A7C">
        <w:lastRenderedPageBreak/>
        <w:t xml:space="preserve">Question 43b – </w:t>
      </w:r>
      <w:r w:rsidR="00E71D87" w:rsidRPr="00413A7C">
        <w:t>Original wording was:</w:t>
      </w:r>
      <w:r w:rsidRPr="00413A7C">
        <w:t xml:space="preserve"> “</w:t>
      </w:r>
      <w:r w:rsidRPr="00413A7C">
        <w:rPr>
          <w:bCs/>
        </w:rPr>
        <w:t>What race or races were the offenders? Were they...” Change</w:t>
      </w:r>
      <w:r w:rsidR="00E71D87" w:rsidRPr="00413A7C">
        <w:rPr>
          <w:bCs/>
        </w:rPr>
        <w:t>d</w:t>
      </w:r>
      <w:r w:rsidRPr="00413A7C">
        <w:rPr>
          <w:bCs/>
        </w:rPr>
        <w:t xml:space="preserve"> to “What race or races were the offenders? </w:t>
      </w:r>
      <w:r w:rsidR="00544F18" w:rsidRPr="00413A7C">
        <w:rPr>
          <w:bCs/>
        </w:rPr>
        <w:t xml:space="preserve">Please </w:t>
      </w:r>
      <w:r w:rsidRPr="00413A7C">
        <w:rPr>
          <w:bCs/>
        </w:rPr>
        <w:t>select one or more. Were they…”</w:t>
      </w:r>
    </w:p>
    <w:p w:rsidR="00544F18" w:rsidRPr="00413A7C" w:rsidRDefault="00544F18" w:rsidP="009527FD">
      <w:pPr>
        <w:ind w:left="360"/>
      </w:pPr>
    </w:p>
    <w:p w:rsidR="009527FD" w:rsidRPr="00413A7C" w:rsidRDefault="009527FD" w:rsidP="009527FD">
      <w:pPr>
        <w:ind w:left="360"/>
      </w:pPr>
      <w:r w:rsidRPr="00413A7C">
        <w:t>These changes are highlighted in yellow in the revised instruments</w:t>
      </w:r>
      <w:r w:rsidR="00544F18" w:rsidRPr="00413A7C">
        <w:t xml:space="preserve"> attached to this response.</w:t>
      </w:r>
    </w:p>
    <w:p w:rsidR="000E57BA" w:rsidRDefault="000E57BA" w:rsidP="000E57BA">
      <w:pPr>
        <w:ind w:left="360"/>
      </w:pPr>
    </w:p>
    <w:p w:rsidR="000E57BA" w:rsidRPr="007A5BDC" w:rsidRDefault="000E57BA" w:rsidP="009527FD">
      <w:pPr>
        <w:pStyle w:val="ListParagraph"/>
        <w:numPr>
          <w:ilvl w:val="0"/>
          <w:numId w:val="1"/>
        </w:numPr>
        <w:rPr>
          <w:b/>
          <w:i/>
        </w:rPr>
      </w:pPr>
      <w:r w:rsidRPr="007A5BDC">
        <w:rPr>
          <w:b/>
          <w:i/>
        </w:rPr>
        <w:t>Please clarify if the household questionnaire and the individual questionnaires are administered during the same visit/call</w:t>
      </w:r>
      <w:proofErr w:type="gramStart"/>
      <w:r w:rsidRPr="007A5BDC">
        <w:rPr>
          <w:b/>
          <w:i/>
        </w:rPr>
        <w:t xml:space="preserve">.  </w:t>
      </w:r>
      <w:proofErr w:type="gramEnd"/>
      <w:r w:rsidRPr="007A5BDC">
        <w:rPr>
          <w:b/>
          <w:i/>
        </w:rPr>
        <w:t>And is the initial contact incentivized once or twice (if in experimental condition)?</w:t>
      </w:r>
    </w:p>
    <w:p w:rsidR="00CD28D9" w:rsidRDefault="00CD28D9"/>
    <w:p w:rsidR="009527FD" w:rsidRPr="00413A7C" w:rsidRDefault="009527FD" w:rsidP="009527FD">
      <w:pPr>
        <w:ind w:left="360"/>
      </w:pPr>
      <w:r w:rsidRPr="00413A7C">
        <w:t xml:space="preserve">The household respondent will receive the </w:t>
      </w:r>
      <w:r w:rsidR="00E2400B">
        <w:t xml:space="preserve">crime </w:t>
      </w:r>
      <w:r w:rsidRPr="00413A7C">
        <w:t xml:space="preserve">Screener and any required Crime Incident Reports during the same visit/call. These are programmed </w:t>
      </w:r>
      <w:r w:rsidR="00502961" w:rsidRPr="00413A7C">
        <w:t>in both</w:t>
      </w:r>
      <w:r w:rsidR="00FE4DC7" w:rsidRPr="00413A7C">
        <w:t xml:space="preserve"> </w:t>
      </w:r>
      <w:r w:rsidR="00502961" w:rsidRPr="00413A7C">
        <w:t xml:space="preserve">CATI and CAPI </w:t>
      </w:r>
      <w:r w:rsidR="00FE4DC7" w:rsidRPr="00413A7C">
        <w:t xml:space="preserve">(and Web) </w:t>
      </w:r>
      <w:r w:rsidRPr="00413A7C">
        <w:t xml:space="preserve">to flow seamlessly from the Screener into the Crime Incident Reports when one or more crime incidents are reported by the respondent. In the event of a break-off, the interviewer will attempt to schedule an appointment to </w:t>
      </w:r>
      <w:proofErr w:type="spellStart"/>
      <w:r w:rsidRPr="00413A7C">
        <w:t>recontact</w:t>
      </w:r>
      <w:proofErr w:type="spellEnd"/>
      <w:r w:rsidRPr="00413A7C">
        <w:t xml:space="preserve"> the respondent and finish the interview. </w:t>
      </w:r>
    </w:p>
    <w:p w:rsidR="00FE4DC7" w:rsidRPr="00413A7C" w:rsidRDefault="00FE4DC7" w:rsidP="009527FD">
      <w:pPr>
        <w:ind w:left="360"/>
      </w:pPr>
    </w:p>
    <w:p w:rsidR="00C26FB3" w:rsidRPr="00413A7C" w:rsidRDefault="00FE4DC7" w:rsidP="009527FD">
      <w:pPr>
        <w:ind w:left="360"/>
      </w:pPr>
      <w:r w:rsidRPr="00413A7C">
        <w:t>Because</w:t>
      </w:r>
      <w:r w:rsidR="003E6C49" w:rsidRPr="00413A7C">
        <w:t xml:space="preserve"> the mode of initial contact </w:t>
      </w:r>
      <w:r w:rsidRPr="00413A7C">
        <w:t xml:space="preserve">will be the same for all members of a sampled household, </w:t>
      </w:r>
      <w:r w:rsidR="003E6C49" w:rsidRPr="00413A7C">
        <w:t>i</w:t>
      </w:r>
      <w:r w:rsidR="009527FD" w:rsidRPr="00413A7C">
        <w:t>nterviewers will attempt to complete interviews with any other eligible adult household members during the same call/visit</w:t>
      </w:r>
      <w:r w:rsidR="00502961" w:rsidRPr="00413A7C">
        <w:t xml:space="preserve"> with</w:t>
      </w:r>
      <w:r w:rsidR="009527FD" w:rsidRPr="00413A7C">
        <w:t xml:space="preserve"> the household respondent. </w:t>
      </w:r>
      <w:r w:rsidR="00502961" w:rsidRPr="00413A7C">
        <w:t xml:space="preserve">However, </w:t>
      </w:r>
      <w:r w:rsidR="009527FD" w:rsidRPr="00413A7C">
        <w:t xml:space="preserve">follow-up appointments will be set if one or more individuals </w:t>
      </w:r>
      <w:r w:rsidR="00502961" w:rsidRPr="00413A7C">
        <w:t xml:space="preserve">respondents </w:t>
      </w:r>
      <w:r w:rsidR="009527FD" w:rsidRPr="00413A7C">
        <w:t>are not available during the interviewer’s visit/call.</w:t>
      </w:r>
      <w:r w:rsidR="00502961" w:rsidRPr="00413A7C">
        <w:t xml:space="preserve"> </w:t>
      </w:r>
      <w:r w:rsidRPr="00413A7C">
        <w:t xml:space="preserve"> </w:t>
      </w:r>
    </w:p>
    <w:p w:rsidR="00FE4DC7" w:rsidRPr="00413A7C" w:rsidRDefault="00FE4DC7" w:rsidP="009527FD">
      <w:pPr>
        <w:ind w:left="360"/>
      </w:pPr>
    </w:p>
    <w:p w:rsidR="00FE447D" w:rsidRDefault="00FE447D" w:rsidP="00FE4DC7">
      <w:pPr>
        <w:ind w:left="360"/>
      </w:pPr>
    </w:p>
    <w:p w:rsidR="00FE447D" w:rsidRDefault="00FE447D" w:rsidP="00FE4DC7">
      <w:pPr>
        <w:ind w:left="360"/>
      </w:pPr>
    </w:p>
    <w:p w:rsidR="00913990" w:rsidRDefault="00913990">
      <w:r>
        <w:br w:type="page"/>
      </w:r>
    </w:p>
    <w:p w:rsidR="00FE447D" w:rsidRPr="00913990" w:rsidRDefault="00FE447D" w:rsidP="00913990">
      <w:pPr>
        <w:jc w:val="center"/>
        <w:rPr>
          <w:rFonts w:asciiTheme="minorHAnsi" w:hAnsiTheme="minorHAnsi"/>
          <w:b/>
        </w:rPr>
      </w:pPr>
      <w:r w:rsidRPr="00913990">
        <w:rPr>
          <w:rFonts w:asciiTheme="minorHAnsi" w:hAnsiTheme="minorHAnsi"/>
          <w:b/>
        </w:rPr>
        <w:lastRenderedPageBreak/>
        <w:t>References</w:t>
      </w:r>
    </w:p>
    <w:p w:rsidR="00913990" w:rsidRPr="00913990" w:rsidRDefault="00913990" w:rsidP="00FE447D">
      <w:pPr>
        <w:rPr>
          <w:rFonts w:asciiTheme="minorHAnsi" w:hAnsiTheme="minorHAnsi"/>
        </w:rPr>
      </w:pPr>
    </w:p>
    <w:p w:rsidR="00913990" w:rsidRPr="00913990" w:rsidRDefault="00913990" w:rsidP="00913990">
      <w:pPr>
        <w:pStyle w:val="biblio"/>
        <w:spacing w:after="0"/>
        <w:rPr>
          <w:rFonts w:asciiTheme="minorHAnsi" w:hAnsiTheme="minorHAnsi"/>
          <w:sz w:val="22"/>
          <w:szCs w:val="22"/>
        </w:rPr>
      </w:pPr>
      <w:proofErr w:type="spellStart"/>
      <w:proofErr w:type="gramStart"/>
      <w:r w:rsidRPr="00913990">
        <w:rPr>
          <w:rFonts w:asciiTheme="minorHAnsi" w:hAnsiTheme="minorHAnsi"/>
          <w:sz w:val="22"/>
          <w:szCs w:val="22"/>
        </w:rPr>
        <w:t>Bosnjak</w:t>
      </w:r>
      <w:proofErr w:type="spellEnd"/>
      <w:r w:rsidRPr="00913990">
        <w:rPr>
          <w:rFonts w:asciiTheme="minorHAnsi" w:hAnsiTheme="minorHAnsi"/>
          <w:sz w:val="22"/>
          <w:szCs w:val="22"/>
        </w:rPr>
        <w:t xml:space="preserve">, Michael and Tracy </w:t>
      </w:r>
      <w:proofErr w:type="spellStart"/>
      <w:r w:rsidRPr="00913990">
        <w:rPr>
          <w:rFonts w:asciiTheme="minorHAnsi" w:hAnsiTheme="minorHAnsi"/>
          <w:sz w:val="22"/>
          <w:szCs w:val="22"/>
        </w:rPr>
        <w:t>Tuten</w:t>
      </w:r>
      <w:proofErr w:type="spellEnd"/>
      <w:r w:rsidRPr="00913990">
        <w:rPr>
          <w:rFonts w:asciiTheme="minorHAnsi" w:hAnsiTheme="minorHAnsi"/>
          <w:sz w:val="22"/>
          <w:szCs w:val="22"/>
        </w:rPr>
        <w:t>.</w:t>
      </w:r>
      <w:proofErr w:type="gramEnd"/>
      <w:r w:rsidRPr="00913990">
        <w:rPr>
          <w:rFonts w:asciiTheme="minorHAnsi" w:hAnsiTheme="minorHAnsi"/>
          <w:sz w:val="22"/>
          <w:szCs w:val="22"/>
        </w:rPr>
        <w:t xml:space="preserve"> 2003. “Prepaid and Promised Incentives in Web Surveys: An Experiment.” </w:t>
      </w:r>
      <w:r w:rsidRPr="00913990">
        <w:rPr>
          <w:rFonts w:asciiTheme="minorHAnsi" w:hAnsiTheme="minorHAnsi"/>
          <w:i/>
          <w:iCs/>
          <w:sz w:val="22"/>
          <w:szCs w:val="22"/>
        </w:rPr>
        <w:t>Social Science Computer Review</w:t>
      </w:r>
      <w:r w:rsidRPr="00913990">
        <w:rPr>
          <w:rFonts w:asciiTheme="minorHAnsi" w:hAnsiTheme="minorHAnsi"/>
          <w:sz w:val="22"/>
          <w:szCs w:val="22"/>
        </w:rPr>
        <w:t>, 21 (2), pp. 208-217.</w:t>
      </w:r>
    </w:p>
    <w:p w:rsidR="00913990" w:rsidRPr="00913990" w:rsidRDefault="00913990" w:rsidP="00FE447D">
      <w:pPr>
        <w:rPr>
          <w:rFonts w:asciiTheme="minorHAnsi" w:hAnsiTheme="minorHAnsi"/>
        </w:rPr>
      </w:pPr>
    </w:p>
    <w:p w:rsidR="00913990" w:rsidRPr="00913990" w:rsidRDefault="00913990" w:rsidP="00913990">
      <w:pPr>
        <w:pStyle w:val="biblio"/>
        <w:spacing w:after="0"/>
        <w:rPr>
          <w:rFonts w:asciiTheme="minorHAnsi" w:hAnsiTheme="minorHAnsi"/>
          <w:sz w:val="22"/>
          <w:szCs w:val="22"/>
        </w:rPr>
      </w:pPr>
      <w:proofErr w:type="gramStart"/>
      <w:r w:rsidRPr="00913990">
        <w:rPr>
          <w:rFonts w:asciiTheme="minorHAnsi" w:hAnsiTheme="minorHAnsi"/>
          <w:sz w:val="22"/>
          <w:szCs w:val="22"/>
        </w:rPr>
        <w:t xml:space="preserve">Cantor, D., Wang, K. and N. </w:t>
      </w:r>
      <w:proofErr w:type="spellStart"/>
      <w:r w:rsidRPr="00913990">
        <w:rPr>
          <w:rFonts w:asciiTheme="minorHAnsi" w:hAnsiTheme="minorHAnsi"/>
          <w:sz w:val="22"/>
          <w:szCs w:val="22"/>
        </w:rPr>
        <w:t>Abi-Habibm</w:t>
      </w:r>
      <w:proofErr w:type="spellEnd"/>
      <w:r w:rsidRPr="00913990">
        <w:rPr>
          <w:rFonts w:asciiTheme="minorHAnsi" w:hAnsiTheme="minorHAnsi"/>
          <w:sz w:val="22"/>
          <w:szCs w:val="22"/>
        </w:rPr>
        <w:t>.</w:t>
      </w:r>
      <w:proofErr w:type="gramEnd"/>
      <w:r w:rsidRPr="00913990">
        <w:rPr>
          <w:rFonts w:asciiTheme="minorHAnsi" w:hAnsiTheme="minorHAnsi"/>
          <w:sz w:val="22"/>
          <w:szCs w:val="22"/>
        </w:rPr>
        <w:t xml:space="preserve"> 2003. Comparing Promised and Prepaid Incentives for an Extended Interview on a Random Digit Dial Survey. Paper presented at the Annual Conference at the American Association for Public Opinion, Nashville, TN.</w:t>
      </w:r>
    </w:p>
    <w:p w:rsidR="00913990" w:rsidRPr="00913990" w:rsidRDefault="00913990" w:rsidP="00FE447D">
      <w:pPr>
        <w:ind w:left="720" w:hanging="720"/>
        <w:rPr>
          <w:rFonts w:asciiTheme="minorHAnsi" w:hAnsiTheme="minorHAnsi"/>
        </w:rPr>
      </w:pPr>
    </w:p>
    <w:p w:rsidR="00913990" w:rsidRPr="00913990" w:rsidRDefault="00913990" w:rsidP="00913990">
      <w:pPr>
        <w:pStyle w:val="biblio"/>
        <w:spacing w:after="0"/>
        <w:rPr>
          <w:rFonts w:asciiTheme="minorHAnsi" w:hAnsiTheme="minorHAnsi"/>
          <w:sz w:val="22"/>
          <w:szCs w:val="22"/>
        </w:rPr>
      </w:pPr>
      <w:r w:rsidRPr="00913990">
        <w:rPr>
          <w:rFonts w:asciiTheme="minorHAnsi" w:hAnsiTheme="minorHAnsi"/>
          <w:sz w:val="22"/>
          <w:szCs w:val="22"/>
        </w:rPr>
        <w:t xml:space="preserve">Church, Allan H. 1993. </w:t>
      </w:r>
      <w:proofErr w:type="gramStart"/>
      <w:r w:rsidRPr="00913990">
        <w:rPr>
          <w:rFonts w:asciiTheme="minorHAnsi" w:hAnsiTheme="minorHAnsi"/>
          <w:sz w:val="22"/>
          <w:szCs w:val="22"/>
        </w:rPr>
        <w:t>“Estimating the Effect of Incentives on Mail Survey Response Rates: A Meta-Analysis</w:t>
      </w:r>
      <w:r w:rsidRPr="00913990">
        <w:rPr>
          <w:rFonts w:asciiTheme="minorHAnsi" w:hAnsiTheme="minorHAnsi"/>
          <w:i/>
          <w:sz w:val="22"/>
          <w:szCs w:val="22"/>
        </w:rPr>
        <w:t>.”</w:t>
      </w:r>
      <w:proofErr w:type="gramEnd"/>
      <w:r w:rsidRPr="00913990">
        <w:rPr>
          <w:rFonts w:asciiTheme="minorHAnsi" w:hAnsiTheme="minorHAnsi"/>
          <w:sz w:val="22"/>
          <w:szCs w:val="22"/>
        </w:rPr>
        <w:t xml:space="preserve"> </w:t>
      </w:r>
      <w:r w:rsidRPr="00913990">
        <w:rPr>
          <w:rFonts w:asciiTheme="minorHAnsi" w:hAnsiTheme="minorHAnsi"/>
          <w:i/>
          <w:sz w:val="22"/>
          <w:szCs w:val="22"/>
        </w:rPr>
        <w:t>Public Opinion Quarterly,</w:t>
      </w:r>
      <w:r w:rsidRPr="00913990">
        <w:rPr>
          <w:rFonts w:asciiTheme="minorHAnsi" w:hAnsiTheme="minorHAnsi"/>
          <w:sz w:val="22"/>
          <w:szCs w:val="22"/>
        </w:rPr>
        <w:t xml:space="preserve"> 57:62-79.</w:t>
      </w:r>
    </w:p>
    <w:p w:rsidR="00913990" w:rsidRPr="00913990" w:rsidRDefault="00913990" w:rsidP="00FE44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913990" w:rsidRPr="00913990" w:rsidRDefault="00913990" w:rsidP="00913990">
      <w:pPr>
        <w:pStyle w:val="Biblio0"/>
        <w:spacing w:after="0"/>
        <w:rPr>
          <w:rFonts w:asciiTheme="minorHAnsi" w:hAnsiTheme="minorHAnsi" w:cs="Times New Roman"/>
          <w:i w:val="0"/>
        </w:rPr>
      </w:pPr>
      <w:r w:rsidRPr="00913990">
        <w:rPr>
          <w:rFonts w:asciiTheme="minorHAnsi" w:hAnsiTheme="minorHAnsi" w:cs="Times New Roman"/>
          <w:i w:val="0"/>
        </w:rPr>
        <w:t xml:space="preserve">Dillman, D.A. 2007. </w:t>
      </w:r>
      <w:r w:rsidRPr="00913990">
        <w:rPr>
          <w:rFonts w:asciiTheme="minorHAnsi" w:hAnsiTheme="minorHAnsi" w:cs="Times New Roman"/>
        </w:rPr>
        <w:t>Mail and Internet Surveys: The Tailored Design, Second Edition</w:t>
      </w:r>
      <w:r w:rsidRPr="00913990">
        <w:rPr>
          <w:rFonts w:asciiTheme="minorHAnsi" w:hAnsiTheme="minorHAnsi" w:cs="Times New Roman"/>
          <w:i w:val="0"/>
        </w:rPr>
        <w:t>. New York: Wiley and Sons.</w:t>
      </w:r>
    </w:p>
    <w:p w:rsidR="00913990" w:rsidRPr="00913990" w:rsidRDefault="00913990" w:rsidP="00FE447D">
      <w:pPr>
        <w:ind w:left="720" w:hanging="720"/>
        <w:rPr>
          <w:rFonts w:asciiTheme="minorHAnsi" w:hAnsiTheme="minorHAnsi"/>
        </w:rPr>
      </w:pPr>
    </w:p>
    <w:p w:rsidR="00FE447D" w:rsidRPr="00913990" w:rsidRDefault="00FE447D" w:rsidP="00AD7C7B">
      <w:pPr>
        <w:ind w:left="720" w:hanging="720"/>
        <w:rPr>
          <w:rFonts w:asciiTheme="minorHAnsi" w:hAnsiTheme="minorHAnsi"/>
        </w:rPr>
      </w:pPr>
      <w:r w:rsidRPr="00913990">
        <w:rPr>
          <w:rFonts w:asciiTheme="minorHAnsi" w:hAnsiTheme="minorHAnsi"/>
        </w:rPr>
        <w:t xml:space="preserve">Groves, </w:t>
      </w:r>
      <w:r w:rsidR="00AD7C7B">
        <w:rPr>
          <w:rFonts w:asciiTheme="minorHAnsi" w:hAnsiTheme="minorHAnsi"/>
        </w:rPr>
        <w:t>Robert. 2008.  The Future of Incentive Research</w:t>
      </w:r>
      <w:proofErr w:type="gramStart"/>
      <w:r w:rsidR="00AD7C7B">
        <w:rPr>
          <w:rFonts w:asciiTheme="minorHAnsi" w:hAnsiTheme="minorHAnsi"/>
        </w:rPr>
        <w:t xml:space="preserve">.  </w:t>
      </w:r>
      <w:proofErr w:type="gramEnd"/>
      <w:r w:rsidR="00AD7C7B">
        <w:rPr>
          <w:rFonts w:asciiTheme="minorHAnsi" w:hAnsiTheme="minorHAnsi"/>
        </w:rPr>
        <w:t>Paper presented at the Council of Professional Associations on Federal Statistics’ panel on Survey Respondent Incentives, March, Washington, D.C.</w:t>
      </w:r>
    </w:p>
    <w:p w:rsidR="00FE447D" w:rsidRPr="00913990" w:rsidRDefault="00FE447D" w:rsidP="00FE447D">
      <w:pPr>
        <w:ind w:left="720" w:hanging="720"/>
        <w:rPr>
          <w:rFonts w:asciiTheme="minorHAnsi" w:hAnsiTheme="minorHAnsi"/>
        </w:rPr>
      </w:pPr>
    </w:p>
    <w:p w:rsidR="00FE447D" w:rsidRDefault="00FE447D" w:rsidP="00FE447D">
      <w:pPr>
        <w:ind w:left="720" w:hanging="720"/>
        <w:rPr>
          <w:rFonts w:asciiTheme="minorHAnsi" w:hAnsiTheme="minorHAnsi"/>
        </w:rPr>
      </w:pPr>
      <w:proofErr w:type="gramStart"/>
      <w:r w:rsidRPr="00913990">
        <w:rPr>
          <w:rFonts w:asciiTheme="minorHAnsi" w:hAnsiTheme="minorHAnsi"/>
        </w:rPr>
        <w:t xml:space="preserve">Singer, Eleanor, John Van </w:t>
      </w:r>
      <w:proofErr w:type="spellStart"/>
      <w:r w:rsidRPr="00913990">
        <w:rPr>
          <w:rFonts w:asciiTheme="minorHAnsi" w:hAnsiTheme="minorHAnsi"/>
        </w:rPr>
        <w:t>Hoewyk</w:t>
      </w:r>
      <w:proofErr w:type="spellEnd"/>
      <w:r w:rsidRPr="00913990">
        <w:rPr>
          <w:rFonts w:asciiTheme="minorHAnsi" w:hAnsiTheme="minorHAnsi"/>
        </w:rPr>
        <w:t xml:space="preserve">, Nancy </w:t>
      </w:r>
      <w:proofErr w:type="spellStart"/>
      <w:r w:rsidRPr="00913990">
        <w:rPr>
          <w:rFonts w:asciiTheme="minorHAnsi" w:hAnsiTheme="minorHAnsi"/>
        </w:rPr>
        <w:t>Gebler</w:t>
      </w:r>
      <w:proofErr w:type="spellEnd"/>
      <w:r w:rsidRPr="00913990">
        <w:rPr>
          <w:rFonts w:asciiTheme="minorHAnsi" w:hAnsiTheme="minorHAnsi"/>
        </w:rPr>
        <w:t xml:space="preserve">, </w:t>
      </w:r>
      <w:proofErr w:type="spellStart"/>
      <w:r w:rsidRPr="00913990">
        <w:rPr>
          <w:rFonts w:asciiTheme="minorHAnsi" w:hAnsiTheme="minorHAnsi"/>
        </w:rPr>
        <w:t>Trivellore</w:t>
      </w:r>
      <w:proofErr w:type="spellEnd"/>
      <w:r w:rsidRPr="00913990">
        <w:rPr>
          <w:rFonts w:asciiTheme="minorHAnsi" w:hAnsiTheme="minorHAnsi"/>
        </w:rPr>
        <w:t xml:space="preserve"> </w:t>
      </w:r>
      <w:proofErr w:type="spellStart"/>
      <w:r w:rsidRPr="00913990">
        <w:rPr>
          <w:rFonts w:asciiTheme="minorHAnsi" w:hAnsiTheme="minorHAnsi"/>
        </w:rPr>
        <w:t>Raghunathan</w:t>
      </w:r>
      <w:proofErr w:type="spellEnd"/>
      <w:r w:rsidRPr="00913990">
        <w:rPr>
          <w:rFonts w:asciiTheme="minorHAnsi" w:hAnsiTheme="minorHAnsi"/>
        </w:rPr>
        <w:t xml:space="preserve">, and Katherine </w:t>
      </w:r>
      <w:proofErr w:type="spellStart"/>
      <w:r w:rsidRPr="00913990">
        <w:rPr>
          <w:rFonts w:asciiTheme="minorHAnsi" w:hAnsiTheme="minorHAnsi"/>
        </w:rPr>
        <w:t>McGonagle</w:t>
      </w:r>
      <w:proofErr w:type="spellEnd"/>
      <w:r w:rsidRPr="00913990">
        <w:rPr>
          <w:rFonts w:asciiTheme="minorHAnsi" w:hAnsiTheme="minorHAnsi"/>
        </w:rPr>
        <w:t>.</w:t>
      </w:r>
      <w:proofErr w:type="gramEnd"/>
      <w:r w:rsidRPr="00913990">
        <w:rPr>
          <w:rFonts w:asciiTheme="minorHAnsi" w:hAnsiTheme="minorHAnsi"/>
        </w:rPr>
        <w:t xml:space="preserve"> 1999. The Effect of Incentives on Response Rates in Interviewer-Mediated Surveys. </w:t>
      </w:r>
      <w:r w:rsidRPr="00913990">
        <w:rPr>
          <w:rFonts w:asciiTheme="minorHAnsi" w:hAnsiTheme="minorHAnsi"/>
          <w:i/>
        </w:rPr>
        <w:t>Journal of Official Statistics</w:t>
      </w:r>
      <w:r w:rsidRPr="00913990">
        <w:rPr>
          <w:rFonts w:asciiTheme="minorHAnsi" w:hAnsiTheme="minorHAnsi"/>
        </w:rPr>
        <w:t xml:space="preserve"> 15:217-230.</w:t>
      </w:r>
    </w:p>
    <w:p w:rsidR="00BE281B" w:rsidRDefault="00BE281B" w:rsidP="00FE447D">
      <w:pPr>
        <w:ind w:left="720" w:hanging="720"/>
        <w:rPr>
          <w:rFonts w:asciiTheme="minorHAnsi" w:hAnsiTheme="minorHAnsi"/>
        </w:rPr>
      </w:pPr>
    </w:p>
    <w:p w:rsidR="00BE281B" w:rsidRPr="00BE281B" w:rsidRDefault="00BE281B" w:rsidP="00BE281B">
      <w:pPr>
        <w:pStyle w:val="FootnoteText"/>
        <w:rPr>
          <w:rFonts w:asciiTheme="minorHAnsi" w:hAnsiTheme="minorHAnsi"/>
          <w:sz w:val="22"/>
          <w:szCs w:val="22"/>
        </w:rPr>
      </w:pPr>
      <w:r w:rsidRPr="00BE281B">
        <w:rPr>
          <w:rFonts w:asciiTheme="minorHAnsi" w:hAnsiTheme="minorHAnsi"/>
          <w:sz w:val="22"/>
          <w:szCs w:val="22"/>
        </w:rPr>
        <w:t xml:space="preserve">Singer, Eleanor. 2002. “The Use of Incentives to Reduce Nonresponse in Household Surveys.” In </w:t>
      </w:r>
      <w:r w:rsidRPr="00BE281B">
        <w:rPr>
          <w:rFonts w:asciiTheme="minorHAnsi" w:hAnsiTheme="minorHAnsi"/>
          <w:i/>
          <w:iCs/>
          <w:sz w:val="22"/>
          <w:szCs w:val="22"/>
        </w:rPr>
        <w:t>Survey Nonresponse</w:t>
      </w:r>
      <w:r w:rsidRPr="00BE281B">
        <w:rPr>
          <w:rFonts w:asciiTheme="minorHAnsi" w:hAnsiTheme="minorHAnsi"/>
          <w:sz w:val="22"/>
          <w:szCs w:val="22"/>
        </w:rPr>
        <w:t>, ed. Robert M. Groves, et al, pp. 163-178. New York: Wiley.</w:t>
      </w:r>
    </w:p>
    <w:p w:rsidR="00BE281B" w:rsidRPr="00913990" w:rsidRDefault="00BE281B" w:rsidP="00FE447D">
      <w:pPr>
        <w:ind w:left="720" w:hanging="720"/>
        <w:rPr>
          <w:rFonts w:asciiTheme="minorHAnsi" w:hAnsiTheme="minorHAnsi"/>
        </w:rPr>
      </w:pPr>
    </w:p>
    <w:p w:rsidR="00FE447D" w:rsidRPr="00913990" w:rsidRDefault="00FE447D" w:rsidP="00A40375">
      <w:pPr>
        <w:ind w:left="720" w:hanging="720"/>
        <w:rPr>
          <w:rFonts w:asciiTheme="minorHAnsi" w:hAnsiTheme="minorHAnsi"/>
        </w:rPr>
      </w:pPr>
      <w:proofErr w:type="gramStart"/>
      <w:r w:rsidRPr="00913990">
        <w:rPr>
          <w:rFonts w:asciiTheme="minorHAnsi" w:hAnsiTheme="minorHAnsi"/>
        </w:rPr>
        <w:t>Singer,</w:t>
      </w:r>
      <w:r w:rsidR="00A40375" w:rsidRPr="00A40375">
        <w:rPr>
          <w:rFonts w:asciiTheme="minorHAnsi" w:hAnsiTheme="minorHAnsi"/>
        </w:rPr>
        <w:t xml:space="preserve"> </w:t>
      </w:r>
      <w:r w:rsidR="00A40375" w:rsidRPr="00913990">
        <w:rPr>
          <w:rFonts w:asciiTheme="minorHAnsi" w:hAnsiTheme="minorHAnsi"/>
        </w:rPr>
        <w:t xml:space="preserve">Eleanor, John Van </w:t>
      </w:r>
      <w:proofErr w:type="spellStart"/>
      <w:r w:rsidR="00A40375" w:rsidRPr="00913990">
        <w:rPr>
          <w:rFonts w:asciiTheme="minorHAnsi" w:hAnsiTheme="minorHAnsi"/>
        </w:rPr>
        <w:t>Hoewyk</w:t>
      </w:r>
      <w:proofErr w:type="spellEnd"/>
      <w:r w:rsidR="00A40375">
        <w:rPr>
          <w:rFonts w:asciiTheme="minorHAnsi" w:hAnsiTheme="minorHAnsi"/>
        </w:rPr>
        <w:t>, and Mary Maher.</w:t>
      </w:r>
      <w:proofErr w:type="gramEnd"/>
      <w:r w:rsidRPr="00913990">
        <w:rPr>
          <w:rFonts w:asciiTheme="minorHAnsi" w:hAnsiTheme="minorHAnsi"/>
        </w:rPr>
        <w:t xml:space="preserve"> 2000</w:t>
      </w:r>
      <w:r w:rsidR="00A40375">
        <w:rPr>
          <w:rFonts w:asciiTheme="minorHAnsi" w:hAnsiTheme="minorHAnsi"/>
        </w:rPr>
        <w:t>.  Experiments with Incentives in Telephone Surveys</w:t>
      </w:r>
      <w:proofErr w:type="gramStart"/>
      <w:r w:rsidR="00A40375">
        <w:rPr>
          <w:rFonts w:asciiTheme="minorHAnsi" w:hAnsiTheme="minorHAnsi"/>
        </w:rPr>
        <w:t xml:space="preserve">.  </w:t>
      </w:r>
      <w:proofErr w:type="gramEnd"/>
      <w:r w:rsidR="00377C01" w:rsidRPr="00377C01">
        <w:rPr>
          <w:rFonts w:asciiTheme="minorHAnsi" w:hAnsiTheme="minorHAnsi"/>
          <w:i/>
          <w:iCs/>
        </w:rPr>
        <w:t>Public Opinion Quarterly</w:t>
      </w:r>
      <w:r w:rsidR="00A40375">
        <w:rPr>
          <w:rFonts w:asciiTheme="minorHAnsi" w:hAnsiTheme="minorHAnsi"/>
        </w:rPr>
        <w:t>, Vol. 64, pp. 171-188.</w:t>
      </w:r>
    </w:p>
    <w:p w:rsidR="00913990" w:rsidRPr="00913990" w:rsidRDefault="00913990" w:rsidP="00FE447D">
      <w:pPr>
        <w:ind w:left="720" w:hanging="720"/>
        <w:rPr>
          <w:rFonts w:asciiTheme="minorHAnsi" w:hAnsiTheme="minorHAnsi"/>
        </w:rPr>
      </w:pPr>
    </w:p>
    <w:p w:rsidR="00913990" w:rsidRPr="00913990" w:rsidRDefault="00913990" w:rsidP="00913990">
      <w:pPr>
        <w:pStyle w:val="biblio"/>
        <w:spacing w:after="0"/>
        <w:rPr>
          <w:rFonts w:asciiTheme="minorHAnsi" w:hAnsiTheme="minorHAnsi"/>
          <w:sz w:val="22"/>
          <w:szCs w:val="22"/>
        </w:rPr>
      </w:pPr>
      <w:proofErr w:type="spellStart"/>
      <w:proofErr w:type="gramStart"/>
      <w:r w:rsidRPr="00913990">
        <w:rPr>
          <w:rFonts w:asciiTheme="minorHAnsi" w:hAnsiTheme="minorHAnsi"/>
          <w:sz w:val="22"/>
          <w:szCs w:val="22"/>
        </w:rPr>
        <w:t>Strouse</w:t>
      </w:r>
      <w:proofErr w:type="spellEnd"/>
      <w:r w:rsidRPr="00913990">
        <w:rPr>
          <w:rFonts w:asciiTheme="minorHAnsi" w:hAnsiTheme="minorHAnsi"/>
          <w:sz w:val="22"/>
          <w:szCs w:val="22"/>
        </w:rPr>
        <w:t>, R. C. and J. W. Hall.</w:t>
      </w:r>
      <w:proofErr w:type="gramEnd"/>
      <w:r w:rsidRPr="00913990">
        <w:rPr>
          <w:rFonts w:asciiTheme="minorHAnsi" w:hAnsiTheme="minorHAnsi"/>
          <w:sz w:val="22"/>
          <w:szCs w:val="22"/>
        </w:rPr>
        <w:t xml:space="preserve"> 1997. “Incentives in Population Based Health Surveys.” </w:t>
      </w:r>
      <w:r w:rsidRPr="00913990">
        <w:rPr>
          <w:rFonts w:asciiTheme="minorHAnsi" w:hAnsiTheme="minorHAnsi"/>
          <w:i/>
          <w:sz w:val="22"/>
          <w:szCs w:val="22"/>
        </w:rPr>
        <w:t xml:space="preserve">Proceedings of the American Statistical Association, Survey Research Methods Section, </w:t>
      </w:r>
      <w:r w:rsidRPr="00913990">
        <w:rPr>
          <w:rFonts w:asciiTheme="minorHAnsi" w:hAnsiTheme="minorHAnsi"/>
          <w:sz w:val="22"/>
          <w:szCs w:val="22"/>
        </w:rPr>
        <w:t>pp. 952-957.</w:t>
      </w:r>
    </w:p>
    <w:p w:rsidR="00913990" w:rsidRDefault="00913990" w:rsidP="00913990">
      <w:pPr>
        <w:pStyle w:val="Biblio0"/>
        <w:spacing w:after="0"/>
        <w:rPr>
          <w:rFonts w:asciiTheme="minorHAnsi" w:hAnsiTheme="minorHAnsi" w:cs="Times New Roman"/>
          <w:i w:val="0"/>
        </w:rPr>
      </w:pPr>
    </w:p>
    <w:p w:rsidR="00913990" w:rsidRPr="00913990" w:rsidRDefault="00913990" w:rsidP="00913990">
      <w:pPr>
        <w:pStyle w:val="Biblio0"/>
        <w:spacing w:after="0"/>
        <w:rPr>
          <w:rFonts w:asciiTheme="minorHAnsi" w:hAnsiTheme="minorHAnsi" w:cs="Times New Roman"/>
          <w:i w:val="0"/>
        </w:rPr>
      </w:pPr>
      <w:r w:rsidRPr="00913990">
        <w:rPr>
          <w:rFonts w:asciiTheme="minorHAnsi" w:hAnsiTheme="minorHAnsi" w:cs="Times New Roman"/>
          <w:i w:val="0"/>
        </w:rPr>
        <w:t>Yu, J. and Cooper, H. (1983).</w:t>
      </w:r>
      <w:r w:rsidRPr="00913990">
        <w:rPr>
          <w:rFonts w:asciiTheme="minorHAnsi" w:hAnsiTheme="minorHAnsi" w:cs="Times New Roman"/>
        </w:rPr>
        <w:t xml:space="preserve"> “</w:t>
      </w:r>
      <w:r w:rsidRPr="00913990">
        <w:rPr>
          <w:rFonts w:asciiTheme="minorHAnsi" w:hAnsiTheme="minorHAnsi" w:cs="Times New Roman"/>
          <w:i w:val="0"/>
        </w:rPr>
        <w:t>A Quantitative Review of Research Design Effects on Response Rates to Questionnaires.”</w:t>
      </w:r>
      <w:r w:rsidRPr="00913990">
        <w:rPr>
          <w:rFonts w:asciiTheme="minorHAnsi" w:hAnsiTheme="minorHAnsi" w:cs="Times New Roman"/>
        </w:rPr>
        <w:t xml:space="preserve"> Journal of Marketing Research</w:t>
      </w:r>
      <w:r w:rsidRPr="00913990">
        <w:rPr>
          <w:rFonts w:asciiTheme="minorHAnsi" w:hAnsiTheme="minorHAnsi" w:cs="Times New Roman"/>
          <w:i w:val="0"/>
        </w:rPr>
        <w:t>, 20</w:t>
      </w:r>
    </w:p>
    <w:p w:rsidR="00913990" w:rsidRDefault="00913990" w:rsidP="00FE447D"/>
    <w:sectPr w:rsidR="00913990" w:rsidSect="00794F2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54D" w:rsidRDefault="00CE454D" w:rsidP="000E57BA">
      <w:r>
        <w:separator/>
      </w:r>
    </w:p>
  </w:endnote>
  <w:endnote w:type="continuationSeparator" w:id="0">
    <w:p w:rsidR="00CE454D" w:rsidRDefault="00CE454D" w:rsidP="000E5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5677235"/>
      <w:docPartObj>
        <w:docPartGallery w:val="Page Numbers (Bottom of Page)"/>
        <w:docPartUnique/>
      </w:docPartObj>
    </w:sdtPr>
    <w:sdtContent>
      <w:p w:rsidR="00A62027" w:rsidRDefault="00A62027" w:rsidP="008E226D">
        <w:pPr>
          <w:pStyle w:val="Footer"/>
          <w:jc w:val="right"/>
        </w:pPr>
        <w:r>
          <w:tab/>
        </w:r>
        <w:r>
          <w:tab/>
        </w:r>
        <w:r>
          <w:tab/>
        </w:r>
      </w:p>
      <w:p w:rsidR="00A62027" w:rsidRDefault="00A62027" w:rsidP="008E226D">
        <w:pPr>
          <w:pStyle w:val="Footer"/>
          <w:jc w:val="right"/>
        </w:pPr>
      </w:p>
      <w:p w:rsidR="00A62027" w:rsidRDefault="004678AD" w:rsidP="008E226D">
        <w:pPr>
          <w:pStyle w:val="Footer"/>
          <w:jc w:val="right"/>
        </w:pPr>
        <w:fldSimple w:instr=" PAGE   \* MERGEFORMAT ">
          <w:r w:rsidR="000C2113">
            <w:rPr>
              <w:noProof/>
            </w:rPr>
            <w:t>2</w:t>
          </w:r>
        </w:fldSimple>
      </w:p>
    </w:sdtContent>
  </w:sdt>
  <w:p w:rsidR="00A62027" w:rsidRDefault="00A620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54D" w:rsidRDefault="00CE454D" w:rsidP="000E57BA">
      <w:r>
        <w:separator/>
      </w:r>
    </w:p>
  </w:footnote>
  <w:footnote w:type="continuationSeparator" w:id="0">
    <w:p w:rsidR="00CE454D" w:rsidRDefault="00CE454D" w:rsidP="000E57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97D65"/>
    <w:multiLevelType w:val="hybridMultilevel"/>
    <w:tmpl w:val="C396F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350D91"/>
    <w:multiLevelType w:val="hybridMultilevel"/>
    <w:tmpl w:val="89AE75D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3B7CB7"/>
    <w:multiLevelType w:val="hybridMultilevel"/>
    <w:tmpl w:val="7F1CE79A"/>
    <w:lvl w:ilvl="0" w:tplc="04090001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3">
    <w:nsid w:val="45FE645A"/>
    <w:multiLevelType w:val="hybridMultilevel"/>
    <w:tmpl w:val="22AC8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A5889"/>
    <w:multiLevelType w:val="hybridMultilevel"/>
    <w:tmpl w:val="74CE65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F6D7433"/>
    <w:multiLevelType w:val="hybridMultilevel"/>
    <w:tmpl w:val="52BEA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81059B0"/>
    <w:multiLevelType w:val="hybridMultilevel"/>
    <w:tmpl w:val="DE7CD6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57BA"/>
    <w:rsid w:val="000074C6"/>
    <w:rsid w:val="00010338"/>
    <w:rsid w:val="00020034"/>
    <w:rsid w:val="00031310"/>
    <w:rsid w:val="00034AC4"/>
    <w:rsid w:val="00034C5D"/>
    <w:rsid w:val="00055044"/>
    <w:rsid w:val="000626DD"/>
    <w:rsid w:val="0007285D"/>
    <w:rsid w:val="00087FE5"/>
    <w:rsid w:val="000B1B38"/>
    <w:rsid w:val="000B7052"/>
    <w:rsid w:val="000C2113"/>
    <w:rsid w:val="000D3AAF"/>
    <w:rsid w:val="000E57BA"/>
    <w:rsid w:val="00103E20"/>
    <w:rsid w:val="00125B54"/>
    <w:rsid w:val="00141914"/>
    <w:rsid w:val="0016187D"/>
    <w:rsid w:val="0016504D"/>
    <w:rsid w:val="00165469"/>
    <w:rsid w:val="001948CF"/>
    <w:rsid w:val="001A0E1D"/>
    <w:rsid w:val="001C2C52"/>
    <w:rsid w:val="001C3903"/>
    <w:rsid w:val="001F1751"/>
    <w:rsid w:val="001F5026"/>
    <w:rsid w:val="0022309F"/>
    <w:rsid w:val="00224158"/>
    <w:rsid w:val="00226179"/>
    <w:rsid w:val="00230204"/>
    <w:rsid w:val="00240689"/>
    <w:rsid w:val="002534D9"/>
    <w:rsid w:val="00270C93"/>
    <w:rsid w:val="00287D2A"/>
    <w:rsid w:val="002936E6"/>
    <w:rsid w:val="00293DC1"/>
    <w:rsid w:val="00293E9B"/>
    <w:rsid w:val="002A0ADF"/>
    <w:rsid w:val="002A52C6"/>
    <w:rsid w:val="002D20B8"/>
    <w:rsid w:val="002E097D"/>
    <w:rsid w:val="002F0159"/>
    <w:rsid w:val="00300CE7"/>
    <w:rsid w:val="00312884"/>
    <w:rsid w:val="00352E43"/>
    <w:rsid w:val="0036436B"/>
    <w:rsid w:val="00377C01"/>
    <w:rsid w:val="003A44D0"/>
    <w:rsid w:val="003A7E15"/>
    <w:rsid w:val="003E6C49"/>
    <w:rsid w:val="00413A7C"/>
    <w:rsid w:val="00431A91"/>
    <w:rsid w:val="004322EC"/>
    <w:rsid w:val="004353EE"/>
    <w:rsid w:val="0046765B"/>
    <w:rsid w:val="004678AD"/>
    <w:rsid w:val="0047245B"/>
    <w:rsid w:val="004825DB"/>
    <w:rsid w:val="004A133C"/>
    <w:rsid w:val="004A2037"/>
    <w:rsid w:val="004D55D1"/>
    <w:rsid w:val="004D5A51"/>
    <w:rsid w:val="004E0CCE"/>
    <w:rsid w:val="004F45B6"/>
    <w:rsid w:val="004F6D31"/>
    <w:rsid w:val="00501D9E"/>
    <w:rsid w:val="00502961"/>
    <w:rsid w:val="0051690E"/>
    <w:rsid w:val="00521F6B"/>
    <w:rsid w:val="00544F18"/>
    <w:rsid w:val="005723C8"/>
    <w:rsid w:val="00584EAB"/>
    <w:rsid w:val="00590B00"/>
    <w:rsid w:val="005928F4"/>
    <w:rsid w:val="005B5BE4"/>
    <w:rsid w:val="005D34D5"/>
    <w:rsid w:val="005E34DF"/>
    <w:rsid w:val="00600E26"/>
    <w:rsid w:val="00606D52"/>
    <w:rsid w:val="006112E7"/>
    <w:rsid w:val="00615D46"/>
    <w:rsid w:val="00621B93"/>
    <w:rsid w:val="00635DDE"/>
    <w:rsid w:val="006436AF"/>
    <w:rsid w:val="00672F49"/>
    <w:rsid w:val="006749F6"/>
    <w:rsid w:val="00674D0A"/>
    <w:rsid w:val="0067547C"/>
    <w:rsid w:val="00675F36"/>
    <w:rsid w:val="0068008E"/>
    <w:rsid w:val="006C4072"/>
    <w:rsid w:val="006D3879"/>
    <w:rsid w:val="006F3192"/>
    <w:rsid w:val="0071092A"/>
    <w:rsid w:val="007120FF"/>
    <w:rsid w:val="00716DCF"/>
    <w:rsid w:val="007528A1"/>
    <w:rsid w:val="007542E7"/>
    <w:rsid w:val="00770FD7"/>
    <w:rsid w:val="007712C9"/>
    <w:rsid w:val="007926B9"/>
    <w:rsid w:val="00794F26"/>
    <w:rsid w:val="007A5BDC"/>
    <w:rsid w:val="007B28C2"/>
    <w:rsid w:val="007B5366"/>
    <w:rsid w:val="007B56E1"/>
    <w:rsid w:val="007C215E"/>
    <w:rsid w:val="007C4B95"/>
    <w:rsid w:val="008159DA"/>
    <w:rsid w:val="00821210"/>
    <w:rsid w:val="00831D0B"/>
    <w:rsid w:val="00897691"/>
    <w:rsid w:val="008A36B0"/>
    <w:rsid w:val="008B3081"/>
    <w:rsid w:val="008B75EF"/>
    <w:rsid w:val="008E226D"/>
    <w:rsid w:val="008E38CE"/>
    <w:rsid w:val="008E796F"/>
    <w:rsid w:val="00913990"/>
    <w:rsid w:val="00931010"/>
    <w:rsid w:val="00934159"/>
    <w:rsid w:val="0094487D"/>
    <w:rsid w:val="009527FD"/>
    <w:rsid w:val="00965714"/>
    <w:rsid w:val="009A57B0"/>
    <w:rsid w:val="009D39E3"/>
    <w:rsid w:val="009D4BAD"/>
    <w:rsid w:val="009D6D1E"/>
    <w:rsid w:val="009E033F"/>
    <w:rsid w:val="009E0585"/>
    <w:rsid w:val="009F3F91"/>
    <w:rsid w:val="009F4DBD"/>
    <w:rsid w:val="009F52B3"/>
    <w:rsid w:val="00A21394"/>
    <w:rsid w:val="00A40375"/>
    <w:rsid w:val="00A62027"/>
    <w:rsid w:val="00A620C2"/>
    <w:rsid w:val="00A81409"/>
    <w:rsid w:val="00A83C58"/>
    <w:rsid w:val="00A947CE"/>
    <w:rsid w:val="00AA78C9"/>
    <w:rsid w:val="00AC76D8"/>
    <w:rsid w:val="00AD7C7B"/>
    <w:rsid w:val="00AE623A"/>
    <w:rsid w:val="00B125DC"/>
    <w:rsid w:val="00B22D53"/>
    <w:rsid w:val="00B509C8"/>
    <w:rsid w:val="00B50B24"/>
    <w:rsid w:val="00B74A0D"/>
    <w:rsid w:val="00B82484"/>
    <w:rsid w:val="00BA1166"/>
    <w:rsid w:val="00BD59DB"/>
    <w:rsid w:val="00BE281B"/>
    <w:rsid w:val="00BF10BB"/>
    <w:rsid w:val="00C012EC"/>
    <w:rsid w:val="00C1664F"/>
    <w:rsid w:val="00C235A5"/>
    <w:rsid w:val="00C252CD"/>
    <w:rsid w:val="00C26FB3"/>
    <w:rsid w:val="00C40FD4"/>
    <w:rsid w:val="00C509DD"/>
    <w:rsid w:val="00C51CE4"/>
    <w:rsid w:val="00C62C99"/>
    <w:rsid w:val="00C7565B"/>
    <w:rsid w:val="00C75747"/>
    <w:rsid w:val="00CA74E0"/>
    <w:rsid w:val="00CB1CD6"/>
    <w:rsid w:val="00CB3CFF"/>
    <w:rsid w:val="00CB73A5"/>
    <w:rsid w:val="00CB7F7C"/>
    <w:rsid w:val="00CC30B2"/>
    <w:rsid w:val="00CD28D9"/>
    <w:rsid w:val="00CE454D"/>
    <w:rsid w:val="00CF233E"/>
    <w:rsid w:val="00D05657"/>
    <w:rsid w:val="00D23738"/>
    <w:rsid w:val="00D35E42"/>
    <w:rsid w:val="00D52E58"/>
    <w:rsid w:val="00D61223"/>
    <w:rsid w:val="00D75D17"/>
    <w:rsid w:val="00D86D73"/>
    <w:rsid w:val="00DB1CD0"/>
    <w:rsid w:val="00E06ABA"/>
    <w:rsid w:val="00E2400B"/>
    <w:rsid w:val="00E36589"/>
    <w:rsid w:val="00E42EC8"/>
    <w:rsid w:val="00E52BAF"/>
    <w:rsid w:val="00E53C22"/>
    <w:rsid w:val="00E5524D"/>
    <w:rsid w:val="00E648B4"/>
    <w:rsid w:val="00E71D87"/>
    <w:rsid w:val="00E77DB7"/>
    <w:rsid w:val="00E80B5A"/>
    <w:rsid w:val="00E83055"/>
    <w:rsid w:val="00E919CB"/>
    <w:rsid w:val="00E96A50"/>
    <w:rsid w:val="00EA3D2A"/>
    <w:rsid w:val="00EB6B52"/>
    <w:rsid w:val="00EC5A50"/>
    <w:rsid w:val="00ED1606"/>
    <w:rsid w:val="00ED5FF8"/>
    <w:rsid w:val="00ED793F"/>
    <w:rsid w:val="00EF0914"/>
    <w:rsid w:val="00F072FD"/>
    <w:rsid w:val="00F11C92"/>
    <w:rsid w:val="00F133CC"/>
    <w:rsid w:val="00F144C3"/>
    <w:rsid w:val="00F14C81"/>
    <w:rsid w:val="00F17C9A"/>
    <w:rsid w:val="00F27BCD"/>
    <w:rsid w:val="00F414EE"/>
    <w:rsid w:val="00F52853"/>
    <w:rsid w:val="00F53610"/>
    <w:rsid w:val="00F64230"/>
    <w:rsid w:val="00F80435"/>
    <w:rsid w:val="00F8095E"/>
    <w:rsid w:val="00F85064"/>
    <w:rsid w:val="00FA3311"/>
    <w:rsid w:val="00FA54A7"/>
    <w:rsid w:val="00FD02EE"/>
    <w:rsid w:val="00FD4669"/>
    <w:rsid w:val="00FE447D"/>
    <w:rsid w:val="00FE4DC7"/>
    <w:rsid w:val="00FF0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7B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E57BA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57BA"/>
    <w:rPr>
      <w:rFonts w:ascii="Times New Roman" w:hAnsi="Times New Roman" w:cs="Times New Roman"/>
      <w:sz w:val="20"/>
      <w:szCs w:val="20"/>
    </w:rPr>
  </w:style>
  <w:style w:type="paragraph" w:customStyle="1" w:styleId="P1-StandPara">
    <w:name w:val="P1-Stand Para"/>
    <w:basedOn w:val="Normal"/>
    <w:uiPriority w:val="99"/>
    <w:rsid w:val="000E57BA"/>
    <w:pPr>
      <w:spacing w:line="360" w:lineRule="atLeast"/>
      <w:ind w:firstLine="1152"/>
      <w:jc w:val="both"/>
    </w:pPr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unhideWhenUsed/>
    <w:rsid w:val="000E57BA"/>
    <w:rPr>
      <w:vertAlign w:val="superscript"/>
    </w:rPr>
  </w:style>
  <w:style w:type="paragraph" w:styleId="ListParagraph">
    <w:name w:val="List Paragraph"/>
    <w:basedOn w:val="Normal"/>
    <w:uiPriority w:val="34"/>
    <w:qFormat/>
    <w:rsid w:val="000E57BA"/>
    <w:pPr>
      <w:ind w:left="720"/>
    </w:pPr>
  </w:style>
  <w:style w:type="paragraph" w:customStyle="1" w:styleId="bodytextpsg">
    <w:name w:val="body text_psg"/>
    <w:basedOn w:val="Normal"/>
    <w:link w:val="bodytextpsgChar"/>
    <w:rsid w:val="004353EE"/>
    <w:rPr>
      <w:rFonts w:ascii="Arial" w:eastAsia="Times New Roman" w:hAnsi="Arial" w:cs="Arial"/>
      <w:lang w:val="en-GB"/>
    </w:rPr>
  </w:style>
  <w:style w:type="character" w:customStyle="1" w:styleId="bodytextpsgChar">
    <w:name w:val="body text_psg Char"/>
    <w:basedOn w:val="DefaultParagraphFont"/>
    <w:link w:val="bodytextpsg"/>
    <w:rsid w:val="004353EE"/>
    <w:rPr>
      <w:rFonts w:ascii="Arial" w:eastAsia="Times New Roman" w:hAnsi="Arial" w:cs="Arial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D5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9DB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9DB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9D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47C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47C"/>
    <w:rPr>
      <w:b/>
      <w:bCs/>
    </w:rPr>
  </w:style>
  <w:style w:type="paragraph" w:customStyle="1" w:styleId="biblio">
    <w:name w:val="biblio"/>
    <w:basedOn w:val="Normal"/>
    <w:rsid w:val="00913990"/>
    <w:pPr>
      <w:keepLines/>
      <w:spacing w:after="240"/>
      <w:ind w:left="720" w:hanging="720"/>
    </w:pPr>
    <w:rPr>
      <w:rFonts w:ascii="Verdana" w:eastAsia="MS Mincho" w:hAnsi="Verdana"/>
      <w:sz w:val="20"/>
      <w:szCs w:val="20"/>
    </w:rPr>
  </w:style>
  <w:style w:type="paragraph" w:customStyle="1" w:styleId="Biblio0">
    <w:name w:val="Biblio"/>
    <w:basedOn w:val="Normal"/>
    <w:rsid w:val="00913990"/>
    <w:pPr>
      <w:autoSpaceDE w:val="0"/>
      <w:autoSpaceDN w:val="0"/>
      <w:spacing w:after="240"/>
      <w:ind w:left="720" w:hanging="720"/>
    </w:pPr>
    <w:rPr>
      <w:rFonts w:ascii="Arial" w:eastAsia="Times New Roman" w:hAnsi="Arial" w:cs="Arial"/>
      <w:i/>
      <w:iCs/>
      <w:noProof/>
    </w:rPr>
  </w:style>
  <w:style w:type="table" w:styleId="TableGrid">
    <w:name w:val="Table Grid"/>
    <w:basedOn w:val="TableNormal"/>
    <w:uiPriority w:val="59"/>
    <w:rsid w:val="008E3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8E38CE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2302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020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302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20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793C4-DAB7-4B6D-A2BD-BB1BBFD9A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2310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</dc:creator>
  <cp:keywords/>
  <dc:description/>
  <cp:lastModifiedBy>Feel Good Inc.</cp:lastModifiedBy>
  <cp:revision>9</cp:revision>
  <cp:lastPrinted>2012-02-08T19:01:00Z</cp:lastPrinted>
  <dcterms:created xsi:type="dcterms:W3CDTF">2012-02-09T17:25:00Z</dcterms:created>
  <dcterms:modified xsi:type="dcterms:W3CDTF">2012-02-15T21:25:00Z</dcterms:modified>
</cp:coreProperties>
</file>