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AD4DD1">
      <w:pPr>
        <w:pStyle w:val="Heading2"/>
        <w:tabs>
          <w:tab w:val="left" w:pos="900"/>
        </w:tabs>
        <w:ind w:right="-180"/>
        <w:rPr>
          <w:sz w:val="28"/>
        </w:rPr>
      </w:pPr>
      <w:r>
        <w:rPr>
          <w:sz w:val="28"/>
        </w:rPr>
        <w:t xml:space="preserve">Request for Approval under the </w:t>
      </w:r>
      <w:r w:rsidR="00C35060" w:rsidRPr="00C35060">
        <w:rPr>
          <w:sz w:val="28"/>
        </w:rPr>
        <w:t>Collection of Qualitative Feedback through Focus Groups</w:t>
      </w:r>
      <w:r w:rsidR="00C35060">
        <w:rPr>
          <w:sz w:val="28"/>
        </w:rPr>
        <w:t xml:space="preserve"> (OMB Control Number: </w:t>
      </w:r>
      <w:r w:rsidR="00C35060" w:rsidRPr="00C35060">
        <w:rPr>
          <w:sz w:val="28"/>
        </w:rPr>
        <w:t>1615-0126</w:t>
      </w:r>
      <w:r>
        <w:rPr>
          <w:sz w:val="28"/>
        </w:rPr>
        <w:t>)</w:t>
      </w:r>
    </w:p>
    <w:p w:rsidR="00AD4DD1" w:rsidRPr="00AD4DD1" w:rsidRDefault="00AD4DD1" w:rsidP="00AD4DD1"/>
    <w:p w:rsidR="00E50293" w:rsidRPr="00D6686B" w:rsidRDefault="00EF0DFA" w:rsidP="00290AE6">
      <w:pPr>
        <w:spacing w:before="240"/>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C35060" w:rsidRPr="00C35060">
        <w:t xml:space="preserve">Collection of Qualitative Feedback through </w:t>
      </w:r>
      <w:r w:rsidR="00447850">
        <w:t>Key Informant Interviews</w:t>
      </w:r>
    </w:p>
    <w:p w:rsidR="005E714A" w:rsidRDefault="005E714A"/>
    <w:p w:rsidR="00BB4176" w:rsidRDefault="00027ACD">
      <w:pPr>
        <w:pStyle w:val="NormalSS"/>
        <w:ind w:firstLine="0"/>
        <w:jc w:val="left"/>
        <w:rPr>
          <w:rFonts w:ascii="Times New Roman" w:hAnsi="Times New Roman"/>
        </w:rPr>
      </w:pPr>
      <w:r w:rsidRPr="00027ACD">
        <w:rPr>
          <w:rFonts w:ascii="Times New Roman" w:hAnsi="Times New Roman"/>
          <w:b/>
        </w:rPr>
        <w:t>PURPOSE:</w:t>
      </w:r>
      <w:r w:rsidR="00C14CC4" w:rsidRPr="009239AA">
        <w:rPr>
          <w:b/>
        </w:rPr>
        <w:t xml:space="preserve"> </w:t>
      </w:r>
      <w:r w:rsidR="00D6686B" w:rsidRPr="00332721">
        <w:rPr>
          <w:rFonts w:ascii="Times New Roman" w:hAnsi="Times New Roman"/>
        </w:rPr>
        <w:t xml:space="preserve">This </w:t>
      </w:r>
      <w:r w:rsidR="00C35060">
        <w:rPr>
          <w:rFonts w:ascii="Times New Roman" w:hAnsi="Times New Roman"/>
        </w:rPr>
        <w:t xml:space="preserve">information collection is part of the High-Skilled Nonimmigrant Labor Study </w:t>
      </w:r>
      <w:r w:rsidR="00185217">
        <w:rPr>
          <w:rFonts w:ascii="Times New Roman" w:hAnsi="Times New Roman"/>
        </w:rPr>
        <w:t>that</w:t>
      </w:r>
      <w:r w:rsidR="00185217" w:rsidRPr="00332721">
        <w:rPr>
          <w:rFonts w:ascii="Times New Roman" w:hAnsi="Times New Roman"/>
        </w:rPr>
        <w:t xml:space="preserve"> </w:t>
      </w:r>
      <w:r w:rsidR="00D6686B" w:rsidRPr="00332721">
        <w:rPr>
          <w:rFonts w:ascii="Times New Roman" w:hAnsi="Times New Roman"/>
        </w:rPr>
        <w:t>will explore the use of H-1B visas in industries requiring high-skilled labor</w:t>
      </w:r>
      <w:r w:rsidR="009A2CF3">
        <w:rPr>
          <w:rFonts w:ascii="Times New Roman" w:hAnsi="Times New Roman"/>
        </w:rPr>
        <w:t>. The purpose is</w:t>
      </w:r>
      <w:r w:rsidR="00D6686B" w:rsidRPr="00332721">
        <w:rPr>
          <w:rFonts w:ascii="Times New Roman" w:hAnsi="Times New Roman"/>
        </w:rPr>
        <w:t xml:space="preserve"> to better understand </w:t>
      </w:r>
      <w:r w:rsidR="009A6723">
        <w:rPr>
          <w:rFonts w:ascii="Times New Roman" w:hAnsi="Times New Roman"/>
        </w:rPr>
        <w:t xml:space="preserve">both the </w:t>
      </w:r>
      <w:r w:rsidR="00D6686B" w:rsidRPr="00332721">
        <w:rPr>
          <w:rFonts w:ascii="Times New Roman" w:hAnsi="Times New Roman"/>
        </w:rPr>
        <w:t xml:space="preserve">trends in high-skilled nonimmigrant labor and the factors that influence labor flows to facilitate resource planning, revenue projections, and improvements in the efficiency of visa processing. The key components of this study will include: (1) a site visit to the California USCIS service center, (2) a comprehensive literature review, (3) analysis of visa </w:t>
      </w:r>
      <w:r w:rsidR="004606A5">
        <w:rPr>
          <w:rFonts w:ascii="Times New Roman" w:hAnsi="Times New Roman"/>
        </w:rPr>
        <w:t>petition</w:t>
      </w:r>
      <w:r w:rsidR="004606A5" w:rsidRPr="00332721">
        <w:rPr>
          <w:rFonts w:ascii="Times New Roman" w:hAnsi="Times New Roman"/>
        </w:rPr>
        <w:t xml:space="preserve"> </w:t>
      </w:r>
      <w:r w:rsidR="00D6686B" w:rsidRPr="00332721">
        <w:rPr>
          <w:rFonts w:ascii="Times New Roman" w:hAnsi="Times New Roman"/>
        </w:rPr>
        <w:t>data from the past 10 years, (4) focus groups with current and former H-1B visa beneficiaries, (5) focus groups with industry representatives involved in the H-1B visa process, and (6) in-depth case studies of companies that employ H-1B visa holders.</w:t>
      </w:r>
      <w:r w:rsidR="003A36AE">
        <w:rPr>
          <w:rFonts w:ascii="Times New Roman" w:hAnsi="Times New Roman"/>
        </w:rPr>
        <w:t xml:space="preserve"> This information collection is related to components (4), (5), and (6).</w:t>
      </w:r>
    </w:p>
    <w:p w:rsidR="00BB4176" w:rsidRDefault="003A36AE">
      <w:pPr>
        <w:pStyle w:val="NormalSS"/>
        <w:ind w:firstLine="0"/>
        <w:jc w:val="left"/>
        <w:rPr>
          <w:rFonts w:ascii="Times New Roman" w:hAnsi="Times New Roman"/>
        </w:rPr>
      </w:pPr>
      <w:r>
        <w:rPr>
          <w:rFonts w:ascii="Times New Roman" w:hAnsi="Times New Roman"/>
        </w:rPr>
        <w:t>Specifically, this information collection</w:t>
      </w:r>
      <w:r w:rsidR="00332721" w:rsidRPr="00332721">
        <w:rPr>
          <w:rFonts w:ascii="Times New Roman" w:hAnsi="Times New Roman"/>
        </w:rPr>
        <w:t xml:space="preserve"> seeks to expand what is known about this group of visa holders</w:t>
      </w:r>
      <w:r w:rsidR="00EF4D8D">
        <w:rPr>
          <w:rFonts w:ascii="Times New Roman" w:hAnsi="Times New Roman"/>
        </w:rPr>
        <w:t xml:space="preserve"> </w:t>
      </w:r>
      <w:r w:rsidR="000726CD">
        <w:rPr>
          <w:rFonts w:ascii="Times New Roman" w:hAnsi="Times New Roman"/>
        </w:rPr>
        <w:t xml:space="preserve">to gain a better comprehension of </w:t>
      </w:r>
      <w:r w:rsidR="004606A5" w:rsidRPr="004606A5">
        <w:rPr>
          <w:rFonts w:ascii="Times New Roman" w:hAnsi="Times New Roman"/>
        </w:rPr>
        <w:t xml:space="preserve">employers’ needs for high-skilled nonimmigrant workers, </w:t>
      </w:r>
      <w:r w:rsidR="001C05C5">
        <w:rPr>
          <w:rFonts w:ascii="Times New Roman" w:hAnsi="Times New Roman"/>
        </w:rPr>
        <w:t xml:space="preserve">to </w:t>
      </w:r>
      <w:r w:rsidR="004606A5" w:rsidRPr="004606A5">
        <w:rPr>
          <w:rFonts w:ascii="Times New Roman" w:hAnsi="Times New Roman"/>
        </w:rPr>
        <w:t xml:space="preserve">learn about pathways to legal permanent residency for visa holders, and </w:t>
      </w:r>
      <w:r w:rsidR="001C05C5">
        <w:rPr>
          <w:rFonts w:ascii="Times New Roman" w:hAnsi="Times New Roman"/>
        </w:rPr>
        <w:t xml:space="preserve">to </w:t>
      </w:r>
      <w:r w:rsidR="004606A5" w:rsidRPr="004606A5">
        <w:rPr>
          <w:rFonts w:ascii="Times New Roman" w:hAnsi="Times New Roman"/>
        </w:rPr>
        <w:t>improve the H-1B visa petition process for high-skilled nonimmigrant workers.</w:t>
      </w:r>
      <w:r w:rsidR="00332721" w:rsidRPr="00332721">
        <w:rPr>
          <w:rFonts w:ascii="Times New Roman" w:hAnsi="Times New Roman"/>
        </w:rPr>
        <w:t xml:space="preserve"> In particular, the </w:t>
      </w:r>
      <w:r>
        <w:rPr>
          <w:rFonts w:ascii="Times New Roman" w:hAnsi="Times New Roman"/>
        </w:rPr>
        <w:t xml:space="preserve">information </w:t>
      </w:r>
      <w:r w:rsidR="00332721" w:rsidRPr="00332721">
        <w:rPr>
          <w:rFonts w:ascii="Times New Roman" w:hAnsi="Times New Roman"/>
        </w:rPr>
        <w:t xml:space="preserve">collection will engage individuals with knowledge of the H-1B visa process in a dialogue about the procedural aspects of visa adjudication and demand for foreign labor in order to learn more about the demand for H-1B and other high-skilled nonimmigrant visas. In doing so, we will gather information on the successes and challenges experienced by beneficiaries, industry representatives, and companies </w:t>
      </w:r>
      <w:r w:rsidR="001C05C5">
        <w:rPr>
          <w:rFonts w:ascii="Times New Roman" w:hAnsi="Times New Roman"/>
        </w:rPr>
        <w:t>that</w:t>
      </w:r>
      <w:r w:rsidR="001C05C5" w:rsidRPr="00332721">
        <w:rPr>
          <w:rFonts w:ascii="Times New Roman" w:hAnsi="Times New Roman"/>
        </w:rPr>
        <w:t xml:space="preserve"> </w:t>
      </w:r>
      <w:r w:rsidR="00332721" w:rsidRPr="00332721">
        <w:rPr>
          <w:rFonts w:ascii="Times New Roman" w:hAnsi="Times New Roman"/>
        </w:rPr>
        <w:t>interact with and us</w:t>
      </w:r>
      <w:r w:rsidR="001C05C5">
        <w:rPr>
          <w:rFonts w:ascii="Times New Roman" w:hAnsi="Times New Roman"/>
        </w:rPr>
        <w:t>e</w:t>
      </w:r>
      <w:r w:rsidR="00332721" w:rsidRPr="00332721">
        <w:rPr>
          <w:rFonts w:ascii="Times New Roman" w:hAnsi="Times New Roman"/>
        </w:rPr>
        <w:t xml:space="preserve"> the visa system. Moreover, participants will provide </w:t>
      </w:r>
      <w:r w:rsidR="004606A5" w:rsidRPr="004606A5">
        <w:rPr>
          <w:rFonts w:ascii="Times New Roman" w:hAnsi="Times New Roman"/>
        </w:rPr>
        <w:t>information to USCIS that will inform its processes to improve the visa program from the perspectives of both high-skilled nonimmigrant workers and the companies that employ them</w:t>
      </w:r>
      <w:r w:rsidR="00332721" w:rsidRPr="00332721">
        <w:rPr>
          <w:rFonts w:ascii="Times New Roman" w:hAnsi="Times New Roman"/>
        </w:rPr>
        <w:t xml:space="preserve">. Collecting this type of </w:t>
      </w:r>
      <w:r>
        <w:rPr>
          <w:rFonts w:ascii="Times New Roman" w:hAnsi="Times New Roman"/>
        </w:rPr>
        <w:t xml:space="preserve">information </w:t>
      </w:r>
      <w:r w:rsidR="00332721" w:rsidRPr="00332721">
        <w:rPr>
          <w:rFonts w:ascii="Times New Roman" w:hAnsi="Times New Roman"/>
        </w:rPr>
        <w:t>will contribute to a more in-depth understanding about how policies</w:t>
      </w:r>
      <w:r w:rsidR="00E92336">
        <w:rPr>
          <w:rFonts w:ascii="Times New Roman" w:hAnsi="Times New Roman"/>
        </w:rPr>
        <w:t>,</w:t>
      </w:r>
      <w:r w:rsidR="00332721" w:rsidRPr="00332721">
        <w:rPr>
          <w:rFonts w:ascii="Times New Roman" w:hAnsi="Times New Roman"/>
        </w:rPr>
        <w:t xml:space="preserve"> </w:t>
      </w:r>
      <w:r w:rsidR="002B390C">
        <w:rPr>
          <w:rFonts w:ascii="Times New Roman" w:hAnsi="Times New Roman"/>
        </w:rPr>
        <w:t>processes</w:t>
      </w:r>
      <w:r w:rsidR="001C05C5">
        <w:rPr>
          <w:rFonts w:ascii="Times New Roman" w:hAnsi="Times New Roman"/>
        </w:rPr>
        <w:t>,</w:t>
      </w:r>
      <w:r w:rsidR="002B390C" w:rsidRPr="00332721">
        <w:rPr>
          <w:rFonts w:ascii="Times New Roman" w:hAnsi="Times New Roman"/>
        </w:rPr>
        <w:t xml:space="preserve"> </w:t>
      </w:r>
      <w:r w:rsidR="00332721" w:rsidRPr="00332721">
        <w:rPr>
          <w:rFonts w:ascii="Times New Roman" w:hAnsi="Times New Roman"/>
        </w:rPr>
        <w:t>and procedures are interpreted, articulated, and implemented.</w:t>
      </w:r>
    </w:p>
    <w:p w:rsidR="00C8488C" w:rsidRPr="0094637A" w:rsidRDefault="00332721" w:rsidP="0094637A">
      <w:r>
        <w:t>During site visits</w:t>
      </w:r>
      <w:r w:rsidR="00562BD2">
        <w:t xml:space="preserve"> with companies that employ H-1B visa beneficiaries</w:t>
      </w:r>
      <w:r>
        <w:t>,</w:t>
      </w:r>
      <w:r w:rsidR="0094637A">
        <w:t xml:space="preserve"> we will collect information from a variety of respondents. We will collect information from managers about </w:t>
      </w:r>
      <w:r w:rsidRPr="00434958">
        <w:rPr>
          <w:spacing w:val="-2"/>
        </w:rPr>
        <w:t>the demand for high-skilled nonimmigrant employees</w:t>
      </w:r>
      <w:r w:rsidR="0094637A">
        <w:rPr>
          <w:spacing w:val="-2"/>
        </w:rPr>
        <w:t>,</w:t>
      </w:r>
      <w:r w:rsidRPr="00434958">
        <w:rPr>
          <w:spacing w:val="-2"/>
        </w:rPr>
        <w:t xml:space="preserve"> including how they fill the company’s</w:t>
      </w:r>
      <w:r w:rsidR="0094637A">
        <w:rPr>
          <w:spacing w:val="-2"/>
        </w:rPr>
        <w:t xml:space="preserve"> needs; recruitment of these employees;</w:t>
      </w:r>
      <w:r w:rsidRPr="00434958">
        <w:rPr>
          <w:spacing w:val="-2"/>
        </w:rPr>
        <w:t xml:space="preserve"> the H-1B petition process (including the influence o</w:t>
      </w:r>
      <w:r w:rsidR="0094637A">
        <w:rPr>
          <w:spacing w:val="-2"/>
        </w:rPr>
        <w:t>f caps on timing of employment)</w:t>
      </w:r>
      <w:r w:rsidR="001C05C5">
        <w:rPr>
          <w:spacing w:val="-2"/>
        </w:rPr>
        <w:t>;</w:t>
      </w:r>
      <w:r w:rsidRPr="00434958">
        <w:rPr>
          <w:spacing w:val="-2"/>
        </w:rPr>
        <w:t xml:space="preserve"> and recommendations for improving the petition process and U.S. high-skilled immigration policies more generally. </w:t>
      </w:r>
      <w:r w:rsidR="0094637A">
        <w:rPr>
          <w:spacing w:val="-2"/>
        </w:rPr>
        <w:t>Our interviews with h</w:t>
      </w:r>
      <w:r w:rsidRPr="00434958">
        <w:rPr>
          <w:spacing w:val="-2"/>
        </w:rPr>
        <w:t>uman resources personnel will focus on the details of the processes for recruiting foreign high-skilled workers and applying for H-1B visas through USCIS, as well as the specific types of jobs that H-1B beneficiaries hold and their experiences in the workplace.</w:t>
      </w:r>
      <w:r>
        <w:rPr>
          <w:spacing w:val="-2"/>
        </w:rPr>
        <w:t xml:space="preserve">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434E33" w:rsidRDefault="00434E33"/>
    <w:p w:rsidR="00E26329" w:rsidRPr="00F034D9" w:rsidRDefault="00F034D9" w:rsidP="00290AE6">
      <w:pPr>
        <w:spacing w:after="240"/>
      </w:pPr>
      <w:r w:rsidRPr="0094637A">
        <w:rPr>
          <w:b/>
        </w:rPr>
        <w:t xml:space="preserve">Key </w:t>
      </w:r>
      <w:r w:rsidR="00420337">
        <w:rPr>
          <w:b/>
        </w:rPr>
        <w:t>i</w:t>
      </w:r>
      <w:r w:rsidR="00420337" w:rsidRPr="0094637A">
        <w:rPr>
          <w:b/>
        </w:rPr>
        <w:t xml:space="preserve">nformants </w:t>
      </w:r>
      <w:r w:rsidRPr="0094637A">
        <w:rPr>
          <w:b/>
        </w:rPr>
        <w:t xml:space="preserve">at </w:t>
      </w:r>
      <w:r w:rsidR="00420337">
        <w:rPr>
          <w:b/>
        </w:rPr>
        <w:t>s</w:t>
      </w:r>
      <w:r w:rsidR="00420337" w:rsidRPr="0094637A">
        <w:rPr>
          <w:b/>
        </w:rPr>
        <w:t xml:space="preserve">ite </w:t>
      </w:r>
      <w:r w:rsidR="00420337">
        <w:rPr>
          <w:b/>
        </w:rPr>
        <w:t>v</w:t>
      </w:r>
      <w:r w:rsidR="00420337" w:rsidRPr="0094637A">
        <w:rPr>
          <w:b/>
        </w:rPr>
        <w:t>isits</w:t>
      </w:r>
      <w:r w:rsidRPr="0094637A">
        <w:rPr>
          <w:b/>
        </w:rPr>
        <w:t>:</w:t>
      </w:r>
      <w:r w:rsidRPr="00F034D9">
        <w:t xml:space="preserve"> </w:t>
      </w:r>
      <w:r>
        <w:t xml:space="preserve">Respondents </w:t>
      </w:r>
      <w:r w:rsidR="0094637A">
        <w:t>will be</w:t>
      </w:r>
      <w:r>
        <w:t xml:space="preserve"> managers</w:t>
      </w:r>
      <w:r w:rsidR="00FF235C">
        <w:t xml:space="preserve"> and</w:t>
      </w:r>
      <w:r>
        <w:t xml:space="preserve"> human resources representatives. Respondents will be located at large companies within </w:t>
      </w:r>
      <w:r w:rsidR="00AF10C8">
        <w:t xml:space="preserve">three </w:t>
      </w:r>
      <w:r>
        <w:t xml:space="preserve">major industries </w:t>
      </w:r>
      <w:r w:rsidR="00AF10C8">
        <w:t>(</w:t>
      </w:r>
      <w:r w:rsidR="004606A5">
        <w:t>bio</w:t>
      </w:r>
      <w:r>
        <w:t xml:space="preserve">technology, </w:t>
      </w:r>
      <w:r w:rsidR="004606A5">
        <w:t>information technology</w:t>
      </w:r>
      <w:r>
        <w:t>, and finance</w:t>
      </w:r>
      <w:r w:rsidR="00AF10C8">
        <w:t>)</w:t>
      </w:r>
      <w:r>
        <w:t xml:space="preserve"> in the Silicon Valley, New York City, </w:t>
      </w:r>
      <w:r w:rsidR="000560DF">
        <w:lastRenderedPageBreak/>
        <w:t>Houston</w:t>
      </w:r>
      <w:r w:rsidR="00091E5A">
        <w:t>,</w:t>
      </w:r>
      <w:r w:rsidR="000560DF">
        <w:t xml:space="preserve"> </w:t>
      </w:r>
      <w:r>
        <w:t>or Boston.</w:t>
      </w:r>
      <w:r w:rsidR="005A4922">
        <w:t xml:space="preserve"> </w:t>
      </w:r>
      <w:r w:rsidR="00D63DBE">
        <w:t>Companies will be selected for case studies using Labor Condition Application (LCA) data, in order to identify companies that file a large numbers of H-1B petition requests, as well as I-129 data, in order to identify companies that are granted H-1B visas for their workers. Targeting high-volume petitioners and recipients within the predominant industries in each site will allow us to hear from companies which use the program most often within the targeted industries in these regions.</w:t>
      </w: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FF235C">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F235C">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FF235C">
        <w:rPr>
          <w:bCs/>
          <w:sz w:val="24"/>
          <w:u w:val="single"/>
        </w:rPr>
        <w:t>Key Informant Interviews</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290AE6">
      <w:pPr>
        <w:spacing w:after="120"/>
      </w:pPr>
      <w:r>
        <w:t xml:space="preserve">I certify the following to be true: </w:t>
      </w:r>
    </w:p>
    <w:p w:rsidR="008101A5" w:rsidRPr="00290AE6" w:rsidRDefault="008101A5" w:rsidP="00290AE6">
      <w:pPr>
        <w:pStyle w:val="ListParagraph"/>
        <w:numPr>
          <w:ilvl w:val="0"/>
          <w:numId w:val="21"/>
        </w:numPr>
      </w:pPr>
      <w:r>
        <w:t>The collection is voluntary.</w:t>
      </w:r>
      <w:r w:rsidRPr="00C14CC4">
        <w:t xml:space="preserve"> </w:t>
      </w:r>
    </w:p>
    <w:p w:rsidR="008101A5" w:rsidRPr="00290AE6" w:rsidRDefault="008101A5" w:rsidP="00290AE6">
      <w:pPr>
        <w:pStyle w:val="ListParagraph"/>
        <w:numPr>
          <w:ilvl w:val="0"/>
          <w:numId w:val="21"/>
        </w:numPr>
      </w:pPr>
      <w:r>
        <w:t>The</w:t>
      </w:r>
      <w:r w:rsidRPr="00C14CC4">
        <w:t xml:space="preserve"> collection </w:t>
      </w:r>
      <w:r>
        <w:t xml:space="preserve">is </w:t>
      </w:r>
      <w:r w:rsidRPr="00C14CC4">
        <w:t>low-burden for respondents and low-cost for the Federal Government</w:t>
      </w:r>
      <w:r>
        <w:t>.</w:t>
      </w:r>
    </w:p>
    <w:p w:rsidR="008101A5" w:rsidRPr="00290AE6" w:rsidRDefault="008101A5" w:rsidP="00290AE6">
      <w:pPr>
        <w:pStyle w:val="ListParagraph"/>
        <w:numPr>
          <w:ilvl w:val="0"/>
          <w:numId w:val="21"/>
        </w:numPr>
      </w:pPr>
      <w:r>
        <w:t>The</w:t>
      </w:r>
      <w:r w:rsidRPr="00C14CC4">
        <w:t xml:space="preserve"> collection </w:t>
      </w:r>
      <w:r>
        <w:t>is</w:t>
      </w:r>
      <w:r w:rsidRPr="00C14CC4">
        <w:t xml:space="preserve"> non-controversial and do</w:t>
      </w:r>
      <w:r>
        <w:t>es</w:t>
      </w:r>
      <w:r w:rsidRPr="00C14CC4">
        <w:t xml:space="preserve"> </w:t>
      </w:r>
      <w:r w:rsidRPr="00290AE6">
        <w:rPr>
          <w:u w:val="single"/>
        </w:rPr>
        <w:t>not</w:t>
      </w:r>
      <w:r w:rsidRPr="00C14CC4">
        <w:t xml:space="preserve"> raise issues of concern to other federal agencies</w:t>
      </w:r>
      <w:r>
        <w:t>.</w:t>
      </w:r>
      <w:r>
        <w:tab/>
      </w:r>
      <w:r>
        <w:tab/>
      </w:r>
      <w:r>
        <w:tab/>
      </w:r>
      <w:r>
        <w:tab/>
      </w:r>
      <w:r>
        <w:tab/>
      </w:r>
      <w:r>
        <w:tab/>
      </w:r>
      <w:r>
        <w:tab/>
      </w:r>
      <w:r>
        <w:tab/>
      </w:r>
      <w:r>
        <w:tab/>
      </w:r>
    </w:p>
    <w:p w:rsidR="008101A5" w:rsidRPr="00290AE6" w:rsidRDefault="008101A5" w:rsidP="00290AE6">
      <w:pPr>
        <w:pStyle w:val="ListParagraph"/>
        <w:numPr>
          <w:ilvl w:val="0"/>
          <w:numId w:val="21"/>
        </w:numPr>
      </w:pPr>
      <w:r>
        <w:t xml:space="preserve">The results are </w:t>
      </w:r>
      <w:r w:rsidRPr="00290AE6">
        <w:rPr>
          <w:u w:val="single"/>
        </w:rPr>
        <w:t>not</w:t>
      </w:r>
      <w:r w:rsidRPr="00895229">
        <w:t xml:space="preserve"> </w:t>
      </w:r>
      <w:r>
        <w:t>intended to be</w:t>
      </w:r>
      <w:r w:rsidRPr="00C14CC4">
        <w:t xml:space="preserve"> </w:t>
      </w:r>
      <w:r>
        <w:t>disseminated to the p</w:t>
      </w:r>
      <w:r w:rsidRPr="009C13B9">
        <w:t>ublic</w:t>
      </w:r>
      <w:r>
        <w:t>.</w:t>
      </w:r>
      <w:r>
        <w:tab/>
      </w:r>
      <w:r>
        <w:tab/>
      </w:r>
    </w:p>
    <w:p w:rsidR="008101A5" w:rsidRPr="00290AE6" w:rsidRDefault="008101A5" w:rsidP="00290AE6">
      <w:pPr>
        <w:pStyle w:val="ListParagraph"/>
        <w:numPr>
          <w:ilvl w:val="0"/>
          <w:numId w:val="21"/>
        </w:numPr>
      </w:pPr>
      <w:r>
        <w:t xml:space="preserve">Information gathered will not be used for the purpose of </w:t>
      </w:r>
      <w:r w:rsidRPr="00290AE6">
        <w:rPr>
          <w:u w:val="single"/>
        </w:rPr>
        <w:t>substantially</w:t>
      </w:r>
      <w:r>
        <w:t xml:space="preserve"> informing </w:t>
      </w:r>
      <w:r w:rsidRPr="00290AE6">
        <w:rPr>
          <w:u w:val="single"/>
        </w:rPr>
        <w:t xml:space="preserve">influential </w:t>
      </w:r>
      <w:r>
        <w:t xml:space="preserve">policy decisions. </w:t>
      </w:r>
    </w:p>
    <w:p w:rsidR="008101A5" w:rsidRPr="00290AE6" w:rsidRDefault="008101A5" w:rsidP="00290AE6">
      <w:pPr>
        <w:pStyle w:val="ListParagraph"/>
        <w:numPr>
          <w:ilvl w:val="0"/>
          <w:numId w:val="21"/>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rsidRPr="00EF0DFA">
        <w:t>Name:________________________________________________</w:t>
      </w:r>
    </w:p>
    <w:p w:rsidR="009C13B9" w:rsidRDefault="009C13B9" w:rsidP="009C13B9">
      <w:pPr>
        <w:pStyle w:val="ListParagraph"/>
        <w:ind w:left="360"/>
      </w:pPr>
    </w:p>
    <w:p w:rsidR="009C13B9" w:rsidRPr="004C61C4" w:rsidRDefault="009C13B9" w:rsidP="009C13B9">
      <w:pPr>
        <w:rPr>
          <w:b/>
          <w:bCs/>
          <w:u w:val="single"/>
        </w:rPr>
      </w:pPr>
      <w:r w:rsidRPr="004C61C4">
        <w:rPr>
          <w:b/>
          <w:bCs/>
          <w:u w:val="single"/>
        </w:rPr>
        <w:t>To assist review, please provide answers to the following question</w:t>
      </w:r>
      <w:r w:rsidR="00290AE6" w:rsidRPr="004C61C4">
        <w:rPr>
          <w:b/>
          <w:bCs/>
          <w:u w:val="single"/>
        </w:rPr>
        <w:t>s</w:t>
      </w:r>
      <w:r w:rsidRPr="004C61C4">
        <w:rPr>
          <w:b/>
          <w:bCs/>
          <w:u w:val="single"/>
        </w:rPr>
        <w:t>:</w:t>
      </w:r>
    </w:p>
    <w:p w:rsidR="009C13B9" w:rsidRDefault="009C13B9" w:rsidP="009C13B9">
      <w:pPr>
        <w:pStyle w:val="ListParagraph"/>
        <w:ind w:left="360"/>
      </w:pPr>
    </w:p>
    <w:p w:rsidR="009C13B9" w:rsidRPr="00C86E91" w:rsidRDefault="00C86E91" w:rsidP="00290AE6">
      <w:pPr>
        <w:spacing w:after="120"/>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DF28DF">
        <w:t>x</w:t>
      </w:r>
      <w:r w:rsidR="009239AA">
        <w:t xml:space="preserve">] Yes [ ]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0B0D7F">
        <w:t>x</w:t>
      </w:r>
      <w:r w:rsidR="009239AA">
        <w:t>] Yes [ ] No</w:t>
      </w:r>
      <w:r w:rsidR="00C86E91">
        <w:t xml:space="preserve">   </w:t>
      </w:r>
    </w:p>
    <w:p w:rsidR="00C86E91" w:rsidRDefault="00C86E91" w:rsidP="00C86E91">
      <w:pPr>
        <w:pStyle w:val="ListParagraph"/>
        <w:numPr>
          <w:ilvl w:val="0"/>
          <w:numId w:val="18"/>
        </w:numPr>
      </w:pPr>
      <w:r>
        <w:t>If Applicable, has a System or Records Notice been published? [ ] Yes [ ] No</w:t>
      </w:r>
      <w:r w:rsidR="000E19DE">
        <w:t xml:space="preserve"> </w:t>
      </w:r>
      <w:r w:rsidR="00C02078">
        <w:t>[x]</w:t>
      </w:r>
      <w:r w:rsidR="000E19DE">
        <w:t xml:space="preserve"> N/A</w:t>
      </w:r>
    </w:p>
    <w:p w:rsidR="002A08B9" w:rsidRDefault="002A08B9" w:rsidP="00C86E91">
      <w:pPr>
        <w:pStyle w:val="ListParagraph"/>
        <w:ind w:left="0"/>
        <w:rPr>
          <w:b/>
        </w:rPr>
      </w:pPr>
    </w:p>
    <w:p w:rsidR="00C86E91" w:rsidRPr="00C86E91" w:rsidRDefault="00CB1078" w:rsidP="00290AE6">
      <w:pPr>
        <w:pStyle w:val="ListParagraph"/>
        <w:spacing w:after="120"/>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DF28DF">
        <w:t>x</w:t>
      </w:r>
      <w:r>
        <w:t xml:space="preserve">] Yes [ ] No  </w:t>
      </w:r>
    </w:p>
    <w:p w:rsidR="004D6E14" w:rsidRDefault="004D6E14">
      <w:pPr>
        <w:rPr>
          <w:b/>
        </w:rPr>
      </w:pPr>
    </w:p>
    <w:p w:rsidR="00F24CFC" w:rsidRDefault="00757A95">
      <w:pPr>
        <w:rPr>
          <w:b/>
        </w:rPr>
      </w:pPr>
      <w:r w:rsidRPr="00757A95">
        <w:t xml:space="preserve">We will offer focus group participants a $25 gift card to </w:t>
      </w:r>
      <w:r w:rsidRPr="0051782C">
        <w:rPr>
          <w:bCs/>
          <w:color w:val="000000"/>
        </w:rPr>
        <w:t>compensate for their travel expenses</w:t>
      </w:r>
      <w:r>
        <w:rPr>
          <w:bCs/>
          <w:color w:val="000000"/>
        </w:rPr>
        <w:t xml:space="preserve"> and as an incentive for them to participate in their free time, outside of their normal working hours.</w:t>
      </w:r>
    </w:p>
    <w:p w:rsidR="00C86E91" w:rsidRDefault="00C86E91">
      <w:pPr>
        <w:rPr>
          <w:b/>
        </w:rPr>
      </w:pPr>
    </w:p>
    <w:p w:rsidR="005E714A" w:rsidRDefault="005E714A" w:rsidP="00290AE6">
      <w:pPr>
        <w:spacing w:after="120"/>
        <w:rPr>
          <w:i/>
        </w:rPr>
      </w:pPr>
      <w:r>
        <w:rPr>
          <w:b/>
        </w:rPr>
        <w:t>BURDEN HOUR</w:t>
      </w:r>
      <w:r w:rsidR="00441434">
        <w:rPr>
          <w:b/>
        </w:rPr>
        <w:t>S</w:t>
      </w:r>
      <w:r>
        <w:t xml:space="preserve"> </w:t>
      </w:r>
    </w:p>
    <w:tbl>
      <w:tblPr>
        <w:tblStyle w:val="TableGrid"/>
        <w:tblW w:w="5000" w:type="pct"/>
        <w:tblLayout w:type="fixed"/>
        <w:tblCellMar>
          <w:left w:w="72" w:type="dxa"/>
          <w:right w:w="72" w:type="dxa"/>
        </w:tblCellMar>
        <w:tblLook w:val="01E0" w:firstRow="1" w:lastRow="1" w:firstColumn="1" w:lastColumn="1" w:noHBand="0" w:noVBand="0"/>
      </w:tblPr>
      <w:tblGrid>
        <w:gridCol w:w="5292"/>
        <w:gridCol w:w="1530"/>
        <w:gridCol w:w="1530"/>
        <w:gridCol w:w="1152"/>
      </w:tblGrid>
      <w:tr w:rsidR="00265EC9" w:rsidTr="00265EC9">
        <w:trPr>
          <w:trHeight w:val="274"/>
          <w:tblHeader/>
        </w:trPr>
        <w:tc>
          <w:tcPr>
            <w:tcW w:w="2784" w:type="pct"/>
            <w:vAlign w:val="bottom"/>
          </w:tcPr>
          <w:p w:rsidR="006832D9" w:rsidRPr="00F6240A" w:rsidRDefault="00E40B50" w:rsidP="00290AE6">
            <w:pPr>
              <w:rPr>
                <w:b/>
              </w:rPr>
            </w:pPr>
            <w:r>
              <w:rPr>
                <w:b/>
              </w:rPr>
              <w:t>Category of Respondent</w:t>
            </w:r>
          </w:p>
        </w:tc>
        <w:tc>
          <w:tcPr>
            <w:tcW w:w="805" w:type="pct"/>
            <w:vAlign w:val="bottom"/>
          </w:tcPr>
          <w:p w:rsidR="006832D9" w:rsidRPr="00F6240A" w:rsidRDefault="006832D9" w:rsidP="00290AE6">
            <w:pPr>
              <w:jc w:val="center"/>
              <w:rPr>
                <w:b/>
              </w:rPr>
            </w:pPr>
            <w:r w:rsidRPr="00F6240A">
              <w:rPr>
                <w:b/>
              </w:rPr>
              <w:t>N</w:t>
            </w:r>
            <w:r w:rsidR="009F5923">
              <w:rPr>
                <w:b/>
              </w:rPr>
              <w:t>o.</w:t>
            </w:r>
            <w:r w:rsidRPr="00F6240A">
              <w:rPr>
                <w:b/>
              </w:rPr>
              <w:t xml:space="preserve"> of Respondents</w:t>
            </w:r>
          </w:p>
        </w:tc>
        <w:tc>
          <w:tcPr>
            <w:tcW w:w="805" w:type="pct"/>
            <w:vAlign w:val="bottom"/>
          </w:tcPr>
          <w:p w:rsidR="006832D9" w:rsidRPr="00F6240A" w:rsidRDefault="006832D9" w:rsidP="00290AE6">
            <w:pPr>
              <w:jc w:val="center"/>
              <w:rPr>
                <w:b/>
              </w:rPr>
            </w:pPr>
            <w:r w:rsidRPr="00F6240A">
              <w:rPr>
                <w:b/>
              </w:rPr>
              <w:t>Participation Time</w:t>
            </w:r>
          </w:p>
        </w:tc>
        <w:tc>
          <w:tcPr>
            <w:tcW w:w="606" w:type="pct"/>
            <w:vAlign w:val="bottom"/>
          </w:tcPr>
          <w:p w:rsidR="006832D9" w:rsidRPr="00F6240A" w:rsidRDefault="006832D9" w:rsidP="00290AE6">
            <w:pPr>
              <w:jc w:val="center"/>
              <w:rPr>
                <w:b/>
              </w:rPr>
            </w:pPr>
            <w:r w:rsidRPr="00F6240A">
              <w:rPr>
                <w:b/>
              </w:rPr>
              <w:t>Burden</w:t>
            </w:r>
          </w:p>
        </w:tc>
      </w:tr>
      <w:tr w:rsidR="00265EC9" w:rsidTr="00265EC9">
        <w:trPr>
          <w:trHeight w:val="274"/>
        </w:trPr>
        <w:tc>
          <w:tcPr>
            <w:tcW w:w="2784" w:type="pct"/>
            <w:vAlign w:val="bottom"/>
          </w:tcPr>
          <w:p w:rsidR="00FF235C" w:rsidRDefault="00FF235C" w:rsidP="00F26B86">
            <w:r>
              <w:t>Private sector</w:t>
            </w:r>
            <w:r w:rsidR="000B36AC">
              <w:t xml:space="preserve"> personnel</w:t>
            </w:r>
            <w:r>
              <w:t xml:space="preserve"> (</w:t>
            </w:r>
            <w:r w:rsidR="00F26B86">
              <w:t>Preliminary contact</w:t>
            </w:r>
            <w:r>
              <w:t xml:space="preserve"> with </w:t>
            </w:r>
            <w:r>
              <w:lastRenderedPageBreak/>
              <w:t>on-site liaison)</w:t>
            </w:r>
            <w:r w:rsidR="00F26B86">
              <w:rPr>
                <w:rStyle w:val="FootnoteReference"/>
              </w:rPr>
              <w:footnoteReference w:id="1"/>
            </w:r>
          </w:p>
        </w:tc>
        <w:tc>
          <w:tcPr>
            <w:tcW w:w="805" w:type="pct"/>
            <w:vAlign w:val="bottom"/>
          </w:tcPr>
          <w:p w:rsidR="00FF235C" w:rsidRDefault="00C0566C" w:rsidP="00654DFF">
            <w:pPr>
              <w:ind w:right="494"/>
              <w:jc w:val="right"/>
            </w:pPr>
            <w:r>
              <w:lastRenderedPageBreak/>
              <w:t>4</w:t>
            </w:r>
          </w:p>
        </w:tc>
        <w:tc>
          <w:tcPr>
            <w:tcW w:w="805" w:type="pct"/>
            <w:vAlign w:val="bottom"/>
          </w:tcPr>
          <w:p w:rsidR="00FF235C" w:rsidRDefault="00FF235C" w:rsidP="00654DFF">
            <w:pPr>
              <w:jc w:val="center"/>
            </w:pPr>
            <w:r>
              <w:t>120 minutes</w:t>
            </w:r>
          </w:p>
        </w:tc>
        <w:tc>
          <w:tcPr>
            <w:tcW w:w="606" w:type="pct"/>
            <w:vAlign w:val="bottom"/>
          </w:tcPr>
          <w:p w:rsidR="00FF235C" w:rsidRDefault="00C0566C" w:rsidP="00654DFF">
            <w:pPr>
              <w:ind w:right="265"/>
              <w:jc w:val="right"/>
            </w:pPr>
            <w:r>
              <w:t>8</w:t>
            </w:r>
          </w:p>
        </w:tc>
      </w:tr>
      <w:tr w:rsidR="00265EC9" w:rsidTr="00265EC9">
        <w:trPr>
          <w:trHeight w:val="274"/>
        </w:trPr>
        <w:tc>
          <w:tcPr>
            <w:tcW w:w="2784" w:type="pct"/>
            <w:vAlign w:val="bottom"/>
          </w:tcPr>
          <w:p w:rsidR="00AD5040" w:rsidRDefault="00901910" w:rsidP="00843796">
            <w:r>
              <w:lastRenderedPageBreak/>
              <w:t>Private sector</w:t>
            </w:r>
            <w:r w:rsidR="00B77ABA">
              <w:t xml:space="preserve"> personnel</w:t>
            </w:r>
            <w:r>
              <w:t xml:space="preserve"> (</w:t>
            </w:r>
            <w:r w:rsidR="006D08BA">
              <w:t>Key informant managers</w:t>
            </w:r>
            <w:r>
              <w:t>)</w:t>
            </w:r>
            <w:r w:rsidR="00F26B86">
              <w:rPr>
                <w:rStyle w:val="FootnoteReference"/>
              </w:rPr>
              <w:footnoteReference w:id="2"/>
            </w:r>
          </w:p>
        </w:tc>
        <w:tc>
          <w:tcPr>
            <w:tcW w:w="805" w:type="pct"/>
            <w:vAlign w:val="bottom"/>
          </w:tcPr>
          <w:p w:rsidR="00AD5040" w:rsidRDefault="00652179" w:rsidP="00654DFF">
            <w:pPr>
              <w:ind w:right="494"/>
              <w:jc w:val="right"/>
            </w:pPr>
            <w:r>
              <w:t>20</w:t>
            </w:r>
          </w:p>
        </w:tc>
        <w:tc>
          <w:tcPr>
            <w:tcW w:w="805" w:type="pct"/>
            <w:vAlign w:val="bottom"/>
          </w:tcPr>
          <w:p w:rsidR="00AD5040" w:rsidRDefault="006D08BA" w:rsidP="00654DFF">
            <w:pPr>
              <w:jc w:val="center"/>
            </w:pPr>
            <w:r>
              <w:t>90 minutes</w:t>
            </w:r>
          </w:p>
        </w:tc>
        <w:tc>
          <w:tcPr>
            <w:tcW w:w="606" w:type="pct"/>
            <w:vAlign w:val="bottom"/>
          </w:tcPr>
          <w:p w:rsidR="00AD5040" w:rsidRDefault="00652179" w:rsidP="00654DFF">
            <w:pPr>
              <w:ind w:right="265"/>
              <w:jc w:val="right"/>
            </w:pPr>
            <w:r>
              <w:t>30</w:t>
            </w:r>
          </w:p>
        </w:tc>
      </w:tr>
      <w:tr w:rsidR="00265EC9" w:rsidTr="00265EC9">
        <w:trPr>
          <w:trHeight w:val="274"/>
        </w:trPr>
        <w:tc>
          <w:tcPr>
            <w:tcW w:w="2784" w:type="pct"/>
            <w:vAlign w:val="bottom"/>
          </w:tcPr>
          <w:p w:rsidR="00AD5040" w:rsidRDefault="00901910" w:rsidP="00F26B86">
            <w:r>
              <w:t xml:space="preserve">Private sector </w:t>
            </w:r>
            <w:r w:rsidR="00F26B86">
              <w:t>personnel</w:t>
            </w:r>
            <w:r w:rsidR="00A5674A">
              <w:t xml:space="preserve"> </w:t>
            </w:r>
            <w:r>
              <w:t>(</w:t>
            </w:r>
            <w:r w:rsidR="006D08BA">
              <w:t>Key informant human resources</w:t>
            </w:r>
            <w:r w:rsidR="00F26B86">
              <w:t>)</w:t>
            </w:r>
            <w:r w:rsidR="00F26B86">
              <w:rPr>
                <w:rStyle w:val="FootnoteReference"/>
              </w:rPr>
              <w:footnoteReference w:id="3"/>
            </w:r>
            <w:r w:rsidR="006D08BA">
              <w:t xml:space="preserve"> </w:t>
            </w:r>
          </w:p>
        </w:tc>
        <w:tc>
          <w:tcPr>
            <w:tcW w:w="805" w:type="pct"/>
            <w:vAlign w:val="bottom"/>
          </w:tcPr>
          <w:p w:rsidR="00AD5040" w:rsidRDefault="00652179" w:rsidP="00654DFF">
            <w:pPr>
              <w:ind w:right="494"/>
              <w:jc w:val="right"/>
            </w:pPr>
            <w:r>
              <w:t>12</w:t>
            </w:r>
          </w:p>
        </w:tc>
        <w:tc>
          <w:tcPr>
            <w:tcW w:w="805" w:type="pct"/>
            <w:vAlign w:val="bottom"/>
          </w:tcPr>
          <w:p w:rsidR="00AD5040" w:rsidRDefault="006D08BA" w:rsidP="00654DFF">
            <w:pPr>
              <w:jc w:val="center"/>
            </w:pPr>
            <w:r>
              <w:t>90 minutes</w:t>
            </w:r>
          </w:p>
        </w:tc>
        <w:tc>
          <w:tcPr>
            <w:tcW w:w="606" w:type="pct"/>
            <w:vAlign w:val="bottom"/>
          </w:tcPr>
          <w:p w:rsidR="00AD5040" w:rsidRDefault="00652179" w:rsidP="00654DFF">
            <w:pPr>
              <w:ind w:right="265"/>
              <w:jc w:val="right"/>
            </w:pPr>
            <w:r>
              <w:t>18</w:t>
            </w:r>
          </w:p>
        </w:tc>
      </w:tr>
      <w:tr w:rsidR="00265EC9" w:rsidTr="00265EC9">
        <w:trPr>
          <w:trHeight w:val="289"/>
        </w:trPr>
        <w:tc>
          <w:tcPr>
            <w:tcW w:w="2784" w:type="pct"/>
            <w:vAlign w:val="bottom"/>
          </w:tcPr>
          <w:p w:rsidR="00AD5040" w:rsidRPr="00F6240A" w:rsidRDefault="00AD5040" w:rsidP="00843796">
            <w:pPr>
              <w:rPr>
                <w:b/>
              </w:rPr>
            </w:pPr>
            <w:r>
              <w:rPr>
                <w:b/>
              </w:rPr>
              <w:t>Totals</w:t>
            </w:r>
          </w:p>
        </w:tc>
        <w:tc>
          <w:tcPr>
            <w:tcW w:w="805" w:type="pct"/>
            <w:vAlign w:val="bottom"/>
          </w:tcPr>
          <w:p w:rsidR="00AD5040" w:rsidRPr="00F6240A" w:rsidRDefault="00652179" w:rsidP="00654DFF">
            <w:pPr>
              <w:ind w:right="494"/>
              <w:jc w:val="right"/>
              <w:rPr>
                <w:b/>
              </w:rPr>
            </w:pPr>
            <w:r>
              <w:rPr>
                <w:b/>
              </w:rPr>
              <w:t>36</w:t>
            </w:r>
          </w:p>
        </w:tc>
        <w:tc>
          <w:tcPr>
            <w:tcW w:w="805" w:type="pct"/>
            <w:vAlign w:val="bottom"/>
          </w:tcPr>
          <w:p w:rsidR="00AD5040" w:rsidRDefault="00AD5040" w:rsidP="00654DFF">
            <w:pPr>
              <w:ind w:right="432"/>
              <w:jc w:val="right"/>
            </w:pPr>
          </w:p>
        </w:tc>
        <w:tc>
          <w:tcPr>
            <w:tcW w:w="606" w:type="pct"/>
            <w:vAlign w:val="bottom"/>
          </w:tcPr>
          <w:p w:rsidR="00AD5040" w:rsidRPr="00F6240A" w:rsidRDefault="00652179" w:rsidP="00654DFF">
            <w:pPr>
              <w:ind w:right="265"/>
              <w:jc w:val="right"/>
              <w:rPr>
                <w:b/>
              </w:rPr>
            </w:pPr>
            <w:r>
              <w:rPr>
                <w:b/>
              </w:rPr>
              <w:t>56</w:t>
            </w:r>
          </w:p>
        </w:tc>
      </w:tr>
    </w:tbl>
    <w:p w:rsidR="00AF7F1E" w:rsidRDefault="00AF7F1E" w:rsidP="00F3170F"/>
    <w:p w:rsidR="005E714A" w:rsidRDefault="001C39F7" w:rsidP="004C61C4">
      <w:pPr>
        <w:spacing w:after="60"/>
      </w:pPr>
      <w:r w:rsidRPr="00732C9F">
        <w:rPr>
          <w:b/>
        </w:rPr>
        <w:t xml:space="preserve">FEDERAL </w:t>
      </w:r>
      <w:r w:rsidR="009F5923" w:rsidRPr="00732C9F">
        <w:rPr>
          <w:b/>
        </w:rPr>
        <w:t>COST</w:t>
      </w:r>
      <w:r w:rsidR="00F06866" w:rsidRPr="00732C9F">
        <w:rPr>
          <w:b/>
        </w:rPr>
        <w:t>:</w:t>
      </w:r>
      <w:r w:rsidR="00895229" w:rsidRPr="00732C9F">
        <w:rPr>
          <w:b/>
        </w:rPr>
        <w:t xml:space="preserve"> </w:t>
      </w:r>
      <w:r w:rsidR="00C86E91" w:rsidRPr="00732C9F">
        <w:t>The estimated annual cost</w:t>
      </w:r>
      <w:r w:rsidR="00C35060">
        <w:t xml:space="preserve"> to the </w:t>
      </w:r>
      <w:r w:rsidR="006F1525">
        <w:t>f</w:t>
      </w:r>
      <w:r w:rsidR="00C35060">
        <w:t>ederal government is</w:t>
      </w:r>
      <w:r w:rsidR="006C1CAE">
        <w:t xml:space="preserve"> </w:t>
      </w:r>
      <w:r w:rsidR="00882FD1">
        <w:t>$471,061</w:t>
      </w:r>
      <w:r w:rsidR="006C1CAE">
        <w:t>.</w:t>
      </w:r>
    </w:p>
    <w:tbl>
      <w:tblPr>
        <w:tblStyle w:val="TableGrid"/>
        <w:tblW w:w="5000" w:type="pct"/>
        <w:tblLook w:val="04A0" w:firstRow="1" w:lastRow="0" w:firstColumn="1" w:lastColumn="0" w:noHBand="0" w:noVBand="1"/>
      </w:tblPr>
      <w:tblGrid>
        <w:gridCol w:w="6858"/>
        <w:gridCol w:w="2718"/>
      </w:tblGrid>
      <w:tr w:rsidR="00882FD1" w:rsidTr="00654DFF">
        <w:tc>
          <w:tcPr>
            <w:tcW w:w="3581" w:type="pct"/>
          </w:tcPr>
          <w:p w:rsidR="00882FD1" w:rsidRDefault="00882FD1">
            <w:pPr>
              <w:rPr>
                <w:b/>
              </w:rPr>
            </w:pPr>
            <w:r>
              <w:rPr>
                <w:b/>
              </w:rPr>
              <w:t>Activity</w:t>
            </w:r>
          </w:p>
        </w:tc>
        <w:tc>
          <w:tcPr>
            <w:tcW w:w="1419" w:type="pct"/>
            <w:vAlign w:val="bottom"/>
          </w:tcPr>
          <w:p w:rsidR="00882FD1" w:rsidRDefault="00882FD1" w:rsidP="00654DFF">
            <w:pPr>
              <w:jc w:val="center"/>
              <w:rPr>
                <w:b/>
              </w:rPr>
            </w:pPr>
            <w:r>
              <w:rPr>
                <w:b/>
              </w:rPr>
              <w:t>Cost</w:t>
            </w:r>
          </w:p>
        </w:tc>
      </w:tr>
      <w:tr w:rsidR="00882FD1" w:rsidTr="00654DFF">
        <w:tc>
          <w:tcPr>
            <w:tcW w:w="3581" w:type="pct"/>
          </w:tcPr>
          <w:p w:rsidR="00882FD1" w:rsidRPr="00882FD1" w:rsidRDefault="00882FD1" w:rsidP="00882FD1">
            <w:r w:rsidRPr="00882FD1">
              <w:t>Task 3 (Qualitative Design Report and OMB Request for Approval)</w:t>
            </w:r>
          </w:p>
        </w:tc>
        <w:tc>
          <w:tcPr>
            <w:tcW w:w="1419" w:type="pct"/>
          </w:tcPr>
          <w:p w:rsidR="00882FD1" w:rsidRPr="00882FD1" w:rsidRDefault="00882FD1" w:rsidP="00654DFF">
            <w:pPr>
              <w:ind w:right="792"/>
              <w:jc w:val="right"/>
            </w:pPr>
            <w:r w:rsidRPr="00882FD1">
              <w:t>$142,113</w:t>
            </w:r>
          </w:p>
        </w:tc>
      </w:tr>
      <w:tr w:rsidR="00882FD1" w:rsidTr="00654DFF">
        <w:tc>
          <w:tcPr>
            <w:tcW w:w="3581" w:type="pct"/>
          </w:tcPr>
          <w:p w:rsidR="00882FD1" w:rsidRPr="00882FD1" w:rsidRDefault="00882FD1" w:rsidP="00882FD1">
            <w:r w:rsidRPr="00882FD1">
              <w:t>Task 4 (H</w:t>
            </w:r>
            <w:r w:rsidRPr="006F1525">
              <w:t>-</w:t>
            </w:r>
            <w:r w:rsidRPr="00882FD1">
              <w:t>1B Focus Group Data Collection)</w:t>
            </w:r>
          </w:p>
        </w:tc>
        <w:tc>
          <w:tcPr>
            <w:tcW w:w="1419" w:type="pct"/>
          </w:tcPr>
          <w:p w:rsidR="00882FD1" w:rsidRDefault="00882FD1" w:rsidP="00654DFF">
            <w:pPr>
              <w:ind w:right="792"/>
              <w:jc w:val="right"/>
              <w:rPr>
                <w:b/>
              </w:rPr>
            </w:pPr>
            <w:r>
              <w:t>$100,794</w:t>
            </w:r>
          </w:p>
        </w:tc>
      </w:tr>
      <w:tr w:rsidR="00882FD1" w:rsidTr="00654DFF">
        <w:tc>
          <w:tcPr>
            <w:tcW w:w="3581" w:type="pct"/>
          </w:tcPr>
          <w:p w:rsidR="00882FD1" w:rsidRPr="00882FD1" w:rsidRDefault="00882FD1" w:rsidP="00882FD1">
            <w:r w:rsidRPr="00882FD1">
              <w:t>Task 5 (Industry Representatives Focus Group Data Collection)</w:t>
            </w:r>
          </w:p>
        </w:tc>
        <w:tc>
          <w:tcPr>
            <w:tcW w:w="1419" w:type="pct"/>
          </w:tcPr>
          <w:p w:rsidR="00882FD1" w:rsidRDefault="00882FD1" w:rsidP="00654DFF">
            <w:pPr>
              <w:ind w:right="792"/>
              <w:jc w:val="right"/>
              <w:rPr>
                <w:b/>
              </w:rPr>
            </w:pPr>
            <w:r>
              <w:t>$47,052</w:t>
            </w:r>
          </w:p>
        </w:tc>
      </w:tr>
      <w:tr w:rsidR="00882FD1" w:rsidTr="00654DFF">
        <w:tc>
          <w:tcPr>
            <w:tcW w:w="3581" w:type="pct"/>
          </w:tcPr>
          <w:p w:rsidR="00882FD1" w:rsidRPr="00882FD1" w:rsidRDefault="00882FD1" w:rsidP="00882FD1">
            <w:r w:rsidRPr="00882FD1">
              <w:t>Task 6 (Case Study Data Collection)</w:t>
            </w:r>
          </w:p>
        </w:tc>
        <w:tc>
          <w:tcPr>
            <w:tcW w:w="1419" w:type="pct"/>
          </w:tcPr>
          <w:p w:rsidR="00882FD1" w:rsidRDefault="00882FD1" w:rsidP="00654DFF">
            <w:pPr>
              <w:ind w:right="792"/>
              <w:jc w:val="right"/>
              <w:rPr>
                <w:b/>
              </w:rPr>
            </w:pPr>
            <w:r>
              <w:t>$86,102</w:t>
            </w:r>
          </w:p>
        </w:tc>
      </w:tr>
      <w:tr w:rsidR="00882FD1" w:rsidTr="00654DFF">
        <w:tc>
          <w:tcPr>
            <w:tcW w:w="3581" w:type="pct"/>
          </w:tcPr>
          <w:p w:rsidR="00882FD1" w:rsidRPr="00882FD1" w:rsidRDefault="00882FD1" w:rsidP="00882FD1">
            <w:r>
              <w:t>Travel for all data collection</w:t>
            </w:r>
          </w:p>
        </w:tc>
        <w:tc>
          <w:tcPr>
            <w:tcW w:w="1419" w:type="pct"/>
          </w:tcPr>
          <w:p w:rsidR="00882FD1" w:rsidRPr="00882FD1" w:rsidRDefault="00882FD1" w:rsidP="00654DFF">
            <w:pPr>
              <w:ind w:right="792"/>
              <w:jc w:val="right"/>
            </w:pPr>
            <w:r w:rsidRPr="00882FD1">
              <w:t>$95,000</w:t>
            </w:r>
          </w:p>
        </w:tc>
      </w:tr>
      <w:tr w:rsidR="00882FD1" w:rsidTr="00654DFF">
        <w:tc>
          <w:tcPr>
            <w:tcW w:w="3581" w:type="pct"/>
          </w:tcPr>
          <w:p w:rsidR="00882FD1" w:rsidRPr="00882FD1" w:rsidRDefault="00882FD1" w:rsidP="00882FD1">
            <w:pPr>
              <w:rPr>
                <w:b/>
              </w:rPr>
            </w:pPr>
            <w:r w:rsidRPr="00882FD1">
              <w:rPr>
                <w:b/>
              </w:rPr>
              <w:t>Total</w:t>
            </w:r>
          </w:p>
        </w:tc>
        <w:tc>
          <w:tcPr>
            <w:tcW w:w="1419" w:type="pct"/>
          </w:tcPr>
          <w:p w:rsidR="00882FD1" w:rsidRPr="00882FD1" w:rsidRDefault="00882FD1" w:rsidP="00654DFF">
            <w:pPr>
              <w:ind w:right="792"/>
              <w:jc w:val="right"/>
              <w:rPr>
                <w:b/>
              </w:rPr>
            </w:pPr>
            <w:r w:rsidRPr="00882FD1">
              <w:rPr>
                <w:b/>
              </w:rPr>
              <w:t>$471,061</w:t>
            </w:r>
          </w:p>
        </w:tc>
      </w:tr>
    </w:tbl>
    <w:p w:rsidR="00882FD1" w:rsidRDefault="00882FD1">
      <w:pPr>
        <w:rPr>
          <w:b/>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DB43F2">
        <w:t>,</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r>
      <w:r w:rsidR="00B341A1">
        <w:t xml:space="preserve"> </w:t>
      </w:r>
      <w:r>
        <w:t>[</w:t>
      </w:r>
      <w:r w:rsidR="002844E2">
        <w:t>x</w:t>
      </w:r>
      <w:r>
        <w:t>] No</w:t>
      </w:r>
    </w:p>
    <w:p w:rsidR="00636621" w:rsidRDefault="00636621" w:rsidP="00636621">
      <w:pPr>
        <w:pStyle w:val="ListParagraph"/>
      </w:pPr>
    </w:p>
    <w:p w:rsidR="00A403BB" w:rsidRDefault="00636621" w:rsidP="002844E2">
      <w:r w:rsidRPr="00636621">
        <w:t xml:space="preserve">If the answer is yes, </w:t>
      </w:r>
      <w:r>
        <w:t>please provide a description of both below</w:t>
      </w:r>
      <w:r w:rsidR="00A403BB">
        <w:t xml:space="preserve"> (or attach the sampling plan)</w:t>
      </w:r>
      <w:r w:rsidR="00A56DA3">
        <w:t>.</w:t>
      </w:r>
      <w:r w:rsidRPr="00636621">
        <w:t xml:space="preserve"> </w:t>
      </w:r>
      <w:r>
        <w:t>If the answer is no, please provide a description of how you plan to identify your potential group of respondents</w:t>
      </w:r>
      <w:r w:rsidR="001B0AAA">
        <w:t xml:space="preserve"> and how you will select them</w:t>
      </w:r>
      <w:r w:rsidR="00A56DA3">
        <w:t>.</w:t>
      </w:r>
    </w:p>
    <w:p w:rsidR="002844E2" w:rsidRDefault="002844E2" w:rsidP="002844E2"/>
    <w:p w:rsidR="00A403BB" w:rsidRDefault="00FF235C" w:rsidP="00A403BB">
      <w:r>
        <w:t>M</w:t>
      </w:r>
      <w:r w:rsidR="00ED195E">
        <w:t>anagers</w:t>
      </w:r>
      <w:r>
        <w:t xml:space="preserve"> and </w:t>
      </w:r>
      <w:r w:rsidR="00ED195E">
        <w:t>human resources personnel</w:t>
      </w:r>
      <w:r>
        <w:t xml:space="preserve"> that we will interview during our site visits will be </w:t>
      </w:r>
      <w:r w:rsidR="00ED195E">
        <w:t>recruit</w:t>
      </w:r>
      <w:r>
        <w:t>ed</w:t>
      </w:r>
      <w:r w:rsidR="00ED195E">
        <w:t xml:space="preserve"> at the firm level. By leveraging the subcontractor’s existing contacts and building on the contacts we make in the field as we recruit individuals for </w:t>
      </w:r>
      <w:r>
        <w:t>our other qualitative information collection (focus group interviews)</w:t>
      </w:r>
      <w:r w:rsidR="00ED195E">
        <w:t>, we will build a list of potential companies to be included in the case studies. Then</w:t>
      </w:r>
      <w:r w:rsidR="00286B0A">
        <w:t>,</w:t>
      </w:r>
      <w:r w:rsidR="00ED195E">
        <w:t xml:space="preserve"> the team will identify an on-site liaison to serve as the main point of contact within the organization who will help the study team gain access to the company and its staff. The study team will call or email the on-site liaison, who is likely </w:t>
      </w:r>
      <w:r w:rsidR="00AF7F1E">
        <w:t xml:space="preserve">to </w:t>
      </w:r>
      <w:r w:rsidR="00ED195E">
        <w:t xml:space="preserve">be a human resources manager, to introduce the study, </w:t>
      </w:r>
      <w:r w:rsidR="00286B0A">
        <w:t xml:space="preserve">to </w:t>
      </w:r>
      <w:r w:rsidR="00ED195E">
        <w:t xml:space="preserve">explain how the employer was selected for inclusion, and </w:t>
      </w:r>
      <w:r w:rsidR="00286B0A">
        <w:t xml:space="preserve">to </w:t>
      </w:r>
      <w:r w:rsidR="00ED195E">
        <w:t>screen the eligibility of the company on a set of criteria.</w:t>
      </w:r>
    </w:p>
    <w:p w:rsidR="004D6E14" w:rsidRDefault="004D6E14" w:rsidP="00A403BB">
      <w:pPr>
        <w:rPr>
          <w:b/>
        </w:rPr>
      </w:pPr>
    </w:p>
    <w:p w:rsidR="00A403BB" w:rsidRDefault="00A403BB" w:rsidP="00A403BB">
      <w:pPr>
        <w:rPr>
          <w:b/>
        </w:rPr>
      </w:pPr>
      <w:r>
        <w:rPr>
          <w:b/>
        </w:rPr>
        <w:t xml:space="preserve">Administration of the </w:t>
      </w:r>
      <w:r w:rsidR="00977AE7">
        <w:rPr>
          <w:b/>
        </w:rPr>
        <w:t>instrument</w:t>
      </w:r>
    </w:p>
    <w:p w:rsidR="00A403BB" w:rsidRDefault="001B0AAA" w:rsidP="00A403BB">
      <w:pPr>
        <w:pStyle w:val="ListParagraph"/>
        <w:numPr>
          <w:ilvl w:val="0"/>
          <w:numId w:val="17"/>
        </w:numPr>
      </w:pPr>
      <w:r>
        <w:t>H</w:t>
      </w:r>
      <w:r w:rsidR="00A403BB">
        <w:t>ow will you collect the information? (Check all that apply</w:t>
      </w:r>
      <w:r w:rsidR="009F34F2">
        <w:t>.</w:t>
      </w:r>
      <w:r w:rsidR="00A403BB">
        <w:t>)</w:t>
      </w:r>
    </w:p>
    <w:p w:rsidR="001B0AAA" w:rsidRDefault="00FF235C" w:rsidP="001B0AAA">
      <w:pPr>
        <w:ind w:left="720"/>
      </w:pPr>
      <w:r>
        <w:t xml:space="preserve">[ </w:t>
      </w:r>
      <w:r w:rsidR="00A403BB">
        <w:t>] Web-based</w:t>
      </w:r>
      <w:r w:rsidR="001B0AAA">
        <w:t xml:space="preserve"> or other forms of Social Media </w:t>
      </w:r>
    </w:p>
    <w:p w:rsidR="001B0AAA" w:rsidRDefault="00B104A6" w:rsidP="001B0AAA">
      <w:pPr>
        <w:ind w:left="720"/>
      </w:pPr>
      <w:r>
        <w:t>[x</w:t>
      </w:r>
      <w:r w:rsidR="00A403BB">
        <w:t>] Telephone</w:t>
      </w:r>
      <w:r w:rsidR="00A403BB">
        <w:tab/>
      </w:r>
    </w:p>
    <w:p w:rsidR="001B0AAA" w:rsidRDefault="00A403BB" w:rsidP="001B0AAA">
      <w:pPr>
        <w:ind w:left="720"/>
      </w:pPr>
      <w:r>
        <w:t>[</w:t>
      </w:r>
      <w:r w:rsidR="00ED195E">
        <w:t>x</w:t>
      </w:r>
      <w:r>
        <w:t>] In-person</w:t>
      </w:r>
      <w:r>
        <w:tab/>
      </w:r>
    </w:p>
    <w:p w:rsidR="001B0AAA" w:rsidRDefault="00A403BB" w:rsidP="001B0AAA">
      <w:pPr>
        <w:ind w:left="720"/>
      </w:pPr>
      <w:r>
        <w:lastRenderedPageBreak/>
        <w:t>[</w:t>
      </w:r>
      <w:r w:rsidR="001B0AAA">
        <w:t xml:space="preserve"> </w:t>
      </w:r>
      <w:r>
        <w:t>] Mail</w:t>
      </w:r>
      <w:r w:rsidR="001B0AAA">
        <w:t xml:space="preserve"> </w:t>
      </w:r>
    </w:p>
    <w:p w:rsidR="001B0AAA" w:rsidRDefault="00B104A6" w:rsidP="001B0AAA">
      <w:pPr>
        <w:ind w:left="720"/>
      </w:pPr>
      <w:r>
        <w:t xml:space="preserve">[ </w:t>
      </w:r>
      <w:r w:rsidR="00A403BB">
        <w:t>] Other</w:t>
      </w:r>
      <w:r w:rsidR="009F34F2">
        <w:t>:</w:t>
      </w:r>
      <w:r w:rsidR="00A403BB">
        <w:t xml:space="preserve"> Explain</w:t>
      </w:r>
    </w:p>
    <w:p w:rsidR="00F24CFC" w:rsidRDefault="00F24CFC" w:rsidP="00F24CFC">
      <w:pPr>
        <w:pStyle w:val="ListParagraph"/>
        <w:numPr>
          <w:ilvl w:val="0"/>
          <w:numId w:val="17"/>
        </w:numPr>
      </w:pPr>
      <w:r>
        <w:t>Will interviewers or facilit</w:t>
      </w:r>
      <w:r w:rsidR="00ED195E">
        <w:t>ators be used? [x</w:t>
      </w:r>
      <w:r>
        <w:t>] Yes [ ]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CC7054" w:rsidRDefault="00CC7054">
      <w:pPr>
        <w:rPr>
          <w:b/>
        </w:rPr>
      </w:pPr>
    </w:p>
    <w:p w:rsidR="00CC7054" w:rsidRDefault="00CC7054" w:rsidP="00CC7054">
      <w:r w:rsidRPr="0073167D">
        <w:t>The following instruments are attached:</w:t>
      </w:r>
    </w:p>
    <w:p w:rsidR="00CC7054" w:rsidRPr="0073167D" w:rsidRDefault="00CC7054" w:rsidP="00CC7054"/>
    <w:tbl>
      <w:tblPr>
        <w:tblStyle w:val="TableGrid"/>
        <w:tblW w:w="0" w:type="auto"/>
        <w:tblLook w:val="04A0" w:firstRow="1" w:lastRow="0" w:firstColumn="1" w:lastColumn="0" w:noHBand="0" w:noVBand="1"/>
      </w:tblPr>
      <w:tblGrid>
        <w:gridCol w:w="1728"/>
        <w:gridCol w:w="7848"/>
      </w:tblGrid>
      <w:tr w:rsidR="008D7864" w:rsidTr="008D7864">
        <w:tc>
          <w:tcPr>
            <w:tcW w:w="1728" w:type="dxa"/>
          </w:tcPr>
          <w:p w:rsidR="008D7864" w:rsidRDefault="008D7864" w:rsidP="00185217">
            <w:r>
              <w:t>Attachment A</w:t>
            </w:r>
          </w:p>
        </w:tc>
        <w:tc>
          <w:tcPr>
            <w:tcW w:w="7848" w:type="dxa"/>
          </w:tcPr>
          <w:p w:rsidR="008D7864" w:rsidRDefault="008D7864" w:rsidP="00185217">
            <w:r>
              <w:t>Recruitment Cover Email f</w:t>
            </w:r>
            <w:r w:rsidRPr="0073167D">
              <w:t>or P</w:t>
            </w:r>
            <w:r>
              <w:t>ossible Case Study Companies</w:t>
            </w:r>
            <w:r>
              <w:tab/>
            </w:r>
          </w:p>
        </w:tc>
      </w:tr>
      <w:tr w:rsidR="008D7864" w:rsidTr="008D7864">
        <w:tc>
          <w:tcPr>
            <w:tcW w:w="1728" w:type="dxa"/>
          </w:tcPr>
          <w:p w:rsidR="008D7864" w:rsidRDefault="008D7864" w:rsidP="00185217">
            <w:r>
              <w:t>Attachment B</w:t>
            </w:r>
          </w:p>
        </w:tc>
        <w:tc>
          <w:tcPr>
            <w:tcW w:w="7848" w:type="dxa"/>
          </w:tcPr>
          <w:p w:rsidR="008D7864" w:rsidRDefault="008D7864" w:rsidP="00185217">
            <w:r>
              <w:t>Recruitment Email f</w:t>
            </w:r>
            <w:r w:rsidRPr="0073167D">
              <w:t>or Compa</w:t>
            </w:r>
            <w:r>
              <w:t>ny Case Study Participants</w:t>
            </w:r>
            <w:r>
              <w:tab/>
            </w:r>
          </w:p>
        </w:tc>
      </w:tr>
      <w:tr w:rsidR="008D7864" w:rsidTr="008D7864">
        <w:tc>
          <w:tcPr>
            <w:tcW w:w="1728" w:type="dxa"/>
          </w:tcPr>
          <w:p w:rsidR="008D7864" w:rsidRDefault="008D7864" w:rsidP="00185217">
            <w:r>
              <w:t>Attachment C</w:t>
            </w:r>
          </w:p>
        </w:tc>
        <w:tc>
          <w:tcPr>
            <w:tcW w:w="7848" w:type="dxa"/>
          </w:tcPr>
          <w:p w:rsidR="008D7864" w:rsidRDefault="008D7864" w:rsidP="00185217">
            <w:r>
              <w:t>Consent Form for Case Study Interview Respondents</w:t>
            </w:r>
          </w:p>
        </w:tc>
      </w:tr>
      <w:tr w:rsidR="008D7864" w:rsidTr="008D7864">
        <w:tc>
          <w:tcPr>
            <w:tcW w:w="1728" w:type="dxa"/>
          </w:tcPr>
          <w:p w:rsidR="008D7864" w:rsidRDefault="008D7864" w:rsidP="00185217">
            <w:r>
              <w:t>Attachment D</w:t>
            </w:r>
          </w:p>
        </w:tc>
        <w:tc>
          <w:tcPr>
            <w:tcW w:w="7848" w:type="dxa"/>
          </w:tcPr>
          <w:p w:rsidR="008D7864" w:rsidRDefault="008D7864" w:rsidP="00185217">
            <w:r>
              <w:t>Master Protocol for Case Study Interviews with Human Resources Representatives or Managers</w:t>
            </w:r>
          </w:p>
        </w:tc>
      </w:tr>
    </w:tbl>
    <w:p w:rsidR="005E714A" w:rsidRPr="0014412C" w:rsidRDefault="005E714A" w:rsidP="00EF0DFA">
      <w:pPr>
        <w:pStyle w:val="ListParagraph"/>
      </w:pPr>
      <w:bookmarkStart w:id="0" w:name="_GoBack"/>
      <w:bookmarkEnd w:id="0"/>
    </w:p>
    <w:sectPr w:rsidR="005E714A" w:rsidRPr="0014412C" w:rsidSect="0014412C">
      <w:headerReference w:type="default" r:id="rId9"/>
      <w:footerReference w:type="default" r:id="rId10"/>
      <w:pgSz w:w="12240" w:h="15840"/>
      <w:pgMar w:top="144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EBE" w:rsidRDefault="00D63EBE">
      <w:r>
        <w:separator/>
      </w:r>
    </w:p>
  </w:endnote>
  <w:endnote w:type="continuationSeparator" w:id="0">
    <w:p w:rsidR="00D63EBE" w:rsidRDefault="00D6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EBE" w:rsidRDefault="00FD4554">
    <w:pPr>
      <w:pStyle w:val="Footer"/>
      <w:tabs>
        <w:tab w:val="clear" w:pos="8640"/>
        <w:tab w:val="right" w:pos="9000"/>
      </w:tabs>
      <w:jc w:val="center"/>
      <w:rPr>
        <w:iCs/>
        <w:sz w:val="20"/>
        <w:szCs w:val="20"/>
      </w:rPr>
    </w:pPr>
    <w:r>
      <w:rPr>
        <w:rStyle w:val="PageNumber"/>
        <w:sz w:val="20"/>
        <w:szCs w:val="20"/>
      </w:rPr>
      <w:fldChar w:fldCharType="begin"/>
    </w:r>
    <w:r w:rsidR="00D63EBE">
      <w:rPr>
        <w:rStyle w:val="PageNumber"/>
        <w:sz w:val="20"/>
        <w:szCs w:val="20"/>
      </w:rPr>
      <w:instrText xml:space="preserve"> PAGE </w:instrText>
    </w:r>
    <w:r>
      <w:rPr>
        <w:rStyle w:val="PageNumber"/>
        <w:sz w:val="20"/>
        <w:szCs w:val="20"/>
      </w:rPr>
      <w:fldChar w:fldCharType="separate"/>
    </w:r>
    <w:r w:rsidR="00EF0DF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EBE" w:rsidRDefault="00D63EBE">
      <w:r>
        <w:separator/>
      </w:r>
    </w:p>
  </w:footnote>
  <w:footnote w:type="continuationSeparator" w:id="0">
    <w:p w:rsidR="00D63EBE" w:rsidRDefault="00D63EBE">
      <w:r>
        <w:continuationSeparator/>
      </w:r>
    </w:p>
  </w:footnote>
  <w:footnote w:id="1">
    <w:p w:rsidR="00D63EBE" w:rsidRDefault="00D63EBE">
      <w:pPr>
        <w:pStyle w:val="FootnoteText"/>
      </w:pPr>
      <w:r>
        <w:rPr>
          <w:rStyle w:val="FootnoteReference"/>
        </w:rPr>
        <w:footnoteRef/>
      </w:r>
      <w:r>
        <w:t xml:space="preserve"> Assumes one liaison per each of four sites</w:t>
      </w:r>
    </w:p>
  </w:footnote>
  <w:footnote w:id="2">
    <w:p w:rsidR="00D63EBE" w:rsidRDefault="00D63EBE" w:rsidP="004C61C4">
      <w:pPr>
        <w:pStyle w:val="FootnoteText"/>
        <w:spacing w:after="120"/>
      </w:pPr>
      <w:r>
        <w:rPr>
          <w:rStyle w:val="FootnoteReference"/>
        </w:rPr>
        <w:footnoteRef/>
      </w:r>
      <w:r>
        <w:t xml:space="preserve"> Assumes five manager interviews per each of four sites</w:t>
      </w:r>
    </w:p>
  </w:footnote>
  <w:footnote w:id="3">
    <w:p w:rsidR="00D63EBE" w:rsidRDefault="00D63EBE">
      <w:pPr>
        <w:pStyle w:val="FootnoteText"/>
      </w:pPr>
      <w:r>
        <w:rPr>
          <w:rStyle w:val="FootnoteReference"/>
        </w:rPr>
        <w:footnoteRef/>
      </w:r>
      <w:r>
        <w:t xml:space="preserve"> Assumes three human resources staff members per each of four sites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EBE" w:rsidRDefault="00D63E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1C53BA"/>
    <w:multiLevelType w:val="hybridMultilevel"/>
    <w:tmpl w:val="A23EC4CE"/>
    <w:lvl w:ilvl="0" w:tplc="8BC48600">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1726639"/>
    <w:multiLevelType w:val="hybridMultilevel"/>
    <w:tmpl w:val="EF4CBB3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9B56515"/>
    <w:multiLevelType w:val="hybridMultilevel"/>
    <w:tmpl w:val="311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7"/>
  </w:num>
  <w:num w:numId="4">
    <w:abstractNumId w:val="20"/>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6"/>
  </w:num>
  <w:num w:numId="15">
    <w:abstractNumId w:val="13"/>
  </w:num>
  <w:num w:numId="16">
    <w:abstractNumId w:val="12"/>
  </w:num>
  <w:num w:numId="17">
    <w:abstractNumId w:val="4"/>
  </w:num>
  <w:num w:numId="18">
    <w:abstractNumId w:val="5"/>
  </w:num>
  <w:num w:numId="19">
    <w:abstractNumId w:val="18"/>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2F89"/>
    <w:rsid w:val="00023A57"/>
    <w:rsid w:val="00027ACD"/>
    <w:rsid w:val="00047A64"/>
    <w:rsid w:val="000560DF"/>
    <w:rsid w:val="00067329"/>
    <w:rsid w:val="000726CD"/>
    <w:rsid w:val="00075AA5"/>
    <w:rsid w:val="0008019E"/>
    <w:rsid w:val="00091E5A"/>
    <w:rsid w:val="000B0D7F"/>
    <w:rsid w:val="000B1E50"/>
    <w:rsid w:val="000B2838"/>
    <w:rsid w:val="000B36AC"/>
    <w:rsid w:val="000D44CA"/>
    <w:rsid w:val="000E19DE"/>
    <w:rsid w:val="000E200B"/>
    <w:rsid w:val="000F2B0C"/>
    <w:rsid w:val="000F3D81"/>
    <w:rsid w:val="000F68BE"/>
    <w:rsid w:val="00131712"/>
    <w:rsid w:val="00136D25"/>
    <w:rsid w:val="0014412C"/>
    <w:rsid w:val="00146216"/>
    <w:rsid w:val="0016224B"/>
    <w:rsid w:val="001679A2"/>
    <w:rsid w:val="00185217"/>
    <w:rsid w:val="001927A4"/>
    <w:rsid w:val="00194AC6"/>
    <w:rsid w:val="001A1F65"/>
    <w:rsid w:val="001A23B0"/>
    <w:rsid w:val="001A25CC"/>
    <w:rsid w:val="001A7DB9"/>
    <w:rsid w:val="001B0AAA"/>
    <w:rsid w:val="001B2278"/>
    <w:rsid w:val="001C05C5"/>
    <w:rsid w:val="001C39F7"/>
    <w:rsid w:val="001D0CB3"/>
    <w:rsid w:val="001F075B"/>
    <w:rsid w:val="001F636C"/>
    <w:rsid w:val="00237B48"/>
    <w:rsid w:val="0024521E"/>
    <w:rsid w:val="00263C3D"/>
    <w:rsid w:val="00265EC9"/>
    <w:rsid w:val="00274D0B"/>
    <w:rsid w:val="0028123E"/>
    <w:rsid w:val="00281B6C"/>
    <w:rsid w:val="002844E2"/>
    <w:rsid w:val="00286B0A"/>
    <w:rsid w:val="00290AE6"/>
    <w:rsid w:val="002A08B9"/>
    <w:rsid w:val="002B390C"/>
    <w:rsid w:val="002B3C95"/>
    <w:rsid w:val="002D0B92"/>
    <w:rsid w:val="002E2527"/>
    <w:rsid w:val="00305319"/>
    <w:rsid w:val="0031432F"/>
    <w:rsid w:val="00332721"/>
    <w:rsid w:val="00350739"/>
    <w:rsid w:val="003719AB"/>
    <w:rsid w:val="003848F2"/>
    <w:rsid w:val="003A36AE"/>
    <w:rsid w:val="003A5843"/>
    <w:rsid w:val="003D4B64"/>
    <w:rsid w:val="003D5BBE"/>
    <w:rsid w:val="003E0E15"/>
    <w:rsid w:val="003E3C61"/>
    <w:rsid w:val="003F1C5B"/>
    <w:rsid w:val="003F59F8"/>
    <w:rsid w:val="00420337"/>
    <w:rsid w:val="00423881"/>
    <w:rsid w:val="00434E33"/>
    <w:rsid w:val="00441434"/>
    <w:rsid w:val="00447850"/>
    <w:rsid w:val="0045264C"/>
    <w:rsid w:val="004606A5"/>
    <w:rsid w:val="00470048"/>
    <w:rsid w:val="00473AA6"/>
    <w:rsid w:val="004876EC"/>
    <w:rsid w:val="00487E8E"/>
    <w:rsid w:val="004C61C4"/>
    <w:rsid w:val="004D6E14"/>
    <w:rsid w:val="005009B0"/>
    <w:rsid w:val="00562BD2"/>
    <w:rsid w:val="005A1006"/>
    <w:rsid w:val="005A431B"/>
    <w:rsid w:val="005A4922"/>
    <w:rsid w:val="005E714A"/>
    <w:rsid w:val="00601C2B"/>
    <w:rsid w:val="006140A0"/>
    <w:rsid w:val="00636621"/>
    <w:rsid w:val="00642B49"/>
    <w:rsid w:val="00652179"/>
    <w:rsid w:val="00654DFF"/>
    <w:rsid w:val="0068271A"/>
    <w:rsid w:val="006832D9"/>
    <w:rsid w:val="0069403B"/>
    <w:rsid w:val="006C1CAE"/>
    <w:rsid w:val="006D08BA"/>
    <w:rsid w:val="006F1525"/>
    <w:rsid w:val="006F3DDE"/>
    <w:rsid w:val="0070348F"/>
    <w:rsid w:val="00704678"/>
    <w:rsid w:val="007270C2"/>
    <w:rsid w:val="00732C9F"/>
    <w:rsid w:val="007425E7"/>
    <w:rsid w:val="00742946"/>
    <w:rsid w:val="00757A95"/>
    <w:rsid w:val="00761248"/>
    <w:rsid w:val="00802607"/>
    <w:rsid w:val="008101A5"/>
    <w:rsid w:val="00822664"/>
    <w:rsid w:val="00843796"/>
    <w:rsid w:val="00875AD8"/>
    <w:rsid w:val="00882FD1"/>
    <w:rsid w:val="008933B1"/>
    <w:rsid w:val="00895229"/>
    <w:rsid w:val="008A085F"/>
    <w:rsid w:val="008D7864"/>
    <w:rsid w:val="008F0203"/>
    <w:rsid w:val="008F50D4"/>
    <w:rsid w:val="00901910"/>
    <w:rsid w:val="009239AA"/>
    <w:rsid w:val="00935ADA"/>
    <w:rsid w:val="0094637A"/>
    <w:rsid w:val="00946B6C"/>
    <w:rsid w:val="00955A71"/>
    <w:rsid w:val="00960107"/>
    <w:rsid w:val="0096108F"/>
    <w:rsid w:val="00977AE7"/>
    <w:rsid w:val="009A2CF3"/>
    <w:rsid w:val="009A6723"/>
    <w:rsid w:val="009C13B9"/>
    <w:rsid w:val="009C1B3F"/>
    <w:rsid w:val="009D01A2"/>
    <w:rsid w:val="009F34F2"/>
    <w:rsid w:val="009F5923"/>
    <w:rsid w:val="00A1189C"/>
    <w:rsid w:val="00A403BB"/>
    <w:rsid w:val="00A43164"/>
    <w:rsid w:val="00A4409C"/>
    <w:rsid w:val="00A5674A"/>
    <w:rsid w:val="00A56DA3"/>
    <w:rsid w:val="00A674DF"/>
    <w:rsid w:val="00A730F2"/>
    <w:rsid w:val="00A8146A"/>
    <w:rsid w:val="00A83AA6"/>
    <w:rsid w:val="00AA6E2C"/>
    <w:rsid w:val="00AB3C1F"/>
    <w:rsid w:val="00AD4DD1"/>
    <w:rsid w:val="00AD5040"/>
    <w:rsid w:val="00AE1809"/>
    <w:rsid w:val="00AF10C8"/>
    <w:rsid w:val="00AF7F1E"/>
    <w:rsid w:val="00B104A6"/>
    <w:rsid w:val="00B341A1"/>
    <w:rsid w:val="00B45DDF"/>
    <w:rsid w:val="00B510E4"/>
    <w:rsid w:val="00B63352"/>
    <w:rsid w:val="00B77ABA"/>
    <w:rsid w:val="00B80D76"/>
    <w:rsid w:val="00B843E9"/>
    <w:rsid w:val="00BA2105"/>
    <w:rsid w:val="00BA2231"/>
    <w:rsid w:val="00BA7E06"/>
    <w:rsid w:val="00BB4176"/>
    <w:rsid w:val="00BB43B5"/>
    <w:rsid w:val="00BB6219"/>
    <w:rsid w:val="00BD290F"/>
    <w:rsid w:val="00C02078"/>
    <w:rsid w:val="00C0566C"/>
    <w:rsid w:val="00C14CC4"/>
    <w:rsid w:val="00C22673"/>
    <w:rsid w:val="00C2315A"/>
    <w:rsid w:val="00C2639F"/>
    <w:rsid w:val="00C33C52"/>
    <w:rsid w:val="00C35060"/>
    <w:rsid w:val="00C40D8B"/>
    <w:rsid w:val="00C8407A"/>
    <w:rsid w:val="00C8488C"/>
    <w:rsid w:val="00C86E91"/>
    <w:rsid w:val="00CA2650"/>
    <w:rsid w:val="00CB1078"/>
    <w:rsid w:val="00CC6FAF"/>
    <w:rsid w:val="00CC7054"/>
    <w:rsid w:val="00CD05D6"/>
    <w:rsid w:val="00D16DC1"/>
    <w:rsid w:val="00D24698"/>
    <w:rsid w:val="00D30184"/>
    <w:rsid w:val="00D31867"/>
    <w:rsid w:val="00D426C5"/>
    <w:rsid w:val="00D52A62"/>
    <w:rsid w:val="00D6383F"/>
    <w:rsid w:val="00D63DBE"/>
    <w:rsid w:val="00D63EBE"/>
    <w:rsid w:val="00D6686B"/>
    <w:rsid w:val="00DB2C36"/>
    <w:rsid w:val="00DB43F2"/>
    <w:rsid w:val="00DB59D0"/>
    <w:rsid w:val="00DC33D3"/>
    <w:rsid w:val="00DF28DF"/>
    <w:rsid w:val="00E26329"/>
    <w:rsid w:val="00E40B50"/>
    <w:rsid w:val="00E50293"/>
    <w:rsid w:val="00E55379"/>
    <w:rsid w:val="00E65FFC"/>
    <w:rsid w:val="00E80951"/>
    <w:rsid w:val="00E86CC6"/>
    <w:rsid w:val="00E92336"/>
    <w:rsid w:val="00EB56B3"/>
    <w:rsid w:val="00ED195E"/>
    <w:rsid w:val="00ED6492"/>
    <w:rsid w:val="00EF0DFA"/>
    <w:rsid w:val="00EF2095"/>
    <w:rsid w:val="00EF4D8D"/>
    <w:rsid w:val="00F032DB"/>
    <w:rsid w:val="00F034D9"/>
    <w:rsid w:val="00F06866"/>
    <w:rsid w:val="00F07B1E"/>
    <w:rsid w:val="00F15956"/>
    <w:rsid w:val="00F24CFC"/>
    <w:rsid w:val="00F26B86"/>
    <w:rsid w:val="00F3082E"/>
    <w:rsid w:val="00F3170F"/>
    <w:rsid w:val="00F85A02"/>
    <w:rsid w:val="00F925C2"/>
    <w:rsid w:val="00F976B0"/>
    <w:rsid w:val="00FA5C4B"/>
    <w:rsid w:val="00FA6DE7"/>
    <w:rsid w:val="00FB07E1"/>
    <w:rsid w:val="00FC0A8E"/>
    <w:rsid w:val="00FD065E"/>
    <w:rsid w:val="00FD4554"/>
    <w:rsid w:val="00FE2FA6"/>
    <w:rsid w:val="00FE3DF2"/>
    <w:rsid w:val="00FF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SS">
    <w:name w:val="NormalSS"/>
    <w:basedOn w:val="Normal"/>
    <w:qFormat/>
    <w:rsid w:val="00D6686B"/>
    <w:pPr>
      <w:tabs>
        <w:tab w:val="left" w:pos="432"/>
      </w:tabs>
      <w:spacing w:after="240"/>
      <w:ind w:firstLine="432"/>
      <w:jc w:val="both"/>
    </w:pPr>
    <w:rPr>
      <w:rFonts w:ascii="Garamond" w:hAnsi="Garamond"/>
    </w:rPr>
  </w:style>
  <w:style w:type="paragraph" w:styleId="TOC1">
    <w:name w:val="toc 1"/>
    <w:next w:val="Normal"/>
    <w:autoRedefine/>
    <w:qFormat/>
    <w:rsid w:val="003848F2"/>
    <w:pPr>
      <w:tabs>
        <w:tab w:val="left" w:pos="1008"/>
        <w:tab w:val="right" w:leader="dot" w:pos="9360"/>
      </w:tabs>
      <w:spacing w:after="240"/>
      <w:ind w:left="1008" w:right="1080" w:hanging="1008"/>
    </w:pPr>
    <w:rPr>
      <w:rFonts w:ascii="Arial" w:hAnsi="Arial"/>
      <w:caps/>
      <w:sz w:val="24"/>
      <w:szCs w:val="24"/>
    </w:rPr>
  </w:style>
  <w:style w:type="paragraph" w:styleId="FootnoteText">
    <w:name w:val="footnote text"/>
    <w:basedOn w:val="Normal"/>
    <w:link w:val="FootnoteTextChar"/>
    <w:rsid w:val="00F26B86"/>
    <w:rPr>
      <w:sz w:val="20"/>
      <w:szCs w:val="20"/>
    </w:rPr>
  </w:style>
  <w:style w:type="character" w:customStyle="1" w:styleId="FootnoteTextChar">
    <w:name w:val="Footnote Text Char"/>
    <w:basedOn w:val="DefaultParagraphFont"/>
    <w:link w:val="FootnoteText"/>
    <w:rsid w:val="00F26B86"/>
  </w:style>
  <w:style w:type="character" w:styleId="FootnoteReference">
    <w:name w:val="footnote reference"/>
    <w:basedOn w:val="DefaultParagraphFont"/>
    <w:rsid w:val="00F26B86"/>
    <w:rPr>
      <w:vertAlign w:val="superscript"/>
    </w:rPr>
  </w:style>
  <w:style w:type="paragraph" w:styleId="Revision">
    <w:name w:val="Revision"/>
    <w:hidden/>
    <w:uiPriority w:val="99"/>
    <w:semiHidden/>
    <w:rsid w:val="00C020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NormalSS">
    <w:name w:val="NormalSS"/>
    <w:basedOn w:val="Normal"/>
    <w:qFormat/>
    <w:rsid w:val="00D6686B"/>
    <w:pPr>
      <w:tabs>
        <w:tab w:val="left" w:pos="432"/>
      </w:tabs>
      <w:spacing w:after="240"/>
      <w:ind w:firstLine="432"/>
      <w:jc w:val="both"/>
    </w:pPr>
    <w:rPr>
      <w:rFonts w:ascii="Garamond" w:hAnsi="Garamond"/>
    </w:rPr>
  </w:style>
  <w:style w:type="paragraph" w:styleId="TOC1">
    <w:name w:val="toc 1"/>
    <w:next w:val="Normal"/>
    <w:autoRedefine/>
    <w:qFormat/>
    <w:rsid w:val="003848F2"/>
    <w:pPr>
      <w:tabs>
        <w:tab w:val="left" w:pos="1008"/>
        <w:tab w:val="right" w:leader="dot" w:pos="9360"/>
      </w:tabs>
      <w:spacing w:after="240"/>
      <w:ind w:left="1008" w:right="1080" w:hanging="1008"/>
    </w:pPr>
    <w:rPr>
      <w:rFonts w:ascii="Arial" w:hAnsi="Arial"/>
      <w:caps/>
      <w:sz w:val="24"/>
      <w:szCs w:val="24"/>
    </w:rPr>
  </w:style>
  <w:style w:type="paragraph" w:styleId="FootnoteText">
    <w:name w:val="footnote text"/>
    <w:basedOn w:val="Normal"/>
    <w:link w:val="FootnoteTextChar"/>
    <w:rsid w:val="00F26B86"/>
    <w:rPr>
      <w:sz w:val="20"/>
      <w:szCs w:val="20"/>
    </w:rPr>
  </w:style>
  <w:style w:type="character" w:customStyle="1" w:styleId="FootnoteTextChar">
    <w:name w:val="Footnote Text Char"/>
    <w:basedOn w:val="DefaultParagraphFont"/>
    <w:link w:val="FootnoteText"/>
    <w:rsid w:val="00F26B86"/>
  </w:style>
  <w:style w:type="character" w:styleId="FootnoteReference">
    <w:name w:val="footnote reference"/>
    <w:basedOn w:val="DefaultParagraphFont"/>
    <w:rsid w:val="00F26B86"/>
    <w:rPr>
      <w:vertAlign w:val="superscript"/>
    </w:rPr>
  </w:style>
  <w:style w:type="paragraph" w:styleId="Revision">
    <w:name w:val="Revision"/>
    <w:hidden/>
    <w:uiPriority w:val="99"/>
    <w:semiHidden/>
    <w:rsid w:val="00C020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5755C-5F41-4AC9-82A5-8631A1E2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Hagigal, Evadne J</cp:lastModifiedBy>
  <cp:revision>2</cp:revision>
  <cp:lastPrinted>2010-10-04T16:59:00Z</cp:lastPrinted>
  <dcterms:created xsi:type="dcterms:W3CDTF">2013-09-11T18:10:00Z</dcterms:created>
  <dcterms:modified xsi:type="dcterms:W3CDTF">2013-09-11T18:10:00Z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