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772" w:rsidRDefault="000E043E" w:rsidP="00B40607">
      <w:pPr>
        <w:shd w:val="clear" w:color="auto" w:fill="FFFFFF"/>
        <w:spacing w:after="0" w:line="240" w:lineRule="auto"/>
        <w:jc w:val="center"/>
        <w:outlineLvl w:val="0"/>
        <w:rPr>
          <w:rFonts w:ascii="Georgia" w:eastAsia="Times New Roman" w:hAnsi="Georgia" w:cs="Times New Roman"/>
          <w:b/>
          <w:bCs/>
          <w:i/>
          <w:kern w:val="36"/>
          <w:sz w:val="31"/>
          <w:szCs w:val="31"/>
        </w:rPr>
      </w:pPr>
      <w:r w:rsidRPr="000E043E">
        <w:rPr>
          <w:rFonts w:ascii="Georgia" w:eastAsia="Times New Roman" w:hAnsi="Georgia" w:cs="Times New Roman"/>
          <w:b/>
          <w:bCs/>
          <w:i/>
          <w:noProof/>
          <w:kern w:val="36"/>
          <w:sz w:val="31"/>
          <w:szCs w:val="31"/>
        </w:rPr>
        <w:drawing>
          <wp:inline distT="0" distB="0" distL="0" distR="0">
            <wp:extent cx="5410200" cy="1682440"/>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7" cstate="print"/>
                    <a:srcRect l="4444" t="21429" r="4444" b="30000"/>
                    <a:stretch>
                      <a:fillRect/>
                    </a:stretch>
                  </pic:blipFill>
                  <pic:spPr bwMode="auto">
                    <a:xfrm>
                      <a:off x="0" y="0"/>
                      <a:ext cx="5410200" cy="1682440"/>
                    </a:xfrm>
                    <a:prstGeom prst="rect">
                      <a:avLst/>
                    </a:prstGeom>
                    <a:noFill/>
                    <a:ln w="9525">
                      <a:noFill/>
                      <a:miter lim="800000"/>
                      <a:headEnd/>
                      <a:tailEnd/>
                    </a:ln>
                  </pic:spPr>
                </pic:pic>
              </a:graphicData>
            </a:graphic>
          </wp:inline>
        </w:drawing>
      </w:r>
    </w:p>
    <w:p w:rsidR="000E043E" w:rsidRDefault="000E043E" w:rsidP="00B40607">
      <w:pPr>
        <w:shd w:val="clear" w:color="auto" w:fill="FFFFFF"/>
        <w:spacing w:after="0" w:line="240" w:lineRule="auto"/>
        <w:jc w:val="center"/>
        <w:outlineLvl w:val="0"/>
        <w:rPr>
          <w:rFonts w:ascii="Georgia" w:eastAsia="Times New Roman" w:hAnsi="Georgia" w:cs="Times New Roman"/>
          <w:b/>
          <w:bCs/>
          <w:i/>
          <w:kern w:val="36"/>
          <w:sz w:val="31"/>
          <w:szCs w:val="31"/>
        </w:rPr>
      </w:pPr>
    </w:p>
    <w:p w:rsidR="000E043E" w:rsidRDefault="000E043E" w:rsidP="00B40607">
      <w:pPr>
        <w:shd w:val="clear" w:color="auto" w:fill="FFFFFF"/>
        <w:spacing w:after="0" w:line="240" w:lineRule="auto"/>
        <w:jc w:val="center"/>
        <w:outlineLvl w:val="0"/>
        <w:rPr>
          <w:rFonts w:ascii="Georgia" w:eastAsia="Times New Roman" w:hAnsi="Georgia" w:cs="Times New Roman"/>
          <w:b/>
          <w:bCs/>
          <w:i/>
          <w:kern w:val="36"/>
          <w:sz w:val="31"/>
          <w:szCs w:val="31"/>
        </w:rPr>
      </w:pPr>
    </w:p>
    <w:p w:rsidR="000E043E" w:rsidRDefault="000E043E" w:rsidP="00B40607">
      <w:pPr>
        <w:shd w:val="clear" w:color="auto" w:fill="FFFFFF"/>
        <w:spacing w:after="0" w:line="240" w:lineRule="auto"/>
        <w:jc w:val="center"/>
        <w:outlineLvl w:val="0"/>
        <w:rPr>
          <w:rFonts w:ascii="Georgia" w:eastAsia="Times New Roman" w:hAnsi="Georgia" w:cs="Times New Roman"/>
          <w:b/>
          <w:bCs/>
          <w:i/>
          <w:kern w:val="36"/>
          <w:sz w:val="31"/>
          <w:szCs w:val="31"/>
        </w:rPr>
      </w:pPr>
    </w:p>
    <w:p w:rsidR="00466772" w:rsidRPr="00466772" w:rsidRDefault="00466772" w:rsidP="00B40607">
      <w:pPr>
        <w:shd w:val="clear" w:color="auto" w:fill="FFFFFF"/>
        <w:spacing w:after="0" w:line="240" w:lineRule="auto"/>
        <w:jc w:val="center"/>
        <w:outlineLvl w:val="0"/>
        <w:rPr>
          <w:rFonts w:ascii="Georgia" w:eastAsia="Times New Roman" w:hAnsi="Georgia" w:cs="Times New Roman"/>
          <w:b/>
          <w:bCs/>
          <w:i/>
          <w:kern w:val="36"/>
          <w:sz w:val="31"/>
          <w:szCs w:val="31"/>
        </w:rPr>
      </w:pPr>
      <w:r w:rsidRPr="00466772">
        <w:rPr>
          <w:rFonts w:ascii="Georgia" w:eastAsia="Times New Roman" w:hAnsi="Georgia" w:cs="Times New Roman"/>
          <w:b/>
          <w:bCs/>
          <w:i/>
          <w:kern w:val="36"/>
          <w:sz w:val="31"/>
          <w:szCs w:val="31"/>
        </w:rPr>
        <w:t>Background information about the origin of the Nationwide Cyber Security Review (NCSR)</w:t>
      </w:r>
    </w:p>
    <w:p w:rsidR="00466772" w:rsidRDefault="00466772" w:rsidP="00B40607">
      <w:pPr>
        <w:shd w:val="clear" w:color="auto" w:fill="FFFFFF"/>
        <w:spacing w:after="0" w:line="240" w:lineRule="auto"/>
        <w:jc w:val="center"/>
        <w:outlineLvl w:val="0"/>
        <w:rPr>
          <w:rFonts w:ascii="Georgia" w:eastAsia="Times New Roman" w:hAnsi="Georgia" w:cs="Times New Roman"/>
          <w:b/>
          <w:bCs/>
          <w:color w:val="990000"/>
          <w:kern w:val="36"/>
          <w:sz w:val="31"/>
          <w:szCs w:val="31"/>
        </w:rPr>
      </w:pPr>
    </w:p>
    <w:p w:rsidR="00466772" w:rsidRDefault="00466772" w:rsidP="00B40607">
      <w:pPr>
        <w:shd w:val="clear" w:color="auto" w:fill="FFFFFF"/>
        <w:spacing w:after="0" w:line="240" w:lineRule="auto"/>
        <w:jc w:val="center"/>
        <w:outlineLvl w:val="0"/>
        <w:rPr>
          <w:rFonts w:ascii="Georgia" w:eastAsia="Times New Roman" w:hAnsi="Georgia" w:cs="Times New Roman"/>
          <w:b/>
          <w:bCs/>
          <w:color w:val="990000"/>
          <w:kern w:val="36"/>
          <w:sz w:val="31"/>
          <w:szCs w:val="31"/>
        </w:rPr>
      </w:pPr>
    </w:p>
    <w:p w:rsidR="00466772" w:rsidRDefault="00466772" w:rsidP="00B40607">
      <w:pPr>
        <w:shd w:val="clear" w:color="auto" w:fill="FFFFFF"/>
        <w:spacing w:after="0" w:line="240" w:lineRule="auto"/>
        <w:jc w:val="center"/>
        <w:outlineLvl w:val="0"/>
        <w:rPr>
          <w:rFonts w:ascii="Georgia" w:eastAsia="Times New Roman" w:hAnsi="Georgia" w:cs="Times New Roman"/>
          <w:b/>
          <w:bCs/>
          <w:color w:val="990000"/>
          <w:kern w:val="36"/>
          <w:sz w:val="31"/>
          <w:szCs w:val="31"/>
        </w:rPr>
      </w:pPr>
    </w:p>
    <w:p w:rsidR="00B40607" w:rsidRPr="00B40607" w:rsidRDefault="00B40607" w:rsidP="00B40607">
      <w:pPr>
        <w:shd w:val="clear" w:color="auto" w:fill="FFFFFF"/>
        <w:spacing w:after="0" w:line="240" w:lineRule="auto"/>
        <w:jc w:val="center"/>
        <w:outlineLvl w:val="0"/>
        <w:rPr>
          <w:rFonts w:ascii="Georgia" w:eastAsia="Times New Roman" w:hAnsi="Georgia" w:cs="Times New Roman"/>
          <w:b/>
          <w:bCs/>
          <w:color w:val="990000"/>
          <w:kern w:val="36"/>
          <w:sz w:val="31"/>
          <w:szCs w:val="31"/>
        </w:rPr>
      </w:pPr>
      <w:r w:rsidRPr="00B40607">
        <w:rPr>
          <w:rFonts w:ascii="Georgia" w:eastAsia="Times New Roman" w:hAnsi="Georgia" w:cs="Times New Roman"/>
          <w:b/>
          <w:bCs/>
          <w:color w:val="990000"/>
          <w:kern w:val="36"/>
          <w:sz w:val="31"/>
          <w:szCs w:val="31"/>
        </w:rPr>
        <w:t>Committee Reports</w:t>
      </w:r>
    </w:p>
    <w:p w:rsidR="00B40607" w:rsidRPr="00B40607" w:rsidRDefault="00B40607" w:rsidP="00B40607">
      <w:pPr>
        <w:shd w:val="clear" w:color="auto" w:fill="FFFFFF"/>
        <w:spacing w:after="0" w:line="240" w:lineRule="auto"/>
        <w:jc w:val="center"/>
        <w:outlineLvl w:val="0"/>
        <w:rPr>
          <w:rFonts w:ascii="Georgia" w:eastAsia="Times New Roman" w:hAnsi="Georgia" w:cs="Times New Roman"/>
          <w:b/>
          <w:bCs/>
          <w:color w:val="990000"/>
          <w:kern w:val="36"/>
          <w:sz w:val="31"/>
          <w:szCs w:val="31"/>
        </w:rPr>
      </w:pPr>
      <w:r w:rsidRPr="00B40607">
        <w:rPr>
          <w:rFonts w:ascii="Georgia" w:eastAsia="Times New Roman" w:hAnsi="Georgia" w:cs="Times New Roman"/>
          <w:b/>
          <w:bCs/>
          <w:color w:val="990000"/>
          <w:kern w:val="36"/>
          <w:sz w:val="31"/>
          <w:szCs w:val="31"/>
        </w:rPr>
        <w:t>111th Congress (2009-2010)</w:t>
      </w:r>
    </w:p>
    <w:p w:rsidR="00B40607" w:rsidRPr="00B40607" w:rsidRDefault="00B40607" w:rsidP="00B40607">
      <w:pPr>
        <w:shd w:val="clear" w:color="auto" w:fill="FFFFFF"/>
        <w:spacing w:line="240" w:lineRule="auto"/>
        <w:jc w:val="center"/>
        <w:outlineLvl w:val="0"/>
        <w:rPr>
          <w:rFonts w:ascii="Georgia" w:eastAsia="Times New Roman" w:hAnsi="Georgia" w:cs="Times New Roman"/>
          <w:b/>
          <w:bCs/>
          <w:color w:val="990000"/>
          <w:kern w:val="36"/>
          <w:sz w:val="31"/>
          <w:szCs w:val="31"/>
        </w:rPr>
      </w:pPr>
      <w:r w:rsidRPr="00B40607">
        <w:rPr>
          <w:rFonts w:ascii="Georgia" w:eastAsia="Times New Roman" w:hAnsi="Georgia" w:cs="Times New Roman"/>
          <w:b/>
          <w:bCs/>
          <w:color w:val="990000"/>
          <w:kern w:val="36"/>
          <w:sz w:val="31"/>
          <w:szCs w:val="31"/>
        </w:rPr>
        <w:t>House Report 111-298</w:t>
      </w:r>
    </w:p>
    <w:p w:rsidR="00B40607" w:rsidRDefault="00B40607" w:rsidP="00B40607">
      <w:pPr>
        <w:pStyle w:val="Heading3"/>
        <w:shd w:val="clear" w:color="auto" w:fill="FFFFFF"/>
        <w:rPr>
          <w:rFonts w:ascii="Verdana" w:hAnsi="Verdana"/>
          <w:color w:val="333333"/>
        </w:rPr>
      </w:pPr>
      <w:r>
        <w:rPr>
          <w:rFonts w:ascii="Verdana" w:hAnsi="Verdana"/>
          <w:color w:val="333333"/>
        </w:rPr>
        <w:t>NATIONWIDE CYBER SECURITY REVIEW</w:t>
      </w:r>
    </w:p>
    <w:p w:rsidR="00B40607" w:rsidRDefault="00B40607" w:rsidP="00B40607">
      <w:pPr>
        <w:pStyle w:val="NormalWeb"/>
        <w:shd w:val="clear" w:color="auto" w:fill="FFFFFF"/>
        <w:rPr>
          <w:rFonts w:ascii="Verdana" w:hAnsi="Verdana"/>
          <w:color w:val="333333"/>
          <w:sz w:val="22"/>
          <w:szCs w:val="22"/>
        </w:rPr>
      </w:pPr>
      <w:r>
        <w:rPr>
          <w:rFonts w:ascii="Verdana" w:hAnsi="Verdana"/>
          <w:color w:val="333333"/>
          <w:sz w:val="22"/>
          <w:szCs w:val="22"/>
        </w:rPr>
        <w:t xml:space="preserve">The conferees note the importance of a comprehensive effort to assess the security level of cyberspace at all levels of government. To accomplish this, cyber network security assessment tools must first be in place; however, the conferees understand that no such tools currently exist. Given this, the conferees </w:t>
      </w:r>
      <w:r w:rsidRPr="003C259D">
        <w:rPr>
          <w:rFonts w:ascii="Verdana" w:hAnsi="Verdana"/>
          <w:color w:val="333333"/>
          <w:sz w:val="22"/>
          <w:szCs w:val="22"/>
          <w:u w:val="single"/>
        </w:rPr>
        <w:t>do not</w:t>
      </w:r>
      <w:r>
        <w:rPr>
          <w:rFonts w:ascii="Verdana" w:hAnsi="Verdana"/>
          <w:color w:val="333333"/>
          <w:sz w:val="22"/>
          <w:szCs w:val="22"/>
        </w:rPr>
        <w:t xml:space="preserve"> require the Secretary to provide a report by June 1, 2010, on the status of cyber security measures in States and large urban areas, as proposed in the Senate report. </w:t>
      </w:r>
      <w:r w:rsidRPr="003C259D">
        <w:rPr>
          <w:rFonts w:ascii="Verdana" w:hAnsi="Verdana"/>
          <w:color w:val="333333"/>
          <w:sz w:val="22"/>
          <w:szCs w:val="22"/>
          <w:u w:val="single"/>
        </w:rPr>
        <w:t xml:space="preserve">Instead, NPPD, in cooperation with FEMA and relevant stakeholders, shall develop the necessary tools for </w:t>
      </w:r>
      <w:r w:rsidRPr="00AB4EDD">
        <w:rPr>
          <w:rFonts w:ascii="Verdana" w:hAnsi="Verdana"/>
          <w:b/>
          <w:color w:val="333333"/>
          <w:sz w:val="22"/>
          <w:szCs w:val="22"/>
          <w:u w:val="single"/>
        </w:rPr>
        <w:t>all levels of government</w:t>
      </w:r>
      <w:r w:rsidRPr="003C259D">
        <w:rPr>
          <w:rFonts w:ascii="Verdana" w:hAnsi="Verdana"/>
          <w:color w:val="333333"/>
          <w:sz w:val="22"/>
          <w:szCs w:val="22"/>
          <w:u w:val="single"/>
        </w:rPr>
        <w:t xml:space="preserve"> to complete a </w:t>
      </w:r>
      <w:r w:rsidRPr="00AB4EDD">
        <w:rPr>
          <w:rFonts w:ascii="Verdana" w:hAnsi="Verdana"/>
          <w:b/>
          <w:color w:val="333333"/>
          <w:sz w:val="22"/>
          <w:szCs w:val="22"/>
          <w:u w:val="single"/>
        </w:rPr>
        <w:t>cyber network security assessment</w:t>
      </w:r>
      <w:r w:rsidRPr="003C259D">
        <w:rPr>
          <w:rFonts w:ascii="Verdana" w:hAnsi="Verdana"/>
          <w:color w:val="333333"/>
          <w:sz w:val="22"/>
          <w:szCs w:val="22"/>
          <w:u w:val="single"/>
        </w:rPr>
        <w:t xml:space="preserve"> so that a full measure of </w:t>
      </w:r>
      <w:r w:rsidRPr="00AB4EDD">
        <w:rPr>
          <w:rFonts w:ascii="Verdana" w:hAnsi="Verdana"/>
          <w:b/>
          <w:color w:val="333333"/>
          <w:sz w:val="22"/>
          <w:szCs w:val="22"/>
          <w:u w:val="single"/>
        </w:rPr>
        <w:t>gaps and capabilities</w:t>
      </w:r>
      <w:r w:rsidRPr="003C259D">
        <w:rPr>
          <w:rFonts w:ascii="Verdana" w:hAnsi="Verdana"/>
          <w:color w:val="333333"/>
          <w:sz w:val="22"/>
          <w:szCs w:val="22"/>
          <w:u w:val="single"/>
        </w:rPr>
        <w:t xml:space="preserve"> can be completed in the near future.</w:t>
      </w:r>
      <w:r>
        <w:rPr>
          <w:rFonts w:ascii="Verdana" w:hAnsi="Verdana"/>
          <w:color w:val="333333"/>
          <w:sz w:val="22"/>
          <w:szCs w:val="22"/>
        </w:rPr>
        <w:t xml:space="preserve"> NPPD, in conjunction with FEMA, shall brief the Committees within 60 days after the date of enactment of this Act on the specific timeframes and deliverables necessary to complete the development and execution of such tools in order to complete such an assessment by June 2011. </w:t>
      </w:r>
    </w:p>
    <w:p w:rsidR="00B40607" w:rsidRDefault="00B40607"/>
    <w:p w:rsidR="00B40607" w:rsidRDefault="00B40607"/>
    <w:p w:rsidR="00B40607" w:rsidRDefault="00B40607"/>
    <w:p w:rsidR="003C259D" w:rsidRDefault="003C259D"/>
    <w:p w:rsidR="00B40607" w:rsidRDefault="0084012B">
      <w:r w:rsidRPr="0084012B">
        <w:rPr>
          <w:i/>
          <w:noProof/>
          <w:lang w:eastAsia="zh-TW"/>
        </w:rPr>
        <w:lastRenderedPageBreak/>
        <w:pict>
          <v:shapetype id="_x0000_t202" coordsize="21600,21600" o:spt="202" path="m,l,21600r21600,l21600,xe">
            <v:stroke joinstyle="miter"/>
            <v:path gradientshapeok="t" o:connecttype="rect"/>
          </v:shapetype>
          <v:shape id="_x0000_s1026" type="#_x0000_t202" style="position:absolute;margin-left:32.55pt;margin-top:20.1pt;width:259.5pt;height:301.4pt;z-index:251660288;mso-width-relative:margin;mso-height-relative:margin">
            <v:textbox>
              <w:txbxContent>
                <w:p w:rsidR="003C259D" w:rsidRPr="00466772" w:rsidRDefault="003C259D" w:rsidP="003C259D">
                  <w:pPr>
                    <w:autoSpaceDE w:val="0"/>
                    <w:autoSpaceDN w:val="0"/>
                    <w:adjustRightInd w:val="0"/>
                    <w:spacing w:after="0" w:line="240" w:lineRule="auto"/>
                    <w:rPr>
                      <w:rFonts w:ascii="NewCenturySchlbk-Roman" w:hAnsi="NewCenturySchlbk-Roman" w:cs="NewCenturySchlbk-Roman"/>
                      <w:b/>
                      <w:sz w:val="15"/>
                      <w:szCs w:val="15"/>
                    </w:rPr>
                  </w:pPr>
                  <w:r w:rsidRPr="00466772">
                    <w:rPr>
                      <w:rFonts w:ascii="NewCenturySchlbk-Roman" w:hAnsi="NewCenturySchlbk-Roman" w:cs="NewCenturySchlbk-Roman"/>
                      <w:b/>
                      <w:sz w:val="15"/>
                      <w:szCs w:val="15"/>
                    </w:rPr>
                    <w:t>NATIONWIDE CYBER SECURITY REVIEW</w:t>
                  </w:r>
                </w:p>
                <w:p w:rsidR="003C259D" w:rsidRDefault="003C259D" w:rsidP="003C259D">
                  <w:pPr>
                    <w:autoSpaceDE w:val="0"/>
                    <w:autoSpaceDN w:val="0"/>
                    <w:adjustRightInd w:val="0"/>
                    <w:spacing w:after="0" w:line="240" w:lineRule="auto"/>
                    <w:rPr>
                      <w:rFonts w:ascii="NewCenturySchlbk-Roman" w:hAnsi="NewCenturySchlbk-Roman" w:cs="NewCenturySchlbk-Roman"/>
                      <w:sz w:val="20"/>
                      <w:szCs w:val="20"/>
                    </w:rPr>
                  </w:pPr>
                </w:p>
                <w:p w:rsidR="003C259D" w:rsidRPr="00AB4EDD" w:rsidRDefault="003C259D" w:rsidP="003C259D">
                  <w:pPr>
                    <w:autoSpaceDE w:val="0"/>
                    <w:autoSpaceDN w:val="0"/>
                    <w:adjustRightInd w:val="0"/>
                    <w:spacing w:after="0" w:line="240" w:lineRule="auto"/>
                    <w:rPr>
                      <w:rFonts w:ascii="NewCenturySchlbk-Roman" w:hAnsi="NewCenturySchlbk-Roman" w:cs="NewCenturySchlbk-Roman"/>
                    </w:rPr>
                  </w:pPr>
                  <w:r w:rsidRPr="00AB4EDD">
                    <w:rPr>
                      <w:rFonts w:ascii="NewCenturySchlbk-Roman" w:hAnsi="NewCenturySchlbk-Roman" w:cs="NewCenturySchlbk-Roman"/>
                    </w:rPr>
                    <w:t xml:space="preserve">The security of State and local information technology networks has serious implications for homeland security, as network security affects both the continuity of Government and the operations of critical infrastructure. Cyber attacks have disrupted State government networks, systems, and operations. Despite its importance, there is not a comprehensive effort to evaluate the security level of State or local information technology networks, as it pertains to cyberspace. The Committee directs the Secretary, in coordination with the Federal Emergency Management Agency [FEMA] and NPPD, to </w:t>
                  </w:r>
                  <w:r w:rsidRPr="00AB4EDD">
                    <w:rPr>
                      <w:rFonts w:ascii="NewCenturySchlbk-Roman" w:hAnsi="NewCenturySchlbk-Roman" w:cs="NewCenturySchlbk-Roman"/>
                      <w:u w:val="single"/>
                    </w:rPr>
                    <w:t>report on the status of cyber security measures in place, and gaps in all 50 States and the largest urban areas by June 1, 2010.</w:t>
                  </w:r>
                  <w:r w:rsidRPr="00AB4EDD">
                    <w:rPr>
                      <w:rFonts w:ascii="NewCenturySchlbk-Roman" w:hAnsi="NewCenturySchlbk-Roman" w:cs="NewCenturySchlbk-Roman"/>
                    </w:rPr>
                    <w:t xml:space="preserve"> </w:t>
                  </w:r>
                  <w:r w:rsidRPr="009F6F14">
                    <w:rPr>
                      <w:rFonts w:ascii="NewCenturySchlbk-Roman" w:hAnsi="NewCenturySchlbk-Roman" w:cs="NewCenturySchlbk-Roman"/>
                      <w:b/>
                      <w:u w:val="single"/>
                    </w:rPr>
                    <w:t>The report should include certifications from each State and urban area as to the exact status of cyber security measures in place, when the date security plans were last updated, the dates contingency exercises were last conducted, and plans for disaster recovery</w:t>
                  </w:r>
                  <w:r w:rsidRPr="00AB4EDD">
                    <w:rPr>
                      <w:rFonts w:ascii="NewCenturySchlbk-Roman" w:hAnsi="NewCenturySchlbk-Roman" w:cs="NewCenturySchlbk-Roman"/>
                    </w:rPr>
                    <w:t>. Similar language is included in the FEMA section of this report.</w:t>
                  </w:r>
                </w:p>
                <w:p w:rsidR="003C259D" w:rsidRDefault="003C259D" w:rsidP="003C259D"/>
                <w:p w:rsidR="003C259D" w:rsidRPr="003C259D" w:rsidRDefault="003C259D" w:rsidP="003C259D"/>
              </w:txbxContent>
            </v:textbox>
          </v:shape>
        </w:pict>
      </w:r>
      <w:r w:rsidR="003C259D">
        <w:rPr>
          <w:i/>
          <w:noProof/>
        </w:rPr>
        <w:drawing>
          <wp:anchor distT="0" distB="0" distL="114300" distR="114300" simplePos="0" relativeHeight="251658240" behindDoc="1" locked="0" layoutInCell="1" allowOverlap="1">
            <wp:simplePos x="0" y="0"/>
            <wp:positionH relativeFrom="margin">
              <wp:posOffset>-821055</wp:posOffset>
            </wp:positionH>
            <wp:positionV relativeFrom="margin">
              <wp:posOffset>-702310</wp:posOffset>
            </wp:positionV>
            <wp:extent cx="3680460" cy="3923030"/>
            <wp:effectExtent l="1905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srcRect l="32133" t="20853" r="29640" b="17536"/>
                    <a:stretch>
                      <a:fillRect/>
                    </a:stretch>
                  </pic:blipFill>
                  <pic:spPr bwMode="auto">
                    <a:xfrm>
                      <a:off x="0" y="0"/>
                      <a:ext cx="3680460" cy="3923030"/>
                    </a:xfrm>
                    <a:prstGeom prst="rect">
                      <a:avLst/>
                    </a:prstGeom>
                    <a:noFill/>
                    <a:ln w="9525">
                      <a:noFill/>
                      <a:miter lim="800000"/>
                      <a:headEnd/>
                      <a:tailEnd/>
                    </a:ln>
                  </pic:spPr>
                </pic:pic>
              </a:graphicData>
            </a:graphic>
          </wp:anchor>
        </w:drawing>
      </w:r>
    </w:p>
    <w:p w:rsidR="003C259D" w:rsidRDefault="003C259D">
      <w:pPr>
        <w:rPr>
          <w:i/>
        </w:rPr>
      </w:pPr>
    </w:p>
    <w:p w:rsidR="003C259D" w:rsidRDefault="003C259D">
      <w:pPr>
        <w:rPr>
          <w:i/>
        </w:rPr>
      </w:pPr>
    </w:p>
    <w:p w:rsidR="003C259D" w:rsidRDefault="003C259D">
      <w:pPr>
        <w:rPr>
          <w:i/>
        </w:rPr>
      </w:pPr>
    </w:p>
    <w:p w:rsidR="003C259D" w:rsidRDefault="003C259D">
      <w:pPr>
        <w:rPr>
          <w:i/>
        </w:rPr>
      </w:pPr>
    </w:p>
    <w:p w:rsidR="003C259D" w:rsidRDefault="0084012B">
      <w:pPr>
        <w:rPr>
          <w:i/>
        </w:rPr>
      </w:pPr>
      <w:r>
        <w:rPr>
          <w:i/>
          <w:noProof/>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27" type="#_x0000_t93" style="position:absolute;margin-left:-44.45pt;margin-top:18.3pt;width:76.8pt;height:58.2pt;rotation:2242921fd;z-index:251661312" fillcolor="#548dd4 [1951]" strokecolor="black [3213]"/>
        </w:pict>
      </w:r>
    </w:p>
    <w:p w:rsidR="003C259D" w:rsidRDefault="0084012B">
      <w:pPr>
        <w:rPr>
          <w:i/>
        </w:rPr>
      </w:pPr>
      <w:r w:rsidRPr="0084012B">
        <w:rPr>
          <w:rFonts w:ascii="NewCenturySchlbk-Roman" w:hAnsi="NewCenturySchlbk-Roman" w:cs="NewCenturySchlbk-Roman"/>
          <w:b/>
          <w:noProof/>
          <w:sz w:val="15"/>
          <w:szCs w:val="15"/>
          <w:lang w:eastAsia="zh-TW"/>
        </w:rPr>
        <w:pict>
          <v:shape id="_x0000_s1028" type="#_x0000_t202" style="position:absolute;margin-left:-25.8pt;margin-top:1.25pt;width:42.85pt;height:39.25pt;z-index:251663360;mso-width-relative:margin;mso-height-relative:margin" filled="f" stroked="f">
            <v:textbox>
              <w:txbxContent>
                <w:p w:rsidR="00137C1A" w:rsidRDefault="00137C1A" w:rsidP="00137C1A">
                  <w:pPr>
                    <w:spacing w:after="0"/>
                    <w:rPr>
                      <w:b/>
                    </w:rPr>
                  </w:pPr>
                  <w:r w:rsidRPr="00137C1A">
                    <w:rPr>
                      <w:b/>
                    </w:rPr>
                    <w:t>Page</w:t>
                  </w:r>
                </w:p>
                <w:p w:rsidR="00137C1A" w:rsidRPr="00137C1A" w:rsidRDefault="00137C1A" w:rsidP="00137C1A">
                  <w:pPr>
                    <w:spacing w:after="0"/>
                    <w:rPr>
                      <w:b/>
                    </w:rPr>
                  </w:pPr>
                  <w:r w:rsidRPr="00137C1A">
                    <w:rPr>
                      <w:b/>
                    </w:rPr>
                    <w:t>91…</w:t>
                  </w:r>
                </w:p>
              </w:txbxContent>
            </v:textbox>
          </v:shape>
        </w:pict>
      </w:r>
    </w:p>
    <w:p w:rsidR="003C259D" w:rsidRDefault="003C259D">
      <w:pPr>
        <w:rPr>
          <w:i/>
        </w:rPr>
      </w:pPr>
    </w:p>
    <w:p w:rsidR="003C259D" w:rsidRDefault="003C259D">
      <w:pPr>
        <w:rPr>
          <w:i/>
        </w:rPr>
      </w:pPr>
    </w:p>
    <w:p w:rsidR="003C259D" w:rsidRDefault="003C259D">
      <w:pPr>
        <w:rPr>
          <w:i/>
        </w:rPr>
      </w:pPr>
    </w:p>
    <w:p w:rsidR="003C259D" w:rsidRDefault="003C259D">
      <w:pPr>
        <w:rPr>
          <w:i/>
        </w:rPr>
      </w:pPr>
    </w:p>
    <w:p w:rsidR="003C259D" w:rsidRDefault="003C259D" w:rsidP="00B40607">
      <w:pPr>
        <w:autoSpaceDE w:val="0"/>
        <w:autoSpaceDN w:val="0"/>
        <w:adjustRightInd w:val="0"/>
        <w:spacing w:after="0" w:line="240" w:lineRule="auto"/>
        <w:rPr>
          <w:rFonts w:ascii="NewCenturySchlbk-Roman" w:hAnsi="NewCenturySchlbk-Roman" w:cs="NewCenturySchlbk-Roman"/>
          <w:b/>
          <w:sz w:val="15"/>
          <w:szCs w:val="15"/>
        </w:rPr>
      </w:pPr>
    </w:p>
    <w:p w:rsidR="003C259D" w:rsidRDefault="003C259D" w:rsidP="00B40607">
      <w:pPr>
        <w:autoSpaceDE w:val="0"/>
        <w:autoSpaceDN w:val="0"/>
        <w:adjustRightInd w:val="0"/>
        <w:spacing w:after="0" w:line="240" w:lineRule="auto"/>
        <w:rPr>
          <w:rFonts w:ascii="NewCenturySchlbk-Roman" w:hAnsi="NewCenturySchlbk-Roman" w:cs="NewCenturySchlbk-Roman"/>
          <w:sz w:val="20"/>
          <w:szCs w:val="20"/>
        </w:rPr>
      </w:pPr>
    </w:p>
    <w:p w:rsidR="003C259D" w:rsidRDefault="003C259D" w:rsidP="00B40607">
      <w:pPr>
        <w:autoSpaceDE w:val="0"/>
        <w:autoSpaceDN w:val="0"/>
        <w:adjustRightInd w:val="0"/>
        <w:spacing w:after="0" w:line="240" w:lineRule="auto"/>
        <w:rPr>
          <w:rFonts w:ascii="NewCenturySchlbk-Roman" w:hAnsi="NewCenturySchlbk-Roman" w:cs="NewCenturySchlbk-Roman"/>
          <w:sz w:val="20"/>
          <w:szCs w:val="20"/>
        </w:rPr>
      </w:pPr>
    </w:p>
    <w:p w:rsidR="003C259D" w:rsidRDefault="003C259D" w:rsidP="00B40607">
      <w:pPr>
        <w:autoSpaceDE w:val="0"/>
        <w:autoSpaceDN w:val="0"/>
        <w:adjustRightInd w:val="0"/>
        <w:spacing w:after="0" w:line="240" w:lineRule="auto"/>
        <w:rPr>
          <w:rFonts w:ascii="NewCenturySchlbk-Roman" w:hAnsi="NewCenturySchlbk-Roman" w:cs="NewCenturySchlbk-Roman"/>
          <w:sz w:val="20"/>
          <w:szCs w:val="20"/>
        </w:rPr>
      </w:pPr>
    </w:p>
    <w:p w:rsidR="003C259D" w:rsidRDefault="003C259D" w:rsidP="00B40607">
      <w:pPr>
        <w:pBdr>
          <w:bottom w:val="single" w:sz="6" w:space="1" w:color="auto"/>
        </w:pBdr>
        <w:autoSpaceDE w:val="0"/>
        <w:autoSpaceDN w:val="0"/>
        <w:adjustRightInd w:val="0"/>
        <w:spacing w:after="0" w:line="240" w:lineRule="auto"/>
        <w:rPr>
          <w:rFonts w:ascii="NewCenturySchlbk-Roman" w:hAnsi="NewCenturySchlbk-Roman" w:cs="NewCenturySchlbk-Roman"/>
          <w:sz w:val="20"/>
          <w:szCs w:val="20"/>
        </w:rPr>
      </w:pPr>
    </w:p>
    <w:p w:rsidR="003C259D" w:rsidRDefault="003C259D" w:rsidP="00B40607">
      <w:pPr>
        <w:autoSpaceDE w:val="0"/>
        <w:autoSpaceDN w:val="0"/>
        <w:adjustRightInd w:val="0"/>
        <w:spacing w:after="0" w:line="240" w:lineRule="auto"/>
        <w:rPr>
          <w:rFonts w:ascii="NewCenturySchlbk-Roman" w:hAnsi="NewCenturySchlbk-Roman" w:cs="NewCenturySchlbk-Roman"/>
          <w:sz w:val="20"/>
          <w:szCs w:val="20"/>
        </w:rPr>
      </w:pPr>
    </w:p>
    <w:p w:rsidR="00137C1A" w:rsidRDefault="00137C1A" w:rsidP="00DD1134">
      <w:pPr>
        <w:autoSpaceDE w:val="0"/>
        <w:autoSpaceDN w:val="0"/>
        <w:adjustRightInd w:val="0"/>
        <w:spacing w:after="0" w:line="240" w:lineRule="auto"/>
        <w:jc w:val="center"/>
        <w:rPr>
          <w:rFonts w:ascii="NewCenturySchlbk-Roman" w:hAnsi="NewCenturySchlbk-Roman" w:cs="NewCenturySchlbk-Roman"/>
          <w:b/>
          <w:color w:val="000000" w:themeColor="text1"/>
          <w:sz w:val="24"/>
          <w:szCs w:val="20"/>
        </w:rPr>
      </w:pPr>
      <w:r w:rsidRPr="000F54CF">
        <w:rPr>
          <w:rFonts w:ascii="NewCenturySchlbk-Roman" w:hAnsi="NewCenturySchlbk-Roman" w:cs="NewCenturySchlbk-Roman"/>
          <w:b/>
          <w:color w:val="000000" w:themeColor="text1"/>
          <w:sz w:val="24"/>
          <w:szCs w:val="20"/>
        </w:rPr>
        <w:t>As a re</w:t>
      </w:r>
      <w:r w:rsidR="000F54CF" w:rsidRPr="000F54CF">
        <w:rPr>
          <w:rFonts w:ascii="NewCenturySchlbk-Roman" w:hAnsi="NewCenturySchlbk-Roman" w:cs="NewCenturySchlbk-Roman"/>
          <w:b/>
          <w:color w:val="000000" w:themeColor="text1"/>
          <w:sz w:val="24"/>
          <w:szCs w:val="20"/>
        </w:rPr>
        <w:t>sult of our briefing to Congress</w:t>
      </w:r>
      <w:r w:rsidR="00462DBF">
        <w:rPr>
          <w:rFonts w:ascii="NewCenturySchlbk-Roman" w:hAnsi="NewCenturySchlbk-Roman" w:cs="NewCenturySchlbk-Roman"/>
          <w:b/>
          <w:color w:val="000000" w:themeColor="text1"/>
          <w:sz w:val="24"/>
          <w:szCs w:val="20"/>
        </w:rPr>
        <w:t xml:space="preserve"> in May 2010</w:t>
      </w:r>
      <w:r w:rsidR="000F54CF" w:rsidRPr="000F54CF">
        <w:rPr>
          <w:rFonts w:ascii="NewCenturySchlbk-Roman" w:hAnsi="NewCenturySchlbk-Roman" w:cs="NewCenturySchlbk-Roman"/>
          <w:b/>
          <w:color w:val="000000" w:themeColor="text1"/>
          <w:sz w:val="24"/>
          <w:szCs w:val="20"/>
        </w:rPr>
        <w:t>…</w:t>
      </w:r>
    </w:p>
    <w:p w:rsidR="000F54CF" w:rsidRDefault="000F54CF" w:rsidP="000F54CF">
      <w:pPr>
        <w:shd w:val="clear" w:color="auto" w:fill="FFFFFF"/>
        <w:spacing w:after="0" w:line="240" w:lineRule="auto"/>
        <w:jc w:val="center"/>
        <w:outlineLvl w:val="0"/>
        <w:rPr>
          <w:rFonts w:ascii="Georgia" w:eastAsia="Times New Roman" w:hAnsi="Georgia" w:cs="Times New Roman"/>
          <w:b/>
          <w:bCs/>
          <w:color w:val="990000"/>
          <w:kern w:val="36"/>
          <w:sz w:val="31"/>
          <w:szCs w:val="31"/>
        </w:rPr>
      </w:pPr>
    </w:p>
    <w:p w:rsidR="000F54CF" w:rsidRPr="000F54CF" w:rsidRDefault="000F54CF" w:rsidP="000F54CF">
      <w:pPr>
        <w:shd w:val="clear" w:color="auto" w:fill="FFFFFF"/>
        <w:spacing w:after="0" w:line="240" w:lineRule="auto"/>
        <w:jc w:val="center"/>
        <w:outlineLvl w:val="0"/>
        <w:rPr>
          <w:rFonts w:ascii="Georgia" w:eastAsia="Times New Roman" w:hAnsi="Georgia" w:cs="Times New Roman"/>
          <w:b/>
          <w:bCs/>
          <w:color w:val="990000"/>
          <w:kern w:val="36"/>
          <w:sz w:val="31"/>
          <w:szCs w:val="31"/>
        </w:rPr>
      </w:pPr>
      <w:r w:rsidRPr="000F54CF">
        <w:rPr>
          <w:rFonts w:ascii="Georgia" w:eastAsia="Times New Roman" w:hAnsi="Georgia" w:cs="Times New Roman"/>
          <w:b/>
          <w:bCs/>
          <w:color w:val="990000"/>
          <w:kern w:val="36"/>
          <w:sz w:val="31"/>
          <w:szCs w:val="31"/>
        </w:rPr>
        <w:t>Committee Reports</w:t>
      </w:r>
    </w:p>
    <w:p w:rsidR="000F54CF" w:rsidRPr="000F54CF" w:rsidRDefault="000F54CF" w:rsidP="000F54CF">
      <w:pPr>
        <w:shd w:val="clear" w:color="auto" w:fill="FFFFFF"/>
        <w:spacing w:after="0" w:line="240" w:lineRule="auto"/>
        <w:jc w:val="center"/>
        <w:outlineLvl w:val="0"/>
        <w:rPr>
          <w:rFonts w:ascii="Georgia" w:eastAsia="Times New Roman" w:hAnsi="Georgia" w:cs="Times New Roman"/>
          <w:b/>
          <w:bCs/>
          <w:color w:val="990000"/>
          <w:kern w:val="36"/>
          <w:sz w:val="31"/>
          <w:szCs w:val="31"/>
        </w:rPr>
      </w:pPr>
      <w:r w:rsidRPr="000F54CF">
        <w:rPr>
          <w:rFonts w:ascii="Georgia" w:eastAsia="Times New Roman" w:hAnsi="Georgia" w:cs="Times New Roman"/>
          <w:b/>
          <w:bCs/>
          <w:color w:val="990000"/>
          <w:kern w:val="36"/>
          <w:sz w:val="31"/>
          <w:szCs w:val="31"/>
        </w:rPr>
        <w:t>111th Congress (2009-2010)</w:t>
      </w:r>
    </w:p>
    <w:p w:rsidR="000F54CF" w:rsidRDefault="000F54CF" w:rsidP="000F54CF">
      <w:pPr>
        <w:shd w:val="clear" w:color="auto" w:fill="FFFFFF"/>
        <w:spacing w:line="240" w:lineRule="auto"/>
        <w:jc w:val="center"/>
        <w:outlineLvl w:val="0"/>
        <w:rPr>
          <w:rFonts w:ascii="Georgia" w:eastAsia="Times New Roman" w:hAnsi="Georgia" w:cs="Times New Roman"/>
          <w:b/>
          <w:bCs/>
          <w:color w:val="990000"/>
          <w:kern w:val="36"/>
          <w:sz w:val="31"/>
          <w:szCs w:val="31"/>
        </w:rPr>
      </w:pPr>
      <w:r w:rsidRPr="000F54CF">
        <w:rPr>
          <w:rFonts w:ascii="Georgia" w:eastAsia="Times New Roman" w:hAnsi="Georgia" w:cs="Times New Roman"/>
          <w:b/>
          <w:bCs/>
          <w:color w:val="990000"/>
          <w:kern w:val="36"/>
          <w:sz w:val="31"/>
          <w:szCs w:val="31"/>
        </w:rPr>
        <w:t>Senate Report 111-222</w:t>
      </w:r>
    </w:p>
    <w:p w:rsidR="000F54CF" w:rsidRPr="000F54CF" w:rsidRDefault="000F54CF" w:rsidP="000F54CF">
      <w:pPr>
        <w:shd w:val="clear" w:color="auto" w:fill="FFFFFF"/>
        <w:spacing w:line="240" w:lineRule="auto"/>
        <w:jc w:val="center"/>
        <w:outlineLvl w:val="0"/>
        <w:rPr>
          <w:rFonts w:ascii="Georgia" w:eastAsia="Times New Roman" w:hAnsi="Georgia" w:cs="Times New Roman"/>
          <w:b/>
          <w:bCs/>
          <w:color w:val="990000"/>
          <w:kern w:val="36"/>
          <w:sz w:val="31"/>
          <w:szCs w:val="31"/>
        </w:rPr>
      </w:pPr>
      <w:r>
        <w:rPr>
          <w:rStyle w:val="Strong"/>
          <w:rFonts w:ascii="Verdana" w:hAnsi="Verdana"/>
          <w:color w:val="333333"/>
        </w:rPr>
        <w:t>Senate Report 111-222 - DEPARTMENT OF HOMELAND SECURITY APPROPRIATIONS BILL, 2011</w:t>
      </w:r>
      <w:r w:rsidR="00812760">
        <w:rPr>
          <w:rStyle w:val="Strong"/>
          <w:rFonts w:ascii="Verdana" w:hAnsi="Verdana"/>
          <w:color w:val="333333"/>
        </w:rPr>
        <w:t xml:space="preserve"> </w:t>
      </w:r>
      <w:r w:rsidR="00812760" w:rsidRPr="00812760">
        <w:rPr>
          <w:b/>
          <w:bCs/>
        </w:rPr>
        <w:t>[</w:t>
      </w:r>
      <w:r w:rsidR="00812760">
        <w:t>July 19, 2010- Ordered to be printed]</w:t>
      </w:r>
    </w:p>
    <w:p w:rsidR="00DD1134" w:rsidRDefault="00DD1134" w:rsidP="003C259D">
      <w:pPr>
        <w:pStyle w:val="Heading2"/>
        <w:shd w:val="clear" w:color="auto" w:fill="FFFFFF"/>
        <w:rPr>
          <w:rFonts w:ascii="Verdana" w:hAnsi="Verdana"/>
          <w:color w:val="333333"/>
          <w:sz w:val="20"/>
          <w:szCs w:val="20"/>
        </w:rPr>
      </w:pPr>
    </w:p>
    <w:p w:rsidR="003C259D" w:rsidRPr="003C259D" w:rsidRDefault="003C259D" w:rsidP="003C259D">
      <w:pPr>
        <w:pStyle w:val="Heading2"/>
        <w:shd w:val="clear" w:color="auto" w:fill="FFFFFF"/>
        <w:rPr>
          <w:rFonts w:ascii="Verdana" w:hAnsi="Verdana"/>
          <w:color w:val="333333"/>
          <w:sz w:val="20"/>
          <w:szCs w:val="20"/>
        </w:rPr>
      </w:pPr>
      <w:r w:rsidRPr="003C259D">
        <w:rPr>
          <w:rFonts w:ascii="Verdana" w:hAnsi="Verdana"/>
          <w:color w:val="333333"/>
          <w:sz w:val="20"/>
          <w:szCs w:val="20"/>
        </w:rPr>
        <w:t>NATIONWIDE CYBER SECURITY REVIEW</w:t>
      </w:r>
    </w:p>
    <w:p w:rsidR="003C259D" w:rsidRPr="003C259D" w:rsidRDefault="003C259D" w:rsidP="003C259D">
      <w:pPr>
        <w:pStyle w:val="NormalWeb"/>
        <w:shd w:val="clear" w:color="auto" w:fill="FFFFFF"/>
        <w:rPr>
          <w:rFonts w:ascii="Verdana" w:hAnsi="Verdana"/>
          <w:color w:val="333333"/>
          <w:sz w:val="20"/>
          <w:szCs w:val="20"/>
        </w:rPr>
      </w:pPr>
      <w:r w:rsidRPr="003C259D">
        <w:rPr>
          <w:rFonts w:ascii="Verdana" w:hAnsi="Verdana"/>
          <w:color w:val="333333"/>
          <w:sz w:val="20"/>
          <w:szCs w:val="20"/>
        </w:rPr>
        <w:t xml:space="preserve">The explanatory statement accompanying the Department of Homeland Security Appropriations Act, 2010, required NCSD to develop cyber network security assessment tools so that a comprehensive effort to assess the security level of cyber space at all levels of government could be completed. The Committee is pleased with the vigor with which NCSD has approached implementation of this important effort. The establishment of specific timeframes for outcomes and the inclusivity of Federal, State, and local partners, as well as other stakeholders, </w:t>
      </w:r>
      <w:proofErr w:type="gramStart"/>
      <w:r w:rsidRPr="003C259D">
        <w:rPr>
          <w:rFonts w:ascii="Verdana" w:hAnsi="Verdana"/>
          <w:color w:val="333333"/>
          <w:sz w:val="20"/>
          <w:szCs w:val="20"/>
        </w:rPr>
        <w:t>has</w:t>
      </w:r>
      <w:proofErr w:type="gramEnd"/>
      <w:r w:rsidRPr="003C259D">
        <w:rPr>
          <w:rFonts w:ascii="Verdana" w:hAnsi="Verdana"/>
          <w:color w:val="333333"/>
          <w:sz w:val="20"/>
          <w:szCs w:val="20"/>
        </w:rPr>
        <w:t xml:space="preserve"> put this effort on a positive path for results. The Committee directs NCSD to continue implementation of this important effort, in conjunction with FEMA, at least at the same level as in fiscal year 2010.</w:t>
      </w:r>
    </w:p>
    <w:sectPr w:rsidR="003C259D" w:rsidRPr="003C259D" w:rsidSect="00EE511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8DF" w:rsidRDefault="00AE08DF" w:rsidP="00BD1191">
      <w:pPr>
        <w:spacing w:after="0" w:line="240" w:lineRule="auto"/>
      </w:pPr>
      <w:r>
        <w:separator/>
      </w:r>
    </w:p>
  </w:endnote>
  <w:endnote w:type="continuationSeparator" w:id="0">
    <w:p w:rsidR="00AE08DF" w:rsidRDefault="00AE08DF" w:rsidP="00BD11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NewCenturySchlbk-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191" w:rsidRDefault="00BD11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191" w:rsidRDefault="00BD11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191" w:rsidRDefault="00BD11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8DF" w:rsidRDefault="00AE08DF" w:rsidP="00BD1191">
      <w:pPr>
        <w:spacing w:after="0" w:line="240" w:lineRule="auto"/>
      </w:pPr>
      <w:r>
        <w:separator/>
      </w:r>
    </w:p>
  </w:footnote>
  <w:footnote w:type="continuationSeparator" w:id="0">
    <w:p w:rsidR="00AE08DF" w:rsidRDefault="00AE08DF" w:rsidP="00BD11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191" w:rsidRDefault="00BD11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191" w:rsidRDefault="00BD1191">
    <w:pPr>
      <w:pStyle w:val="Header"/>
    </w:pPr>
    <w:r>
      <w:t xml:space="preserve">OMB Control No. </w:t>
    </w:r>
    <w:r>
      <w:t>1670-NEW</w:t>
    </w:r>
  </w:p>
  <w:p w:rsidR="00BD1191" w:rsidRDefault="00BD11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191" w:rsidRDefault="00BD11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40607"/>
    <w:rsid w:val="00067800"/>
    <w:rsid w:val="000E043E"/>
    <w:rsid w:val="000F54CF"/>
    <w:rsid w:val="00137C1A"/>
    <w:rsid w:val="002751BD"/>
    <w:rsid w:val="00326CAD"/>
    <w:rsid w:val="003C259D"/>
    <w:rsid w:val="00414770"/>
    <w:rsid w:val="00462DBF"/>
    <w:rsid w:val="00466772"/>
    <w:rsid w:val="00812760"/>
    <w:rsid w:val="0084012B"/>
    <w:rsid w:val="008725E7"/>
    <w:rsid w:val="009F6F14"/>
    <w:rsid w:val="00AB4EDD"/>
    <w:rsid w:val="00AE08DF"/>
    <w:rsid w:val="00B40607"/>
    <w:rsid w:val="00BD1191"/>
    <w:rsid w:val="00DD1134"/>
    <w:rsid w:val="00DD6F3F"/>
    <w:rsid w:val="00EE51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110"/>
  </w:style>
  <w:style w:type="paragraph" w:styleId="Heading1">
    <w:name w:val="heading 1"/>
    <w:basedOn w:val="Normal"/>
    <w:link w:val="Heading1Char"/>
    <w:uiPriority w:val="9"/>
    <w:qFormat/>
    <w:rsid w:val="00B40607"/>
    <w:pPr>
      <w:spacing w:after="0" w:line="240" w:lineRule="auto"/>
      <w:outlineLvl w:val="0"/>
    </w:pPr>
    <w:rPr>
      <w:rFonts w:ascii="Georgia" w:eastAsia="Times New Roman" w:hAnsi="Georgia" w:cs="Times New Roman"/>
      <w:b/>
      <w:bCs/>
      <w:color w:val="990000"/>
      <w:kern w:val="36"/>
      <w:sz w:val="34"/>
      <w:szCs w:val="34"/>
    </w:rPr>
  </w:style>
  <w:style w:type="paragraph" w:styleId="Heading2">
    <w:name w:val="heading 2"/>
    <w:basedOn w:val="Normal"/>
    <w:next w:val="Normal"/>
    <w:link w:val="Heading2Char"/>
    <w:uiPriority w:val="9"/>
    <w:semiHidden/>
    <w:unhideWhenUsed/>
    <w:qFormat/>
    <w:rsid w:val="003C25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406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607"/>
    <w:rPr>
      <w:rFonts w:ascii="Georgia" w:eastAsia="Times New Roman" w:hAnsi="Georgia" w:cs="Times New Roman"/>
      <w:b/>
      <w:bCs/>
      <w:color w:val="990000"/>
      <w:kern w:val="36"/>
      <w:sz w:val="34"/>
      <w:szCs w:val="34"/>
    </w:rPr>
  </w:style>
  <w:style w:type="character" w:customStyle="1" w:styleId="Heading3Char">
    <w:name w:val="Heading 3 Char"/>
    <w:basedOn w:val="DefaultParagraphFont"/>
    <w:link w:val="Heading3"/>
    <w:uiPriority w:val="9"/>
    <w:semiHidden/>
    <w:rsid w:val="00B40607"/>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B4060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6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772"/>
    <w:rPr>
      <w:rFonts w:ascii="Tahoma" w:hAnsi="Tahoma" w:cs="Tahoma"/>
      <w:sz w:val="16"/>
      <w:szCs w:val="16"/>
    </w:rPr>
  </w:style>
  <w:style w:type="character" w:customStyle="1" w:styleId="Heading2Char">
    <w:name w:val="Heading 2 Char"/>
    <w:basedOn w:val="DefaultParagraphFont"/>
    <w:link w:val="Heading2"/>
    <w:uiPriority w:val="9"/>
    <w:semiHidden/>
    <w:rsid w:val="003C259D"/>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0F54CF"/>
    <w:rPr>
      <w:b/>
      <w:bCs/>
    </w:rPr>
  </w:style>
  <w:style w:type="paragraph" w:styleId="Header">
    <w:name w:val="header"/>
    <w:basedOn w:val="Normal"/>
    <w:link w:val="HeaderChar"/>
    <w:uiPriority w:val="99"/>
    <w:unhideWhenUsed/>
    <w:rsid w:val="00BD1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191"/>
  </w:style>
  <w:style w:type="paragraph" w:styleId="Footer">
    <w:name w:val="footer"/>
    <w:basedOn w:val="Normal"/>
    <w:link w:val="FooterChar"/>
    <w:uiPriority w:val="99"/>
    <w:semiHidden/>
    <w:unhideWhenUsed/>
    <w:rsid w:val="00BD11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1191"/>
  </w:style>
</w:styles>
</file>

<file path=word/webSettings.xml><?xml version="1.0" encoding="utf-8"?>
<w:webSettings xmlns:r="http://schemas.openxmlformats.org/officeDocument/2006/relationships" xmlns:w="http://schemas.openxmlformats.org/wordprocessingml/2006/main">
  <w:divs>
    <w:div w:id="301616119">
      <w:bodyDiv w:val="1"/>
      <w:marLeft w:val="0"/>
      <w:marRight w:val="0"/>
      <w:marTop w:val="0"/>
      <w:marBottom w:val="0"/>
      <w:divBdr>
        <w:top w:val="none" w:sz="0" w:space="0" w:color="auto"/>
        <w:left w:val="none" w:sz="0" w:space="0" w:color="auto"/>
        <w:bottom w:val="none" w:sz="0" w:space="0" w:color="auto"/>
        <w:right w:val="none" w:sz="0" w:space="0" w:color="auto"/>
      </w:divBdr>
      <w:divsChild>
        <w:div w:id="888033910">
          <w:marLeft w:val="0"/>
          <w:marRight w:val="0"/>
          <w:marTop w:val="0"/>
          <w:marBottom w:val="0"/>
          <w:divBdr>
            <w:top w:val="single" w:sz="2" w:space="0" w:color="999999"/>
            <w:left w:val="single" w:sz="2" w:space="0" w:color="999999"/>
            <w:bottom w:val="single" w:sz="2" w:space="0" w:color="999999"/>
            <w:right w:val="single" w:sz="2" w:space="0" w:color="999999"/>
          </w:divBdr>
          <w:divsChild>
            <w:div w:id="1150487107">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615719399">
      <w:bodyDiv w:val="1"/>
      <w:marLeft w:val="0"/>
      <w:marRight w:val="0"/>
      <w:marTop w:val="0"/>
      <w:marBottom w:val="0"/>
      <w:divBdr>
        <w:top w:val="none" w:sz="0" w:space="0" w:color="auto"/>
        <w:left w:val="none" w:sz="0" w:space="0" w:color="auto"/>
        <w:bottom w:val="none" w:sz="0" w:space="0" w:color="auto"/>
        <w:right w:val="none" w:sz="0" w:space="0" w:color="auto"/>
      </w:divBdr>
      <w:divsChild>
        <w:div w:id="1793940851">
          <w:marLeft w:val="0"/>
          <w:marRight w:val="0"/>
          <w:marTop w:val="0"/>
          <w:marBottom w:val="0"/>
          <w:divBdr>
            <w:top w:val="single" w:sz="2" w:space="0" w:color="999999"/>
            <w:left w:val="single" w:sz="2" w:space="0" w:color="999999"/>
            <w:bottom w:val="single" w:sz="2" w:space="0" w:color="999999"/>
            <w:right w:val="single" w:sz="2" w:space="0" w:color="999999"/>
          </w:divBdr>
          <w:divsChild>
            <w:div w:id="1975988443">
              <w:marLeft w:val="188"/>
              <w:marRight w:val="188"/>
              <w:marTop w:val="188"/>
              <w:marBottom w:val="188"/>
              <w:divBdr>
                <w:top w:val="none" w:sz="0" w:space="0" w:color="auto"/>
                <w:left w:val="none" w:sz="0" w:space="0" w:color="auto"/>
                <w:bottom w:val="none" w:sz="0" w:space="0" w:color="auto"/>
                <w:right w:val="none" w:sz="0" w:space="0" w:color="auto"/>
              </w:divBdr>
            </w:div>
          </w:divsChild>
        </w:div>
      </w:divsChild>
    </w:div>
    <w:div w:id="1161654485">
      <w:bodyDiv w:val="1"/>
      <w:marLeft w:val="0"/>
      <w:marRight w:val="0"/>
      <w:marTop w:val="0"/>
      <w:marBottom w:val="0"/>
      <w:divBdr>
        <w:top w:val="none" w:sz="0" w:space="0" w:color="auto"/>
        <w:left w:val="none" w:sz="0" w:space="0" w:color="auto"/>
        <w:bottom w:val="none" w:sz="0" w:space="0" w:color="auto"/>
        <w:right w:val="none" w:sz="0" w:space="0" w:color="auto"/>
      </w:divBdr>
      <w:divsChild>
        <w:div w:id="802893075">
          <w:marLeft w:val="0"/>
          <w:marRight w:val="0"/>
          <w:marTop w:val="0"/>
          <w:marBottom w:val="0"/>
          <w:divBdr>
            <w:top w:val="single" w:sz="2" w:space="0" w:color="999999"/>
            <w:left w:val="single" w:sz="2" w:space="0" w:color="999999"/>
            <w:bottom w:val="single" w:sz="2" w:space="0" w:color="999999"/>
            <w:right w:val="single" w:sz="2" w:space="0" w:color="999999"/>
          </w:divBdr>
          <w:divsChild>
            <w:div w:id="344870779">
              <w:marLeft w:val="251"/>
              <w:marRight w:val="251"/>
              <w:marTop w:val="251"/>
              <w:marBottom w:val="251"/>
              <w:divBdr>
                <w:top w:val="none" w:sz="0" w:space="0" w:color="auto"/>
                <w:left w:val="none" w:sz="0" w:space="0" w:color="auto"/>
                <w:bottom w:val="none" w:sz="0" w:space="0" w:color="auto"/>
                <w:right w:val="none" w:sz="0" w:space="0" w:color="auto"/>
              </w:divBdr>
            </w:div>
          </w:divsChild>
        </w:div>
      </w:divsChild>
    </w:div>
    <w:div w:id="1697005341">
      <w:bodyDiv w:val="1"/>
      <w:marLeft w:val="0"/>
      <w:marRight w:val="0"/>
      <w:marTop w:val="0"/>
      <w:marBottom w:val="0"/>
      <w:divBdr>
        <w:top w:val="none" w:sz="0" w:space="0" w:color="auto"/>
        <w:left w:val="none" w:sz="0" w:space="0" w:color="auto"/>
        <w:bottom w:val="none" w:sz="0" w:space="0" w:color="auto"/>
        <w:right w:val="none" w:sz="0" w:space="0" w:color="auto"/>
      </w:divBdr>
      <w:divsChild>
        <w:div w:id="810564221">
          <w:marLeft w:val="0"/>
          <w:marRight w:val="0"/>
          <w:marTop w:val="0"/>
          <w:marBottom w:val="0"/>
          <w:divBdr>
            <w:top w:val="single" w:sz="2" w:space="0" w:color="999999"/>
            <w:left w:val="single" w:sz="2" w:space="0" w:color="999999"/>
            <w:bottom w:val="single" w:sz="2" w:space="0" w:color="999999"/>
            <w:right w:val="single" w:sz="2" w:space="0" w:color="999999"/>
          </w:divBdr>
          <w:divsChild>
            <w:div w:id="1522470951">
              <w:marLeft w:val="251"/>
              <w:marRight w:val="251"/>
              <w:marTop w:val="251"/>
              <w:marBottom w:val="251"/>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01250EBF7E65E49A88B3109CD84452C" ma:contentTypeVersion="1" ma:contentTypeDescription="Create a new document." ma:contentTypeScope="" ma:versionID="6993a082907b5c37f7d11bd6ed70b3eb">
  <xsd:schema xmlns:xsd="http://www.w3.org/2001/XMLSchema" xmlns:p="http://schemas.microsoft.com/office/2006/metadata/properties" xmlns:ns2="02770320-393f-412a-b0d7-62d791ef3cf9" targetNamespace="http://schemas.microsoft.com/office/2006/metadata/properties" ma:root="true" ma:fieldsID="e5c193c1a43af01916279ce30b497f12" ns2:_="">
    <xsd:import namespace="02770320-393f-412a-b0d7-62d791ef3cf9"/>
    <xsd:element name="properties">
      <xsd:complexType>
        <xsd:sequence>
          <xsd:element name="documentManagement">
            <xsd:complexType>
              <xsd:all>
                <xsd:element ref="ns2:ICR_x0020_Element" minOccurs="0"/>
              </xsd:all>
            </xsd:complexType>
          </xsd:element>
        </xsd:sequence>
      </xsd:complexType>
    </xsd:element>
  </xsd:schema>
  <xsd:schema xmlns:xsd="http://www.w3.org/2001/XMLSchema" xmlns:dms="http://schemas.microsoft.com/office/2006/documentManagement/types" targetNamespace="02770320-393f-412a-b0d7-62d791ef3cf9" elementFormDefault="qualified">
    <xsd:import namespace="http://schemas.microsoft.com/office/2006/documentManagement/types"/>
    <xsd:element name="ICR_x0020_Element" ma:index="8" nillable="true" ma:displayName="ICR Element" ma:format="Dropdown" ma:internalName="ICR_x0020_Element">
      <xsd:simpleType>
        <xsd:restriction base="dms:Choice">
          <xsd:enumeration value="83-I/C/E/D"/>
          <xsd:enumeration value="60-Day FRN"/>
          <xsd:enumeration value="30-Day FRN"/>
          <xsd:enumeration value="Supporting Statement A"/>
          <xsd:enumeration value="Supporting Statement B"/>
          <xsd:enumeration value="Privacy Impact Analysis"/>
          <xsd:enumeration value="Privacy Threshhold Assessment"/>
          <xsd:enumeration value="Systems of Record Notice"/>
          <xsd:enumeration value="Docket Request Form"/>
          <xsd:enumeration value="Rule/Statue/Regulation"/>
          <xsd:enumeration value="Instr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ICR_x0020_Element xmlns="02770320-393f-412a-b0d7-62d791ef3cf9">Rule/Statue/Regulation</ICR_x0020_Element>
  </documentManagement>
</p:properties>
</file>

<file path=customXml/itemProps1.xml><?xml version="1.0" encoding="utf-8"?>
<ds:datastoreItem xmlns:ds="http://schemas.openxmlformats.org/officeDocument/2006/customXml" ds:itemID="{A3BF3F97-A1D4-4082-8505-97EAD221A921}"/>
</file>

<file path=customXml/itemProps2.xml><?xml version="1.0" encoding="utf-8"?>
<ds:datastoreItem xmlns:ds="http://schemas.openxmlformats.org/officeDocument/2006/customXml" ds:itemID="{5D92F453-DF05-48C7-A0F5-263501F3B4C6}"/>
</file>

<file path=customXml/itemProps3.xml><?xml version="1.0" encoding="utf-8"?>
<ds:datastoreItem xmlns:ds="http://schemas.openxmlformats.org/officeDocument/2006/customXml" ds:itemID="{51BB7E4A-AD31-41F6-8FA2-CBED7B550B88}"/>
</file>

<file path=customXml/itemProps4.xml><?xml version="1.0" encoding="utf-8"?>
<ds:datastoreItem xmlns:ds="http://schemas.openxmlformats.org/officeDocument/2006/customXml" ds:itemID="{A8CB89B9-5D7B-483B-BF7F-364B977DFADF}"/>
</file>

<file path=docProps/app.xml><?xml version="1.0" encoding="utf-8"?>
<Properties xmlns="http://schemas.openxmlformats.org/officeDocument/2006/extended-properties" xmlns:vt="http://schemas.openxmlformats.org/officeDocument/2006/docPropsVTypes">
  <Template>Normal</Template>
  <TotalTime>71</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michael.leking</dc:creator>
  <cp:keywords/>
  <dc:description/>
  <cp:lastModifiedBy>michael.leking</cp:lastModifiedBy>
  <cp:revision>9</cp:revision>
  <cp:lastPrinted>2010-10-07T13:20:00Z</cp:lastPrinted>
  <dcterms:created xsi:type="dcterms:W3CDTF">2010-10-01T13:38:00Z</dcterms:created>
  <dcterms:modified xsi:type="dcterms:W3CDTF">2011-03-10T15:47:00Z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0x010100301250EBF7E65E49A88B3109CD84452C</vt:lpwstr>
  </property>
</Properties>
</file>