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bookmarkStart w:id="0" w:name="_GoBack"/>
      <w:bookmarkEnd w:id="0"/>
    </w:p>
    <w:p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8126EA" w:rsidRDefault="008126EA" w:rsidP="00C368FA">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esponse Survey System (FRSS) 105</w:t>
      </w:r>
      <w:r w:rsidRPr="00382324">
        <w:rPr>
          <w:rFonts w:ascii="Arial" w:hAnsi="Arial" w:cs="Arial"/>
          <w:sz w:val="40"/>
          <w:szCs w:val="40"/>
        </w:rPr>
        <w:t xml:space="preserve">: </w:t>
      </w:r>
      <w:r w:rsidR="000B6CA8">
        <w:rPr>
          <w:rFonts w:ascii="Arial" w:hAnsi="Arial" w:cs="Arial"/>
          <w:sz w:val="40"/>
          <w:szCs w:val="40"/>
        </w:rPr>
        <w:t>Condition of Public School Facilities</w:t>
      </w:r>
    </w:p>
    <w:p w:rsidR="008126EA" w:rsidRPr="000C6D70" w:rsidRDefault="008126EA" w:rsidP="00C368FA">
      <w:pPr>
        <w:spacing w:line="240" w:lineRule="auto"/>
        <w:ind w:left="360" w:right="252"/>
        <w:rPr>
          <w:rFonts w:ascii="Arial" w:hAnsi="Arial" w:cs="Arial"/>
          <w:sz w:val="40"/>
          <w:szCs w:val="40"/>
        </w:rPr>
      </w:pPr>
    </w:p>
    <w:p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OMB# 1850-0</w:t>
      </w:r>
      <w:r w:rsidR="004711AE">
        <w:rPr>
          <w:rFonts w:ascii="Arial" w:hAnsi="Arial" w:cs="Arial"/>
          <w:sz w:val="32"/>
          <w:szCs w:val="32"/>
        </w:rPr>
        <w:t>73</w:t>
      </w:r>
      <w:r w:rsidRPr="00955733">
        <w:rPr>
          <w:rFonts w:ascii="Arial" w:hAnsi="Arial" w:cs="Arial"/>
          <w:sz w:val="32"/>
          <w:szCs w:val="32"/>
        </w:rPr>
        <w:t xml:space="preserve">3 v. </w:t>
      </w:r>
      <w:r w:rsidR="00FF58A3">
        <w:rPr>
          <w:rFonts w:ascii="Arial" w:hAnsi="Arial" w:cs="Arial"/>
          <w:sz w:val="32"/>
          <w:szCs w:val="32"/>
        </w:rPr>
        <w:t>27</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4711AE" w:rsidP="00566755">
      <w:pPr>
        <w:spacing w:after="0" w:line="240" w:lineRule="auto"/>
        <w:ind w:left="360" w:right="259"/>
        <w:rPr>
          <w:rFonts w:ascii="Arial" w:hAnsi="Arial" w:cs="Arial"/>
          <w:sz w:val="32"/>
          <w:szCs w:val="32"/>
        </w:rPr>
      </w:pPr>
      <w:r>
        <w:rPr>
          <w:rFonts w:ascii="Arial" w:hAnsi="Arial" w:cs="Arial"/>
          <w:sz w:val="32"/>
          <w:szCs w:val="32"/>
        </w:rPr>
        <w:t xml:space="preserve">October </w:t>
      </w:r>
      <w:r w:rsidR="00FF58A3">
        <w:rPr>
          <w:rFonts w:ascii="Arial" w:hAnsi="Arial" w:cs="Arial"/>
          <w:sz w:val="32"/>
          <w:szCs w:val="32"/>
        </w:rPr>
        <w:t>22</w:t>
      </w:r>
      <w:r w:rsidR="000B6CA8">
        <w:rPr>
          <w:rFonts w:ascii="Arial" w:hAnsi="Arial" w:cs="Arial"/>
          <w:sz w:val="32"/>
          <w:szCs w:val="32"/>
        </w:rPr>
        <w:t>, 2012</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rsidR="00E8356E" w:rsidRDefault="00E8356E" w:rsidP="0028416B">
      <w:pPr>
        <w:spacing w:after="0" w:line="240" w:lineRule="atLeast"/>
        <w:ind w:firstLine="576"/>
        <w:rPr>
          <w:rFonts w:ascii="Times New Roman" w:hAnsi="Times New Roman"/>
        </w:rPr>
      </w:pPr>
    </w:p>
    <w:p w:rsidR="00E8356E" w:rsidRDefault="005C60AB" w:rsidP="0028416B">
      <w:pPr>
        <w:pStyle w:val="SL-FlLftSgl"/>
        <w:ind w:firstLine="576"/>
        <w:jc w:val="left"/>
      </w:pPr>
      <w:r w:rsidRPr="0079689D">
        <w:t xml:space="preserve">The National Center for Education Statistics (NCES), U.S. Department of Education (ED), requests OMB approval under the NCES system clearance for </w:t>
      </w:r>
      <w:r w:rsidR="00921705">
        <w:t>the Quick Response Information System (QRIS)</w:t>
      </w:r>
      <w:r w:rsidRPr="0079689D">
        <w:t xml:space="preserve"> (OMB </w:t>
      </w:r>
      <w:r w:rsidRPr="00955733">
        <w:t>#1850-0</w:t>
      </w:r>
      <w:r w:rsidR="00921705">
        <w:t>73</w:t>
      </w:r>
      <w:r w:rsidRPr="00955733">
        <w:t>3)</w:t>
      </w:r>
      <w:r w:rsidRPr="0079689D">
        <w:t xml:space="preserve"> </w:t>
      </w:r>
      <w:r>
        <w:t xml:space="preserve">to </w:t>
      </w:r>
      <w:r w:rsidR="00921705">
        <w:t xml:space="preserve">conduct data collection </w:t>
      </w:r>
      <w:r>
        <w:t>for</w:t>
      </w:r>
      <w:r w:rsidR="00921705">
        <w:t xml:space="preserve"> the</w:t>
      </w:r>
      <w:r>
        <w:t xml:space="preserve"> </w:t>
      </w:r>
      <w:r w:rsidR="00955733">
        <w:t>Fast Response Survey System (FRSS)</w:t>
      </w:r>
      <w:r w:rsidR="004654C9">
        <w:t xml:space="preserve"> </w:t>
      </w:r>
      <w:r>
        <w:t xml:space="preserve">survey </w:t>
      </w:r>
      <w:r w:rsidR="00E4409E">
        <w:t xml:space="preserve">#105 </w:t>
      </w:r>
      <w:r>
        <w:t xml:space="preserve">on the condition of public school facilities.  </w:t>
      </w:r>
      <w:r w:rsidR="00E8356E">
        <w:t xml:space="preserve">Congress has appropriated funds for NCES to conduct an FRSS survey on the condition of public school facilities, with a First Look report on the results to be released in late 2013.  FRSS previously conducted a survey on this topic in 1999.  </w:t>
      </w:r>
    </w:p>
    <w:p w:rsidR="00E8356E" w:rsidRDefault="00E8356E" w:rsidP="0028416B">
      <w:pPr>
        <w:spacing w:after="0" w:line="240" w:lineRule="atLeast"/>
        <w:ind w:firstLine="576"/>
        <w:rPr>
          <w:rFonts w:ascii="Times New Roman" w:hAnsi="Times New Roman"/>
        </w:rPr>
      </w:pPr>
    </w:p>
    <w:p w:rsidR="008126EA" w:rsidRPr="0079689D" w:rsidRDefault="0017409E" w:rsidP="0028416B">
      <w:pPr>
        <w:pStyle w:val="SL-FlLftSgl"/>
        <w:ind w:firstLine="576"/>
        <w:jc w:val="left"/>
      </w:pPr>
      <w:r>
        <w:t xml:space="preserve">The FRSS survey is </w:t>
      </w:r>
      <w:r w:rsidR="00C17075" w:rsidRPr="0079689D">
        <w:t>authorized under the Education Science Reform Act of 2002</w:t>
      </w:r>
      <w:r>
        <w:t xml:space="preserve"> (ERSA 2002, 20 U.S.C. 9573</w:t>
      </w:r>
      <w:r w:rsidR="003B4565">
        <w:t>)</w:t>
      </w:r>
      <w:r>
        <w:t>, which authorizes NCES to collect and report statistical data related to education in the United States</w:t>
      </w:r>
      <w:r w:rsidR="00C17075" w:rsidRPr="0079689D">
        <w:t>.</w:t>
      </w:r>
      <w:r w:rsidR="002624E7" w:rsidRPr="0079689D">
        <w:rPr>
          <w:bCs/>
        </w:rPr>
        <w:t xml:space="preserve"> </w:t>
      </w:r>
      <w:r w:rsidR="0032206B">
        <w:rPr>
          <w:bCs/>
        </w:rPr>
        <w:t xml:space="preserve"> </w:t>
      </w:r>
      <w:r w:rsidR="0032206B" w:rsidRPr="0079689D">
        <w:rPr>
          <w:szCs w:val="22"/>
        </w:rPr>
        <w:t>NCES has contract</w:t>
      </w:r>
      <w:r w:rsidR="0032206B">
        <w:rPr>
          <w:szCs w:val="22"/>
        </w:rPr>
        <w:t>ed Westat for this survey.</w:t>
      </w:r>
    </w:p>
    <w:p w:rsidR="008126EA" w:rsidRPr="0079689D" w:rsidRDefault="008126EA" w:rsidP="0041340B">
      <w:pPr>
        <w:spacing w:after="0" w:line="240" w:lineRule="atLeast"/>
        <w:ind w:firstLine="576"/>
        <w:rPr>
          <w:rFonts w:ascii="Times New Roman" w:hAnsi="Times New Roman"/>
        </w:rPr>
      </w:pPr>
    </w:p>
    <w:p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rsidR="008126EA" w:rsidRPr="0079689D" w:rsidRDefault="008126EA" w:rsidP="00E95802">
      <w:pPr>
        <w:pStyle w:val="SL-FlLftSgl"/>
        <w:rPr>
          <w:b/>
          <w:bCs/>
          <w:szCs w:val="22"/>
        </w:rPr>
      </w:pPr>
      <w:r w:rsidRPr="0079689D">
        <w:rPr>
          <w:b/>
          <w:bCs/>
          <w:szCs w:val="22"/>
        </w:rPr>
        <w:t xml:space="preserve">Overview of Survey Development </w:t>
      </w:r>
    </w:p>
    <w:p w:rsidR="004E6E76" w:rsidRPr="0028416B" w:rsidRDefault="004E6E76" w:rsidP="004E6E76">
      <w:pPr>
        <w:pStyle w:val="SL-FlLftSgl"/>
        <w:tabs>
          <w:tab w:val="left" w:pos="1070"/>
        </w:tabs>
        <w:rPr>
          <w:bCs/>
          <w:szCs w:val="22"/>
        </w:rPr>
      </w:pPr>
      <w:r>
        <w:rPr>
          <w:b/>
          <w:bCs/>
          <w:szCs w:val="22"/>
        </w:rPr>
        <w:tab/>
      </w:r>
    </w:p>
    <w:p w:rsidR="00B51698" w:rsidRDefault="004E6E76" w:rsidP="0028416B">
      <w:pPr>
        <w:pStyle w:val="SL-FlLftSgl"/>
        <w:ind w:firstLine="576"/>
        <w:jc w:val="left"/>
      </w:pPr>
      <w:r>
        <w:t>The 2012</w:t>
      </w:r>
      <w:r w:rsidR="00923BE1">
        <w:t>-13</w:t>
      </w:r>
      <w:r>
        <w:t xml:space="preserve"> FRSS survey will cover many of the same topics as the 1999 survey, but will use a revised questionnaire.  </w:t>
      </w:r>
      <w:r w:rsidR="00226EDC">
        <w:t xml:space="preserve">The current </w:t>
      </w:r>
      <w:r w:rsidR="00692B90">
        <w:t xml:space="preserve">survey </w:t>
      </w:r>
      <w:r w:rsidR="00692B90">
        <w:rPr>
          <w:szCs w:val="22"/>
        </w:rPr>
        <w:t xml:space="preserve">reflects lessons learned from the 1999 survey, </w:t>
      </w:r>
      <w:r w:rsidR="00692B90" w:rsidRPr="0079689D">
        <w:rPr>
          <w:bCs/>
        </w:rPr>
        <w:t>topics and issues identified through literature review</w:t>
      </w:r>
      <w:r w:rsidR="00692B90">
        <w:rPr>
          <w:bCs/>
        </w:rPr>
        <w:t>, with modifications based on two rounds of feasibility calls</w:t>
      </w:r>
      <w:r w:rsidR="0080416C">
        <w:rPr>
          <w:bCs/>
        </w:rPr>
        <w:t xml:space="preserve"> and two </w:t>
      </w:r>
      <w:r w:rsidR="006553E8">
        <w:rPr>
          <w:bCs/>
        </w:rPr>
        <w:t xml:space="preserve">rounds of </w:t>
      </w:r>
      <w:r w:rsidR="0080416C">
        <w:rPr>
          <w:bCs/>
        </w:rPr>
        <w:t>pretest</w:t>
      </w:r>
      <w:r w:rsidR="006553E8">
        <w:rPr>
          <w:bCs/>
        </w:rPr>
        <w:t xml:space="preserve"> calls</w:t>
      </w:r>
      <w:r w:rsidR="00692B90">
        <w:rPr>
          <w:bCs/>
        </w:rPr>
        <w:t xml:space="preserve"> </w:t>
      </w:r>
      <w:r w:rsidR="003304AC">
        <w:rPr>
          <w:bCs/>
        </w:rPr>
        <w:t xml:space="preserve">(OMB# 1850-0803) </w:t>
      </w:r>
      <w:r w:rsidR="00692B90">
        <w:rPr>
          <w:bCs/>
        </w:rPr>
        <w:t xml:space="preserve">with public school district personnel most knowledgeable about school facilities. </w:t>
      </w:r>
      <w:r>
        <w:t xml:space="preserve">A few items from the 1999 survey </w:t>
      </w:r>
      <w:r w:rsidR="00692B90">
        <w:t xml:space="preserve">are </w:t>
      </w:r>
      <w:r>
        <w:t>included on the 2012</w:t>
      </w:r>
      <w:r w:rsidR="00923BE1">
        <w:t>-13</w:t>
      </w:r>
      <w:r>
        <w:t xml:space="preserve"> questionnaire for comparison</w:t>
      </w:r>
      <w:r w:rsidR="00692B90">
        <w:t>.</w:t>
      </w:r>
      <w:r w:rsidR="00224F2F">
        <w:rPr>
          <w:bCs/>
        </w:rPr>
        <w:t xml:space="preserve"> </w:t>
      </w:r>
      <w:r>
        <w:t xml:space="preserve">As was done in 1999, schools will be sampled, but surveys will be </w:t>
      </w:r>
      <w:r w:rsidR="00912C21">
        <w:t xml:space="preserve">sent </w:t>
      </w:r>
      <w:r>
        <w:t xml:space="preserve">to districts, where facilities personnel and records are located. </w:t>
      </w:r>
      <w:r w:rsidR="007924FC">
        <w:t>T</w:t>
      </w:r>
      <w:r w:rsidR="00912C21">
        <w:t>wo rounds of feasibility calls, each with nine respondents, were conducted in May and June 2012</w:t>
      </w:r>
      <w:r w:rsidR="00FB1AF5">
        <w:t xml:space="preserve"> (OMB# </w:t>
      </w:r>
      <w:r w:rsidR="00FB1AF5" w:rsidRPr="00FB1AF5">
        <w:t>1850-0803 v.67</w:t>
      </w:r>
      <w:r w:rsidR="00FB1AF5">
        <w:t>)</w:t>
      </w:r>
      <w:r w:rsidR="00912C21">
        <w:t xml:space="preserve">. </w:t>
      </w:r>
      <w:r w:rsidR="00692B90">
        <w:t xml:space="preserve">The feasibility calls were used to explore potential new survey items, </w:t>
      </w:r>
      <w:r w:rsidR="003C06BC">
        <w:t xml:space="preserve">and </w:t>
      </w:r>
      <w:r w:rsidR="00692B90">
        <w:t>identify and correct issues with the content and format of the survey</w:t>
      </w:r>
      <w:r w:rsidR="003C06BC">
        <w:t xml:space="preserve"> before conducting the pretest. </w:t>
      </w:r>
      <w:r w:rsidR="00E12589">
        <w:t xml:space="preserve">Respondents were asked to review but not complete the questionnaire and then participate in a short telephone interview with Westat to provide feedback on the questionnaire. </w:t>
      </w:r>
      <w:r w:rsidR="00912C21">
        <w:t>The resulting draft of the questionnaire was then reviewed by the NCES Quality Review Board (QRB) and revised accordingly to prepare it for the pretest</w:t>
      </w:r>
      <w:r w:rsidR="003C06BC">
        <w:t xml:space="preserve">. </w:t>
      </w:r>
    </w:p>
    <w:p w:rsidR="00B51698" w:rsidRDefault="00B51698" w:rsidP="0028416B">
      <w:pPr>
        <w:pStyle w:val="SL-FlLftSgl"/>
        <w:ind w:firstLine="576"/>
        <w:jc w:val="left"/>
      </w:pPr>
    </w:p>
    <w:p w:rsidR="004E6E76" w:rsidRDefault="0080416C" w:rsidP="0028416B">
      <w:pPr>
        <w:pStyle w:val="SL-FlLftSgl"/>
        <w:ind w:firstLine="576"/>
        <w:jc w:val="left"/>
      </w:pPr>
      <w:r>
        <w:t xml:space="preserve">Two rounds of pretest calls, one with ten respondents and one with </w:t>
      </w:r>
      <w:r w:rsidR="00CD60C0">
        <w:t>six</w:t>
      </w:r>
      <w:r>
        <w:t xml:space="preserve"> respondents, were conducted in September and October 2012 (OMB# </w:t>
      </w:r>
      <w:r w:rsidRPr="00FB1AF5">
        <w:t>1850-0803 v.</w:t>
      </w:r>
      <w:r w:rsidR="008335FA">
        <w:t>70</w:t>
      </w:r>
      <w:r>
        <w:t>).</w:t>
      </w:r>
      <w:r w:rsidR="00040ABB">
        <w:t xml:space="preserve">  The second pretest was conducted to test minor changes to the wording and format of question </w:t>
      </w:r>
      <w:r w:rsidR="00040ABB" w:rsidRPr="0031693B">
        <w:t>14</w:t>
      </w:r>
      <w:r w:rsidR="00040ABB">
        <w:t xml:space="preserve"> </w:t>
      </w:r>
      <w:r w:rsidR="0031693B">
        <w:t xml:space="preserve">(now question 13) </w:t>
      </w:r>
      <w:r w:rsidR="00040ABB">
        <w:t xml:space="preserve">to reduce the number of respondents who inadvertently skipped Part B of the question.  </w:t>
      </w:r>
      <w:r w:rsidR="00E67B39">
        <w:t>In both rounds of pretest calls, r</w:t>
      </w:r>
      <w:r w:rsidR="009C44F8">
        <w:t xml:space="preserve">espondents were asked to complete the questionnaire and participate in a telephone debriefing with Westat to provide feedback on the questionnaire.  </w:t>
      </w:r>
      <w:r w:rsidR="00B51698">
        <w:t xml:space="preserve">Completed questionnaires were collected by fax prior to the debriefing with each respondent.  </w:t>
      </w:r>
      <w:r w:rsidR="00440A1F">
        <w:t>The purpose of the pretests was to verify that all questions and corresponding instructions were clear and unambiguous, to determine if the information would be readily accessible to respondents, and to determine whether the burden on respondents could be reduced further.  Changes to the questionnaires were made based on the feedback received from the pretests, and documented in memorandums summarizing the pretest results.</w:t>
      </w:r>
      <w:r w:rsidR="006478ED">
        <w:t xml:space="preserve">  After the first pretest, minor changes were made to the wording and format of question </w:t>
      </w:r>
      <w:r w:rsidR="006478ED" w:rsidRPr="0031693B">
        <w:t>14</w:t>
      </w:r>
      <w:r w:rsidR="0031693B">
        <w:t xml:space="preserve"> (now question 13)</w:t>
      </w:r>
      <w:r w:rsidR="006478ED">
        <w:t xml:space="preserve">.  After the second pretest, the only change was to drop </w:t>
      </w:r>
      <w:r w:rsidR="009025DA" w:rsidRPr="009025DA">
        <w:t xml:space="preserve">questions </w:t>
      </w:r>
      <w:r w:rsidR="009025DA" w:rsidRPr="0031693B">
        <w:t>12 and 16</w:t>
      </w:r>
      <w:r w:rsidR="009025DA">
        <w:t xml:space="preserve"> </w:t>
      </w:r>
      <w:r w:rsidR="0031693B">
        <w:t xml:space="preserve">(from the pretest version) </w:t>
      </w:r>
      <w:r w:rsidR="006478ED">
        <w:t>to reduce the length of the questionnaire to FRSS limits.</w:t>
      </w:r>
      <w:r w:rsidR="00440A1F">
        <w:t xml:space="preserve">  The revised questionnaire (Attachmen</w:t>
      </w:r>
      <w:r w:rsidR="006478ED">
        <w:t>t 1) is being submitted with this</w:t>
      </w:r>
      <w:r w:rsidR="00440A1F">
        <w:t xml:space="preserve"> request for OMB clearance.  </w:t>
      </w:r>
    </w:p>
    <w:p w:rsidR="002318D8" w:rsidRDefault="002318D8" w:rsidP="00323831">
      <w:pPr>
        <w:spacing w:after="0" w:line="240" w:lineRule="auto"/>
        <w:rPr>
          <w:rFonts w:ascii="Times New Roman" w:hAnsi="Times New Roman"/>
          <w:b/>
        </w:rPr>
      </w:pPr>
    </w:p>
    <w:p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rsidR="002318D8" w:rsidRPr="0079689D" w:rsidRDefault="002318D8" w:rsidP="002318D8">
      <w:pPr>
        <w:pStyle w:val="SP-SglSpPara"/>
        <w:ind w:firstLine="0"/>
        <w:rPr>
          <w:bCs/>
          <w:szCs w:val="22"/>
        </w:rPr>
      </w:pPr>
    </w:p>
    <w:p w:rsidR="002318D8" w:rsidRPr="0079689D" w:rsidRDefault="00843711" w:rsidP="0028416B">
      <w:pPr>
        <w:pStyle w:val="SP-SglSpPara"/>
        <w:jc w:val="left"/>
        <w:rPr>
          <w:bCs/>
        </w:rPr>
      </w:pPr>
      <w:r w:rsidRPr="005943B7">
        <w:t xml:space="preserve">The </w:t>
      </w:r>
      <w:r w:rsidR="0069222D" w:rsidRPr="005943B7">
        <w:t xml:space="preserve">NCES </w:t>
      </w:r>
      <w:r w:rsidRPr="005943B7">
        <w:t xml:space="preserve">QRB reviewed </w:t>
      </w:r>
      <w:r w:rsidR="0069222D" w:rsidRPr="005943B7">
        <w:t>study</w:t>
      </w:r>
      <w:r w:rsidR="005F0FBC" w:rsidRPr="005943B7">
        <w:t xml:space="preserve"> materials</w:t>
      </w:r>
      <w:r w:rsidRPr="005943B7">
        <w:t xml:space="preserve"> on two occasions prior to the submission for the</w:t>
      </w:r>
      <w:r>
        <w:rPr>
          <w:bCs/>
        </w:rPr>
        <w:t xml:space="preserve"> feasibility calls.</w:t>
      </w:r>
      <w:r w:rsidR="0069222D">
        <w:rPr>
          <w:bCs/>
        </w:rPr>
        <w:t xml:space="preserve">  </w:t>
      </w:r>
      <w:r>
        <w:rPr>
          <w:bCs/>
        </w:rPr>
        <w:t>QRB members first reviewed a descriptive paragraph about</w:t>
      </w:r>
      <w:r w:rsidR="002318D8">
        <w:rPr>
          <w:bCs/>
        </w:rPr>
        <w:t xml:space="preserve"> the study</w:t>
      </w:r>
      <w:r>
        <w:rPr>
          <w:bCs/>
        </w:rPr>
        <w:t>,</w:t>
      </w:r>
      <w:r w:rsidR="002318D8">
        <w:rPr>
          <w:bCs/>
        </w:rPr>
        <w:t xml:space="preserve"> and </w:t>
      </w:r>
      <w:r>
        <w:rPr>
          <w:bCs/>
        </w:rPr>
        <w:t xml:space="preserve">later reviewed </w:t>
      </w:r>
      <w:r w:rsidR="002318D8">
        <w:rPr>
          <w:bCs/>
        </w:rPr>
        <w:t>a draft questionnaire</w:t>
      </w:r>
      <w:r w:rsidR="0069222D">
        <w:rPr>
          <w:bCs/>
        </w:rPr>
        <w:t xml:space="preserve">.  </w:t>
      </w:r>
      <w:r w:rsidR="00F85EB0">
        <w:rPr>
          <w:bCs/>
        </w:rPr>
        <w:t>The questionnaire was also reviewed by the Office of Innovation and Improvement (OII) in the U.S. Department of Education</w:t>
      </w:r>
      <w:r w:rsidR="00912C21">
        <w:rPr>
          <w:bCs/>
        </w:rPr>
        <w:t xml:space="preserve">.  </w:t>
      </w:r>
      <w:r>
        <w:rPr>
          <w:bCs/>
        </w:rPr>
        <w:t xml:space="preserve">In addition, the questionnaire was sent to the Environmental Protection Agency for review.  </w:t>
      </w:r>
      <w:r w:rsidR="0069222D">
        <w:rPr>
          <w:bCs/>
        </w:rPr>
        <w:t>Revisions were made to the instrument, and a few new items were added based on input from the reviewers</w:t>
      </w:r>
      <w:r w:rsidR="005F0FBC">
        <w:rPr>
          <w:bCs/>
        </w:rPr>
        <w:t>.</w:t>
      </w:r>
      <w:r>
        <w:rPr>
          <w:bCs/>
        </w:rPr>
        <w:t xml:space="preserve">  </w:t>
      </w:r>
      <w:r w:rsidR="002C19C5">
        <w:rPr>
          <w:bCs/>
        </w:rPr>
        <w:t xml:space="preserve">The </w:t>
      </w:r>
      <w:r w:rsidR="002C19C5">
        <w:rPr>
          <w:bCs/>
        </w:rPr>
        <w:lastRenderedPageBreak/>
        <w:t>questionnaire was tested with respondents during feasibility calls.</w:t>
      </w:r>
      <w:r w:rsidR="005973A9">
        <w:rPr>
          <w:bCs/>
        </w:rPr>
        <w:t xml:space="preserve"> The questionnaire was then revised and again reviewed by the NCES QRB and OII</w:t>
      </w:r>
      <w:r w:rsidR="00A57759">
        <w:rPr>
          <w:bCs/>
        </w:rPr>
        <w:t xml:space="preserve"> prior to the pretest calls</w:t>
      </w:r>
      <w:r w:rsidR="005973A9">
        <w:rPr>
          <w:bCs/>
        </w:rPr>
        <w:t>.</w:t>
      </w:r>
    </w:p>
    <w:p w:rsidR="002318D8" w:rsidRPr="0079689D" w:rsidRDefault="002318D8" w:rsidP="002318D8">
      <w:pPr>
        <w:spacing w:after="0" w:line="240" w:lineRule="atLeast"/>
        <w:rPr>
          <w:rFonts w:ascii="Times New Roman" w:hAnsi="Times New Roman"/>
          <w:bCs/>
        </w:rPr>
      </w:pPr>
    </w:p>
    <w:p w:rsidR="003B4565" w:rsidRDefault="003B4565" w:rsidP="0041340B">
      <w:pPr>
        <w:spacing w:after="0" w:line="240" w:lineRule="atLeast"/>
        <w:rPr>
          <w:rFonts w:ascii="Times New Roman" w:hAnsi="Times New Roman"/>
          <w:b/>
        </w:rPr>
      </w:pPr>
      <w:r>
        <w:rPr>
          <w:rFonts w:ascii="Times New Roman" w:hAnsi="Times New Roman"/>
          <w:b/>
        </w:rPr>
        <w:t>Assurance of Confidentiality</w:t>
      </w:r>
    </w:p>
    <w:p w:rsidR="003B4565" w:rsidRDefault="003B4565" w:rsidP="0041340B">
      <w:pPr>
        <w:spacing w:after="0" w:line="240" w:lineRule="atLeast"/>
        <w:rPr>
          <w:rFonts w:ascii="Times New Roman" w:hAnsi="Times New Roman"/>
          <w:b/>
        </w:rPr>
      </w:pPr>
    </w:p>
    <w:p w:rsidR="003B4565" w:rsidRDefault="003B4565" w:rsidP="00E637F3">
      <w:pPr>
        <w:pStyle w:val="SP-SglSpPara"/>
        <w:jc w:val="left"/>
      </w:pPr>
      <w:r>
        <w:t>Data to be collected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Respondent</w:t>
      </w:r>
      <w:r w:rsidR="009640FA">
        <w:t>s</w:t>
      </w:r>
      <w:r>
        <w:t xml:space="preserve"> will be assured that </w:t>
      </w:r>
      <w:r w:rsidR="00E637F3" w:rsidRPr="00E637F3">
        <w:t xml:space="preserve">their </w:t>
      </w:r>
      <w:r w:rsidR="00E637F3" w:rsidRPr="00E637F3">
        <w:t>participation in th</w:t>
      </w:r>
      <w:r w:rsidR="00E637F3" w:rsidRPr="00E637F3">
        <w:t>e</w:t>
      </w:r>
      <w:r w:rsidR="00E637F3" w:rsidRPr="00E637F3">
        <w:t xml:space="preserve"> survey is voluntary</w:t>
      </w:r>
      <w:r w:rsidR="00E637F3" w:rsidRPr="00E637F3">
        <w:t xml:space="preserve"> and that their </w:t>
      </w:r>
      <w:r w:rsidR="00E637F3" w:rsidRPr="00E637F3">
        <w:t>answers may be used only for statistical purposes and may not be disclosed, or used, in identifiable form for any other purpose unless otherwise compelled by law (Education Sciences Reform Act of 2002, 20 U.S.C. § 9573)</w:t>
      </w:r>
      <w:r>
        <w:t>.</w:t>
      </w:r>
    </w:p>
    <w:p w:rsidR="003B4565" w:rsidRPr="003B4565" w:rsidRDefault="003B4565" w:rsidP="0041340B">
      <w:pPr>
        <w:spacing w:after="0" w:line="240" w:lineRule="atLeast"/>
        <w:rPr>
          <w:rFonts w:ascii="Times New Roman" w:hAnsi="Times New Roman"/>
        </w:rPr>
      </w:pPr>
    </w:p>
    <w:p w:rsidR="008126EA" w:rsidRPr="0079689D" w:rsidRDefault="00EC5FF8" w:rsidP="0041340B">
      <w:pPr>
        <w:spacing w:after="0" w:line="240" w:lineRule="atLeast"/>
        <w:rPr>
          <w:rFonts w:ascii="Times New Roman" w:hAnsi="Times New Roman"/>
          <w:b/>
        </w:rPr>
      </w:pPr>
      <w:r>
        <w:rPr>
          <w:rFonts w:ascii="Times New Roman" w:hAnsi="Times New Roman"/>
          <w:b/>
        </w:rPr>
        <w:t xml:space="preserve">Description of </w:t>
      </w:r>
      <w:r w:rsidR="008126EA" w:rsidRPr="00FC21D8">
        <w:rPr>
          <w:rFonts w:ascii="Times New Roman" w:hAnsi="Times New Roman"/>
          <w:b/>
        </w:rPr>
        <w:t>Sample</w:t>
      </w:r>
      <w:r>
        <w:rPr>
          <w:rFonts w:ascii="Times New Roman" w:hAnsi="Times New Roman"/>
          <w:b/>
        </w:rPr>
        <w:t xml:space="preserve"> and</w:t>
      </w:r>
      <w:r w:rsidR="008126EA" w:rsidRPr="00FC21D8">
        <w:rPr>
          <w:rFonts w:ascii="Times New Roman" w:hAnsi="Times New Roman"/>
          <w:b/>
        </w:rPr>
        <w:t xml:space="preserve"> Burden</w:t>
      </w:r>
    </w:p>
    <w:p w:rsidR="008126EA" w:rsidRPr="0079689D" w:rsidRDefault="008126EA" w:rsidP="0041340B">
      <w:pPr>
        <w:spacing w:after="0" w:line="240" w:lineRule="atLeast"/>
        <w:rPr>
          <w:rFonts w:ascii="Times New Roman" w:hAnsi="Times New Roman"/>
          <w:b/>
        </w:rPr>
      </w:pPr>
    </w:p>
    <w:p w:rsidR="007C2C23" w:rsidRPr="0079689D" w:rsidRDefault="00EC7C1C" w:rsidP="0028416B">
      <w:pPr>
        <w:pStyle w:val="SP-SglSpPara"/>
        <w:jc w:val="left"/>
      </w:pPr>
      <w:r>
        <w:t xml:space="preserve">The proposed sample design is a nationally representative sample of 1,800 regular public schools from the 2010-11 NCES Common Core of Data (CCD) Public Elementary/Secondary School Universe File.  </w:t>
      </w:r>
      <w:r w:rsidR="0017527C" w:rsidRPr="00E60C30">
        <w:t>Since facilities personnel and records are generally located at the district,</w:t>
      </w:r>
      <w:r w:rsidR="00B457FD">
        <w:t xml:space="preserve"> the survey will be sent to the</w:t>
      </w:r>
      <w:r w:rsidR="0017527C" w:rsidRPr="00E60C30">
        <w:t xml:space="preserve"> district</w:t>
      </w:r>
      <w:r w:rsidR="00B457FD">
        <w:t xml:space="preserve"> in which</w:t>
      </w:r>
      <w:r w:rsidR="007842D9">
        <w:t xml:space="preserve"> the sampled school is located, with instructions that the survey is designed to be completed only for the sampled school by </w:t>
      </w:r>
      <w:r w:rsidR="008126EA" w:rsidRPr="0079689D">
        <w:t xml:space="preserve">the person </w:t>
      </w:r>
      <w:r w:rsidR="00397E91">
        <w:t>in the district who is most familiar with the school facilities in the district.</w:t>
      </w:r>
      <w:r w:rsidR="007842D9">
        <w:t xml:space="preserve">  This is the same procedure that was followed in the 1999 FRSS survey, and was also used in the feasibility and pretest calls for this FRSS survey.</w:t>
      </w:r>
      <w:r w:rsidR="008B5D57">
        <w:t xml:space="preserve">  The questionnaire is limited to three pages of items readily available to respondents and can be completed by most respondents in 30 minutes or less.</w:t>
      </w:r>
    </w:p>
    <w:p w:rsidR="007C2C23" w:rsidRDefault="007C2C23" w:rsidP="0028416B">
      <w:pPr>
        <w:spacing w:after="0" w:line="240" w:lineRule="atLeast"/>
        <w:ind w:firstLine="576"/>
        <w:rPr>
          <w:rFonts w:ascii="Times New Roman" w:hAnsi="Times New Roman"/>
        </w:rPr>
      </w:pPr>
    </w:p>
    <w:p w:rsidR="006D7314" w:rsidRDefault="006D7314" w:rsidP="0028416B">
      <w:pPr>
        <w:pStyle w:val="SP-SglSpPara"/>
        <w:jc w:val="left"/>
      </w:pPr>
      <w:r>
        <w:t>Any special requirements that districts have for approval of surveys will be met before survey materials are mailed to those districts. Each of the approximately 10 dis</w:t>
      </w:r>
      <w:r w:rsidR="000032E1">
        <w:t>tricts</w:t>
      </w:r>
      <w:r w:rsidR="003A0C0F">
        <w:t xml:space="preserve"> that require special approval</w:t>
      </w:r>
      <w:r w:rsidR="000032E1">
        <w:t xml:space="preserve"> has unique requirements </w:t>
      </w:r>
      <w:r>
        <w:t xml:space="preserve">for obtaining approval.  </w:t>
      </w:r>
      <w:r w:rsidR="000032E1">
        <w:t xml:space="preserve">The materials sent to special districts will be tailored to meet the specific requirements </w:t>
      </w:r>
      <w:r>
        <w:t xml:space="preserve">of </w:t>
      </w:r>
      <w:r w:rsidR="000032E1">
        <w:t xml:space="preserve">each </w:t>
      </w:r>
      <w:r>
        <w:t>district</w:t>
      </w:r>
      <w:r w:rsidR="000032E1">
        <w:t xml:space="preserve">, </w:t>
      </w:r>
      <w:r w:rsidR="007E41C4">
        <w:t>consistent with the materials included in this</w:t>
      </w:r>
      <w:r w:rsidR="000032E1">
        <w:t xml:space="preserve"> OMB package.  For example, most districts request information on survey justification, confidentiality, sample size, and survey collection procedures, which will be copied from the appropriate sections of the OMB package</w:t>
      </w:r>
      <w:r w:rsidR="007E41C4">
        <w:t xml:space="preserve"> after its approval</w:t>
      </w:r>
      <w:r w:rsidR="000032E1">
        <w:t>.</w:t>
      </w:r>
    </w:p>
    <w:p w:rsidR="00972C44" w:rsidRDefault="00972C44" w:rsidP="0028416B">
      <w:pPr>
        <w:pStyle w:val="SP-SglSpPara"/>
        <w:jc w:val="left"/>
      </w:pPr>
    </w:p>
    <w:p w:rsidR="006D7314" w:rsidRDefault="000032E1" w:rsidP="0028416B">
      <w:pPr>
        <w:pStyle w:val="SP-SglSpPara"/>
        <w:jc w:val="left"/>
      </w:pPr>
      <w:r>
        <w:t>Questionnaire packages, including information needed to access the Web survey and a list of sampled schools in the district, will be mailed to the superintendent</w:t>
      </w:r>
      <w:r w:rsidR="001773F6">
        <w:t xml:space="preserve"> of districts with sampled schools</w:t>
      </w:r>
      <w:r>
        <w:t xml:space="preserve"> in January 201</w:t>
      </w:r>
      <w:r w:rsidR="001773F6">
        <w:t>3</w:t>
      </w:r>
      <w:r>
        <w:t xml:space="preserve">.  The </w:t>
      </w:r>
      <w:r w:rsidRPr="001D122A">
        <w:t xml:space="preserve">cover letter </w:t>
      </w:r>
      <w:r>
        <w:t xml:space="preserve">and questionnaire </w:t>
      </w:r>
      <w:r w:rsidRPr="001D122A">
        <w:t>will include a description of th</w:t>
      </w:r>
      <w:r>
        <w:t>e most appropriate district-level respondent.  Follow-up for nonresponse will be conducted both by mail and telephone and will begin about 3 weeks after the questionnaires have been mailed to the districts.  Experienced telephone interviewers will be trained to conduct the nonresponse follow-up and will be monitored by Westat supervisory personnel. Telephone nonresponse follow-up is used to prompt respondents to complete the survey by web, mail, or fax and is expected to take about 5 minutes.</w:t>
      </w:r>
    </w:p>
    <w:p w:rsidR="00282FBC" w:rsidRDefault="00282FBC" w:rsidP="0028416B">
      <w:pPr>
        <w:pStyle w:val="SP-SglSpPara"/>
        <w:jc w:val="left"/>
      </w:pPr>
    </w:p>
    <w:p w:rsidR="00282FBC" w:rsidRDefault="00EA1C2E" w:rsidP="0028416B">
      <w:pPr>
        <w:pStyle w:val="SP-SglSpPara"/>
        <w:jc w:val="left"/>
      </w:pPr>
      <w:r>
        <w:t xml:space="preserve">The sample of 1,800 schools is estimated to be located in 1,530 districts, based on previous FRSS studies.  </w:t>
      </w:r>
      <w:r w:rsidR="00282FBC">
        <w:t>The estimated burden time for districts to review the introductory letter requesting their participation (initial contact) is 5 minutes per district for a total of 1</w:t>
      </w:r>
      <w:r>
        <w:t>27</w:t>
      </w:r>
      <w:r w:rsidR="00282FBC">
        <w:t xml:space="preserve"> respondent burden hours</w:t>
      </w:r>
      <w:r w:rsidR="00282FBC" w:rsidRPr="001A0917">
        <w:t xml:space="preserve"> </w:t>
      </w:r>
      <w:r w:rsidR="00282FBC">
        <w:t xml:space="preserve">(table </w:t>
      </w:r>
      <w:r w:rsidR="007679E0">
        <w:t>1</w:t>
      </w:r>
      <w:r w:rsidR="00282FBC">
        <w:t xml:space="preserve">). The initial sample of 1,800 </w:t>
      </w:r>
      <w:r w:rsidR="007679E0">
        <w:t xml:space="preserve">schools </w:t>
      </w:r>
      <w:r w:rsidR="00282FBC">
        <w:t xml:space="preserve">will yield about 1,620 completed questionnaires, assuming a response rate of 90 percent. Based on a response burden of approximately </w:t>
      </w:r>
      <w:r w:rsidR="00282FBC" w:rsidRPr="00EC718D">
        <w:t>30 minutes per completed questionnaire, the estimated response burden to complete the sur</w:t>
      </w:r>
      <w:r w:rsidR="00282FBC">
        <w:t>vey is estimated to be about 810 hours.</w:t>
      </w:r>
      <w:r w:rsidR="00282FBC" w:rsidRPr="0082101E">
        <w:rPr>
          <w:vertAlign w:val="superscript"/>
        </w:rPr>
        <w:footnoteReference w:id="1"/>
      </w:r>
      <w:r w:rsidR="00282FBC">
        <w:t xml:space="preserve"> It is anticipated that about 75 percent of the </w:t>
      </w:r>
      <w:r w:rsidR="000E5BBB">
        <w:t xml:space="preserve">districts </w:t>
      </w:r>
      <w:r w:rsidR="00282FBC">
        <w:t>(i.e.</w:t>
      </w:r>
      <w:r w:rsidR="000E5BBB">
        <w:t>,</w:t>
      </w:r>
      <w:r w:rsidR="00282FBC">
        <w:t xml:space="preserve"> 1,</w:t>
      </w:r>
      <w:r w:rsidR="000E5BBB">
        <w:t>148 districts</w:t>
      </w:r>
      <w:r w:rsidR="00282FBC">
        <w:t xml:space="preserve">) will receive a nonresponse follow-up call that will take about 5 minutes. The total estimated burden time for nonresponse follow-up is about </w:t>
      </w:r>
      <w:r w:rsidR="000E5BBB">
        <w:t>95</w:t>
      </w:r>
      <w:r w:rsidR="00282FBC">
        <w:t xml:space="preserve"> hours. The total number of burden hours for data collection and nonresponse follow-up is about </w:t>
      </w:r>
      <w:r w:rsidR="0006166C">
        <w:t>1,0</w:t>
      </w:r>
      <w:r w:rsidR="000E5BBB">
        <w:t>52</w:t>
      </w:r>
      <w:r w:rsidR="00282FBC">
        <w:t xml:space="preserve"> hours. </w:t>
      </w:r>
    </w:p>
    <w:p w:rsidR="008610F3" w:rsidRDefault="008610F3" w:rsidP="00972C44">
      <w:pPr>
        <w:pStyle w:val="SP-SglSpPara"/>
      </w:pPr>
    </w:p>
    <w:p w:rsidR="008610F3" w:rsidRPr="00B17E4E" w:rsidRDefault="008610F3" w:rsidP="00972C44">
      <w:pPr>
        <w:pStyle w:val="SP-SglSpPara"/>
      </w:pPr>
    </w:p>
    <w:p w:rsidR="00784B5C" w:rsidRPr="00AC2CDC" w:rsidRDefault="00784B5C" w:rsidP="00784B5C">
      <w:pPr>
        <w:ind w:left="990" w:hanging="990"/>
        <w:rPr>
          <w:rFonts w:ascii="Times New Roman" w:hAnsi="Times New Roman"/>
          <w:b/>
        </w:rPr>
      </w:pPr>
      <w:r w:rsidRPr="00AC2CDC">
        <w:rPr>
          <w:rFonts w:ascii="Times New Roman" w:hAnsi="Times New Roman"/>
          <w:b/>
        </w:rPr>
        <w:t>Table 1.</w:t>
      </w:r>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 xml:space="preserve">up: FRSS </w:t>
      </w:r>
      <w:r w:rsidR="007675FD">
        <w:rPr>
          <w:rFonts w:ascii="Times New Roman" w:hAnsi="Times New Roman"/>
          <w:b/>
        </w:rPr>
        <w:t>105</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214"/>
        <w:gridCol w:w="1194"/>
        <w:gridCol w:w="1194"/>
        <w:gridCol w:w="1194"/>
        <w:gridCol w:w="1194"/>
        <w:gridCol w:w="1194"/>
        <w:gridCol w:w="1194"/>
      </w:tblGrid>
      <w:tr w:rsidR="00784B5C" w:rsidRPr="00AC2CDC" w:rsidTr="00784B5C">
        <w:trPr>
          <w:trHeight w:val="772"/>
          <w:jc w:val="center"/>
        </w:trPr>
        <w:tc>
          <w:tcPr>
            <w:tcW w:w="2214" w:type="dxa"/>
            <w:tcBorders>
              <w:bottom w:val="single" w:sz="4" w:space="0" w:color="000000" w:themeColor="text1"/>
            </w:tcBorders>
            <w:vAlign w:val="bottom"/>
          </w:tcPr>
          <w:p w:rsidR="00784B5C" w:rsidRPr="00AC2CDC" w:rsidRDefault="00784B5C" w:rsidP="00784B5C">
            <w:pPr>
              <w:spacing w:line="240" w:lineRule="atLeast"/>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194" w:type="dxa"/>
            <w:tcBorders>
              <w:bottom w:val="single" w:sz="4" w:space="0" w:color="000000" w:themeColor="text1"/>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0C2F15" w:rsidRPr="00AC2CDC" w:rsidTr="00784B5C">
        <w:trPr>
          <w:trHeight w:val="247"/>
          <w:jc w:val="center"/>
        </w:trPr>
        <w:tc>
          <w:tcPr>
            <w:tcW w:w="2214" w:type="dxa"/>
            <w:tcBorders>
              <w:top w:val="nil"/>
              <w:bottom w:val="nil"/>
              <w:right w:val="nil"/>
            </w:tcBorders>
          </w:tcPr>
          <w:p w:rsidR="000C2F15" w:rsidRPr="007675FD" w:rsidRDefault="000C2F15" w:rsidP="00784B5C">
            <w:pPr>
              <w:tabs>
                <w:tab w:val="right" w:leader="dot" w:pos="1998"/>
              </w:tabs>
              <w:spacing w:line="240" w:lineRule="atLeast"/>
              <w:rPr>
                <w:rFonts w:ascii="Times New Roman" w:hAnsi="Times New Roman" w:cs="Times New Roman"/>
                <w:sz w:val="18"/>
                <w:szCs w:val="18"/>
              </w:rPr>
            </w:pPr>
            <w:r w:rsidRPr="007675FD">
              <w:rPr>
                <w:rFonts w:ascii="Times New Roman" w:hAnsi="Times New Roman" w:cs="Times New Roman"/>
                <w:sz w:val="18"/>
                <w:szCs w:val="18"/>
              </w:rPr>
              <w:t>Special clearance district review</w:t>
            </w:r>
            <w:r w:rsidRPr="007675FD">
              <w:rPr>
                <w:rFonts w:ascii="Times New Roman" w:hAnsi="Times New Roman" w:cs="Times New Roman"/>
                <w:sz w:val="18"/>
                <w:szCs w:val="18"/>
              </w:rPr>
              <w:tab/>
            </w:r>
          </w:p>
        </w:tc>
        <w:tc>
          <w:tcPr>
            <w:tcW w:w="1194" w:type="dxa"/>
            <w:tcBorders>
              <w:top w:val="nil"/>
              <w:left w:val="nil"/>
              <w:bottom w:val="nil"/>
              <w:right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sidRPr="007675FD">
              <w:rPr>
                <w:rFonts w:ascii="Times New Roman" w:hAnsi="Times New Roman" w:cs="Times New Roman"/>
                <w:sz w:val="18"/>
                <w:szCs w:val="18"/>
              </w:rPr>
              <w:t>10</w:t>
            </w:r>
          </w:p>
        </w:tc>
        <w:tc>
          <w:tcPr>
            <w:tcW w:w="1194" w:type="dxa"/>
            <w:tcBorders>
              <w:top w:val="nil"/>
              <w:left w:val="nil"/>
              <w:bottom w:val="nil"/>
              <w:right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w:t>
            </w:r>
            <w:r w:rsidRPr="007675FD">
              <w:rPr>
                <w:rFonts w:ascii="Times New Roman" w:hAnsi="Times New Roman" w:cs="Times New Roman"/>
                <w:sz w:val="18"/>
                <w:szCs w:val="18"/>
              </w:rPr>
              <w:t>00</w:t>
            </w:r>
            <w:r>
              <w:rPr>
                <w:rFonts w:ascii="Times New Roman" w:hAnsi="Times New Roman" w:cs="Times New Roman"/>
                <w:sz w:val="18"/>
                <w:szCs w:val="18"/>
              </w:rPr>
              <w:t>%</w:t>
            </w:r>
          </w:p>
        </w:tc>
        <w:tc>
          <w:tcPr>
            <w:tcW w:w="1194" w:type="dxa"/>
            <w:tcBorders>
              <w:top w:val="nil"/>
              <w:left w:val="nil"/>
              <w:bottom w:val="nil"/>
              <w:right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sidRPr="007675FD">
              <w:rPr>
                <w:rFonts w:ascii="Times New Roman" w:hAnsi="Times New Roman" w:cs="Times New Roman"/>
                <w:sz w:val="18"/>
                <w:szCs w:val="18"/>
              </w:rPr>
              <w:t>10</w:t>
            </w:r>
          </w:p>
        </w:tc>
        <w:tc>
          <w:tcPr>
            <w:tcW w:w="1194" w:type="dxa"/>
            <w:tcBorders>
              <w:top w:val="nil"/>
              <w:left w:val="nil"/>
              <w:bottom w:val="nil"/>
              <w:right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sidRPr="007675FD">
              <w:rPr>
                <w:rFonts w:ascii="Times New Roman" w:hAnsi="Times New Roman" w:cs="Times New Roman"/>
                <w:sz w:val="18"/>
                <w:szCs w:val="18"/>
              </w:rPr>
              <w:t>10</w:t>
            </w:r>
          </w:p>
        </w:tc>
        <w:tc>
          <w:tcPr>
            <w:tcW w:w="1194" w:type="dxa"/>
            <w:tcBorders>
              <w:top w:val="nil"/>
              <w:left w:val="nil"/>
              <w:bottom w:val="nil"/>
              <w:right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sidRPr="007675FD">
              <w:rPr>
                <w:rFonts w:ascii="Times New Roman" w:hAnsi="Times New Roman" w:cs="Times New Roman"/>
                <w:sz w:val="18"/>
                <w:szCs w:val="18"/>
              </w:rPr>
              <w:t>2.00</w:t>
            </w:r>
          </w:p>
        </w:tc>
        <w:tc>
          <w:tcPr>
            <w:tcW w:w="1194" w:type="dxa"/>
            <w:tcBorders>
              <w:top w:val="nil"/>
              <w:left w:val="nil"/>
              <w:bottom w:val="nil"/>
            </w:tcBorders>
            <w:vAlign w:val="bottom"/>
          </w:tcPr>
          <w:p w:rsidR="000C2F15" w:rsidRPr="007675FD" w:rsidRDefault="000C2F15" w:rsidP="009A0479">
            <w:pPr>
              <w:spacing w:line="240" w:lineRule="atLeast"/>
              <w:jc w:val="right"/>
              <w:rPr>
                <w:rFonts w:ascii="Times New Roman" w:hAnsi="Times New Roman" w:cs="Times New Roman"/>
                <w:sz w:val="18"/>
                <w:szCs w:val="18"/>
              </w:rPr>
            </w:pPr>
            <w:r w:rsidRPr="007675FD">
              <w:rPr>
                <w:rFonts w:ascii="Times New Roman" w:hAnsi="Times New Roman" w:cs="Times New Roman"/>
                <w:sz w:val="18"/>
                <w:szCs w:val="18"/>
              </w:rPr>
              <w:t>20</w:t>
            </w:r>
          </w:p>
        </w:tc>
      </w:tr>
      <w:tr w:rsidR="000C2F15" w:rsidRPr="00AC2CDC" w:rsidTr="00784B5C">
        <w:trPr>
          <w:trHeight w:val="247"/>
          <w:jc w:val="center"/>
        </w:trPr>
        <w:tc>
          <w:tcPr>
            <w:tcW w:w="2214" w:type="dxa"/>
            <w:tcBorders>
              <w:top w:val="nil"/>
              <w:bottom w:val="nil"/>
              <w:right w:val="nil"/>
            </w:tcBorders>
          </w:tcPr>
          <w:p w:rsidR="000C2F15" w:rsidRPr="00AC2CDC" w:rsidRDefault="000C2F15" w:rsidP="00784B5C">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 xml:space="preserve">Initial district contact </w:t>
            </w:r>
            <w:r>
              <w:rPr>
                <w:rFonts w:ascii="Times New Roman" w:hAnsi="Times New Roman" w:cs="Times New Roman"/>
                <w:sz w:val="18"/>
                <w:szCs w:val="18"/>
              </w:rPr>
              <w:tab/>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1,53</w:t>
            </w:r>
            <w:r w:rsidRPr="00AC2CDC">
              <w:rPr>
                <w:rFonts w:ascii="Times New Roman" w:hAnsi="Times New Roman" w:cs="Times New Roman"/>
                <w:sz w:val="18"/>
                <w:szCs w:val="18"/>
              </w:rPr>
              <w:t>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10</w:t>
            </w:r>
            <w:r w:rsidRPr="00AC2CDC">
              <w:rPr>
                <w:rFonts w:ascii="Times New Roman" w:hAnsi="Times New Roman" w:cs="Times New Roman"/>
                <w:sz w:val="18"/>
                <w:szCs w:val="18"/>
              </w:rPr>
              <w:t>0</w:t>
            </w:r>
            <w:r>
              <w:rPr>
                <w:rFonts w:ascii="Times New Roman" w:hAnsi="Times New Roman" w:cs="Times New Roman"/>
                <w:sz w:val="18"/>
                <w:szCs w:val="18"/>
              </w:rPr>
              <w:t>%</w:t>
            </w:r>
          </w:p>
        </w:tc>
        <w:tc>
          <w:tcPr>
            <w:tcW w:w="1194" w:type="dxa"/>
            <w:tcBorders>
              <w:top w:val="nil"/>
              <w:left w:val="nil"/>
              <w:bottom w:val="nil"/>
              <w:right w:val="nil"/>
            </w:tcBorders>
            <w:vAlign w:val="bottom"/>
          </w:tcPr>
          <w:p w:rsidR="000C2F15" w:rsidRPr="003B5029" w:rsidRDefault="000C2F15" w:rsidP="009A0479">
            <w:pPr>
              <w:spacing w:line="240" w:lineRule="atLeast"/>
              <w:jc w:val="right"/>
              <w:rPr>
                <w:rFonts w:ascii="Times New Roman" w:hAnsi="Times New Roman" w:cs="Times New Roman"/>
                <w:sz w:val="18"/>
                <w:szCs w:val="18"/>
              </w:rPr>
            </w:pPr>
            <w:r w:rsidRPr="003B5029">
              <w:rPr>
                <w:rFonts w:ascii="Times New Roman" w:hAnsi="Times New Roman" w:cs="Times New Roman"/>
                <w:sz w:val="18"/>
                <w:szCs w:val="18"/>
              </w:rPr>
              <w:t>1,</w:t>
            </w:r>
            <w:r>
              <w:rPr>
                <w:rFonts w:ascii="Times New Roman" w:hAnsi="Times New Roman" w:cs="Times New Roman"/>
                <w:sz w:val="18"/>
                <w:szCs w:val="18"/>
              </w:rPr>
              <w:t>53</w:t>
            </w:r>
            <w:r w:rsidRPr="003B5029">
              <w:rPr>
                <w:rFonts w:ascii="Times New Roman" w:hAnsi="Times New Roman" w:cs="Times New Roman"/>
                <w:sz w:val="18"/>
                <w:szCs w:val="18"/>
              </w:rPr>
              <w:t>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w:t>
            </w:r>
            <w:r>
              <w:rPr>
                <w:rFonts w:ascii="Times New Roman" w:hAnsi="Times New Roman" w:cs="Times New Roman"/>
                <w:sz w:val="18"/>
                <w:szCs w:val="18"/>
              </w:rPr>
              <w:t>530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r>
              <w:rPr>
                <w:rFonts w:ascii="Times New Roman" w:hAnsi="Times New Roman" w:cs="Times New Roman"/>
                <w:sz w:val="18"/>
                <w:szCs w:val="18"/>
              </w:rPr>
              <w:t>083</w:t>
            </w:r>
          </w:p>
        </w:tc>
        <w:tc>
          <w:tcPr>
            <w:tcW w:w="1194" w:type="dxa"/>
            <w:tcBorders>
              <w:top w:val="nil"/>
              <w:left w:val="nil"/>
              <w:bottom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127</w:t>
            </w:r>
          </w:p>
        </w:tc>
      </w:tr>
      <w:tr w:rsidR="000C2F15" w:rsidRPr="00AC2CDC" w:rsidTr="00784B5C">
        <w:trPr>
          <w:trHeight w:val="247"/>
          <w:jc w:val="center"/>
        </w:trPr>
        <w:tc>
          <w:tcPr>
            <w:tcW w:w="2214" w:type="dxa"/>
            <w:tcBorders>
              <w:top w:val="nil"/>
              <w:bottom w:val="nil"/>
              <w:right w:val="nil"/>
            </w:tcBorders>
          </w:tcPr>
          <w:p w:rsidR="000C2F15" w:rsidRPr="00AC2CDC" w:rsidRDefault="000C2F15" w:rsidP="005379EC">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 xml:space="preserve">Questionnaire </w:t>
            </w:r>
            <w:r>
              <w:rPr>
                <w:rFonts w:ascii="Times New Roman" w:hAnsi="Times New Roman" w:cs="Times New Roman"/>
                <w:sz w:val="18"/>
                <w:szCs w:val="18"/>
              </w:rPr>
              <w:tab/>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1,8</w:t>
            </w:r>
            <w:r w:rsidRPr="00AC2CDC">
              <w:rPr>
                <w:rFonts w:ascii="Times New Roman" w:hAnsi="Times New Roman" w:cs="Times New Roman"/>
                <w:sz w:val="18"/>
                <w:szCs w:val="18"/>
              </w:rPr>
              <w:t>00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90%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1,620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1,620</w:t>
            </w:r>
          </w:p>
        </w:tc>
        <w:tc>
          <w:tcPr>
            <w:tcW w:w="1194" w:type="dxa"/>
            <w:tcBorders>
              <w:top w:val="nil"/>
              <w:left w:val="nil"/>
              <w:bottom w:val="nil"/>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.50</w:t>
            </w:r>
          </w:p>
        </w:tc>
        <w:tc>
          <w:tcPr>
            <w:tcW w:w="1194" w:type="dxa"/>
            <w:tcBorders>
              <w:top w:val="nil"/>
              <w:left w:val="nil"/>
              <w:bottom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810</w:t>
            </w:r>
          </w:p>
        </w:tc>
      </w:tr>
      <w:tr w:rsidR="000C2F15" w:rsidRPr="00AC2CDC" w:rsidTr="00784B5C">
        <w:trPr>
          <w:trHeight w:val="262"/>
          <w:jc w:val="center"/>
        </w:trPr>
        <w:tc>
          <w:tcPr>
            <w:tcW w:w="2214" w:type="dxa"/>
            <w:tcBorders>
              <w:top w:val="nil"/>
              <w:bottom w:val="single" w:sz="4" w:space="0" w:color="000000" w:themeColor="text1"/>
              <w:right w:val="nil"/>
            </w:tcBorders>
          </w:tcPr>
          <w:p w:rsidR="000C2F15" w:rsidRPr="00AC2CDC" w:rsidRDefault="000C2F15" w:rsidP="00784B5C">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 xml:space="preserve">Nonresponse </w:t>
            </w:r>
            <w:r>
              <w:rPr>
                <w:rFonts w:ascii="Times New Roman" w:hAnsi="Times New Roman" w:cs="Times New Roman"/>
                <w:sz w:val="18"/>
                <w:szCs w:val="18"/>
              </w:rPr>
              <w:t>follow-up</w:t>
            </w:r>
            <w:r w:rsidRPr="00AC2CDC">
              <w:rPr>
                <w:rFonts w:ascii="Times New Roman" w:hAnsi="Times New Roman" w:cs="Times New Roman"/>
                <w:sz w:val="18"/>
                <w:szCs w:val="18"/>
              </w:rPr>
              <w:t xml:space="preserve"> call</w:t>
            </w:r>
            <w:r>
              <w:rPr>
                <w:rFonts w:ascii="Times New Roman" w:hAnsi="Times New Roman" w:cs="Times New Roman"/>
                <w:sz w:val="18"/>
                <w:szCs w:val="18"/>
              </w:rPr>
              <w:t xml:space="preserve"> to district</w:t>
            </w:r>
            <w:r>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1,53</w:t>
            </w:r>
            <w:r w:rsidRPr="00AC2CDC">
              <w:rPr>
                <w:rFonts w:ascii="Times New Roman" w:hAnsi="Times New Roman" w:cs="Times New Roman"/>
                <w:sz w:val="18"/>
                <w:szCs w:val="18"/>
              </w:rPr>
              <w:t>0</w:t>
            </w:r>
          </w:p>
        </w:tc>
        <w:tc>
          <w:tcPr>
            <w:tcW w:w="1194" w:type="dxa"/>
            <w:tcBorders>
              <w:top w:val="nil"/>
              <w:left w:val="nil"/>
              <w:bottom w:val="single" w:sz="4" w:space="0" w:color="000000" w:themeColor="text1"/>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75</w:t>
            </w:r>
            <w:r>
              <w:rPr>
                <w:rFonts w:ascii="Times New Roman" w:hAnsi="Times New Roman" w:cs="Times New Roman"/>
                <w:sz w:val="18"/>
                <w:szCs w:val="18"/>
              </w:rPr>
              <w:t>%</w:t>
            </w:r>
          </w:p>
        </w:tc>
        <w:tc>
          <w:tcPr>
            <w:tcW w:w="1194" w:type="dxa"/>
            <w:tcBorders>
              <w:top w:val="nil"/>
              <w:left w:val="nil"/>
              <w:bottom w:val="single" w:sz="4" w:space="0" w:color="000000" w:themeColor="text1"/>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1,148</w:t>
            </w:r>
          </w:p>
        </w:tc>
        <w:tc>
          <w:tcPr>
            <w:tcW w:w="1194" w:type="dxa"/>
            <w:tcBorders>
              <w:top w:val="nil"/>
              <w:left w:val="nil"/>
              <w:bottom w:val="single" w:sz="4" w:space="0" w:color="000000" w:themeColor="text1"/>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1,148</w:t>
            </w:r>
          </w:p>
        </w:tc>
        <w:tc>
          <w:tcPr>
            <w:tcW w:w="1194" w:type="dxa"/>
            <w:tcBorders>
              <w:top w:val="nil"/>
              <w:left w:val="nil"/>
              <w:bottom w:val="single" w:sz="4" w:space="0" w:color="000000" w:themeColor="text1"/>
              <w:right w:val="nil"/>
            </w:tcBorders>
            <w:vAlign w:val="bottom"/>
          </w:tcPr>
          <w:p w:rsidR="000C2F15" w:rsidRPr="00AC2CDC" w:rsidRDefault="000C2F15" w:rsidP="009A0479">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0C2F15" w:rsidRPr="00AC2CDC" w:rsidRDefault="000C2F15" w:rsidP="009A0479">
            <w:pPr>
              <w:spacing w:line="240" w:lineRule="atLeast"/>
              <w:jc w:val="right"/>
              <w:rPr>
                <w:rFonts w:ascii="Times New Roman" w:hAnsi="Times New Roman" w:cs="Times New Roman"/>
                <w:sz w:val="18"/>
                <w:szCs w:val="18"/>
              </w:rPr>
            </w:pPr>
            <w:r>
              <w:rPr>
                <w:rFonts w:ascii="Times New Roman" w:hAnsi="Times New Roman" w:cs="Times New Roman"/>
                <w:sz w:val="18"/>
                <w:szCs w:val="18"/>
              </w:rPr>
              <w:t>95</w:t>
            </w:r>
          </w:p>
        </w:tc>
      </w:tr>
      <w:tr w:rsidR="00784B5C" w:rsidRPr="00AC2CDC" w:rsidTr="00784B5C">
        <w:trPr>
          <w:trHeight w:val="262"/>
          <w:jc w:val="center"/>
        </w:trPr>
        <w:tc>
          <w:tcPr>
            <w:tcW w:w="2214" w:type="dxa"/>
            <w:tcBorders>
              <w:right w:val="nil"/>
            </w:tcBorders>
          </w:tcPr>
          <w:p w:rsidR="00784B5C" w:rsidRPr="00AC2CDC" w:rsidRDefault="00784B5C" w:rsidP="00784B5C">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Total burden</w:t>
            </w:r>
            <w:r>
              <w:rPr>
                <w:rFonts w:ascii="Times New Roman" w:hAnsi="Times New Roman" w:cs="Times New Roman"/>
                <w:sz w:val="18"/>
                <w:szCs w:val="18"/>
              </w:rPr>
              <w:tab/>
            </w:r>
          </w:p>
        </w:tc>
        <w:tc>
          <w:tcPr>
            <w:tcW w:w="1194" w:type="dxa"/>
            <w:tcBorders>
              <w:left w:val="nil"/>
              <w:right w:val="nil"/>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right w:val="nil"/>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right w:val="nil"/>
            </w:tcBorders>
            <w:vAlign w:val="bottom"/>
          </w:tcPr>
          <w:p w:rsidR="00784B5C" w:rsidRPr="00AC2CDC" w:rsidRDefault="004A0CAA" w:rsidP="003B5029">
            <w:pPr>
              <w:spacing w:line="240" w:lineRule="atLeast"/>
              <w:jc w:val="right"/>
              <w:rPr>
                <w:rFonts w:ascii="Times New Roman" w:hAnsi="Times New Roman" w:cs="Times New Roman"/>
                <w:sz w:val="18"/>
                <w:szCs w:val="18"/>
              </w:rPr>
            </w:pPr>
            <w:r>
              <w:rPr>
                <w:rFonts w:ascii="Times New Roman" w:hAnsi="Times New Roman" w:cs="Times New Roman"/>
                <w:sz w:val="18"/>
                <w:szCs w:val="18"/>
              </w:rPr>
              <w:t>1,</w:t>
            </w:r>
            <w:r w:rsidR="003B5029">
              <w:rPr>
                <w:rFonts w:ascii="Times New Roman" w:hAnsi="Times New Roman" w:cs="Times New Roman"/>
                <w:sz w:val="18"/>
                <w:szCs w:val="18"/>
              </w:rPr>
              <w:t>62</w:t>
            </w:r>
            <w:r>
              <w:rPr>
                <w:rFonts w:ascii="Times New Roman" w:hAnsi="Times New Roman" w:cs="Times New Roman"/>
                <w:sz w:val="18"/>
                <w:szCs w:val="18"/>
              </w:rPr>
              <w:t>0</w:t>
            </w:r>
          </w:p>
        </w:tc>
        <w:tc>
          <w:tcPr>
            <w:tcW w:w="1194" w:type="dxa"/>
            <w:tcBorders>
              <w:left w:val="nil"/>
              <w:right w:val="nil"/>
            </w:tcBorders>
            <w:vAlign w:val="bottom"/>
          </w:tcPr>
          <w:p w:rsidR="00784B5C" w:rsidRPr="00AC2CDC" w:rsidRDefault="004A0CAA" w:rsidP="003B5029">
            <w:pPr>
              <w:spacing w:line="240" w:lineRule="atLeast"/>
              <w:jc w:val="right"/>
              <w:rPr>
                <w:rFonts w:ascii="Times New Roman" w:hAnsi="Times New Roman" w:cs="Times New Roman"/>
                <w:sz w:val="18"/>
                <w:szCs w:val="18"/>
              </w:rPr>
            </w:pPr>
            <w:r>
              <w:rPr>
                <w:rFonts w:ascii="Times New Roman" w:hAnsi="Times New Roman" w:cs="Times New Roman"/>
                <w:sz w:val="18"/>
                <w:szCs w:val="18"/>
              </w:rPr>
              <w:t>4,</w:t>
            </w:r>
            <w:r w:rsidR="003B5029">
              <w:rPr>
                <w:rFonts w:ascii="Times New Roman" w:hAnsi="Times New Roman" w:cs="Times New Roman"/>
                <w:sz w:val="18"/>
                <w:szCs w:val="18"/>
              </w:rPr>
              <w:t>30</w:t>
            </w:r>
            <w:r>
              <w:rPr>
                <w:rFonts w:ascii="Times New Roman" w:hAnsi="Times New Roman" w:cs="Times New Roman"/>
                <w:sz w:val="18"/>
                <w:szCs w:val="18"/>
              </w:rPr>
              <w:t>8</w:t>
            </w:r>
          </w:p>
        </w:tc>
        <w:tc>
          <w:tcPr>
            <w:tcW w:w="1194" w:type="dxa"/>
            <w:tcBorders>
              <w:left w:val="nil"/>
              <w:right w:val="nil"/>
            </w:tcBorders>
            <w:vAlign w:val="bottom"/>
          </w:tcPr>
          <w:p w:rsidR="00784B5C" w:rsidRPr="00AC2CDC" w:rsidRDefault="00784B5C" w:rsidP="00784B5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tcBorders>
            <w:vAlign w:val="bottom"/>
          </w:tcPr>
          <w:p w:rsidR="00784B5C" w:rsidRPr="00AC2CDC" w:rsidRDefault="004A0CAA" w:rsidP="004564A8">
            <w:pPr>
              <w:spacing w:line="240" w:lineRule="atLeast"/>
              <w:jc w:val="right"/>
              <w:rPr>
                <w:rFonts w:ascii="Times New Roman" w:hAnsi="Times New Roman" w:cs="Times New Roman"/>
                <w:sz w:val="18"/>
                <w:szCs w:val="18"/>
              </w:rPr>
            </w:pPr>
            <w:r>
              <w:rPr>
                <w:rFonts w:ascii="Times New Roman" w:hAnsi="Times New Roman" w:cs="Times New Roman"/>
                <w:sz w:val="18"/>
                <w:szCs w:val="18"/>
              </w:rPr>
              <w:t>1,0</w:t>
            </w:r>
            <w:r w:rsidR="004564A8">
              <w:rPr>
                <w:rFonts w:ascii="Times New Roman" w:hAnsi="Times New Roman" w:cs="Times New Roman"/>
                <w:sz w:val="18"/>
                <w:szCs w:val="18"/>
              </w:rPr>
              <w:t>52</w:t>
            </w:r>
          </w:p>
        </w:tc>
      </w:tr>
    </w:tbl>
    <w:p w:rsidR="00784B5C" w:rsidRDefault="00784B5C" w:rsidP="005943B7">
      <w:pPr>
        <w:pStyle w:val="SP-SglSpPara"/>
      </w:pPr>
    </w:p>
    <w:p w:rsidR="008126EA" w:rsidRPr="0079689D" w:rsidRDefault="008126EA" w:rsidP="008A3557">
      <w:pPr>
        <w:spacing w:after="0" w:line="240" w:lineRule="atLeast"/>
        <w:ind w:firstLine="720"/>
        <w:rPr>
          <w:rFonts w:ascii="Times New Roman" w:hAnsi="Times New Roman"/>
        </w:rPr>
      </w:pPr>
    </w:p>
    <w:p w:rsidR="009A63DB" w:rsidRPr="0079689D" w:rsidRDefault="009A63DB" w:rsidP="009A63DB">
      <w:pPr>
        <w:pStyle w:val="SL-FlLftSgl"/>
        <w:keepNext/>
        <w:rPr>
          <w:b/>
          <w:bCs/>
          <w:szCs w:val="22"/>
        </w:rPr>
      </w:pPr>
      <w:r>
        <w:rPr>
          <w:b/>
          <w:bCs/>
          <w:szCs w:val="22"/>
        </w:rPr>
        <w:t>Procedures and Data Collection Instrument</w:t>
      </w:r>
    </w:p>
    <w:p w:rsidR="008126EA" w:rsidRPr="0079689D" w:rsidRDefault="008126EA" w:rsidP="002E6FFD">
      <w:pPr>
        <w:pStyle w:val="SL-FlLftSgl"/>
        <w:keepNext/>
        <w:rPr>
          <w:b/>
          <w:bCs/>
          <w:szCs w:val="22"/>
        </w:rPr>
      </w:pPr>
    </w:p>
    <w:p w:rsidR="001248E5" w:rsidRPr="00972C44" w:rsidRDefault="009A63DB" w:rsidP="0028416B">
      <w:pPr>
        <w:pStyle w:val="SP-SglSpPara"/>
        <w:jc w:val="left"/>
      </w:pPr>
      <w:r w:rsidRPr="00972C44">
        <w:t xml:space="preserve">A survey packages will be sent to </w:t>
      </w:r>
      <w:r w:rsidR="008A37CF" w:rsidRPr="00972C44">
        <w:t xml:space="preserve">each </w:t>
      </w:r>
      <w:r w:rsidRPr="00972C44">
        <w:t>district with at least one sampled school</w:t>
      </w:r>
      <w:r w:rsidR="008A37CF" w:rsidRPr="00972C44">
        <w:t>. T</w:t>
      </w:r>
      <w:r w:rsidRPr="00972C44">
        <w:t xml:space="preserve">he </w:t>
      </w:r>
      <w:r w:rsidR="008A37CF" w:rsidRPr="00972C44">
        <w:t xml:space="preserve">packet will include a </w:t>
      </w:r>
      <w:r w:rsidR="004127D7">
        <w:t xml:space="preserve">questionnaire (Attachment 1), a </w:t>
      </w:r>
      <w:r w:rsidRPr="00972C44">
        <w:t xml:space="preserve">cover letter </w:t>
      </w:r>
      <w:r w:rsidR="008A37CF" w:rsidRPr="00972C44">
        <w:t>addressed to t</w:t>
      </w:r>
      <w:r w:rsidR="0063111E" w:rsidRPr="00972C44">
        <w:t xml:space="preserve">he district superintendent (Attachment </w:t>
      </w:r>
      <w:r w:rsidR="004127D7">
        <w:t>2</w:t>
      </w:r>
      <w:r w:rsidR="0063111E" w:rsidRPr="00972C44">
        <w:t xml:space="preserve">), a </w:t>
      </w:r>
      <w:r w:rsidR="00562260" w:rsidRPr="00972C44">
        <w:t xml:space="preserve">cover </w:t>
      </w:r>
      <w:r w:rsidR="008A37CF" w:rsidRPr="00972C44">
        <w:t xml:space="preserve">letter </w:t>
      </w:r>
      <w:r w:rsidR="00562260" w:rsidRPr="00972C44">
        <w:t xml:space="preserve">addressed to </w:t>
      </w:r>
      <w:r w:rsidR="008A37CF" w:rsidRPr="00972C44">
        <w:t>the district facilities coordinator</w:t>
      </w:r>
      <w:r w:rsidR="0063111E" w:rsidRPr="00972C44">
        <w:t xml:space="preserve"> (Attachment </w:t>
      </w:r>
      <w:r w:rsidR="004127D7">
        <w:t>3</w:t>
      </w:r>
      <w:r w:rsidR="0063111E" w:rsidRPr="00972C44">
        <w:t>)</w:t>
      </w:r>
      <w:r w:rsidR="008A37CF" w:rsidRPr="00972C44">
        <w:t>, a</w:t>
      </w:r>
      <w:r w:rsidR="004C61BB" w:rsidRPr="00972C44">
        <w:t xml:space="preserve">nd </w:t>
      </w:r>
      <w:r w:rsidR="008A37CF" w:rsidRPr="00972C44">
        <w:t>web information</w:t>
      </w:r>
      <w:r w:rsidR="004C61BB" w:rsidRPr="00972C44">
        <w:t xml:space="preserve"> sheet </w:t>
      </w:r>
      <w:r w:rsidR="0063111E" w:rsidRPr="00972C44">
        <w:t xml:space="preserve">(Attachment </w:t>
      </w:r>
      <w:r w:rsidR="004127D7">
        <w:t>4</w:t>
      </w:r>
      <w:r w:rsidR="0063111E" w:rsidRPr="00972C44">
        <w:t xml:space="preserve">) </w:t>
      </w:r>
      <w:r w:rsidR="004C61BB" w:rsidRPr="00972C44">
        <w:t>for each sampled school</w:t>
      </w:r>
      <w:r w:rsidR="008A37CF" w:rsidRPr="00972C44">
        <w:t xml:space="preserve">.  The superintendent’s </w:t>
      </w:r>
      <w:r w:rsidR="0063111E" w:rsidRPr="00972C44">
        <w:t xml:space="preserve">cover </w:t>
      </w:r>
      <w:r w:rsidR="008A37CF" w:rsidRPr="00972C44">
        <w:t>letter includes instruction</w:t>
      </w:r>
      <w:r w:rsidR="00562260" w:rsidRPr="00972C44">
        <w:t xml:space="preserve">s to forward the questionnaire package </w:t>
      </w:r>
      <w:r w:rsidR="008A37CF" w:rsidRPr="00972C44">
        <w:t xml:space="preserve">to the person at the district who is most </w:t>
      </w:r>
      <w:r w:rsidR="008A37CF">
        <w:t>familiar with the school facilities in the district.</w:t>
      </w:r>
      <w:r w:rsidR="008A37CF" w:rsidRPr="00972C44">
        <w:t xml:space="preserve"> </w:t>
      </w:r>
      <w:r w:rsidR="00562260" w:rsidRPr="00972C44">
        <w:t xml:space="preserve">The facilities coordinator cover letter </w:t>
      </w:r>
      <w:r w:rsidR="00D1320E" w:rsidRPr="00972C44">
        <w:t xml:space="preserve">includes contact information in case of questions, and </w:t>
      </w:r>
      <w:r w:rsidR="0063111E" w:rsidRPr="00972C44">
        <w:t xml:space="preserve">provides </w:t>
      </w:r>
      <w:r w:rsidR="004C61BB" w:rsidRPr="00972C44">
        <w:t xml:space="preserve">guidelines </w:t>
      </w:r>
      <w:r w:rsidR="00562260" w:rsidRPr="00972C44">
        <w:t>on how to complete and return survey</w:t>
      </w:r>
      <w:r w:rsidR="00D1320E" w:rsidRPr="00972C44">
        <w:t>s, including the option to complete a Web vers</w:t>
      </w:r>
      <w:r w:rsidR="00224C2A" w:rsidRPr="00972C44">
        <w:t xml:space="preserve">ion for each sampled school.  </w:t>
      </w:r>
      <w:r w:rsidR="000372C8" w:rsidRPr="00972C44">
        <w:t>The public law is cited on the cover letter and the front page of the survey</w:t>
      </w:r>
      <w:r w:rsidR="008126EA" w:rsidRPr="00972C44">
        <w:t xml:space="preserve"> assur</w:t>
      </w:r>
      <w:r w:rsidR="000372C8" w:rsidRPr="00972C44">
        <w:t xml:space="preserve">ing respondents </w:t>
      </w:r>
      <w:r w:rsidR="008126EA" w:rsidRPr="00972C44">
        <w:t>that their participation is voluntary</w:t>
      </w:r>
      <w:r w:rsidR="000372C8" w:rsidRPr="00972C44">
        <w:t>,</w:t>
      </w:r>
      <w:r w:rsidR="008126EA" w:rsidRPr="00972C44">
        <w:t xml:space="preserve"> and their answers may not be disclosed or used in identifiable form for any other purpose unless compelled by law</w:t>
      </w:r>
      <w:r w:rsidR="001248E5" w:rsidRPr="00972C44">
        <w:t xml:space="preserve"> (Education Sciences Reform A</w:t>
      </w:r>
      <w:r w:rsidR="00224C2A" w:rsidRPr="00972C44">
        <w:t>c</w:t>
      </w:r>
      <w:r w:rsidR="001248E5" w:rsidRPr="00972C44">
        <w:t>t</w:t>
      </w:r>
      <w:r w:rsidR="00224C2A" w:rsidRPr="00972C44">
        <w:t xml:space="preserve"> of 2002, 20 U.S. C</w:t>
      </w:r>
      <w:r w:rsidR="008126EA" w:rsidRPr="00972C44">
        <w:t>.</w:t>
      </w:r>
      <w:r w:rsidR="00224C2A" w:rsidRPr="00972C44">
        <w:t xml:space="preserve"> </w:t>
      </w:r>
      <w:r w:rsidR="001248E5" w:rsidRPr="00972C44">
        <w:t xml:space="preserve">§ 9573).  </w:t>
      </w:r>
    </w:p>
    <w:p w:rsidR="001248E5" w:rsidRPr="00972C44" w:rsidRDefault="001248E5" w:rsidP="0028416B">
      <w:pPr>
        <w:pStyle w:val="SP-SglSpPara"/>
        <w:jc w:val="left"/>
      </w:pPr>
    </w:p>
    <w:p w:rsidR="000372C8" w:rsidRDefault="000372C8" w:rsidP="0028416B">
      <w:pPr>
        <w:pStyle w:val="SP-SglSpPara"/>
        <w:jc w:val="left"/>
      </w:pPr>
      <w:r>
        <w:t xml:space="preserve">If a completed survey is not  received for a sampled school within 3 weeks after the initial mailing, </w:t>
      </w:r>
      <w:r w:rsidR="009B0223">
        <w:t xml:space="preserve">the district will receive a </w:t>
      </w:r>
      <w:r>
        <w:t xml:space="preserve">nonresponse follow-up letter (Attachment </w:t>
      </w:r>
      <w:r w:rsidR="004127D7">
        <w:t>5</w:t>
      </w:r>
      <w:r>
        <w:t xml:space="preserve">), another copy of the </w:t>
      </w:r>
      <w:r w:rsidR="009B0223">
        <w:t xml:space="preserve">school’s </w:t>
      </w:r>
      <w:r>
        <w:t>Web information sheet, and a brief, scrip</w:t>
      </w:r>
      <w:r w:rsidR="009B0223">
        <w:t xml:space="preserve">ted telephone call (Attachment </w:t>
      </w:r>
      <w:r w:rsidR="004127D7">
        <w:t>6</w:t>
      </w:r>
      <w:r>
        <w:t xml:space="preserve">) prompting the </w:t>
      </w:r>
      <w:r w:rsidR="009B0223">
        <w:t xml:space="preserve">facilities coordinator </w:t>
      </w:r>
      <w:r>
        <w:t xml:space="preserve">to return a completed survey via the Web, fax, or mail. </w:t>
      </w:r>
    </w:p>
    <w:p w:rsidR="00972C44" w:rsidRPr="003E32D9" w:rsidRDefault="00972C44" w:rsidP="00972C44">
      <w:pPr>
        <w:pStyle w:val="SP-SglSpPara"/>
      </w:pPr>
    </w:p>
    <w:p w:rsidR="008126EA" w:rsidRPr="0079689D" w:rsidRDefault="00CC5714" w:rsidP="00F36E4E">
      <w:pPr>
        <w:pStyle w:val="SP-SglSpPara"/>
        <w:rPr>
          <w:b/>
          <w:szCs w:val="22"/>
        </w:rPr>
      </w:pPr>
      <w:r w:rsidRPr="00147251">
        <w:rPr>
          <w:b/>
          <w:szCs w:val="22"/>
        </w:rPr>
        <w:t>Questionnaire</w:t>
      </w:r>
    </w:p>
    <w:p w:rsidR="008126EA" w:rsidRDefault="008126EA" w:rsidP="00F36E4E">
      <w:pPr>
        <w:pStyle w:val="SP-SglSpPara"/>
        <w:rPr>
          <w:szCs w:val="22"/>
        </w:rPr>
      </w:pPr>
    </w:p>
    <w:p w:rsidR="009B0223" w:rsidRPr="0079689D" w:rsidRDefault="006C164B" w:rsidP="0028416B">
      <w:pPr>
        <w:pStyle w:val="SP-SglSpPara"/>
        <w:jc w:val="left"/>
        <w:rPr>
          <w:szCs w:val="22"/>
        </w:rPr>
      </w:pPr>
      <w:r w:rsidRPr="0079689D">
        <w:rPr>
          <w:szCs w:val="22"/>
        </w:rPr>
        <w:t xml:space="preserve">The </w:t>
      </w:r>
      <w:r w:rsidR="00C217F9">
        <w:rPr>
          <w:szCs w:val="22"/>
        </w:rPr>
        <w:t xml:space="preserve">questionnaire </w:t>
      </w:r>
      <w:r w:rsidRPr="0079689D">
        <w:rPr>
          <w:szCs w:val="22"/>
        </w:rPr>
        <w:t xml:space="preserve">is designed to collect information on </w:t>
      </w:r>
      <w:r>
        <w:rPr>
          <w:szCs w:val="22"/>
        </w:rPr>
        <w:t xml:space="preserve">the condition of the building systems/features in permanent and portable (temporary) buildings in schools, and satisfaction with the building </w:t>
      </w:r>
      <w:r w:rsidR="00820953">
        <w:rPr>
          <w:szCs w:val="22"/>
        </w:rPr>
        <w:t xml:space="preserve">environmental </w:t>
      </w:r>
      <w:r>
        <w:rPr>
          <w:szCs w:val="22"/>
        </w:rPr>
        <w:t xml:space="preserve">factors that result from them.  </w:t>
      </w:r>
      <w:r w:rsidR="00955733">
        <w:t>Respondents will be asked (as they were in 1999) for their estimate of the total cost of repairs/renovations/modernizations to put the school</w:t>
      </w:r>
      <w:r w:rsidR="00487BBC">
        <w:t>’</w:t>
      </w:r>
      <w:r w:rsidR="00955733">
        <w:t xml:space="preserve">s buildings in good overall condition, and on which sources (e.g., facilities inspections, capital improvement master plans) this estimate is based.  They will be asked about plans for major repair or renovation or replacement of building features and systems, and about plans for construction at the school in the next few years.  Additional items ask about </w:t>
      </w:r>
      <w:r w:rsidR="00EB479A">
        <w:t xml:space="preserve">the school’s long-range educational facilities plan, </w:t>
      </w:r>
      <w:r w:rsidR="00C217F9">
        <w:t xml:space="preserve">and steps </w:t>
      </w:r>
      <w:r w:rsidR="00531063">
        <w:t xml:space="preserve">taken to </w:t>
      </w:r>
      <w:r w:rsidR="00EB479A">
        <w:t>improv</w:t>
      </w:r>
      <w:r w:rsidR="00531063">
        <w:t>e</w:t>
      </w:r>
      <w:r w:rsidR="00EB479A">
        <w:t xml:space="preserve"> </w:t>
      </w:r>
      <w:r w:rsidR="00955733">
        <w:t>energy efficiency</w:t>
      </w:r>
      <w:r w:rsidR="00C217F9">
        <w:t>.</w:t>
      </w:r>
      <w:r w:rsidR="009B0223">
        <w:t xml:space="preserve"> </w:t>
      </w:r>
      <w:r w:rsidR="009B0223">
        <w:rPr>
          <w:szCs w:val="22"/>
        </w:rPr>
        <w:t>The instrument</w:t>
      </w:r>
      <w:r w:rsidR="009B0223" w:rsidRPr="0079689D">
        <w:rPr>
          <w:szCs w:val="22"/>
        </w:rPr>
        <w:t xml:space="preserve"> </w:t>
      </w:r>
      <w:r w:rsidR="009B0223">
        <w:rPr>
          <w:szCs w:val="22"/>
        </w:rPr>
        <w:t xml:space="preserve">is </w:t>
      </w:r>
      <w:r w:rsidR="009B0223" w:rsidRPr="0079689D">
        <w:rPr>
          <w:szCs w:val="22"/>
        </w:rPr>
        <w:t>discussed below.</w:t>
      </w:r>
    </w:p>
    <w:p w:rsidR="003A1120" w:rsidRDefault="003A1120" w:rsidP="0028416B">
      <w:pPr>
        <w:pStyle w:val="SP-SglSpPara"/>
        <w:jc w:val="left"/>
      </w:pPr>
    </w:p>
    <w:p w:rsidR="008126EA" w:rsidRPr="0079689D" w:rsidRDefault="006239E2" w:rsidP="0028416B">
      <w:pPr>
        <w:pStyle w:val="SP-SglSpPara"/>
        <w:jc w:val="left"/>
        <w:rPr>
          <w:szCs w:val="22"/>
        </w:rPr>
      </w:pPr>
      <w:r>
        <w:rPr>
          <w:szCs w:val="22"/>
        </w:rPr>
        <w:t xml:space="preserve">Question 1 asks </w:t>
      </w:r>
      <w:r w:rsidR="00EB479A">
        <w:rPr>
          <w:szCs w:val="22"/>
        </w:rPr>
        <w:t xml:space="preserve">whether the school has two </w:t>
      </w:r>
      <w:r w:rsidR="007C08CA">
        <w:rPr>
          <w:szCs w:val="22"/>
        </w:rPr>
        <w:t xml:space="preserve">types of </w:t>
      </w:r>
      <w:r w:rsidR="006652FB">
        <w:rPr>
          <w:szCs w:val="22"/>
        </w:rPr>
        <w:t xml:space="preserve">onsite </w:t>
      </w:r>
      <w:r w:rsidR="007C08CA">
        <w:rPr>
          <w:szCs w:val="22"/>
        </w:rPr>
        <w:t>buildings</w:t>
      </w:r>
      <w:r w:rsidR="006652FB">
        <w:rPr>
          <w:szCs w:val="22"/>
        </w:rPr>
        <w:t xml:space="preserve"> </w:t>
      </w:r>
      <w:r w:rsidR="007C08CA">
        <w:rPr>
          <w:szCs w:val="22"/>
        </w:rPr>
        <w:t>-- permanent and</w:t>
      </w:r>
      <w:r w:rsidR="00A92A3A">
        <w:rPr>
          <w:szCs w:val="22"/>
        </w:rPr>
        <w:t xml:space="preserve"> </w:t>
      </w:r>
      <w:r w:rsidR="007C08CA">
        <w:rPr>
          <w:szCs w:val="22"/>
        </w:rPr>
        <w:t>portable</w:t>
      </w:r>
      <w:r w:rsidR="004D40AE">
        <w:rPr>
          <w:szCs w:val="22"/>
        </w:rPr>
        <w:t xml:space="preserve"> (temporary)</w:t>
      </w:r>
      <w:r w:rsidR="007C08CA">
        <w:rPr>
          <w:szCs w:val="22"/>
        </w:rPr>
        <w:t xml:space="preserve"> </w:t>
      </w:r>
      <w:r w:rsidR="00A92A3A">
        <w:rPr>
          <w:szCs w:val="22"/>
        </w:rPr>
        <w:t>buildings.</w:t>
      </w:r>
      <w:r w:rsidR="00EB479A">
        <w:rPr>
          <w:szCs w:val="22"/>
        </w:rPr>
        <w:t xml:space="preserve">  Responses to the question indicate </w:t>
      </w:r>
      <w:r w:rsidR="00A5433B">
        <w:rPr>
          <w:szCs w:val="22"/>
        </w:rPr>
        <w:t>which parts of questions 2 and 7</w:t>
      </w:r>
      <w:r w:rsidR="00EB479A">
        <w:rPr>
          <w:szCs w:val="22"/>
        </w:rPr>
        <w:t xml:space="preserve"> should be </w:t>
      </w:r>
      <w:r w:rsidR="00531063">
        <w:rPr>
          <w:szCs w:val="22"/>
        </w:rPr>
        <w:t>completed</w:t>
      </w:r>
      <w:r w:rsidR="00EB479A">
        <w:rPr>
          <w:szCs w:val="22"/>
        </w:rPr>
        <w:t>.</w:t>
      </w:r>
    </w:p>
    <w:p w:rsidR="008126EA" w:rsidRPr="0079689D" w:rsidRDefault="008126EA" w:rsidP="0028416B">
      <w:pPr>
        <w:pStyle w:val="SP-SglSpPara"/>
        <w:jc w:val="left"/>
        <w:rPr>
          <w:szCs w:val="22"/>
        </w:rPr>
      </w:pPr>
    </w:p>
    <w:p w:rsidR="008126EA" w:rsidRDefault="006239E2" w:rsidP="0028416B">
      <w:pPr>
        <w:pStyle w:val="SP-SglSpPara"/>
        <w:jc w:val="left"/>
        <w:rPr>
          <w:szCs w:val="22"/>
        </w:rPr>
      </w:pPr>
      <w:r>
        <w:rPr>
          <w:szCs w:val="22"/>
        </w:rPr>
        <w:t xml:space="preserve">Question 2 </w:t>
      </w:r>
      <w:r w:rsidR="00A76403">
        <w:rPr>
          <w:szCs w:val="22"/>
        </w:rPr>
        <w:t>lists 17</w:t>
      </w:r>
      <w:r w:rsidR="006A78AF">
        <w:rPr>
          <w:szCs w:val="22"/>
        </w:rPr>
        <w:t xml:space="preserve"> building systems/features and </w:t>
      </w:r>
      <w:r>
        <w:rPr>
          <w:szCs w:val="22"/>
        </w:rPr>
        <w:t xml:space="preserve">asks about the condition </w:t>
      </w:r>
      <w:r w:rsidR="006A78AF">
        <w:rPr>
          <w:szCs w:val="22"/>
        </w:rPr>
        <w:t>of each in the school’s permanent and portable (temporary) onsite buildings.</w:t>
      </w:r>
      <w:r w:rsidR="00796219">
        <w:rPr>
          <w:szCs w:val="22"/>
        </w:rPr>
        <w:t xml:space="preserve"> The question includes a 4-point rating scale (excellent, good, fair, poor) </w:t>
      </w:r>
      <w:r w:rsidR="00796219">
        <w:rPr>
          <w:szCs w:val="22"/>
        </w:rPr>
        <w:lastRenderedPageBreak/>
        <w:t>and a “school does not have system/feature” option.</w:t>
      </w:r>
      <w:r w:rsidR="0028193C">
        <w:rPr>
          <w:szCs w:val="22"/>
        </w:rPr>
        <w:t xml:space="preserve"> </w:t>
      </w:r>
      <w:r w:rsidR="00CA494E">
        <w:rPr>
          <w:szCs w:val="22"/>
        </w:rPr>
        <w:t>Building features include things such as roofs, plumbing/lavatories, heating and air condition</w:t>
      </w:r>
      <w:r w:rsidR="00947FC4">
        <w:rPr>
          <w:szCs w:val="22"/>
        </w:rPr>
        <w:t>ing</w:t>
      </w:r>
      <w:r w:rsidR="00CA494E">
        <w:rPr>
          <w:szCs w:val="22"/>
        </w:rPr>
        <w:t xml:space="preserve"> systems, electrical system, and life safety features.  </w:t>
      </w:r>
      <w:r w:rsidR="007E0A92">
        <w:rPr>
          <w:szCs w:val="22"/>
        </w:rPr>
        <w:t>Part</w:t>
      </w:r>
      <w:r w:rsidR="00376EDD">
        <w:rPr>
          <w:szCs w:val="22"/>
        </w:rPr>
        <w:t xml:space="preserve"> A</w:t>
      </w:r>
      <w:r w:rsidR="00CA494E">
        <w:rPr>
          <w:szCs w:val="22"/>
        </w:rPr>
        <w:t xml:space="preserve"> asks about the condition of the various systems/features </w:t>
      </w:r>
      <w:r w:rsidR="0097434E">
        <w:rPr>
          <w:szCs w:val="22"/>
        </w:rPr>
        <w:t>i</w:t>
      </w:r>
      <w:r w:rsidR="00376EDD">
        <w:rPr>
          <w:szCs w:val="22"/>
        </w:rPr>
        <w:t xml:space="preserve">n the school’s </w:t>
      </w:r>
      <w:r w:rsidR="00114DCB">
        <w:rPr>
          <w:szCs w:val="22"/>
        </w:rPr>
        <w:t xml:space="preserve">permanent buildings and </w:t>
      </w:r>
      <w:r w:rsidR="007E0A92">
        <w:rPr>
          <w:szCs w:val="22"/>
        </w:rPr>
        <w:t xml:space="preserve">part </w:t>
      </w:r>
      <w:r w:rsidR="00114DCB">
        <w:rPr>
          <w:szCs w:val="22"/>
        </w:rPr>
        <w:t>B</w:t>
      </w:r>
      <w:r w:rsidR="00376EDD">
        <w:rPr>
          <w:szCs w:val="22"/>
        </w:rPr>
        <w:t xml:space="preserve"> </w:t>
      </w:r>
      <w:r w:rsidR="00CA494E">
        <w:rPr>
          <w:szCs w:val="22"/>
        </w:rPr>
        <w:t xml:space="preserve">asks about the </w:t>
      </w:r>
      <w:r w:rsidR="00114DCB">
        <w:rPr>
          <w:szCs w:val="22"/>
        </w:rPr>
        <w:t xml:space="preserve">condition of the </w:t>
      </w:r>
      <w:r w:rsidR="00CA494E">
        <w:rPr>
          <w:szCs w:val="22"/>
        </w:rPr>
        <w:t xml:space="preserve">same systems/features in the school’s </w:t>
      </w:r>
      <w:r w:rsidR="00376EDD">
        <w:rPr>
          <w:szCs w:val="22"/>
        </w:rPr>
        <w:t>portable (temporary) buildings</w:t>
      </w:r>
      <w:r w:rsidR="00114DCB">
        <w:rPr>
          <w:szCs w:val="22"/>
        </w:rPr>
        <w:t>.</w:t>
      </w:r>
      <w:r w:rsidR="007E0A92">
        <w:rPr>
          <w:szCs w:val="22"/>
        </w:rPr>
        <w:t xml:space="preserve">  Question 2 is a modified version of an item that was included in the 1999 survey.</w:t>
      </w:r>
    </w:p>
    <w:p w:rsidR="00073C82" w:rsidRDefault="00073C82" w:rsidP="0028416B">
      <w:pPr>
        <w:pStyle w:val="SP-SglSpPara"/>
        <w:jc w:val="left"/>
        <w:rPr>
          <w:szCs w:val="22"/>
        </w:rPr>
      </w:pPr>
    </w:p>
    <w:p w:rsidR="003C5595" w:rsidRDefault="003C5595" w:rsidP="0028416B">
      <w:pPr>
        <w:pStyle w:val="SP-SglSpPara"/>
        <w:jc w:val="left"/>
        <w:rPr>
          <w:szCs w:val="22"/>
        </w:rPr>
      </w:pPr>
      <w:r>
        <w:rPr>
          <w:szCs w:val="22"/>
        </w:rPr>
        <w:t>Q</w:t>
      </w:r>
      <w:r w:rsidR="00D5153D">
        <w:rPr>
          <w:szCs w:val="22"/>
        </w:rPr>
        <w:t>uestion</w:t>
      </w:r>
      <w:r w:rsidR="00BA71FC">
        <w:rPr>
          <w:szCs w:val="22"/>
        </w:rPr>
        <w:t xml:space="preserve"> </w:t>
      </w:r>
      <w:r>
        <w:rPr>
          <w:szCs w:val="22"/>
        </w:rPr>
        <w:t xml:space="preserve">3 </w:t>
      </w:r>
      <w:r w:rsidR="00CC5714">
        <w:rPr>
          <w:szCs w:val="22"/>
        </w:rPr>
        <w:t>asks about the condition of various outdoor features at the school: school parking lots and roadways, bus lanes and drop-off areas, sidewalks and walkways, outdoor play areas/playgrounds, outdoor athletic facilities</w:t>
      </w:r>
      <w:r w:rsidR="00E93984">
        <w:rPr>
          <w:szCs w:val="22"/>
        </w:rPr>
        <w:t>, covered walkways, and fencing</w:t>
      </w:r>
      <w:r w:rsidR="00CC5714">
        <w:rPr>
          <w:szCs w:val="22"/>
        </w:rPr>
        <w:t>.</w:t>
      </w:r>
      <w:r w:rsidR="00094993">
        <w:rPr>
          <w:szCs w:val="22"/>
        </w:rPr>
        <w:t xml:space="preserve"> The question includes a 4-point rating scale (excellent, good, fair, poor) and a “school does not have feature” option.</w:t>
      </w:r>
    </w:p>
    <w:p w:rsidR="003C5595" w:rsidRDefault="003C5595" w:rsidP="0028416B">
      <w:pPr>
        <w:pStyle w:val="SP-SglSpPara"/>
        <w:jc w:val="left"/>
        <w:rPr>
          <w:szCs w:val="22"/>
        </w:rPr>
      </w:pPr>
    </w:p>
    <w:p w:rsidR="002A24AC" w:rsidRDefault="003C5595" w:rsidP="0028416B">
      <w:pPr>
        <w:pStyle w:val="SP-SglSpPara"/>
        <w:jc w:val="left"/>
        <w:rPr>
          <w:szCs w:val="22"/>
        </w:rPr>
      </w:pPr>
      <w:r>
        <w:rPr>
          <w:szCs w:val="22"/>
        </w:rPr>
        <w:t>Question 4</w:t>
      </w:r>
      <w:r w:rsidR="00073C82">
        <w:rPr>
          <w:szCs w:val="22"/>
        </w:rPr>
        <w:t xml:space="preserve"> asks </w:t>
      </w:r>
      <w:r w:rsidR="002A24AC">
        <w:rPr>
          <w:szCs w:val="22"/>
        </w:rPr>
        <w:t xml:space="preserve">for </w:t>
      </w:r>
      <w:r w:rsidR="006652FB">
        <w:rPr>
          <w:szCs w:val="22"/>
        </w:rPr>
        <w:t xml:space="preserve">an </w:t>
      </w:r>
      <w:r w:rsidR="002A24AC">
        <w:rPr>
          <w:szCs w:val="22"/>
        </w:rPr>
        <w:t>overall rating o</w:t>
      </w:r>
      <w:r w:rsidR="00B71511">
        <w:rPr>
          <w:szCs w:val="22"/>
        </w:rPr>
        <w:t>f</w:t>
      </w:r>
      <w:r w:rsidR="002A24AC">
        <w:rPr>
          <w:szCs w:val="22"/>
        </w:rPr>
        <w:t xml:space="preserve"> the condition of the permanent and portable (temporary) onsite buildings at the sampled school.  The question includes a 4-point rating </w:t>
      </w:r>
      <w:r>
        <w:rPr>
          <w:szCs w:val="22"/>
        </w:rPr>
        <w:t xml:space="preserve">scale </w:t>
      </w:r>
      <w:r w:rsidR="007E0A92">
        <w:rPr>
          <w:szCs w:val="22"/>
        </w:rPr>
        <w:t xml:space="preserve">(excellent, good, fair, poor) </w:t>
      </w:r>
      <w:r>
        <w:rPr>
          <w:szCs w:val="22"/>
        </w:rPr>
        <w:t xml:space="preserve">and </w:t>
      </w:r>
      <w:r w:rsidR="002A24AC">
        <w:rPr>
          <w:szCs w:val="22"/>
        </w:rPr>
        <w:t>a “</w:t>
      </w:r>
      <w:r w:rsidR="003A6F27">
        <w:rPr>
          <w:szCs w:val="22"/>
        </w:rPr>
        <w:t>school does not have building type</w:t>
      </w:r>
      <w:r w:rsidR="002A24AC">
        <w:rPr>
          <w:szCs w:val="22"/>
        </w:rPr>
        <w:t>” option</w:t>
      </w:r>
      <w:r w:rsidR="007E4C8D">
        <w:rPr>
          <w:szCs w:val="22"/>
        </w:rPr>
        <w:t>.</w:t>
      </w:r>
      <w:r w:rsidR="007E0A92">
        <w:rPr>
          <w:szCs w:val="22"/>
        </w:rPr>
        <w:t xml:space="preserve">  This is a modified version of an item that was included in the 1999 survey.</w:t>
      </w:r>
    </w:p>
    <w:p w:rsidR="007E4C8D" w:rsidRDefault="007E4C8D" w:rsidP="0028416B">
      <w:pPr>
        <w:pStyle w:val="SP-SglSpPara"/>
        <w:jc w:val="left"/>
        <w:rPr>
          <w:szCs w:val="22"/>
        </w:rPr>
      </w:pPr>
    </w:p>
    <w:p w:rsidR="007E4C8D" w:rsidRDefault="003C5595" w:rsidP="0028416B">
      <w:pPr>
        <w:pStyle w:val="SP-SglSpPara"/>
        <w:jc w:val="left"/>
        <w:rPr>
          <w:szCs w:val="22"/>
        </w:rPr>
      </w:pPr>
      <w:r>
        <w:rPr>
          <w:szCs w:val="22"/>
        </w:rPr>
        <w:t>Question 5</w:t>
      </w:r>
      <w:r w:rsidR="007E4C8D">
        <w:rPr>
          <w:szCs w:val="22"/>
        </w:rPr>
        <w:t xml:space="preserve"> asks for the best estimate of the total cost of all repairs/renovations/modernizations required to put the school’s onsite buildings in good overall condition.  If the school’s onsite buildings are already in good or excellent overall condition, respondents are instructed to enter zero.</w:t>
      </w:r>
      <w:r w:rsidR="00F831EC">
        <w:rPr>
          <w:szCs w:val="22"/>
        </w:rPr>
        <w:t xml:space="preserve">  This item was included in the 1999 survey.</w:t>
      </w:r>
    </w:p>
    <w:p w:rsidR="007E4C8D" w:rsidRDefault="007E4C8D" w:rsidP="0028416B">
      <w:pPr>
        <w:pStyle w:val="SP-SglSpPara"/>
        <w:jc w:val="left"/>
        <w:rPr>
          <w:szCs w:val="22"/>
        </w:rPr>
      </w:pPr>
    </w:p>
    <w:p w:rsidR="002A24AC" w:rsidRDefault="003C5595" w:rsidP="0028416B">
      <w:pPr>
        <w:pStyle w:val="SP-SglSpPara"/>
        <w:jc w:val="left"/>
        <w:rPr>
          <w:szCs w:val="22"/>
        </w:rPr>
      </w:pPr>
      <w:r>
        <w:rPr>
          <w:szCs w:val="22"/>
        </w:rPr>
        <w:t>Question 6</w:t>
      </w:r>
      <w:r w:rsidR="007E4C8D">
        <w:rPr>
          <w:szCs w:val="22"/>
        </w:rPr>
        <w:t xml:space="preserve"> asks about the sources on which the c</w:t>
      </w:r>
      <w:r w:rsidR="006652FB">
        <w:rPr>
          <w:szCs w:val="22"/>
        </w:rPr>
        <w:t>ost estimate given in question 5</w:t>
      </w:r>
      <w:r w:rsidR="007E4C8D">
        <w:rPr>
          <w:szCs w:val="22"/>
        </w:rPr>
        <w:t xml:space="preserve"> is based.  </w:t>
      </w:r>
      <w:r w:rsidR="00F831EC">
        <w:rPr>
          <w:szCs w:val="22"/>
        </w:rPr>
        <w:t>This item was included in the 1999 survey.</w:t>
      </w:r>
    </w:p>
    <w:p w:rsidR="00F831EC" w:rsidRDefault="00F831EC" w:rsidP="0028416B">
      <w:pPr>
        <w:pStyle w:val="SP-SglSpPara"/>
        <w:jc w:val="left"/>
        <w:rPr>
          <w:szCs w:val="22"/>
        </w:rPr>
      </w:pPr>
    </w:p>
    <w:p w:rsidR="00F831EC" w:rsidRDefault="00BA71FC" w:rsidP="0028416B">
      <w:pPr>
        <w:pStyle w:val="SP-SglSpPara"/>
        <w:jc w:val="left"/>
        <w:rPr>
          <w:szCs w:val="22"/>
        </w:rPr>
      </w:pPr>
      <w:r>
        <w:rPr>
          <w:szCs w:val="22"/>
        </w:rPr>
        <w:t>Questi</w:t>
      </w:r>
      <w:r w:rsidR="002277C8">
        <w:rPr>
          <w:szCs w:val="22"/>
        </w:rPr>
        <w:t>on 7</w:t>
      </w:r>
      <w:r w:rsidR="00F831EC">
        <w:rPr>
          <w:szCs w:val="22"/>
        </w:rPr>
        <w:t xml:space="preserve"> asks how</w:t>
      </w:r>
      <w:r w:rsidR="007E0A92">
        <w:rPr>
          <w:szCs w:val="22"/>
        </w:rPr>
        <w:t xml:space="preserve"> satisfactory </w:t>
      </w:r>
      <w:r w:rsidR="00F831EC">
        <w:rPr>
          <w:szCs w:val="22"/>
        </w:rPr>
        <w:t>various environmental factors are in the school’s onsite buildings.  Environmental factors include</w:t>
      </w:r>
      <w:r w:rsidR="009525B6">
        <w:rPr>
          <w:szCs w:val="22"/>
        </w:rPr>
        <w:t>d are</w:t>
      </w:r>
      <w:r w:rsidR="0091412D">
        <w:rPr>
          <w:szCs w:val="22"/>
        </w:rPr>
        <w:t xml:space="preserve"> </w:t>
      </w:r>
      <w:r w:rsidR="00F831EC">
        <w:rPr>
          <w:szCs w:val="22"/>
        </w:rPr>
        <w:t>artificial and natural lighting, heating</w:t>
      </w:r>
      <w:r w:rsidR="00E762BC">
        <w:rPr>
          <w:szCs w:val="22"/>
        </w:rPr>
        <w:t xml:space="preserve">, air conditioning, ventilation, indoor air quality, water quality, and acoustics or noise control.  </w:t>
      </w:r>
      <w:r w:rsidR="007E0A92">
        <w:rPr>
          <w:szCs w:val="22"/>
        </w:rPr>
        <w:t>Satisfaction is rated separately for permanent and portable (temporary) buildings.  This is a modified version of an item that was included in the 1999 survey.</w:t>
      </w:r>
    </w:p>
    <w:p w:rsidR="00E762BC" w:rsidRDefault="00E762BC" w:rsidP="0028416B">
      <w:pPr>
        <w:pStyle w:val="SP-SglSpPara"/>
        <w:jc w:val="left"/>
        <w:rPr>
          <w:szCs w:val="22"/>
        </w:rPr>
      </w:pPr>
    </w:p>
    <w:p w:rsidR="0077576F" w:rsidRDefault="00BA71FC" w:rsidP="0028416B">
      <w:pPr>
        <w:pStyle w:val="SP-SglSpPara"/>
        <w:jc w:val="left"/>
        <w:rPr>
          <w:szCs w:val="22"/>
        </w:rPr>
      </w:pPr>
      <w:r>
        <w:rPr>
          <w:szCs w:val="22"/>
        </w:rPr>
        <w:t xml:space="preserve">Question </w:t>
      </w:r>
      <w:r w:rsidR="009B4A7C">
        <w:rPr>
          <w:szCs w:val="22"/>
        </w:rPr>
        <w:t>8</w:t>
      </w:r>
      <w:r w:rsidR="003C5595">
        <w:rPr>
          <w:szCs w:val="22"/>
        </w:rPr>
        <w:t xml:space="preserve"> asks </w:t>
      </w:r>
      <w:r w:rsidR="00FA4A9A">
        <w:rPr>
          <w:szCs w:val="22"/>
        </w:rPr>
        <w:t>in w</w:t>
      </w:r>
      <w:r w:rsidR="0039129F">
        <w:rPr>
          <w:szCs w:val="22"/>
        </w:rPr>
        <w:t xml:space="preserve">hat </w:t>
      </w:r>
      <w:r w:rsidR="003C5595">
        <w:rPr>
          <w:szCs w:val="22"/>
        </w:rPr>
        <w:t xml:space="preserve">year the school’s main instructional building was </w:t>
      </w:r>
      <w:r w:rsidR="0039129F">
        <w:rPr>
          <w:szCs w:val="22"/>
        </w:rPr>
        <w:t>constructed</w:t>
      </w:r>
      <w:r w:rsidR="009B4A7C">
        <w:rPr>
          <w:szCs w:val="22"/>
        </w:rPr>
        <w:t>, and question 9</w:t>
      </w:r>
      <w:r w:rsidR="00FA4A9A">
        <w:rPr>
          <w:szCs w:val="22"/>
        </w:rPr>
        <w:t xml:space="preserve"> asks in what year the last major renovation of the main instructional building took place.  Both items were included in the 1999 survey.</w:t>
      </w:r>
      <w:r w:rsidR="003E51F9">
        <w:rPr>
          <w:szCs w:val="22"/>
        </w:rPr>
        <w:t xml:space="preserve">  </w:t>
      </w:r>
      <w:r w:rsidR="009B4A7C">
        <w:rPr>
          <w:szCs w:val="22"/>
        </w:rPr>
        <w:t>Question 10</w:t>
      </w:r>
      <w:r w:rsidR="003E51F9">
        <w:rPr>
          <w:szCs w:val="22"/>
        </w:rPr>
        <w:t xml:space="preserve"> </w:t>
      </w:r>
      <w:r w:rsidR="0077576F">
        <w:rPr>
          <w:szCs w:val="22"/>
        </w:rPr>
        <w:t>asks in what year the</w:t>
      </w:r>
      <w:r w:rsidR="00FA4A9A">
        <w:rPr>
          <w:szCs w:val="22"/>
        </w:rPr>
        <w:t xml:space="preserve"> last major </w:t>
      </w:r>
      <w:r w:rsidR="009B4A7C">
        <w:rPr>
          <w:szCs w:val="22"/>
        </w:rPr>
        <w:t xml:space="preserve">building </w:t>
      </w:r>
      <w:r w:rsidR="00FA4A9A">
        <w:rPr>
          <w:szCs w:val="22"/>
        </w:rPr>
        <w:t>replacement</w:t>
      </w:r>
      <w:r w:rsidR="0077576F">
        <w:rPr>
          <w:szCs w:val="22"/>
        </w:rPr>
        <w:t xml:space="preserve"> </w:t>
      </w:r>
      <w:r w:rsidR="009B4A7C">
        <w:rPr>
          <w:szCs w:val="22"/>
        </w:rPr>
        <w:t xml:space="preserve">or addition </w:t>
      </w:r>
      <w:r w:rsidR="00FA4A9A">
        <w:rPr>
          <w:szCs w:val="22"/>
        </w:rPr>
        <w:t xml:space="preserve">was </w:t>
      </w:r>
      <w:r w:rsidR="0077576F">
        <w:rPr>
          <w:szCs w:val="22"/>
        </w:rPr>
        <w:t>made to the school.</w:t>
      </w:r>
      <w:r w:rsidR="003E51F9">
        <w:rPr>
          <w:szCs w:val="22"/>
        </w:rPr>
        <w:t xml:space="preserve">  These items provide information about the functional age of the school.</w:t>
      </w:r>
    </w:p>
    <w:p w:rsidR="0077576F" w:rsidRDefault="0077576F" w:rsidP="0028416B">
      <w:pPr>
        <w:pStyle w:val="SP-SglSpPara"/>
        <w:jc w:val="left"/>
        <w:rPr>
          <w:szCs w:val="22"/>
        </w:rPr>
      </w:pPr>
    </w:p>
    <w:p w:rsidR="0077576F" w:rsidRDefault="009B4A7C" w:rsidP="0028416B">
      <w:pPr>
        <w:pStyle w:val="SP-SglSpPara"/>
        <w:jc w:val="left"/>
        <w:rPr>
          <w:szCs w:val="22"/>
        </w:rPr>
      </w:pPr>
      <w:r>
        <w:rPr>
          <w:szCs w:val="22"/>
        </w:rPr>
        <w:t>Question 11</w:t>
      </w:r>
      <w:r w:rsidR="0077576F">
        <w:rPr>
          <w:szCs w:val="22"/>
        </w:rPr>
        <w:t xml:space="preserve"> asks whether any major </w:t>
      </w:r>
      <w:r w:rsidR="00656613">
        <w:rPr>
          <w:szCs w:val="22"/>
        </w:rPr>
        <w:t xml:space="preserve">repair/renovation/modernization work </w:t>
      </w:r>
      <w:r w:rsidR="00FA4A9A">
        <w:rPr>
          <w:szCs w:val="22"/>
        </w:rPr>
        <w:t xml:space="preserve">is </w:t>
      </w:r>
      <w:r w:rsidR="00656613">
        <w:rPr>
          <w:szCs w:val="22"/>
        </w:rPr>
        <w:t>currently being performed at the school.</w:t>
      </w:r>
      <w:r w:rsidR="003E51F9">
        <w:rPr>
          <w:szCs w:val="22"/>
        </w:rPr>
        <w:t xml:space="preserve">  </w:t>
      </w:r>
    </w:p>
    <w:p w:rsidR="00656613" w:rsidRDefault="00656613" w:rsidP="0028416B">
      <w:pPr>
        <w:pStyle w:val="SP-SglSpPara"/>
        <w:jc w:val="left"/>
        <w:rPr>
          <w:szCs w:val="22"/>
        </w:rPr>
      </w:pPr>
    </w:p>
    <w:p w:rsidR="00656613" w:rsidRDefault="004A7957" w:rsidP="0028416B">
      <w:pPr>
        <w:pStyle w:val="SP-SglSpPara"/>
        <w:jc w:val="left"/>
        <w:rPr>
          <w:szCs w:val="22"/>
        </w:rPr>
      </w:pPr>
      <w:r>
        <w:rPr>
          <w:szCs w:val="22"/>
        </w:rPr>
        <w:t>Question 12</w:t>
      </w:r>
      <w:r w:rsidR="00656613">
        <w:rPr>
          <w:szCs w:val="22"/>
        </w:rPr>
        <w:t xml:space="preserve"> asks which ki</w:t>
      </w:r>
      <w:r w:rsidR="00DF0C52">
        <w:rPr>
          <w:szCs w:val="22"/>
        </w:rPr>
        <w:t xml:space="preserve">nds of </w:t>
      </w:r>
      <w:r w:rsidR="00656613">
        <w:rPr>
          <w:szCs w:val="22"/>
        </w:rPr>
        <w:t xml:space="preserve">construction projects, if any, are planned for the school in the next </w:t>
      </w:r>
      <w:r w:rsidR="006057EB">
        <w:rPr>
          <w:szCs w:val="22"/>
        </w:rPr>
        <w:t xml:space="preserve">2 </w:t>
      </w:r>
      <w:r w:rsidR="00656613">
        <w:rPr>
          <w:szCs w:val="22"/>
        </w:rPr>
        <w:t>years.  The construction projects include building new permanent buildings or permanent additions to buildings</w:t>
      </w:r>
      <w:r w:rsidR="006B2314">
        <w:rPr>
          <w:szCs w:val="22"/>
        </w:rPr>
        <w:t>,</w:t>
      </w:r>
      <w:r w:rsidR="00656613">
        <w:rPr>
          <w:szCs w:val="22"/>
        </w:rPr>
        <w:t xml:space="preserve"> </w:t>
      </w:r>
      <w:r w:rsidR="009B4A7C">
        <w:rPr>
          <w:szCs w:val="22"/>
        </w:rPr>
        <w:t xml:space="preserve">and </w:t>
      </w:r>
      <w:r w:rsidR="00656613">
        <w:rPr>
          <w:szCs w:val="22"/>
        </w:rPr>
        <w:t xml:space="preserve">major repairs, renovations, </w:t>
      </w:r>
      <w:r w:rsidR="009B4A7C">
        <w:rPr>
          <w:szCs w:val="22"/>
        </w:rPr>
        <w:t xml:space="preserve">or </w:t>
      </w:r>
      <w:r w:rsidR="00656613">
        <w:rPr>
          <w:szCs w:val="22"/>
        </w:rPr>
        <w:t>modernization of existing permanent buildings</w:t>
      </w:r>
      <w:r w:rsidR="009B4A7C">
        <w:rPr>
          <w:szCs w:val="22"/>
        </w:rPr>
        <w:t xml:space="preserve">. </w:t>
      </w:r>
      <w:r w:rsidR="003E51F9">
        <w:rPr>
          <w:szCs w:val="22"/>
        </w:rPr>
        <w:t>This is a modified version of an item that was included in the 1999 survey.</w:t>
      </w:r>
    </w:p>
    <w:p w:rsidR="00656613" w:rsidRDefault="00656613" w:rsidP="0028416B">
      <w:pPr>
        <w:pStyle w:val="SP-SglSpPara"/>
        <w:jc w:val="left"/>
        <w:rPr>
          <w:szCs w:val="22"/>
        </w:rPr>
      </w:pPr>
    </w:p>
    <w:p w:rsidR="00D5153D" w:rsidRDefault="004A7957" w:rsidP="0028416B">
      <w:pPr>
        <w:pStyle w:val="SP-SglSpPara"/>
        <w:jc w:val="left"/>
        <w:rPr>
          <w:szCs w:val="22"/>
        </w:rPr>
      </w:pPr>
      <w:r>
        <w:rPr>
          <w:szCs w:val="22"/>
        </w:rPr>
        <w:t>Question 13</w:t>
      </w:r>
      <w:r w:rsidR="00656613">
        <w:rPr>
          <w:szCs w:val="22"/>
        </w:rPr>
        <w:t xml:space="preserve"> </w:t>
      </w:r>
      <w:r w:rsidR="009B4A7C">
        <w:rPr>
          <w:szCs w:val="22"/>
        </w:rPr>
        <w:t>lists the same 17</w:t>
      </w:r>
      <w:r w:rsidR="00362ECD">
        <w:rPr>
          <w:szCs w:val="22"/>
        </w:rPr>
        <w:t xml:space="preserve"> building systems/features used in Q</w:t>
      </w:r>
      <w:r w:rsidR="00ED1B9F">
        <w:rPr>
          <w:szCs w:val="22"/>
        </w:rPr>
        <w:t xml:space="preserve">uestion </w:t>
      </w:r>
      <w:r w:rsidR="00362ECD">
        <w:rPr>
          <w:szCs w:val="22"/>
        </w:rPr>
        <w:t xml:space="preserve">2, and </w:t>
      </w:r>
      <w:r w:rsidR="00656613">
        <w:rPr>
          <w:szCs w:val="22"/>
        </w:rPr>
        <w:t xml:space="preserve">asks </w:t>
      </w:r>
      <w:r w:rsidR="00D5153D">
        <w:rPr>
          <w:szCs w:val="22"/>
        </w:rPr>
        <w:t>which, if any, have major repairs</w:t>
      </w:r>
      <w:r w:rsidR="00215775">
        <w:rPr>
          <w:szCs w:val="22"/>
        </w:rPr>
        <w:t>,</w:t>
      </w:r>
      <w:r w:rsidR="00D5153D">
        <w:rPr>
          <w:szCs w:val="22"/>
        </w:rPr>
        <w:t xml:space="preserve"> renovations, or replacements planned for the next 2 years.  If major repairs, renovations or replacements are planned, </w:t>
      </w:r>
      <w:r w:rsidR="005F4F39">
        <w:rPr>
          <w:szCs w:val="22"/>
        </w:rPr>
        <w:t xml:space="preserve">part B </w:t>
      </w:r>
      <w:r w:rsidR="00D5153D">
        <w:rPr>
          <w:szCs w:val="22"/>
        </w:rPr>
        <w:t xml:space="preserve">asks </w:t>
      </w:r>
      <w:r w:rsidR="00362ECD">
        <w:rPr>
          <w:szCs w:val="22"/>
        </w:rPr>
        <w:t xml:space="preserve">for the </w:t>
      </w:r>
      <w:r w:rsidR="00D5153D">
        <w:rPr>
          <w:szCs w:val="22"/>
        </w:rPr>
        <w:t xml:space="preserve">main reason </w:t>
      </w:r>
      <w:r w:rsidR="00903C04">
        <w:rPr>
          <w:szCs w:val="22"/>
        </w:rPr>
        <w:t xml:space="preserve">for </w:t>
      </w:r>
      <w:r w:rsidR="005F4F39">
        <w:rPr>
          <w:szCs w:val="22"/>
        </w:rPr>
        <w:t>this work</w:t>
      </w:r>
      <w:r w:rsidR="00D5153D">
        <w:rPr>
          <w:szCs w:val="22"/>
        </w:rPr>
        <w:t>.</w:t>
      </w:r>
    </w:p>
    <w:p w:rsidR="00D5153D" w:rsidRDefault="00D5153D" w:rsidP="0028416B">
      <w:pPr>
        <w:pStyle w:val="SP-SglSpPara"/>
        <w:jc w:val="left"/>
        <w:rPr>
          <w:szCs w:val="22"/>
        </w:rPr>
      </w:pPr>
    </w:p>
    <w:p w:rsidR="00F64F66" w:rsidRDefault="004A7957" w:rsidP="0028416B">
      <w:pPr>
        <w:pStyle w:val="SP-SglSpPara"/>
        <w:jc w:val="left"/>
        <w:rPr>
          <w:szCs w:val="22"/>
        </w:rPr>
      </w:pPr>
      <w:r>
        <w:rPr>
          <w:szCs w:val="22"/>
        </w:rPr>
        <w:t>Question 14</w:t>
      </w:r>
      <w:r w:rsidR="007E2C4A">
        <w:rPr>
          <w:szCs w:val="22"/>
        </w:rPr>
        <w:t xml:space="preserve"> asks if there is a written long-range educational facilities plan for th</w:t>
      </w:r>
      <w:r w:rsidR="00746220">
        <w:rPr>
          <w:szCs w:val="22"/>
        </w:rPr>
        <w:t xml:space="preserve">e school.  </w:t>
      </w:r>
      <w:r w:rsidR="00903C04">
        <w:rPr>
          <w:szCs w:val="22"/>
        </w:rPr>
        <w:t>This item was included in the 1999 survey</w:t>
      </w:r>
      <w:r w:rsidR="00F64F66">
        <w:rPr>
          <w:szCs w:val="22"/>
        </w:rPr>
        <w:t>.</w:t>
      </w:r>
    </w:p>
    <w:p w:rsidR="00F64F66" w:rsidRDefault="00F64F66" w:rsidP="0028416B">
      <w:pPr>
        <w:pStyle w:val="SP-SglSpPara"/>
        <w:jc w:val="left"/>
        <w:rPr>
          <w:szCs w:val="22"/>
        </w:rPr>
      </w:pPr>
    </w:p>
    <w:p w:rsidR="00215775" w:rsidRDefault="004A7957" w:rsidP="0028416B">
      <w:pPr>
        <w:pStyle w:val="SP-SglSpPara"/>
        <w:jc w:val="left"/>
        <w:rPr>
          <w:szCs w:val="22"/>
        </w:rPr>
      </w:pPr>
      <w:r>
        <w:rPr>
          <w:szCs w:val="22"/>
        </w:rPr>
        <w:t>Question 1</w:t>
      </w:r>
      <w:r w:rsidR="00DD7266">
        <w:rPr>
          <w:szCs w:val="22"/>
        </w:rPr>
        <w:t>5</w:t>
      </w:r>
      <w:r w:rsidR="007E2C4A">
        <w:rPr>
          <w:szCs w:val="22"/>
        </w:rPr>
        <w:t xml:space="preserve"> </w:t>
      </w:r>
      <w:r w:rsidR="00EF1310">
        <w:rPr>
          <w:szCs w:val="22"/>
        </w:rPr>
        <w:t xml:space="preserve">asks about the use of qualified </w:t>
      </w:r>
      <w:r w:rsidR="006D3143">
        <w:rPr>
          <w:szCs w:val="22"/>
        </w:rPr>
        <w:t xml:space="preserve">professionals within the last </w:t>
      </w:r>
      <w:r w:rsidR="00EF1310">
        <w:rPr>
          <w:szCs w:val="22"/>
        </w:rPr>
        <w:t>5</w:t>
      </w:r>
      <w:r w:rsidR="005700AE">
        <w:rPr>
          <w:szCs w:val="22"/>
        </w:rPr>
        <w:t xml:space="preserve"> years </w:t>
      </w:r>
      <w:r w:rsidR="00903C04">
        <w:rPr>
          <w:szCs w:val="22"/>
        </w:rPr>
        <w:t>to perform</w:t>
      </w:r>
      <w:r w:rsidR="005700AE">
        <w:rPr>
          <w:szCs w:val="22"/>
        </w:rPr>
        <w:t xml:space="preserve"> </w:t>
      </w:r>
      <w:r w:rsidR="00D3423C">
        <w:rPr>
          <w:szCs w:val="22"/>
        </w:rPr>
        <w:t xml:space="preserve">inspection of the </w:t>
      </w:r>
      <w:r w:rsidR="00EF1310">
        <w:rPr>
          <w:szCs w:val="22"/>
        </w:rPr>
        <w:t xml:space="preserve">condition of the physical features of the facility, evaluation </w:t>
      </w:r>
      <w:r w:rsidR="00D3423C">
        <w:rPr>
          <w:szCs w:val="22"/>
        </w:rPr>
        <w:t>of energy use, and evaluation o</w:t>
      </w:r>
      <w:r w:rsidR="005700AE">
        <w:rPr>
          <w:szCs w:val="22"/>
        </w:rPr>
        <w:t xml:space="preserve">f </w:t>
      </w:r>
      <w:r w:rsidR="00D3423C">
        <w:rPr>
          <w:szCs w:val="22"/>
        </w:rPr>
        <w:t>i</w:t>
      </w:r>
      <w:r w:rsidR="005700AE">
        <w:rPr>
          <w:szCs w:val="22"/>
        </w:rPr>
        <w:t xml:space="preserve">ndoor </w:t>
      </w:r>
      <w:r w:rsidR="00D3423C">
        <w:rPr>
          <w:szCs w:val="22"/>
        </w:rPr>
        <w:t>environmental hazards</w:t>
      </w:r>
      <w:r w:rsidR="005700AE">
        <w:rPr>
          <w:szCs w:val="22"/>
        </w:rPr>
        <w:t>.</w:t>
      </w:r>
    </w:p>
    <w:p w:rsidR="00215775" w:rsidRDefault="00215775" w:rsidP="0028416B">
      <w:pPr>
        <w:pStyle w:val="SP-SglSpPara"/>
        <w:jc w:val="left"/>
        <w:rPr>
          <w:szCs w:val="22"/>
        </w:rPr>
      </w:pPr>
    </w:p>
    <w:p w:rsidR="005700AE" w:rsidRDefault="00DD7266" w:rsidP="0028416B">
      <w:pPr>
        <w:pStyle w:val="SP-SglSpPara"/>
        <w:jc w:val="left"/>
        <w:rPr>
          <w:szCs w:val="22"/>
        </w:rPr>
      </w:pPr>
      <w:r>
        <w:rPr>
          <w:szCs w:val="22"/>
        </w:rPr>
        <w:lastRenderedPageBreak/>
        <w:t>Question 16</w:t>
      </w:r>
      <w:r w:rsidR="00001F4A">
        <w:rPr>
          <w:szCs w:val="22"/>
        </w:rPr>
        <w:t xml:space="preserve"> asks about </w:t>
      </w:r>
      <w:r w:rsidR="00903C04">
        <w:rPr>
          <w:szCs w:val="22"/>
        </w:rPr>
        <w:t xml:space="preserve">actions </w:t>
      </w:r>
      <w:r w:rsidR="00001F4A">
        <w:rPr>
          <w:szCs w:val="22"/>
        </w:rPr>
        <w:t xml:space="preserve">undertaken </w:t>
      </w:r>
      <w:r w:rsidR="005700AE">
        <w:rPr>
          <w:szCs w:val="22"/>
        </w:rPr>
        <w:t xml:space="preserve">within the last </w:t>
      </w:r>
      <w:r w:rsidR="00D3423C">
        <w:rPr>
          <w:szCs w:val="22"/>
        </w:rPr>
        <w:t xml:space="preserve">5 </w:t>
      </w:r>
      <w:r w:rsidR="005700AE">
        <w:rPr>
          <w:szCs w:val="22"/>
        </w:rPr>
        <w:t xml:space="preserve">years to improve energy efficiency at the school.  </w:t>
      </w:r>
      <w:r w:rsidR="00903C04">
        <w:rPr>
          <w:szCs w:val="22"/>
        </w:rPr>
        <w:t>Actions include</w:t>
      </w:r>
      <w:r w:rsidR="0007508C">
        <w:rPr>
          <w:szCs w:val="22"/>
        </w:rPr>
        <w:t>d are</w:t>
      </w:r>
      <w:r w:rsidR="00D2290C">
        <w:rPr>
          <w:szCs w:val="22"/>
        </w:rPr>
        <w:t xml:space="preserve"> replacing </w:t>
      </w:r>
      <w:r w:rsidR="005700AE">
        <w:rPr>
          <w:szCs w:val="22"/>
        </w:rPr>
        <w:t>lighting fixtures</w:t>
      </w:r>
      <w:r w:rsidR="00D2290C">
        <w:rPr>
          <w:szCs w:val="22"/>
        </w:rPr>
        <w:t xml:space="preserve">, </w:t>
      </w:r>
      <w:r w:rsidR="00215775">
        <w:rPr>
          <w:szCs w:val="22"/>
        </w:rPr>
        <w:t xml:space="preserve">lighting </w:t>
      </w:r>
      <w:r w:rsidR="00D2290C">
        <w:rPr>
          <w:szCs w:val="22"/>
        </w:rPr>
        <w:t>ballasts, or bulbs;</w:t>
      </w:r>
      <w:r w:rsidR="005700AE">
        <w:rPr>
          <w:szCs w:val="22"/>
        </w:rPr>
        <w:t xml:space="preserve"> installing motion-sensors for lighting; </w:t>
      </w:r>
      <w:r w:rsidR="00D2290C">
        <w:rPr>
          <w:szCs w:val="22"/>
        </w:rPr>
        <w:t xml:space="preserve">upgrading insulation, outer walls, and/or siding; </w:t>
      </w:r>
      <w:r w:rsidR="005700AE">
        <w:rPr>
          <w:szCs w:val="22"/>
        </w:rPr>
        <w:t>replacing windows</w:t>
      </w:r>
      <w:r w:rsidR="00D2290C">
        <w:rPr>
          <w:szCs w:val="22"/>
        </w:rPr>
        <w:t xml:space="preserve"> and/or doors; installing or upgrading reflective roof coating; installing more efficient HVAC systems; and installing or upgrading energy management system.</w:t>
      </w:r>
    </w:p>
    <w:p w:rsidR="008126EA" w:rsidRDefault="008126EA" w:rsidP="0028416B">
      <w:pPr>
        <w:spacing w:after="0" w:line="240" w:lineRule="atLeast"/>
        <w:ind w:firstLine="576"/>
        <w:rPr>
          <w:rFonts w:ascii="Times New Roman" w:hAnsi="Times New Roman"/>
        </w:rPr>
      </w:pPr>
    </w:p>
    <w:p w:rsidR="00F64F66" w:rsidRDefault="00DD7266" w:rsidP="0028416B">
      <w:pPr>
        <w:spacing w:after="0" w:line="240" w:lineRule="atLeast"/>
        <w:ind w:firstLine="576"/>
        <w:rPr>
          <w:rFonts w:ascii="Times New Roman" w:hAnsi="Times New Roman"/>
        </w:rPr>
      </w:pPr>
      <w:r>
        <w:rPr>
          <w:rFonts w:ascii="Times New Roman" w:hAnsi="Times New Roman"/>
        </w:rPr>
        <w:t>Question 17</w:t>
      </w:r>
      <w:r w:rsidR="00F64F66">
        <w:rPr>
          <w:rFonts w:ascii="Times New Roman" w:hAnsi="Times New Roman"/>
        </w:rPr>
        <w:t xml:space="preserve"> asks </w:t>
      </w:r>
      <w:r w:rsidR="00001F4A">
        <w:rPr>
          <w:rFonts w:ascii="Times New Roman" w:hAnsi="Times New Roman"/>
        </w:rPr>
        <w:t xml:space="preserve">whether </w:t>
      </w:r>
      <w:r w:rsidR="005F69AC">
        <w:rPr>
          <w:rFonts w:ascii="Times New Roman" w:hAnsi="Times New Roman"/>
        </w:rPr>
        <w:t>there are significant problems with the facilities at the school that are not covered in this survey.</w:t>
      </w:r>
      <w:r w:rsidR="00001F4A">
        <w:rPr>
          <w:rFonts w:ascii="Times New Roman" w:hAnsi="Times New Roman"/>
        </w:rPr>
        <w:t xml:space="preserve">  If the response is “yes,” space is provided to describe the problems.</w:t>
      </w:r>
      <w:r w:rsidR="0002211C">
        <w:rPr>
          <w:rFonts w:ascii="Times New Roman" w:hAnsi="Times New Roman"/>
        </w:rPr>
        <w:t xml:space="preserve"> </w:t>
      </w:r>
    </w:p>
    <w:p w:rsidR="005F69AC" w:rsidRDefault="005F69AC" w:rsidP="0028416B">
      <w:pPr>
        <w:spacing w:after="0" w:line="240" w:lineRule="atLeast"/>
        <w:ind w:firstLine="576"/>
        <w:rPr>
          <w:rFonts w:ascii="Times New Roman" w:hAnsi="Times New Roman"/>
        </w:rPr>
      </w:pPr>
    </w:p>
    <w:p w:rsidR="008126EA" w:rsidRPr="0079689D" w:rsidRDefault="00D11D4A" w:rsidP="0007508C">
      <w:pPr>
        <w:spacing w:after="0" w:line="240" w:lineRule="auto"/>
        <w:rPr>
          <w:rFonts w:ascii="Times New Roman" w:hAnsi="Times New Roman"/>
          <w:b/>
        </w:rPr>
      </w:pPr>
      <w:r>
        <w:rPr>
          <w:rFonts w:ascii="Times New Roman" w:hAnsi="Times New Roman"/>
          <w:b/>
        </w:rPr>
        <w:t xml:space="preserve">Survey cost and </w:t>
      </w:r>
      <w:r w:rsidR="008126EA" w:rsidRPr="0079689D">
        <w:rPr>
          <w:rFonts w:ascii="Times New Roman" w:hAnsi="Times New Roman"/>
          <w:b/>
        </w:rPr>
        <w:t>Time</w:t>
      </w:r>
      <w:r>
        <w:rPr>
          <w:rFonts w:ascii="Times New Roman" w:hAnsi="Times New Roman"/>
          <w:b/>
        </w:rPr>
        <w:t xml:space="preserve"> Schedule</w:t>
      </w:r>
    </w:p>
    <w:p w:rsidR="008126EA" w:rsidRPr="00512952" w:rsidRDefault="008126EA" w:rsidP="00D550EA">
      <w:pPr>
        <w:spacing w:after="0" w:line="240" w:lineRule="atLeast"/>
        <w:rPr>
          <w:rFonts w:ascii="Times New Roman" w:hAnsi="Times New Roman"/>
        </w:rPr>
      </w:pPr>
    </w:p>
    <w:p w:rsidR="000561B9" w:rsidRPr="00512952" w:rsidRDefault="000561B9" w:rsidP="0028416B">
      <w:pPr>
        <w:pStyle w:val="SP-SglSpPara"/>
        <w:jc w:val="left"/>
      </w:pPr>
      <w:r w:rsidRPr="00512952">
        <w:t>The survey is estimated to cost the federal government about $</w:t>
      </w:r>
      <w:r w:rsidR="005A5F05">
        <w:t>800,000</w:t>
      </w:r>
      <w:r w:rsidRPr="00512952">
        <w:t>, including about $</w:t>
      </w:r>
      <w:r w:rsidR="005A5F05">
        <w:t>750,000</w:t>
      </w:r>
      <w:r w:rsidRPr="00512952">
        <w:t xml:space="preserve"> for contractual costs and $</w:t>
      </w:r>
      <w:r w:rsidR="004136BA">
        <w:t>50,000</w:t>
      </w:r>
      <w:r w:rsidRPr="00512952">
        <w:t xml:space="preserve"> for salaries and expenses. Contractual costs include the costs for survey preparation, data collection, data analysis, and report preparation. </w:t>
      </w:r>
    </w:p>
    <w:p w:rsidR="002D5005" w:rsidRPr="00512952" w:rsidRDefault="002D5005" w:rsidP="0028416B">
      <w:pPr>
        <w:pStyle w:val="SP-SglSpPara"/>
        <w:jc w:val="left"/>
      </w:pPr>
    </w:p>
    <w:p w:rsidR="006C3BB0" w:rsidRDefault="006C3BB0" w:rsidP="0028416B">
      <w:pPr>
        <w:pStyle w:val="SP-SglSpPara"/>
        <w:jc w:val="left"/>
        <w:rPr>
          <w:szCs w:val="22"/>
        </w:rPr>
      </w:pPr>
      <w:r w:rsidRPr="00512952">
        <w:t>Mailing of the survey is planned for January 2013.  About 3 weeks after mail out of the survey, Westat will begin telephone follow-up for nonresponse. Data collection is scheduled for completion about 1</w:t>
      </w:r>
      <w:r w:rsidR="005D23F6" w:rsidRPr="00512952">
        <w:t>8</w:t>
      </w:r>
      <w:r w:rsidRPr="00512952">
        <w:t xml:space="preserve"> weeks after initial mail out</w:t>
      </w:r>
      <w:r w:rsidRPr="002D5005">
        <w:rPr>
          <w:szCs w:val="22"/>
        </w:rPr>
        <w:t xml:space="preserve">. </w:t>
      </w:r>
    </w:p>
    <w:p w:rsidR="002D5005" w:rsidRPr="002D5005" w:rsidRDefault="002D5005" w:rsidP="002D5005">
      <w:pPr>
        <w:pStyle w:val="SP-SglSpPara"/>
        <w:rPr>
          <w:szCs w:val="22"/>
        </w:rPr>
      </w:pPr>
    </w:p>
    <w:p w:rsidR="006C3BB0" w:rsidRPr="00042899" w:rsidRDefault="006C3BB0" w:rsidP="006C3BB0">
      <w:pPr>
        <w:rPr>
          <w:rFonts w:ascii="Times New Roman" w:hAnsi="Times New Roman"/>
          <w:b/>
        </w:rPr>
      </w:pPr>
      <w:r w:rsidRPr="00042899">
        <w:rPr>
          <w:rFonts w:ascii="Times New Roman" w:hAnsi="Times New Roman"/>
          <w:b/>
        </w:rPr>
        <w:t>Plan for Tabulation and Publication</w:t>
      </w:r>
    </w:p>
    <w:p w:rsidR="006C3BB0" w:rsidRDefault="006C3BB0" w:rsidP="0028416B">
      <w:pPr>
        <w:pStyle w:val="SP-SglSpPara"/>
        <w:jc w:val="left"/>
      </w:pPr>
      <w:r>
        <w:t xml:space="preserve">The </w:t>
      </w:r>
      <w:r w:rsidR="0003169A" w:rsidRPr="0003169A">
        <w:rPr>
          <w:i/>
        </w:rPr>
        <w:t>F</w:t>
      </w:r>
      <w:r w:rsidRPr="0003169A">
        <w:rPr>
          <w:i/>
        </w:rPr>
        <w:t xml:space="preserve">irst </w:t>
      </w:r>
      <w:r w:rsidR="0003169A" w:rsidRPr="0003169A">
        <w:rPr>
          <w:i/>
        </w:rPr>
        <w:t>L</w:t>
      </w:r>
      <w:r w:rsidRPr="0003169A">
        <w:rPr>
          <w:i/>
        </w:rPr>
        <w:t>ook</w:t>
      </w:r>
      <w:r>
        <w:t xml:space="preserve"> report will be released on the NCES website </w:t>
      </w:r>
      <w:r w:rsidR="00160DA7">
        <w:t xml:space="preserve">in </w:t>
      </w:r>
      <w:r w:rsidR="00160DA7">
        <w:t>late 2013</w:t>
      </w:r>
      <w:r w:rsidR="00160DA7">
        <w:t xml:space="preserve"> </w:t>
      </w:r>
      <w:r>
        <w:t xml:space="preserve">and include explanatory text and tables. Districts </w:t>
      </w:r>
      <w:r w:rsidR="00B4677A">
        <w:t xml:space="preserve">with participating schools </w:t>
      </w:r>
      <w:r>
        <w:t xml:space="preserve">will be notified when </w:t>
      </w:r>
      <w:r w:rsidR="00B4677A">
        <w:t>NCES releases the report.</w:t>
      </w:r>
      <w:r>
        <w:t xml:space="preserve"> </w:t>
      </w:r>
      <w:r w:rsidR="00B4677A">
        <w:t xml:space="preserve"> </w:t>
      </w:r>
      <w:r>
        <w:t xml:space="preserve">A public use data file will also be released on the NCES website. </w:t>
      </w:r>
      <w:r w:rsidRPr="0067543C">
        <w:t xml:space="preserve">Survey responses will be weighted to produce national estimates. Tabulations will </w:t>
      </w:r>
      <w:r w:rsidR="00B4677A">
        <w:t>be produced for each data item.  C</w:t>
      </w:r>
      <w:r w:rsidRPr="0067543C">
        <w:t xml:space="preserve">ross tabulations of data items will be made with selected classification variables, such as </w:t>
      </w:r>
      <w:r w:rsidR="00C35DE6">
        <w:t>i</w:t>
      </w:r>
      <w:r w:rsidR="00DE3D64">
        <w:t>nstructional level</w:t>
      </w:r>
      <w:r w:rsidR="00C35DE6">
        <w:t xml:space="preserve"> of the school, s</w:t>
      </w:r>
      <w:r>
        <w:t>chool enrollment</w:t>
      </w:r>
      <w:r w:rsidR="00C35DE6">
        <w:t xml:space="preserve"> size, c</w:t>
      </w:r>
      <w:r w:rsidR="00112400">
        <w:t>ommunity type</w:t>
      </w:r>
      <w:r>
        <w:t xml:space="preserve"> (</w:t>
      </w:r>
      <w:r w:rsidR="00C35DE6">
        <w:t>locale), g</w:t>
      </w:r>
      <w:r>
        <w:t>eographic region</w:t>
      </w:r>
      <w:r w:rsidR="00C35DE6">
        <w:t>,</w:t>
      </w:r>
      <w:r>
        <w:t xml:space="preserve"> </w:t>
      </w:r>
      <w:r w:rsidR="00C35DE6">
        <w:t>p</w:t>
      </w:r>
      <w:r>
        <w:t xml:space="preserve">ercent minority enrollment </w:t>
      </w:r>
      <w:r w:rsidR="00C35DE6">
        <w:t xml:space="preserve">in the school, </w:t>
      </w:r>
      <w:r>
        <w:t>and</w:t>
      </w:r>
      <w:r w:rsidR="00C35DE6">
        <w:t xml:space="preserve"> percent of students eligible for free and reduced-price lunch.</w:t>
      </w:r>
    </w:p>
    <w:p w:rsidR="00605E65" w:rsidRDefault="00605E65" w:rsidP="006C3BB0">
      <w:pPr>
        <w:ind w:left="720"/>
        <w:rPr>
          <w:rFonts w:ascii="Times New Roman" w:hAnsi="Times New Roman"/>
        </w:rPr>
      </w:pPr>
    </w:p>
    <w:p w:rsidR="00B4677A" w:rsidRPr="008C5576" w:rsidRDefault="00B4677A" w:rsidP="00B4677A">
      <w:pPr>
        <w:rPr>
          <w:rFonts w:ascii="Times New Roman" w:hAnsi="Times New Roman"/>
          <w:b/>
          <w:sz w:val="28"/>
          <w:szCs w:val="28"/>
        </w:rPr>
      </w:pPr>
      <w:r w:rsidRPr="008C5576">
        <w:rPr>
          <w:rFonts w:ascii="Times New Roman" w:hAnsi="Times New Roman"/>
          <w:b/>
          <w:sz w:val="28"/>
          <w:szCs w:val="28"/>
        </w:rPr>
        <w:t>Statistical Methodology</w:t>
      </w:r>
    </w:p>
    <w:p w:rsidR="00B4677A" w:rsidRPr="003600EC" w:rsidRDefault="00B4677A" w:rsidP="00B4677A">
      <w:pPr>
        <w:rPr>
          <w:rFonts w:ascii="Times New Roman" w:hAnsi="Times New Roman"/>
          <w:b/>
        </w:rPr>
      </w:pPr>
      <w:r w:rsidRPr="003600EC">
        <w:rPr>
          <w:rFonts w:ascii="Times New Roman" w:hAnsi="Times New Roman"/>
          <w:b/>
        </w:rPr>
        <w:t>Reviewing Statisticians</w:t>
      </w:r>
    </w:p>
    <w:p w:rsidR="00B4677A" w:rsidRDefault="00B4677A" w:rsidP="0028416B">
      <w:pPr>
        <w:pStyle w:val="SP-SglSpPara"/>
        <w:jc w:val="left"/>
        <w:rPr>
          <w:bCs/>
          <w:color w:val="000000"/>
        </w:rPr>
      </w:pPr>
      <w:r w:rsidRPr="00AC1AE1">
        <w:t>J</w:t>
      </w:r>
      <w:r w:rsidR="00AC1AE1" w:rsidRPr="00AC1AE1">
        <w:t>ohn Ralph</w:t>
      </w:r>
      <w:r w:rsidRPr="003600EC">
        <w:t xml:space="preserve">, of NCES, is the </w:t>
      </w:r>
      <w:r w:rsidR="00FA4E45">
        <w:t xml:space="preserve">Acting </w:t>
      </w:r>
      <w:r w:rsidRPr="003600EC">
        <w:t>Project Officer for this survey. Adam Chu, Senior Statistician, Westat, was con</w:t>
      </w:r>
      <w:r w:rsidRPr="00095865">
        <w:rPr>
          <w:color w:val="000000"/>
        </w:rPr>
        <w:t>sulted about the statistical aspects of the design.</w:t>
      </w:r>
      <w:r w:rsidRPr="00095865">
        <w:rPr>
          <w:bCs/>
          <w:color w:val="000000"/>
        </w:rPr>
        <w:t xml:space="preserve"> Westat is the contractor currently conducting the QRIS surveys for NCES.</w:t>
      </w:r>
    </w:p>
    <w:p w:rsidR="003600EC" w:rsidRDefault="003600EC" w:rsidP="003600EC">
      <w:pPr>
        <w:pStyle w:val="SP-SglSpPara"/>
        <w:rPr>
          <w:bCs/>
          <w:color w:val="000000"/>
        </w:rPr>
      </w:pPr>
    </w:p>
    <w:p w:rsidR="00B4677A" w:rsidRPr="00A01D5E" w:rsidRDefault="00B4677A" w:rsidP="00B4677A">
      <w:pPr>
        <w:tabs>
          <w:tab w:val="left" w:pos="5040"/>
        </w:tabs>
        <w:rPr>
          <w:rFonts w:ascii="Times New Roman" w:hAnsi="Times New Roman"/>
          <w:b/>
        </w:rPr>
      </w:pPr>
      <w:r w:rsidRPr="00A01D5E">
        <w:rPr>
          <w:rFonts w:ascii="Times New Roman" w:hAnsi="Times New Roman"/>
          <w:b/>
        </w:rPr>
        <w:t>Respondent Universe</w:t>
      </w:r>
    </w:p>
    <w:p w:rsidR="00B4677A" w:rsidRDefault="00B4677A" w:rsidP="0028416B">
      <w:pPr>
        <w:pStyle w:val="SP-SglSpPara"/>
        <w:jc w:val="left"/>
        <w:rPr>
          <w:color w:val="000000" w:themeColor="text1"/>
        </w:rPr>
      </w:pPr>
      <w:r w:rsidRPr="00642D1F">
        <w:rPr>
          <w:color w:val="000000" w:themeColor="text1"/>
        </w:rPr>
        <w:t xml:space="preserve">The respondent universe for the FRSS survey on the condition of public school facilities will include all regular public schools in the United States.  A stratified sample of 1,800 regular schools will be selected from the 2010-2011 NCES </w:t>
      </w:r>
      <w:r w:rsidRPr="00642D1F">
        <w:rPr>
          <w:i/>
          <w:color w:val="000000" w:themeColor="text1"/>
        </w:rPr>
        <w:t>Common Core of Data</w:t>
      </w:r>
      <w:r w:rsidRPr="00642D1F">
        <w:rPr>
          <w:color w:val="000000" w:themeColor="text1"/>
        </w:rPr>
        <w:t xml:space="preserve"> </w:t>
      </w:r>
      <w:r w:rsidRPr="00642D1F">
        <w:rPr>
          <w:i/>
          <w:color w:val="000000" w:themeColor="text1"/>
        </w:rPr>
        <w:t>(CCD) Public School Universe File</w:t>
      </w:r>
      <w:r w:rsidRPr="00642D1F">
        <w:rPr>
          <w:color w:val="000000" w:themeColor="text1"/>
        </w:rPr>
        <w:t xml:space="preserve">.  As indicated in Table </w:t>
      </w:r>
      <w:r w:rsidR="00160092">
        <w:rPr>
          <w:color w:val="000000" w:themeColor="text1"/>
        </w:rPr>
        <w:t>2</w:t>
      </w:r>
      <w:r w:rsidRPr="00642D1F">
        <w:rPr>
          <w:color w:val="000000" w:themeColor="text1"/>
        </w:rPr>
        <w:t xml:space="preserve">, over 86,753 regular schools are included in the CCD universe file, of </w:t>
      </w:r>
      <w:r w:rsidRPr="00160092">
        <w:rPr>
          <w:color w:val="000000" w:themeColor="text1"/>
        </w:rPr>
        <w:t>which</w:t>
      </w:r>
      <w:r w:rsidRPr="00642D1F">
        <w:rPr>
          <w:color w:val="000000" w:themeColor="text1"/>
        </w:rPr>
        <w:t xml:space="preserve"> 50,990 are elementary schools, 16,577 are middle schools, and 19,186 are high schools or schools with combined elementary/secondary grades. Table </w:t>
      </w:r>
      <w:r w:rsidR="00160092">
        <w:rPr>
          <w:color w:val="000000" w:themeColor="text1"/>
        </w:rPr>
        <w:t>3</w:t>
      </w:r>
      <w:r w:rsidRPr="00642D1F">
        <w:rPr>
          <w:color w:val="000000" w:themeColor="text1"/>
        </w:rPr>
        <w:t xml:space="preserve"> summarizes how the three instructional levels will be defined for sampling purposes based on the grades taught in the school. Note that the counts of schools in Table </w:t>
      </w:r>
      <w:r w:rsidR="00160092">
        <w:rPr>
          <w:color w:val="000000" w:themeColor="text1"/>
        </w:rPr>
        <w:t>2</w:t>
      </w:r>
      <w:r w:rsidRPr="00642D1F">
        <w:rPr>
          <w:color w:val="000000" w:themeColor="text1"/>
        </w:rPr>
        <w:t xml:space="preserve"> pertain only to the 86,753 “regular” schools in the CCD file, and exclude special education, vocational, and alternative/other non-regular schools.  Schools with a high grade of kindergarten or lower, ungraded schools, and schools in the outlying U.S. territories are also ineligible for the survey and are excluded from the counts in the table.</w:t>
      </w:r>
    </w:p>
    <w:p w:rsidR="00E04502" w:rsidRPr="00642D1F" w:rsidRDefault="00E04502" w:rsidP="00E04502">
      <w:pPr>
        <w:pStyle w:val="SP-SglSpPara"/>
        <w:rPr>
          <w:color w:val="000000" w:themeColor="text1"/>
        </w:rPr>
      </w:pPr>
    </w:p>
    <w:p w:rsidR="00995CF6" w:rsidRDefault="00995CF6">
      <w:pPr>
        <w:spacing w:after="0" w:line="240" w:lineRule="auto"/>
        <w:rPr>
          <w:rFonts w:ascii="Times New Roman" w:hAnsi="Times New Roman"/>
          <w:b/>
        </w:rPr>
      </w:pPr>
      <w:r>
        <w:rPr>
          <w:rFonts w:ascii="Times New Roman" w:hAnsi="Times New Roman"/>
          <w:b/>
        </w:rPr>
        <w:br w:type="page"/>
      </w:r>
    </w:p>
    <w:p w:rsidR="001A2B45" w:rsidRDefault="001A2B45" w:rsidP="001A2B45">
      <w:pPr>
        <w:tabs>
          <w:tab w:val="left" w:pos="5040"/>
        </w:tabs>
        <w:rPr>
          <w:b/>
        </w:rPr>
      </w:pPr>
      <w:r w:rsidRPr="00A01D5E">
        <w:rPr>
          <w:rFonts w:ascii="Times New Roman" w:hAnsi="Times New Roman"/>
          <w:b/>
        </w:rPr>
        <w:lastRenderedPageBreak/>
        <w:t>S</w:t>
      </w:r>
      <w:r>
        <w:rPr>
          <w:rFonts w:ascii="Times New Roman" w:hAnsi="Times New Roman"/>
          <w:b/>
        </w:rPr>
        <w:t>ample Design</w:t>
      </w:r>
    </w:p>
    <w:p w:rsidR="00B4677A" w:rsidRPr="00642D1F" w:rsidRDefault="00B4677A" w:rsidP="0028416B">
      <w:pPr>
        <w:pStyle w:val="SP-SglSpPara"/>
        <w:jc w:val="left"/>
        <w:rPr>
          <w:color w:val="000000" w:themeColor="text1"/>
          <w:szCs w:val="22"/>
        </w:rPr>
      </w:pPr>
      <w:r w:rsidRPr="00642D1F">
        <w:rPr>
          <w:color w:val="000000" w:themeColor="text1"/>
          <w:szCs w:val="22"/>
        </w:rPr>
        <w:t>A stratified sample of 1,800 public schools will be selected for the survey, includi</w:t>
      </w:r>
      <w:r w:rsidR="0031548A">
        <w:rPr>
          <w:color w:val="000000" w:themeColor="text1"/>
          <w:szCs w:val="22"/>
        </w:rPr>
        <w:t xml:space="preserve">ng 720 elementary schools, 540 </w:t>
      </w:r>
      <w:r w:rsidRPr="00642D1F">
        <w:rPr>
          <w:color w:val="000000" w:themeColor="text1"/>
          <w:szCs w:val="22"/>
        </w:rPr>
        <w:t>middle schools, and 540 high schools. The proposed allocation is designed to permit separate analysis of the three instructional levels, without unduly increasing design effects for overall statistics involving all levels. For sampling purposes, strata will be defined by crossing instructional level (elementary, middle, and secondary) with five enrollment size classes (less than 300, 300 to 499, 500 to 999, 1,000 to 1,499, and 1,500+) and four type-of-locale categories (city, suburban, town, rural). Within each sampling stratum, schools will be sorted by region and categories of percent minority enrollment prior to sample selection to induce additional implicit stratification. For each instructional level, the specified total sample size will be allocated to strata in rough proportion to the aggregate square root of the enrollment of the schools in the stratum. The use of the square root of enrollment for sample allocation purposes is a compromise between proportional allocation (which is approximately optimum for estimating the number or proportion of schools with a specified characteristic), and allocation in proportion to enrollment (which is approximately optimum for estimating aggregates that are correlated with school size, e.g., building square footage). After the stratum sample sizes have been determined, the required numbers of schools will be selected systematically from the sorted file using independent random starts. In addition to analyses by instructional level, the proposed sample design will permit separate analysis (along a single dimension) by locale, broad enrollment size class, OE re</w:t>
      </w:r>
      <w:r>
        <w:rPr>
          <w:color w:val="000000" w:themeColor="text1"/>
          <w:szCs w:val="22"/>
        </w:rPr>
        <w:t xml:space="preserve">gion, and minority enrollment. </w:t>
      </w:r>
      <w:r w:rsidRPr="00642D1F">
        <w:rPr>
          <w:color w:val="000000" w:themeColor="text1"/>
          <w:szCs w:val="22"/>
        </w:rPr>
        <w:t>Assuming a response rate of 90 percent, the initial sample of 1,800 will yield approximately 1,620 completed questionnaires.</w:t>
      </w:r>
    </w:p>
    <w:p w:rsidR="00B4677A" w:rsidRPr="00642D1F" w:rsidRDefault="00B4677A" w:rsidP="0028416B">
      <w:pPr>
        <w:pStyle w:val="SP-SglSpPara"/>
        <w:jc w:val="left"/>
        <w:rPr>
          <w:color w:val="000000" w:themeColor="text1"/>
          <w:szCs w:val="22"/>
        </w:rPr>
      </w:pPr>
    </w:p>
    <w:p w:rsidR="00B4677A" w:rsidRDefault="00B4677A" w:rsidP="0028416B">
      <w:pPr>
        <w:pStyle w:val="SP-SglSpPara"/>
        <w:jc w:val="left"/>
        <w:rPr>
          <w:color w:val="000000" w:themeColor="text1"/>
          <w:szCs w:val="22"/>
        </w:rPr>
      </w:pPr>
      <w:r w:rsidRPr="00642D1F">
        <w:rPr>
          <w:color w:val="000000" w:themeColor="text1"/>
          <w:szCs w:val="22"/>
        </w:rPr>
        <w:t xml:space="preserve">The approximate sample sizes and the corresponding estimates of sampling precision to be expected under the proposed design are summarized in Table </w:t>
      </w:r>
      <w:r w:rsidR="00160092">
        <w:rPr>
          <w:color w:val="000000" w:themeColor="text1"/>
          <w:szCs w:val="22"/>
        </w:rPr>
        <w:t>4</w:t>
      </w:r>
      <w:r w:rsidRPr="00642D1F">
        <w:rPr>
          <w:color w:val="000000" w:themeColor="text1"/>
          <w:szCs w:val="22"/>
        </w:rPr>
        <w:t xml:space="preserve"> for selected subgroups. Since the results in Table </w:t>
      </w:r>
      <w:r w:rsidR="00160092">
        <w:rPr>
          <w:color w:val="000000" w:themeColor="text1"/>
          <w:szCs w:val="22"/>
        </w:rPr>
        <w:t>4</w:t>
      </w:r>
      <w:r w:rsidRPr="00642D1F">
        <w:rPr>
          <w:color w:val="000000" w:themeColor="text1"/>
          <w:szCs w:val="22"/>
        </w:rPr>
        <w:t xml:space="preserve"> are based on preliminary tabulations of the CCD file, the actual sample sizes may differ somewhat from those shown. Also, note that the sample sizes in Table </w:t>
      </w:r>
      <w:r w:rsidR="00160092">
        <w:rPr>
          <w:color w:val="000000" w:themeColor="text1"/>
          <w:szCs w:val="22"/>
        </w:rPr>
        <w:t>4</w:t>
      </w:r>
      <w:r w:rsidRPr="00642D1F">
        <w:rPr>
          <w:color w:val="000000" w:themeColor="text1"/>
          <w:szCs w:val="22"/>
        </w:rPr>
        <w:t xml:space="preserve"> represent the expected numbers of completed questionnaires, and not the numbers of schools to be selected. The standard errors in Table </w:t>
      </w:r>
      <w:r w:rsidR="00160092">
        <w:rPr>
          <w:color w:val="000000" w:themeColor="text1"/>
          <w:szCs w:val="22"/>
        </w:rPr>
        <w:t>4</w:t>
      </w:r>
      <w:r w:rsidRPr="00642D1F">
        <w:rPr>
          <w:color w:val="000000" w:themeColor="text1"/>
          <w:szCs w:val="22"/>
        </w:rPr>
        <w:t xml:space="preserve"> can be converted to 95 percent confidence bounds by multiplying the entries by 2. Thus, for example, an estimated proportion of the order of 20 percent (P = 0.20) for elementary schools would be subject to a margin of error of </w:t>
      </w:r>
      <w:r w:rsidRPr="00642D1F">
        <w:rPr>
          <w:color w:val="000000" w:themeColor="text1"/>
          <w:szCs w:val="22"/>
          <w:u w:val="single"/>
        </w:rPr>
        <w:t>+</w:t>
      </w:r>
      <w:r w:rsidRPr="00642D1F">
        <w:rPr>
          <w:color w:val="000000" w:themeColor="text1"/>
          <w:szCs w:val="22"/>
        </w:rPr>
        <w:t xml:space="preserve"> 3.2 percent (at the 95 percent confidence level).</w:t>
      </w:r>
    </w:p>
    <w:p w:rsidR="00E04502" w:rsidRDefault="00E04502" w:rsidP="00E04502">
      <w:pPr>
        <w:pStyle w:val="SP-SglSpPara"/>
        <w:rPr>
          <w:color w:val="000000" w:themeColor="text1"/>
          <w:szCs w:val="22"/>
        </w:rPr>
      </w:pPr>
    </w:p>
    <w:p w:rsidR="00E04502" w:rsidRPr="001A2B45" w:rsidRDefault="00E04502" w:rsidP="001A2B45">
      <w:pPr>
        <w:tabs>
          <w:tab w:val="left" w:pos="5040"/>
        </w:tabs>
        <w:rPr>
          <w:rFonts w:ascii="Times New Roman" w:hAnsi="Times New Roman"/>
          <w:color w:val="000000" w:themeColor="text1"/>
        </w:rPr>
      </w:pPr>
      <w:r w:rsidRPr="001A2B45">
        <w:rPr>
          <w:rFonts w:ascii="Times New Roman" w:hAnsi="Times New Roman"/>
          <w:b/>
          <w:color w:val="000000" w:themeColor="text1"/>
        </w:rPr>
        <w:t>E</w:t>
      </w:r>
      <w:r w:rsidR="001A2B45" w:rsidRPr="001A2B45">
        <w:rPr>
          <w:rFonts w:ascii="Times New Roman" w:hAnsi="Times New Roman"/>
          <w:b/>
          <w:color w:val="000000" w:themeColor="text1"/>
        </w:rPr>
        <w:t>stimation and Calculation of Sampling Errors</w:t>
      </w:r>
    </w:p>
    <w:p w:rsidR="00E04502" w:rsidRPr="00642D1F" w:rsidRDefault="00E04502" w:rsidP="0028416B">
      <w:pPr>
        <w:pStyle w:val="SP-SglSpPara"/>
        <w:jc w:val="left"/>
        <w:rPr>
          <w:color w:val="000000" w:themeColor="text1"/>
          <w:szCs w:val="22"/>
        </w:rPr>
      </w:pPr>
      <w:r w:rsidRPr="00642D1F">
        <w:rPr>
          <w:color w:val="000000" w:themeColor="text1"/>
          <w:szCs w:val="22"/>
        </w:rPr>
        <w:t>For estimation purposes, sampling weights reflecting the overall probabilities of selection under the proposed design will be attached to each data record. These weights will include upward adjustments for nonresponse. To properly reflect the complex features of the sample design, standard errors of the survey-based estimates will be calculated using jackknife replication. Under the proposed jackknife replication approach, 100 subsamples or “replicates” will be formed in a way that preserves the basic features of the full sample design.  A set of estimation weights (referred to as “replicate weights”) will then be generated for each jackknife replicate.  Using the full sample weights and the replicate weights, estimates of any survey statistic can be calculated for the full sample and each of the 100 jackknife replicates.  The mean square error of the replicate estimates then provides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9A337F" w:rsidRDefault="009A337F">
      <w:pPr>
        <w:spacing w:after="0" w:line="240" w:lineRule="auto"/>
        <w:rPr>
          <w:rFonts w:ascii="Times New Roman" w:eastAsia="Times New Roman" w:hAnsi="Times New Roman"/>
          <w:color w:val="000000" w:themeColor="text1"/>
        </w:rPr>
      </w:pPr>
    </w:p>
    <w:p w:rsidR="00E923D3" w:rsidRDefault="00E923D3">
      <w:pPr>
        <w:spacing w:after="0" w:line="240" w:lineRule="auto"/>
        <w:rPr>
          <w:rFonts w:ascii="Times New Roman" w:eastAsia="Times New Roman" w:hAnsi="Times New Roman"/>
          <w:color w:val="000000" w:themeColor="text1"/>
        </w:rPr>
      </w:pPr>
    </w:p>
    <w:p w:rsidR="00E923D3" w:rsidRDefault="00E923D3" w:rsidP="00E923D3">
      <w:pPr>
        <w:overflowPunct w:val="0"/>
        <w:autoSpaceDE w:val="0"/>
        <w:autoSpaceDN w:val="0"/>
        <w:adjustRightInd w:val="0"/>
        <w:spacing w:after="0" w:line="240" w:lineRule="auto"/>
        <w:ind w:right="1440"/>
        <w:textAlignment w:val="baseline"/>
        <w:rPr>
          <w:rFonts w:ascii="Times New Roman" w:eastAsia="Times New Roman" w:hAnsi="Times New Roman"/>
          <w:color w:val="000000"/>
          <w:sz w:val="20"/>
          <w:szCs w:val="20"/>
        </w:rPr>
        <w:sectPr w:rsidR="00E923D3" w:rsidSect="009A337F">
          <w:footerReference w:type="default" r:id="rId9"/>
          <w:type w:val="continuous"/>
          <w:pgSz w:w="12240" w:h="15840" w:code="1"/>
          <w:pgMar w:top="1008" w:right="1008" w:bottom="432" w:left="1008" w:header="720" w:footer="720" w:gutter="0"/>
          <w:cols w:space="720"/>
          <w:titlePg/>
          <w:docGrid w:linePitch="360"/>
        </w:sectPr>
      </w:pPr>
    </w:p>
    <w:p w:rsidR="009A337F" w:rsidRPr="009A337F" w:rsidRDefault="009A337F" w:rsidP="00E923D3">
      <w:pPr>
        <w:overflowPunct w:val="0"/>
        <w:autoSpaceDE w:val="0"/>
        <w:autoSpaceDN w:val="0"/>
        <w:adjustRightInd w:val="0"/>
        <w:spacing w:after="0" w:line="240" w:lineRule="auto"/>
        <w:ind w:left="1440" w:right="1944" w:firstLine="720"/>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lastRenderedPageBreak/>
        <w:t xml:space="preserve">Table </w:t>
      </w:r>
      <w:r>
        <w:rPr>
          <w:rFonts w:ascii="Times New Roman" w:eastAsia="Times New Roman" w:hAnsi="Times New Roman"/>
          <w:color w:val="000000"/>
          <w:sz w:val="20"/>
          <w:szCs w:val="20"/>
        </w:rPr>
        <w:t>2</w:t>
      </w:r>
      <w:r w:rsidRPr="009A337F">
        <w:rPr>
          <w:rFonts w:ascii="Times New Roman" w:eastAsia="Times New Roman" w:hAnsi="Times New Roman"/>
          <w:color w:val="000000"/>
          <w:sz w:val="20"/>
          <w:szCs w:val="20"/>
        </w:rPr>
        <w:t>.</w:t>
      </w:r>
      <w:r w:rsidRPr="009A337F">
        <w:rPr>
          <w:rFonts w:ascii="Times New Roman" w:eastAsia="Times New Roman" w:hAnsi="Times New Roman"/>
          <w:color w:val="000000"/>
          <w:sz w:val="20"/>
          <w:szCs w:val="20"/>
        </w:rPr>
        <w:tab/>
        <w:t>Number of regular public schools and enrollment in the 2010-2011 CCD public school universe file by instructional level and size class</w:t>
      </w:r>
    </w:p>
    <w:p w:rsidR="009A337F" w:rsidRPr="009A337F" w:rsidRDefault="009A337F" w:rsidP="009A337F">
      <w:pPr>
        <w:overflowPunct w:val="0"/>
        <w:autoSpaceDE w:val="0"/>
        <w:autoSpaceDN w:val="0"/>
        <w:adjustRightInd w:val="0"/>
        <w:spacing w:after="0" w:line="240" w:lineRule="auto"/>
        <w:ind w:left="1880" w:right="720" w:hanging="900"/>
        <w:textAlignment w:val="baseline"/>
        <w:rPr>
          <w:rFonts w:ascii="Times New Roman" w:eastAsia="Times New Roman" w:hAnsi="Times New Roman"/>
          <w:color w:val="000000"/>
        </w:rPr>
      </w:pPr>
    </w:p>
    <w:tbl>
      <w:tblPr>
        <w:tblW w:w="0" w:type="auto"/>
        <w:jc w:val="center"/>
        <w:tblLayout w:type="fixed"/>
        <w:tblCellMar>
          <w:left w:w="0" w:type="dxa"/>
          <w:right w:w="0" w:type="dxa"/>
        </w:tblCellMar>
        <w:tblLook w:val="0000" w:firstRow="0" w:lastRow="0" w:firstColumn="0" w:lastColumn="0" w:noHBand="0" w:noVBand="0"/>
      </w:tblPr>
      <w:tblGrid>
        <w:gridCol w:w="1440"/>
        <w:gridCol w:w="1440"/>
        <w:gridCol w:w="1440"/>
        <w:gridCol w:w="1440"/>
      </w:tblGrid>
      <w:tr w:rsidR="009A337F" w:rsidRPr="009A337F" w:rsidTr="009A337F">
        <w:trPr>
          <w:cantSplit/>
          <w:trHeight w:val="240"/>
          <w:jc w:val="center"/>
        </w:trPr>
        <w:tc>
          <w:tcPr>
            <w:tcW w:w="1440" w:type="dxa"/>
            <w:tcBorders>
              <w:top w:val="single" w:sz="2" w:space="0" w:color="auto"/>
              <w:bottom w:val="single" w:sz="2" w:space="0" w:color="auto"/>
              <w:right w:val="single" w:sz="2"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Instructional level*</w:t>
            </w:r>
          </w:p>
        </w:tc>
        <w:tc>
          <w:tcPr>
            <w:tcW w:w="1440" w:type="dxa"/>
            <w:tcBorders>
              <w:top w:val="single" w:sz="2" w:space="0" w:color="auto"/>
              <w:bottom w:val="single" w:sz="2" w:space="0" w:color="auto"/>
              <w:right w:val="single" w:sz="2"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Enrollment</w:t>
            </w:r>
          </w:p>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size class</w:t>
            </w:r>
          </w:p>
        </w:tc>
        <w:tc>
          <w:tcPr>
            <w:tcW w:w="1440" w:type="dxa"/>
            <w:tcBorders>
              <w:top w:val="single" w:sz="2" w:space="0" w:color="auto"/>
              <w:bottom w:val="single" w:sz="2" w:space="0" w:color="auto"/>
              <w:right w:val="single" w:sz="2"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 xml:space="preserve">Number </w:t>
            </w:r>
          </w:p>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of schools</w:t>
            </w:r>
          </w:p>
        </w:tc>
        <w:tc>
          <w:tcPr>
            <w:tcW w:w="1440" w:type="dxa"/>
            <w:tcBorders>
              <w:top w:val="single" w:sz="2" w:space="0" w:color="auto"/>
              <w:bottom w:val="single" w:sz="2"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p>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Enrollment</w:t>
            </w:r>
          </w:p>
        </w:tc>
      </w:tr>
      <w:tr w:rsidR="009A337F" w:rsidRPr="009A337F" w:rsidTr="009A337F">
        <w:trPr>
          <w:cantSplit/>
          <w:trHeight w:val="432"/>
          <w:jc w:val="center"/>
        </w:trPr>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Elementary</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Less than 300</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12,202</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1,830,300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300 to 499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18,807</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7,522,800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500 to 999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19,052</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14,289,000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1,000 or more</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929</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1,192,600</w:t>
            </w:r>
          </w:p>
        </w:tc>
      </w:tr>
      <w:tr w:rsidR="009A337F" w:rsidRPr="009A337F" w:rsidTr="009A337F">
        <w:trPr>
          <w:cantSplit/>
          <w:trHeight w:val="432"/>
          <w:jc w:val="center"/>
        </w:trPr>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Middle</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Less than 300</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3,779</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566,850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300 to 499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3,711</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1,484,400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500 to 999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7,313</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5,484,750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1,000 or more</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1,774</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2,315,950</w:t>
            </w:r>
          </w:p>
        </w:tc>
      </w:tr>
      <w:tr w:rsidR="009A337F" w:rsidRPr="009A337F" w:rsidTr="009A337F">
        <w:trPr>
          <w:cantSplit/>
          <w:trHeight w:val="432"/>
          <w:jc w:val="center"/>
        </w:trPr>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Secondary/</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Less than 300</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6,014</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902,100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eastAsia="Times New Roman" w:cs="Calibri"/>
                <w:color w:val="000000"/>
                <w:sz w:val="20"/>
                <w:szCs w:val="20"/>
              </w:rPr>
            </w:pPr>
            <w:r w:rsidRPr="009A337F">
              <w:rPr>
                <w:rFonts w:eastAsia="Times New Roman" w:cs="Calibri"/>
                <w:color w:val="000000"/>
                <w:sz w:val="20"/>
                <w:szCs w:val="20"/>
              </w:rPr>
              <w:t>combined</w:t>
            </w: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300 to 499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3,297</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1,318,800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500 to 999</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4,157</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3,117,750</w:t>
            </w:r>
          </w:p>
        </w:tc>
      </w:tr>
      <w:tr w:rsidR="009A337F" w:rsidRPr="009A337F" w:rsidTr="009A337F">
        <w:trPr>
          <w:cantSplit/>
          <w:trHeight w:val="240"/>
          <w:jc w:val="center"/>
        </w:trPr>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p>
        </w:tc>
        <w:tc>
          <w:tcPr>
            <w:tcW w:w="1440" w:type="dxa"/>
            <w:tcBorders>
              <w:right w:val="single" w:sz="2" w:space="0" w:color="auto"/>
            </w:tcBorders>
          </w:tcPr>
          <w:p w:rsidR="009A337F" w:rsidRPr="009A337F" w:rsidRDefault="009A337F" w:rsidP="009A337F">
            <w:pPr>
              <w:overflowPunct w:val="0"/>
              <w:autoSpaceDE w:val="0"/>
              <w:autoSpaceDN w:val="0"/>
              <w:adjustRightInd w:val="0"/>
              <w:spacing w:after="0" w:line="240" w:lineRule="auto"/>
              <w:ind w:left="80"/>
              <w:textAlignment w:val="baseline"/>
              <w:rPr>
                <w:rFonts w:eastAsia="Times New Roman" w:cs="Calibri"/>
                <w:color w:val="000000"/>
                <w:sz w:val="20"/>
                <w:szCs w:val="20"/>
              </w:rPr>
            </w:pPr>
            <w:r w:rsidRPr="009A337F">
              <w:rPr>
                <w:rFonts w:eastAsia="Times New Roman" w:cs="Calibri"/>
                <w:color w:val="000000"/>
                <w:sz w:val="20"/>
                <w:szCs w:val="20"/>
              </w:rPr>
              <w:t>1,000 or more</w:t>
            </w:r>
          </w:p>
        </w:tc>
        <w:tc>
          <w:tcPr>
            <w:tcW w:w="1440" w:type="dxa"/>
            <w:tcBorders>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5,718</w:t>
            </w:r>
          </w:p>
        </w:tc>
        <w:tc>
          <w:tcPr>
            <w:tcW w:w="1440" w:type="dxa"/>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9,540,000</w:t>
            </w:r>
          </w:p>
        </w:tc>
      </w:tr>
      <w:tr w:rsidR="009A337F" w:rsidRPr="009A337F" w:rsidTr="009A337F">
        <w:trPr>
          <w:cantSplit/>
          <w:trHeight w:val="240"/>
          <w:jc w:val="center"/>
        </w:trPr>
        <w:tc>
          <w:tcPr>
            <w:tcW w:w="1440" w:type="dxa"/>
            <w:tcBorders>
              <w:bottom w:val="single" w:sz="2" w:space="0" w:color="auto"/>
              <w:right w:val="single" w:sz="2" w:space="0" w:color="auto"/>
            </w:tcBorders>
          </w:tcPr>
          <w:p w:rsidR="009A337F" w:rsidRPr="009A337F" w:rsidRDefault="009A337F" w:rsidP="009A337F">
            <w:pPr>
              <w:overflowPunct w:val="0"/>
              <w:autoSpaceDE w:val="0"/>
              <w:autoSpaceDN w:val="0"/>
              <w:adjustRightInd w:val="0"/>
              <w:spacing w:after="0" w:line="240" w:lineRule="auto"/>
              <w:ind w:left="80"/>
              <w:jc w:val="right"/>
              <w:textAlignment w:val="baseline"/>
              <w:rPr>
                <w:rFonts w:eastAsia="Times New Roman" w:cs="Calibri"/>
                <w:color w:val="000000"/>
                <w:sz w:val="20"/>
                <w:szCs w:val="20"/>
              </w:rPr>
            </w:pPr>
          </w:p>
        </w:tc>
        <w:tc>
          <w:tcPr>
            <w:tcW w:w="1440" w:type="dxa"/>
            <w:tcBorders>
              <w:bottom w:val="single" w:sz="2" w:space="0" w:color="auto"/>
              <w:right w:val="single" w:sz="2"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eastAsia="Times New Roman" w:cs="Calibri"/>
                <w:color w:val="000000"/>
                <w:sz w:val="20"/>
                <w:szCs w:val="20"/>
              </w:rPr>
            </w:pPr>
          </w:p>
        </w:tc>
        <w:tc>
          <w:tcPr>
            <w:tcW w:w="1440" w:type="dxa"/>
            <w:tcBorders>
              <w:bottom w:val="single" w:sz="2" w:space="0" w:color="auto"/>
              <w:right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p>
        </w:tc>
        <w:tc>
          <w:tcPr>
            <w:tcW w:w="1440" w:type="dxa"/>
            <w:tcBorders>
              <w:bottom w:val="single" w:sz="2" w:space="0" w:color="auto"/>
            </w:tcBorders>
            <w:vAlign w:val="bottom"/>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p>
        </w:tc>
      </w:tr>
      <w:tr w:rsidR="009A337F" w:rsidRPr="009A337F" w:rsidTr="009A337F">
        <w:trPr>
          <w:cantSplit/>
          <w:trHeight w:val="432"/>
          <w:jc w:val="center"/>
        </w:trPr>
        <w:tc>
          <w:tcPr>
            <w:tcW w:w="1440" w:type="dxa"/>
            <w:tcBorders>
              <w:bottom w:val="single" w:sz="2" w:space="0" w:color="auto"/>
              <w:right w:val="single" w:sz="2" w:space="0" w:color="auto"/>
            </w:tcBorders>
            <w:vAlign w:val="center"/>
          </w:tcPr>
          <w:p w:rsidR="009A337F" w:rsidRPr="009A337F" w:rsidRDefault="009A337F" w:rsidP="009A337F">
            <w:pPr>
              <w:overflowPunct w:val="0"/>
              <w:autoSpaceDE w:val="0"/>
              <w:autoSpaceDN w:val="0"/>
              <w:adjustRightInd w:val="0"/>
              <w:spacing w:after="0" w:line="240" w:lineRule="auto"/>
              <w:ind w:left="80"/>
              <w:jc w:val="center"/>
              <w:textAlignment w:val="baseline"/>
              <w:rPr>
                <w:rFonts w:eastAsia="Times New Roman" w:cs="Calibri"/>
                <w:color w:val="000000"/>
                <w:sz w:val="20"/>
                <w:szCs w:val="20"/>
              </w:rPr>
            </w:pPr>
            <w:r w:rsidRPr="009A337F">
              <w:rPr>
                <w:rFonts w:eastAsia="Times New Roman" w:cs="Calibri"/>
                <w:color w:val="000000"/>
                <w:sz w:val="20"/>
                <w:szCs w:val="20"/>
              </w:rPr>
              <w:t>Total**</w:t>
            </w:r>
          </w:p>
        </w:tc>
        <w:tc>
          <w:tcPr>
            <w:tcW w:w="1440" w:type="dxa"/>
            <w:tcBorders>
              <w:bottom w:val="single" w:sz="2" w:space="0" w:color="auto"/>
              <w:right w:val="single" w:sz="2" w:space="0" w:color="auto"/>
            </w:tcBorders>
            <w:vAlign w:val="center"/>
          </w:tcPr>
          <w:p w:rsidR="009A337F" w:rsidRPr="009A337F" w:rsidRDefault="009A337F" w:rsidP="009A337F">
            <w:pPr>
              <w:overflowPunct w:val="0"/>
              <w:autoSpaceDE w:val="0"/>
              <w:autoSpaceDN w:val="0"/>
              <w:adjustRightInd w:val="0"/>
              <w:spacing w:after="0" w:line="240" w:lineRule="auto"/>
              <w:jc w:val="right"/>
              <w:textAlignment w:val="baseline"/>
              <w:rPr>
                <w:rFonts w:eastAsia="Times New Roman" w:cs="Calibri"/>
                <w:color w:val="000000"/>
                <w:sz w:val="20"/>
                <w:szCs w:val="20"/>
              </w:rPr>
            </w:pPr>
          </w:p>
        </w:tc>
        <w:tc>
          <w:tcPr>
            <w:tcW w:w="1440" w:type="dxa"/>
            <w:tcBorders>
              <w:bottom w:val="single" w:sz="2" w:space="0" w:color="auto"/>
              <w:right w:val="single" w:sz="2" w:space="0" w:color="auto"/>
            </w:tcBorders>
            <w:vAlign w:val="center"/>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86,753</w:t>
            </w:r>
          </w:p>
        </w:tc>
        <w:tc>
          <w:tcPr>
            <w:tcW w:w="1440" w:type="dxa"/>
            <w:tcBorders>
              <w:bottom w:val="single" w:sz="2" w:space="0" w:color="auto"/>
            </w:tcBorders>
            <w:vAlign w:val="center"/>
          </w:tcPr>
          <w:p w:rsidR="009A337F" w:rsidRPr="009A337F" w:rsidRDefault="009A337F" w:rsidP="009A337F">
            <w:pPr>
              <w:overflowPunct w:val="0"/>
              <w:autoSpaceDE w:val="0"/>
              <w:autoSpaceDN w:val="0"/>
              <w:adjustRightInd w:val="0"/>
              <w:spacing w:after="0" w:line="240" w:lineRule="auto"/>
              <w:ind w:left="-270" w:right="180"/>
              <w:jc w:val="right"/>
              <w:textAlignment w:val="baseline"/>
              <w:rPr>
                <w:rFonts w:eastAsia="Times New Roman" w:cs="Calibri"/>
                <w:color w:val="000000"/>
                <w:sz w:val="20"/>
                <w:szCs w:val="20"/>
              </w:rPr>
            </w:pPr>
            <w:r w:rsidRPr="009A337F">
              <w:rPr>
                <w:rFonts w:eastAsia="Times New Roman" w:cs="Calibri"/>
                <w:color w:val="000000"/>
                <w:sz w:val="20"/>
                <w:szCs w:val="20"/>
              </w:rPr>
              <w:t>49,565,300</w:t>
            </w:r>
          </w:p>
        </w:tc>
      </w:tr>
    </w:tbl>
    <w:p w:rsidR="009A337F" w:rsidRPr="009A337F" w:rsidRDefault="009A337F" w:rsidP="009A337F">
      <w:pPr>
        <w:overflowPunct w:val="0"/>
        <w:autoSpaceDE w:val="0"/>
        <w:autoSpaceDN w:val="0"/>
        <w:adjustRightInd w:val="0"/>
        <w:spacing w:after="0" w:line="240" w:lineRule="auto"/>
        <w:ind w:left="1880" w:right="720" w:hanging="900"/>
        <w:textAlignment w:val="baseline"/>
        <w:rPr>
          <w:rFonts w:ascii="Times New Roman" w:eastAsia="Times New Roman" w:hAnsi="Times New Roman"/>
          <w:color w:val="000000"/>
        </w:rPr>
      </w:pPr>
    </w:p>
    <w:p w:rsidR="009A337F" w:rsidRPr="009A337F" w:rsidRDefault="009A337F" w:rsidP="009A337F">
      <w:pPr>
        <w:overflowPunct w:val="0"/>
        <w:autoSpaceDE w:val="0"/>
        <w:autoSpaceDN w:val="0"/>
        <w:adjustRightInd w:val="0"/>
        <w:spacing w:after="0" w:line="240" w:lineRule="auto"/>
        <w:ind w:left="1700" w:right="1440" w:hanging="260"/>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w:t>
      </w:r>
      <w:r w:rsidRPr="009A337F">
        <w:rPr>
          <w:rFonts w:ascii="Times New Roman" w:eastAsia="Times New Roman" w:hAnsi="Times New Roman"/>
          <w:color w:val="000000"/>
          <w:sz w:val="20"/>
          <w:szCs w:val="20"/>
        </w:rPr>
        <w:tab/>
        <w:t xml:space="preserve">See Table </w:t>
      </w:r>
      <w:r w:rsidR="00EF60DE">
        <w:rPr>
          <w:rFonts w:ascii="Times New Roman" w:eastAsia="Times New Roman" w:hAnsi="Times New Roman"/>
          <w:color w:val="000000"/>
          <w:sz w:val="20"/>
          <w:szCs w:val="20"/>
        </w:rPr>
        <w:t>3</w:t>
      </w:r>
      <w:r w:rsidR="00446E00">
        <w:rPr>
          <w:rFonts w:ascii="Times New Roman" w:eastAsia="Times New Roman" w:hAnsi="Times New Roman"/>
          <w:color w:val="000000"/>
          <w:sz w:val="20"/>
          <w:szCs w:val="20"/>
        </w:rPr>
        <w:t xml:space="preserve"> </w:t>
      </w:r>
      <w:r w:rsidRPr="009A337F">
        <w:rPr>
          <w:rFonts w:ascii="Times New Roman" w:eastAsia="Times New Roman" w:hAnsi="Times New Roman"/>
          <w:color w:val="000000"/>
          <w:sz w:val="20"/>
          <w:szCs w:val="20"/>
        </w:rPr>
        <w:t>for definitions.</w:t>
      </w:r>
    </w:p>
    <w:p w:rsidR="009A337F" w:rsidRPr="009A337F" w:rsidRDefault="009A337F" w:rsidP="009A337F">
      <w:pPr>
        <w:overflowPunct w:val="0"/>
        <w:autoSpaceDE w:val="0"/>
        <w:autoSpaceDN w:val="0"/>
        <w:adjustRightInd w:val="0"/>
        <w:spacing w:after="0" w:line="240" w:lineRule="auto"/>
        <w:ind w:left="1700" w:right="1440" w:hanging="260"/>
        <w:textAlignment w:val="baseline"/>
        <w:rPr>
          <w:rFonts w:ascii="Times New Roman" w:eastAsia="Times New Roman" w:hAnsi="Times New Roman"/>
          <w:color w:val="000000"/>
          <w:sz w:val="20"/>
          <w:szCs w:val="20"/>
        </w:rPr>
      </w:pPr>
    </w:p>
    <w:p w:rsidR="009A337F" w:rsidRPr="009A337F" w:rsidRDefault="009A337F" w:rsidP="009A337F">
      <w:pPr>
        <w:overflowPunct w:val="0"/>
        <w:autoSpaceDE w:val="0"/>
        <w:autoSpaceDN w:val="0"/>
        <w:adjustRightInd w:val="0"/>
        <w:spacing w:after="0" w:line="240" w:lineRule="auto"/>
        <w:ind w:left="1700" w:right="1440" w:hanging="260"/>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w:t>
      </w:r>
      <w:r w:rsidRPr="009A337F">
        <w:rPr>
          <w:rFonts w:ascii="Times New Roman" w:eastAsia="Times New Roman" w:hAnsi="Times New Roman"/>
          <w:color w:val="000000"/>
          <w:sz w:val="20"/>
          <w:szCs w:val="20"/>
        </w:rPr>
        <w:tab/>
        <w:t>The counts in this table are based on data in the 2010-2011 CCD public school universe file, and exclude special education, vocational, and alternative/other schools, schools with a high grade of kindergarten or lower, ungraded schools, and schools in the outlying U.S. territories.</w:t>
      </w:r>
    </w:p>
    <w:p w:rsidR="00B4677A" w:rsidRPr="00642D1F" w:rsidRDefault="00B4677A" w:rsidP="00B4677A">
      <w:pPr>
        <w:ind w:left="1880" w:right="720" w:hanging="900"/>
        <w:rPr>
          <w:rFonts w:ascii="Times New Roman" w:hAnsi="Times New Roman"/>
          <w:color w:val="000000" w:themeColor="text1"/>
        </w:rPr>
      </w:pPr>
    </w:p>
    <w:p w:rsidR="00B4677A" w:rsidRPr="00642D1F" w:rsidRDefault="00B4677A" w:rsidP="00B4677A">
      <w:pPr>
        <w:ind w:left="1340"/>
        <w:rPr>
          <w:rFonts w:ascii="Times New Roman" w:hAnsi="Times New Roman"/>
          <w:color w:val="000000" w:themeColor="text1"/>
          <w:sz w:val="20"/>
        </w:rPr>
      </w:pPr>
    </w:p>
    <w:p w:rsidR="009A337F" w:rsidRDefault="009A337F" w:rsidP="00B4677A">
      <w:pPr>
        <w:ind w:left="1340"/>
        <w:rPr>
          <w:rFonts w:ascii="Times New Roman" w:hAnsi="Times New Roman"/>
          <w:color w:val="000000" w:themeColor="text1"/>
          <w:sz w:val="20"/>
        </w:rPr>
        <w:sectPr w:rsidR="009A337F" w:rsidSect="00E923D3">
          <w:pgSz w:w="12240" w:h="15840" w:code="1"/>
          <w:pgMar w:top="1008" w:right="1008" w:bottom="432" w:left="1008" w:header="720" w:footer="720" w:gutter="0"/>
          <w:cols w:space="720"/>
          <w:titlePg/>
          <w:docGrid w:linePitch="360"/>
        </w:sectPr>
      </w:pPr>
    </w:p>
    <w:p w:rsidR="008019AE" w:rsidRPr="008019AE" w:rsidRDefault="008019AE" w:rsidP="008019AE">
      <w:pPr>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olor w:val="000000"/>
        </w:rPr>
      </w:pPr>
      <w:r w:rsidRPr="008019AE">
        <w:rPr>
          <w:rFonts w:ascii="Times New Roman" w:eastAsia="Times New Roman" w:hAnsi="Times New Roman"/>
          <w:color w:val="000000"/>
        </w:rPr>
        <w:lastRenderedPageBreak/>
        <w:t xml:space="preserve">Table </w:t>
      </w:r>
      <w:r>
        <w:rPr>
          <w:rFonts w:ascii="Times New Roman" w:eastAsia="Times New Roman" w:hAnsi="Times New Roman"/>
          <w:color w:val="000000"/>
        </w:rPr>
        <w:t>3</w:t>
      </w:r>
      <w:r w:rsidRPr="008019AE">
        <w:rPr>
          <w:rFonts w:ascii="Times New Roman" w:eastAsia="Times New Roman" w:hAnsi="Times New Roman"/>
          <w:color w:val="000000"/>
        </w:rPr>
        <w:t>.  Definition of instructional level categories for the school facilities survey</w:t>
      </w:r>
    </w:p>
    <w:p w:rsidR="008019AE" w:rsidRPr="00822B27" w:rsidRDefault="008019AE" w:rsidP="008019AE">
      <w:pPr>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olor w:val="000000"/>
          <w:sz w:val="6"/>
          <w:szCs w:val="6"/>
        </w:rPr>
      </w:pPr>
    </w:p>
    <w:tbl>
      <w:tblPr>
        <w:tblW w:w="0" w:type="auto"/>
        <w:tblLayout w:type="fixed"/>
        <w:tblCellMar>
          <w:left w:w="0" w:type="dxa"/>
          <w:right w:w="0" w:type="dxa"/>
        </w:tblCellMar>
        <w:tblLook w:val="0000" w:firstRow="0" w:lastRow="0" w:firstColumn="0" w:lastColumn="0" w:noHBand="0" w:noVBand="0"/>
      </w:tblPr>
      <w:tblGrid>
        <w:gridCol w:w="662"/>
        <w:gridCol w:w="662"/>
        <w:gridCol w:w="662"/>
        <w:gridCol w:w="662"/>
        <w:gridCol w:w="662"/>
        <w:gridCol w:w="662"/>
        <w:gridCol w:w="662"/>
        <w:gridCol w:w="662"/>
        <w:gridCol w:w="662"/>
        <w:gridCol w:w="662"/>
        <w:gridCol w:w="662"/>
        <w:gridCol w:w="662"/>
        <w:gridCol w:w="667"/>
      </w:tblGrid>
      <w:tr w:rsidR="008019AE" w:rsidRPr="008019AE" w:rsidTr="00822B27">
        <w:trPr>
          <w:cantSplit/>
          <w:trHeight w:val="20"/>
        </w:trPr>
        <w:tc>
          <w:tcPr>
            <w:tcW w:w="662" w:type="dxa"/>
            <w:tcBorders>
              <w:top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Low</w:t>
            </w:r>
          </w:p>
        </w:tc>
        <w:tc>
          <w:tcPr>
            <w:tcW w:w="7949" w:type="dxa"/>
            <w:gridSpan w:val="12"/>
            <w:tcBorders>
              <w:top w:val="single" w:sz="6" w:space="0" w:color="auto"/>
              <w:bottom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High grade</w:t>
            </w:r>
          </w:p>
        </w:tc>
      </w:tr>
      <w:tr w:rsidR="008019AE" w:rsidRPr="008019AE" w:rsidTr="00822B27">
        <w:trPr>
          <w:cantSplit/>
          <w:trHeight w:val="20"/>
        </w:trPr>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Grade</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2</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3</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4</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5</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6</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7</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8</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9</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10</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11</w:t>
            </w:r>
          </w:p>
        </w:tc>
        <w:tc>
          <w:tcPr>
            <w:tcW w:w="662" w:type="dxa"/>
            <w:tcBorders>
              <w:bottom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12</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PK</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K</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2</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3</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4</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5</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6</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7</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8</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9</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shd w:val="pct20" w:color="auto" w:fill="auto"/>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10</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r>
      <w:tr w:rsidR="008019AE" w:rsidRPr="008019AE" w:rsidTr="00822B27">
        <w:trPr>
          <w:cantSplit/>
          <w:trHeight w:val="20"/>
        </w:trPr>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11</w:t>
            </w: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r>
      <w:tr w:rsidR="008019AE" w:rsidRPr="008019AE" w:rsidTr="00822B27">
        <w:trPr>
          <w:cantSplit/>
          <w:trHeight w:val="20"/>
        </w:trPr>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12</w:t>
            </w: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right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p>
        </w:tc>
        <w:tc>
          <w:tcPr>
            <w:tcW w:w="662" w:type="dxa"/>
            <w:tcBorders>
              <w:bottom w:val="single" w:sz="6" w:space="0" w:color="auto"/>
            </w:tcBorders>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r>
      <w:tr w:rsidR="008019AE" w:rsidRPr="008019AE" w:rsidTr="00822B27">
        <w:trPr>
          <w:cantSplit/>
          <w:trHeight w:val="20"/>
        </w:trPr>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E</w:t>
            </w:r>
          </w:p>
        </w:tc>
        <w:tc>
          <w:tcPr>
            <w:tcW w:w="7949" w:type="dxa"/>
            <w:gridSpan w:val="12"/>
          </w:tcPr>
          <w:p w:rsidR="008019AE" w:rsidRPr="008019AE" w:rsidRDefault="008019AE" w:rsidP="00822B27">
            <w:pPr>
              <w:overflowPunct w:val="0"/>
              <w:autoSpaceDE w:val="0"/>
              <w:autoSpaceDN w:val="0"/>
              <w:adjustRightInd w:val="0"/>
              <w:spacing w:after="0" w:line="240" w:lineRule="auto"/>
              <w:textAlignment w:val="baseline"/>
              <w:rPr>
                <w:rFonts w:ascii="Times New Roman" w:eastAsia="Times New Roman" w:hAnsi="Times New Roman"/>
                <w:color w:val="000000"/>
              </w:rPr>
            </w:pPr>
            <w:r w:rsidRPr="008019AE">
              <w:rPr>
                <w:rFonts w:ascii="Times New Roman" w:eastAsia="Times New Roman" w:hAnsi="Times New Roman"/>
                <w:color w:val="000000"/>
              </w:rPr>
              <w:t>Elementary</w:t>
            </w:r>
          </w:p>
        </w:tc>
      </w:tr>
      <w:tr w:rsidR="008019AE" w:rsidRPr="008019AE" w:rsidTr="00822B27">
        <w:trPr>
          <w:cantSplit/>
          <w:trHeight w:val="20"/>
        </w:trPr>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M</w:t>
            </w:r>
          </w:p>
        </w:tc>
        <w:tc>
          <w:tcPr>
            <w:tcW w:w="7949" w:type="dxa"/>
            <w:gridSpan w:val="12"/>
          </w:tcPr>
          <w:p w:rsidR="008019AE" w:rsidRPr="008019AE" w:rsidRDefault="008019AE" w:rsidP="00822B27">
            <w:pPr>
              <w:overflowPunct w:val="0"/>
              <w:autoSpaceDE w:val="0"/>
              <w:autoSpaceDN w:val="0"/>
              <w:adjustRightInd w:val="0"/>
              <w:spacing w:after="0" w:line="240" w:lineRule="auto"/>
              <w:textAlignment w:val="baseline"/>
              <w:rPr>
                <w:rFonts w:ascii="Times New Roman" w:eastAsia="Times New Roman" w:hAnsi="Times New Roman"/>
                <w:color w:val="000000"/>
              </w:rPr>
            </w:pPr>
            <w:r w:rsidRPr="008019AE">
              <w:rPr>
                <w:rFonts w:ascii="Times New Roman" w:eastAsia="Times New Roman" w:hAnsi="Times New Roman"/>
                <w:color w:val="000000"/>
              </w:rPr>
              <w:t>Middle/junior high</w:t>
            </w:r>
          </w:p>
        </w:tc>
      </w:tr>
      <w:tr w:rsidR="008019AE" w:rsidRPr="008019AE" w:rsidTr="00822B27">
        <w:trPr>
          <w:cantSplit/>
          <w:trHeight w:val="20"/>
        </w:trPr>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S</w:t>
            </w:r>
          </w:p>
        </w:tc>
        <w:tc>
          <w:tcPr>
            <w:tcW w:w="7949" w:type="dxa"/>
            <w:gridSpan w:val="12"/>
          </w:tcPr>
          <w:p w:rsidR="008019AE" w:rsidRPr="008019AE" w:rsidRDefault="008019AE" w:rsidP="00822B27">
            <w:pPr>
              <w:overflowPunct w:val="0"/>
              <w:autoSpaceDE w:val="0"/>
              <w:autoSpaceDN w:val="0"/>
              <w:adjustRightInd w:val="0"/>
              <w:spacing w:after="0" w:line="240" w:lineRule="auto"/>
              <w:textAlignment w:val="baseline"/>
              <w:rPr>
                <w:rFonts w:ascii="Times New Roman" w:eastAsia="Times New Roman" w:hAnsi="Times New Roman"/>
                <w:color w:val="000000"/>
              </w:rPr>
            </w:pPr>
            <w:r w:rsidRPr="008019AE">
              <w:rPr>
                <w:rFonts w:ascii="Times New Roman" w:eastAsia="Times New Roman" w:hAnsi="Times New Roman"/>
                <w:color w:val="000000"/>
              </w:rPr>
              <w:t>Senior high</w:t>
            </w:r>
          </w:p>
        </w:tc>
      </w:tr>
      <w:tr w:rsidR="008019AE" w:rsidRPr="008019AE" w:rsidTr="00822B27">
        <w:trPr>
          <w:cantSplit/>
          <w:trHeight w:val="20"/>
        </w:trPr>
        <w:tc>
          <w:tcPr>
            <w:tcW w:w="662" w:type="dxa"/>
          </w:tcPr>
          <w:p w:rsidR="008019AE" w:rsidRPr="008019AE" w:rsidRDefault="008019AE" w:rsidP="00822B27">
            <w:pPr>
              <w:overflowPunct w:val="0"/>
              <w:autoSpaceDE w:val="0"/>
              <w:autoSpaceDN w:val="0"/>
              <w:adjustRightInd w:val="0"/>
              <w:spacing w:after="0" w:line="240" w:lineRule="auto"/>
              <w:jc w:val="center"/>
              <w:textAlignment w:val="baseline"/>
              <w:rPr>
                <w:rFonts w:ascii="Times New Roman" w:eastAsia="Times New Roman" w:hAnsi="Times New Roman"/>
                <w:color w:val="000000"/>
              </w:rPr>
            </w:pPr>
            <w:r w:rsidRPr="008019AE">
              <w:rPr>
                <w:rFonts w:ascii="Times New Roman" w:eastAsia="Times New Roman" w:hAnsi="Times New Roman"/>
                <w:color w:val="000000"/>
              </w:rPr>
              <w:t>C</w:t>
            </w:r>
          </w:p>
        </w:tc>
        <w:tc>
          <w:tcPr>
            <w:tcW w:w="7949" w:type="dxa"/>
            <w:gridSpan w:val="12"/>
          </w:tcPr>
          <w:p w:rsidR="008019AE" w:rsidRPr="008019AE" w:rsidRDefault="008019AE" w:rsidP="00822B27">
            <w:pPr>
              <w:overflowPunct w:val="0"/>
              <w:autoSpaceDE w:val="0"/>
              <w:autoSpaceDN w:val="0"/>
              <w:adjustRightInd w:val="0"/>
              <w:spacing w:after="0" w:line="240" w:lineRule="auto"/>
              <w:textAlignment w:val="baseline"/>
              <w:rPr>
                <w:rFonts w:ascii="Times New Roman" w:eastAsia="Times New Roman" w:hAnsi="Times New Roman"/>
                <w:color w:val="000000"/>
              </w:rPr>
            </w:pPr>
            <w:r w:rsidRPr="008019AE">
              <w:rPr>
                <w:rFonts w:ascii="Times New Roman" w:eastAsia="Times New Roman" w:hAnsi="Times New Roman"/>
                <w:color w:val="000000"/>
              </w:rPr>
              <w:t>Combined</w:t>
            </w:r>
          </w:p>
        </w:tc>
      </w:tr>
    </w:tbl>
    <w:p w:rsidR="00B4677A" w:rsidRDefault="00B4677A" w:rsidP="00B4677A">
      <w:pPr>
        <w:ind w:left="1340"/>
        <w:rPr>
          <w:rFonts w:ascii="Times New Roman" w:hAnsi="Times New Roman"/>
          <w:color w:val="000000" w:themeColor="text1"/>
          <w:sz w:val="20"/>
        </w:rPr>
      </w:pPr>
    </w:p>
    <w:p w:rsidR="00822B27" w:rsidRPr="00642D1F" w:rsidRDefault="00822B27" w:rsidP="00B4677A">
      <w:pPr>
        <w:ind w:left="1340"/>
        <w:rPr>
          <w:rFonts w:ascii="Times New Roman" w:hAnsi="Times New Roman"/>
          <w:color w:val="000000" w:themeColor="text1"/>
          <w:sz w:val="20"/>
        </w:rPr>
      </w:pPr>
    </w:p>
    <w:p w:rsidR="009A337F" w:rsidRPr="009A337F" w:rsidRDefault="009A337F" w:rsidP="009A337F">
      <w:pPr>
        <w:keepNext/>
        <w:keepLines/>
        <w:overflowPunct w:val="0"/>
        <w:autoSpaceDE w:val="0"/>
        <w:autoSpaceDN w:val="0"/>
        <w:adjustRightInd w:val="0"/>
        <w:spacing w:after="0" w:line="240" w:lineRule="auto"/>
        <w:ind w:left="1340" w:right="720" w:hanging="900"/>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Table </w:t>
      </w:r>
      <w:r>
        <w:rPr>
          <w:rFonts w:ascii="Times New Roman" w:eastAsia="Times New Roman" w:hAnsi="Times New Roman"/>
          <w:color w:val="000000"/>
          <w:sz w:val="20"/>
          <w:szCs w:val="20"/>
        </w:rPr>
        <w:t>4</w:t>
      </w:r>
      <w:r w:rsidRPr="009A337F">
        <w:rPr>
          <w:rFonts w:ascii="Times New Roman" w:eastAsia="Times New Roman" w:hAnsi="Times New Roman"/>
          <w:color w:val="000000"/>
          <w:sz w:val="20"/>
          <w:szCs w:val="20"/>
        </w:rPr>
        <w:t>.</w:t>
      </w:r>
      <w:r w:rsidRPr="009A337F">
        <w:rPr>
          <w:rFonts w:ascii="Times New Roman" w:eastAsia="Times New Roman" w:hAnsi="Times New Roman"/>
          <w:color w:val="000000"/>
          <w:sz w:val="20"/>
          <w:szCs w:val="20"/>
        </w:rPr>
        <w:tab/>
        <w:t xml:space="preserve">Expected sample sizes (number of completed interviews) and corresponding standard errors for the school facilities survey, by selected analytic domains </w:t>
      </w:r>
    </w:p>
    <w:p w:rsidR="009A337F" w:rsidRPr="00822B27" w:rsidRDefault="009A337F" w:rsidP="009A337F">
      <w:pPr>
        <w:keepNext/>
        <w:keepLines/>
        <w:overflowPunct w:val="0"/>
        <w:autoSpaceDE w:val="0"/>
        <w:autoSpaceDN w:val="0"/>
        <w:adjustRightInd w:val="0"/>
        <w:spacing w:after="0" w:line="240" w:lineRule="auto"/>
        <w:ind w:left="1980" w:right="720" w:hanging="900"/>
        <w:textAlignment w:val="baseline"/>
        <w:rPr>
          <w:rFonts w:ascii="Times New Roman" w:eastAsia="Times New Roman" w:hAnsi="Times New Roman"/>
          <w:color w:val="000000"/>
          <w:sz w:val="6"/>
          <w:szCs w:val="6"/>
        </w:rPr>
      </w:pPr>
    </w:p>
    <w:tbl>
      <w:tblPr>
        <w:tblW w:w="0" w:type="auto"/>
        <w:jc w:val="center"/>
        <w:tblLayout w:type="fixed"/>
        <w:tblCellMar>
          <w:left w:w="0" w:type="dxa"/>
          <w:right w:w="0" w:type="dxa"/>
        </w:tblCellMar>
        <w:tblLook w:val="0000" w:firstRow="0" w:lastRow="0" w:firstColumn="0" w:lastColumn="0" w:noHBand="0" w:noVBand="0"/>
      </w:tblPr>
      <w:tblGrid>
        <w:gridCol w:w="3168"/>
        <w:gridCol w:w="1152"/>
        <w:gridCol w:w="1152"/>
        <w:gridCol w:w="1152"/>
        <w:gridCol w:w="1152"/>
      </w:tblGrid>
      <w:tr w:rsidR="009A337F" w:rsidRPr="009A337F" w:rsidTr="009A337F">
        <w:trPr>
          <w:cantSplit/>
          <w:trHeight w:val="240"/>
          <w:jc w:val="center"/>
        </w:trPr>
        <w:tc>
          <w:tcPr>
            <w:tcW w:w="3168" w:type="dxa"/>
            <w:tcBorders>
              <w:top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rPr>
            </w:pPr>
          </w:p>
        </w:tc>
        <w:tc>
          <w:tcPr>
            <w:tcW w:w="1152" w:type="dxa"/>
            <w:tcBorders>
              <w:top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rPr>
            </w:pPr>
          </w:p>
        </w:tc>
        <w:tc>
          <w:tcPr>
            <w:tcW w:w="3456" w:type="dxa"/>
            <w:gridSpan w:val="3"/>
            <w:tcBorders>
              <w:top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Standard error† of an estimated</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rPr>
            </w:pPr>
          </w:p>
        </w:tc>
        <w:tc>
          <w:tcPr>
            <w:tcW w:w="1152" w:type="dxa"/>
            <w:tcBorders>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rPr>
            </w:pPr>
          </w:p>
        </w:tc>
        <w:tc>
          <w:tcPr>
            <w:tcW w:w="3456" w:type="dxa"/>
            <w:gridSpan w:val="3"/>
            <w:tcBorders>
              <w:bottom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proportion equal to ...</w:t>
            </w:r>
          </w:p>
        </w:tc>
      </w:tr>
      <w:tr w:rsidR="009A337F" w:rsidRPr="009A337F" w:rsidTr="009A337F">
        <w:trPr>
          <w:cantSplit/>
          <w:trHeight w:val="240"/>
          <w:jc w:val="center"/>
        </w:trPr>
        <w:tc>
          <w:tcPr>
            <w:tcW w:w="3168"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ind w:left="180"/>
              <w:textAlignment w:val="baseline"/>
              <w:rPr>
                <w:rFonts w:ascii="Times New Roman" w:eastAsia="Times New Roman" w:hAnsi="Times New Roman"/>
                <w:color w:val="000000"/>
                <w:sz w:val="20"/>
                <w:szCs w:val="20"/>
              </w:rPr>
            </w:pPr>
          </w:p>
          <w:p w:rsidR="009A337F" w:rsidRPr="009A337F" w:rsidRDefault="009A337F" w:rsidP="009A337F">
            <w:pPr>
              <w:overflowPunct w:val="0"/>
              <w:autoSpaceDE w:val="0"/>
              <w:autoSpaceDN w:val="0"/>
              <w:adjustRightInd w:val="0"/>
              <w:spacing w:after="0" w:line="240" w:lineRule="auto"/>
              <w:ind w:left="180"/>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Subset of sample</w:t>
            </w: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Expected sample size*</w:t>
            </w: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P = 0.20</w:t>
            </w: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P = .33</w:t>
            </w:r>
          </w:p>
        </w:tc>
        <w:tc>
          <w:tcPr>
            <w:tcW w:w="1152" w:type="dxa"/>
            <w:tcBorders>
              <w:bottom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P = .50</w:t>
            </w:r>
          </w:p>
        </w:tc>
      </w:tr>
      <w:tr w:rsidR="009A337F" w:rsidRPr="009A337F" w:rsidTr="009A337F">
        <w:trPr>
          <w:cantSplit/>
          <w:trHeight w:val="432"/>
          <w:jc w:val="center"/>
        </w:trPr>
        <w:tc>
          <w:tcPr>
            <w:tcW w:w="3168"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i/>
                <w:color w:val="000000"/>
                <w:sz w:val="20"/>
                <w:szCs w:val="20"/>
              </w:rPr>
              <w:t>Total sample</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1,620</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0.011</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0.013</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0.014</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i/>
                <w:color w:val="000000"/>
                <w:sz w:val="20"/>
                <w:szCs w:val="20"/>
              </w:rPr>
            </w:pPr>
            <w:r w:rsidRPr="009A337F">
              <w:rPr>
                <w:rFonts w:ascii="Times New Roman" w:eastAsia="Times New Roman" w:hAnsi="Times New Roman"/>
                <w:i/>
                <w:color w:val="000000"/>
                <w:sz w:val="20"/>
                <w:szCs w:val="20"/>
              </w:rPr>
              <w:t>Instructional level</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Elementary</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648</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0.016</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0.019</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0.021</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Middle</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486</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0.019</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0.022</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0.024</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Sec/combined</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486</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0.020</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0.024</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0.025</w:t>
            </w:r>
          </w:p>
        </w:tc>
      </w:tr>
      <w:tr w:rsidR="009A337F" w:rsidRPr="009A337F" w:rsidTr="009A337F">
        <w:trPr>
          <w:cantSplit/>
          <w:trHeight w:hRule="exact" w:val="144"/>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i/>
                <w:color w:val="000000"/>
                <w:sz w:val="20"/>
                <w:szCs w:val="20"/>
              </w:rPr>
            </w:pP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i/>
                <w:color w:val="000000"/>
                <w:sz w:val="20"/>
                <w:szCs w:val="20"/>
              </w:rPr>
            </w:pPr>
            <w:r w:rsidRPr="009A337F">
              <w:rPr>
                <w:rFonts w:ascii="Times New Roman" w:eastAsia="Times New Roman" w:hAnsi="Times New Roman"/>
                <w:i/>
                <w:color w:val="000000"/>
                <w:sz w:val="20"/>
                <w:szCs w:val="20"/>
              </w:rPr>
              <w:t xml:space="preserve">Type of locale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Central city</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425</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0.022</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0.026</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0.028</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Urban fringe</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498</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0.020</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0.024</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0.026</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Town</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215</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0.031</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0.037</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0.039</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Rural</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482</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0.021</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0.024</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0.026</w:t>
            </w:r>
          </w:p>
        </w:tc>
      </w:tr>
      <w:tr w:rsidR="009A337F" w:rsidRPr="009A337F" w:rsidTr="009A337F">
        <w:trPr>
          <w:cantSplit/>
          <w:trHeight w:hRule="exact" w:val="144"/>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i/>
                <w:color w:val="000000"/>
                <w:sz w:val="20"/>
                <w:szCs w:val="20"/>
              </w:rPr>
            </w:pPr>
            <w:r w:rsidRPr="009A337F">
              <w:rPr>
                <w:rFonts w:ascii="Times New Roman" w:eastAsia="Times New Roman" w:hAnsi="Times New Roman"/>
                <w:i/>
                <w:color w:val="000000"/>
                <w:sz w:val="20"/>
                <w:szCs w:val="20"/>
              </w:rPr>
              <w:t>Size of school</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 </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Less than 300</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257</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0.028</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0.033</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0.036</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300 to 499</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351</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0.024</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0.029</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0.030</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500 to 999</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680</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0.017</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0.021</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0.022</w:t>
            </w:r>
          </w:p>
        </w:tc>
      </w:tr>
      <w:tr w:rsidR="009A337F" w:rsidRPr="009A337F" w:rsidTr="009A337F">
        <w:trPr>
          <w:cantSplit/>
          <w:trHeight w:val="240"/>
          <w:jc w:val="center"/>
        </w:trPr>
        <w:tc>
          <w:tcPr>
            <w:tcW w:w="3168" w:type="dxa"/>
            <w:tcBorders>
              <w:right w:val="single" w:sz="6" w:space="0" w:color="auto"/>
            </w:tcBorders>
          </w:tcPr>
          <w:p w:rsidR="009A337F" w:rsidRPr="009A337F" w:rsidRDefault="009A337F" w:rsidP="009A337F">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 xml:space="preserve">  1,000 +</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ind w:right="332"/>
              <w:jc w:val="right"/>
              <w:textAlignment w:val="baseline"/>
              <w:rPr>
                <w:rFonts w:ascii="Times" w:eastAsia="Times New Roman" w:hAnsi="Times"/>
                <w:color w:val="000000"/>
                <w:sz w:val="20"/>
                <w:szCs w:val="20"/>
              </w:rPr>
            </w:pPr>
            <w:r w:rsidRPr="009A337F">
              <w:rPr>
                <w:rFonts w:ascii="Times" w:eastAsia="Times New Roman" w:hAnsi="Times"/>
                <w:color w:val="000000"/>
                <w:sz w:val="20"/>
                <w:szCs w:val="20"/>
              </w:rPr>
              <w:t>333</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0.025</w:t>
            </w:r>
          </w:p>
        </w:tc>
        <w:tc>
          <w:tcPr>
            <w:tcW w:w="1152" w:type="dxa"/>
            <w:tcBorders>
              <w:right w:val="single" w:sz="6" w:space="0" w:color="auto"/>
            </w:tcBorders>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0.029</w:t>
            </w:r>
          </w:p>
        </w:tc>
        <w:tc>
          <w:tcPr>
            <w:tcW w:w="1152" w:type="dxa"/>
            <w:vAlign w:val="center"/>
          </w:tcPr>
          <w:p w:rsidR="009A337F" w:rsidRPr="009A337F" w:rsidRDefault="009A337F" w:rsidP="009A337F">
            <w:pPr>
              <w:overflowPunct w:val="0"/>
              <w:autoSpaceDE w:val="0"/>
              <w:autoSpaceDN w:val="0"/>
              <w:adjustRightInd w:val="0"/>
              <w:spacing w:after="0" w:line="240" w:lineRule="auto"/>
              <w:jc w:val="center"/>
              <w:textAlignment w:val="baseline"/>
              <w:rPr>
                <w:rFonts w:ascii="Times" w:eastAsia="Times New Roman" w:hAnsi="Times"/>
                <w:color w:val="000000"/>
                <w:sz w:val="20"/>
                <w:szCs w:val="20"/>
              </w:rPr>
            </w:pPr>
            <w:r w:rsidRPr="009A337F">
              <w:rPr>
                <w:rFonts w:ascii="Times" w:eastAsia="Times New Roman" w:hAnsi="Times"/>
                <w:color w:val="000000"/>
                <w:sz w:val="20"/>
                <w:szCs w:val="20"/>
              </w:rPr>
              <w:t>0.031</w:t>
            </w:r>
          </w:p>
        </w:tc>
      </w:tr>
      <w:tr w:rsidR="009A337F" w:rsidRPr="009A337F" w:rsidTr="009A337F">
        <w:trPr>
          <w:cantSplit/>
          <w:trHeight w:val="240"/>
          <w:jc w:val="center"/>
        </w:trPr>
        <w:tc>
          <w:tcPr>
            <w:tcW w:w="3168"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ind w:left="180"/>
              <w:jc w:val="right"/>
              <w:textAlignment w:val="baseline"/>
              <w:rPr>
                <w:rFonts w:ascii="Times New Roman" w:eastAsia="Times New Roman" w:hAnsi="Times New Roman"/>
                <w:color w:val="000000"/>
                <w:sz w:val="20"/>
                <w:szCs w:val="20"/>
              </w:rPr>
            </w:pP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right"/>
              <w:textAlignment w:val="baseline"/>
              <w:rPr>
                <w:rFonts w:ascii="Times New Roman" w:eastAsia="Times New Roman" w:hAnsi="Times New Roman"/>
                <w:color w:val="000000"/>
                <w:sz w:val="20"/>
                <w:szCs w:val="20"/>
              </w:rPr>
            </w:pP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tc>
        <w:tc>
          <w:tcPr>
            <w:tcW w:w="1152" w:type="dxa"/>
            <w:tcBorders>
              <w:bottom w:val="single" w:sz="6" w:space="0" w:color="auto"/>
              <w:right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tc>
        <w:tc>
          <w:tcPr>
            <w:tcW w:w="1152" w:type="dxa"/>
            <w:tcBorders>
              <w:bottom w:val="single" w:sz="6" w:space="0" w:color="auto"/>
            </w:tcBorders>
          </w:tcPr>
          <w:p w:rsidR="009A337F" w:rsidRPr="009A337F" w:rsidRDefault="009A337F" w:rsidP="009A337F">
            <w:pPr>
              <w:overflowPunct w:val="0"/>
              <w:autoSpaceDE w:val="0"/>
              <w:autoSpaceDN w:val="0"/>
              <w:adjustRightInd w:val="0"/>
              <w:spacing w:after="0" w:line="240" w:lineRule="auto"/>
              <w:jc w:val="center"/>
              <w:textAlignment w:val="baseline"/>
              <w:rPr>
                <w:rFonts w:ascii="Times New Roman" w:eastAsia="Times New Roman" w:hAnsi="Times New Roman"/>
                <w:color w:val="000000"/>
                <w:sz w:val="20"/>
                <w:szCs w:val="20"/>
              </w:rPr>
            </w:pPr>
          </w:p>
        </w:tc>
      </w:tr>
    </w:tbl>
    <w:p w:rsidR="009A337F" w:rsidRPr="009A337F" w:rsidRDefault="009A337F" w:rsidP="009A337F">
      <w:pPr>
        <w:overflowPunct w:val="0"/>
        <w:autoSpaceDE w:val="0"/>
        <w:autoSpaceDN w:val="0"/>
        <w:adjustRightInd w:val="0"/>
        <w:spacing w:after="0" w:line="240" w:lineRule="auto"/>
        <w:ind w:left="620" w:hanging="260"/>
        <w:textAlignment w:val="baseline"/>
        <w:rPr>
          <w:rFonts w:ascii="Times New Roman" w:eastAsia="Times New Roman" w:hAnsi="Times New Roman"/>
          <w:color w:val="000000"/>
          <w:sz w:val="20"/>
          <w:szCs w:val="20"/>
        </w:rPr>
      </w:pPr>
      <w:r w:rsidRPr="009A337F">
        <w:rPr>
          <w:rFonts w:ascii="Times New Roman" w:eastAsia="Times New Roman" w:hAnsi="Times New Roman"/>
          <w:color w:val="000000"/>
          <w:sz w:val="20"/>
          <w:szCs w:val="20"/>
        </w:rPr>
        <w:t>*Expected number of completed questionnaires assuming 90 percent response rate..</w:t>
      </w:r>
    </w:p>
    <w:p w:rsidR="0015344A" w:rsidRPr="0015344A" w:rsidRDefault="009A337F" w:rsidP="00822B27">
      <w:pPr>
        <w:overflowPunct w:val="0"/>
        <w:autoSpaceDE w:val="0"/>
        <w:autoSpaceDN w:val="0"/>
        <w:adjustRightInd w:val="0"/>
        <w:spacing w:after="0" w:line="240" w:lineRule="auto"/>
        <w:ind w:left="620" w:hanging="260"/>
        <w:textAlignment w:val="baseline"/>
        <w:rPr>
          <w:rFonts w:ascii="Times New Roman" w:hAnsi="Times New Roman"/>
        </w:rPr>
      </w:pPr>
      <w:r w:rsidRPr="009A337F">
        <w:rPr>
          <w:rFonts w:ascii="Times New Roman" w:eastAsia="Times New Roman" w:hAnsi="Times New Roman"/>
          <w:color w:val="000000"/>
          <w:sz w:val="20"/>
          <w:szCs w:val="20"/>
        </w:rPr>
        <w:t>†Standard errors include unequal weighting design effects ranging from 1.1 to 1.3 depending on the subgroup.</w:t>
      </w:r>
    </w:p>
    <w:sectPr w:rsidR="0015344A" w:rsidRPr="0015344A" w:rsidSect="00A30DD6">
      <w:headerReference w:type="default" r:id="rId10"/>
      <w:footerReference w:type="default" r:id="rId11"/>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68" w:rsidRDefault="00072F68">
      <w:pPr>
        <w:spacing w:after="0" w:line="240" w:lineRule="auto"/>
      </w:pPr>
      <w:r>
        <w:separator/>
      </w:r>
    </w:p>
  </w:endnote>
  <w:endnote w:type="continuationSeparator" w:id="0">
    <w:p w:rsidR="00072F68" w:rsidRDefault="0007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F" w:rsidRDefault="009A337F">
    <w:pPr>
      <w:pStyle w:val="Footer"/>
      <w:jc w:val="center"/>
    </w:pPr>
    <w:r>
      <w:fldChar w:fldCharType="begin"/>
    </w:r>
    <w:r>
      <w:instrText xml:space="preserve"> PAGE   \* MERGEFORMAT </w:instrText>
    </w:r>
    <w:r>
      <w:fldChar w:fldCharType="separate"/>
    </w:r>
    <w:r w:rsidR="00A25431">
      <w:rPr>
        <w:noProof/>
      </w:rPr>
      <w:t>7</w:t>
    </w:r>
    <w:r>
      <w:rPr>
        <w:noProof/>
      </w:rPr>
      <w:fldChar w:fldCharType="end"/>
    </w:r>
  </w:p>
  <w:p w:rsidR="009A337F" w:rsidRPr="006D4806" w:rsidRDefault="009A337F" w:rsidP="006D4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F" w:rsidRDefault="009A337F">
    <w:pPr>
      <w:pStyle w:val="SL-FlLftSgl"/>
    </w:pPr>
  </w:p>
  <w:p w:rsidR="009A337F" w:rsidRDefault="009A337F">
    <w:pPr>
      <w:pStyle w:val="Footer"/>
      <w:pBdr>
        <w:top w:val="single" w:sz="6" w:space="1" w:color="auto"/>
      </w:pBdr>
      <w:spacing w:line="60" w:lineRule="auto"/>
      <w:rPr>
        <w:rFonts w:ascii="Helvetica" w:hAnsi="Helvetica"/>
        <w:sz w:val="16"/>
      </w:rPr>
    </w:pPr>
  </w:p>
  <w:p w:rsidR="009A337F" w:rsidRDefault="009A337F">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68" w:rsidRDefault="00072F68">
      <w:pPr>
        <w:spacing w:after="0" w:line="240" w:lineRule="auto"/>
      </w:pPr>
      <w:r>
        <w:separator/>
      </w:r>
    </w:p>
  </w:footnote>
  <w:footnote w:type="continuationSeparator" w:id="0">
    <w:p w:rsidR="00072F68" w:rsidRDefault="00072F68">
      <w:pPr>
        <w:spacing w:after="0" w:line="240" w:lineRule="auto"/>
      </w:pPr>
      <w:r>
        <w:continuationSeparator/>
      </w:r>
    </w:p>
  </w:footnote>
  <w:footnote w:id="1">
    <w:p w:rsidR="009A337F" w:rsidRDefault="009A337F" w:rsidP="00282FBC">
      <w:pPr>
        <w:pStyle w:val="FootnoteText"/>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district staff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two pretest rounds.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F" w:rsidRDefault="009A337F" w:rsidP="00CD60C0">
    <w:pPr>
      <w:pStyle w:val="Header"/>
      <w:pBdr>
        <w:bottom w:val="single" w:sz="12" w:space="1" w:color="auto"/>
      </w:pBdr>
      <w:ind w:right="-360"/>
    </w:pPr>
  </w:p>
  <w:p w:rsidR="009A337F" w:rsidRDefault="009A337F" w:rsidP="00CD60C0">
    <w:pPr>
      <w:pStyle w:val="Header"/>
      <w:pBdr>
        <w:bottom w:val="single" w:sz="12" w:space="1" w:color="auto"/>
      </w:pBdr>
      <w:ind w:right="-360"/>
    </w:pPr>
    <w:r>
      <w:rPr>
        <w:noProof/>
        <w:sz w:val="20"/>
      </w:rPr>
      <w:drawing>
        <wp:inline distT="0" distB="0" distL="0" distR="0" wp14:anchorId="3CE5FB67" wp14:editId="5DEA75DC">
          <wp:extent cx="2286000" cy="5238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9A337F" w:rsidRDefault="009A337F" w:rsidP="00CD60C0">
    <w:pPr>
      <w:pStyle w:val="Header"/>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9A337F" w:rsidRDefault="009A3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560"/>
    <w:multiLevelType w:val="singleLevel"/>
    <w:tmpl w:val="040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032E1"/>
    <w:rsid w:val="000120D3"/>
    <w:rsid w:val="00014787"/>
    <w:rsid w:val="0002211C"/>
    <w:rsid w:val="0002412A"/>
    <w:rsid w:val="000302E4"/>
    <w:rsid w:val="0003169A"/>
    <w:rsid w:val="00031DE6"/>
    <w:rsid w:val="00036EC8"/>
    <w:rsid w:val="000372C8"/>
    <w:rsid w:val="00037CC0"/>
    <w:rsid w:val="00040ABB"/>
    <w:rsid w:val="00042899"/>
    <w:rsid w:val="000561B9"/>
    <w:rsid w:val="0006166C"/>
    <w:rsid w:val="00072F68"/>
    <w:rsid w:val="00073C82"/>
    <w:rsid w:val="0007508C"/>
    <w:rsid w:val="00081336"/>
    <w:rsid w:val="00086075"/>
    <w:rsid w:val="0008629F"/>
    <w:rsid w:val="00094993"/>
    <w:rsid w:val="000A0883"/>
    <w:rsid w:val="000A1043"/>
    <w:rsid w:val="000A7381"/>
    <w:rsid w:val="000B30AB"/>
    <w:rsid w:val="000B6CA8"/>
    <w:rsid w:val="000C2C5B"/>
    <w:rsid w:val="000C2F15"/>
    <w:rsid w:val="000C6D70"/>
    <w:rsid w:val="000C79DF"/>
    <w:rsid w:val="000D1EBF"/>
    <w:rsid w:val="000D4F2F"/>
    <w:rsid w:val="000E5BBB"/>
    <w:rsid w:val="000E790C"/>
    <w:rsid w:val="000F4818"/>
    <w:rsid w:val="00104A54"/>
    <w:rsid w:val="0010768B"/>
    <w:rsid w:val="00112400"/>
    <w:rsid w:val="00112CE1"/>
    <w:rsid w:val="00114DCB"/>
    <w:rsid w:val="001248E5"/>
    <w:rsid w:val="001328E6"/>
    <w:rsid w:val="00147251"/>
    <w:rsid w:val="001476AC"/>
    <w:rsid w:val="00151BD6"/>
    <w:rsid w:val="0015344A"/>
    <w:rsid w:val="00160092"/>
    <w:rsid w:val="00160DA7"/>
    <w:rsid w:val="00161DD1"/>
    <w:rsid w:val="00165585"/>
    <w:rsid w:val="0017409E"/>
    <w:rsid w:val="0017527C"/>
    <w:rsid w:val="00175CE7"/>
    <w:rsid w:val="001773F6"/>
    <w:rsid w:val="001A2B45"/>
    <w:rsid w:val="001B167D"/>
    <w:rsid w:val="001B3C6A"/>
    <w:rsid w:val="001E7C26"/>
    <w:rsid w:val="001F1BE5"/>
    <w:rsid w:val="00203668"/>
    <w:rsid w:val="00210390"/>
    <w:rsid w:val="00215775"/>
    <w:rsid w:val="00224C2A"/>
    <w:rsid w:val="00224F2F"/>
    <w:rsid w:val="00226EDC"/>
    <w:rsid w:val="002277C8"/>
    <w:rsid w:val="002318D8"/>
    <w:rsid w:val="00245BC5"/>
    <w:rsid w:val="00252A2C"/>
    <w:rsid w:val="002624E7"/>
    <w:rsid w:val="00264119"/>
    <w:rsid w:val="00277162"/>
    <w:rsid w:val="0027798F"/>
    <w:rsid w:val="0028052F"/>
    <w:rsid w:val="00281847"/>
    <w:rsid w:val="0028193C"/>
    <w:rsid w:val="00282FBC"/>
    <w:rsid w:val="0028416B"/>
    <w:rsid w:val="00291C0E"/>
    <w:rsid w:val="002A24AC"/>
    <w:rsid w:val="002A406B"/>
    <w:rsid w:val="002C19C5"/>
    <w:rsid w:val="002C266F"/>
    <w:rsid w:val="002C2D5D"/>
    <w:rsid w:val="002C455F"/>
    <w:rsid w:val="002C7FCD"/>
    <w:rsid w:val="002D5005"/>
    <w:rsid w:val="002E30A5"/>
    <w:rsid w:val="002E5ACD"/>
    <w:rsid w:val="002E6FFD"/>
    <w:rsid w:val="002F0B28"/>
    <w:rsid w:val="002F661F"/>
    <w:rsid w:val="003066D6"/>
    <w:rsid w:val="00310298"/>
    <w:rsid w:val="00313DB1"/>
    <w:rsid w:val="0031548A"/>
    <w:rsid w:val="0031693B"/>
    <w:rsid w:val="0032206B"/>
    <w:rsid w:val="00323831"/>
    <w:rsid w:val="003304AC"/>
    <w:rsid w:val="00337A00"/>
    <w:rsid w:val="00341D07"/>
    <w:rsid w:val="0034203D"/>
    <w:rsid w:val="003600EC"/>
    <w:rsid w:val="00361E4C"/>
    <w:rsid w:val="00362ECD"/>
    <w:rsid w:val="00363605"/>
    <w:rsid w:val="0037132E"/>
    <w:rsid w:val="00376EDD"/>
    <w:rsid w:val="00382324"/>
    <w:rsid w:val="00390BAA"/>
    <w:rsid w:val="0039129F"/>
    <w:rsid w:val="0039224D"/>
    <w:rsid w:val="003953A2"/>
    <w:rsid w:val="00397E91"/>
    <w:rsid w:val="003A0C0F"/>
    <w:rsid w:val="003A1120"/>
    <w:rsid w:val="003A6F27"/>
    <w:rsid w:val="003B4565"/>
    <w:rsid w:val="003B5029"/>
    <w:rsid w:val="003B5887"/>
    <w:rsid w:val="003C06BC"/>
    <w:rsid w:val="003C4F47"/>
    <w:rsid w:val="003C5595"/>
    <w:rsid w:val="003D1604"/>
    <w:rsid w:val="003D267D"/>
    <w:rsid w:val="003E1B02"/>
    <w:rsid w:val="003E51F9"/>
    <w:rsid w:val="00401F7F"/>
    <w:rsid w:val="004104EA"/>
    <w:rsid w:val="00410C8B"/>
    <w:rsid w:val="004127D7"/>
    <w:rsid w:val="0041340B"/>
    <w:rsid w:val="004136BA"/>
    <w:rsid w:val="004147D0"/>
    <w:rsid w:val="00422BCD"/>
    <w:rsid w:val="00440A1F"/>
    <w:rsid w:val="00440C75"/>
    <w:rsid w:val="00446E00"/>
    <w:rsid w:val="00447491"/>
    <w:rsid w:val="004522DE"/>
    <w:rsid w:val="004564A8"/>
    <w:rsid w:val="004654C9"/>
    <w:rsid w:val="004711AE"/>
    <w:rsid w:val="00481A67"/>
    <w:rsid w:val="004837EE"/>
    <w:rsid w:val="00487BBC"/>
    <w:rsid w:val="004A0CAA"/>
    <w:rsid w:val="004A7957"/>
    <w:rsid w:val="004B1C3F"/>
    <w:rsid w:val="004C61BB"/>
    <w:rsid w:val="004D2E0B"/>
    <w:rsid w:val="004D40AE"/>
    <w:rsid w:val="004D4567"/>
    <w:rsid w:val="004E6E76"/>
    <w:rsid w:val="004F2B3D"/>
    <w:rsid w:val="00504F0E"/>
    <w:rsid w:val="00512952"/>
    <w:rsid w:val="005150E7"/>
    <w:rsid w:val="0051627A"/>
    <w:rsid w:val="00523261"/>
    <w:rsid w:val="00531063"/>
    <w:rsid w:val="005337C5"/>
    <w:rsid w:val="005379EC"/>
    <w:rsid w:val="005409A5"/>
    <w:rsid w:val="00540F5F"/>
    <w:rsid w:val="00562260"/>
    <w:rsid w:val="00566755"/>
    <w:rsid w:val="005700AE"/>
    <w:rsid w:val="005914FD"/>
    <w:rsid w:val="005943B7"/>
    <w:rsid w:val="005973A9"/>
    <w:rsid w:val="00597E9F"/>
    <w:rsid w:val="005A22AE"/>
    <w:rsid w:val="005A5F05"/>
    <w:rsid w:val="005A61F4"/>
    <w:rsid w:val="005B52C8"/>
    <w:rsid w:val="005C60AB"/>
    <w:rsid w:val="005D23F6"/>
    <w:rsid w:val="005E05B4"/>
    <w:rsid w:val="005E7AE0"/>
    <w:rsid w:val="005E7D65"/>
    <w:rsid w:val="005F0FBC"/>
    <w:rsid w:val="005F4F39"/>
    <w:rsid w:val="005F69AC"/>
    <w:rsid w:val="00603083"/>
    <w:rsid w:val="00604700"/>
    <w:rsid w:val="006057EB"/>
    <w:rsid w:val="00605E65"/>
    <w:rsid w:val="006239E2"/>
    <w:rsid w:val="006303A6"/>
    <w:rsid w:val="0063111E"/>
    <w:rsid w:val="00642AEB"/>
    <w:rsid w:val="00645F08"/>
    <w:rsid w:val="006478ED"/>
    <w:rsid w:val="006553E8"/>
    <w:rsid w:val="00656613"/>
    <w:rsid w:val="006652FB"/>
    <w:rsid w:val="006830E9"/>
    <w:rsid w:val="006853BC"/>
    <w:rsid w:val="00686916"/>
    <w:rsid w:val="0069222D"/>
    <w:rsid w:val="00692B90"/>
    <w:rsid w:val="006A13D0"/>
    <w:rsid w:val="006A550F"/>
    <w:rsid w:val="006A78AF"/>
    <w:rsid w:val="006B09C1"/>
    <w:rsid w:val="006B2314"/>
    <w:rsid w:val="006C03C5"/>
    <w:rsid w:val="006C164B"/>
    <w:rsid w:val="006C3BB0"/>
    <w:rsid w:val="006C4BFC"/>
    <w:rsid w:val="006D0D42"/>
    <w:rsid w:val="006D3143"/>
    <w:rsid w:val="006D4806"/>
    <w:rsid w:val="006D7314"/>
    <w:rsid w:val="006E4494"/>
    <w:rsid w:val="006E45FE"/>
    <w:rsid w:val="006E7F16"/>
    <w:rsid w:val="00700535"/>
    <w:rsid w:val="00704101"/>
    <w:rsid w:val="00710D10"/>
    <w:rsid w:val="00711597"/>
    <w:rsid w:val="00731613"/>
    <w:rsid w:val="00735884"/>
    <w:rsid w:val="00736674"/>
    <w:rsid w:val="00744EBC"/>
    <w:rsid w:val="00746220"/>
    <w:rsid w:val="00753065"/>
    <w:rsid w:val="007534DB"/>
    <w:rsid w:val="007675FD"/>
    <w:rsid w:val="007679E0"/>
    <w:rsid w:val="00773466"/>
    <w:rsid w:val="0077576F"/>
    <w:rsid w:val="00775F38"/>
    <w:rsid w:val="007763A5"/>
    <w:rsid w:val="007842D9"/>
    <w:rsid w:val="007844E9"/>
    <w:rsid w:val="00784B5C"/>
    <w:rsid w:val="00787432"/>
    <w:rsid w:val="007924FC"/>
    <w:rsid w:val="00793A5B"/>
    <w:rsid w:val="00794FDD"/>
    <w:rsid w:val="00796219"/>
    <w:rsid w:val="0079689D"/>
    <w:rsid w:val="007A042A"/>
    <w:rsid w:val="007A2121"/>
    <w:rsid w:val="007A3371"/>
    <w:rsid w:val="007B389C"/>
    <w:rsid w:val="007C034D"/>
    <w:rsid w:val="007C03C0"/>
    <w:rsid w:val="007C08CA"/>
    <w:rsid w:val="007C2C23"/>
    <w:rsid w:val="007C710A"/>
    <w:rsid w:val="007D0EBF"/>
    <w:rsid w:val="007D77F4"/>
    <w:rsid w:val="007D7AFB"/>
    <w:rsid w:val="007E0A92"/>
    <w:rsid w:val="007E0F72"/>
    <w:rsid w:val="007E1267"/>
    <w:rsid w:val="007E2C4A"/>
    <w:rsid w:val="007E41C4"/>
    <w:rsid w:val="007E4C8D"/>
    <w:rsid w:val="007F2A58"/>
    <w:rsid w:val="00800A8A"/>
    <w:rsid w:val="008019AE"/>
    <w:rsid w:val="00803605"/>
    <w:rsid w:val="0080416C"/>
    <w:rsid w:val="008126EA"/>
    <w:rsid w:val="00820953"/>
    <w:rsid w:val="00820B4D"/>
    <w:rsid w:val="0082101E"/>
    <w:rsid w:val="008227A4"/>
    <w:rsid w:val="00822B27"/>
    <w:rsid w:val="008335FA"/>
    <w:rsid w:val="00843711"/>
    <w:rsid w:val="008610F3"/>
    <w:rsid w:val="00862DE4"/>
    <w:rsid w:val="00863385"/>
    <w:rsid w:val="00870917"/>
    <w:rsid w:val="0087381A"/>
    <w:rsid w:val="00886A4B"/>
    <w:rsid w:val="00887D49"/>
    <w:rsid w:val="00887FDA"/>
    <w:rsid w:val="008939AD"/>
    <w:rsid w:val="00896847"/>
    <w:rsid w:val="008A3557"/>
    <w:rsid w:val="008A37CF"/>
    <w:rsid w:val="008B5D57"/>
    <w:rsid w:val="008B7DAF"/>
    <w:rsid w:val="008F2BE3"/>
    <w:rsid w:val="009025DA"/>
    <w:rsid w:val="00903C04"/>
    <w:rsid w:val="00912C21"/>
    <w:rsid w:val="0091412D"/>
    <w:rsid w:val="00921705"/>
    <w:rsid w:val="00923BE1"/>
    <w:rsid w:val="00935999"/>
    <w:rsid w:val="00945437"/>
    <w:rsid w:val="00947FC4"/>
    <w:rsid w:val="009525B6"/>
    <w:rsid w:val="00955733"/>
    <w:rsid w:val="009640FA"/>
    <w:rsid w:val="00971072"/>
    <w:rsid w:val="00972C44"/>
    <w:rsid w:val="0097434E"/>
    <w:rsid w:val="00995CF6"/>
    <w:rsid w:val="009A337F"/>
    <w:rsid w:val="009A63DB"/>
    <w:rsid w:val="009B00FB"/>
    <w:rsid w:val="009B0223"/>
    <w:rsid w:val="009B2705"/>
    <w:rsid w:val="009B4A7C"/>
    <w:rsid w:val="009C44F8"/>
    <w:rsid w:val="009D4024"/>
    <w:rsid w:val="009E3175"/>
    <w:rsid w:val="009F6EE2"/>
    <w:rsid w:val="00A01272"/>
    <w:rsid w:val="00A057DA"/>
    <w:rsid w:val="00A21D8E"/>
    <w:rsid w:val="00A25431"/>
    <w:rsid w:val="00A27FDA"/>
    <w:rsid w:val="00A30DD6"/>
    <w:rsid w:val="00A31612"/>
    <w:rsid w:val="00A355D3"/>
    <w:rsid w:val="00A36AA0"/>
    <w:rsid w:val="00A41ECC"/>
    <w:rsid w:val="00A43B4E"/>
    <w:rsid w:val="00A5433B"/>
    <w:rsid w:val="00A57759"/>
    <w:rsid w:val="00A64233"/>
    <w:rsid w:val="00A708CE"/>
    <w:rsid w:val="00A72368"/>
    <w:rsid w:val="00A742E9"/>
    <w:rsid w:val="00A76403"/>
    <w:rsid w:val="00A778FE"/>
    <w:rsid w:val="00A83B17"/>
    <w:rsid w:val="00A85FAB"/>
    <w:rsid w:val="00A92A3A"/>
    <w:rsid w:val="00A97E12"/>
    <w:rsid w:val="00AA18F5"/>
    <w:rsid w:val="00AA4F89"/>
    <w:rsid w:val="00AA6ED7"/>
    <w:rsid w:val="00AC0657"/>
    <w:rsid w:val="00AC1AE1"/>
    <w:rsid w:val="00AC4790"/>
    <w:rsid w:val="00AD1AA1"/>
    <w:rsid w:val="00AF08AD"/>
    <w:rsid w:val="00AF288D"/>
    <w:rsid w:val="00B074B2"/>
    <w:rsid w:val="00B1434A"/>
    <w:rsid w:val="00B1541E"/>
    <w:rsid w:val="00B212B8"/>
    <w:rsid w:val="00B37A0D"/>
    <w:rsid w:val="00B457FD"/>
    <w:rsid w:val="00B4677A"/>
    <w:rsid w:val="00B51698"/>
    <w:rsid w:val="00B56FAA"/>
    <w:rsid w:val="00B61407"/>
    <w:rsid w:val="00B70526"/>
    <w:rsid w:val="00B71511"/>
    <w:rsid w:val="00BA71FC"/>
    <w:rsid w:val="00BB23CE"/>
    <w:rsid w:val="00BB4D0F"/>
    <w:rsid w:val="00BF0B47"/>
    <w:rsid w:val="00BF7A9E"/>
    <w:rsid w:val="00C06468"/>
    <w:rsid w:val="00C17075"/>
    <w:rsid w:val="00C217F9"/>
    <w:rsid w:val="00C30C84"/>
    <w:rsid w:val="00C317FB"/>
    <w:rsid w:val="00C35DE6"/>
    <w:rsid w:val="00C368FA"/>
    <w:rsid w:val="00C4077E"/>
    <w:rsid w:val="00C423D7"/>
    <w:rsid w:val="00C440FF"/>
    <w:rsid w:val="00C45A0E"/>
    <w:rsid w:val="00C53E89"/>
    <w:rsid w:val="00C60D4C"/>
    <w:rsid w:val="00C61F11"/>
    <w:rsid w:val="00C7323B"/>
    <w:rsid w:val="00C74547"/>
    <w:rsid w:val="00C74AFA"/>
    <w:rsid w:val="00C827E2"/>
    <w:rsid w:val="00CA494E"/>
    <w:rsid w:val="00CB3555"/>
    <w:rsid w:val="00CB7CF6"/>
    <w:rsid w:val="00CC5714"/>
    <w:rsid w:val="00CD58CF"/>
    <w:rsid w:val="00CD60C0"/>
    <w:rsid w:val="00CE4A84"/>
    <w:rsid w:val="00D00498"/>
    <w:rsid w:val="00D107CE"/>
    <w:rsid w:val="00D11D4A"/>
    <w:rsid w:val="00D1320E"/>
    <w:rsid w:val="00D139C4"/>
    <w:rsid w:val="00D171C0"/>
    <w:rsid w:val="00D2290C"/>
    <w:rsid w:val="00D233A9"/>
    <w:rsid w:val="00D3423C"/>
    <w:rsid w:val="00D344FE"/>
    <w:rsid w:val="00D4101F"/>
    <w:rsid w:val="00D41319"/>
    <w:rsid w:val="00D44A8B"/>
    <w:rsid w:val="00D4550E"/>
    <w:rsid w:val="00D47198"/>
    <w:rsid w:val="00D5153D"/>
    <w:rsid w:val="00D550EA"/>
    <w:rsid w:val="00D734FD"/>
    <w:rsid w:val="00D74A48"/>
    <w:rsid w:val="00D75B02"/>
    <w:rsid w:val="00D84057"/>
    <w:rsid w:val="00D870EF"/>
    <w:rsid w:val="00D94040"/>
    <w:rsid w:val="00DA0E21"/>
    <w:rsid w:val="00DB195A"/>
    <w:rsid w:val="00DC12FF"/>
    <w:rsid w:val="00DC6D7C"/>
    <w:rsid w:val="00DC785E"/>
    <w:rsid w:val="00DD7266"/>
    <w:rsid w:val="00DE3D64"/>
    <w:rsid w:val="00DF0C52"/>
    <w:rsid w:val="00DF6A46"/>
    <w:rsid w:val="00E01E8C"/>
    <w:rsid w:val="00E04502"/>
    <w:rsid w:val="00E12589"/>
    <w:rsid w:val="00E1798A"/>
    <w:rsid w:val="00E212DA"/>
    <w:rsid w:val="00E22DED"/>
    <w:rsid w:val="00E23E1C"/>
    <w:rsid w:val="00E25F0A"/>
    <w:rsid w:val="00E43EF0"/>
    <w:rsid w:val="00E4409E"/>
    <w:rsid w:val="00E44A18"/>
    <w:rsid w:val="00E45A7E"/>
    <w:rsid w:val="00E51D25"/>
    <w:rsid w:val="00E52B1A"/>
    <w:rsid w:val="00E60C30"/>
    <w:rsid w:val="00E637F3"/>
    <w:rsid w:val="00E643FE"/>
    <w:rsid w:val="00E67B39"/>
    <w:rsid w:val="00E762BC"/>
    <w:rsid w:val="00E77708"/>
    <w:rsid w:val="00E77B2F"/>
    <w:rsid w:val="00E8356E"/>
    <w:rsid w:val="00E84BD1"/>
    <w:rsid w:val="00E923D3"/>
    <w:rsid w:val="00E93984"/>
    <w:rsid w:val="00E95802"/>
    <w:rsid w:val="00E97BAA"/>
    <w:rsid w:val="00EA1C2E"/>
    <w:rsid w:val="00EA3124"/>
    <w:rsid w:val="00EB0705"/>
    <w:rsid w:val="00EB479A"/>
    <w:rsid w:val="00EB7B1C"/>
    <w:rsid w:val="00EC5FF8"/>
    <w:rsid w:val="00EC7C1C"/>
    <w:rsid w:val="00ED1B9F"/>
    <w:rsid w:val="00ED318C"/>
    <w:rsid w:val="00EE1B56"/>
    <w:rsid w:val="00EE2743"/>
    <w:rsid w:val="00EF1310"/>
    <w:rsid w:val="00EF1997"/>
    <w:rsid w:val="00EF60DE"/>
    <w:rsid w:val="00EF7DAB"/>
    <w:rsid w:val="00F01A98"/>
    <w:rsid w:val="00F13DC3"/>
    <w:rsid w:val="00F13E9C"/>
    <w:rsid w:val="00F3520E"/>
    <w:rsid w:val="00F36E4E"/>
    <w:rsid w:val="00F42AED"/>
    <w:rsid w:val="00F476A0"/>
    <w:rsid w:val="00F64F66"/>
    <w:rsid w:val="00F750CC"/>
    <w:rsid w:val="00F831EC"/>
    <w:rsid w:val="00F8385C"/>
    <w:rsid w:val="00F85EB0"/>
    <w:rsid w:val="00F91D82"/>
    <w:rsid w:val="00FA1661"/>
    <w:rsid w:val="00FA4A9A"/>
    <w:rsid w:val="00FA4E45"/>
    <w:rsid w:val="00FB156C"/>
    <w:rsid w:val="00FB1AF5"/>
    <w:rsid w:val="00FB73CC"/>
    <w:rsid w:val="00FC21D8"/>
    <w:rsid w:val="00FC7311"/>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784B5C"/>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4C2A"/>
    <w:rPr>
      <w:color w:val="808080"/>
    </w:rPr>
  </w:style>
  <w:style w:type="paragraph" w:customStyle="1" w:styleId="N2-2ndBullet">
    <w:name w:val="N2-2nd Bullet"/>
    <w:basedOn w:val="Normal"/>
    <w:rsid w:val="006C3BB0"/>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SH-SglSpHead">
    <w:name w:val="SH-Sgl Sp Head"/>
    <w:rsid w:val="00B4677A"/>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784B5C"/>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4C2A"/>
    <w:rPr>
      <w:color w:val="808080"/>
    </w:rPr>
  </w:style>
  <w:style w:type="paragraph" w:customStyle="1" w:styleId="N2-2ndBullet">
    <w:name w:val="N2-2nd Bullet"/>
    <w:basedOn w:val="Normal"/>
    <w:rsid w:val="006C3BB0"/>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SH-SglSpHead">
    <w:name w:val="SH-Sgl Sp Head"/>
    <w:rsid w:val="00B4677A"/>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89C27-4306-4F0F-9F72-E1C96448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2012-10-22T17:33:00Z</dcterms:created>
  <dcterms:modified xsi:type="dcterms:W3CDTF">2012-10-23T03:04:00Z</dcterms:modified>
</cp:coreProperties>
</file>