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56" w:rsidRDefault="00EE1B56" w:rsidP="00C368FA">
      <w:pPr>
        <w:spacing w:line="240" w:lineRule="auto"/>
        <w:ind w:left="360" w:right="252"/>
        <w:rPr>
          <w:rFonts w:ascii="Arial" w:hAnsi="Arial" w:cs="Arial"/>
          <w:b/>
          <w:sz w:val="52"/>
          <w:szCs w:val="52"/>
        </w:rPr>
      </w:pPr>
    </w:p>
    <w:p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rsidR="008126EA" w:rsidRPr="000C6D70" w:rsidRDefault="008126EA" w:rsidP="00C368FA">
      <w:pPr>
        <w:spacing w:line="240" w:lineRule="auto"/>
        <w:ind w:left="360" w:right="252"/>
        <w:rPr>
          <w:rFonts w:ascii="Arial" w:hAnsi="Arial" w:cs="Arial"/>
          <w:sz w:val="48"/>
          <w:szCs w:val="48"/>
        </w:rPr>
      </w:pPr>
    </w:p>
    <w:p w:rsidR="008126EA" w:rsidRDefault="00DF1A42" w:rsidP="00C368FA">
      <w:pPr>
        <w:spacing w:line="240" w:lineRule="auto"/>
        <w:ind w:left="360" w:right="252"/>
        <w:rPr>
          <w:rFonts w:ascii="Arial" w:hAnsi="Arial" w:cs="Arial"/>
          <w:sz w:val="40"/>
          <w:szCs w:val="40"/>
        </w:rPr>
      </w:pPr>
      <w:r>
        <w:rPr>
          <w:rFonts w:ascii="Arial" w:hAnsi="Arial" w:cs="Arial"/>
          <w:sz w:val="40"/>
          <w:szCs w:val="40"/>
        </w:rPr>
        <w:t>Postsecondary Education Quick Information System</w:t>
      </w:r>
      <w:r w:rsidR="00E8356E">
        <w:rPr>
          <w:rFonts w:ascii="Arial" w:hAnsi="Arial" w:cs="Arial"/>
          <w:sz w:val="40"/>
          <w:szCs w:val="40"/>
        </w:rPr>
        <w:t xml:space="preserve"> (</w:t>
      </w:r>
      <w:r>
        <w:rPr>
          <w:rFonts w:ascii="Arial" w:hAnsi="Arial" w:cs="Arial"/>
          <w:sz w:val="40"/>
          <w:szCs w:val="40"/>
        </w:rPr>
        <w:t>PEQIS</w:t>
      </w:r>
      <w:r w:rsidR="00E8356E">
        <w:rPr>
          <w:rFonts w:ascii="Arial" w:hAnsi="Arial" w:cs="Arial"/>
          <w:sz w:val="40"/>
          <w:szCs w:val="40"/>
        </w:rPr>
        <w:t xml:space="preserve">) </w:t>
      </w:r>
      <w:r>
        <w:rPr>
          <w:rFonts w:ascii="Arial" w:hAnsi="Arial" w:cs="Arial"/>
          <w:sz w:val="40"/>
          <w:szCs w:val="40"/>
        </w:rPr>
        <w:t>19</w:t>
      </w:r>
      <w:r w:rsidR="008126EA" w:rsidRPr="00382324">
        <w:rPr>
          <w:rFonts w:ascii="Arial" w:hAnsi="Arial" w:cs="Arial"/>
          <w:sz w:val="40"/>
          <w:szCs w:val="40"/>
        </w:rPr>
        <w:t xml:space="preserve">: </w:t>
      </w:r>
      <w:r>
        <w:rPr>
          <w:rFonts w:ascii="Arial" w:hAnsi="Arial" w:cs="Arial"/>
          <w:sz w:val="40"/>
          <w:szCs w:val="40"/>
        </w:rPr>
        <w:t>Services and Support Programs for Military Service Members and Veterans, 2012</w:t>
      </w:r>
      <w:r w:rsidR="0046372B">
        <w:rPr>
          <w:rFonts w:ascii="Arial" w:hAnsi="Arial" w:cs="Arial"/>
          <w:sz w:val="40"/>
          <w:szCs w:val="40"/>
        </w:rPr>
        <w:t>–</w:t>
      </w:r>
      <w:r>
        <w:rPr>
          <w:rFonts w:ascii="Arial" w:hAnsi="Arial" w:cs="Arial"/>
          <w:sz w:val="40"/>
          <w:szCs w:val="40"/>
        </w:rPr>
        <w:t>13</w:t>
      </w:r>
    </w:p>
    <w:p w:rsidR="008126EA" w:rsidRPr="000C6D70" w:rsidRDefault="008126EA" w:rsidP="00C368FA">
      <w:pPr>
        <w:spacing w:line="240" w:lineRule="auto"/>
        <w:ind w:left="360" w:right="252"/>
        <w:rPr>
          <w:rFonts w:ascii="Arial" w:hAnsi="Arial" w:cs="Arial"/>
          <w:sz w:val="40"/>
          <w:szCs w:val="40"/>
        </w:rPr>
      </w:pPr>
    </w:p>
    <w:p w:rsidR="008126EA" w:rsidRPr="000C6D70" w:rsidRDefault="00955733" w:rsidP="00C368FA">
      <w:pPr>
        <w:spacing w:line="240" w:lineRule="auto"/>
        <w:ind w:left="360" w:right="252"/>
        <w:rPr>
          <w:rFonts w:ascii="Arial" w:hAnsi="Arial" w:cs="Arial"/>
          <w:sz w:val="32"/>
          <w:szCs w:val="32"/>
        </w:rPr>
      </w:pPr>
      <w:r w:rsidRPr="00955733">
        <w:rPr>
          <w:rFonts w:ascii="Arial" w:hAnsi="Arial" w:cs="Arial"/>
          <w:sz w:val="32"/>
          <w:szCs w:val="32"/>
        </w:rPr>
        <w:t>OMB# 1850-0</w:t>
      </w:r>
      <w:r w:rsidR="004711AE">
        <w:rPr>
          <w:rFonts w:ascii="Arial" w:hAnsi="Arial" w:cs="Arial"/>
          <w:sz w:val="32"/>
          <w:szCs w:val="32"/>
        </w:rPr>
        <w:t>73</w:t>
      </w:r>
      <w:r w:rsidRPr="00955733">
        <w:rPr>
          <w:rFonts w:ascii="Arial" w:hAnsi="Arial" w:cs="Arial"/>
          <w:sz w:val="32"/>
          <w:szCs w:val="32"/>
        </w:rPr>
        <w:t xml:space="preserve">3 v. </w:t>
      </w:r>
      <w:r w:rsidR="00B75F00">
        <w:rPr>
          <w:rFonts w:ascii="Arial" w:hAnsi="Arial" w:cs="Arial"/>
          <w:sz w:val="32"/>
          <w:szCs w:val="32"/>
        </w:rPr>
        <w:t>28</w:t>
      </w: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7F5506" w:rsidP="00566755">
      <w:pPr>
        <w:spacing w:after="0" w:line="240" w:lineRule="auto"/>
        <w:ind w:left="360" w:right="259"/>
        <w:rPr>
          <w:rFonts w:ascii="Arial" w:hAnsi="Arial" w:cs="Arial"/>
          <w:sz w:val="32"/>
          <w:szCs w:val="32"/>
        </w:rPr>
      </w:pPr>
      <w:r>
        <w:rPr>
          <w:rFonts w:ascii="Arial" w:hAnsi="Arial" w:cs="Arial"/>
          <w:sz w:val="32"/>
          <w:szCs w:val="32"/>
        </w:rPr>
        <w:t>April</w:t>
      </w:r>
      <w:r w:rsidR="004711AE">
        <w:rPr>
          <w:rFonts w:ascii="Arial" w:hAnsi="Arial" w:cs="Arial"/>
          <w:sz w:val="32"/>
          <w:szCs w:val="32"/>
        </w:rPr>
        <w:t xml:space="preserve"> </w:t>
      </w:r>
      <w:r w:rsidR="00FF58A3">
        <w:rPr>
          <w:rFonts w:ascii="Arial" w:hAnsi="Arial" w:cs="Arial"/>
          <w:sz w:val="32"/>
          <w:szCs w:val="32"/>
        </w:rPr>
        <w:t>2</w:t>
      </w:r>
      <w:r w:rsidR="000B6CA8">
        <w:rPr>
          <w:rFonts w:ascii="Arial" w:hAnsi="Arial" w:cs="Arial"/>
          <w:sz w:val="32"/>
          <w:szCs w:val="32"/>
        </w:rPr>
        <w:t>, 201</w:t>
      </w:r>
      <w:r w:rsidR="002E7026">
        <w:rPr>
          <w:rFonts w:ascii="Arial" w:hAnsi="Arial" w:cs="Arial"/>
          <w:sz w:val="32"/>
          <w:szCs w:val="32"/>
        </w:rPr>
        <w:t>3</w:t>
      </w:r>
    </w:p>
    <w:p w:rsidR="008126EA" w:rsidRDefault="008126EA" w:rsidP="00566755">
      <w:pPr>
        <w:spacing w:after="0" w:line="240" w:lineRule="auto"/>
        <w:ind w:left="360" w:right="259"/>
        <w:rPr>
          <w:rFonts w:ascii="Arial" w:hAnsi="Arial" w:cs="Arial"/>
          <w:sz w:val="32"/>
          <w:szCs w:val="32"/>
        </w:rPr>
      </w:pPr>
      <w:smartTag w:uri="urn:schemas-microsoft-com:office:smarttags" w:element="place">
        <w:smartTag w:uri="urn:schemas-microsoft-com:office:smarttags" w:element="PlaceName">
          <w:r>
            <w:rPr>
              <w:rFonts w:ascii="Arial" w:hAnsi="Arial" w:cs="Arial"/>
              <w:sz w:val="32"/>
              <w:szCs w:val="32"/>
            </w:rPr>
            <w:t>National</w:t>
          </w:r>
        </w:smartTag>
        <w:r>
          <w:rPr>
            <w:rFonts w:ascii="Arial" w:hAnsi="Arial" w:cs="Arial"/>
            <w:sz w:val="32"/>
            <w:szCs w:val="32"/>
          </w:rPr>
          <w:t xml:space="preserve"> </w:t>
        </w:r>
        <w:smartTag w:uri="urn:schemas-microsoft-com:office:smarttags" w:element="PlaceType">
          <w:r>
            <w:rPr>
              <w:rFonts w:ascii="Arial" w:hAnsi="Arial" w:cs="Arial"/>
              <w:sz w:val="32"/>
              <w:szCs w:val="32"/>
            </w:rPr>
            <w:t>Center</w:t>
          </w:r>
        </w:smartTag>
      </w:smartTag>
      <w:r>
        <w:rPr>
          <w:rFonts w:ascii="Arial" w:hAnsi="Arial" w:cs="Arial"/>
          <w:sz w:val="32"/>
          <w:szCs w:val="32"/>
        </w:rPr>
        <w:t xml:space="preserve"> for Education Statistics</w:t>
      </w:r>
    </w:p>
    <w:p w:rsidR="008126EA" w:rsidRPr="000C6D70" w:rsidRDefault="008126EA" w:rsidP="00566755">
      <w:pPr>
        <w:spacing w:after="0" w:line="240" w:lineRule="auto"/>
        <w:ind w:left="360" w:right="259"/>
        <w:rPr>
          <w:rFonts w:ascii="Arial" w:hAnsi="Arial" w:cs="Arial"/>
          <w:sz w:val="32"/>
          <w:szCs w:val="32"/>
        </w:rPr>
      </w:pPr>
      <w:smartTag w:uri="urn:schemas-microsoft-com:office:smarttags" w:element="place">
        <w:smartTag w:uri="urn:schemas-microsoft-com:office:smarttags" w:element="country-region">
          <w:r>
            <w:rPr>
              <w:rFonts w:ascii="Arial" w:hAnsi="Arial" w:cs="Arial"/>
              <w:sz w:val="32"/>
              <w:szCs w:val="32"/>
            </w:rPr>
            <w:t>U.S.</w:t>
          </w:r>
        </w:smartTag>
      </w:smartTag>
      <w:r>
        <w:rPr>
          <w:rFonts w:ascii="Arial" w:hAnsi="Arial" w:cs="Arial"/>
          <w:sz w:val="32"/>
          <w:szCs w:val="32"/>
        </w:rPr>
        <w:t xml:space="preserve"> Department of Education</w:t>
      </w:r>
    </w:p>
    <w:p w:rsidR="0046372B" w:rsidRDefault="0046372B" w:rsidP="00566755">
      <w:pPr>
        <w:spacing w:line="240" w:lineRule="auto"/>
        <w:ind w:right="252"/>
        <w:rPr>
          <w:rFonts w:ascii="Arial" w:hAnsi="Arial" w:cs="Arial"/>
          <w:sz w:val="32"/>
          <w:szCs w:val="32"/>
        </w:rPr>
        <w:sectPr w:rsidR="0046372B" w:rsidSect="009A337F">
          <w:footerReference w:type="default" r:id="rId9"/>
          <w:type w:val="continuous"/>
          <w:pgSz w:w="12240" w:h="15840" w:code="1"/>
          <w:pgMar w:top="1008" w:right="1008" w:bottom="432" w:left="1008" w:header="720" w:footer="720" w:gutter="0"/>
          <w:cols w:space="720"/>
          <w:titlePg/>
          <w:docGrid w:linePitch="360"/>
        </w:sectPr>
      </w:pPr>
    </w:p>
    <w:p w:rsidR="008126EA" w:rsidRPr="0079689D" w:rsidRDefault="008126EA" w:rsidP="00817867">
      <w:pPr>
        <w:spacing w:after="120" w:line="240" w:lineRule="auto"/>
        <w:ind w:right="259"/>
        <w:rPr>
          <w:rFonts w:ascii="Times New Roman" w:hAnsi="Times New Roman"/>
          <w:b/>
          <w:sz w:val="28"/>
        </w:rPr>
      </w:pPr>
      <w:r w:rsidRPr="000D7302">
        <w:rPr>
          <w:rFonts w:ascii="Times New Roman" w:hAnsi="Times New Roman"/>
          <w:b/>
          <w:sz w:val="28"/>
        </w:rPr>
        <w:lastRenderedPageBreak/>
        <w:t>Justification</w:t>
      </w:r>
    </w:p>
    <w:p w:rsidR="00E8356E" w:rsidRDefault="005C60AB" w:rsidP="0028416B">
      <w:pPr>
        <w:pStyle w:val="SL-FlLftSgl"/>
        <w:ind w:firstLine="576"/>
        <w:jc w:val="left"/>
      </w:pPr>
      <w:r w:rsidRPr="0079689D">
        <w:t xml:space="preserve">The National Center for Education Statistics (NCES), U.S. Department of Education (ED), requests OMB approval under the NCES system clearance for </w:t>
      </w:r>
      <w:r w:rsidR="00921705">
        <w:t>the Quick Response Information System (QRIS)</w:t>
      </w:r>
      <w:r w:rsidRPr="0079689D">
        <w:t xml:space="preserve"> (OMB </w:t>
      </w:r>
      <w:r w:rsidRPr="00955733">
        <w:t>#1850-0</w:t>
      </w:r>
      <w:r w:rsidR="00921705">
        <w:t>73</w:t>
      </w:r>
      <w:r w:rsidRPr="00955733">
        <w:t>3)</w:t>
      </w:r>
      <w:r w:rsidRPr="0079689D">
        <w:t xml:space="preserve"> </w:t>
      </w:r>
      <w:r>
        <w:t xml:space="preserve">to </w:t>
      </w:r>
      <w:r w:rsidR="00921705">
        <w:t xml:space="preserve">conduct data collection </w:t>
      </w:r>
      <w:r>
        <w:t>for</w:t>
      </w:r>
      <w:r w:rsidR="00921705">
        <w:t xml:space="preserve"> the</w:t>
      </w:r>
      <w:r>
        <w:t xml:space="preserve"> </w:t>
      </w:r>
      <w:r w:rsidR="00934CFB">
        <w:t>Postsecondary Education Quick Information System</w:t>
      </w:r>
      <w:r w:rsidR="00955733">
        <w:t xml:space="preserve"> (</w:t>
      </w:r>
      <w:r w:rsidR="00934CFB">
        <w:t>PEQIS</w:t>
      </w:r>
      <w:r w:rsidR="00955733">
        <w:t>)</w:t>
      </w:r>
      <w:r w:rsidR="004654C9">
        <w:t xml:space="preserve"> </w:t>
      </w:r>
      <w:r>
        <w:t xml:space="preserve">survey </w:t>
      </w:r>
      <w:r w:rsidR="00E4409E">
        <w:t>#1</w:t>
      </w:r>
      <w:r w:rsidR="00F93226">
        <w:t>9</w:t>
      </w:r>
      <w:r w:rsidR="00E4409E">
        <w:t xml:space="preserve"> </w:t>
      </w:r>
      <w:r>
        <w:t xml:space="preserve">on </w:t>
      </w:r>
      <w:r w:rsidR="00934CFB">
        <w:t>services and support programs</w:t>
      </w:r>
      <w:r w:rsidR="00F93226">
        <w:t xml:space="preserve"> available to veteran and</w:t>
      </w:r>
      <w:r w:rsidR="00934CFB">
        <w:t xml:space="preserve"> military </w:t>
      </w:r>
      <w:r w:rsidR="00F93226">
        <w:t>students at postsecondary institutions</w:t>
      </w:r>
      <w:r>
        <w:t xml:space="preserve">.  </w:t>
      </w:r>
      <w:r w:rsidR="00F93226">
        <w:t xml:space="preserve">The survey will </w:t>
      </w:r>
      <w:r w:rsidR="002C5B52">
        <w:t xml:space="preserve">provide the first </w:t>
      </w:r>
      <w:r w:rsidR="00F93226">
        <w:t xml:space="preserve">nationally representative data about the prevalence </w:t>
      </w:r>
      <w:r w:rsidR="002C5B52">
        <w:t xml:space="preserve">of various types of </w:t>
      </w:r>
      <w:r w:rsidR="00934CFB">
        <w:t>services and support programs for military service members and veterans</w:t>
      </w:r>
      <w:r w:rsidR="00E8356E" w:rsidRPr="000D7302">
        <w:t>,</w:t>
      </w:r>
      <w:r w:rsidR="00E8356E">
        <w:t xml:space="preserve"> with a First Look report on the results to be released in 201</w:t>
      </w:r>
      <w:r w:rsidR="00934CFB">
        <w:t>4</w:t>
      </w:r>
      <w:r w:rsidR="00E8356E">
        <w:t xml:space="preserve">.    </w:t>
      </w:r>
    </w:p>
    <w:p w:rsidR="000D7302" w:rsidRDefault="000D7302" w:rsidP="0028416B">
      <w:pPr>
        <w:pStyle w:val="SL-FlLftSgl"/>
        <w:ind w:firstLine="576"/>
        <w:jc w:val="left"/>
      </w:pPr>
    </w:p>
    <w:p w:rsidR="00F17C3F" w:rsidRDefault="00F17C3F" w:rsidP="0028416B">
      <w:pPr>
        <w:pStyle w:val="SL-FlLftSgl"/>
        <w:ind w:firstLine="576"/>
        <w:jc w:val="left"/>
      </w:pPr>
      <w:r>
        <w:t xml:space="preserve">According to the Veterans Administration, over 500,000 veterans have used the Post 9/11 G.I. Bill for postsecondary education.  This represents the largest increase in student veterans since the post World War II era and this number is expected to rise. The unique needs of student veterans often require additional or alternative academic and personal support programs and services than traditional students utilize.  </w:t>
      </w:r>
      <w:r w:rsidRPr="008C0D8A">
        <w:t xml:space="preserve">Executive Order </w:t>
      </w:r>
      <w:r w:rsidR="00173CAE" w:rsidRPr="008C0D8A">
        <w:t>13607</w:t>
      </w:r>
      <w:r w:rsidR="00173CAE">
        <w:t xml:space="preserve">, issued in 2012, </w:t>
      </w:r>
      <w:r w:rsidRPr="008C0D8A">
        <w:t>specif</w:t>
      </w:r>
      <w:r w:rsidR="002C5B52" w:rsidRPr="008C0D8A">
        <w:t>ie</w:t>
      </w:r>
      <w:r w:rsidR="00173CAE">
        <w:t>d</w:t>
      </w:r>
      <w:r w:rsidRPr="008C0D8A">
        <w:t xml:space="preserve"> Principles of Excellence for educational institutions </w:t>
      </w:r>
      <w:r w:rsidR="00173CAE">
        <w:t xml:space="preserve">to follow in working with students who are </w:t>
      </w:r>
      <w:r w:rsidRPr="008C0D8A">
        <w:t>military service members and veterans</w:t>
      </w:r>
      <w:r w:rsidR="00921E0D" w:rsidRPr="008C0D8A">
        <w:t>.</w:t>
      </w:r>
      <w:r w:rsidR="009C7905">
        <w:t xml:space="preserve">  </w:t>
      </w:r>
      <w:r w:rsidR="00F54314">
        <w:t xml:space="preserve">Currently, </w:t>
      </w:r>
      <w:r>
        <w:t>t</w:t>
      </w:r>
      <w:r w:rsidR="000D7302">
        <w:t xml:space="preserve">here are no national data </w:t>
      </w:r>
      <w:r>
        <w:t xml:space="preserve">available </w:t>
      </w:r>
      <w:r w:rsidR="000D7302">
        <w:t xml:space="preserve">on </w:t>
      </w:r>
      <w:r>
        <w:t>the prevalence and characteristics of support programs and services for veterans and active-duty service members at postsecondary institutions</w:t>
      </w:r>
      <w:r w:rsidR="000D7302">
        <w:t>.  The</w:t>
      </w:r>
      <w:r>
        <w:t xml:space="preserve"> </w:t>
      </w:r>
      <w:r w:rsidR="000D7302">
        <w:t>pr</w:t>
      </w:r>
      <w:r>
        <w:t xml:space="preserve">oposed survey will assess the prevalence of support programs and services designed and offered specifically to these types of students such as </w:t>
      </w:r>
      <w:r w:rsidR="005177A8">
        <w:t xml:space="preserve">customized information about </w:t>
      </w:r>
      <w:r>
        <w:t>financial</w:t>
      </w:r>
      <w:r w:rsidR="005177A8">
        <w:t xml:space="preserve"> education benefits</w:t>
      </w:r>
      <w:r>
        <w:t>,</w:t>
      </w:r>
      <w:r w:rsidR="005177A8">
        <w:t xml:space="preserve"> customized or addit</w:t>
      </w:r>
      <w:r w:rsidR="008C0D8A">
        <w:t>i</w:t>
      </w:r>
      <w:r w:rsidR="005177A8">
        <w:t>onal</w:t>
      </w:r>
      <w:r>
        <w:t xml:space="preserve"> academic advising, career </w:t>
      </w:r>
      <w:r w:rsidR="005177A8">
        <w:t xml:space="preserve">planning/services, mental health </w:t>
      </w:r>
      <w:r>
        <w:t>counseling, and tutori</w:t>
      </w:r>
      <w:r w:rsidR="005177A8">
        <w:t>al assistance using VA educational benefits</w:t>
      </w:r>
      <w:r>
        <w:t xml:space="preserve">.  Other topics the survey addresses are </w:t>
      </w:r>
      <w:r w:rsidR="00A447C2">
        <w:t>what</w:t>
      </w:r>
      <w:r>
        <w:t xml:space="preserve"> institutions</w:t>
      </w:r>
      <w:r w:rsidR="00A447C2">
        <w:t>’ policies are for</w:t>
      </w:r>
      <w:r>
        <w:t xml:space="preserve"> </w:t>
      </w:r>
      <w:r w:rsidR="00A447C2">
        <w:t>charging veterans in-state tuition</w:t>
      </w:r>
      <w:r>
        <w:t xml:space="preserve">, </w:t>
      </w:r>
      <w:r w:rsidR="00A447C2">
        <w:t>what types of</w:t>
      </w:r>
      <w:r>
        <w:t xml:space="preserve"> students are tracked by institutions, and the availability </w:t>
      </w:r>
      <w:r w:rsidR="005177A8">
        <w:t xml:space="preserve">of </w:t>
      </w:r>
      <w:r>
        <w:t>training</w:t>
      </w:r>
      <w:r w:rsidR="005177A8">
        <w:t xml:space="preserve"> for</w:t>
      </w:r>
      <w:r>
        <w:t xml:space="preserve"> postsecondary staff members on issues specific to veterans and service members.</w:t>
      </w:r>
    </w:p>
    <w:p w:rsidR="007A3054" w:rsidRDefault="000D7302" w:rsidP="0028416B">
      <w:pPr>
        <w:pStyle w:val="SL-FlLftSgl"/>
        <w:ind w:firstLine="576"/>
        <w:jc w:val="left"/>
      </w:pPr>
      <w:r>
        <w:t xml:space="preserve"> </w:t>
      </w:r>
    </w:p>
    <w:p w:rsidR="008126EA" w:rsidRPr="0079689D" w:rsidRDefault="0017409E" w:rsidP="0028416B">
      <w:pPr>
        <w:pStyle w:val="SL-FlLftSgl"/>
        <w:ind w:firstLine="576"/>
        <w:jc w:val="left"/>
      </w:pPr>
      <w:r>
        <w:t xml:space="preserve">The </w:t>
      </w:r>
      <w:r w:rsidR="00934CFB">
        <w:t>PEQIS</w:t>
      </w:r>
      <w:r>
        <w:t xml:space="preserve"> survey is </w:t>
      </w:r>
      <w:r w:rsidR="00C17075" w:rsidRPr="0079689D">
        <w:t>authorized under the Education Science Reform Act of 2002</w:t>
      </w:r>
      <w:r>
        <w:t xml:space="preserve"> (ERSA 2002, 20 U.S.C. 95</w:t>
      </w:r>
      <w:r w:rsidR="00AE5E62">
        <w:t>4</w:t>
      </w:r>
      <w:r>
        <w:t>3</w:t>
      </w:r>
      <w:r w:rsidR="003B4565">
        <w:t>)</w:t>
      </w:r>
      <w:r>
        <w:t>, which authorizes NCES to collect and report statistical data related to education in the United States</w:t>
      </w:r>
      <w:r w:rsidR="00C17075" w:rsidRPr="0079689D">
        <w:t>.</w:t>
      </w:r>
      <w:r w:rsidR="002624E7" w:rsidRPr="0079689D">
        <w:rPr>
          <w:bCs/>
        </w:rPr>
        <w:t xml:space="preserve"> </w:t>
      </w:r>
      <w:r w:rsidR="0032206B">
        <w:rPr>
          <w:bCs/>
        </w:rPr>
        <w:t xml:space="preserve"> </w:t>
      </w:r>
      <w:r w:rsidR="0032206B" w:rsidRPr="0079689D">
        <w:rPr>
          <w:szCs w:val="22"/>
        </w:rPr>
        <w:t>NCES has contract</w:t>
      </w:r>
      <w:r w:rsidR="0032206B">
        <w:rPr>
          <w:szCs w:val="22"/>
        </w:rPr>
        <w:t>ed Westat for this survey.</w:t>
      </w:r>
    </w:p>
    <w:p w:rsidR="008126EA" w:rsidRDefault="008126EA" w:rsidP="0041340B">
      <w:pPr>
        <w:spacing w:after="0" w:line="240" w:lineRule="atLeast"/>
        <w:ind w:firstLine="576"/>
        <w:rPr>
          <w:rFonts w:ascii="Times New Roman" w:hAnsi="Times New Roman"/>
        </w:rPr>
      </w:pPr>
    </w:p>
    <w:p w:rsidR="008126EA" w:rsidRPr="0079689D" w:rsidRDefault="008126EA" w:rsidP="00817867">
      <w:pPr>
        <w:spacing w:after="120" w:line="240" w:lineRule="auto"/>
        <w:ind w:right="259"/>
        <w:rPr>
          <w:rFonts w:ascii="Times New Roman" w:hAnsi="Times New Roman"/>
          <w:b/>
          <w:sz w:val="28"/>
        </w:rPr>
      </w:pPr>
      <w:r w:rsidRPr="0079689D">
        <w:rPr>
          <w:rFonts w:ascii="Times New Roman" w:hAnsi="Times New Roman"/>
          <w:b/>
          <w:sz w:val="28"/>
        </w:rPr>
        <w:t>Design</w:t>
      </w:r>
    </w:p>
    <w:p w:rsidR="008126EA" w:rsidRPr="0079689D" w:rsidRDefault="008126EA" w:rsidP="00817867">
      <w:pPr>
        <w:pStyle w:val="SL-FlLftSgl"/>
        <w:spacing w:after="120" w:line="240" w:lineRule="auto"/>
        <w:rPr>
          <w:b/>
          <w:bCs/>
          <w:szCs w:val="22"/>
        </w:rPr>
      </w:pPr>
      <w:r w:rsidRPr="0079689D">
        <w:rPr>
          <w:b/>
          <w:bCs/>
          <w:szCs w:val="22"/>
        </w:rPr>
        <w:t xml:space="preserve">Overview of Survey Development </w:t>
      </w:r>
    </w:p>
    <w:p w:rsidR="00B51698" w:rsidRDefault="00226EDC" w:rsidP="0028416B">
      <w:pPr>
        <w:pStyle w:val="SL-FlLftSgl"/>
        <w:ind w:firstLine="576"/>
        <w:jc w:val="left"/>
      </w:pPr>
      <w:r>
        <w:t xml:space="preserve">The </w:t>
      </w:r>
      <w:r w:rsidR="00692B90">
        <w:t xml:space="preserve">survey </w:t>
      </w:r>
      <w:r w:rsidR="00692B90">
        <w:rPr>
          <w:szCs w:val="22"/>
        </w:rPr>
        <w:t>reflects</w:t>
      </w:r>
      <w:r w:rsidR="001B5C13">
        <w:rPr>
          <w:szCs w:val="22"/>
        </w:rPr>
        <w:t xml:space="preserve"> </w:t>
      </w:r>
      <w:r w:rsidR="00692B90" w:rsidRPr="0079689D">
        <w:rPr>
          <w:bCs/>
        </w:rPr>
        <w:t>topics and issues identified through literature review</w:t>
      </w:r>
      <w:r w:rsidR="00692B90">
        <w:rPr>
          <w:bCs/>
        </w:rPr>
        <w:t xml:space="preserve">, with modifications based on </w:t>
      </w:r>
      <w:r w:rsidR="00700B63">
        <w:rPr>
          <w:bCs/>
        </w:rPr>
        <w:t xml:space="preserve">three </w:t>
      </w:r>
      <w:r w:rsidR="00692B90">
        <w:rPr>
          <w:bCs/>
        </w:rPr>
        <w:t>rounds of feasibility calls</w:t>
      </w:r>
      <w:r w:rsidR="0080416C">
        <w:rPr>
          <w:bCs/>
        </w:rPr>
        <w:t xml:space="preserve"> and two </w:t>
      </w:r>
      <w:r w:rsidR="006553E8">
        <w:rPr>
          <w:bCs/>
        </w:rPr>
        <w:t xml:space="preserve">rounds of </w:t>
      </w:r>
      <w:r w:rsidR="0080416C">
        <w:rPr>
          <w:bCs/>
        </w:rPr>
        <w:t>pretest</w:t>
      </w:r>
      <w:r w:rsidR="006553E8">
        <w:rPr>
          <w:bCs/>
        </w:rPr>
        <w:t xml:space="preserve"> calls</w:t>
      </w:r>
      <w:r w:rsidR="00692B90">
        <w:rPr>
          <w:bCs/>
        </w:rPr>
        <w:t xml:space="preserve"> </w:t>
      </w:r>
      <w:r w:rsidR="003304AC">
        <w:rPr>
          <w:bCs/>
        </w:rPr>
        <w:t xml:space="preserve">(OMB# 1850-0803) </w:t>
      </w:r>
      <w:r w:rsidR="00692B90">
        <w:rPr>
          <w:bCs/>
        </w:rPr>
        <w:t xml:space="preserve">with </w:t>
      </w:r>
      <w:r w:rsidR="001B5C13">
        <w:rPr>
          <w:bCs/>
        </w:rPr>
        <w:t>college</w:t>
      </w:r>
      <w:r w:rsidR="00692B90">
        <w:rPr>
          <w:bCs/>
        </w:rPr>
        <w:t xml:space="preserve"> personnel most knowledgeable about </w:t>
      </w:r>
      <w:r w:rsidR="001B5C13">
        <w:rPr>
          <w:bCs/>
        </w:rPr>
        <w:t>services and programs for military service members and veterans</w:t>
      </w:r>
      <w:r w:rsidR="00692B90">
        <w:rPr>
          <w:bCs/>
        </w:rPr>
        <w:t xml:space="preserve">. </w:t>
      </w:r>
      <w:r w:rsidR="00A86392">
        <w:t>Three</w:t>
      </w:r>
      <w:r w:rsidR="00912C21">
        <w:t xml:space="preserve"> rounds of feasibility calls, </w:t>
      </w:r>
      <w:r w:rsidR="006A4632">
        <w:t>two with</w:t>
      </w:r>
      <w:r w:rsidR="00912C21">
        <w:t xml:space="preserve"> nine respondents, </w:t>
      </w:r>
      <w:r w:rsidR="006A4632">
        <w:t xml:space="preserve">and one with seven respondents, </w:t>
      </w:r>
      <w:r w:rsidR="00912C21">
        <w:t xml:space="preserve">were conducted </w:t>
      </w:r>
      <w:r w:rsidR="006A4632">
        <w:t>from August through November</w:t>
      </w:r>
      <w:r w:rsidR="00912C21">
        <w:t xml:space="preserve"> 201</w:t>
      </w:r>
      <w:r w:rsidR="004150A6">
        <w:t>2</w:t>
      </w:r>
      <w:r w:rsidR="00FB1AF5">
        <w:t xml:space="preserve"> (OMB# </w:t>
      </w:r>
      <w:r w:rsidR="00FB1AF5" w:rsidRPr="00FB1AF5">
        <w:t>1850-0803 v.</w:t>
      </w:r>
      <w:r w:rsidR="00570F30">
        <w:t>68</w:t>
      </w:r>
      <w:r w:rsidR="00FB1AF5">
        <w:t>)</w:t>
      </w:r>
      <w:r w:rsidR="00912C21">
        <w:t xml:space="preserve">. </w:t>
      </w:r>
      <w:r w:rsidR="00692B90">
        <w:t xml:space="preserve">The feasibility calls were used to explore potential new survey items, </w:t>
      </w:r>
      <w:r w:rsidR="003C06BC">
        <w:t xml:space="preserve">and </w:t>
      </w:r>
      <w:r w:rsidR="00692B90">
        <w:t>identify and correct issues with the content and format of the survey</w:t>
      </w:r>
      <w:r w:rsidR="003C06BC">
        <w:t xml:space="preserve"> before conducting the pretest. </w:t>
      </w:r>
      <w:r w:rsidR="00E12589">
        <w:t xml:space="preserve">Respondents were asked to review but not complete the questionnaire and then participate in a short telephone interview with Westat to provide feedback on the questionnaire. </w:t>
      </w:r>
      <w:r w:rsidR="00912C21">
        <w:t>The resulting draft of the questionnaire was then reviewed by the NCES Quality Review Board (QRB) and revised accordingly to prepare it for the pretest</w:t>
      </w:r>
      <w:r w:rsidR="003C06BC">
        <w:t xml:space="preserve">. </w:t>
      </w:r>
    </w:p>
    <w:p w:rsidR="00B51698" w:rsidRDefault="00B51698" w:rsidP="0028416B">
      <w:pPr>
        <w:pStyle w:val="SL-FlLftSgl"/>
        <w:ind w:firstLine="576"/>
        <w:jc w:val="left"/>
      </w:pPr>
    </w:p>
    <w:p w:rsidR="004E6E76" w:rsidRDefault="0080416C" w:rsidP="0028416B">
      <w:pPr>
        <w:pStyle w:val="SL-FlLftSgl"/>
        <w:ind w:firstLine="576"/>
        <w:jc w:val="left"/>
      </w:pPr>
      <w:r>
        <w:t xml:space="preserve">Two rounds of pretest calls, </w:t>
      </w:r>
      <w:r w:rsidR="006059B0">
        <w:t>one with</w:t>
      </w:r>
      <w:r>
        <w:t xml:space="preserve"> </w:t>
      </w:r>
      <w:r w:rsidR="006059B0">
        <w:t>eight</w:t>
      </w:r>
      <w:r>
        <w:t xml:space="preserve"> respondents and one with </w:t>
      </w:r>
      <w:r w:rsidR="006059B0">
        <w:t>nine</w:t>
      </w:r>
      <w:r>
        <w:t xml:space="preserve"> respondents, were conducted </w:t>
      </w:r>
      <w:r w:rsidR="001E397B">
        <w:t>from</w:t>
      </w:r>
      <w:r>
        <w:t xml:space="preserve"> </w:t>
      </w:r>
      <w:r w:rsidR="00A721D7">
        <w:t xml:space="preserve">January </w:t>
      </w:r>
      <w:r w:rsidR="001E397B">
        <w:t>through</w:t>
      </w:r>
      <w:r>
        <w:t xml:space="preserve"> </w:t>
      </w:r>
      <w:r w:rsidR="006059B0">
        <w:t>March</w:t>
      </w:r>
      <w:r>
        <w:t xml:space="preserve"> 201</w:t>
      </w:r>
      <w:r w:rsidR="006059B0">
        <w:t>3</w:t>
      </w:r>
      <w:r>
        <w:t xml:space="preserve"> (OMB# </w:t>
      </w:r>
      <w:r w:rsidRPr="00FB1AF5">
        <w:t>1850-0803 v.</w:t>
      </w:r>
      <w:r w:rsidR="00997FD3">
        <w:t>76</w:t>
      </w:r>
      <w:r>
        <w:t>).</w:t>
      </w:r>
      <w:r w:rsidR="00040ABB">
        <w:t xml:space="preserve">  </w:t>
      </w:r>
      <w:r w:rsidR="00E67B39">
        <w:t>In both rounds of pretest calls, r</w:t>
      </w:r>
      <w:r w:rsidR="009C44F8">
        <w:t xml:space="preserve">espondents were asked to complete the questionnaire and participate in a telephone debriefing with Westat to provide feedback on the questionnaire.  </w:t>
      </w:r>
      <w:r w:rsidR="00B51698">
        <w:t xml:space="preserve">Completed questionnaires were collected by fax prior to the debriefing with each respondent.  </w:t>
      </w:r>
      <w:r w:rsidR="00440A1F">
        <w:t xml:space="preserve">The purpose of the pretests was to verify that all questions and corresponding instructions were clear and unambiguous, to determine if the information would be readily accessible to respondents, and to determine whether the burden on respondents could be reduced further.  Changes to the questionnaires were made based on the feedback received from the pretests, and documented in </w:t>
      </w:r>
      <w:r w:rsidR="00447D95">
        <w:t>a memorandum</w:t>
      </w:r>
      <w:r w:rsidR="00440A1F">
        <w:t xml:space="preserve"> summarizing the pretest results</w:t>
      </w:r>
      <w:r w:rsidR="00E105CC">
        <w:t>. Changes from the draft reviewed by OMB for the pretest and the current draft are summarized in the</w:t>
      </w:r>
      <w:r w:rsidR="00447D95">
        <w:t xml:space="preserve"> crosswalk of changes between 1-8-13 and 3-18-13. </w:t>
      </w:r>
      <w:r w:rsidR="00440A1F">
        <w:t>The revised questionnaire (Attachmen</w:t>
      </w:r>
      <w:r w:rsidR="006478ED">
        <w:t>t 1) is being submitted with this</w:t>
      </w:r>
      <w:r w:rsidR="00440A1F">
        <w:t xml:space="preserve"> request for OMB clearance.  </w:t>
      </w:r>
    </w:p>
    <w:p w:rsidR="002318D8" w:rsidRDefault="002318D8" w:rsidP="00323831">
      <w:pPr>
        <w:spacing w:after="0" w:line="240" w:lineRule="auto"/>
        <w:rPr>
          <w:rFonts w:ascii="Times New Roman" w:hAnsi="Times New Roman"/>
          <w:b/>
        </w:rPr>
      </w:pPr>
    </w:p>
    <w:p w:rsidR="00642F75" w:rsidRDefault="00642F75">
      <w:pPr>
        <w:spacing w:after="0" w:line="240" w:lineRule="auto"/>
        <w:rPr>
          <w:rFonts w:ascii="Times New Roman" w:eastAsia="Times New Roman" w:hAnsi="Times New Roman"/>
          <w:b/>
          <w:bCs/>
        </w:rPr>
      </w:pPr>
      <w:r>
        <w:rPr>
          <w:b/>
          <w:bCs/>
        </w:rPr>
        <w:br w:type="page"/>
      </w:r>
    </w:p>
    <w:p w:rsidR="002318D8" w:rsidRPr="0079689D" w:rsidRDefault="002318D8" w:rsidP="00817867">
      <w:pPr>
        <w:pStyle w:val="SL-FlLftSgl"/>
        <w:overflowPunct/>
        <w:autoSpaceDE/>
        <w:autoSpaceDN/>
        <w:adjustRightInd/>
        <w:spacing w:after="120" w:line="240" w:lineRule="auto"/>
        <w:jc w:val="left"/>
        <w:textAlignment w:val="auto"/>
        <w:rPr>
          <w:b/>
          <w:bCs/>
          <w:szCs w:val="22"/>
        </w:rPr>
      </w:pPr>
      <w:r>
        <w:rPr>
          <w:b/>
          <w:bCs/>
          <w:szCs w:val="22"/>
        </w:rPr>
        <w:lastRenderedPageBreak/>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rsidR="002318D8" w:rsidRPr="0079689D" w:rsidRDefault="0099255B" w:rsidP="0099255B">
      <w:pPr>
        <w:pStyle w:val="SP-SglSpPara"/>
        <w:rPr>
          <w:bCs/>
        </w:rPr>
      </w:pPr>
      <w:r w:rsidRPr="00416644">
        <w:t>The NCES QRB</w:t>
      </w:r>
      <w:r w:rsidRPr="00416644">
        <w:rPr>
          <w:bCs/>
        </w:rPr>
        <w:t xml:space="preserve">, </w:t>
      </w:r>
      <w:r>
        <w:rPr>
          <w:bCs/>
        </w:rPr>
        <w:t>consisting of staff</w:t>
      </w:r>
      <w:r w:rsidRPr="00416644">
        <w:rPr>
          <w:bCs/>
        </w:rPr>
        <w:t xml:space="preserve"> from the NCES Integrated Postsecondary Education Data System (IPEDS</w:t>
      </w:r>
      <w:r w:rsidR="003A48A9" w:rsidRPr="00416644">
        <w:rPr>
          <w:bCs/>
        </w:rPr>
        <w:t>)</w:t>
      </w:r>
      <w:r w:rsidR="003A48A9">
        <w:rPr>
          <w:bCs/>
        </w:rPr>
        <w:t xml:space="preserve"> and other postsecondary survey</w:t>
      </w:r>
      <w:r w:rsidR="00364C55">
        <w:rPr>
          <w:bCs/>
        </w:rPr>
        <w:t>s</w:t>
      </w:r>
      <w:r w:rsidR="003A48A9">
        <w:rPr>
          <w:bCs/>
        </w:rPr>
        <w:t xml:space="preserve"> (Jessica Shedd, Tara Lawley, and Matthew Soldner), </w:t>
      </w:r>
      <w:r w:rsidRPr="00416644">
        <w:rPr>
          <w:bCs/>
        </w:rPr>
        <w:t>the Office of Innovation and Improvement (OII) in the U.S. Department of Education</w:t>
      </w:r>
      <w:r w:rsidR="003A48A9">
        <w:rPr>
          <w:bCs/>
        </w:rPr>
        <w:t xml:space="preserve"> (Karen Gross and Charles Boyer)</w:t>
      </w:r>
      <w:r>
        <w:rPr>
          <w:bCs/>
        </w:rPr>
        <w:t>, and t</w:t>
      </w:r>
      <w:r w:rsidRPr="00416644">
        <w:rPr>
          <w:bCs/>
        </w:rPr>
        <w:t>he</w:t>
      </w:r>
      <w:r>
        <w:rPr>
          <w:bCs/>
        </w:rPr>
        <w:t xml:space="preserve"> U.S.</w:t>
      </w:r>
      <w:r w:rsidRPr="00416644">
        <w:rPr>
          <w:bCs/>
        </w:rPr>
        <w:t xml:space="preserve"> </w:t>
      </w:r>
      <w:r>
        <w:rPr>
          <w:bCs/>
        </w:rPr>
        <w:t xml:space="preserve">Department </w:t>
      </w:r>
      <w:r w:rsidRPr="00416644">
        <w:rPr>
          <w:bCs/>
        </w:rPr>
        <w:t>of Veterans Affairs (VA)</w:t>
      </w:r>
      <w:r w:rsidR="003A48A9">
        <w:rPr>
          <w:bCs/>
        </w:rPr>
        <w:t xml:space="preserve"> (Thomas Erickson)</w:t>
      </w:r>
      <w:r w:rsidRPr="00416644">
        <w:rPr>
          <w:bCs/>
        </w:rPr>
        <w:t xml:space="preserve"> </w:t>
      </w:r>
      <w:r w:rsidRPr="00416644">
        <w:t xml:space="preserve">reviewed </w:t>
      </w:r>
      <w:r w:rsidRPr="00416644">
        <w:rPr>
          <w:bCs/>
        </w:rPr>
        <w:t>a draft questionnaire</w:t>
      </w:r>
      <w:r w:rsidRPr="00416644">
        <w:t xml:space="preserve"> prior to</w:t>
      </w:r>
      <w:r>
        <w:t xml:space="preserve"> the feasibility calls, and again prior to</w:t>
      </w:r>
      <w:r w:rsidRPr="00416644">
        <w:t xml:space="preserve"> th</w:t>
      </w:r>
      <w:r w:rsidR="003A48A9">
        <w:t>e</w:t>
      </w:r>
      <w:r w:rsidRPr="00416644">
        <w:t xml:space="preserve"> submission for the</w:t>
      </w:r>
      <w:r w:rsidRPr="00416644">
        <w:rPr>
          <w:bCs/>
        </w:rPr>
        <w:t xml:space="preserve"> pretest</w:t>
      </w:r>
      <w:r>
        <w:rPr>
          <w:bCs/>
        </w:rPr>
        <w:t xml:space="preserve"> calls. </w:t>
      </w:r>
    </w:p>
    <w:p w:rsidR="002318D8" w:rsidRDefault="002318D8" w:rsidP="002318D8">
      <w:pPr>
        <w:spacing w:after="0" w:line="240" w:lineRule="atLeast"/>
        <w:rPr>
          <w:rFonts w:ascii="Times New Roman" w:hAnsi="Times New Roman"/>
          <w:bCs/>
        </w:rPr>
      </w:pPr>
    </w:p>
    <w:p w:rsidR="003B4565" w:rsidRDefault="003B4565" w:rsidP="00817867">
      <w:pPr>
        <w:spacing w:after="120" w:line="240" w:lineRule="auto"/>
        <w:rPr>
          <w:rFonts w:ascii="Times New Roman" w:hAnsi="Times New Roman"/>
          <w:b/>
        </w:rPr>
      </w:pPr>
      <w:r>
        <w:rPr>
          <w:rFonts w:ascii="Times New Roman" w:hAnsi="Times New Roman"/>
          <w:b/>
        </w:rPr>
        <w:t>Assurance of Confidentiality</w:t>
      </w:r>
    </w:p>
    <w:p w:rsidR="003B4565" w:rsidRDefault="003B4565" w:rsidP="00E637F3">
      <w:pPr>
        <w:pStyle w:val="SP-SglSpPara"/>
        <w:jc w:val="left"/>
      </w:pPr>
      <w:r>
        <w:t>Data to be collected will not be released to the public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  Respondent</w:t>
      </w:r>
      <w:r w:rsidR="009640FA">
        <w:t>s</w:t>
      </w:r>
      <w:r>
        <w:t xml:space="preserve"> will be assured that </w:t>
      </w:r>
      <w:r w:rsidR="00E637F3" w:rsidRPr="00E637F3">
        <w:t>their participation in the survey is voluntary and that their answers may be used only for statistical purposes and may not be disclosed, or used, in identifiable form for any other purpose unless otherwise compelled by law (Education Sciences Reform Act of 2002, 20 U.S.C. § 9573)</w:t>
      </w:r>
      <w:r>
        <w:t>.</w:t>
      </w:r>
    </w:p>
    <w:p w:rsidR="003B4565" w:rsidRDefault="003B4565" w:rsidP="0041340B">
      <w:pPr>
        <w:spacing w:after="0" w:line="240" w:lineRule="atLeast"/>
        <w:rPr>
          <w:rFonts w:ascii="Times New Roman" w:hAnsi="Times New Roman"/>
        </w:rPr>
      </w:pPr>
    </w:p>
    <w:p w:rsidR="008126EA" w:rsidRPr="0079689D" w:rsidRDefault="00EC5FF8" w:rsidP="00817867">
      <w:pPr>
        <w:spacing w:after="120" w:line="240" w:lineRule="auto"/>
        <w:rPr>
          <w:rFonts w:ascii="Times New Roman" w:hAnsi="Times New Roman"/>
          <w:b/>
        </w:rPr>
      </w:pPr>
      <w:r>
        <w:rPr>
          <w:rFonts w:ascii="Times New Roman" w:hAnsi="Times New Roman"/>
          <w:b/>
        </w:rPr>
        <w:t xml:space="preserve">Description of </w:t>
      </w:r>
      <w:r w:rsidR="008126EA" w:rsidRPr="00FC21D8">
        <w:rPr>
          <w:rFonts w:ascii="Times New Roman" w:hAnsi="Times New Roman"/>
          <w:b/>
        </w:rPr>
        <w:t>Sample</w:t>
      </w:r>
      <w:r>
        <w:rPr>
          <w:rFonts w:ascii="Times New Roman" w:hAnsi="Times New Roman"/>
          <w:b/>
        </w:rPr>
        <w:t xml:space="preserve"> and</w:t>
      </w:r>
      <w:r w:rsidR="008126EA" w:rsidRPr="00FC21D8">
        <w:rPr>
          <w:rFonts w:ascii="Times New Roman" w:hAnsi="Times New Roman"/>
          <w:b/>
        </w:rPr>
        <w:t xml:space="preserve"> Burden</w:t>
      </w:r>
    </w:p>
    <w:p w:rsidR="007C2C23" w:rsidRPr="0079689D" w:rsidRDefault="00EC7C1C" w:rsidP="0028416B">
      <w:pPr>
        <w:pStyle w:val="SP-SglSpPara"/>
        <w:jc w:val="left"/>
      </w:pPr>
      <w:r>
        <w:t xml:space="preserve">The proposed </w:t>
      </w:r>
      <w:r w:rsidR="00B773EB">
        <w:t>PEQIS survey will collect data from</w:t>
      </w:r>
      <w:r w:rsidR="00937F2C">
        <w:t xml:space="preserve"> the PEQIS panel,</w:t>
      </w:r>
      <w:r w:rsidR="00B773EB">
        <w:t xml:space="preserve"> a </w:t>
      </w:r>
      <w:r>
        <w:t>nationally representative sample of</w:t>
      </w:r>
      <w:r w:rsidR="00937F2C">
        <w:t xml:space="preserve"> approximately</w:t>
      </w:r>
      <w:r>
        <w:t xml:space="preserve"> 1,</w:t>
      </w:r>
      <w:r w:rsidR="00B773EB">
        <w:t>6</w:t>
      </w:r>
      <w:r>
        <w:t xml:space="preserve">00 </w:t>
      </w:r>
      <w:r w:rsidR="00B773EB">
        <w:t>4-year and 2-year Title IV degree-granting postsecondary institutions in the 50 states and the District of Columbia.</w:t>
      </w:r>
      <w:r>
        <w:t xml:space="preserve"> </w:t>
      </w:r>
      <w:r w:rsidR="00B773EB">
        <w:t xml:space="preserve">The PEQIS data collection will be accomplished by means of a self-administered survey.  Each respondent will have the option of completing the survey using a paper questionnaire or a Web version of the questionnaire. </w:t>
      </w:r>
      <w:r w:rsidR="008B5D57">
        <w:t>The questionnaire is limited to three pages of items readily available to respondents and can be completed by most respondents in 30 minutes or less.</w:t>
      </w:r>
      <w:r w:rsidR="00B773EB">
        <w:t xml:space="preserve">  These procedures are typical for PEQIS surveys and results in minimum burden on respondents.</w:t>
      </w:r>
    </w:p>
    <w:p w:rsidR="007C2C23" w:rsidRDefault="007C2C23" w:rsidP="0028416B">
      <w:pPr>
        <w:spacing w:after="0" w:line="240" w:lineRule="atLeast"/>
        <w:ind w:firstLine="576"/>
        <w:rPr>
          <w:rFonts w:ascii="Times New Roman" w:hAnsi="Times New Roman"/>
        </w:rPr>
      </w:pPr>
    </w:p>
    <w:p w:rsidR="006D7314" w:rsidRDefault="000032E1" w:rsidP="0028416B">
      <w:pPr>
        <w:pStyle w:val="SP-SglSpPara"/>
        <w:jc w:val="left"/>
      </w:pPr>
      <w:r>
        <w:t xml:space="preserve">Questionnaire packages, including information needed to access the Web survey, will be mailed to the </w:t>
      </w:r>
      <w:r w:rsidR="00B773EB">
        <w:t>PEQIS coordinator of institutions in the PEQIS panel</w:t>
      </w:r>
      <w:r w:rsidR="001773F6">
        <w:t xml:space="preserve"> </w:t>
      </w:r>
      <w:r>
        <w:t xml:space="preserve">in </w:t>
      </w:r>
      <w:r w:rsidR="00B773EB">
        <w:t>June</w:t>
      </w:r>
      <w:r>
        <w:t xml:space="preserve"> 201</w:t>
      </w:r>
      <w:r w:rsidR="001773F6">
        <w:t>3</w:t>
      </w:r>
      <w:r>
        <w:t xml:space="preserve">.  The </w:t>
      </w:r>
      <w:r w:rsidRPr="001D122A">
        <w:t xml:space="preserve">cover letter </w:t>
      </w:r>
      <w:r>
        <w:t xml:space="preserve">and questionnaire </w:t>
      </w:r>
      <w:r w:rsidRPr="001D122A">
        <w:t>will include a description of th</w:t>
      </w:r>
      <w:r>
        <w:t xml:space="preserve">e most appropriate respondent.  Follow-up for nonresponse will be conducted both by mail and telephone and will begin about 3 weeks after the questionnaires have been mailed to the </w:t>
      </w:r>
      <w:r w:rsidR="00B32787">
        <w:t>institutions</w:t>
      </w:r>
      <w:r>
        <w:t xml:space="preserve">.  Experienced telephone interviewers will be trained to conduct the nonresponse follow-up and will be monitored by Westat supervisory personnel. Telephone nonresponse follow-up is used to prompt respondents to complete </w:t>
      </w:r>
      <w:r w:rsidR="00262F37">
        <w:t xml:space="preserve">and submit </w:t>
      </w:r>
      <w:r>
        <w:t>the survey by web, mail, or fax and is expected to take about 5 minutes.</w:t>
      </w:r>
    </w:p>
    <w:p w:rsidR="00282FBC" w:rsidRDefault="00282FBC" w:rsidP="0028416B">
      <w:pPr>
        <w:pStyle w:val="SP-SglSpPara"/>
        <w:jc w:val="left"/>
      </w:pPr>
    </w:p>
    <w:p w:rsidR="00784B5C" w:rsidRPr="00AC2CDC" w:rsidRDefault="00784B5C" w:rsidP="00262F37">
      <w:pPr>
        <w:spacing w:after="120" w:line="240" w:lineRule="auto"/>
        <w:ind w:left="994" w:hanging="994"/>
        <w:rPr>
          <w:rFonts w:ascii="Times New Roman" w:hAnsi="Times New Roman"/>
          <w:b/>
        </w:rPr>
      </w:pPr>
      <w:r w:rsidRPr="00AC2CDC">
        <w:rPr>
          <w:rFonts w:ascii="Times New Roman" w:hAnsi="Times New Roman"/>
          <w:b/>
        </w:rPr>
        <w:t>Table 1.</w:t>
      </w:r>
      <w:r>
        <w:rPr>
          <w:rFonts w:ascii="Times New Roman" w:hAnsi="Times New Roman"/>
          <w:b/>
        </w:rPr>
        <w:tab/>
      </w:r>
      <w:r w:rsidRPr="00AC2CDC">
        <w:rPr>
          <w:rFonts w:ascii="Times New Roman" w:hAnsi="Times New Roman"/>
          <w:b/>
        </w:rPr>
        <w:t>Estimated burden for data co</w:t>
      </w:r>
      <w:r>
        <w:rPr>
          <w:rFonts w:ascii="Times New Roman" w:hAnsi="Times New Roman"/>
          <w:b/>
        </w:rPr>
        <w:t>llection and nonresponse follow-</w:t>
      </w:r>
      <w:r w:rsidRPr="00AC2CDC">
        <w:rPr>
          <w:rFonts w:ascii="Times New Roman" w:hAnsi="Times New Roman"/>
          <w:b/>
        </w:rPr>
        <w:t xml:space="preserve">up: </w:t>
      </w:r>
      <w:r w:rsidR="00D31AB3">
        <w:rPr>
          <w:rFonts w:ascii="Times New Roman" w:hAnsi="Times New Roman"/>
          <w:b/>
        </w:rPr>
        <w:t>PEQIS</w:t>
      </w:r>
      <w:r w:rsidRPr="00AC2CDC">
        <w:rPr>
          <w:rFonts w:ascii="Times New Roman" w:hAnsi="Times New Roman"/>
          <w:b/>
        </w:rPr>
        <w:t xml:space="preserve"> </w:t>
      </w:r>
      <w:r w:rsidR="007675FD">
        <w:rPr>
          <w:rFonts w:ascii="Times New Roman" w:hAnsi="Times New Roman"/>
          <w:b/>
        </w:rPr>
        <w:t>1</w:t>
      </w:r>
      <w:r w:rsidR="00D31AB3">
        <w:rPr>
          <w:rFonts w:ascii="Times New Roman" w:hAnsi="Times New Roman"/>
          <w:b/>
        </w:rPr>
        <w:t>9</w:t>
      </w:r>
    </w:p>
    <w:tbl>
      <w:tblPr>
        <w:tblStyle w:val="TableGrid"/>
        <w:tblW w:w="0" w:type="auto"/>
        <w:jc w:val="center"/>
        <w:tblBorders>
          <w:left w:val="none" w:sz="0" w:space="0" w:color="auto"/>
          <w:right w:val="none" w:sz="0" w:space="0" w:color="auto"/>
        </w:tblBorders>
        <w:tblLayout w:type="fixed"/>
        <w:tblLook w:val="04A0" w:firstRow="1" w:lastRow="0" w:firstColumn="1" w:lastColumn="0" w:noHBand="0" w:noVBand="1"/>
      </w:tblPr>
      <w:tblGrid>
        <w:gridCol w:w="2493"/>
        <w:gridCol w:w="927"/>
        <w:gridCol w:w="1206"/>
        <w:gridCol w:w="1206"/>
        <w:gridCol w:w="1206"/>
        <w:gridCol w:w="1206"/>
        <w:gridCol w:w="1206"/>
      </w:tblGrid>
      <w:tr w:rsidR="00784B5C" w:rsidRPr="00AC2CDC" w:rsidTr="00262F37">
        <w:trPr>
          <w:trHeight w:val="566"/>
          <w:jc w:val="center"/>
        </w:trPr>
        <w:tc>
          <w:tcPr>
            <w:tcW w:w="2493" w:type="dxa"/>
            <w:tcBorders>
              <w:bottom w:val="single" w:sz="4" w:space="0" w:color="000000" w:themeColor="text1"/>
            </w:tcBorders>
            <w:vAlign w:val="bottom"/>
          </w:tcPr>
          <w:p w:rsidR="00784B5C" w:rsidRPr="00AC2CDC" w:rsidRDefault="00784B5C" w:rsidP="00262F37">
            <w:pPr>
              <w:spacing w:after="0" w:line="240" w:lineRule="auto"/>
              <w:rPr>
                <w:rFonts w:ascii="Times New Roman" w:hAnsi="Times New Roman" w:cs="Times New Roman"/>
                <w:sz w:val="18"/>
                <w:szCs w:val="18"/>
              </w:rPr>
            </w:pPr>
            <w:r w:rsidRPr="00AC2CDC">
              <w:rPr>
                <w:rFonts w:ascii="Times New Roman" w:hAnsi="Times New Roman" w:cs="Times New Roman"/>
                <w:sz w:val="18"/>
                <w:szCs w:val="18"/>
              </w:rPr>
              <w:t>Type of collection</w:t>
            </w:r>
          </w:p>
        </w:tc>
        <w:tc>
          <w:tcPr>
            <w:tcW w:w="927" w:type="dxa"/>
            <w:tcBorders>
              <w:bottom w:val="single" w:sz="4" w:space="0" w:color="000000" w:themeColor="text1"/>
            </w:tcBorders>
            <w:vAlign w:val="bottom"/>
          </w:tcPr>
          <w:p w:rsidR="00784B5C" w:rsidRPr="00AC2CDC" w:rsidRDefault="00784B5C" w:rsidP="00262F37">
            <w:pPr>
              <w:spacing w:after="0" w:line="240" w:lineRule="auto"/>
              <w:jc w:val="right"/>
              <w:rPr>
                <w:rFonts w:ascii="Times New Roman" w:hAnsi="Times New Roman" w:cs="Times New Roman"/>
                <w:sz w:val="18"/>
                <w:szCs w:val="18"/>
              </w:rPr>
            </w:pPr>
            <w:r w:rsidRPr="00AC2CDC">
              <w:rPr>
                <w:rFonts w:ascii="Times New Roman" w:hAnsi="Times New Roman" w:cs="Times New Roman"/>
                <w:sz w:val="18"/>
                <w:szCs w:val="18"/>
              </w:rPr>
              <w:t>Sample size</w:t>
            </w:r>
          </w:p>
        </w:tc>
        <w:tc>
          <w:tcPr>
            <w:tcW w:w="1206" w:type="dxa"/>
            <w:tcBorders>
              <w:bottom w:val="single" w:sz="4" w:space="0" w:color="000000" w:themeColor="text1"/>
            </w:tcBorders>
            <w:vAlign w:val="bottom"/>
          </w:tcPr>
          <w:p w:rsidR="00784B5C" w:rsidRPr="00AC2CDC" w:rsidRDefault="00784B5C" w:rsidP="00262F37">
            <w:pPr>
              <w:spacing w:after="0" w:line="240" w:lineRule="auto"/>
              <w:jc w:val="right"/>
              <w:rPr>
                <w:rFonts w:ascii="Times New Roman" w:hAnsi="Times New Roman" w:cs="Times New Roman"/>
                <w:sz w:val="18"/>
                <w:szCs w:val="18"/>
              </w:rPr>
            </w:pPr>
            <w:r w:rsidRPr="00AC2CDC">
              <w:rPr>
                <w:rFonts w:ascii="Times New Roman" w:hAnsi="Times New Roman" w:cs="Times New Roman"/>
                <w:sz w:val="18"/>
                <w:szCs w:val="18"/>
              </w:rPr>
              <w:t>Estimated response rate (percent)</w:t>
            </w:r>
          </w:p>
        </w:tc>
        <w:tc>
          <w:tcPr>
            <w:tcW w:w="1206" w:type="dxa"/>
            <w:tcBorders>
              <w:bottom w:val="single" w:sz="4" w:space="0" w:color="000000" w:themeColor="text1"/>
            </w:tcBorders>
            <w:vAlign w:val="bottom"/>
          </w:tcPr>
          <w:p w:rsidR="00784B5C" w:rsidRPr="00AC2CDC" w:rsidRDefault="00784B5C" w:rsidP="00262F37">
            <w:pPr>
              <w:spacing w:after="0" w:line="240" w:lineRule="auto"/>
              <w:jc w:val="right"/>
              <w:rPr>
                <w:rFonts w:ascii="Times New Roman" w:hAnsi="Times New Roman" w:cs="Times New Roman"/>
                <w:sz w:val="18"/>
                <w:szCs w:val="18"/>
              </w:rPr>
            </w:pPr>
            <w:r w:rsidRPr="00AC2CDC">
              <w:rPr>
                <w:rFonts w:ascii="Times New Roman" w:hAnsi="Times New Roman" w:cs="Times New Roman"/>
                <w:sz w:val="18"/>
                <w:szCs w:val="18"/>
              </w:rPr>
              <w:t>Estimated number of respondents</w:t>
            </w:r>
          </w:p>
        </w:tc>
        <w:tc>
          <w:tcPr>
            <w:tcW w:w="1206" w:type="dxa"/>
            <w:tcBorders>
              <w:bottom w:val="single" w:sz="4" w:space="0" w:color="000000" w:themeColor="text1"/>
            </w:tcBorders>
            <w:vAlign w:val="bottom"/>
          </w:tcPr>
          <w:p w:rsidR="00784B5C" w:rsidRPr="00AC2CDC" w:rsidRDefault="00784B5C" w:rsidP="00262F37">
            <w:pPr>
              <w:spacing w:after="0" w:line="240" w:lineRule="auto"/>
              <w:jc w:val="right"/>
              <w:rPr>
                <w:rFonts w:ascii="Times New Roman" w:hAnsi="Times New Roman" w:cs="Times New Roman"/>
                <w:sz w:val="18"/>
                <w:szCs w:val="18"/>
              </w:rPr>
            </w:pPr>
            <w:r w:rsidRPr="00AC2CDC">
              <w:rPr>
                <w:rFonts w:ascii="Times New Roman" w:hAnsi="Times New Roman" w:cs="Times New Roman"/>
                <w:sz w:val="18"/>
                <w:szCs w:val="18"/>
              </w:rPr>
              <w:t>Estimated number of responses</w:t>
            </w:r>
          </w:p>
        </w:tc>
        <w:tc>
          <w:tcPr>
            <w:tcW w:w="1206" w:type="dxa"/>
            <w:tcBorders>
              <w:bottom w:val="single" w:sz="4" w:space="0" w:color="000000" w:themeColor="text1"/>
            </w:tcBorders>
            <w:vAlign w:val="bottom"/>
          </w:tcPr>
          <w:p w:rsidR="00784B5C" w:rsidRPr="00AC2CDC" w:rsidRDefault="00784B5C" w:rsidP="00262F37">
            <w:pPr>
              <w:spacing w:after="0" w:line="240" w:lineRule="auto"/>
              <w:jc w:val="right"/>
              <w:rPr>
                <w:rFonts w:ascii="Times New Roman" w:hAnsi="Times New Roman" w:cs="Times New Roman"/>
                <w:sz w:val="18"/>
                <w:szCs w:val="18"/>
              </w:rPr>
            </w:pPr>
            <w:r w:rsidRPr="00AC2CDC">
              <w:rPr>
                <w:rFonts w:ascii="Times New Roman" w:hAnsi="Times New Roman" w:cs="Times New Roman"/>
                <w:sz w:val="18"/>
                <w:szCs w:val="18"/>
              </w:rPr>
              <w:t>Total burden hours per respondent</w:t>
            </w:r>
          </w:p>
        </w:tc>
        <w:tc>
          <w:tcPr>
            <w:tcW w:w="1206" w:type="dxa"/>
            <w:tcBorders>
              <w:bottom w:val="single" w:sz="4" w:space="0" w:color="000000" w:themeColor="text1"/>
            </w:tcBorders>
            <w:vAlign w:val="bottom"/>
          </w:tcPr>
          <w:p w:rsidR="00784B5C" w:rsidRPr="00AC2CDC" w:rsidRDefault="00784B5C" w:rsidP="00262F37">
            <w:pPr>
              <w:spacing w:after="0" w:line="240" w:lineRule="auto"/>
              <w:jc w:val="right"/>
              <w:rPr>
                <w:rFonts w:ascii="Times New Roman" w:hAnsi="Times New Roman" w:cs="Times New Roman"/>
                <w:sz w:val="18"/>
                <w:szCs w:val="18"/>
              </w:rPr>
            </w:pPr>
            <w:r w:rsidRPr="00AC2CDC">
              <w:rPr>
                <w:rFonts w:ascii="Times New Roman" w:hAnsi="Times New Roman" w:cs="Times New Roman"/>
                <w:sz w:val="18"/>
                <w:szCs w:val="18"/>
              </w:rPr>
              <w:t>Respondent burden hours</w:t>
            </w:r>
          </w:p>
        </w:tc>
      </w:tr>
      <w:tr w:rsidR="000C2F15" w:rsidRPr="00AC2CDC" w:rsidTr="00262F37">
        <w:trPr>
          <w:trHeight w:val="247"/>
          <w:jc w:val="center"/>
        </w:trPr>
        <w:tc>
          <w:tcPr>
            <w:tcW w:w="2493" w:type="dxa"/>
            <w:tcBorders>
              <w:top w:val="nil"/>
              <w:bottom w:val="nil"/>
              <w:right w:val="nil"/>
            </w:tcBorders>
          </w:tcPr>
          <w:p w:rsidR="000C2F15" w:rsidRPr="00AC2CDC" w:rsidRDefault="000C2F15" w:rsidP="00262F37">
            <w:pPr>
              <w:tabs>
                <w:tab w:val="right" w:leader="dot" w:pos="1998"/>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Initial </w:t>
            </w:r>
            <w:r w:rsidR="00CD023C">
              <w:rPr>
                <w:rFonts w:ascii="Times New Roman" w:hAnsi="Times New Roman" w:cs="Times New Roman"/>
                <w:sz w:val="18"/>
                <w:szCs w:val="18"/>
              </w:rPr>
              <w:t>institution</w:t>
            </w:r>
            <w:r>
              <w:rPr>
                <w:rFonts w:ascii="Times New Roman" w:hAnsi="Times New Roman" w:cs="Times New Roman"/>
                <w:sz w:val="18"/>
                <w:szCs w:val="18"/>
              </w:rPr>
              <w:t xml:space="preserve"> contact </w:t>
            </w:r>
            <w:r>
              <w:rPr>
                <w:rFonts w:ascii="Times New Roman" w:hAnsi="Times New Roman" w:cs="Times New Roman"/>
                <w:sz w:val="18"/>
                <w:szCs w:val="18"/>
              </w:rPr>
              <w:tab/>
            </w:r>
          </w:p>
        </w:tc>
        <w:tc>
          <w:tcPr>
            <w:tcW w:w="927" w:type="dxa"/>
            <w:tcBorders>
              <w:top w:val="nil"/>
              <w:left w:val="nil"/>
              <w:bottom w:val="nil"/>
              <w:right w:val="nil"/>
            </w:tcBorders>
            <w:vAlign w:val="bottom"/>
          </w:tcPr>
          <w:p w:rsidR="000C2F15" w:rsidRPr="00AC2CDC" w:rsidRDefault="000C2F15" w:rsidP="00262F3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w:t>
            </w:r>
            <w:r w:rsidR="00603FC6">
              <w:rPr>
                <w:rFonts w:ascii="Times New Roman" w:hAnsi="Times New Roman" w:cs="Times New Roman"/>
                <w:sz w:val="18"/>
                <w:szCs w:val="18"/>
              </w:rPr>
              <w:t>60</w:t>
            </w:r>
            <w:r w:rsidRPr="00AC2CDC">
              <w:rPr>
                <w:rFonts w:ascii="Times New Roman" w:hAnsi="Times New Roman" w:cs="Times New Roman"/>
                <w:sz w:val="18"/>
                <w:szCs w:val="18"/>
              </w:rPr>
              <w:t>0</w:t>
            </w:r>
          </w:p>
        </w:tc>
        <w:tc>
          <w:tcPr>
            <w:tcW w:w="1206" w:type="dxa"/>
            <w:tcBorders>
              <w:top w:val="nil"/>
              <w:left w:val="nil"/>
              <w:bottom w:val="nil"/>
              <w:right w:val="nil"/>
            </w:tcBorders>
            <w:vAlign w:val="bottom"/>
          </w:tcPr>
          <w:p w:rsidR="000C2F15" w:rsidRPr="00AC2CDC" w:rsidRDefault="000C2F15" w:rsidP="00262F3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w:t>
            </w:r>
            <w:r w:rsidRPr="00AC2CDC">
              <w:rPr>
                <w:rFonts w:ascii="Times New Roman" w:hAnsi="Times New Roman" w:cs="Times New Roman"/>
                <w:sz w:val="18"/>
                <w:szCs w:val="18"/>
              </w:rPr>
              <w:t>0</w:t>
            </w:r>
            <w:r>
              <w:rPr>
                <w:rFonts w:ascii="Times New Roman" w:hAnsi="Times New Roman" w:cs="Times New Roman"/>
                <w:sz w:val="18"/>
                <w:szCs w:val="18"/>
              </w:rPr>
              <w:t>%</w:t>
            </w:r>
          </w:p>
        </w:tc>
        <w:tc>
          <w:tcPr>
            <w:tcW w:w="1206" w:type="dxa"/>
            <w:tcBorders>
              <w:top w:val="nil"/>
              <w:left w:val="nil"/>
              <w:bottom w:val="nil"/>
              <w:right w:val="nil"/>
            </w:tcBorders>
            <w:vAlign w:val="bottom"/>
          </w:tcPr>
          <w:p w:rsidR="000C2F15" w:rsidRPr="003B5029" w:rsidRDefault="000C2F15" w:rsidP="00262F37">
            <w:pPr>
              <w:spacing w:after="0" w:line="240" w:lineRule="auto"/>
              <w:jc w:val="right"/>
              <w:rPr>
                <w:rFonts w:ascii="Times New Roman" w:hAnsi="Times New Roman" w:cs="Times New Roman"/>
                <w:sz w:val="18"/>
                <w:szCs w:val="18"/>
              </w:rPr>
            </w:pPr>
            <w:r w:rsidRPr="003B5029">
              <w:rPr>
                <w:rFonts w:ascii="Times New Roman" w:hAnsi="Times New Roman" w:cs="Times New Roman"/>
                <w:sz w:val="18"/>
                <w:szCs w:val="18"/>
              </w:rPr>
              <w:t>1,</w:t>
            </w:r>
            <w:r w:rsidR="00603FC6">
              <w:rPr>
                <w:rFonts w:ascii="Times New Roman" w:hAnsi="Times New Roman" w:cs="Times New Roman"/>
                <w:sz w:val="18"/>
                <w:szCs w:val="18"/>
              </w:rPr>
              <w:t>60</w:t>
            </w:r>
            <w:r w:rsidRPr="003B5029">
              <w:rPr>
                <w:rFonts w:ascii="Times New Roman" w:hAnsi="Times New Roman" w:cs="Times New Roman"/>
                <w:sz w:val="18"/>
                <w:szCs w:val="18"/>
              </w:rPr>
              <w:t>0</w:t>
            </w:r>
          </w:p>
        </w:tc>
        <w:tc>
          <w:tcPr>
            <w:tcW w:w="1206" w:type="dxa"/>
            <w:tcBorders>
              <w:top w:val="nil"/>
              <w:left w:val="nil"/>
              <w:bottom w:val="nil"/>
              <w:right w:val="nil"/>
            </w:tcBorders>
            <w:vAlign w:val="bottom"/>
          </w:tcPr>
          <w:p w:rsidR="000C2F15" w:rsidRPr="00AC2CDC" w:rsidRDefault="000C2F15" w:rsidP="00262F37">
            <w:pPr>
              <w:spacing w:after="0" w:line="240" w:lineRule="auto"/>
              <w:jc w:val="right"/>
              <w:rPr>
                <w:rFonts w:ascii="Times New Roman" w:hAnsi="Times New Roman" w:cs="Times New Roman"/>
                <w:sz w:val="18"/>
                <w:szCs w:val="18"/>
              </w:rPr>
            </w:pPr>
            <w:r w:rsidRPr="00AC2CDC">
              <w:rPr>
                <w:rFonts w:ascii="Times New Roman" w:hAnsi="Times New Roman" w:cs="Times New Roman"/>
                <w:sz w:val="18"/>
                <w:szCs w:val="18"/>
              </w:rPr>
              <w:t>1,</w:t>
            </w:r>
            <w:r w:rsidR="00603FC6">
              <w:rPr>
                <w:rFonts w:ascii="Times New Roman" w:hAnsi="Times New Roman" w:cs="Times New Roman"/>
                <w:sz w:val="18"/>
                <w:szCs w:val="18"/>
              </w:rPr>
              <w:t>60</w:t>
            </w:r>
            <w:r>
              <w:rPr>
                <w:rFonts w:ascii="Times New Roman" w:hAnsi="Times New Roman" w:cs="Times New Roman"/>
                <w:sz w:val="18"/>
                <w:szCs w:val="18"/>
              </w:rPr>
              <w:t>0</w:t>
            </w:r>
          </w:p>
        </w:tc>
        <w:tc>
          <w:tcPr>
            <w:tcW w:w="1206" w:type="dxa"/>
            <w:tcBorders>
              <w:top w:val="nil"/>
              <w:left w:val="nil"/>
              <w:bottom w:val="nil"/>
              <w:right w:val="nil"/>
            </w:tcBorders>
            <w:vAlign w:val="bottom"/>
          </w:tcPr>
          <w:p w:rsidR="000C2F15" w:rsidRPr="00AC2CDC" w:rsidRDefault="000C2F15" w:rsidP="00262F37">
            <w:pPr>
              <w:tabs>
                <w:tab w:val="decimal" w:pos="639"/>
              </w:tabs>
              <w:spacing w:after="0" w:line="240" w:lineRule="auto"/>
              <w:jc w:val="both"/>
              <w:rPr>
                <w:rFonts w:ascii="Times New Roman" w:hAnsi="Times New Roman" w:cs="Times New Roman"/>
                <w:sz w:val="18"/>
                <w:szCs w:val="18"/>
              </w:rPr>
            </w:pPr>
            <w:r w:rsidRPr="00AC2CDC">
              <w:rPr>
                <w:rFonts w:ascii="Times New Roman" w:hAnsi="Times New Roman" w:cs="Times New Roman"/>
                <w:sz w:val="18"/>
                <w:szCs w:val="18"/>
              </w:rPr>
              <w:t>.</w:t>
            </w:r>
            <w:r>
              <w:rPr>
                <w:rFonts w:ascii="Times New Roman" w:hAnsi="Times New Roman" w:cs="Times New Roman"/>
                <w:sz w:val="18"/>
                <w:szCs w:val="18"/>
              </w:rPr>
              <w:t>083</w:t>
            </w:r>
          </w:p>
        </w:tc>
        <w:tc>
          <w:tcPr>
            <w:tcW w:w="1206" w:type="dxa"/>
            <w:tcBorders>
              <w:top w:val="nil"/>
              <w:left w:val="nil"/>
              <w:bottom w:val="nil"/>
            </w:tcBorders>
            <w:vAlign w:val="bottom"/>
          </w:tcPr>
          <w:p w:rsidR="000C2F15" w:rsidRPr="00AC2CDC" w:rsidRDefault="000C2F15" w:rsidP="00262F3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w:t>
            </w:r>
            <w:r w:rsidR="00603FC6">
              <w:rPr>
                <w:rFonts w:ascii="Times New Roman" w:hAnsi="Times New Roman" w:cs="Times New Roman"/>
                <w:sz w:val="18"/>
                <w:szCs w:val="18"/>
              </w:rPr>
              <w:t>33</w:t>
            </w:r>
          </w:p>
        </w:tc>
      </w:tr>
      <w:tr w:rsidR="000C2F15" w:rsidRPr="00AC2CDC" w:rsidTr="00262F37">
        <w:trPr>
          <w:trHeight w:val="247"/>
          <w:jc w:val="center"/>
        </w:trPr>
        <w:tc>
          <w:tcPr>
            <w:tcW w:w="2493" w:type="dxa"/>
            <w:tcBorders>
              <w:top w:val="nil"/>
              <w:bottom w:val="nil"/>
              <w:right w:val="nil"/>
            </w:tcBorders>
          </w:tcPr>
          <w:p w:rsidR="000C2F15" w:rsidRPr="00AC2CDC" w:rsidRDefault="000C2F15" w:rsidP="00262F37">
            <w:pPr>
              <w:tabs>
                <w:tab w:val="right" w:leader="dot" w:pos="1998"/>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Questionnaire </w:t>
            </w:r>
            <w:r>
              <w:rPr>
                <w:rFonts w:ascii="Times New Roman" w:hAnsi="Times New Roman" w:cs="Times New Roman"/>
                <w:sz w:val="18"/>
                <w:szCs w:val="18"/>
              </w:rPr>
              <w:tab/>
            </w:r>
          </w:p>
        </w:tc>
        <w:tc>
          <w:tcPr>
            <w:tcW w:w="927" w:type="dxa"/>
            <w:tcBorders>
              <w:top w:val="nil"/>
              <w:left w:val="nil"/>
              <w:bottom w:val="nil"/>
              <w:right w:val="nil"/>
            </w:tcBorders>
            <w:vAlign w:val="bottom"/>
          </w:tcPr>
          <w:p w:rsidR="000C2F15" w:rsidRPr="00AC2CDC" w:rsidRDefault="000C2F15" w:rsidP="00262F3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w:t>
            </w:r>
            <w:r w:rsidR="00603FC6">
              <w:rPr>
                <w:rFonts w:ascii="Times New Roman" w:hAnsi="Times New Roman" w:cs="Times New Roman"/>
                <w:sz w:val="18"/>
                <w:szCs w:val="18"/>
              </w:rPr>
              <w:t>6</w:t>
            </w:r>
            <w:r w:rsidRPr="00AC2CDC">
              <w:rPr>
                <w:rFonts w:ascii="Times New Roman" w:hAnsi="Times New Roman" w:cs="Times New Roman"/>
                <w:sz w:val="18"/>
                <w:szCs w:val="18"/>
              </w:rPr>
              <w:t>00</w:t>
            </w:r>
          </w:p>
        </w:tc>
        <w:tc>
          <w:tcPr>
            <w:tcW w:w="1206" w:type="dxa"/>
            <w:tcBorders>
              <w:top w:val="nil"/>
              <w:left w:val="nil"/>
              <w:bottom w:val="nil"/>
              <w:right w:val="nil"/>
            </w:tcBorders>
            <w:vAlign w:val="bottom"/>
          </w:tcPr>
          <w:p w:rsidR="000C2F15" w:rsidRPr="00AC2CDC" w:rsidRDefault="000C2F15" w:rsidP="00262F3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90%</w:t>
            </w:r>
          </w:p>
        </w:tc>
        <w:tc>
          <w:tcPr>
            <w:tcW w:w="1206" w:type="dxa"/>
            <w:tcBorders>
              <w:top w:val="nil"/>
              <w:left w:val="nil"/>
              <w:bottom w:val="nil"/>
              <w:right w:val="nil"/>
            </w:tcBorders>
            <w:vAlign w:val="bottom"/>
          </w:tcPr>
          <w:p w:rsidR="000C2F15" w:rsidRPr="00AC2CDC" w:rsidRDefault="000C2F15" w:rsidP="00262F3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w:t>
            </w:r>
            <w:r w:rsidR="00603FC6">
              <w:rPr>
                <w:rFonts w:ascii="Times New Roman" w:hAnsi="Times New Roman" w:cs="Times New Roman"/>
                <w:sz w:val="18"/>
                <w:szCs w:val="18"/>
              </w:rPr>
              <w:t>44</w:t>
            </w:r>
            <w:r>
              <w:rPr>
                <w:rFonts w:ascii="Times New Roman" w:hAnsi="Times New Roman" w:cs="Times New Roman"/>
                <w:sz w:val="18"/>
                <w:szCs w:val="18"/>
              </w:rPr>
              <w:t>0</w:t>
            </w:r>
          </w:p>
        </w:tc>
        <w:tc>
          <w:tcPr>
            <w:tcW w:w="1206" w:type="dxa"/>
            <w:tcBorders>
              <w:top w:val="nil"/>
              <w:left w:val="nil"/>
              <w:bottom w:val="nil"/>
              <w:right w:val="nil"/>
            </w:tcBorders>
            <w:vAlign w:val="bottom"/>
          </w:tcPr>
          <w:p w:rsidR="000C2F15" w:rsidRPr="00AC2CDC" w:rsidRDefault="000C2F15" w:rsidP="00262F3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w:t>
            </w:r>
            <w:r w:rsidR="00603FC6">
              <w:rPr>
                <w:rFonts w:ascii="Times New Roman" w:hAnsi="Times New Roman" w:cs="Times New Roman"/>
                <w:sz w:val="18"/>
                <w:szCs w:val="18"/>
              </w:rPr>
              <w:t>44</w:t>
            </w:r>
            <w:r>
              <w:rPr>
                <w:rFonts w:ascii="Times New Roman" w:hAnsi="Times New Roman" w:cs="Times New Roman"/>
                <w:sz w:val="18"/>
                <w:szCs w:val="18"/>
              </w:rPr>
              <w:t>0</w:t>
            </w:r>
          </w:p>
        </w:tc>
        <w:tc>
          <w:tcPr>
            <w:tcW w:w="1206" w:type="dxa"/>
            <w:tcBorders>
              <w:top w:val="nil"/>
              <w:left w:val="nil"/>
              <w:bottom w:val="nil"/>
              <w:right w:val="nil"/>
            </w:tcBorders>
            <w:vAlign w:val="bottom"/>
          </w:tcPr>
          <w:p w:rsidR="000C2F15" w:rsidRPr="00AC2CDC" w:rsidRDefault="000C2F15" w:rsidP="00262F37">
            <w:pPr>
              <w:tabs>
                <w:tab w:val="decimal" w:pos="639"/>
              </w:tabs>
              <w:spacing w:after="0" w:line="240" w:lineRule="auto"/>
              <w:jc w:val="both"/>
              <w:rPr>
                <w:rFonts w:ascii="Times New Roman" w:hAnsi="Times New Roman" w:cs="Times New Roman"/>
                <w:sz w:val="18"/>
                <w:szCs w:val="18"/>
              </w:rPr>
            </w:pPr>
            <w:r w:rsidRPr="00AC2CDC">
              <w:rPr>
                <w:rFonts w:ascii="Times New Roman" w:hAnsi="Times New Roman" w:cs="Times New Roman"/>
                <w:sz w:val="18"/>
                <w:szCs w:val="18"/>
              </w:rPr>
              <w:t>.50</w:t>
            </w:r>
            <w:r w:rsidR="009A59EF">
              <w:rPr>
                <w:rFonts w:ascii="Times New Roman" w:hAnsi="Times New Roman" w:cs="Times New Roman"/>
                <w:sz w:val="18"/>
                <w:szCs w:val="18"/>
              </w:rPr>
              <w:t>0</w:t>
            </w:r>
            <w:bookmarkStart w:id="0" w:name="_GoBack"/>
            <w:bookmarkEnd w:id="0"/>
          </w:p>
        </w:tc>
        <w:tc>
          <w:tcPr>
            <w:tcW w:w="1206" w:type="dxa"/>
            <w:tcBorders>
              <w:top w:val="nil"/>
              <w:left w:val="nil"/>
              <w:bottom w:val="nil"/>
            </w:tcBorders>
            <w:vAlign w:val="bottom"/>
          </w:tcPr>
          <w:p w:rsidR="000C2F15" w:rsidRPr="00AC2CDC" w:rsidRDefault="00603FC6" w:rsidP="00262F3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72</w:t>
            </w:r>
            <w:r w:rsidR="000C2F15">
              <w:rPr>
                <w:rFonts w:ascii="Times New Roman" w:hAnsi="Times New Roman" w:cs="Times New Roman"/>
                <w:sz w:val="18"/>
                <w:szCs w:val="18"/>
              </w:rPr>
              <w:t>0</w:t>
            </w:r>
          </w:p>
        </w:tc>
      </w:tr>
      <w:tr w:rsidR="000C2F15" w:rsidRPr="00AC2CDC" w:rsidTr="00262F37">
        <w:trPr>
          <w:trHeight w:val="262"/>
          <w:jc w:val="center"/>
        </w:trPr>
        <w:tc>
          <w:tcPr>
            <w:tcW w:w="2493" w:type="dxa"/>
            <w:tcBorders>
              <w:top w:val="nil"/>
              <w:bottom w:val="single" w:sz="4" w:space="0" w:color="000000" w:themeColor="text1"/>
              <w:right w:val="nil"/>
            </w:tcBorders>
          </w:tcPr>
          <w:p w:rsidR="000C2F15" w:rsidRPr="00AC2CDC" w:rsidRDefault="000C2F15" w:rsidP="00262F37">
            <w:pPr>
              <w:tabs>
                <w:tab w:val="right" w:leader="dot" w:pos="1998"/>
              </w:tabs>
              <w:spacing w:after="0" w:line="240" w:lineRule="auto"/>
              <w:rPr>
                <w:rFonts w:ascii="Times New Roman" w:hAnsi="Times New Roman" w:cs="Times New Roman"/>
                <w:sz w:val="18"/>
                <w:szCs w:val="18"/>
              </w:rPr>
            </w:pPr>
            <w:r w:rsidRPr="00AC2CDC">
              <w:rPr>
                <w:rFonts w:ascii="Times New Roman" w:hAnsi="Times New Roman" w:cs="Times New Roman"/>
                <w:sz w:val="18"/>
                <w:szCs w:val="18"/>
              </w:rPr>
              <w:t xml:space="preserve">Nonresponse </w:t>
            </w:r>
            <w:r>
              <w:rPr>
                <w:rFonts w:ascii="Times New Roman" w:hAnsi="Times New Roman" w:cs="Times New Roman"/>
                <w:sz w:val="18"/>
                <w:szCs w:val="18"/>
              </w:rPr>
              <w:t>follow-up</w:t>
            </w:r>
            <w:r w:rsidRPr="00AC2CDC">
              <w:rPr>
                <w:rFonts w:ascii="Times New Roman" w:hAnsi="Times New Roman" w:cs="Times New Roman"/>
                <w:sz w:val="18"/>
                <w:szCs w:val="18"/>
              </w:rPr>
              <w:t xml:space="preserve"> call</w:t>
            </w:r>
            <w:r>
              <w:rPr>
                <w:rFonts w:ascii="Times New Roman" w:hAnsi="Times New Roman" w:cs="Times New Roman"/>
                <w:sz w:val="18"/>
                <w:szCs w:val="18"/>
              </w:rPr>
              <w:tab/>
            </w:r>
          </w:p>
        </w:tc>
        <w:tc>
          <w:tcPr>
            <w:tcW w:w="927" w:type="dxa"/>
            <w:tcBorders>
              <w:top w:val="nil"/>
              <w:left w:val="nil"/>
              <w:bottom w:val="single" w:sz="4" w:space="0" w:color="000000" w:themeColor="text1"/>
              <w:right w:val="nil"/>
            </w:tcBorders>
            <w:vAlign w:val="bottom"/>
          </w:tcPr>
          <w:p w:rsidR="000C2F15" w:rsidRPr="00AC2CDC" w:rsidRDefault="000C2F15" w:rsidP="00262F3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w:t>
            </w:r>
            <w:r w:rsidR="00603FC6">
              <w:rPr>
                <w:rFonts w:ascii="Times New Roman" w:hAnsi="Times New Roman" w:cs="Times New Roman"/>
                <w:sz w:val="18"/>
                <w:szCs w:val="18"/>
              </w:rPr>
              <w:t>60</w:t>
            </w:r>
            <w:r w:rsidRPr="00AC2CDC">
              <w:rPr>
                <w:rFonts w:ascii="Times New Roman" w:hAnsi="Times New Roman" w:cs="Times New Roman"/>
                <w:sz w:val="18"/>
                <w:szCs w:val="18"/>
              </w:rPr>
              <w:t>0</w:t>
            </w:r>
          </w:p>
        </w:tc>
        <w:tc>
          <w:tcPr>
            <w:tcW w:w="1206" w:type="dxa"/>
            <w:tcBorders>
              <w:top w:val="nil"/>
              <w:left w:val="nil"/>
              <w:bottom w:val="single" w:sz="4" w:space="0" w:color="000000" w:themeColor="text1"/>
              <w:right w:val="nil"/>
            </w:tcBorders>
            <w:vAlign w:val="bottom"/>
          </w:tcPr>
          <w:p w:rsidR="000C2F15" w:rsidRPr="00AC2CDC" w:rsidRDefault="000C2F15" w:rsidP="00262F37">
            <w:pPr>
              <w:spacing w:after="0" w:line="240" w:lineRule="auto"/>
              <w:jc w:val="right"/>
              <w:rPr>
                <w:rFonts w:ascii="Times New Roman" w:hAnsi="Times New Roman" w:cs="Times New Roman"/>
                <w:sz w:val="18"/>
                <w:szCs w:val="18"/>
              </w:rPr>
            </w:pPr>
            <w:r w:rsidRPr="00AC2CDC">
              <w:rPr>
                <w:rFonts w:ascii="Times New Roman" w:hAnsi="Times New Roman" w:cs="Times New Roman"/>
                <w:sz w:val="18"/>
                <w:szCs w:val="18"/>
              </w:rPr>
              <w:t>75</w:t>
            </w:r>
            <w:r>
              <w:rPr>
                <w:rFonts w:ascii="Times New Roman" w:hAnsi="Times New Roman" w:cs="Times New Roman"/>
                <w:sz w:val="18"/>
                <w:szCs w:val="18"/>
              </w:rPr>
              <w:t>%</w:t>
            </w:r>
          </w:p>
        </w:tc>
        <w:tc>
          <w:tcPr>
            <w:tcW w:w="1206" w:type="dxa"/>
            <w:tcBorders>
              <w:top w:val="nil"/>
              <w:left w:val="nil"/>
              <w:bottom w:val="single" w:sz="4" w:space="0" w:color="000000" w:themeColor="text1"/>
              <w:right w:val="nil"/>
            </w:tcBorders>
            <w:vAlign w:val="bottom"/>
          </w:tcPr>
          <w:p w:rsidR="000C2F15" w:rsidRPr="00AC2CDC" w:rsidRDefault="000C2F15" w:rsidP="00262F3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w:t>
            </w:r>
            <w:r w:rsidR="00603FC6">
              <w:rPr>
                <w:rFonts w:ascii="Times New Roman" w:hAnsi="Times New Roman" w:cs="Times New Roman"/>
                <w:sz w:val="18"/>
                <w:szCs w:val="18"/>
              </w:rPr>
              <w:t>200</w:t>
            </w:r>
          </w:p>
        </w:tc>
        <w:tc>
          <w:tcPr>
            <w:tcW w:w="1206" w:type="dxa"/>
            <w:tcBorders>
              <w:top w:val="nil"/>
              <w:left w:val="nil"/>
              <w:bottom w:val="single" w:sz="4" w:space="0" w:color="000000" w:themeColor="text1"/>
              <w:right w:val="nil"/>
            </w:tcBorders>
            <w:vAlign w:val="bottom"/>
          </w:tcPr>
          <w:p w:rsidR="000C2F15" w:rsidRPr="00AC2CDC" w:rsidRDefault="000C2F15" w:rsidP="00262F3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w:t>
            </w:r>
            <w:r w:rsidR="00603FC6">
              <w:rPr>
                <w:rFonts w:ascii="Times New Roman" w:hAnsi="Times New Roman" w:cs="Times New Roman"/>
                <w:sz w:val="18"/>
                <w:szCs w:val="18"/>
              </w:rPr>
              <w:t>200</w:t>
            </w:r>
          </w:p>
        </w:tc>
        <w:tc>
          <w:tcPr>
            <w:tcW w:w="1206" w:type="dxa"/>
            <w:tcBorders>
              <w:top w:val="nil"/>
              <w:left w:val="nil"/>
              <w:bottom w:val="single" w:sz="4" w:space="0" w:color="000000" w:themeColor="text1"/>
              <w:right w:val="nil"/>
            </w:tcBorders>
            <w:vAlign w:val="bottom"/>
          </w:tcPr>
          <w:p w:rsidR="000C2F15" w:rsidRPr="00AC2CDC" w:rsidRDefault="000C2F15" w:rsidP="00262F37">
            <w:pPr>
              <w:tabs>
                <w:tab w:val="decimal" w:pos="639"/>
              </w:tabs>
              <w:spacing w:after="0" w:line="240" w:lineRule="auto"/>
              <w:jc w:val="both"/>
              <w:rPr>
                <w:rFonts w:ascii="Times New Roman" w:hAnsi="Times New Roman" w:cs="Times New Roman"/>
                <w:sz w:val="18"/>
                <w:szCs w:val="18"/>
              </w:rPr>
            </w:pPr>
            <w:r w:rsidRPr="00AC2CDC">
              <w:rPr>
                <w:rFonts w:ascii="Times New Roman" w:hAnsi="Times New Roman" w:cs="Times New Roman"/>
                <w:sz w:val="18"/>
                <w:szCs w:val="18"/>
              </w:rPr>
              <w:t>.083</w:t>
            </w:r>
          </w:p>
        </w:tc>
        <w:tc>
          <w:tcPr>
            <w:tcW w:w="1206" w:type="dxa"/>
            <w:tcBorders>
              <w:top w:val="nil"/>
              <w:left w:val="nil"/>
              <w:bottom w:val="single" w:sz="4" w:space="0" w:color="000000" w:themeColor="text1"/>
            </w:tcBorders>
            <w:vAlign w:val="bottom"/>
          </w:tcPr>
          <w:p w:rsidR="000C2F15" w:rsidRPr="00AC2CDC" w:rsidRDefault="00603FC6" w:rsidP="00262F3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100</w:t>
            </w:r>
          </w:p>
        </w:tc>
      </w:tr>
      <w:tr w:rsidR="00784B5C" w:rsidRPr="00AC2CDC" w:rsidTr="00262F37">
        <w:trPr>
          <w:trHeight w:val="262"/>
          <w:jc w:val="center"/>
        </w:trPr>
        <w:tc>
          <w:tcPr>
            <w:tcW w:w="2493" w:type="dxa"/>
            <w:tcBorders>
              <w:right w:val="nil"/>
            </w:tcBorders>
          </w:tcPr>
          <w:p w:rsidR="00784B5C" w:rsidRPr="00C07221" w:rsidRDefault="00784B5C" w:rsidP="00262F37">
            <w:pPr>
              <w:tabs>
                <w:tab w:val="right" w:leader="dot" w:pos="1998"/>
              </w:tabs>
              <w:spacing w:after="0" w:line="240" w:lineRule="auto"/>
              <w:rPr>
                <w:rFonts w:ascii="Times New Roman" w:hAnsi="Times New Roman" w:cs="Times New Roman"/>
                <w:b/>
                <w:sz w:val="18"/>
                <w:szCs w:val="18"/>
              </w:rPr>
            </w:pPr>
            <w:r w:rsidRPr="00C07221">
              <w:rPr>
                <w:rFonts w:ascii="Times New Roman" w:hAnsi="Times New Roman" w:cs="Times New Roman"/>
                <w:b/>
                <w:sz w:val="18"/>
                <w:szCs w:val="18"/>
              </w:rPr>
              <w:t>Total burden</w:t>
            </w:r>
            <w:r w:rsidRPr="00C07221">
              <w:rPr>
                <w:rFonts w:ascii="Times New Roman" w:hAnsi="Times New Roman" w:cs="Times New Roman"/>
                <w:b/>
                <w:sz w:val="18"/>
                <w:szCs w:val="18"/>
              </w:rPr>
              <w:tab/>
            </w:r>
          </w:p>
        </w:tc>
        <w:tc>
          <w:tcPr>
            <w:tcW w:w="927" w:type="dxa"/>
            <w:tcBorders>
              <w:left w:val="nil"/>
              <w:right w:val="nil"/>
            </w:tcBorders>
            <w:vAlign w:val="bottom"/>
          </w:tcPr>
          <w:p w:rsidR="00784B5C" w:rsidRPr="00C07221" w:rsidRDefault="00784B5C" w:rsidP="00262F37">
            <w:pPr>
              <w:spacing w:after="0" w:line="240" w:lineRule="auto"/>
              <w:jc w:val="right"/>
              <w:rPr>
                <w:rFonts w:ascii="Times New Roman" w:hAnsi="Times New Roman" w:cs="Times New Roman"/>
                <w:b/>
                <w:sz w:val="18"/>
                <w:szCs w:val="18"/>
              </w:rPr>
            </w:pPr>
            <w:r w:rsidRPr="00C07221">
              <w:rPr>
                <w:rFonts w:ascii="Times New Roman" w:hAnsi="Times New Roman" w:cs="Times New Roman"/>
                <w:b/>
                <w:sz w:val="18"/>
                <w:szCs w:val="18"/>
              </w:rPr>
              <w:t>-</w:t>
            </w:r>
          </w:p>
        </w:tc>
        <w:tc>
          <w:tcPr>
            <w:tcW w:w="1206" w:type="dxa"/>
            <w:tcBorders>
              <w:left w:val="nil"/>
              <w:right w:val="nil"/>
            </w:tcBorders>
            <w:vAlign w:val="bottom"/>
          </w:tcPr>
          <w:p w:rsidR="00784B5C" w:rsidRPr="00C07221" w:rsidRDefault="00784B5C" w:rsidP="00262F37">
            <w:pPr>
              <w:spacing w:after="0" w:line="240" w:lineRule="auto"/>
              <w:jc w:val="right"/>
              <w:rPr>
                <w:rFonts w:ascii="Times New Roman" w:hAnsi="Times New Roman" w:cs="Times New Roman"/>
                <w:b/>
                <w:sz w:val="18"/>
                <w:szCs w:val="18"/>
              </w:rPr>
            </w:pPr>
            <w:r w:rsidRPr="00C07221">
              <w:rPr>
                <w:rFonts w:ascii="Times New Roman" w:hAnsi="Times New Roman" w:cs="Times New Roman"/>
                <w:b/>
                <w:sz w:val="18"/>
                <w:szCs w:val="18"/>
              </w:rPr>
              <w:t>-</w:t>
            </w:r>
          </w:p>
        </w:tc>
        <w:tc>
          <w:tcPr>
            <w:tcW w:w="1206" w:type="dxa"/>
            <w:tcBorders>
              <w:left w:val="nil"/>
              <w:right w:val="nil"/>
            </w:tcBorders>
            <w:vAlign w:val="bottom"/>
          </w:tcPr>
          <w:p w:rsidR="00784B5C" w:rsidRPr="00C07221" w:rsidRDefault="004A0CAA" w:rsidP="00262F37">
            <w:pPr>
              <w:spacing w:after="0" w:line="240" w:lineRule="auto"/>
              <w:jc w:val="right"/>
              <w:rPr>
                <w:rFonts w:ascii="Times New Roman" w:hAnsi="Times New Roman" w:cs="Times New Roman"/>
                <w:b/>
                <w:sz w:val="18"/>
                <w:szCs w:val="18"/>
              </w:rPr>
            </w:pPr>
            <w:r w:rsidRPr="00C07221">
              <w:rPr>
                <w:rFonts w:ascii="Times New Roman" w:hAnsi="Times New Roman" w:cs="Times New Roman"/>
                <w:b/>
                <w:sz w:val="18"/>
                <w:szCs w:val="18"/>
              </w:rPr>
              <w:t>1,</w:t>
            </w:r>
            <w:r w:rsidR="003B5029" w:rsidRPr="00C07221">
              <w:rPr>
                <w:rFonts w:ascii="Times New Roman" w:hAnsi="Times New Roman" w:cs="Times New Roman"/>
                <w:b/>
                <w:sz w:val="18"/>
                <w:szCs w:val="18"/>
              </w:rPr>
              <w:t>6</w:t>
            </w:r>
            <w:r w:rsidR="00603FC6" w:rsidRPr="00C07221">
              <w:rPr>
                <w:rFonts w:ascii="Times New Roman" w:hAnsi="Times New Roman" w:cs="Times New Roman"/>
                <w:b/>
                <w:sz w:val="18"/>
                <w:szCs w:val="18"/>
              </w:rPr>
              <w:t>0</w:t>
            </w:r>
            <w:r w:rsidRPr="00C07221">
              <w:rPr>
                <w:rFonts w:ascii="Times New Roman" w:hAnsi="Times New Roman" w:cs="Times New Roman"/>
                <w:b/>
                <w:sz w:val="18"/>
                <w:szCs w:val="18"/>
              </w:rPr>
              <w:t>0</w:t>
            </w:r>
          </w:p>
        </w:tc>
        <w:tc>
          <w:tcPr>
            <w:tcW w:w="1206" w:type="dxa"/>
            <w:tcBorders>
              <w:left w:val="nil"/>
              <w:right w:val="nil"/>
            </w:tcBorders>
            <w:vAlign w:val="bottom"/>
          </w:tcPr>
          <w:p w:rsidR="00784B5C" w:rsidRPr="00C07221" w:rsidRDefault="004A0CAA" w:rsidP="00262F37">
            <w:pPr>
              <w:spacing w:after="0" w:line="240" w:lineRule="auto"/>
              <w:jc w:val="right"/>
              <w:rPr>
                <w:rFonts w:ascii="Times New Roman" w:hAnsi="Times New Roman" w:cs="Times New Roman"/>
                <w:b/>
                <w:sz w:val="18"/>
                <w:szCs w:val="18"/>
              </w:rPr>
            </w:pPr>
            <w:r w:rsidRPr="00C07221">
              <w:rPr>
                <w:rFonts w:ascii="Times New Roman" w:hAnsi="Times New Roman" w:cs="Times New Roman"/>
                <w:b/>
                <w:sz w:val="18"/>
                <w:szCs w:val="18"/>
              </w:rPr>
              <w:t>4,</w:t>
            </w:r>
            <w:r w:rsidR="00603FC6" w:rsidRPr="00C07221">
              <w:rPr>
                <w:rFonts w:ascii="Times New Roman" w:hAnsi="Times New Roman" w:cs="Times New Roman"/>
                <w:b/>
                <w:sz w:val="18"/>
                <w:szCs w:val="18"/>
              </w:rPr>
              <w:t>240</w:t>
            </w:r>
          </w:p>
        </w:tc>
        <w:tc>
          <w:tcPr>
            <w:tcW w:w="1206" w:type="dxa"/>
            <w:tcBorders>
              <w:left w:val="nil"/>
              <w:right w:val="nil"/>
            </w:tcBorders>
            <w:vAlign w:val="bottom"/>
          </w:tcPr>
          <w:p w:rsidR="00784B5C" w:rsidRPr="00C07221" w:rsidRDefault="00784B5C" w:rsidP="00262F37">
            <w:pPr>
              <w:tabs>
                <w:tab w:val="decimal" w:pos="639"/>
              </w:tabs>
              <w:spacing w:after="0" w:line="240" w:lineRule="auto"/>
              <w:jc w:val="both"/>
              <w:rPr>
                <w:rFonts w:ascii="Times New Roman" w:hAnsi="Times New Roman" w:cs="Times New Roman"/>
                <w:b/>
                <w:sz w:val="18"/>
                <w:szCs w:val="18"/>
              </w:rPr>
            </w:pPr>
            <w:r w:rsidRPr="00C07221">
              <w:rPr>
                <w:rFonts w:ascii="Times New Roman" w:hAnsi="Times New Roman" w:cs="Times New Roman"/>
                <w:b/>
                <w:sz w:val="18"/>
                <w:szCs w:val="18"/>
              </w:rPr>
              <w:t>-</w:t>
            </w:r>
          </w:p>
        </w:tc>
        <w:tc>
          <w:tcPr>
            <w:tcW w:w="1206" w:type="dxa"/>
            <w:tcBorders>
              <w:left w:val="nil"/>
            </w:tcBorders>
            <w:vAlign w:val="bottom"/>
          </w:tcPr>
          <w:p w:rsidR="00784B5C" w:rsidRPr="00C07221" w:rsidRDefault="00603FC6" w:rsidP="00262F37">
            <w:pPr>
              <w:spacing w:after="0" w:line="240" w:lineRule="auto"/>
              <w:jc w:val="right"/>
              <w:rPr>
                <w:rFonts w:ascii="Times New Roman" w:hAnsi="Times New Roman" w:cs="Times New Roman"/>
                <w:b/>
                <w:sz w:val="18"/>
                <w:szCs w:val="18"/>
              </w:rPr>
            </w:pPr>
            <w:r w:rsidRPr="00C07221">
              <w:rPr>
                <w:rFonts w:ascii="Times New Roman" w:hAnsi="Times New Roman" w:cs="Times New Roman"/>
                <w:b/>
                <w:sz w:val="18"/>
                <w:szCs w:val="18"/>
              </w:rPr>
              <w:t>9</w:t>
            </w:r>
            <w:r w:rsidR="004564A8" w:rsidRPr="00C07221">
              <w:rPr>
                <w:rFonts w:ascii="Times New Roman" w:hAnsi="Times New Roman" w:cs="Times New Roman"/>
                <w:b/>
                <w:sz w:val="18"/>
                <w:szCs w:val="18"/>
              </w:rPr>
              <w:t>5</w:t>
            </w:r>
            <w:r w:rsidRPr="00C07221">
              <w:rPr>
                <w:rFonts w:ascii="Times New Roman" w:hAnsi="Times New Roman" w:cs="Times New Roman"/>
                <w:b/>
                <w:sz w:val="18"/>
                <w:szCs w:val="18"/>
              </w:rPr>
              <w:t>3</w:t>
            </w:r>
          </w:p>
        </w:tc>
      </w:tr>
    </w:tbl>
    <w:p w:rsidR="008126EA" w:rsidRDefault="008126EA" w:rsidP="008A3557">
      <w:pPr>
        <w:spacing w:after="0" w:line="240" w:lineRule="atLeast"/>
        <w:ind w:firstLine="720"/>
        <w:rPr>
          <w:rFonts w:ascii="Times New Roman" w:hAnsi="Times New Roman"/>
        </w:rPr>
      </w:pPr>
    </w:p>
    <w:p w:rsidR="00262F37" w:rsidRDefault="00262F37" w:rsidP="00262F37">
      <w:pPr>
        <w:pStyle w:val="SP-SglSpPara"/>
        <w:jc w:val="left"/>
      </w:pPr>
      <w:r>
        <w:t>The estimated burden time for sampled institutions to review the introductory letter requesting their participation (initial contact) is 5 minutes per institution for a total of 133 respondent burden hours</w:t>
      </w:r>
      <w:r w:rsidRPr="001A0917">
        <w:t xml:space="preserve"> </w:t>
      </w:r>
      <w:r>
        <w:t xml:space="preserve">(table 1). The initial sample of 1,600 schools will yield about 1,440 completed questionnaires, assuming a response rate of 90 percent. Based on a response burden of approximately </w:t>
      </w:r>
      <w:r w:rsidRPr="00EC718D">
        <w:t>30 minutes per completed questionnaire, the estimated response burden to complete the sur</w:t>
      </w:r>
      <w:r>
        <w:t>vey is estimated to be about 720 hours.</w:t>
      </w:r>
      <w:r w:rsidRPr="0082101E">
        <w:rPr>
          <w:vertAlign w:val="superscript"/>
        </w:rPr>
        <w:footnoteReference w:id="1"/>
      </w:r>
      <w:r>
        <w:t xml:space="preserve"> It is anticipated that about 25 percent of the sample will have returned the completed survey before nonrespondent follow-up begins and about 75 percent of the sample (i.e., 1,200 institutions) will receive a nonresponse follow-up call that will take about 5 minutes. The </w:t>
      </w:r>
      <w:r>
        <w:lastRenderedPageBreak/>
        <w:t xml:space="preserve">total estimated burden time for nonresponse follow-up is about 100 hours. The total number of burden hours for data collection and nonresponse follow-up is about 953 hours. </w:t>
      </w:r>
    </w:p>
    <w:p w:rsidR="00490435" w:rsidRPr="0079689D" w:rsidRDefault="00490435" w:rsidP="008A3557">
      <w:pPr>
        <w:spacing w:after="0" w:line="240" w:lineRule="atLeast"/>
        <w:ind w:firstLine="720"/>
        <w:rPr>
          <w:rFonts w:ascii="Times New Roman" w:hAnsi="Times New Roman"/>
        </w:rPr>
      </w:pPr>
    </w:p>
    <w:p w:rsidR="009A63DB" w:rsidRPr="0079689D" w:rsidRDefault="009A63DB" w:rsidP="00817867">
      <w:pPr>
        <w:pStyle w:val="SL-FlLftSgl"/>
        <w:overflowPunct/>
        <w:autoSpaceDE/>
        <w:autoSpaceDN/>
        <w:adjustRightInd/>
        <w:spacing w:after="120" w:line="240" w:lineRule="auto"/>
        <w:jc w:val="left"/>
        <w:textAlignment w:val="auto"/>
        <w:rPr>
          <w:b/>
          <w:bCs/>
          <w:szCs w:val="22"/>
        </w:rPr>
      </w:pPr>
      <w:r>
        <w:rPr>
          <w:b/>
          <w:bCs/>
          <w:szCs w:val="22"/>
        </w:rPr>
        <w:t>Procedures and Data Collection Instrument</w:t>
      </w:r>
    </w:p>
    <w:p w:rsidR="000372C8" w:rsidRDefault="009A63DB" w:rsidP="0028416B">
      <w:pPr>
        <w:pStyle w:val="SP-SglSpPara"/>
        <w:jc w:val="left"/>
      </w:pPr>
      <w:r w:rsidRPr="00972C44">
        <w:t xml:space="preserve">A </w:t>
      </w:r>
      <w:r w:rsidR="00D76120">
        <w:t xml:space="preserve">questionnaire, cover letter </w:t>
      </w:r>
      <w:r w:rsidR="004127D7">
        <w:t xml:space="preserve">(Attachment </w:t>
      </w:r>
      <w:r w:rsidR="00D76120">
        <w:t>2</w:t>
      </w:r>
      <w:r w:rsidR="004127D7">
        <w:t xml:space="preserve">), </w:t>
      </w:r>
      <w:r w:rsidR="00D76120">
        <w:t>and Web information sheet</w:t>
      </w:r>
      <w:r w:rsidR="0063111E" w:rsidRPr="00972C44">
        <w:t xml:space="preserve"> (Attachment </w:t>
      </w:r>
      <w:r w:rsidR="00D76120">
        <w:t>3</w:t>
      </w:r>
      <w:r w:rsidR="0063111E" w:rsidRPr="00972C44">
        <w:t>)</w:t>
      </w:r>
      <w:r w:rsidR="00D76120">
        <w:t xml:space="preserve"> wil</w:t>
      </w:r>
      <w:r w:rsidR="004C61BB" w:rsidRPr="00972C44">
        <w:t>l</w:t>
      </w:r>
      <w:r w:rsidR="00D76120">
        <w:t xml:space="preserve"> be mailed to each institution in the PEQIS panel</w:t>
      </w:r>
      <w:r w:rsidR="008A37CF" w:rsidRPr="00972C44">
        <w:t xml:space="preserve">.  The </w:t>
      </w:r>
      <w:r w:rsidR="00D76120">
        <w:t>cover letter requests the participation of the institution and introduces the purpose and content of the survey</w:t>
      </w:r>
      <w:r w:rsidR="008A37CF">
        <w:t>.</w:t>
      </w:r>
      <w:r w:rsidR="008A37CF" w:rsidRPr="00972C44">
        <w:t xml:space="preserve"> </w:t>
      </w:r>
      <w:r w:rsidR="00D76120">
        <w:t xml:space="preserve">It also notes that the survey should be completed by the person </w:t>
      </w:r>
      <w:r w:rsidR="00425F69">
        <w:t xml:space="preserve">at the institution </w:t>
      </w:r>
      <w:r w:rsidR="00D76120">
        <w:t>most knowledgeable about services and support programs for military service members and veterans.</w:t>
      </w:r>
      <w:r w:rsidR="00224C2A" w:rsidRPr="00972C44">
        <w:t xml:space="preserve"> </w:t>
      </w:r>
      <w:r w:rsidR="00D76120">
        <w:t xml:space="preserve"> The cover letter also includes instructions on how to complete and return the survey, as well as contact information in case of questions.  The Web information sheet is included in the mailing to provide information about the option to complete a Web version of the survey. </w:t>
      </w:r>
      <w:r w:rsidR="00267ED4">
        <w:t>Confidentiality and voluntary language</w:t>
      </w:r>
      <w:r w:rsidR="000372C8" w:rsidRPr="00972C44">
        <w:t xml:space="preserve"> is cited on the cover letter and the front page of the survey</w:t>
      </w:r>
      <w:r w:rsidR="001248E5" w:rsidRPr="00972C44">
        <w:t xml:space="preserve">.  </w:t>
      </w:r>
      <w:r w:rsidR="005E5F08">
        <w:t>All sampled institutions that do not complete a</w:t>
      </w:r>
      <w:r w:rsidR="000372C8">
        <w:t xml:space="preserve"> survey within 3 weeks after the initial mailing</w:t>
      </w:r>
      <w:r w:rsidR="005E5F08">
        <w:t xml:space="preserve"> of the survey will receive a nonresponse follow-up letter (Attachment 4), another copy of the Web information sheet, and a brief, scripted telephone call (Attachment 5) prompting the respondent to return a completed survey via the Web, fax or mail</w:t>
      </w:r>
      <w:r w:rsidR="000372C8">
        <w:t xml:space="preserve">. </w:t>
      </w:r>
    </w:p>
    <w:p w:rsidR="00972C44" w:rsidRDefault="00972C44" w:rsidP="00972C44">
      <w:pPr>
        <w:pStyle w:val="SP-SglSpPara"/>
      </w:pPr>
    </w:p>
    <w:p w:rsidR="008126EA" w:rsidRPr="0079689D" w:rsidRDefault="00CC5714" w:rsidP="00817867">
      <w:pPr>
        <w:pStyle w:val="SP-SglSpPara"/>
        <w:overflowPunct/>
        <w:autoSpaceDE/>
        <w:autoSpaceDN/>
        <w:adjustRightInd/>
        <w:spacing w:after="120" w:line="240" w:lineRule="auto"/>
        <w:ind w:firstLine="0"/>
        <w:jc w:val="left"/>
        <w:textAlignment w:val="auto"/>
        <w:rPr>
          <w:b/>
          <w:szCs w:val="22"/>
        </w:rPr>
      </w:pPr>
      <w:r w:rsidRPr="00147251">
        <w:rPr>
          <w:b/>
          <w:szCs w:val="22"/>
        </w:rPr>
        <w:t>Questionnaire</w:t>
      </w:r>
    </w:p>
    <w:p w:rsidR="009B0223" w:rsidRPr="0079689D" w:rsidRDefault="006C164B" w:rsidP="0028416B">
      <w:pPr>
        <w:pStyle w:val="SP-SglSpPara"/>
        <w:jc w:val="left"/>
        <w:rPr>
          <w:szCs w:val="22"/>
        </w:rPr>
      </w:pPr>
      <w:r w:rsidRPr="007D6D6C">
        <w:rPr>
          <w:szCs w:val="22"/>
        </w:rPr>
        <w:t xml:space="preserve">The </w:t>
      </w:r>
      <w:r w:rsidR="00C217F9" w:rsidRPr="007D6D6C">
        <w:rPr>
          <w:szCs w:val="22"/>
        </w:rPr>
        <w:t xml:space="preserve">questionnaire </w:t>
      </w:r>
      <w:r w:rsidRPr="007D6D6C">
        <w:rPr>
          <w:szCs w:val="22"/>
        </w:rPr>
        <w:t xml:space="preserve">is designed to collect information on the </w:t>
      </w:r>
      <w:r w:rsidR="00FC2FBB" w:rsidRPr="007D6D6C">
        <w:rPr>
          <w:szCs w:val="22"/>
        </w:rPr>
        <w:t xml:space="preserve">services and support programs </w:t>
      </w:r>
      <w:r w:rsidR="00C048B1" w:rsidRPr="007D6D6C">
        <w:rPr>
          <w:szCs w:val="22"/>
        </w:rPr>
        <w:t>available to students who are military service members and veterans at the postsecondary institution. The time frame for the survey is the 12-month 2012</w:t>
      </w:r>
      <w:r w:rsidR="00BA36EE">
        <w:rPr>
          <w:szCs w:val="22"/>
        </w:rPr>
        <w:t>–</w:t>
      </w:r>
      <w:r w:rsidR="00C048B1" w:rsidRPr="007D6D6C">
        <w:rPr>
          <w:szCs w:val="22"/>
        </w:rPr>
        <w:t>13 academic year, except for questions 24</w:t>
      </w:r>
      <w:r w:rsidR="00BA36EE">
        <w:rPr>
          <w:szCs w:val="22"/>
        </w:rPr>
        <w:t>–</w:t>
      </w:r>
      <w:r w:rsidR="00C048B1" w:rsidRPr="007D6D6C">
        <w:rPr>
          <w:szCs w:val="22"/>
        </w:rPr>
        <w:t>28</w:t>
      </w:r>
      <w:r w:rsidR="00273BB8">
        <w:rPr>
          <w:szCs w:val="22"/>
        </w:rPr>
        <w:t>,</w:t>
      </w:r>
      <w:r w:rsidR="00C048B1" w:rsidRPr="007D6D6C">
        <w:rPr>
          <w:szCs w:val="22"/>
        </w:rPr>
        <w:t xml:space="preserve"> which ask about enrollment during the fall of 2012.  A definition is provided prior to question 1 to clarify the types of students included in the survey.  This definition is based on Executive Order 13607 which refers to support for, “active-duty service members, reservists, members of the National Guard, veterans, and military families.” </w:t>
      </w:r>
      <w:r w:rsidR="009B0223" w:rsidRPr="007D6D6C">
        <w:rPr>
          <w:szCs w:val="22"/>
        </w:rPr>
        <w:t>The instrument is discussed below.</w:t>
      </w:r>
    </w:p>
    <w:p w:rsidR="003A1120" w:rsidRDefault="003A1120" w:rsidP="0028416B">
      <w:pPr>
        <w:pStyle w:val="SP-SglSpPara"/>
        <w:jc w:val="left"/>
      </w:pPr>
    </w:p>
    <w:p w:rsidR="008126EA" w:rsidRPr="0079689D" w:rsidRDefault="00273BB8" w:rsidP="0028416B">
      <w:pPr>
        <w:pStyle w:val="SP-SglSpPara"/>
        <w:jc w:val="left"/>
        <w:rPr>
          <w:szCs w:val="22"/>
        </w:rPr>
      </w:pPr>
      <w:r>
        <w:rPr>
          <w:szCs w:val="22"/>
        </w:rPr>
        <w:t xml:space="preserve">Question 1 </w:t>
      </w:r>
      <w:r w:rsidR="00E77ABD">
        <w:rPr>
          <w:szCs w:val="22"/>
        </w:rPr>
        <w:t xml:space="preserve">asks </w:t>
      </w:r>
      <w:r w:rsidR="00EB479A">
        <w:rPr>
          <w:szCs w:val="22"/>
        </w:rPr>
        <w:t>whether</w:t>
      </w:r>
      <w:r w:rsidR="00E77ABD">
        <w:rPr>
          <w:szCs w:val="22"/>
        </w:rPr>
        <w:t xml:space="preserve"> the institution enrolled any military service members, veterans, or dependents of military service members and veterans during the 12-month 2012</w:t>
      </w:r>
      <w:r w:rsidR="0046372B">
        <w:rPr>
          <w:szCs w:val="22"/>
        </w:rPr>
        <w:t>–</w:t>
      </w:r>
      <w:r w:rsidR="00E77ABD">
        <w:rPr>
          <w:szCs w:val="22"/>
        </w:rPr>
        <w:t xml:space="preserve">13 academic year.  Respondents that answer “no” are asked to return the survey without answering any additional questions. </w:t>
      </w:r>
      <w:r w:rsidR="00EB479A">
        <w:rPr>
          <w:szCs w:val="22"/>
        </w:rPr>
        <w:t xml:space="preserve"> </w:t>
      </w:r>
    </w:p>
    <w:p w:rsidR="008126EA" w:rsidRPr="0079689D" w:rsidRDefault="008126EA" w:rsidP="0028416B">
      <w:pPr>
        <w:pStyle w:val="SP-SglSpPara"/>
        <w:jc w:val="left"/>
        <w:rPr>
          <w:szCs w:val="22"/>
        </w:rPr>
      </w:pPr>
    </w:p>
    <w:p w:rsidR="008126EA" w:rsidRDefault="006239E2" w:rsidP="0028416B">
      <w:pPr>
        <w:pStyle w:val="SP-SglSpPara"/>
        <w:jc w:val="left"/>
        <w:rPr>
          <w:szCs w:val="22"/>
        </w:rPr>
      </w:pPr>
      <w:r>
        <w:rPr>
          <w:szCs w:val="22"/>
        </w:rPr>
        <w:t xml:space="preserve">Question 2 </w:t>
      </w:r>
      <w:r w:rsidR="00C042A8" w:rsidRPr="00721D82">
        <w:rPr>
          <w:szCs w:val="22"/>
        </w:rPr>
        <w:t>asks if the institution uses specific methods to identify students who are military service members or veterans. This question gathers information about how postsecondary institutions are identifying these students. Based on the</w:t>
      </w:r>
      <w:r w:rsidR="00C042A8">
        <w:rPr>
          <w:szCs w:val="22"/>
        </w:rPr>
        <w:t xml:space="preserve"> pretest calls and</w:t>
      </w:r>
      <w:r w:rsidR="00C042A8" w:rsidRPr="00721D82">
        <w:rPr>
          <w:szCs w:val="22"/>
        </w:rPr>
        <w:t xml:space="preserve"> feasibility calls, this is different than who is included in the enrollment counts</w:t>
      </w:r>
      <w:r w:rsidR="007E0A92">
        <w:rPr>
          <w:szCs w:val="22"/>
        </w:rPr>
        <w:t>.</w:t>
      </w:r>
    </w:p>
    <w:p w:rsidR="00073C82" w:rsidRDefault="00073C82" w:rsidP="0028416B">
      <w:pPr>
        <w:pStyle w:val="SP-SglSpPara"/>
        <w:jc w:val="left"/>
        <w:rPr>
          <w:szCs w:val="22"/>
        </w:rPr>
      </w:pPr>
    </w:p>
    <w:p w:rsidR="003C5595" w:rsidRDefault="003C5595" w:rsidP="0028416B">
      <w:pPr>
        <w:pStyle w:val="SP-SglSpPara"/>
        <w:jc w:val="left"/>
        <w:rPr>
          <w:szCs w:val="22"/>
        </w:rPr>
      </w:pPr>
      <w:r>
        <w:rPr>
          <w:szCs w:val="22"/>
        </w:rPr>
        <w:t>Q</w:t>
      </w:r>
      <w:r w:rsidR="00D5153D">
        <w:rPr>
          <w:szCs w:val="22"/>
        </w:rPr>
        <w:t>uestion</w:t>
      </w:r>
      <w:r w:rsidR="00BA71FC">
        <w:rPr>
          <w:szCs w:val="22"/>
        </w:rPr>
        <w:t xml:space="preserve"> </w:t>
      </w:r>
      <w:r>
        <w:rPr>
          <w:szCs w:val="22"/>
        </w:rPr>
        <w:t xml:space="preserve">3 </w:t>
      </w:r>
      <w:r w:rsidR="00EE7432" w:rsidRPr="00721D82">
        <w:rPr>
          <w:szCs w:val="22"/>
        </w:rPr>
        <w:t>asks if the institution has a dedicated social space</w:t>
      </w:r>
      <w:r w:rsidR="00EE7432">
        <w:rPr>
          <w:szCs w:val="22"/>
        </w:rPr>
        <w:t xml:space="preserve"> for gathering</w:t>
      </w:r>
      <w:r w:rsidR="00EE7432" w:rsidRPr="00721D82">
        <w:rPr>
          <w:szCs w:val="22"/>
        </w:rPr>
        <w:t xml:space="preserve"> (e.g., </w:t>
      </w:r>
      <w:r w:rsidR="00EE7432">
        <w:rPr>
          <w:szCs w:val="22"/>
        </w:rPr>
        <w:t xml:space="preserve">a </w:t>
      </w:r>
      <w:r w:rsidR="00EE7432" w:rsidRPr="00721D82">
        <w:rPr>
          <w:szCs w:val="22"/>
        </w:rPr>
        <w:t xml:space="preserve">student lounge) reserved specifically for military service members and veterans. This question is included because some institutions are designating separate space(s) for military service members and veterans to gather to help with </w:t>
      </w:r>
      <w:r w:rsidR="00EE7432">
        <w:rPr>
          <w:szCs w:val="22"/>
        </w:rPr>
        <w:t xml:space="preserve">the </w:t>
      </w:r>
      <w:r w:rsidR="00EE7432" w:rsidRPr="00721D82">
        <w:rPr>
          <w:szCs w:val="22"/>
        </w:rPr>
        <w:t>transition</w:t>
      </w:r>
      <w:r w:rsidR="00EE7432">
        <w:rPr>
          <w:szCs w:val="22"/>
        </w:rPr>
        <w:t xml:space="preserve"> to civilian life</w:t>
      </w:r>
      <w:r w:rsidR="00EE7432" w:rsidRPr="00721D82">
        <w:rPr>
          <w:szCs w:val="22"/>
        </w:rPr>
        <w:t xml:space="preserve"> and</w:t>
      </w:r>
      <w:r w:rsidR="00EE7432">
        <w:rPr>
          <w:szCs w:val="22"/>
        </w:rPr>
        <w:t xml:space="preserve"> to</w:t>
      </w:r>
      <w:r w:rsidR="00EE7432" w:rsidRPr="00721D82">
        <w:rPr>
          <w:szCs w:val="22"/>
        </w:rPr>
        <w:t xml:space="preserve"> provide a place where they feel comfortable.</w:t>
      </w:r>
    </w:p>
    <w:p w:rsidR="003C5595" w:rsidRDefault="003C5595" w:rsidP="0028416B">
      <w:pPr>
        <w:pStyle w:val="SP-SglSpPara"/>
        <w:jc w:val="left"/>
        <w:rPr>
          <w:szCs w:val="22"/>
        </w:rPr>
      </w:pPr>
    </w:p>
    <w:p w:rsidR="002A24AC" w:rsidRDefault="003C5595" w:rsidP="0028416B">
      <w:pPr>
        <w:pStyle w:val="SP-SglSpPara"/>
        <w:jc w:val="left"/>
        <w:rPr>
          <w:szCs w:val="22"/>
        </w:rPr>
      </w:pPr>
      <w:r>
        <w:rPr>
          <w:szCs w:val="22"/>
        </w:rPr>
        <w:t>Question 4</w:t>
      </w:r>
      <w:r w:rsidR="00073C82">
        <w:rPr>
          <w:szCs w:val="22"/>
        </w:rPr>
        <w:t xml:space="preserve"> asks </w:t>
      </w:r>
      <w:r w:rsidR="001539AD">
        <w:rPr>
          <w:szCs w:val="22"/>
        </w:rPr>
        <w:t>if the institution has a student military or veteran organization for students</w:t>
      </w:r>
      <w:r w:rsidR="007E0A92">
        <w:rPr>
          <w:szCs w:val="22"/>
        </w:rPr>
        <w:t>.</w:t>
      </w:r>
      <w:r w:rsidR="001539AD">
        <w:rPr>
          <w:szCs w:val="22"/>
        </w:rPr>
        <w:t xml:space="preserve"> This question is included to find out about specific support groups available to assist in the integration of military service members and veterans into the postsecondary institution.</w:t>
      </w:r>
    </w:p>
    <w:p w:rsidR="007E4C8D" w:rsidRDefault="007E4C8D" w:rsidP="0028416B">
      <w:pPr>
        <w:pStyle w:val="SP-SglSpPara"/>
        <w:jc w:val="left"/>
        <w:rPr>
          <w:szCs w:val="22"/>
        </w:rPr>
      </w:pPr>
    </w:p>
    <w:p w:rsidR="007E4C8D" w:rsidRDefault="003C5595" w:rsidP="0028416B">
      <w:pPr>
        <w:pStyle w:val="SP-SglSpPara"/>
        <w:jc w:val="left"/>
        <w:rPr>
          <w:szCs w:val="22"/>
        </w:rPr>
      </w:pPr>
      <w:r>
        <w:rPr>
          <w:szCs w:val="22"/>
        </w:rPr>
        <w:t>Question 5</w:t>
      </w:r>
      <w:r w:rsidR="007E4C8D">
        <w:rPr>
          <w:szCs w:val="22"/>
        </w:rPr>
        <w:t xml:space="preserve"> </w:t>
      </w:r>
      <w:r w:rsidR="00A25874" w:rsidRPr="00721D82">
        <w:rPr>
          <w:szCs w:val="22"/>
        </w:rPr>
        <w:t xml:space="preserve">asks if the institution reserves university owned or operated housing (on or off-campus) specifically for military service members and veterans. This question is included because </w:t>
      </w:r>
      <w:r w:rsidR="00A25874">
        <w:rPr>
          <w:szCs w:val="22"/>
        </w:rPr>
        <w:t>one of the</w:t>
      </w:r>
      <w:r w:rsidR="00A25874" w:rsidRPr="00721D82">
        <w:rPr>
          <w:szCs w:val="22"/>
        </w:rPr>
        <w:t xml:space="preserve"> service</w:t>
      </w:r>
      <w:r w:rsidR="00A25874">
        <w:rPr>
          <w:szCs w:val="22"/>
        </w:rPr>
        <w:t>s</w:t>
      </w:r>
      <w:r w:rsidR="00A25874" w:rsidRPr="00721D82">
        <w:rPr>
          <w:szCs w:val="22"/>
        </w:rPr>
        <w:t xml:space="preserve"> an institution can provide to help with the transition to civilian life is to reserve sections of housing for military service members and veterans</w:t>
      </w:r>
      <w:r w:rsidR="00A25874">
        <w:rPr>
          <w:szCs w:val="22"/>
        </w:rPr>
        <w:t>.</w:t>
      </w:r>
      <w:r w:rsidR="00A25874" w:rsidRPr="00721D82">
        <w:rPr>
          <w:szCs w:val="22"/>
        </w:rPr>
        <w:t xml:space="preserve"> </w:t>
      </w:r>
      <w:r w:rsidR="00A25874">
        <w:rPr>
          <w:szCs w:val="22"/>
        </w:rPr>
        <w:t>T</w:t>
      </w:r>
      <w:r w:rsidR="00A25874" w:rsidRPr="00721D82">
        <w:rPr>
          <w:szCs w:val="22"/>
        </w:rPr>
        <w:t xml:space="preserve">hese students are typically older and </w:t>
      </w:r>
      <w:r w:rsidR="00A25874">
        <w:rPr>
          <w:szCs w:val="22"/>
        </w:rPr>
        <w:t>have</w:t>
      </w:r>
      <w:r w:rsidR="00A25874" w:rsidRPr="00721D82">
        <w:rPr>
          <w:szCs w:val="22"/>
        </w:rPr>
        <w:t xml:space="preserve"> different life experiences than other students in university owned or operated housing, and they may not feel comfortable sharing housing with many students in the general student population.</w:t>
      </w:r>
    </w:p>
    <w:p w:rsidR="007E4C8D" w:rsidRDefault="007E4C8D" w:rsidP="0028416B">
      <w:pPr>
        <w:pStyle w:val="SP-SglSpPara"/>
        <w:jc w:val="left"/>
        <w:rPr>
          <w:szCs w:val="22"/>
        </w:rPr>
      </w:pPr>
    </w:p>
    <w:p w:rsidR="002A24AC" w:rsidRDefault="003C5595" w:rsidP="0028416B">
      <w:pPr>
        <w:pStyle w:val="SP-SglSpPara"/>
        <w:jc w:val="left"/>
        <w:rPr>
          <w:szCs w:val="22"/>
        </w:rPr>
      </w:pPr>
      <w:r>
        <w:rPr>
          <w:szCs w:val="22"/>
        </w:rPr>
        <w:t>Question 6</w:t>
      </w:r>
      <w:r w:rsidR="007E4C8D">
        <w:rPr>
          <w:szCs w:val="22"/>
        </w:rPr>
        <w:t xml:space="preserve"> </w:t>
      </w:r>
      <w:r w:rsidR="001E2F1D" w:rsidRPr="00721D82">
        <w:rPr>
          <w:szCs w:val="22"/>
        </w:rPr>
        <w:t xml:space="preserve">asks if the institution provides customized information to individual military service members and veterans </w:t>
      </w:r>
      <w:r w:rsidR="001E2F1D">
        <w:rPr>
          <w:szCs w:val="22"/>
        </w:rPr>
        <w:t xml:space="preserve">about </w:t>
      </w:r>
      <w:r w:rsidR="001E2F1D" w:rsidRPr="00721D82">
        <w:rPr>
          <w:szCs w:val="22"/>
        </w:rPr>
        <w:t xml:space="preserve">both </w:t>
      </w:r>
      <w:r w:rsidR="001E2F1D">
        <w:rPr>
          <w:szCs w:val="22"/>
        </w:rPr>
        <w:t xml:space="preserve">the </w:t>
      </w:r>
      <w:r w:rsidR="001E2F1D" w:rsidRPr="00721D82">
        <w:rPr>
          <w:szCs w:val="22"/>
        </w:rPr>
        <w:t xml:space="preserve">military and non-military financial education benefits available to them. This question is included to find out whether institutions are providing information specifically geared towards students who are active duty military or veterans and their dependents, with the information </w:t>
      </w:r>
      <w:r w:rsidR="001E2F1D">
        <w:rPr>
          <w:szCs w:val="22"/>
        </w:rPr>
        <w:t xml:space="preserve">customized </w:t>
      </w:r>
      <w:r w:rsidR="001E2F1D" w:rsidRPr="00721D82">
        <w:rPr>
          <w:szCs w:val="22"/>
        </w:rPr>
        <w:t>for</w:t>
      </w:r>
      <w:r w:rsidR="0071788B">
        <w:rPr>
          <w:szCs w:val="22"/>
        </w:rPr>
        <w:t xml:space="preserve"> individuals in</w:t>
      </w:r>
      <w:r w:rsidR="001E2F1D" w:rsidRPr="00721D82">
        <w:rPr>
          <w:szCs w:val="22"/>
        </w:rPr>
        <w:t xml:space="preserve"> those groups. </w:t>
      </w:r>
    </w:p>
    <w:p w:rsidR="00F831EC" w:rsidRDefault="00F831EC" w:rsidP="0028416B">
      <w:pPr>
        <w:pStyle w:val="SP-SglSpPara"/>
        <w:jc w:val="left"/>
        <w:rPr>
          <w:szCs w:val="22"/>
        </w:rPr>
      </w:pPr>
    </w:p>
    <w:p w:rsidR="00F831EC" w:rsidRDefault="00BA71FC" w:rsidP="0028416B">
      <w:pPr>
        <w:pStyle w:val="SP-SglSpPara"/>
        <w:jc w:val="left"/>
        <w:rPr>
          <w:szCs w:val="22"/>
        </w:rPr>
      </w:pPr>
      <w:r>
        <w:rPr>
          <w:szCs w:val="22"/>
        </w:rPr>
        <w:t>Questi</w:t>
      </w:r>
      <w:r w:rsidR="002277C8">
        <w:rPr>
          <w:szCs w:val="22"/>
        </w:rPr>
        <w:t>on 7</w:t>
      </w:r>
      <w:r w:rsidR="00F831EC">
        <w:rPr>
          <w:szCs w:val="22"/>
        </w:rPr>
        <w:t xml:space="preserve"> </w:t>
      </w:r>
      <w:r w:rsidR="000445F7" w:rsidRPr="00721D82">
        <w:rPr>
          <w:szCs w:val="22"/>
        </w:rPr>
        <w:t>asks if the institution has a staff member or office designated as the point of contact for military service members and veterans seeking information on the programs and services available to them</w:t>
      </w:r>
      <w:r w:rsidR="007E0A92">
        <w:rPr>
          <w:szCs w:val="22"/>
        </w:rPr>
        <w:t>.</w:t>
      </w:r>
      <w:r w:rsidR="000445F7">
        <w:rPr>
          <w:szCs w:val="22"/>
        </w:rPr>
        <w:t xml:space="preserve"> </w:t>
      </w:r>
    </w:p>
    <w:p w:rsidR="00E762BC" w:rsidRDefault="00E762BC" w:rsidP="0028416B">
      <w:pPr>
        <w:pStyle w:val="SP-SglSpPara"/>
        <w:jc w:val="left"/>
        <w:rPr>
          <w:szCs w:val="22"/>
        </w:rPr>
      </w:pPr>
    </w:p>
    <w:p w:rsidR="0077576F" w:rsidRDefault="00BA71FC" w:rsidP="0028416B">
      <w:pPr>
        <w:pStyle w:val="SP-SglSpPara"/>
        <w:jc w:val="left"/>
        <w:rPr>
          <w:szCs w:val="22"/>
        </w:rPr>
      </w:pPr>
      <w:r>
        <w:rPr>
          <w:szCs w:val="22"/>
        </w:rPr>
        <w:t xml:space="preserve">Question </w:t>
      </w:r>
      <w:r w:rsidR="009B4A7C">
        <w:rPr>
          <w:szCs w:val="22"/>
        </w:rPr>
        <w:t>8</w:t>
      </w:r>
      <w:r w:rsidR="003C5595">
        <w:rPr>
          <w:szCs w:val="22"/>
        </w:rPr>
        <w:t xml:space="preserve"> </w:t>
      </w:r>
      <w:r w:rsidR="007559A8" w:rsidRPr="00721D82">
        <w:rPr>
          <w:szCs w:val="22"/>
        </w:rPr>
        <w:t xml:space="preserve">asks if </w:t>
      </w:r>
      <w:r w:rsidR="007559A8">
        <w:rPr>
          <w:szCs w:val="22"/>
        </w:rPr>
        <w:t>the institution offers an</w:t>
      </w:r>
      <w:r w:rsidR="00404064">
        <w:rPr>
          <w:szCs w:val="22"/>
        </w:rPr>
        <w:t>y</w:t>
      </w:r>
      <w:r w:rsidR="007559A8">
        <w:rPr>
          <w:szCs w:val="22"/>
        </w:rPr>
        <w:t xml:space="preserve"> courses or</w:t>
      </w:r>
      <w:r w:rsidR="007559A8" w:rsidRPr="00721D82">
        <w:rPr>
          <w:szCs w:val="22"/>
        </w:rPr>
        <w:t xml:space="preserve"> sections of courses </w:t>
      </w:r>
      <w:r w:rsidR="007559A8">
        <w:rPr>
          <w:szCs w:val="22"/>
        </w:rPr>
        <w:t>specifically</w:t>
      </w:r>
      <w:r w:rsidR="007559A8" w:rsidRPr="00721D82">
        <w:rPr>
          <w:szCs w:val="22"/>
        </w:rPr>
        <w:t xml:space="preserve"> for military service members or veterans. </w:t>
      </w:r>
      <w:r w:rsidR="007559A8">
        <w:rPr>
          <w:szCs w:val="22"/>
        </w:rPr>
        <w:t xml:space="preserve">Respondents are asked not to include military science or ROTC courses. </w:t>
      </w:r>
      <w:r w:rsidR="007559A8" w:rsidRPr="00721D82">
        <w:rPr>
          <w:szCs w:val="22"/>
        </w:rPr>
        <w:t>Th</w:t>
      </w:r>
      <w:r w:rsidR="007559A8">
        <w:rPr>
          <w:szCs w:val="22"/>
        </w:rPr>
        <w:t>i</w:t>
      </w:r>
      <w:r w:rsidR="007559A8" w:rsidRPr="00721D82">
        <w:rPr>
          <w:szCs w:val="22"/>
        </w:rPr>
        <w:t>s question provide</w:t>
      </w:r>
      <w:r w:rsidR="007559A8">
        <w:rPr>
          <w:szCs w:val="22"/>
        </w:rPr>
        <w:t>s</w:t>
      </w:r>
      <w:r w:rsidR="007559A8" w:rsidRPr="00721D82">
        <w:rPr>
          <w:szCs w:val="22"/>
        </w:rPr>
        <w:t xml:space="preserve"> information about</w:t>
      </w:r>
      <w:r w:rsidR="007559A8">
        <w:rPr>
          <w:szCs w:val="22"/>
        </w:rPr>
        <w:t xml:space="preserve"> the integration of</w:t>
      </w:r>
      <w:r w:rsidR="007559A8" w:rsidRPr="00721D82">
        <w:rPr>
          <w:szCs w:val="22"/>
        </w:rPr>
        <w:t xml:space="preserve"> military service members and veterans </w:t>
      </w:r>
      <w:r w:rsidR="007559A8">
        <w:rPr>
          <w:szCs w:val="22"/>
        </w:rPr>
        <w:t xml:space="preserve">into courses for </w:t>
      </w:r>
      <w:r w:rsidR="007559A8" w:rsidRPr="00721D82">
        <w:rPr>
          <w:szCs w:val="22"/>
        </w:rPr>
        <w:t>the general student population</w:t>
      </w:r>
      <w:r w:rsidR="007559A8">
        <w:rPr>
          <w:szCs w:val="22"/>
        </w:rPr>
        <w:t>, and about</w:t>
      </w:r>
      <w:r w:rsidR="007559A8" w:rsidRPr="00721D82">
        <w:rPr>
          <w:szCs w:val="22"/>
        </w:rPr>
        <w:t xml:space="preserve"> special courses provided</w:t>
      </w:r>
      <w:r w:rsidR="007559A8">
        <w:rPr>
          <w:szCs w:val="22"/>
        </w:rPr>
        <w:t xml:space="preserve"> for them (e.g., </w:t>
      </w:r>
      <w:r w:rsidR="007559A8" w:rsidRPr="00721D82">
        <w:rPr>
          <w:szCs w:val="22"/>
        </w:rPr>
        <w:t>to help them hone the skills critical for success at the postsecondary level</w:t>
      </w:r>
      <w:r w:rsidR="007559A8">
        <w:rPr>
          <w:szCs w:val="22"/>
        </w:rPr>
        <w:t>, or to address issues specific to this population such as combat experiences)</w:t>
      </w:r>
      <w:r w:rsidR="007559A8" w:rsidRPr="00721D82">
        <w:rPr>
          <w:szCs w:val="22"/>
        </w:rPr>
        <w:t>.</w:t>
      </w:r>
      <w:r w:rsidR="007559A8">
        <w:rPr>
          <w:szCs w:val="22"/>
        </w:rPr>
        <w:t xml:space="preserve">  </w:t>
      </w:r>
    </w:p>
    <w:p w:rsidR="0077576F" w:rsidRDefault="0077576F" w:rsidP="0028416B">
      <w:pPr>
        <w:pStyle w:val="SP-SglSpPara"/>
        <w:jc w:val="left"/>
        <w:rPr>
          <w:szCs w:val="22"/>
        </w:rPr>
      </w:pPr>
    </w:p>
    <w:p w:rsidR="00165C46" w:rsidRPr="00721D82" w:rsidRDefault="00165C46" w:rsidP="00165C46">
      <w:pPr>
        <w:pStyle w:val="SP-SglSpPara"/>
        <w:rPr>
          <w:szCs w:val="22"/>
        </w:rPr>
      </w:pPr>
      <w:r w:rsidRPr="00721D82">
        <w:rPr>
          <w:szCs w:val="22"/>
        </w:rPr>
        <w:t xml:space="preserve">Question </w:t>
      </w:r>
      <w:r>
        <w:rPr>
          <w:szCs w:val="22"/>
        </w:rPr>
        <w:t>9</w:t>
      </w:r>
      <w:r w:rsidRPr="00721D82">
        <w:rPr>
          <w:szCs w:val="22"/>
        </w:rPr>
        <w:t xml:space="preserve"> asks if the institution awards academic credit</w:t>
      </w:r>
      <w:r>
        <w:rPr>
          <w:szCs w:val="22"/>
        </w:rPr>
        <w:t xml:space="preserve"> to </w:t>
      </w:r>
      <w:r w:rsidRPr="00721D82">
        <w:rPr>
          <w:szCs w:val="22"/>
        </w:rPr>
        <w:t xml:space="preserve">students for </w:t>
      </w:r>
      <w:r>
        <w:rPr>
          <w:szCs w:val="22"/>
        </w:rPr>
        <w:t xml:space="preserve">military </w:t>
      </w:r>
      <w:r w:rsidRPr="00721D82">
        <w:rPr>
          <w:szCs w:val="22"/>
        </w:rPr>
        <w:t>training receive</w:t>
      </w:r>
      <w:r>
        <w:rPr>
          <w:szCs w:val="22"/>
        </w:rPr>
        <w:t>d</w:t>
      </w:r>
      <w:r w:rsidRPr="00721D82">
        <w:rPr>
          <w:szCs w:val="22"/>
        </w:rPr>
        <w:t xml:space="preserve"> during </w:t>
      </w:r>
      <w:r>
        <w:rPr>
          <w:szCs w:val="22"/>
        </w:rPr>
        <w:t>active-duty</w:t>
      </w:r>
      <w:r w:rsidRPr="00721D82">
        <w:rPr>
          <w:szCs w:val="22"/>
        </w:rPr>
        <w:t xml:space="preserve"> service. This question provides information about the extent to which</w:t>
      </w:r>
      <w:r>
        <w:rPr>
          <w:szCs w:val="22"/>
        </w:rPr>
        <w:t xml:space="preserve"> institutions</w:t>
      </w:r>
      <w:r w:rsidRPr="00721D82">
        <w:rPr>
          <w:szCs w:val="22"/>
        </w:rPr>
        <w:t xml:space="preserve"> </w:t>
      </w:r>
      <w:r>
        <w:rPr>
          <w:szCs w:val="22"/>
        </w:rPr>
        <w:t xml:space="preserve">provide at least some </w:t>
      </w:r>
      <w:r w:rsidRPr="00721D82">
        <w:rPr>
          <w:szCs w:val="22"/>
        </w:rPr>
        <w:t>academic credit</w:t>
      </w:r>
      <w:r>
        <w:rPr>
          <w:szCs w:val="22"/>
        </w:rPr>
        <w:t xml:space="preserve"> for military training</w:t>
      </w:r>
      <w:r w:rsidRPr="00721D82">
        <w:rPr>
          <w:szCs w:val="22"/>
        </w:rPr>
        <w:t xml:space="preserve">. </w:t>
      </w:r>
    </w:p>
    <w:p w:rsidR="00165C46" w:rsidRDefault="00165C46" w:rsidP="0028416B">
      <w:pPr>
        <w:pStyle w:val="SP-SglSpPara"/>
        <w:jc w:val="left"/>
        <w:rPr>
          <w:szCs w:val="22"/>
        </w:rPr>
      </w:pPr>
    </w:p>
    <w:p w:rsidR="0077576F" w:rsidRDefault="009B4A7C" w:rsidP="0028416B">
      <w:pPr>
        <w:pStyle w:val="SP-SglSpPara"/>
        <w:jc w:val="left"/>
        <w:rPr>
          <w:szCs w:val="22"/>
        </w:rPr>
      </w:pPr>
      <w:r>
        <w:rPr>
          <w:szCs w:val="22"/>
        </w:rPr>
        <w:t>Question 1</w:t>
      </w:r>
      <w:r w:rsidR="00236D50">
        <w:rPr>
          <w:szCs w:val="22"/>
        </w:rPr>
        <w:t>0</w:t>
      </w:r>
      <w:r w:rsidR="0077576F">
        <w:rPr>
          <w:szCs w:val="22"/>
        </w:rPr>
        <w:t xml:space="preserve"> </w:t>
      </w:r>
      <w:r w:rsidR="00236D50" w:rsidRPr="00721D82">
        <w:rPr>
          <w:szCs w:val="22"/>
        </w:rPr>
        <w:t xml:space="preserve">asks if the institution provides admissions events or special </w:t>
      </w:r>
      <w:r w:rsidR="00236D50">
        <w:rPr>
          <w:szCs w:val="22"/>
        </w:rPr>
        <w:t xml:space="preserve">admissions </w:t>
      </w:r>
      <w:r w:rsidR="00236D50" w:rsidRPr="00721D82">
        <w:rPr>
          <w:szCs w:val="22"/>
        </w:rPr>
        <w:t xml:space="preserve">information sessions customized for prospective students who are military service members or veterans. Question </w:t>
      </w:r>
      <w:r w:rsidR="00236D50">
        <w:rPr>
          <w:szCs w:val="22"/>
        </w:rPr>
        <w:t>11</w:t>
      </w:r>
      <w:r w:rsidR="00236D50" w:rsidRPr="00721D82">
        <w:rPr>
          <w:szCs w:val="22"/>
        </w:rPr>
        <w:t xml:space="preserve"> asks if the institution</w:t>
      </w:r>
      <w:r w:rsidR="00236D50">
        <w:rPr>
          <w:szCs w:val="22"/>
        </w:rPr>
        <w:t xml:space="preserve"> customizes the</w:t>
      </w:r>
      <w:r w:rsidR="00236D50" w:rsidRPr="00721D82">
        <w:rPr>
          <w:szCs w:val="22"/>
        </w:rPr>
        <w:t xml:space="preserve"> student orientation</w:t>
      </w:r>
      <w:r w:rsidR="00236D50">
        <w:rPr>
          <w:szCs w:val="22"/>
        </w:rPr>
        <w:t xml:space="preserve"> program</w:t>
      </w:r>
      <w:r w:rsidR="00236D50" w:rsidRPr="00721D82">
        <w:rPr>
          <w:szCs w:val="22"/>
        </w:rPr>
        <w:t xml:space="preserve"> for military service members or veterans. The</w:t>
      </w:r>
      <w:r w:rsidR="00236D50">
        <w:rPr>
          <w:szCs w:val="22"/>
        </w:rPr>
        <w:t>se</w:t>
      </w:r>
      <w:r w:rsidR="00236D50" w:rsidRPr="00721D82">
        <w:rPr>
          <w:szCs w:val="22"/>
        </w:rPr>
        <w:t xml:space="preserve"> question</w:t>
      </w:r>
      <w:r w:rsidR="00236D50">
        <w:rPr>
          <w:szCs w:val="22"/>
        </w:rPr>
        <w:t>s</w:t>
      </w:r>
      <w:r w:rsidR="00236D50" w:rsidRPr="00721D82">
        <w:rPr>
          <w:szCs w:val="22"/>
        </w:rPr>
        <w:t xml:space="preserve"> are included</w:t>
      </w:r>
      <w:r w:rsidR="00236D50">
        <w:rPr>
          <w:szCs w:val="22"/>
        </w:rPr>
        <w:t xml:space="preserve"> </w:t>
      </w:r>
      <w:r w:rsidR="00236D50" w:rsidRPr="00721D82">
        <w:rPr>
          <w:szCs w:val="22"/>
        </w:rPr>
        <w:t>because some postsecondary institutions customize their orientation programs and/or admissions events for military service members and veterans since their needs may be different than other populations of students entering the institution.</w:t>
      </w:r>
      <w:r w:rsidR="003E51F9">
        <w:rPr>
          <w:szCs w:val="22"/>
        </w:rPr>
        <w:t xml:space="preserve">  </w:t>
      </w:r>
    </w:p>
    <w:p w:rsidR="00656613" w:rsidRDefault="00656613" w:rsidP="0028416B">
      <w:pPr>
        <w:pStyle w:val="SP-SglSpPara"/>
        <w:jc w:val="left"/>
        <w:rPr>
          <w:szCs w:val="22"/>
        </w:rPr>
      </w:pPr>
    </w:p>
    <w:p w:rsidR="00810CEA" w:rsidRPr="00721D82" w:rsidRDefault="004A7957" w:rsidP="00810CEA">
      <w:pPr>
        <w:pStyle w:val="SP-SglSpPara"/>
        <w:rPr>
          <w:szCs w:val="22"/>
        </w:rPr>
      </w:pPr>
      <w:r>
        <w:rPr>
          <w:szCs w:val="22"/>
        </w:rPr>
        <w:t>Question 12</w:t>
      </w:r>
      <w:r w:rsidR="00656613">
        <w:rPr>
          <w:szCs w:val="22"/>
        </w:rPr>
        <w:t xml:space="preserve"> </w:t>
      </w:r>
      <w:r w:rsidR="00810CEA" w:rsidRPr="00721D82">
        <w:rPr>
          <w:szCs w:val="22"/>
        </w:rPr>
        <w:t>asks if the institution has a formal mentoring or advising program in which faculty or staff members who are current or former members of the military mentor students who are military service members or veterans.</w:t>
      </w:r>
      <w:r w:rsidR="00810CEA">
        <w:rPr>
          <w:szCs w:val="22"/>
        </w:rPr>
        <w:t xml:space="preserve"> </w:t>
      </w:r>
      <w:r w:rsidR="00810CEA" w:rsidRPr="00721D82">
        <w:rPr>
          <w:szCs w:val="22"/>
        </w:rPr>
        <w:t>Question 1</w:t>
      </w:r>
      <w:r w:rsidR="00810CEA">
        <w:rPr>
          <w:szCs w:val="22"/>
        </w:rPr>
        <w:t xml:space="preserve">3 </w:t>
      </w:r>
      <w:r w:rsidR="00810CEA" w:rsidRPr="00721D82">
        <w:rPr>
          <w:szCs w:val="22"/>
        </w:rPr>
        <w:t xml:space="preserve">asks if the institution has </w:t>
      </w:r>
      <w:r w:rsidR="00810CEA">
        <w:rPr>
          <w:szCs w:val="22"/>
        </w:rPr>
        <w:t>a veteran-to-veteran peer mentoring program for</w:t>
      </w:r>
      <w:r w:rsidR="00810CEA" w:rsidRPr="00721D82">
        <w:rPr>
          <w:szCs w:val="22"/>
        </w:rPr>
        <w:t xml:space="preserve"> military service members or veterans</w:t>
      </w:r>
      <w:r w:rsidR="00810CEA">
        <w:rPr>
          <w:szCs w:val="22"/>
        </w:rPr>
        <w:t xml:space="preserve">. </w:t>
      </w:r>
      <w:r w:rsidR="00810CEA" w:rsidRPr="00721D82">
        <w:rPr>
          <w:szCs w:val="22"/>
        </w:rPr>
        <w:t>Question 1</w:t>
      </w:r>
      <w:r w:rsidR="00810CEA">
        <w:rPr>
          <w:szCs w:val="22"/>
        </w:rPr>
        <w:t>4 asks if the institution offers group counseling for students who are</w:t>
      </w:r>
      <w:r w:rsidR="00810CEA" w:rsidRPr="00721D82">
        <w:rPr>
          <w:szCs w:val="22"/>
        </w:rPr>
        <w:t xml:space="preserve"> military service members or veterans</w:t>
      </w:r>
      <w:r w:rsidR="00810CEA">
        <w:rPr>
          <w:szCs w:val="22"/>
        </w:rPr>
        <w:t xml:space="preserve">. </w:t>
      </w:r>
      <w:r w:rsidR="00810CEA" w:rsidRPr="00721D82">
        <w:rPr>
          <w:szCs w:val="22"/>
        </w:rPr>
        <w:t>Th</w:t>
      </w:r>
      <w:r w:rsidR="00810CEA">
        <w:rPr>
          <w:szCs w:val="22"/>
        </w:rPr>
        <w:t>e</w:t>
      </w:r>
      <w:r w:rsidR="00810CEA" w:rsidRPr="00721D82">
        <w:rPr>
          <w:szCs w:val="22"/>
        </w:rPr>
        <w:t>s</w:t>
      </w:r>
      <w:r w:rsidR="00810CEA">
        <w:rPr>
          <w:szCs w:val="22"/>
        </w:rPr>
        <w:t>e</w:t>
      </w:r>
      <w:r w:rsidR="00810CEA" w:rsidRPr="00721D82">
        <w:rPr>
          <w:szCs w:val="22"/>
        </w:rPr>
        <w:t xml:space="preserve"> item</w:t>
      </w:r>
      <w:r w:rsidR="00810CEA">
        <w:rPr>
          <w:szCs w:val="22"/>
        </w:rPr>
        <w:t>s</w:t>
      </w:r>
      <w:r w:rsidR="00810CEA" w:rsidRPr="00721D82">
        <w:rPr>
          <w:szCs w:val="22"/>
        </w:rPr>
        <w:t xml:space="preserve"> </w:t>
      </w:r>
      <w:r w:rsidR="00810CEA">
        <w:rPr>
          <w:szCs w:val="22"/>
        </w:rPr>
        <w:t>are</w:t>
      </w:r>
      <w:r w:rsidR="00810CEA" w:rsidRPr="00721D82">
        <w:rPr>
          <w:szCs w:val="22"/>
        </w:rPr>
        <w:t xml:space="preserve"> included to find out about</w:t>
      </w:r>
      <w:r w:rsidR="00810CEA">
        <w:rPr>
          <w:szCs w:val="22"/>
        </w:rPr>
        <w:t xml:space="preserve"> mentoring and </w:t>
      </w:r>
      <w:r w:rsidR="004E4AD6">
        <w:rPr>
          <w:szCs w:val="22"/>
        </w:rPr>
        <w:t xml:space="preserve">counseling </w:t>
      </w:r>
      <w:r w:rsidR="00810CEA">
        <w:rPr>
          <w:szCs w:val="22"/>
        </w:rPr>
        <w:t>groups</w:t>
      </w:r>
      <w:r w:rsidR="00810CEA" w:rsidRPr="00721D82">
        <w:rPr>
          <w:szCs w:val="22"/>
        </w:rPr>
        <w:t xml:space="preserve"> available to assist in the integration of military service member</w:t>
      </w:r>
      <w:r w:rsidR="00810CEA">
        <w:rPr>
          <w:szCs w:val="22"/>
        </w:rPr>
        <w:t>s</w:t>
      </w:r>
      <w:r w:rsidR="00810CEA" w:rsidRPr="00721D82">
        <w:rPr>
          <w:szCs w:val="22"/>
        </w:rPr>
        <w:t xml:space="preserve"> and veterans into the postsecondary institution.   </w:t>
      </w:r>
    </w:p>
    <w:p w:rsidR="00656613" w:rsidRDefault="00656613" w:rsidP="0028416B">
      <w:pPr>
        <w:pStyle w:val="SP-SglSpPara"/>
        <w:jc w:val="left"/>
        <w:rPr>
          <w:szCs w:val="22"/>
        </w:rPr>
      </w:pPr>
    </w:p>
    <w:p w:rsidR="00D5153D" w:rsidRDefault="004A7957" w:rsidP="0028416B">
      <w:pPr>
        <w:pStyle w:val="SP-SglSpPara"/>
        <w:jc w:val="left"/>
        <w:rPr>
          <w:szCs w:val="22"/>
        </w:rPr>
      </w:pPr>
      <w:r>
        <w:rPr>
          <w:szCs w:val="22"/>
        </w:rPr>
        <w:t>Question 1</w:t>
      </w:r>
      <w:r w:rsidR="003C1D6B">
        <w:rPr>
          <w:szCs w:val="22"/>
        </w:rPr>
        <w:t>5</w:t>
      </w:r>
      <w:r w:rsidR="00656613">
        <w:rPr>
          <w:szCs w:val="22"/>
        </w:rPr>
        <w:t xml:space="preserve"> </w:t>
      </w:r>
      <w:r w:rsidR="003C1D6B" w:rsidRPr="00721D82">
        <w:rPr>
          <w:szCs w:val="22"/>
        </w:rPr>
        <w:t>asks if the institution offers customized or additional support services specifically for military service members and veterans in certain areas, such as academic support/tutoring, financial aid counseling, and study skills workshops. This question provides information about additional support services beyond those provided to all students taking courses through the institution</w:t>
      </w:r>
      <w:r w:rsidR="00D5153D">
        <w:rPr>
          <w:szCs w:val="22"/>
        </w:rPr>
        <w:t>.</w:t>
      </w:r>
    </w:p>
    <w:p w:rsidR="00D5153D" w:rsidRDefault="00D5153D" w:rsidP="0028416B">
      <w:pPr>
        <w:pStyle w:val="SP-SglSpPara"/>
        <w:jc w:val="left"/>
        <w:rPr>
          <w:szCs w:val="22"/>
        </w:rPr>
      </w:pPr>
    </w:p>
    <w:p w:rsidR="00F64F66" w:rsidRDefault="004A7957" w:rsidP="0028416B">
      <w:pPr>
        <w:pStyle w:val="SP-SglSpPara"/>
        <w:jc w:val="left"/>
        <w:rPr>
          <w:szCs w:val="22"/>
        </w:rPr>
      </w:pPr>
      <w:r w:rsidRPr="00C25742">
        <w:rPr>
          <w:szCs w:val="22"/>
        </w:rPr>
        <w:t>Question 1</w:t>
      </w:r>
      <w:r w:rsidR="00CC2962" w:rsidRPr="00C25742">
        <w:rPr>
          <w:szCs w:val="22"/>
        </w:rPr>
        <w:t>6</w:t>
      </w:r>
      <w:r w:rsidR="007E2C4A">
        <w:rPr>
          <w:szCs w:val="22"/>
        </w:rPr>
        <w:t xml:space="preserve"> </w:t>
      </w:r>
      <w:r w:rsidR="00C25742" w:rsidRPr="00721D82">
        <w:rPr>
          <w:szCs w:val="22"/>
        </w:rPr>
        <w:t>asks if the institution provides information</w:t>
      </w:r>
      <w:r w:rsidR="00BD5985">
        <w:rPr>
          <w:szCs w:val="22"/>
        </w:rPr>
        <w:t xml:space="preserve"> about</w:t>
      </w:r>
      <w:r w:rsidR="00C25742" w:rsidRPr="00721D82">
        <w:rPr>
          <w:szCs w:val="22"/>
        </w:rPr>
        <w:t xml:space="preserve"> or referrals </w:t>
      </w:r>
      <w:r w:rsidR="00C25742">
        <w:rPr>
          <w:szCs w:val="22"/>
        </w:rPr>
        <w:t>for off-campus health-related services (medical/health</w:t>
      </w:r>
      <w:r w:rsidR="00732865">
        <w:rPr>
          <w:szCs w:val="22"/>
        </w:rPr>
        <w:t xml:space="preserve"> services</w:t>
      </w:r>
      <w:r w:rsidR="00C25742">
        <w:rPr>
          <w:szCs w:val="22"/>
        </w:rPr>
        <w:t>, counseling or mental health services)</w:t>
      </w:r>
      <w:r w:rsidR="00C25742" w:rsidRPr="00721D82">
        <w:rPr>
          <w:szCs w:val="22"/>
        </w:rPr>
        <w:t xml:space="preserve"> </w:t>
      </w:r>
      <w:r w:rsidR="00C25742">
        <w:rPr>
          <w:szCs w:val="22"/>
        </w:rPr>
        <w:t xml:space="preserve">for </w:t>
      </w:r>
      <w:r w:rsidR="00C25742" w:rsidRPr="00721D82">
        <w:rPr>
          <w:szCs w:val="22"/>
        </w:rPr>
        <w:t>military service members or veterans</w:t>
      </w:r>
      <w:r w:rsidR="00F64F66">
        <w:rPr>
          <w:szCs w:val="22"/>
        </w:rPr>
        <w:t>.</w:t>
      </w:r>
    </w:p>
    <w:p w:rsidR="00F64F66" w:rsidRDefault="00F64F66" w:rsidP="0028416B">
      <w:pPr>
        <w:pStyle w:val="SP-SglSpPara"/>
        <w:jc w:val="left"/>
        <w:rPr>
          <w:szCs w:val="22"/>
        </w:rPr>
      </w:pPr>
    </w:p>
    <w:p w:rsidR="00215775" w:rsidRDefault="004A7957" w:rsidP="0028416B">
      <w:pPr>
        <w:pStyle w:val="SP-SglSpPara"/>
        <w:jc w:val="left"/>
        <w:rPr>
          <w:szCs w:val="22"/>
        </w:rPr>
      </w:pPr>
      <w:r>
        <w:rPr>
          <w:szCs w:val="22"/>
        </w:rPr>
        <w:t>Question 1</w:t>
      </w:r>
      <w:r w:rsidR="00CC2962">
        <w:rPr>
          <w:szCs w:val="22"/>
        </w:rPr>
        <w:t>7</w:t>
      </w:r>
      <w:r w:rsidR="007E2C4A">
        <w:rPr>
          <w:szCs w:val="22"/>
        </w:rPr>
        <w:t xml:space="preserve"> </w:t>
      </w:r>
      <w:r w:rsidR="001A06B7" w:rsidRPr="00721D82">
        <w:rPr>
          <w:szCs w:val="22"/>
        </w:rPr>
        <w:t xml:space="preserve">asks if the institution offers training for faculty or staff in areas such as mental and physical health issues associated with and </w:t>
      </w:r>
      <w:r w:rsidR="001A06B7">
        <w:rPr>
          <w:szCs w:val="22"/>
        </w:rPr>
        <w:t>resulting from military service,</w:t>
      </w:r>
      <w:r w:rsidR="001A06B7" w:rsidRPr="00721D82">
        <w:rPr>
          <w:szCs w:val="22"/>
        </w:rPr>
        <w:t xml:space="preserve"> and student transition from military</w:t>
      </w:r>
      <w:r w:rsidR="001A06B7">
        <w:rPr>
          <w:szCs w:val="22"/>
        </w:rPr>
        <w:t xml:space="preserve"> life</w:t>
      </w:r>
      <w:r w:rsidR="001A06B7" w:rsidRPr="00721D82">
        <w:rPr>
          <w:szCs w:val="22"/>
        </w:rPr>
        <w:t xml:space="preserve"> to civilian life. </w:t>
      </w:r>
      <w:r w:rsidR="001A06B7">
        <w:rPr>
          <w:szCs w:val="22"/>
        </w:rPr>
        <w:t>For those areas in which the institution offers training, the question asks whether the training is mandatory for faculty or staff.</w:t>
      </w:r>
    </w:p>
    <w:p w:rsidR="00215775" w:rsidRDefault="00215775" w:rsidP="0028416B">
      <w:pPr>
        <w:pStyle w:val="SP-SglSpPara"/>
        <w:jc w:val="left"/>
        <w:rPr>
          <w:szCs w:val="22"/>
        </w:rPr>
      </w:pPr>
    </w:p>
    <w:p w:rsidR="00F64F66" w:rsidRPr="00E67BB1" w:rsidRDefault="00DD7266" w:rsidP="00E67BB1">
      <w:pPr>
        <w:pStyle w:val="SP-SglSpPara"/>
        <w:jc w:val="left"/>
        <w:rPr>
          <w:szCs w:val="22"/>
        </w:rPr>
      </w:pPr>
      <w:r>
        <w:rPr>
          <w:szCs w:val="22"/>
        </w:rPr>
        <w:t>Question 1</w:t>
      </w:r>
      <w:r w:rsidR="00CC2962">
        <w:rPr>
          <w:szCs w:val="22"/>
        </w:rPr>
        <w:t>8</w:t>
      </w:r>
      <w:r w:rsidR="00001F4A">
        <w:rPr>
          <w:szCs w:val="22"/>
        </w:rPr>
        <w:t xml:space="preserve"> </w:t>
      </w:r>
      <w:r w:rsidR="00C6003F" w:rsidRPr="00721D82">
        <w:rPr>
          <w:szCs w:val="22"/>
        </w:rPr>
        <w:t xml:space="preserve">asks if the institution provides information to </w:t>
      </w:r>
      <w:r w:rsidR="002E6ABD">
        <w:rPr>
          <w:szCs w:val="22"/>
        </w:rPr>
        <w:t xml:space="preserve">current or </w:t>
      </w:r>
      <w:r w:rsidR="00C6003F" w:rsidRPr="00721D82">
        <w:rPr>
          <w:szCs w:val="22"/>
        </w:rPr>
        <w:t xml:space="preserve">prospective students about the programs and services available to military service members and veterans via various communication methods (mail, email, website, social media, brochures, </w:t>
      </w:r>
      <w:r w:rsidR="00C6003F">
        <w:rPr>
          <w:szCs w:val="22"/>
        </w:rPr>
        <w:t xml:space="preserve">and </w:t>
      </w:r>
      <w:r w:rsidR="00C6003F" w:rsidRPr="00721D82">
        <w:rPr>
          <w:szCs w:val="22"/>
        </w:rPr>
        <w:t>bulletin boards).</w:t>
      </w:r>
      <w:r w:rsidR="004D3781">
        <w:rPr>
          <w:szCs w:val="22"/>
        </w:rPr>
        <w:t xml:space="preserve"> </w:t>
      </w:r>
      <w:r>
        <w:t>Question 1</w:t>
      </w:r>
      <w:r w:rsidR="00CC2962">
        <w:t>9</w:t>
      </w:r>
      <w:r w:rsidR="00F64F66">
        <w:t xml:space="preserve"> asks </w:t>
      </w:r>
      <w:r w:rsidR="002E6ABD">
        <w:t>if the institution provides information to prospective students at specific events (college admissions fairs and information fairs/events held on military bases) about the programs and services available to military service members and veterans</w:t>
      </w:r>
      <w:r w:rsidR="00001F4A">
        <w:t>.</w:t>
      </w:r>
      <w:r w:rsidR="00E67BB1">
        <w:t xml:space="preserve"> </w:t>
      </w:r>
      <w:r w:rsidR="00E67BB1" w:rsidRPr="002409E1">
        <w:rPr>
          <w:szCs w:val="22"/>
        </w:rPr>
        <w:t>These questions gather information about the methods used to provide information and the places/events at which institutions are communicating information about programs and services available to military service members and veterans.</w:t>
      </w:r>
      <w:r w:rsidR="0002211C" w:rsidRPr="00E67BB1">
        <w:t xml:space="preserve"> </w:t>
      </w:r>
    </w:p>
    <w:p w:rsidR="005F69AC" w:rsidRDefault="005F69AC" w:rsidP="0028416B">
      <w:pPr>
        <w:spacing w:after="0" w:line="240" w:lineRule="atLeast"/>
        <w:ind w:firstLine="576"/>
        <w:rPr>
          <w:rFonts w:ascii="Times New Roman" w:hAnsi="Times New Roman"/>
        </w:rPr>
      </w:pPr>
    </w:p>
    <w:p w:rsidR="00D31AB3" w:rsidRPr="002B1651" w:rsidRDefault="00D31AB3" w:rsidP="00D31AB3">
      <w:pPr>
        <w:spacing w:after="0" w:line="240" w:lineRule="atLeast"/>
        <w:ind w:firstLine="576"/>
        <w:rPr>
          <w:rFonts w:ascii="Times New Roman" w:hAnsi="Times New Roman"/>
        </w:rPr>
      </w:pPr>
      <w:r>
        <w:rPr>
          <w:rFonts w:ascii="Times New Roman" w:hAnsi="Times New Roman"/>
        </w:rPr>
        <w:t xml:space="preserve">Question </w:t>
      </w:r>
      <w:r w:rsidR="00CC2962">
        <w:rPr>
          <w:rFonts w:ascii="Times New Roman" w:hAnsi="Times New Roman"/>
        </w:rPr>
        <w:t>20</w:t>
      </w:r>
      <w:r>
        <w:rPr>
          <w:rFonts w:ascii="Times New Roman" w:hAnsi="Times New Roman"/>
        </w:rPr>
        <w:t xml:space="preserve"> </w:t>
      </w:r>
      <w:r w:rsidR="002B1651" w:rsidRPr="002B1651">
        <w:rPr>
          <w:rFonts w:ascii="Times New Roman" w:hAnsi="Times New Roman"/>
        </w:rPr>
        <w:t xml:space="preserve">asks if the institution has assisted students in applying for tutorial </w:t>
      </w:r>
      <w:r w:rsidR="002B1651">
        <w:rPr>
          <w:rFonts w:ascii="Times New Roman" w:hAnsi="Times New Roman"/>
        </w:rPr>
        <w:t>assistance</w:t>
      </w:r>
      <w:r w:rsidR="002B1651" w:rsidRPr="002B1651">
        <w:rPr>
          <w:rFonts w:ascii="Times New Roman" w:hAnsi="Times New Roman"/>
        </w:rPr>
        <w:t xml:space="preserve"> </w:t>
      </w:r>
      <w:r w:rsidR="002B1651">
        <w:rPr>
          <w:rFonts w:ascii="Times New Roman" w:hAnsi="Times New Roman"/>
        </w:rPr>
        <w:t xml:space="preserve">using </w:t>
      </w:r>
      <w:r w:rsidR="002B1651" w:rsidRPr="002B1651">
        <w:rPr>
          <w:rFonts w:ascii="Times New Roman" w:hAnsi="Times New Roman"/>
        </w:rPr>
        <w:t>VA</w:t>
      </w:r>
      <w:r w:rsidR="002B1651">
        <w:rPr>
          <w:rFonts w:ascii="Times New Roman" w:hAnsi="Times New Roman"/>
        </w:rPr>
        <w:t xml:space="preserve"> educational benefits</w:t>
      </w:r>
      <w:r w:rsidR="002B1651" w:rsidRPr="002B1651">
        <w:rPr>
          <w:rFonts w:ascii="Times New Roman" w:hAnsi="Times New Roman"/>
        </w:rPr>
        <w:t xml:space="preserve"> in the last 12 months. Question </w:t>
      </w:r>
      <w:r w:rsidR="002B1651">
        <w:rPr>
          <w:rFonts w:ascii="Times New Roman" w:hAnsi="Times New Roman"/>
        </w:rPr>
        <w:t>21</w:t>
      </w:r>
      <w:r w:rsidR="002B1651" w:rsidRPr="002B1651">
        <w:rPr>
          <w:rFonts w:ascii="Times New Roman" w:hAnsi="Times New Roman"/>
        </w:rPr>
        <w:t xml:space="preserve"> asks if the institution offers VA work-study opportunities. These items are included because military service members and veterans and their dependents receiving education benefits may qualify for VA tutorial benefits and VA work-study.</w:t>
      </w:r>
      <w:r w:rsidRPr="002B1651">
        <w:rPr>
          <w:rFonts w:ascii="Times New Roman" w:hAnsi="Times New Roman"/>
        </w:rPr>
        <w:t xml:space="preserve"> </w:t>
      </w:r>
    </w:p>
    <w:p w:rsidR="00D31AB3" w:rsidRDefault="00D31AB3" w:rsidP="0028416B">
      <w:pPr>
        <w:spacing w:after="0" w:line="240" w:lineRule="atLeast"/>
        <w:ind w:firstLine="576"/>
        <w:rPr>
          <w:rFonts w:ascii="Times New Roman" w:hAnsi="Times New Roman"/>
        </w:rPr>
      </w:pPr>
    </w:p>
    <w:p w:rsidR="00D31AB3" w:rsidRDefault="00D31AB3" w:rsidP="00D31AB3">
      <w:pPr>
        <w:spacing w:after="0" w:line="240" w:lineRule="atLeast"/>
        <w:ind w:firstLine="576"/>
        <w:rPr>
          <w:rFonts w:ascii="Times New Roman" w:hAnsi="Times New Roman"/>
        </w:rPr>
      </w:pPr>
      <w:r>
        <w:rPr>
          <w:rFonts w:ascii="Times New Roman" w:hAnsi="Times New Roman"/>
        </w:rPr>
        <w:lastRenderedPageBreak/>
        <w:t xml:space="preserve">Question </w:t>
      </w:r>
      <w:r w:rsidR="00CC2962">
        <w:rPr>
          <w:rFonts w:ascii="Times New Roman" w:hAnsi="Times New Roman"/>
        </w:rPr>
        <w:t>2</w:t>
      </w:r>
      <w:r w:rsidR="00711367">
        <w:rPr>
          <w:rFonts w:ascii="Times New Roman" w:hAnsi="Times New Roman"/>
        </w:rPr>
        <w:t>2</w:t>
      </w:r>
      <w:r>
        <w:rPr>
          <w:rFonts w:ascii="Times New Roman" w:hAnsi="Times New Roman"/>
        </w:rPr>
        <w:t xml:space="preserve"> asks whether </w:t>
      </w:r>
      <w:r w:rsidR="00711367">
        <w:rPr>
          <w:rFonts w:ascii="Times New Roman" w:hAnsi="Times New Roman"/>
        </w:rPr>
        <w:t>veterans are exempt from paying tuition at the institution</w:t>
      </w:r>
      <w:r>
        <w:rPr>
          <w:rFonts w:ascii="Times New Roman" w:hAnsi="Times New Roman"/>
        </w:rPr>
        <w:t>.</w:t>
      </w:r>
      <w:r w:rsidR="00711367">
        <w:rPr>
          <w:rFonts w:ascii="Times New Roman" w:hAnsi="Times New Roman"/>
        </w:rPr>
        <w:t xml:space="preserve">  </w:t>
      </w:r>
      <w:r w:rsidR="006C29CF">
        <w:rPr>
          <w:rFonts w:ascii="Times New Roman" w:hAnsi="Times New Roman"/>
        </w:rPr>
        <w:t>Based on</w:t>
      </w:r>
      <w:r w:rsidR="007F5971">
        <w:rPr>
          <w:rFonts w:ascii="Times New Roman" w:hAnsi="Times New Roman"/>
        </w:rPr>
        <w:t xml:space="preserve"> feedback from</w:t>
      </w:r>
      <w:r w:rsidR="006C29CF">
        <w:rPr>
          <w:rFonts w:ascii="Times New Roman" w:hAnsi="Times New Roman"/>
        </w:rPr>
        <w:t xml:space="preserve"> the pretest calls, some institutions do not charge veterans tuition.  The question is also</w:t>
      </w:r>
      <w:r w:rsidR="00711367">
        <w:rPr>
          <w:rFonts w:ascii="Times New Roman" w:hAnsi="Times New Roman"/>
        </w:rPr>
        <w:t xml:space="preserve"> meant to set up the skip for</w:t>
      </w:r>
      <w:r w:rsidR="004D3781">
        <w:rPr>
          <w:rFonts w:ascii="Times New Roman" w:hAnsi="Times New Roman"/>
        </w:rPr>
        <w:t xml:space="preserve"> question</w:t>
      </w:r>
      <w:r w:rsidR="00711367">
        <w:rPr>
          <w:rFonts w:ascii="Times New Roman" w:hAnsi="Times New Roman"/>
        </w:rPr>
        <w:t xml:space="preserve"> 23 which asks about the institution’s policy for charging veterans in-state tuition.  If respondents answer “yes”</w:t>
      </w:r>
      <w:r w:rsidR="00454A87">
        <w:rPr>
          <w:rFonts w:ascii="Times New Roman" w:hAnsi="Times New Roman"/>
        </w:rPr>
        <w:t xml:space="preserve"> to question 22,</w:t>
      </w:r>
      <w:r w:rsidR="00711367">
        <w:rPr>
          <w:rFonts w:ascii="Times New Roman" w:hAnsi="Times New Roman"/>
        </w:rPr>
        <w:t xml:space="preserve"> they are instructed to skip to question 24.  If they answer “no,” they continue with question 23.</w:t>
      </w:r>
      <w:r>
        <w:rPr>
          <w:rFonts w:ascii="Times New Roman" w:hAnsi="Times New Roman"/>
        </w:rPr>
        <w:t xml:space="preserve"> </w:t>
      </w:r>
    </w:p>
    <w:p w:rsidR="00D31AB3" w:rsidRDefault="00D31AB3" w:rsidP="0028416B">
      <w:pPr>
        <w:spacing w:after="0" w:line="240" w:lineRule="atLeast"/>
        <w:ind w:firstLine="576"/>
        <w:rPr>
          <w:rFonts w:ascii="Times New Roman" w:hAnsi="Times New Roman"/>
        </w:rPr>
      </w:pPr>
    </w:p>
    <w:p w:rsidR="00D31AB3" w:rsidRDefault="00D31AB3" w:rsidP="00191086">
      <w:pPr>
        <w:spacing w:after="0" w:line="240" w:lineRule="atLeast"/>
        <w:ind w:firstLine="576"/>
        <w:rPr>
          <w:rFonts w:ascii="Times New Roman" w:hAnsi="Times New Roman"/>
        </w:rPr>
      </w:pPr>
      <w:r>
        <w:rPr>
          <w:rFonts w:ascii="Times New Roman" w:hAnsi="Times New Roman"/>
        </w:rPr>
        <w:t>Question 2</w:t>
      </w:r>
      <w:r w:rsidR="00191086">
        <w:rPr>
          <w:rFonts w:ascii="Times New Roman" w:hAnsi="Times New Roman"/>
        </w:rPr>
        <w:t>3</w:t>
      </w:r>
      <w:r>
        <w:rPr>
          <w:rFonts w:ascii="Times New Roman" w:hAnsi="Times New Roman"/>
        </w:rPr>
        <w:t xml:space="preserve"> asks </w:t>
      </w:r>
      <w:r w:rsidR="00191086" w:rsidRPr="00721D82">
        <w:rPr>
          <w:rFonts w:ascii="Times New Roman" w:hAnsi="Times New Roman"/>
        </w:rPr>
        <w:t>about the institution’s policy for charging veterans in-state tuition rates.</w:t>
      </w:r>
      <w:r w:rsidR="00191086">
        <w:rPr>
          <w:rFonts w:ascii="Times New Roman" w:hAnsi="Times New Roman"/>
        </w:rPr>
        <w:t xml:space="preserve"> Respondents are asked to exclude active-duty personnel stationed in the state. </w:t>
      </w:r>
      <w:r w:rsidR="00191086" w:rsidRPr="00721D82">
        <w:rPr>
          <w:rFonts w:ascii="Times New Roman" w:hAnsi="Times New Roman"/>
        </w:rPr>
        <w:t>Th</w:t>
      </w:r>
      <w:r w:rsidR="00191086">
        <w:rPr>
          <w:rFonts w:ascii="Times New Roman" w:hAnsi="Times New Roman"/>
        </w:rPr>
        <w:t>is</w:t>
      </w:r>
      <w:r w:rsidR="00191086" w:rsidRPr="00721D82">
        <w:rPr>
          <w:rFonts w:ascii="Times New Roman" w:hAnsi="Times New Roman"/>
        </w:rPr>
        <w:t xml:space="preserve"> question will gather information about whether postsecondary institutions are waiving in-state tuition residency requirements for military service members and veterans.</w:t>
      </w:r>
      <w:r w:rsidR="00191086">
        <w:rPr>
          <w:rFonts w:ascii="Times New Roman" w:hAnsi="Times New Roman"/>
        </w:rPr>
        <w:t xml:space="preserve"> </w:t>
      </w:r>
      <w:r>
        <w:rPr>
          <w:rFonts w:ascii="Times New Roman" w:hAnsi="Times New Roman"/>
        </w:rPr>
        <w:t xml:space="preserve">If </w:t>
      </w:r>
      <w:r w:rsidR="00191086">
        <w:rPr>
          <w:rFonts w:ascii="Times New Roman" w:hAnsi="Times New Roman"/>
        </w:rPr>
        <w:t>in-state tuition does not apply to the institution, respondents skip to question 24</w:t>
      </w:r>
      <w:r>
        <w:rPr>
          <w:rFonts w:ascii="Times New Roman" w:hAnsi="Times New Roman"/>
        </w:rPr>
        <w:t xml:space="preserve">. </w:t>
      </w:r>
    </w:p>
    <w:p w:rsidR="00D31AB3" w:rsidRDefault="00D31AB3" w:rsidP="0028416B">
      <w:pPr>
        <w:spacing w:after="0" w:line="240" w:lineRule="atLeast"/>
        <w:ind w:firstLine="576"/>
        <w:rPr>
          <w:rFonts w:ascii="Times New Roman" w:hAnsi="Times New Roman"/>
        </w:rPr>
      </w:pPr>
    </w:p>
    <w:p w:rsidR="00D31AB3" w:rsidRDefault="00D31AB3" w:rsidP="00D31AB3">
      <w:pPr>
        <w:spacing w:after="0" w:line="240" w:lineRule="atLeast"/>
        <w:ind w:firstLine="576"/>
        <w:rPr>
          <w:rFonts w:ascii="Times New Roman" w:hAnsi="Times New Roman"/>
        </w:rPr>
      </w:pPr>
      <w:r>
        <w:rPr>
          <w:rFonts w:ascii="Times New Roman" w:hAnsi="Times New Roman"/>
        </w:rPr>
        <w:t>Question 2</w:t>
      </w:r>
      <w:r w:rsidR="00A073E1">
        <w:rPr>
          <w:rFonts w:ascii="Times New Roman" w:hAnsi="Times New Roman"/>
        </w:rPr>
        <w:t>4</w:t>
      </w:r>
      <w:r>
        <w:rPr>
          <w:rFonts w:ascii="Times New Roman" w:hAnsi="Times New Roman"/>
        </w:rPr>
        <w:t xml:space="preserve"> </w:t>
      </w:r>
      <w:r w:rsidR="004C4756" w:rsidRPr="004C4756">
        <w:rPr>
          <w:rFonts w:ascii="Times New Roman" w:hAnsi="Times New Roman"/>
        </w:rPr>
        <w:t>asks if the institution enrolled any military service members, veterans, or dependents of military service members and veterans in the fall of 2012.  If an institution indicates that they did enroll these types of students in fall 2012, then questions 2</w:t>
      </w:r>
      <w:r w:rsidR="004C4756">
        <w:rPr>
          <w:rFonts w:ascii="Times New Roman" w:hAnsi="Times New Roman"/>
        </w:rPr>
        <w:t>5</w:t>
      </w:r>
      <w:r w:rsidR="004C4756" w:rsidRPr="004C4756">
        <w:rPr>
          <w:rFonts w:ascii="Times New Roman" w:hAnsi="Times New Roman"/>
        </w:rPr>
        <w:t xml:space="preserve"> through 2</w:t>
      </w:r>
      <w:r w:rsidR="004C4756">
        <w:rPr>
          <w:rFonts w:ascii="Times New Roman" w:hAnsi="Times New Roman"/>
        </w:rPr>
        <w:t>7</w:t>
      </w:r>
      <w:r w:rsidR="004C4756" w:rsidRPr="004C4756">
        <w:rPr>
          <w:rFonts w:ascii="Times New Roman" w:hAnsi="Times New Roman"/>
        </w:rPr>
        <w:t xml:space="preserve"> will be completed. Question 2</w:t>
      </w:r>
      <w:r w:rsidR="004C4756">
        <w:rPr>
          <w:rFonts w:ascii="Times New Roman" w:hAnsi="Times New Roman"/>
        </w:rPr>
        <w:t>5</w:t>
      </w:r>
      <w:r w:rsidR="004C4756" w:rsidRPr="004C4756">
        <w:rPr>
          <w:rFonts w:ascii="Times New Roman" w:hAnsi="Times New Roman"/>
        </w:rPr>
        <w:t xml:space="preserve"> asks how many military service members and veterans, and dependents of military service members and veterans were enrolled during the fall of 2012. The question asks for separate undergraduate</w:t>
      </w:r>
      <w:r w:rsidR="002345C0">
        <w:rPr>
          <w:rFonts w:ascii="Times New Roman" w:hAnsi="Times New Roman"/>
        </w:rPr>
        <w:t>-level</w:t>
      </w:r>
      <w:r w:rsidR="004C4756" w:rsidRPr="004C4756">
        <w:rPr>
          <w:rFonts w:ascii="Times New Roman" w:hAnsi="Times New Roman"/>
        </w:rPr>
        <w:t xml:space="preserve"> and graduate</w:t>
      </w:r>
      <w:r w:rsidR="002345C0">
        <w:rPr>
          <w:rFonts w:ascii="Times New Roman" w:hAnsi="Times New Roman"/>
        </w:rPr>
        <w:t>-level</w:t>
      </w:r>
      <w:r w:rsidR="004C4756" w:rsidRPr="004C4756">
        <w:rPr>
          <w:rFonts w:ascii="Times New Roman" w:hAnsi="Times New Roman"/>
        </w:rPr>
        <w:t xml:space="preserve"> student counts. The fall of 2012 is used because it aligns with the unduplicated fall enrollment counts that institutions report to IPEDS.</w:t>
      </w:r>
      <w:r>
        <w:rPr>
          <w:rFonts w:ascii="Times New Roman" w:hAnsi="Times New Roman"/>
        </w:rPr>
        <w:t xml:space="preserve"> </w:t>
      </w:r>
    </w:p>
    <w:p w:rsidR="00D31AB3" w:rsidRDefault="00D31AB3" w:rsidP="0028416B">
      <w:pPr>
        <w:spacing w:after="0" w:line="240" w:lineRule="atLeast"/>
        <w:ind w:firstLine="576"/>
        <w:rPr>
          <w:rFonts w:ascii="Times New Roman" w:hAnsi="Times New Roman"/>
        </w:rPr>
      </w:pPr>
    </w:p>
    <w:p w:rsidR="00D31AB3" w:rsidRDefault="00D31AB3" w:rsidP="00D31AB3">
      <w:pPr>
        <w:spacing w:after="0" w:line="240" w:lineRule="atLeast"/>
        <w:ind w:firstLine="576"/>
        <w:rPr>
          <w:rFonts w:ascii="Times New Roman" w:hAnsi="Times New Roman"/>
        </w:rPr>
      </w:pPr>
      <w:r>
        <w:rPr>
          <w:rFonts w:ascii="Times New Roman" w:hAnsi="Times New Roman"/>
        </w:rPr>
        <w:t>Question 2</w:t>
      </w:r>
      <w:r w:rsidR="008A5C21">
        <w:rPr>
          <w:rFonts w:ascii="Times New Roman" w:hAnsi="Times New Roman"/>
        </w:rPr>
        <w:t>6</w:t>
      </w:r>
      <w:r>
        <w:rPr>
          <w:rFonts w:ascii="Times New Roman" w:hAnsi="Times New Roman"/>
        </w:rPr>
        <w:t xml:space="preserve"> </w:t>
      </w:r>
      <w:r w:rsidR="008A5C21" w:rsidRPr="008A5C21">
        <w:rPr>
          <w:rFonts w:ascii="Times New Roman" w:hAnsi="Times New Roman"/>
        </w:rPr>
        <w:t>asks which types of students are included in the enrollment counts reported in</w:t>
      </w:r>
      <w:r w:rsidR="004D3781">
        <w:rPr>
          <w:rFonts w:ascii="Times New Roman" w:hAnsi="Times New Roman"/>
        </w:rPr>
        <w:t xml:space="preserve"> question</w:t>
      </w:r>
      <w:r w:rsidR="008A5C21" w:rsidRPr="008A5C21">
        <w:rPr>
          <w:rFonts w:ascii="Times New Roman" w:hAnsi="Times New Roman"/>
        </w:rPr>
        <w:t xml:space="preserve"> 2</w:t>
      </w:r>
      <w:r w:rsidR="007F368A">
        <w:rPr>
          <w:rFonts w:ascii="Times New Roman" w:hAnsi="Times New Roman"/>
        </w:rPr>
        <w:t>5</w:t>
      </w:r>
      <w:r w:rsidR="008A5C21" w:rsidRPr="008A5C21">
        <w:rPr>
          <w:rFonts w:ascii="Times New Roman" w:hAnsi="Times New Roman"/>
        </w:rPr>
        <w:t>. This question provides information about the types of students included in</w:t>
      </w:r>
      <w:r w:rsidR="004D3781">
        <w:rPr>
          <w:rFonts w:ascii="Times New Roman" w:hAnsi="Times New Roman"/>
        </w:rPr>
        <w:t xml:space="preserve"> question</w:t>
      </w:r>
      <w:r w:rsidR="008A5C21" w:rsidRPr="008A5C21">
        <w:rPr>
          <w:rFonts w:ascii="Times New Roman" w:hAnsi="Times New Roman"/>
        </w:rPr>
        <w:t xml:space="preserve"> 2</w:t>
      </w:r>
      <w:r w:rsidR="00CA492C">
        <w:rPr>
          <w:rFonts w:ascii="Times New Roman" w:hAnsi="Times New Roman"/>
        </w:rPr>
        <w:t>5</w:t>
      </w:r>
      <w:r w:rsidR="008A5C21" w:rsidRPr="008A5C21">
        <w:rPr>
          <w:rFonts w:ascii="Times New Roman" w:hAnsi="Times New Roman"/>
        </w:rPr>
        <w:t xml:space="preserve"> and provides a way to collect information about how institutions keep their records.</w:t>
      </w:r>
      <w:r>
        <w:rPr>
          <w:rFonts w:ascii="Times New Roman" w:hAnsi="Times New Roman"/>
        </w:rPr>
        <w:t xml:space="preserve"> </w:t>
      </w:r>
    </w:p>
    <w:p w:rsidR="00D31AB3" w:rsidRDefault="00D31AB3" w:rsidP="0028416B">
      <w:pPr>
        <w:spacing w:after="0" w:line="240" w:lineRule="atLeast"/>
        <w:ind w:firstLine="576"/>
        <w:rPr>
          <w:rFonts w:ascii="Times New Roman" w:hAnsi="Times New Roman"/>
        </w:rPr>
      </w:pPr>
    </w:p>
    <w:p w:rsidR="00D31AB3" w:rsidRDefault="00D31AB3" w:rsidP="00D31AB3">
      <w:pPr>
        <w:spacing w:after="0" w:line="240" w:lineRule="atLeast"/>
        <w:ind w:firstLine="576"/>
        <w:rPr>
          <w:rFonts w:ascii="Times New Roman" w:hAnsi="Times New Roman"/>
        </w:rPr>
      </w:pPr>
      <w:r>
        <w:rPr>
          <w:rFonts w:ascii="Times New Roman" w:hAnsi="Times New Roman"/>
        </w:rPr>
        <w:t>Question 2</w:t>
      </w:r>
      <w:r w:rsidR="007A3C02">
        <w:rPr>
          <w:rFonts w:ascii="Times New Roman" w:hAnsi="Times New Roman"/>
        </w:rPr>
        <w:t>7</w:t>
      </w:r>
      <w:r>
        <w:rPr>
          <w:rFonts w:ascii="Times New Roman" w:hAnsi="Times New Roman"/>
        </w:rPr>
        <w:t xml:space="preserve"> </w:t>
      </w:r>
      <w:r w:rsidR="007A3C02" w:rsidRPr="007A3C02">
        <w:rPr>
          <w:rFonts w:ascii="Times New Roman" w:hAnsi="Times New Roman"/>
        </w:rPr>
        <w:t>asks how many of the students reported in the enrollment counts at</w:t>
      </w:r>
      <w:r w:rsidR="004D3781">
        <w:rPr>
          <w:rFonts w:ascii="Times New Roman" w:hAnsi="Times New Roman"/>
        </w:rPr>
        <w:t xml:space="preserve"> question</w:t>
      </w:r>
      <w:r w:rsidR="007A3C02" w:rsidRPr="007A3C02">
        <w:rPr>
          <w:rFonts w:ascii="Times New Roman" w:hAnsi="Times New Roman"/>
        </w:rPr>
        <w:t xml:space="preserve"> 2</w:t>
      </w:r>
      <w:r w:rsidR="007A3C02">
        <w:rPr>
          <w:rFonts w:ascii="Times New Roman" w:hAnsi="Times New Roman"/>
        </w:rPr>
        <w:t>5</w:t>
      </w:r>
      <w:r w:rsidR="007A3C02" w:rsidRPr="007A3C02">
        <w:rPr>
          <w:rFonts w:ascii="Times New Roman" w:hAnsi="Times New Roman"/>
        </w:rPr>
        <w:t xml:space="preserve"> are dependents of military service members or veterans who received military or veteran’s financial education benefits. This question also asks for undergraduate</w:t>
      </w:r>
      <w:r w:rsidR="002345C0">
        <w:rPr>
          <w:rFonts w:ascii="Times New Roman" w:hAnsi="Times New Roman"/>
        </w:rPr>
        <w:t>-level</w:t>
      </w:r>
      <w:r w:rsidR="007A3C02" w:rsidRPr="007A3C02">
        <w:rPr>
          <w:rFonts w:ascii="Times New Roman" w:hAnsi="Times New Roman"/>
        </w:rPr>
        <w:t xml:space="preserve"> and graduate</w:t>
      </w:r>
      <w:r w:rsidR="002345C0">
        <w:rPr>
          <w:rFonts w:ascii="Times New Roman" w:hAnsi="Times New Roman"/>
        </w:rPr>
        <w:t>-level</w:t>
      </w:r>
      <w:r w:rsidR="007A3C02" w:rsidRPr="007A3C02">
        <w:rPr>
          <w:rFonts w:ascii="Times New Roman" w:hAnsi="Times New Roman"/>
        </w:rPr>
        <w:t xml:space="preserve"> student counts. The respondent has the option of skipping the question</w:t>
      </w:r>
      <w:r w:rsidR="002345C0">
        <w:rPr>
          <w:rFonts w:ascii="Times New Roman" w:hAnsi="Times New Roman"/>
        </w:rPr>
        <w:t xml:space="preserve"> </w:t>
      </w:r>
      <w:r w:rsidR="007A3C02" w:rsidRPr="007A3C02">
        <w:rPr>
          <w:rFonts w:ascii="Times New Roman" w:hAnsi="Times New Roman"/>
        </w:rPr>
        <w:t>if the institution cannot report these enrollments separately.</w:t>
      </w:r>
      <w:r>
        <w:rPr>
          <w:rFonts w:ascii="Times New Roman" w:hAnsi="Times New Roman"/>
        </w:rPr>
        <w:t xml:space="preserve"> </w:t>
      </w:r>
    </w:p>
    <w:p w:rsidR="00D31AB3" w:rsidRDefault="00D31AB3" w:rsidP="0028416B">
      <w:pPr>
        <w:spacing w:after="0" w:line="240" w:lineRule="atLeast"/>
        <w:ind w:firstLine="576"/>
        <w:rPr>
          <w:rFonts w:ascii="Times New Roman" w:hAnsi="Times New Roman"/>
        </w:rPr>
      </w:pPr>
    </w:p>
    <w:p w:rsidR="00D31AB3" w:rsidRDefault="00D31AB3" w:rsidP="00D31AB3">
      <w:pPr>
        <w:spacing w:after="0" w:line="240" w:lineRule="atLeast"/>
        <w:ind w:firstLine="576"/>
        <w:rPr>
          <w:rFonts w:ascii="Times New Roman" w:hAnsi="Times New Roman"/>
        </w:rPr>
      </w:pPr>
      <w:r>
        <w:rPr>
          <w:rFonts w:ascii="Times New Roman" w:hAnsi="Times New Roman"/>
        </w:rPr>
        <w:t>Question 2</w:t>
      </w:r>
      <w:r w:rsidR="003650B5">
        <w:rPr>
          <w:rFonts w:ascii="Times New Roman" w:hAnsi="Times New Roman"/>
        </w:rPr>
        <w:t>8</w:t>
      </w:r>
      <w:r>
        <w:rPr>
          <w:rFonts w:ascii="Times New Roman" w:hAnsi="Times New Roman"/>
        </w:rPr>
        <w:t xml:space="preserve"> asks </w:t>
      </w:r>
      <w:r w:rsidR="003650B5">
        <w:rPr>
          <w:rFonts w:ascii="Times New Roman" w:hAnsi="Times New Roman"/>
        </w:rPr>
        <w:t>about the types of dependents included (Chapter 33, Chapter 35, other) in the enrollment counts report in</w:t>
      </w:r>
      <w:r w:rsidR="004D3781">
        <w:rPr>
          <w:rFonts w:ascii="Times New Roman" w:hAnsi="Times New Roman"/>
        </w:rPr>
        <w:t xml:space="preserve"> question</w:t>
      </w:r>
      <w:r w:rsidR="003650B5">
        <w:rPr>
          <w:rFonts w:ascii="Times New Roman" w:hAnsi="Times New Roman"/>
        </w:rPr>
        <w:t xml:space="preserve"> 27</w:t>
      </w:r>
      <w:r>
        <w:rPr>
          <w:rFonts w:ascii="Times New Roman" w:hAnsi="Times New Roman"/>
        </w:rPr>
        <w:t>.</w:t>
      </w:r>
      <w:r w:rsidR="003650B5">
        <w:rPr>
          <w:rFonts w:ascii="Times New Roman" w:hAnsi="Times New Roman"/>
        </w:rPr>
        <w:t xml:space="preserve"> This question is included</w:t>
      </w:r>
      <w:r>
        <w:rPr>
          <w:rFonts w:ascii="Times New Roman" w:hAnsi="Times New Roman"/>
        </w:rPr>
        <w:t xml:space="preserve"> </w:t>
      </w:r>
      <w:r w:rsidR="00382F80">
        <w:rPr>
          <w:rFonts w:ascii="Times New Roman" w:hAnsi="Times New Roman"/>
        </w:rPr>
        <w:t>in order to find out what</w:t>
      </w:r>
      <w:r w:rsidR="00454A87">
        <w:rPr>
          <w:rFonts w:ascii="Times New Roman" w:hAnsi="Times New Roman"/>
        </w:rPr>
        <w:t xml:space="preserve"> types of dependents institutions are</w:t>
      </w:r>
      <w:r w:rsidR="00382F80">
        <w:rPr>
          <w:rFonts w:ascii="Times New Roman" w:hAnsi="Times New Roman"/>
        </w:rPr>
        <w:t xml:space="preserve"> tracking.  This </w:t>
      </w:r>
      <w:r w:rsidR="00454A87">
        <w:rPr>
          <w:rFonts w:ascii="Times New Roman" w:hAnsi="Times New Roman"/>
        </w:rPr>
        <w:t xml:space="preserve">will </w:t>
      </w:r>
      <w:r w:rsidR="00382F80">
        <w:rPr>
          <w:rFonts w:ascii="Times New Roman" w:hAnsi="Times New Roman"/>
        </w:rPr>
        <w:t>help identify which institutions are providing only partial counts of dependents.</w:t>
      </w:r>
    </w:p>
    <w:p w:rsidR="00D31AB3" w:rsidRDefault="00D31AB3" w:rsidP="0028416B">
      <w:pPr>
        <w:spacing w:after="0" w:line="240" w:lineRule="atLeast"/>
        <w:ind w:firstLine="576"/>
        <w:rPr>
          <w:rFonts w:ascii="Times New Roman" w:hAnsi="Times New Roman"/>
        </w:rPr>
      </w:pPr>
    </w:p>
    <w:p w:rsidR="008126EA" w:rsidRPr="0079689D" w:rsidRDefault="0046372B" w:rsidP="00817867">
      <w:pPr>
        <w:spacing w:after="120" w:line="240" w:lineRule="auto"/>
        <w:rPr>
          <w:rFonts w:ascii="Times New Roman" w:hAnsi="Times New Roman"/>
          <w:b/>
        </w:rPr>
      </w:pPr>
      <w:r>
        <w:rPr>
          <w:rFonts w:ascii="Times New Roman" w:hAnsi="Times New Roman"/>
          <w:b/>
        </w:rPr>
        <w:t>Survey C</w:t>
      </w:r>
      <w:r w:rsidR="00D11D4A">
        <w:rPr>
          <w:rFonts w:ascii="Times New Roman" w:hAnsi="Times New Roman"/>
          <w:b/>
        </w:rPr>
        <w:t xml:space="preserve">ost and </w:t>
      </w:r>
      <w:r w:rsidR="008126EA" w:rsidRPr="0079689D">
        <w:rPr>
          <w:rFonts w:ascii="Times New Roman" w:hAnsi="Times New Roman"/>
          <w:b/>
        </w:rPr>
        <w:t>Time</w:t>
      </w:r>
      <w:r w:rsidR="00D11D4A">
        <w:rPr>
          <w:rFonts w:ascii="Times New Roman" w:hAnsi="Times New Roman"/>
          <w:b/>
        </w:rPr>
        <w:t xml:space="preserve"> Schedule</w:t>
      </w:r>
    </w:p>
    <w:p w:rsidR="000561B9" w:rsidRPr="00512952" w:rsidRDefault="000561B9" w:rsidP="0028416B">
      <w:pPr>
        <w:pStyle w:val="SP-SglSpPara"/>
        <w:jc w:val="left"/>
      </w:pPr>
      <w:r w:rsidRPr="00512952">
        <w:t>The survey is estimated to cost the federal government about $</w:t>
      </w:r>
      <w:r w:rsidR="00362038">
        <w:t>5</w:t>
      </w:r>
      <w:r w:rsidR="001B5DAE">
        <w:t>0</w:t>
      </w:r>
      <w:r w:rsidR="00362038">
        <w:t>0</w:t>
      </w:r>
      <w:r w:rsidR="005A5F05">
        <w:t>,000</w:t>
      </w:r>
      <w:r w:rsidRPr="00512952">
        <w:t>, including about $</w:t>
      </w:r>
      <w:r w:rsidR="001B5DAE">
        <w:t>46</w:t>
      </w:r>
      <w:r w:rsidR="00362038">
        <w:t>0</w:t>
      </w:r>
      <w:r w:rsidR="005A5F05">
        <w:t>,000</w:t>
      </w:r>
      <w:r w:rsidRPr="00512952">
        <w:t xml:space="preserve"> for contractual costs and $</w:t>
      </w:r>
      <w:r w:rsidR="00362038">
        <w:t>4</w:t>
      </w:r>
      <w:r w:rsidR="004136BA">
        <w:t>0,000</w:t>
      </w:r>
      <w:r w:rsidRPr="00512952">
        <w:t xml:space="preserve"> for salaries and expenses. Contractual costs include the costs for survey preparation, data collection, data analysis, and report preparation. </w:t>
      </w:r>
    </w:p>
    <w:p w:rsidR="002D5005" w:rsidRPr="00512952" w:rsidRDefault="002D5005" w:rsidP="0028416B">
      <w:pPr>
        <w:pStyle w:val="SP-SglSpPara"/>
        <w:jc w:val="left"/>
      </w:pPr>
    </w:p>
    <w:p w:rsidR="006C3BB0" w:rsidRDefault="00273BB8" w:rsidP="0028416B">
      <w:pPr>
        <w:pStyle w:val="SP-SglSpPara"/>
        <w:jc w:val="left"/>
        <w:rPr>
          <w:szCs w:val="22"/>
        </w:rPr>
      </w:pPr>
      <w:r>
        <w:t xml:space="preserve">The </w:t>
      </w:r>
      <w:r w:rsidRPr="00512952">
        <w:t xml:space="preserve">survey </w:t>
      </w:r>
      <w:r>
        <w:t>will be mailed in</w:t>
      </w:r>
      <w:r w:rsidR="006C3BB0" w:rsidRPr="00512952">
        <w:t xml:space="preserve"> </w:t>
      </w:r>
      <w:r w:rsidR="00EC7E46">
        <w:t>June</w:t>
      </w:r>
      <w:r w:rsidR="006C3BB0" w:rsidRPr="00512952">
        <w:t xml:space="preserve"> 2013.  About 3 weeks after mail out of the survey, Westat will begin telephone follow-up for nonresponse. Data collection is scheduled </w:t>
      </w:r>
      <w:r>
        <w:t>to</w:t>
      </w:r>
      <w:r w:rsidR="006C3BB0" w:rsidRPr="00512952">
        <w:t xml:space="preserve"> </w:t>
      </w:r>
      <w:r>
        <w:t>end</w:t>
      </w:r>
      <w:r w:rsidR="006C3BB0" w:rsidRPr="00512952">
        <w:t xml:space="preserve"> about 1</w:t>
      </w:r>
      <w:r w:rsidR="005D23F6" w:rsidRPr="00512952">
        <w:t>8</w:t>
      </w:r>
      <w:r w:rsidR="006C3BB0" w:rsidRPr="00512952">
        <w:t xml:space="preserve"> weeks after initial mail out</w:t>
      </w:r>
      <w:r w:rsidR="006C3BB0" w:rsidRPr="002D5005">
        <w:rPr>
          <w:szCs w:val="22"/>
        </w:rPr>
        <w:t xml:space="preserve">. </w:t>
      </w:r>
    </w:p>
    <w:p w:rsidR="002D5005" w:rsidRDefault="002D5005" w:rsidP="002D5005">
      <w:pPr>
        <w:pStyle w:val="SP-SglSpPara"/>
        <w:rPr>
          <w:szCs w:val="22"/>
        </w:rPr>
      </w:pPr>
    </w:p>
    <w:p w:rsidR="006C3BB0" w:rsidRPr="00042899" w:rsidRDefault="006C3BB0" w:rsidP="00817867">
      <w:pPr>
        <w:spacing w:after="120" w:line="240" w:lineRule="auto"/>
        <w:rPr>
          <w:rFonts w:ascii="Times New Roman" w:hAnsi="Times New Roman"/>
          <w:b/>
        </w:rPr>
      </w:pPr>
      <w:r w:rsidRPr="00042899">
        <w:rPr>
          <w:rFonts w:ascii="Times New Roman" w:hAnsi="Times New Roman"/>
          <w:b/>
        </w:rPr>
        <w:t>Plan for Tabulation and Publication</w:t>
      </w:r>
    </w:p>
    <w:p w:rsidR="00976C47" w:rsidRPr="00976C47" w:rsidRDefault="006C3BB0" w:rsidP="0035574F">
      <w:pPr>
        <w:spacing w:after="0" w:line="240" w:lineRule="atLeast"/>
        <w:ind w:firstLine="720"/>
        <w:rPr>
          <w:rFonts w:ascii="Times New Roman" w:hAnsi="Times New Roman"/>
        </w:rPr>
      </w:pPr>
      <w:r w:rsidRPr="00976C47">
        <w:rPr>
          <w:rFonts w:ascii="Times New Roman" w:hAnsi="Times New Roman"/>
        </w:rPr>
        <w:t xml:space="preserve">The </w:t>
      </w:r>
      <w:r w:rsidR="0003169A" w:rsidRPr="00976C47">
        <w:rPr>
          <w:rFonts w:ascii="Times New Roman" w:hAnsi="Times New Roman"/>
          <w:i/>
        </w:rPr>
        <w:t>F</w:t>
      </w:r>
      <w:r w:rsidRPr="00976C47">
        <w:rPr>
          <w:rFonts w:ascii="Times New Roman" w:hAnsi="Times New Roman"/>
          <w:i/>
        </w:rPr>
        <w:t xml:space="preserve">irst </w:t>
      </w:r>
      <w:r w:rsidR="0003169A" w:rsidRPr="00976C47">
        <w:rPr>
          <w:rFonts w:ascii="Times New Roman" w:hAnsi="Times New Roman"/>
          <w:i/>
        </w:rPr>
        <w:t>L</w:t>
      </w:r>
      <w:r w:rsidRPr="00976C47">
        <w:rPr>
          <w:rFonts w:ascii="Times New Roman" w:hAnsi="Times New Roman"/>
          <w:i/>
        </w:rPr>
        <w:t>ook</w:t>
      </w:r>
      <w:r w:rsidRPr="00976C47">
        <w:rPr>
          <w:rFonts w:ascii="Times New Roman" w:hAnsi="Times New Roman"/>
        </w:rPr>
        <w:t xml:space="preserve"> report will be released on the NCES website </w:t>
      </w:r>
      <w:r w:rsidR="00160DA7" w:rsidRPr="00976C47">
        <w:rPr>
          <w:rFonts w:ascii="Times New Roman" w:hAnsi="Times New Roman"/>
        </w:rPr>
        <w:t>in 201</w:t>
      </w:r>
      <w:r w:rsidR="003949F9" w:rsidRPr="00976C47">
        <w:rPr>
          <w:rFonts w:ascii="Times New Roman" w:hAnsi="Times New Roman"/>
        </w:rPr>
        <w:t>4</w:t>
      </w:r>
      <w:r w:rsidR="00160DA7" w:rsidRPr="00976C47">
        <w:rPr>
          <w:rFonts w:ascii="Times New Roman" w:hAnsi="Times New Roman"/>
        </w:rPr>
        <w:t xml:space="preserve"> </w:t>
      </w:r>
      <w:r w:rsidRPr="00976C47">
        <w:rPr>
          <w:rFonts w:ascii="Times New Roman" w:hAnsi="Times New Roman"/>
        </w:rPr>
        <w:t xml:space="preserve">and include explanatory text and tables. </w:t>
      </w:r>
      <w:r w:rsidR="00051220">
        <w:rPr>
          <w:rFonts w:ascii="Times New Roman" w:hAnsi="Times New Roman"/>
        </w:rPr>
        <w:t xml:space="preserve">Institutions in the PEQIS panel </w:t>
      </w:r>
      <w:r w:rsidRPr="00976C47">
        <w:rPr>
          <w:rFonts w:ascii="Times New Roman" w:hAnsi="Times New Roman"/>
        </w:rPr>
        <w:t xml:space="preserve">will be notified when </w:t>
      </w:r>
      <w:r w:rsidR="00B4677A" w:rsidRPr="00976C47">
        <w:rPr>
          <w:rFonts w:ascii="Times New Roman" w:hAnsi="Times New Roman"/>
        </w:rPr>
        <w:t>NCES releases the report.</w:t>
      </w:r>
      <w:r w:rsidRPr="00976C47">
        <w:rPr>
          <w:rFonts w:ascii="Times New Roman" w:hAnsi="Times New Roman"/>
        </w:rPr>
        <w:t xml:space="preserve"> </w:t>
      </w:r>
      <w:r w:rsidR="00B4677A" w:rsidRPr="00976C47">
        <w:rPr>
          <w:rFonts w:ascii="Times New Roman" w:hAnsi="Times New Roman"/>
        </w:rPr>
        <w:t xml:space="preserve"> </w:t>
      </w:r>
      <w:r w:rsidRPr="00976C47">
        <w:rPr>
          <w:rFonts w:ascii="Times New Roman" w:hAnsi="Times New Roman"/>
        </w:rPr>
        <w:t xml:space="preserve">A public use data file will also be released on the NCES website. Survey responses will be weighted to produce national estimates. </w:t>
      </w:r>
      <w:r w:rsidR="00273BB8">
        <w:rPr>
          <w:rFonts w:ascii="Times New Roman" w:hAnsi="Times New Roman"/>
        </w:rPr>
        <w:t xml:space="preserve"> T</w:t>
      </w:r>
      <w:r w:rsidRPr="00976C47">
        <w:rPr>
          <w:rFonts w:ascii="Times New Roman" w:hAnsi="Times New Roman"/>
        </w:rPr>
        <w:t xml:space="preserve">abulations will </w:t>
      </w:r>
      <w:r w:rsidR="00B4677A" w:rsidRPr="00976C47">
        <w:rPr>
          <w:rFonts w:ascii="Times New Roman" w:hAnsi="Times New Roman"/>
        </w:rPr>
        <w:t xml:space="preserve">be produced for each data item.  </w:t>
      </w:r>
      <w:r w:rsidR="00976C47" w:rsidRPr="00976C47">
        <w:rPr>
          <w:rFonts w:ascii="Times New Roman" w:hAnsi="Times New Roman"/>
        </w:rPr>
        <w:t>For PEQIS 1</w:t>
      </w:r>
      <w:r w:rsidR="00051220">
        <w:rPr>
          <w:rFonts w:ascii="Times New Roman" w:hAnsi="Times New Roman"/>
        </w:rPr>
        <w:t>9</w:t>
      </w:r>
      <w:r w:rsidR="00976C47" w:rsidRPr="00976C47">
        <w:rPr>
          <w:rFonts w:ascii="Times New Roman" w:hAnsi="Times New Roman"/>
        </w:rPr>
        <w:t>, crosstabulations of data items will be made with selected classification variables, such as the following</w:t>
      </w:r>
      <w:r w:rsidR="00976C47">
        <w:rPr>
          <w:rFonts w:ascii="Times New Roman" w:hAnsi="Times New Roman"/>
        </w:rPr>
        <w:t>:</w:t>
      </w:r>
      <w:r w:rsidR="00976C47" w:rsidRPr="00976C47">
        <w:rPr>
          <w:rFonts w:ascii="Times New Roman" w:hAnsi="Times New Roman"/>
        </w:rPr>
        <w:t xml:space="preserve"> </w:t>
      </w:r>
    </w:p>
    <w:p w:rsidR="00E30C85" w:rsidRDefault="00E30C85" w:rsidP="00E30C85">
      <w:pPr>
        <w:pStyle w:val="N2-2ndBullet"/>
        <w:tabs>
          <w:tab w:val="clear" w:pos="1728"/>
          <w:tab w:val="left" w:pos="720"/>
        </w:tabs>
        <w:spacing w:after="0" w:line="276" w:lineRule="auto"/>
        <w:ind w:left="0" w:firstLine="720"/>
      </w:pPr>
    </w:p>
    <w:p w:rsidR="00976C47" w:rsidRPr="00976C47" w:rsidRDefault="00976C47" w:rsidP="00273BB8">
      <w:pPr>
        <w:pStyle w:val="N2-2ndBullet"/>
        <w:numPr>
          <w:ilvl w:val="0"/>
          <w:numId w:val="2"/>
        </w:numPr>
        <w:tabs>
          <w:tab w:val="clear" w:pos="1728"/>
          <w:tab w:val="left" w:pos="720"/>
        </w:tabs>
        <w:spacing w:after="120" w:line="240" w:lineRule="auto"/>
      </w:pPr>
      <w:r w:rsidRPr="00976C47">
        <w:t>Type of institution (2-year public, 2-year private, 4-year public, 4-year private)</w:t>
      </w:r>
    </w:p>
    <w:p w:rsidR="00976C47" w:rsidRPr="00976C47" w:rsidRDefault="00976C47" w:rsidP="00273BB8">
      <w:pPr>
        <w:pStyle w:val="N2-2ndBullet"/>
        <w:numPr>
          <w:ilvl w:val="0"/>
          <w:numId w:val="2"/>
        </w:numPr>
        <w:tabs>
          <w:tab w:val="clear" w:pos="1728"/>
          <w:tab w:val="left" w:pos="720"/>
        </w:tabs>
        <w:spacing w:after="120" w:line="240" w:lineRule="auto"/>
      </w:pPr>
      <w:r w:rsidRPr="00976C47">
        <w:t>Size of institution (less than 3,000; 3,000–9,999; 10,000 or more)</w:t>
      </w:r>
    </w:p>
    <w:p w:rsidR="00B4677A" w:rsidRPr="008C5576" w:rsidRDefault="00B4677A" w:rsidP="00817867">
      <w:pPr>
        <w:spacing w:after="120" w:line="240" w:lineRule="auto"/>
        <w:rPr>
          <w:rFonts w:ascii="Times New Roman" w:hAnsi="Times New Roman"/>
          <w:b/>
          <w:sz w:val="28"/>
          <w:szCs w:val="28"/>
        </w:rPr>
      </w:pPr>
      <w:r w:rsidRPr="008C5576">
        <w:rPr>
          <w:rFonts w:ascii="Times New Roman" w:hAnsi="Times New Roman"/>
          <w:b/>
          <w:sz w:val="28"/>
          <w:szCs w:val="28"/>
        </w:rPr>
        <w:t>Statistical Methodology</w:t>
      </w:r>
    </w:p>
    <w:p w:rsidR="00B4677A" w:rsidRPr="003600EC" w:rsidRDefault="00B4677A" w:rsidP="00817867">
      <w:pPr>
        <w:spacing w:after="120"/>
        <w:rPr>
          <w:rFonts w:ascii="Times New Roman" w:hAnsi="Times New Roman"/>
          <w:b/>
        </w:rPr>
      </w:pPr>
      <w:r w:rsidRPr="003600EC">
        <w:rPr>
          <w:rFonts w:ascii="Times New Roman" w:hAnsi="Times New Roman"/>
          <w:b/>
        </w:rPr>
        <w:t>Reviewing Statisticians</w:t>
      </w:r>
    </w:p>
    <w:p w:rsidR="00B4677A" w:rsidRDefault="00B4677A" w:rsidP="0028416B">
      <w:pPr>
        <w:pStyle w:val="SP-SglSpPara"/>
        <w:jc w:val="left"/>
        <w:rPr>
          <w:bCs/>
          <w:color w:val="000000"/>
        </w:rPr>
      </w:pPr>
      <w:r w:rsidRPr="00AC1AE1">
        <w:lastRenderedPageBreak/>
        <w:t>J</w:t>
      </w:r>
      <w:r w:rsidR="00AC1AE1" w:rsidRPr="00AC1AE1">
        <w:t>ohn Ralph</w:t>
      </w:r>
      <w:r w:rsidRPr="003600EC">
        <w:t xml:space="preserve">, of NCES, is the </w:t>
      </w:r>
      <w:r w:rsidR="00051220">
        <w:t xml:space="preserve">Program </w:t>
      </w:r>
      <w:r w:rsidRPr="003600EC">
        <w:t>Officer for this survey. Adam Chu, Senior Statistician, Westat, was con</w:t>
      </w:r>
      <w:r w:rsidRPr="00095865">
        <w:rPr>
          <w:color w:val="000000"/>
        </w:rPr>
        <w:t>sulted about the statistical aspects of the design.</w:t>
      </w:r>
      <w:r w:rsidRPr="00095865">
        <w:rPr>
          <w:bCs/>
          <w:color w:val="000000"/>
        </w:rPr>
        <w:t xml:space="preserve"> Westat is the contractor currently conducting the QRIS surveys for NCES.</w:t>
      </w:r>
    </w:p>
    <w:p w:rsidR="003600EC" w:rsidRDefault="003600EC" w:rsidP="003600EC">
      <w:pPr>
        <w:pStyle w:val="SP-SglSpPara"/>
        <w:rPr>
          <w:bCs/>
          <w:color w:val="000000"/>
        </w:rPr>
      </w:pPr>
    </w:p>
    <w:p w:rsidR="006B11AA" w:rsidRDefault="006B11AA" w:rsidP="00817867">
      <w:pPr>
        <w:spacing w:after="120"/>
        <w:rPr>
          <w:rFonts w:ascii="Times New Roman" w:hAnsi="Times New Roman"/>
        </w:rPr>
      </w:pPr>
      <w:r w:rsidRPr="00A01D5E">
        <w:rPr>
          <w:rFonts w:ascii="Times New Roman" w:hAnsi="Times New Roman"/>
          <w:b/>
        </w:rPr>
        <w:t>Respondent Universe</w:t>
      </w:r>
      <w:r w:rsidRPr="00995FEF">
        <w:rPr>
          <w:rFonts w:ascii="Times New Roman" w:hAnsi="Times New Roman"/>
          <w:b/>
        </w:rPr>
        <w:t xml:space="preserve"> </w:t>
      </w:r>
      <w:r>
        <w:rPr>
          <w:rFonts w:ascii="Times New Roman" w:hAnsi="Times New Roman"/>
          <w:b/>
        </w:rPr>
        <w:t xml:space="preserve">and </w:t>
      </w:r>
      <w:r w:rsidRPr="00A01D5E">
        <w:rPr>
          <w:rFonts w:ascii="Times New Roman" w:hAnsi="Times New Roman"/>
          <w:b/>
        </w:rPr>
        <w:t>Statistical Methodology</w:t>
      </w:r>
      <w:r w:rsidRPr="007E71E1">
        <w:rPr>
          <w:rFonts w:ascii="Times New Roman" w:hAnsi="Times New Roman"/>
        </w:rPr>
        <w:t xml:space="preserve"> </w:t>
      </w:r>
    </w:p>
    <w:p w:rsidR="006B11AA" w:rsidRDefault="006B11AA" w:rsidP="00062D4D">
      <w:pPr>
        <w:spacing w:after="0" w:line="240" w:lineRule="atLeast"/>
        <w:ind w:firstLine="576"/>
        <w:rPr>
          <w:rFonts w:ascii="Times New Roman" w:hAnsi="Times New Roman"/>
        </w:rPr>
      </w:pPr>
      <w:r w:rsidRPr="007E71E1">
        <w:rPr>
          <w:rFonts w:ascii="Times New Roman" w:hAnsi="Times New Roman"/>
        </w:rPr>
        <w:t xml:space="preserve">This survey will be sent to approximately 1,600 postsecondary institutions in the PEQIS panel. The sampling frame for the PEQIS panel was constructed from the Integrated Postsecondary Education Data System (PEQIS) “Institutional Characteristics” file. Institutions eligible for the PEQIS frame included 2-year and 4-year (including graduate-level) Title IV-eligible degree granting institutions located in the 50 states and the District of Columbia: a total of approximately 4,300 institutions. </w:t>
      </w:r>
    </w:p>
    <w:p w:rsidR="00876BE9" w:rsidRPr="007E71E1" w:rsidRDefault="00876BE9" w:rsidP="00062D4D">
      <w:pPr>
        <w:spacing w:after="0" w:line="240" w:lineRule="atLeast"/>
        <w:ind w:firstLine="576"/>
        <w:rPr>
          <w:rFonts w:ascii="Times New Roman" w:hAnsi="Times New Roman"/>
        </w:rPr>
      </w:pPr>
    </w:p>
    <w:p w:rsidR="006B11AA" w:rsidRPr="007E71E1" w:rsidRDefault="006B11AA" w:rsidP="00062D4D">
      <w:pPr>
        <w:spacing w:after="0" w:line="240" w:lineRule="atLeast"/>
        <w:ind w:firstLine="576"/>
        <w:rPr>
          <w:rFonts w:ascii="Times New Roman" w:hAnsi="Times New Roman"/>
        </w:rPr>
      </w:pPr>
      <w:r w:rsidRPr="007E71E1">
        <w:rPr>
          <w:rFonts w:ascii="Times New Roman" w:hAnsi="Times New Roman"/>
        </w:rPr>
        <w:t>The PEQIS sampling frame was stratified by instructional level (4-year, 2-year), control (public, private not-for-profit), highest level of offering (doctor’s/first professional, master’s, bachelor’s, less than bachelor’s), and total enrollment. Within each strata, institutions were sorted by region (Northeast, Southeast, Central, West), and by whether the institution had a relatively high minority enrollment. The sample of institutions was allocated to the strat</w:t>
      </w:r>
      <w:r>
        <w:rPr>
          <w:rFonts w:ascii="Times New Roman" w:hAnsi="Times New Roman"/>
        </w:rPr>
        <w:t>a</w:t>
      </w:r>
      <w:r w:rsidRPr="007E71E1">
        <w:rPr>
          <w:rFonts w:ascii="Times New Roman" w:hAnsi="Times New Roman"/>
        </w:rPr>
        <w:t xml:space="preserve"> in proportion to the aggregate square root of total enrollment. Institutions within a stratum were sampled with equal probabilities of selection. </w:t>
      </w:r>
    </w:p>
    <w:p w:rsidR="00062D4D" w:rsidRDefault="00062D4D" w:rsidP="004C2E1A">
      <w:pPr>
        <w:pStyle w:val="SP-SglSpPara"/>
        <w:ind w:firstLine="0"/>
        <w:jc w:val="left"/>
        <w:rPr>
          <w:color w:val="000000" w:themeColor="text1"/>
          <w:szCs w:val="22"/>
        </w:rPr>
      </w:pPr>
    </w:p>
    <w:p w:rsidR="00817867" w:rsidRPr="00817867" w:rsidRDefault="00817867" w:rsidP="00817867">
      <w:pPr>
        <w:spacing w:after="120"/>
        <w:rPr>
          <w:rFonts w:ascii="Times New Roman" w:hAnsi="Times New Roman"/>
          <w:b/>
        </w:rPr>
      </w:pPr>
      <w:r>
        <w:rPr>
          <w:rFonts w:ascii="Times New Roman" w:hAnsi="Times New Roman"/>
          <w:b/>
        </w:rPr>
        <w:t xml:space="preserve">Crosswalk </w:t>
      </w:r>
      <w:r w:rsidRPr="00817867">
        <w:rPr>
          <w:rFonts w:ascii="Times New Roman" w:hAnsi="Times New Roman"/>
          <w:b/>
        </w:rPr>
        <w:t>of Survey Item Changes B</w:t>
      </w:r>
      <w:r w:rsidRPr="00817867">
        <w:rPr>
          <w:rFonts w:ascii="Times New Roman" w:hAnsi="Times New Roman"/>
          <w:b/>
        </w:rPr>
        <w:t xml:space="preserve">etween </w:t>
      </w:r>
      <w:r w:rsidRPr="00817867">
        <w:rPr>
          <w:rFonts w:ascii="Times New Roman" w:hAnsi="Times New Roman"/>
          <w:b/>
        </w:rPr>
        <w:t>Pretest and Full Scale (</w:t>
      </w:r>
      <w:r w:rsidRPr="00817867">
        <w:rPr>
          <w:rFonts w:ascii="Times New Roman" w:hAnsi="Times New Roman"/>
          <w:b/>
        </w:rPr>
        <w:t>1-8-13 and 3-18-13</w:t>
      </w:r>
      <w:r w:rsidRPr="00817867">
        <w:rPr>
          <w:rFonts w:ascii="Times New Roman" w:hAnsi="Times New Roman"/>
          <w:b/>
        </w:rPr>
        <w:t>)</w:t>
      </w:r>
    </w:p>
    <w:tbl>
      <w:tblPr>
        <w:tblStyle w:val="TableGrid"/>
        <w:tblW w:w="5000" w:type="pct"/>
        <w:tblLook w:val="04A0" w:firstRow="1" w:lastRow="0" w:firstColumn="1" w:lastColumn="0" w:noHBand="0" w:noVBand="1"/>
      </w:tblPr>
      <w:tblGrid>
        <w:gridCol w:w="1998"/>
        <w:gridCol w:w="900"/>
        <w:gridCol w:w="7542"/>
      </w:tblGrid>
      <w:tr w:rsidR="00817867" w:rsidTr="00817867">
        <w:tc>
          <w:tcPr>
            <w:tcW w:w="957" w:type="pct"/>
            <w:tcBorders>
              <w:bottom w:val="single" w:sz="4" w:space="0" w:color="auto"/>
            </w:tcBorders>
            <w:shd w:val="clear" w:color="auto" w:fill="BFBFBF" w:themeFill="background1" w:themeFillShade="BF"/>
          </w:tcPr>
          <w:p w:rsidR="00817867" w:rsidRPr="00817867" w:rsidRDefault="00817867" w:rsidP="00817867">
            <w:pPr>
              <w:tabs>
                <w:tab w:val="center" w:pos="2286"/>
                <w:tab w:val="right" w:pos="4572"/>
              </w:tabs>
              <w:spacing w:after="0" w:line="240" w:lineRule="auto"/>
              <w:jc w:val="center"/>
              <w:rPr>
                <w:rFonts w:ascii="Times New Roman" w:hAnsi="Times New Roman" w:cs="Times New Roman"/>
                <w:sz w:val="18"/>
                <w:szCs w:val="18"/>
              </w:rPr>
            </w:pPr>
            <w:r w:rsidRPr="00817867">
              <w:rPr>
                <w:rFonts w:ascii="Times New Roman" w:hAnsi="Times New Roman" w:cs="Times New Roman"/>
                <w:sz w:val="18"/>
                <w:szCs w:val="18"/>
              </w:rPr>
              <w:t xml:space="preserve">1-8-13 </w:t>
            </w:r>
          </w:p>
          <w:p w:rsidR="00817867" w:rsidRPr="00817867" w:rsidRDefault="00817867" w:rsidP="00817867">
            <w:pPr>
              <w:tabs>
                <w:tab w:val="center" w:pos="2286"/>
                <w:tab w:val="right" w:pos="4572"/>
              </w:tabs>
              <w:spacing w:after="0" w:line="240" w:lineRule="auto"/>
              <w:jc w:val="center"/>
              <w:rPr>
                <w:rFonts w:ascii="Times New Roman" w:hAnsi="Times New Roman" w:cs="Times New Roman"/>
                <w:sz w:val="18"/>
                <w:szCs w:val="18"/>
              </w:rPr>
            </w:pPr>
            <w:r w:rsidRPr="00817867">
              <w:rPr>
                <w:rFonts w:ascii="Times New Roman" w:hAnsi="Times New Roman" w:cs="Times New Roman"/>
                <w:sz w:val="18"/>
                <w:szCs w:val="18"/>
              </w:rPr>
              <w:t>Questionnaire Draft</w:t>
            </w:r>
          </w:p>
        </w:tc>
        <w:tc>
          <w:tcPr>
            <w:tcW w:w="431" w:type="pct"/>
            <w:tcBorders>
              <w:bottom w:val="single" w:sz="4" w:space="0" w:color="auto"/>
            </w:tcBorders>
            <w:shd w:val="clear" w:color="auto" w:fill="BFBFBF" w:themeFill="background1" w:themeFillShade="BF"/>
          </w:tcPr>
          <w:p w:rsidR="00817867" w:rsidRPr="00817867" w:rsidRDefault="00817867" w:rsidP="00817867">
            <w:pPr>
              <w:spacing w:after="0" w:line="240" w:lineRule="auto"/>
              <w:jc w:val="center"/>
              <w:rPr>
                <w:rFonts w:ascii="Times New Roman" w:hAnsi="Times New Roman" w:cs="Times New Roman"/>
                <w:sz w:val="18"/>
                <w:szCs w:val="18"/>
              </w:rPr>
            </w:pPr>
          </w:p>
        </w:tc>
        <w:tc>
          <w:tcPr>
            <w:tcW w:w="3612" w:type="pct"/>
            <w:tcBorders>
              <w:bottom w:val="single" w:sz="4" w:space="0" w:color="auto"/>
            </w:tcBorders>
            <w:shd w:val="clear" w:color="auto" w:fill="BFBFBF" w:themeFill="background1" w:themeFillShade="BF"/>
          </w:tcPr>
          <w:p w:rsidR="00817867" w:rsidRPr="00817867" w:rsidRDefault="00817867" w:rsidP="00817867">
            <w:pPr>
              <w:spacing w:after="0" w:line="240" w:lineRule="auto"/>
              <w:jc w:val="center"/>
              <w:rPr>
                <w:rFonts w:ascii="Times New Roman" w:hAnsi="Times New Roman" w:cs="Times New Roman"/>
                <w:sz w:val="18"/>
                <w:szCs w:val="18"/>
              </w:rPr>
            </w:pPr>
            <w:r w:rsidRPr="00817867">
              <w:rPr>
                <w:rFonts w:ascii="Times New Roman" w:hAnsi="Times New Roman" w:cs="Times New Roman"/>
                <w:sz w:val="18"/>
                <w:szCs w:val="18"/>
              </w:rPr>
              <w:t xml:space="preserve">3-18-13 </w:t>
            </w:r>
          </w:p>
          <w:p w:rsidR="00817867" w:rsidRPr="00817867" w:rsidRDefault="00817867" w:rsidP="00817867">
            <w:pPr>
              <w:spacing w:after="0" w:line="240" w:lineRule="auto"/>
              <w:jc w:val="center"/>
              <w:rPr>
                <w:rFonts w:ascii="Times New Roman" w:hAnsi="Times New Roman" w:cs="Times New Roman"/>
                <w:sz w:val="18"/>
                <w:szCs w:val="18"/>
              </w:rPr>
            </w:pPr>
            <w:r w:rsidRPr="00817867">
              <w:rPr>
                <w:rFonts w:ascii="Times New Roman" w:hAnsi="Times New Roman" w:cs="Times New Roman"/>
                <w:sz w:val="18"/>
                <w:szCs w:val="18"/>
              </w:rPr>
              <w:t>Questionnaire Draft</w:t>
            </w:r>
          </w:p>
        </w:tc>
      </w:tr>
      <w:tr w:rsidR="00817867" w:rsidTr="00817867">
        <w:tc>
          <w:tcPr>
            <w:tcW w:w="957" w:type="pct"/>
            <w:tcBorders>
              <w:top w:val="single" w:sz="8" w:space="0" w:color="auto"/>
            </w:tcBorders>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w:t>
            </w:r>
          </w:p>
        </w:tc>
        <w:tc>
          <w:tcPr>
            <w:tcW w:w="431" w:type="pct"/>
            <w:tcBorders>
              <w:top w:val="single" w:sz="8" w:space="0" w:color="auto"/>
            </w:tcBorders>
          </w:tcPr>
          <w:p w:rsidR="00817867" w:rsidRPr="00817867" w:rsidRDefault="00817867" w:rsidP="00817867">
            <w:pPr>
              <w:spacing w:after="0" w:line="240" w:lineRule="auto"/>
              <w:rPr>
                <w:rFonts w:ascii="Times New Roman" w:hAnsi="Times New Roman" w:cs="Times New Roman"/>
                <w:sz w:val="18"/>
                <w:szCs w:val="18"/>
              </w:rPr>
            </w:pPr>
          </w:p>
        </w:tc>
        <w:tc>
          <w:tcPr>
            <w:tcW w:w="3612" w:type="pct"/>
            <w:tcBorders>
              <w:top w:val="single" w:sz="8" w:space="0" w:color="auto"/>
            </w:tcBorders>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Q1/NEW</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Q2/same</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Q3/same</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Q3</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Q5/same</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Q4</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Q6/instructions in parentheses modified only</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Q5</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Q7/same</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Q6</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Q8/modified</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Q7</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Deleted/combined with new Q8</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Q8</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Q9/same</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Q9</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Q11/same</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Q10</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 xml:space="preserve">Q10/slightly modified </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Q11</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Separated into new Q4, Q13, and Q14</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Q12</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Q12/same</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Q13</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Q15/same</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Q14</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Q16/modified; same response options</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Q15</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Q17/same; deleted response option d</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Q16</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ind w:left="702" w:hanging="702"/>
              <w:rPr>
                <w:rFonts w:ascii="Times New Roman" w:hAnsi="Times New Roman" w:cs="Times New Roman"/>
                <w:sz w:val="18"/>
                <w:szCs w:val="18"/>
              </w:rPr>
            </w:pPr>
            <w:r w:rsidRPr="00817867">
              <w:rPr>
                <w:rFonts w:ascii="Times New Roman" w:hAnsi="Times New Roman" w:cs="Times New Roman"/>
                <w:sz w:val="18"/>
                <w:szCs w:val="18"/>
              </w:rPr>
              <w:t>Q18/same; added example to response option d; moved response options g and h into new Q19; deleted response option i</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Q17</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Q20/modified</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Q18</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Q21/same</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Q19</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Deleted</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Q20</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Q23/modified; instructions in parentheses added; response options modified</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Q21</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Q24/same</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Q22</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Q25/same; response options modified</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Q23</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Q26/same</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Q24</w:t>
            </w:r>
          </w:p>
        </w:tc>
        <w:tc>
          <w:tcPr>
            <w:tcW w:w="431"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is now</w:t>
            </w: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Q27/same; instructions in italics modified; response options modified</w:t>
            </w:r>
          </w:p>
        </w:tc>
      </w:tr>
      <w:tr w:rsidR="00817867" w:rsidTr="00817867">
        <w:tc>
          <w:tcPr>
            <w:tcW w:w="957" w:type="pct"/>
            <w:shd w:val="clear" w:color="auto" w:fill="BFBFBF" w:themeFill="background1" w:themeFillShade="BF"/>
          </w:tcPr>
          <w:p w:rsidR="00817867" w:rsidRPr="00817867" w:rsidRDefault="00817867" w:rsidP="00817867">
            <w:pPr>
              <w:spacing w:after="0" w:line="240" w:lineRule="auto"/>
              <w:rPr>
                <w:rFonts w:ascii="Times New Roman" w:hAnsi="Times New Roman" w:cs="Times New Roman"/>
                <w:sz w:val="18"/>
                <w:szCs w:val="18"/>
              </w:rPr>
            </w:pPr>
          </w:p>
        </w:tc>
        <w:tc>
          <w:tcPr>
            <w:tcW w:w="431" w:type="pct"/>
            <w:shd w:val="clear" w:color="auto" w:fill="BFBFBF" w:themeFill="background1" w:themeFillShade="BF"/>
          </w:tcPr>
          <w:p w:rsidR="00817867" w:rsidRPr="00817867" w:rsidRDefault="00817867" w:rsidP="00817867">
            <w:pPr>
              <w:spacing w:after="0" w:line="240" w:lineRule="auto"/>
              <w:rPr>
                <w:rFonts w:ascii="Times New Roman" w:hAnsi="Times New Roman" w:cs="Times New Roman"/>
                <w:sz w:val="18"/>
                <w:szCs w:val="18"/>
              </w:rPr>
            </w:pPr>
          </w:p>
        </w:tc>
        <w:tc>
          <w:tcPr>
            <w:tcW w:w="3612" w:type="pct"/>
            <w:shd w:val="clear" w:color="auto" w:fill="BFBFBF" w:themeFill="background1" w:themeFillShade="BF"/>
          </w:tcPr>
          <w:p w:rsidR="00817867" w:rsidRPr="00817867" w:rsidRDefault="00817867" w:rsidP="00817867">
            <w:pPr>
              <w:spacing w:after="0" w:line="240" w:lineRule="auto"/>
              <w:rPr>
                <w:rFonts w:ascii="Times New Roman" w:hAnsi="Times New Roman" w:cs="Times New Roman"/>
                <w:sz w:val="18"/>
                <w:szCs w:val="18"/>
              </w:rPr>
            </w:pP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w:t>
            </w:r>
          </w:p>
        </w:tc>
        <w:tc>
          <w:tcPr>
            <w:tcW w:w="431" w:type="pct"/>
            <w:shd w:val="clear" w:color="auto" w:fill="BFBFBF" w:themeFill="background1" w:themeFillShade="BF"/>
          </w:tcPr>
          <w:p w:rsidR="00817867" w:rsidRPr="00817867" w:rsidRDefault="00817867" w:rsidP="00817867">
            <w:pPr>
              <w:spacing w:after="0" w:line="240" w:lineRule="auto"/>
              <w:rPr>
                <w:rFonts w:ascii="Times New Roman" w:hAnsi="Times New Roman" w:cs="Times New Roman"/>
                <w:sz w:val="18"/>
                <w:szCs w:val="18"/>
              </w:rPr>
            </w:pP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Q4   NEW</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w:t>
            </w:r>
          </w:p>
        </w:tc>
        <w:tc>
          <w:tcPr>
            <w:tcW w:w="431" w:type="pct"/>
            <w:shd w:val="clear" w:color="auto" w:fill="BFBFBF" w:themeFill="background1" w:themeFillShade="BF"/>
          </w:tcPr>
          <w:p w:rsidR="00817867" w:rsidRPr="00817867" w:rsidRDefault="00817867" w:rsidP="00817867">
            <w:pPr>
              <w:spacing w:after="0" w:line="240" w:lineRule="auto"/>
              <w:rPr>
                <w:rFonts w:ascii="Times New Roman" w:hAnsi="Times New Roman" w:cs="Times New Roman"/>
                <w:sz w:val="18"/>
                <w:szCs w:val="18"/>
              </w:rPr>
            </w:pP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Q13 NEW</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w:t>
            </w:r>
          </w:p>
        </w:tc>
        <w:tc>
          <w:tcPr>
            <w:tcW w:w="431" w:type="pct"/>
            <w:shd w:val="clear" w:color="auto" w:fill="BFBFBF" w:themeFill="background1" w:themeFillShade="BF"/>
          </w:tcPr>
          <w:p w:rsidR="00817867" w:rsidRPr="00817867" w:rsidRDefault="00817867" w:rsidP="00817867">
            <w:pPr>
              <w:spacing w:after="0" w:line="240" w:lineRule="auto"/>
              <w:rPr>
                <w:rFonts w:ascii="Times New Roman" w:hAnsi="Times New Roman" w:cs="Times New Roman"/>
                <w:sz w:val="18"/>
                <w:szCs w:val="18"/>
              </w:rPr>
            </w:pP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Q14 NEW</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w:t>
            </w:r>
          </w:p>
        </w:tc>
        <w:tc>
          <w:tcPr>
            <w:tcW w:w="431" w:type="pct"/>
            <w:shd w:val="clear" w:color="auto" w:fill="BFBFBF" w:themeFill="background1" w:themeFillShade="BF"/>
          </w:tcPr>
          <w:p w:rsidR="00817867" w:rsidRPr="00817867" w:rsidRDefault="00817867" w:rsidP="00817867">
            <w:pPr>
              <w:spacing w:after="0" w:line="240" w:lineRule="auto"/>
              <w:rPr>
                <w:rFonts w:ascii="Times New Roman" w:hAnsi="Times New Roman" w:cs="Times New Roman"/>
                <w:sz w:val="18"/>
                <w:szCs w:val="18"/>
              </w:rPr>
            </w:pP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Q19 NEW</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w:t>
            </w:r>
          </w:p>
        </w:tc>
        <w:tc>
          <w:tcPr>
            <w:tcW w:w="431" w:type="pct"/>
            <w:shd w:val="clear" w:color="auto" w:fill="BFBFBF" w:themeFill="background1" w:themeFillShade="BF"/>
          </w:tcPr>
          <w:p w:rsidR="00817867" w:rsidRPr="00817867" w:rsidRDefault="00817867" w:rsidP="00817867">
            <w:pPr>
              <w:spacing w:after="0" w:line="240" w:lineRule="auto"/>
              <w:rPr>
                <w:rFonts w:ascii="Times New Roman" w:hAnsi="Times New Roman" w:cs="Times New Roman"/>
                <w:sz w:val="18"/>
                <w:szCs w:val="18"/>
              </w:rPr>
            </w:pP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Q22 NEW</w:t>
            </w:r>
          </w:p>
        </w:tc>
      </w:tr>
      <w:tr w:rsidR="00817867" w:rsidTr="00817867">
        <w:tc>
          <w:tcPr>
            <w:tcW w:w="957"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w:t>
            </w:r>
          </w:p>
        </w:tc>
        <w:tc>
          <w:tcPr>
            <w:tcW w:w="431" w:type="pct"/>
            <w:shd w:val="clear" w:color="auto" w:fill="BFBFBF" w:themeFill="background1" w:themeFillShade="BF"/>
          </w:tcPr>
          <w:p w:rsidR="00817867" w:rsidRPr="00817867" w:rsidRDefault="00817867" w:rsidP="00817867">
            <w:pPr>
              <w:spacing w:after="0" w:line="240" w:lineRule="auto"/>
              <w:rPr>
                <w:rFonts w:ascii="Times New Roman" w:hAnsi="Times New Roman" w:cs="Times New Roman"/>
                <w:sz w:val="18"/>
                <w:szCs w:val="18"/>
              </w:rPr>
            </w:pPr>
          </w:p>
        </w:tc>
        <w:tc>
          <w:tcPr>
            <w:tcW w:w="3612" w:type="pct"/>
          </w:tcPr>
          <w:p w:rsidR="00817867" w:rsidRPr="00817867" w:rsidRDefault="00817867" w:rsidP="00817867">
            <w:pPr>
              <w:spacing w:after="0" w:line="240" w:lineRule="auto"/>
              <w:rPr>
                <w:rFonts w:ascii="Times New Roman" w:hAnsi="Times New Roman" w:cs="Times New Roman"/>
                <w:sz w:val="18"/>
                <w:szCs w:val="18"/>
              </w:rPr>
            </w:pPr>
            <w:r w:rsidRPr="00817867">
              <w:rPr>
                <w:rFonts w:ascii="Times New Roman" w:hAnsi="Times New Roman" w:cs="Times New Roman"/>
                <w:sz w:val="18"/>
                <w:szCs w:val="18"/>
              </w:rPr>
              <w:t>Q28 NEW</w:t>
            </w:r>
          </w:p>
        </w:tc>
      </w:tr>
    </w:tbl>
    <w:p w:rsidR="00817867" w:rsidRPr="006B11AA" w:rsidRDefault="00817867" w:rsidP="004C2E1A">
      <w:pPr>
        <w:pStyle w:val="SP-SglSpPara"/>
        <w:ind w:firstLine="0"/>
        <w:jc w:val="left"/>
        <w:rPr>
          <w:color w:val="000000" w:themeColor="text1"/>
          <w:szCs w:val="22"/>
        </w:rPr>
        <w:sectPr w:rsidR="00817867" w:rsidRPr="006B11AA" w:rsidSect="002B414C">
          <w:footerReference w:type="first" r:id="rId10"/>
          <w:pgSz w:w="12240" w:h="15840" w:code="1"/>
          <w:pgMar w:top="1008" w:right="1008" w:bottom="1008" w:left="1008" w:header="432" w:footer="432" w:gutter="0"/>
          <w:pgNumType w:start="1"/>
          <w:cols w:space="720"/>
          <w:titlePg/>
          <w:docGrid w:linePitch="360"/>
        </w:sectPr>
      </w:pPr>
    </w:p>
    <w:p w:rsidR="00B4677A" w:rsidRPr="00817867" w:rsidRDefault="00B4677A" w:rsidP="00817867">
      <w:pPr>
        <w:spacing w:after="0" w:line="240" w:lineRule="auto"/>
        <w:rPr>
          <w:rFonts w:ascii="Times New Roman" w:hAnsi="Times New Roman"/>
          <w:color w:val="000000" w:themeColor="text1"/>
          <w:sz w:val="10"/>
          <w:szCs w:val="10"/>
        </w:rPr>
      </w:pPr>
    </w:p>
    <w:sectPr w:rsidR="00B4677A" w:rsidRPr="00817867" w:rsidSect="0046372B">
      <w:headerReference w:type="default" r:id="rId11"/>
      <w:footerReference w:type="default" r:id="rId12"/>
      <w:type w:val="continuous"/>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6A3" w:rsidRDefault="006C76A3">
      <w:pPr>
        <w:spacing w:after="0" w:line="240" w:lineRule="auto"/>
      </w:pPr>
      <w:r>
        <w:separator/>
      </w:r>
    </w:p>
  </w:endnote>
  <w:endnote w:type="continuationSeparator" w:id="0">
    <w:p w:rsidR="006C76A3" w:rsidRDefault="006C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9D" w:rsidRPr="0046372B" w:rsidRDefault="00DF2F9D">
    <w:pPr>
      <w:pStyle w:val="Footer"/>
      <w:jc w:val="center"/>
      <w:rPr>
        <w:rFonts w:ascii="Times New Roman" w:hAnsi="Times New Roman"/>
      </w:rPr>
    </w:pPr>
    <w:r w:rsidRPr="0046372B">
      <w:rPr>
        <w:rFonts w:ascii="Times New Roman" w:hAnsi="Times New Roman"/>
      </w:rPr>
      <w:fldChar w:fldCharType="begin"/>
    </w:r>
    <w:r w:rsidRPr="0046372B">
      <w:rPr>
        <w:rFonts w:ascii="Times New Roman" w:hAnsi="Times New Roman"/>
      </w:rPr>
      <w:instrText xml:space="preserve"> PAGE   \* MERGEFORMAT </w:instrText>
    </w:r>
    <w:r w:rsidRPr="0046372B">
      <w:rPr>
        <w:rFonts w:ascii="Times New Roman" w:hAnsi="Times New Roman"/>
      </w:rPr>
      <w:fldChar w:fldCharType="separate"/>
    </w:r>
    <w:r w:rsidR="009A59EF">
      <w:rPr>
        <w:rFonts w:ascii="Times New Roman" w:hAnsi="Times New Roman"/>
        <w:noProof/>
      </w:rPr>
      <w:t>2</w:t>
    </w:r>
    <w:r w:rsidRPr="0046372B">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2B" w:rsidRPr="0046372B" w:rsidRDefault="0046372B" w:rsidP="0046372B">
    <w:pPr>
      <w:pStyle w:val="Footer"/>
      <w:jc w:val="center"/>
      <w:rPr>
        <w:rFonts w:ascii="Times New Roman" w:hAnsi="Times New Roman"/>
      </w:rPr>
    </w:pPr>
    <w:r w:rsidRPr="0046372B">
      <w:rPr>
        <w:rFonts w:ascii="Times New Roman" w:hAnsi="Times New Roman"/>
      </w:rPr>
      <w:fldChar w:fldCharType="begin"/>
    </w:r>
    <w:r w:rsidRPr="0046372B">
      <w:rPr>
        <w:rFonts w:ascii="Times New Roman" w:hAnsi="Times New Roman"/>
      </w:rPr>
      <w:instrText xml:space="preserve"> PAGE   \* MERGEFORMAT </w:instrText>
    </w:r>
    <w:r w:rsidRPr="0046372B">
      <w:rPr>
        <w:rFonts w:ascii="Times New Roman" w:hAnsi="Times New Roman"/>
      </w:rPr>
      <w:fldChar w:fldCharType="separate"/>
    </w:r>
    <w:r w:rsidR="009A59EF">
      <w:rPr>
        <w:rFonts w:ascii="Times New Roman" w:hAnsi="Times New Roman"/>
        <w:noProof/>
      </w:rPr>
      <w:t>1</w:t>
    </w:r>
    <w:r w:rsidRPr="0046372B">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9D" w:rsidRDefault="00DF2F9D">
    <w:pPr>
      <w:pStyle w:val="SL-FlLftSgl"/>
    </w:pPr>
  </w:p>
  <w:p w:rsidR="00DF2F9D" w:rsidRDefault="00DF2F9D">
    <w:pPr>
      <w:pStyle w:val="Footer"/>
      <w:pBdr>
        <w:top w:val="single" w:sz="6" w:space="1" w:color="auto"/>
      </w:pBdr>
      <w:spacing w:line="60" w:lineRule="auto"/>
      <w:rPr>
        <w:rFonts w:ascii="Helvetica" w:hAnsi="Helvetica"/>
        <w:sz w:val="16"/>
      </w:rPr>
    </w:pPr>
  </w:p>
  <w:p w:rsidR="00DF2F9D" w:rsidRDefault="00DF2F9D">
    <w:pPr>
      <w:pStyle w:val="Footer"/>
      <w:rPr>
        <w:rFonts w:ascii="Arial" w:hAnsi="Arial"/>
        <w:sz w:val="16"/>
      </w:rPr>
    </w:pPr>
    <w:r>
      <w:rPr>
        <w:rFonts w:ascii="Arial" w:hAnsi="Arial"/>
        <w:sz w:val="16"/>
      </w:rPr>
      <w:t xml:space="preserve">Conducted by WESTAT </w:t>
    </w:r>
    <w:r>
      <w:rPr>
        <w:rFonts w:ascii="Arial" w:hAnsi="Arial"/>
        <w:sz w:val="18"/>
      </w:rPr>
      <w:sym w:font="Symbol" w:char="F0B7"/>
    </w:r>
    <w:r>
      <w:rPr>
        <w:rFonts w:ascii="Arial" w:hAnsi="Arial"/>
        <w:sz w:val="16"/>
      </w:rPr>
      <w:t xml:space="preserve"> 1600 Research Blvd. </w:t>
    </w:r>
    <w:r>
      <w:rPr>
        <w:rFonts w:ascii="Arial" w:hAnsi="Arial"/>
        <w:sz w:val="18"/>
      </w:rPr>
      <w:sym w:font="Symbol" w:char="F0B7"/>
    </w:r>
    <w:r>
      <w:rPr>
        <w:rFonts w:ascii="Arial" w:hAnsi="Arial"/>
        <w:sz w:val="16"/>
      </w:rPr>
      <w:t xml:space="preserve"> Rockville, MD  20850 </w:t>
    </w:r>
    <w:r>
      <w:rPr>
        <w:rFonts w:ascii="Arial" w:hAnsi="Arial"/>
        <w:sz w:val="18"/>
      </w:rPr>
      <w:sym w:font="Symbol" w:char="F0B7"/>
    </w:r>
    <w:r>
      <w:rPr>
        <w:rFonts w:ascii="Arial" w:hAnsi="Arial"/>
        <w:sz w:val="16"/>
      </w:rPr>
      <w:t xml:space="preserve"> (301) 251-1500 </w:t>
    </w:r>
    <w:r>
      <w:rPr>
        <w:rFonts w:ascii="Arial" w:hAnsi="Arial"/>
        <w:sz w:val="18"/>
      </w:rPr>
      <w:sym w:font="Symbol" w:char="F0B7"/>
    </w:r>
    <w:r>
      <w:rPr>
        <w:rFonts w:ascii="Arial" w:hAnsi="Arial"/>
        <w:sz w:val="16"/>
      </w:rPr>
      <w:t xml:space="preserve"> FAX (301) 294-3992 </w:t>
    </w:r>
    <w:r>
      <w:rPr>
        <w:rFonts w:ascii="Arial" w:hAnsi="Arial"/>
        <w:sz w:val="18"/>
      </w:rPr>
      <w:sym w:font="Symbol" w:char="F0B7"/>
    </w:r>
    <w:r>
      <w:rPr>
        <w:rFonts w:ascii="Arial" w:hAnsi="Arial"/>
        <w:sz w:val="16"/>
      </w:rPr>
      <w:t xml:space="preserve"> TOLL FREE (800) 937-8281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6A3" w:rsidRDefault="006C76A3">
      <w:pPr>
        <w:spacing w:after="0" w:line="240" w:lineRule="auto"/>
      </w:pPr>
      <w:r>
        <w:separator/>
      </w:r>
    </w:p>
  </w:footnote>
  <w:footnote w:type="continuationSeparator" w:id="0">
    <w:p w:rsidR="006C76A3" w:rsidRDefault="006C76A3">
      <w:pPr>
        <w:spacing w:after="0" w:line="240" w:lineRule="auto"/>
      </w:pPr>
      <w:r>
        <w:continuationSeparator/>
      </w:r>
    </w:p>
  </w:footnote>
  <w:footnote w:id="1">
    <w:p w:rsidR="00262F37" w:rsidRDefault="00262F37" w:rsidP="00262F37">
      <w:pPr>
        <w:pStyle w:val="FootnoteText"/>
      </w:pPr>
      <w:r w:rsidRPr="00250C79">
        <w:rPr>
          <w:rStyle w:val="FootnoteReference"/>
          <w:rFonts w:ascii="Times New Roman" w:hAnsi="Times New Roman"/>
          <w:sz w:val="18"/>
          <w:szCs w:val="18"/>
        </w:rPr>
        <w:footnoteRef/>
      </w:r>
      <w:r w:rsidRPr="00250C79">
        <w:rPr>
          <w:rFonts w:ascii="Times New Roman" w:hAnsi="Times New Roman"/>
          <w:sz w:val="18"/>
          <w:szCs w:val="18"/>
        </w:rPr>
        <w:t xml:space="preserve"> </w:t>
      </w:r>
      <w:r>
        <w:rPr>
          <w:rFonts w:ascii="Times New Roman" w:hAnsi="Times New Roman"/>
          <w:sz w:val="18"/>
          <w:szCs w:val="18"/>
        </w:rPr>
        <w:t>This e</w:t>
      </w:r>
      <w:r w:rsidRPr="00250C79">
        <w:rPr>
          <w:rFonts w:ascii="Times New Roman" w:hAnsi="Times New Roman"/>
          <w:sz w:val="18"/>
          <w:szCs w:val="18"/>
        </w:rPr>
        <w:t xml:space="preserve">stimate </w:t>
      </w:r>
      <w:r>
        <w:rPr>
          <w:rFonts w:ascii="Times New Roman" w:hAnsi="Times New Roman"/>
          <w:sz w:val="18"/>
          <w:szCs w:val="18"/>
        </w:rPr>
        <w:t>is</w:t>
      </w:r>
      <w:r w:rsidRPr="00250C79">
        <w:rPr>
          <w:rFonts w:ascii="Times New Roman" w:hAnsi="Times New Roman"/>
          <w:sz w:val="18"/>
          <w:szCs w:val="18"/>
        </w:rPr>
        <w:t xml:space="preserve"> the</w:t>
      </w:r>
      <w:r>
        <w:rPr>
          <w:rFonts w:ascii="Times New Roman" w:hAnsi="Times New Roman"/>
          <w:sz w:val="18"/>
          <w:szCs w:val="18"/>
        </w:rPr>
        <w:t xml:space="preserve"> average</w:t>
      </w:r>
      <w:r w:rsidRPr="00250C79">
        <w:rPr>
          <w:rFonts w:ascii="Times New Roman" w:hAnsi="Times New Roman"/>
          <w:sz w:val="18"/>
          <w:szCs w:val="18"/>
        </w:rPr>
        <w:t xml:space="preserve"> amount of time </w:t>
      </w:r>
      <w:r>
        <w:rPr>
          <w:rFonts w:ascii="Times New Roman" w:hAnsi="Times New Roman"/>
          <w:sz w:val="18"/>
          <w:szCs w:val="18"/>
        </w:rPr>
        <w:t xml:space="preserve">postsecondary </w:t>
      </w:r>
      <w:r w:rsidRPr="00250C79">
        <w:rPr>
          <w:rFonts w:ascii="Times New Roman" w:hAnsi="Times New Roman"/>
          <w:sz w:val="18"/>
          <w:szCs w:val="18"/>
        </w:rPr>
        <w:t>respondents</w:t>
      </w:r>
      <w:r>
        <w:rPr>
          <w:rFonts w:ascii="Times New Roman" w:hAnsi="Times New Roman"/>
          <w:sz w:val="18"/>
          <w:szCs w:val="18"/>
        </w:rPr>
        <w:t xml:space="preserve"> </w:t>
      </w:r>
      <w:r w:rsidRPr="00250C79">
        <w:rPr>
          <w:rFonts w:ascii="Times New Roman" w:hAnsi="Times New Roman"/>
          <w:sz w:val="18"/>
          <w:szCs w:val="18"/>
        </w:rPr>
        <w:t>reported the questionnaire took to complete during the two pretest rounds.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9D" w:rsidRDefault="00DF2F9D" w:rsidP="00CD60C0">
    <w:pPr>
      <w:pStyle w:val="Header"/>
      <w:pBdr>
        <w:bottom w:val="single" w:sz="12" w:space="1" w:color="auto"/>
      </w:pBdr>
      <w:ind w:right="-360"/>
    </w:pPr>
  </w:p>
  <w:p w:rsidR="00DF2F9D" w:rsidRDefault="00DF2F9D" w:rsidP="00CD60C0">
    <w:pPr>
      <w:pStyle w:val="Header"/>
      <w:pBdr>
        <w:bottom w:val="single" w:sz="12" w:space="1" w:color="auto"/>
      </w:pBdr>
      <w:ind w:right="-360"/>
    </w:pPr>
    <w:r>
      <w:rPr>
        <w:noProof/>
        <w:sz w:val="20"/>
      </w:rPr>
      <w:drawing>
        <wp:inline distT="0" distB="0" distL="0" distR="0" wp14:anchorId="32ABDA01" wp14:editId="05D7349B">
          <wp:extent cx="2286000" cy="523875"/>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2286000" cy="523875"/>
                  </a:xfrm>
                  <a:prstGeom prst="rect">
                    <a:avLst/>
                  </a:prstGeom>
                  <a:noFill/>
                  <a:ln w="9525">
                    <a:noFill/>
                    <a:miter lim="800000"/>
                    <a:headEnd/>
                    <a:tailEnd/>
                  </a:ln>
                </pic:spPr>
              </pic:pic>
            </a:graphicData>
          </a:graphic>
        </wp:inline>
      </w:drawing>
    </w:r>
  </w:p>
  <w:p w:rsidR="00DF2F9D" w:rsidRDefault="00DF2F9D" w:rsidP="00CD60C0">
    <w:pPr>
      <w:pStyle w:val="Header"/>
      <w:spacing w:before="80"/>
      <w:ind w:right="-360"/>
    </w:pPr>
    <w:smartTag w:uri="urn:schemas-microsoft-com:office:smarttags" w:element="country-region">
      <w:smartTag w:uri="urn:schemas-microsoft-com:office:smarttags" w:element="place">
        <w:r>
          <w:rPr>
            <w:rFonts w:ascii="Arial" w:hAnsi="Arial"/>
            <w:sz w:val="16"/>
          </w:rPr>
          <w:t>U.S.</w:t>
        </w:r>
      </w:smartTag>
    </w:smartTag>
    <w:r>
      <w:rPr>
        <w:rFonts w:ascii="Arial" w:hAnsi="Arial"/>
        <w:sz w:val="16"/>
      </w:rPr>
      <w:t xml:space="preserve"> Department of Education  </w:t>
    </w:r>
    <w:r>
      <w:rPr>
        <w:rFonts w:ascii="Arial" w:hAnsi="Arial"/>
        <w:sz w:val="18"/>
      </w:rPr>
      <w:sym w:font="Symbol" w:char="F0B7"/>
    </w:r>
    <w:r>
      <w:rPr>
        <w:rFonts w:ascii="Arial" w:hAnsi="Arial"/>
        <w:sz w:val="16"/>
      </w:rPr>
      <w:t xml:space="preserve">  </w:t>
    </w:r>
    <w:smartTag w:uri="urn:schemas-microsoft-com:office:smarttags" w:element="place">
      <w:smartTag w:uri="urn:schemas-microsoft-com:office:smarttags" w:element="PlaceType">
        <w:r>
          <w:rPr>
            <w:rFonts w:ascii="Arial" w:hAnsi="Arial"/>
            <w:sz w:val="16"/>
          </w:rPr>
          <w:t>Institute</w:t>
        </w:r>
      </w:smartTag>
      <w:r>
        <w:rPr>
          <w:rFonts w:ascii="Arial" w:hAnsi="Arial"/>
          <w:sz w:val="16"/>
        </w:rPr>
        <w:t xml:space="preserve"> of </w:t>
      </w:r>
      <w:smartTag w:uri="urn:schemas-microsoft-com:office:smarttags" w:element="PlaceName">
        <w:r>
          <w:rPr>
            <w:rFonts w:ascii="Arial" w:hAnsi="Arial"/>
            <w:sz w:val="16"/>
          </w:rPr>
          <w:t>Education</w:t>
        </w:r>
      </w:smartTag>
    </w:smartTag>
    <w:r>
      <w:rPr>
        <w:rFonts w:ascii="Arial" w:hAnsi="Arial"/>
        <w:sz w:val="16"/>
      </w:rPr>
      <w:t xml:space="preserve"> Sciences  </w:t>
    </w:r>
    <w:r>
      <w:rPr>
        <w:rFonts w:ascii="Arial" w:hAnsi="Arial"/>
        <w:sz w:val="18"/>
      </w:rPr>
      <w:sym w:font="Symbol" w:char="F0B7"/>
    </w:r>
    <w:r>
      <w:rPr>
        <w:rFonts w:ascii="Arial" w:hAnsi="Arial"/>
        <w:sz w:val="16"/>
      </w:rPr>
      <w:t xml:space="preserve">  </w:t>
    </w:r>
    <w:smartTag w:uri="urn:schemas-microsoft-com:office:smarttags" w:element="place">
      <w:smartTag w:uri="urn:schemas-microsoft-com:office:smarttags" w:element="PlaceName">
        <w:r>
          <w:rPr>
            <w:rFonts w:ascii="Arial" w:hAnsi="Arial"/>
            <w:sz w:val="16"/>
          </w:rPr>
          <w:t>National</w:t>
        </w:r>
      </w:smartTag>
      <w:r>
        <w:rPr>
          <w:rFonts w:ascii="Arial" w:hAnsi="Arial"/>
          <w:sz w:val="16"/>
        </w:rPr>
        <w:t xml:space="preserve"> </w:t>
      </w:r>
      <w:smartTag w:uri="urn:schemas-microsoft-com:office:smarttags" w:element="PlaceType">
        <w:r>
          <w:rPr>
            <w:rFonts w:ascii="Arial" w:hAnsi="Arial"/>
            <w:sz w:val="16"/>
          </w:rPr>
          <w:t>Center</w:t>
        </w:r>
      </w:smartTag>
    </w:smartTag>
    <w:r>
      <w:rPr>
        <w:rFonts w:ascii="Arial" w:hAnsi="Arial"/>
        <w:sz w:val="16"/>
      </w:rPr>
      <w:t xml:space="preserve"> for Education Statistics</w:t>
    </w:r>
  </w:p>
  <w:p w:rsidR="00DF2F9D" w:rsidRDefault="00DF2F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653D8"/>
    <w:multiLevelType w:val="hybridMultilevel"/>
    <w:tmpl w:val="B1B85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1FA7560"/>
    <w:multiLevelType w:val="singleLevel"/>
    <w:tmpl w:val="04090011"/>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F4A"/>
    <w:rsid w:val="000032E1"/>
    <w:rsid w:val="000120D3"/>
    <w:rsid w:val="00014787"/>
    <w:rsid w:val="00020412"/>
    <w:rsid w:val="0002211C"/>
    <w:rsid w:val="0002412A"/>
    <w:rsid w:val="000302E4"/>
    <w:rsid w:val="0003169A"/>
    <w:rsid w:val="00031DE6"/>
    <w:rsid w:val="00036EC8"/>
    <w:rsid w:val="000372C8"/>
    <w:rsid w:val="00037CC0"/>
    <w:rsid w:val="00040ABB"/>
    <w:rsid w:val="00042899"/>
    <w:rsid w:val="000445F7"/>
    <w:rsid w:val="00051220"/>
    <w:rsid w:val="00052684"/>
    <w:rsid w:val="000561B9"/>
    <w:rsid w:val="0006166C"/>
    <w:rsid w:val="00062D4D"/>
    <w:rsid w:val="00072F68"/>
    <w:rsid w:val="00073C82"/>
    <w:rsid w:val="0007508C"/>
    <w:rsid w:val="00080503"/>
    <w:rsid w:val="00081336"/>
    <w:rsid w:val="00086075"/>
    <w:rsid w:val="0008629F"/>
    <w:rsid w:val="00094993"/>
    <w:rsid w:val="000A0883"/>
    <w:rsid w:val="000A1043"/>
    <w:rsid w:val="000A7381"/>
    <w:rsid w:val="000B30AB"/>
    <w:rsid w:val="000B610F"/>
    <w:rsid w:val="000B6CA8"/>
    <w:rsid w:val="000C2C5B"/>
    <w:rsid w:val="000C2F15"/>
    <w:rsid w:val="000C6D70"/>
    <w:rsid w:val="000C79DF"/>
    <w:rsid w:val="000D1EBF"/>
    <w:rsid w:val="000D4F2F"/>
    <w:rsid w:val="000D4F54"/>
    <w:rsid w:val="000D7302"/>
    <w:rsid w:val="000E5BBB"/>
    <w:rsid w:val="000E790C"/>
    <w:rsid w:val="000F4818"/>
    <w:rsid w:val="00104A54"/>
    <w:rsid w:val="0010768B"/>
    <w:rsid w:val="001123D6"/>
    <w:rsid w:val="00112400"/>
    <w:rsid w:val="00112CE1"/>
    <w:rsid w:val="00114DCB"/>
    <w:rsid w:val="001248E5"/>
    <w:rsid w:val="001328E6"/>
    <w:rsid w:val="00147251"/>
    <w:rsid w:val="001476AC"/>
    <w:rsid w:val="00151BD6"/>
    <w:rsid w:val="0015344A"/>
    <w:rsid w:val="001539AD"/>
    <w:rsid w:val="00160092"/>
    <w:rsid w:val="00160DA7"/>
    <w:rsid w:val="00161DD1"/>
    <w:rsid w:val="00162B9A"/>
    <w:rsid w:val="00165585"/>
    <w:rsid w:val="00165C46"/>
    <w:rsid w:val="0017166D"/>
    <w:rsid w:val="00173CAE"/>
    <w:rsid w:val="0017409E"/>
    <w:rsid w:val="0017527C"/>
    <w:rsid w:val="00175CE7"/>
    <w:rsid w:val="001773F6"/>
    <w:rsid w:val="00191086"/>
    <w:rsid w:val="001A06B7"/>
    <w:rsid w:val="001A2B45"/>
    <w:rsid w:val="001B167D"/>
    <w:rsid w:val="001B3C6A"/>
    <w:rsid w:val="001B5C13"/>
    <w:rsid w:val="001B5DAE"/>
    <w:rsid w:val="001E2F1D"/>
    <w:rsid w:val="001E397B"/>
    <w:rsid w:val="001E7C26"/>
    <w:rsid w:val="001F1BE5"/>
    <w:rsid w:val="00203668"/>
    <w:rsid w:val="00210390"/>
    <w:rsid w:val="00215775"/>
    <w:rsid w:val="00224C2A"/>
    <w:rsid w:val="00224F2F"/>
    <w:rsid w:val="00226EDC"/>
    <w:rsid w:val="002277C8"/>
    <w:rsid w:val="002318D8"/>
    <w:rsid w:val="002345C0"/>
    <w:rsid w:val="00236D50"/>
    <w:rsid w:val="002409E1"/>
    <w:rsid w:val="00245BC5"/>
    <w:rsid w:val="00247AC3"/>
    <w:rsid w:val="00252A2C"/>
    <w:rsid w:val="002624E7"/>
    <w:rsid w:val="00262F37"/>
    <w:rsid w:val="00264119"/>
    <w:rsid w:val="00267ED4"/>
    <w:rsid w:val="00273BB8"/>
    <w:rsid w:val="00277162"/>
    <w:rsid w:val="0027798F"/>
    <w:rsid w:val="0028052F"/>
    <w:rsid w:val="00281847"/>
    <w:rsid w:val="0028193C"/>
    <w:rsid w:val="00282FBC"/>
    <w:rsid w:val="0028416B"/>
    <w:rsid w:val="002908ED"/>
    <w:rsid w:val="00291C0E"/>
    <w:rsid w:val="002A24AC"/>
    <w:rsid w:val="002A406B"/>
    <w:rsid w:val="002B1651"/>
    <w:rsid w:val="002B414C"/>
    <w:rsid w:val="002C19C5"/>
    <w:rsid w:val="002C266F"/>
    <w:rsid w:val="002C2D5D"/>
    <w:rsid w:val="002C455F"/>
    <w:rsid w:val="002C5B52"/>
    <w:rsid w:val="002C7FCD"/>
    <w:rsid w:val="002D5005"/>
    <w:rsid w:val="002E30A5"/>
    <w:rsid w:val="002E5ACD"/>
    <w:rsid w:val="002E6ABD"/>
    <w:rsid w:val="002E6FFD"/>
    <w:rsid w:val="002E7026"/>
    <w:rsid w:val="002F0B28"/>
    <w:rsid w:val="002F317F"/>
    <w:rsid w:val="002F661F"/>
    <w:rsid w:val="00300E7A"/>
    <w:rsid w:val="003066D6"/>
    <w:rsid w:val="00310298"/>
    <w:rsid w:val="00313DB1"/>
    <w:rsid w:val="0031548A"/>
    <w:rsid w:val="0031693B"/>
    <w:rsid w:val="0032206B"/>
    <w:rsid w:val="00323831"/>
    <w:rsid w:val="00327765"/>
    <w:rsid w:val="003304AC"/>
    <w:rsid w:val="00337A00"/>
    <w:rsid w:val="00341D07"/>
    <w:rsid w:val="0034203D"/>
    <w:rsid w:val="003553CD"/>
    <w:rsid w:val="0035574F"/>
    <w:rsid w:val="003600EC"/>
    <w:rsid w:val="00361E4C"/>
    <w:rsid w:val="00362038"/>
    <w:rsid w:val="00362ECD"/>
    <w:rsid w:val="00363605"/>
    <w:rsid w:val="00364C55"/>
    <w:rsid w:val="003650B5"/>
    <w:rsid w:val="0037132E"/>
    <w:rsid w:val="00376EDD"/>
    <w:rsid w:val="00382324"/>
    <w:rsid w:val="00382F80"/>
    <w:rsid w:val="00383321"/>
    <w:rsid w:val="00390BAA"/>
    <w:rsid w:val="0039129F"/>
    <w:rsid w:val="0039224D"/>
    <w:rsid w:val="003949F9"/>
    <w:rsid w:val="003953A2"/>
    <w:rsid w:val="00397E91"/>
    <w:rsid w:val="003A0C0F"/>
    <w:rsid w:val="003A1120"/>
    <w:rsid w:val="003A48A9"/>
    <w:rsid w:val="003A6F27"/>
    <w:rsid w:val="003B0B5B"/>
    <w:rsid w:val="003B4565"/>
    <w:rsid w:val="003B5029"/>
    <w:rsid w:val="003B5887"/>
    <w:rsid w:val="003C06BC"/>
    <w:rsid w:val="003C1D6B"/>
    <w:rsid w:val="003C4F47"/>
    <w:rsid w:val="003C5595"/>
    <w:rsid w:val="003D1604"/>
    <w:rsid w:val="003D1F56"/>
    <w:rsid w:val="003D267D"/>
    <w:rsid w:val="003E1B02"/>
    <w:rsid w:val="003E51F9"/>
    <w:rsid w:val="00401F7F"/>
    <w:rsid w:val="00404064"/>
    <w:rsid w:val="004104EA"/>
    <w:rsid w:val="00410C8B"/>
    <w:rsid w:val="004127D7"/>
    <w:rsid w:val="0041340B"/>
    <w:rsid w:val="004136BA"/>
    <w:rsid w:val="004147D0"/>
    <w:rsid w:val="004150A6"/>
    <w:rsid w:val="00422BCD"/>
    <w:rsid w:val="00425F69"/>
    <w:rsid w:val="00440A1F"/>
    <w:rsid w:val="00440C75"/>
    <w:rsid w:val="00446E00"/>
    <w:rsid w:val="00447491"/>
    <w:rsid w:val="00447D95"/>
    <w:rsid w:val="004522DE"/>
    <w:rsid w:val="00454A87"/>
    <w:rsid w:val="004564A8"/>
    <w:rsid w:val="00463176"/>
    <w:rsid w:val="0046372B"/>
    <w:rsid w:val="004654C9"/>
    <w:rsid w:val="004711AE"/>
    <w:rsid w:val="00481A67"/>
    <w:rsid w:val="004837EE"/>
    <w:rsid w:val="00487BBC"/>
    <w:rsid w:val="00490435"/>
    <w:rsid w:val="004949E9"/>
    <w:rsid w:val="004A0CAA"/>
    <w:rsid w:val="004A7957"/>
    <w:rsid w:val="004B1C3F"/>
    <w:rsid w:val="004C2E1A"/>
    <w:rsid w:val="004C4756"/>
    <w:rsid w:val="004C61BB"/>
    <w:rsid w:val="004D1F35"/>
    <w:rsid w:val="004D2E0B"/>
    <w:rsid w:val="004D3781"/>
    <w:rsid w:val="004D40AE"/>
    <w:rsid w:val="004D4567"/>
    <w:rsid w:val="004E4AD6"/>
    <w:rsid w:val="004E6E76"/>
    <w:rsid w:val="004F2B3D"/>
    <w:rsid w:val="00504F0E"/>
    <w:rsid w:val="00510A26"/>
    <w:rsid w:val="00512952"/>
    <w:rsid w:val="005150E7"/>
    <w:rsid w:val="0051627A"/>
    <w:rsid w:val="005177A8"/>
    <w:rsid w:val="00521D25"/>
    <w:rsid w:val="00523261"/>
    <w:rsid w:val="00530B39"/>
    <w:rsid w:val="00531063"/>
    <w:rsid w:val="005337C5"/>
    <w:rsid w:val="005379EC"/>
    <w:rsid w:val="005409A5"/>
    <w:rsid w:val="00540F5F"/>
    <w:rsid w:val="005430D9"/>
    <w:rsid w:val="00562260"/>
    <w:rsid w:val="00566755"/>
    <w:rsid w:val="005700AE"/>
    <w:rsid w:val="00570F30"/>
    <w:rsid w:val="00576D54"/>
    <w:rsid w:val="005914FD"/>
    <w:rsid w:val="005943B7"/>
    <w:rsid w:val="005973A9"/>
    <w:rsid w:val="00597E9F"/>
    <w:rsid w:val="005A22AE"/>
    <w:rsid w:val="005A5F05"/>
    <w:rsid w:val="005A61F4"/>
    <w:rsid w:val="005B010B"/>
    <w:rsid w:val="005B52C8"/>
    <w:rsid w:val="005C60AB"/>
    <w:rsid w:val="005D23F6"/>
    <w:rsid w:val="005E05B4"/>
    <w:rsid w:val="005E1A2D"/>
    <w:rsid w:val="005E5F08"/>
    <w:rsid w:val="005E7AE0"/>
    <w:rsid w:val="005E7D65"/>
    <w:rsid w:val="005F0FBC"/>
    <w:rsid w:val="005F4F39"/>
    <w:rsid w:val="005F69AC"/>
    <w:rsid w:val="00603083"/>
    <w:rsid w:val="00603FC6"/>
    <w:rsid w:val="00604700"/>
    <w:rsid w:val="006057EB"/>
    <w:rsid w:val="006059B0"/>
    <w:rsid w:val="00605E65"/>
    <w:rsid w:val="006227F4"/>
    <w:rsid w:val="006239E2"/>
    <w:rsid w:val="006303A6"/>
    <w:rsid w:val="0063111E"/>
    <w:rsid w:val="006325D9"/>
    <w:rsid w:val="00642AEB"/>
    <w:rsid w:val="00642F75"/>
    <w:rsid w:val="00645F08"/>
    <w:rsid w:val="00646241"/>
    <w:rsid w:val="006478ED"/>
    <w:rsid w:val="006553E8"/>
    <w:rsid w:val="00656613"/>
    <w:rsid w:val="006648AF"/>
    <w:rsid w:val="006652FB"/>
    <w:rsid w:val="006830E9"/>
    <w:rsid w:val="006853BC"/>
    <w:rsid w:val="00686916"/>
    <w:rsid w:val="0069222D"/>
    <w:rsid w:val="00692B90"/>
    <w:rsid w:val="006A13D0"/>
    <w:rsid w:val="006A4632"/>
    <w:rsid w:val="006A550F"/>
    <w:rsid w:val="006A78AF"/>
    <w:rsid w:val="006B09C1"/>
    <w:rsid w:val="006B11AA"/>
    <w:rsid w:val="006B2314"/>
    <w:rsid w:val="006C03C5"/>
    <w:rsid w:val="006C164B"/>
    <w:rsid w:val="006C29CF"/>
    <w:rsid w:val="006C3BB0"/>
    <w:rsid w:val="006C4BFC"/>
    <w:rsid w:val="006C76A3"/>
    <w:rsid w:val="006D0D42"/>
    <w:rsid w:val="006D22E9"/>
    <w:rsid w:val="006D3143"/>
    <w:rsid w:val="006D4806"/>
    <w:rsid w:val="006D7314"/>
    <w:rsid w:val="006E4494"/>
    <w:rsid w:val="006E45FE"/>
    <w:rsid w:val="006E7F16"/>
    <w:rsid w:val="00700535"/>
    <w:rsid w:val="00700B63"/>
    <w:rsid w:val="00704101"/>
    <w:rsid w:val="00710D10"/>
    <w:rsid w:val="00711367"/>
    <w:rsid w:val="00711597"/>
    <w:rsid w:val="0071788B"/>
    <w:rsid w:val="00731613"/>
    <w:rsid w:val="00732865"/>
    <w:rsid w:val="00735884"/>
    <w:rsid w:val="00736674"/>
    <w:rsid w:val="00744EBC"/>
    <w:rsid w:val="00746220"/>
    <w:rsid w:val="00750394"/>
    <w:rsid w:val="00753065"/>
    <w:rsid w:val="007534DB"/>
    <w:rsid w:val="007559A8"/>
    <w:rsid w:val="00756F91"/>
    <w:rsid w:val="007675FD"/>
    <w:rsid w:val="007679E0"/>
    <w:rsid w:val="00773466"/>
    <w:rsid w:val="0077576F"/>
    <w:rsid w:val="00775F38"/>
    <w:rsid w:val="007763A5"/>
    <w:rsid w:val="007842D9"/>
    <w:rsid w:val="007844E9"/>
    <w:rsid w:val="00784B5C"/>
    <w:rsid w:val="00787432"/>
    <w:rsid w:val="007924FC"/>
    <w:rsid w:val="00793A5B"/>
    <w:rsid w:val="00794FDD"/>
    <w:rsid w:val="00796219"/>
    <w:rsid w:val="0079689D"/>
    <w:rsid w:val="007A042A"/>
    <w:rsid w:val="007A2121"/>
    <w:rsid w:val="007A3054"/>
    <w:rsid w:val="007A3371"/>
    <w:rsid w:val="007A3C02"/>
    <w:rsid w:val="007B09C9"/>
    <w:rsid w:val="007B389C"/>
    <w:rsid w:val="007C034D"/>
    <w:rsid w:val="007C03C0"/>
    <w:rsid w:val="007C08CA"/>
    <w:rsid w:val="007C2C23"/>
    <w:rsid w:val="007C710A"/>
    <w:rsid w:val="007D0EBF"/>
    <w:rsid w:val="007D6D6C"/>
    <w:rsid w:val="007D77F4"/>
    <w:rsid w:val="007D7AFB"/>
    <w:rsid w:val="007E0A92"/>
    <w:rsid w:val="007E0F72"/>
    <w:rsid w:val="007E1267"/>
    <w:rsid w:val="007E2C4A"/>
    <w:rsid w:val="007E41C4"/>
    <w:rsid w:val="007E4C8D"/>
    <w:rsid w:val="007F2A58"/>
    <w:rsid w:val="007F368A"/>
    <w:rsid w:val="007F4BE2"/>
    <w:rsid w:val="007F5506"/>
    <w:rsid w:val="007F5661"/>
    <w:rsid w:val="007F5971"/>
    <w:rsid w:val="00800A8A"/>
    <w:rsid w:val="008019AE"/>
    <w:rsid w:val="00803605"/>
    <w:rsid w:val="0080416C"/>
    <w:rsid w:val="00810CEA"/>
    <w:rsid w:val="008126EA"/>
    <w:rsid w:val="00817867"/>
    <w:rsid w:val="00820953"/>
    <w:rsid w:val="00820B4D"/>
    <w:rsid w:val="0082101E"/>
    <w:rsid w:val="008227A4"/>
    <w:rsid w:val="00822B27"/>
    <w:rsid w:val="008335FA"/>
    <w:rsid w:val="00843711"/>
    <w:rsid w:val="008550DD"/>
    <w:rsid w:val="008610F3"/>
    <w:rsid w:val="00862DE4"/>
    <w:rsid w:val="00863385"/>
    <w:rsid w:val="00870917"/>
    <w:rsid w:val="00870ED7"/>
    <w:rsid w:val="0087381A"/>
    <w:rsid w:val="00876BE9"/>
    <w:rsid w:val="00877316"/>
    <w:rsid w:val="00886A4B"/>
    <w:rsid w:val="00887D49"/>
    <w:rsid w:val="00887FDA"/>
    <w:rsid w:val="008939AD"/>
    <w:rsid w:val="00896847"/>
    <w:rsid w:val="008A3557"/>
    <w:rsid w:val="008A37CF"/>
    <w:rsid w:val="008A5C21"/>
    <w:rsid w:val="008B5D57"/>
    <w:rsid w:val="008B7DAF"/>
    <w:rsid w:val="008C0D8A"/>
    <w:rsid w:val="008C3A0C"/>
    <w:rsid w:val="008C4CED"/>
    <w:rsid w:val="008F2BE3"/>
    <w:rsid w:val="009025DA"/>
    <w:rsid w:val="00903C04"/>
    <w:rsid w:val="00912B93"/>
    <w:rsid w:val="00912C21"/>
    <w:rsid w:val="0091412D"/>
    <w:rsid w:val="00921705"/>
    <w:rsid w:val="00921E0D"/>
    <w:rsid w:val="00923BE1"/>
    <w:rsid w:val="00924AF3"/>
    <w:rsid w:val="0092739D"/>
    <w:rsid w:val="00934CFB"/>
    <w:rsid w:val="00935999"/>
    <w:rsid w:val="00937F2C"/>
    <w:rsid w:val="00945437"/>
    <w:rsid w:val="00947FC4"/>
    <w:rsid w:val="009525B6"/>
    <w:rsid w:val="00955733"/>
    <w:rsid w:val="0095625A"/>
    <w:rsid w:val="00962BFF"/>
    <w:rsid w:val="009640FA"/>
    <w:rsid w:val="00971072"/>
    <w:rsid w:val="00972C44"/>
    <w:rsid w:val="0097434E"/>
    <w:rsid w:val="00976C47"/>
    <w:rsid w:val="009822C2"/>
    <w:rsid w:val="0099255B"/>
    <w:rsid w:val="00995CF6"/>
    <w:rsid w:val="00997FD3"/>
    <w:rsid w:val="009A337F"/>
    <w:rsid w:val="009A59EF"/>
    <w:rsid w:val="009A63DB"/>
    <w:rsid w:val="009A6AC9"/>
    <w:rsid w:val="009B00FB"/>
    <w:rsid w:val="009B0223"/>
    <w:rsid w:val="009B2705"/>
    <w:rsid w:val="009B3E2E"/>
    <w:rsid w:val="009B4A7C"/>
    <w:rsid w:val="009C44F8"/>
    <w:rsid w:val="009C74D3"/>
    <w:rsid w:val="009C7905"/>
    <w:rsid w:val="009D2A82"/>
    <w:rsid w:val="009D4024"/>
    <w:rsid w:val="009E3175"/>
    <w:rsid w:val="009F6EE2"/>
    <w:rsid w:val="00A01272"/>
    <w:rsid w:val="00A057DA"/>
    <w:rsid w:val="00A073E1"/>
    <w:rsid w:val="00A1341B"/>
    <w:rsid w:val="00A21D8E"/>
    <w:rsid w:val="00A25431"/>
    <w:rsid w:val="00A25874"/>
    <w:rsid w:val="00A27FDA"/>
    <w:rsid w:val="00A30DD6"/>
    <w:rsid w:val="00A31612"/>
    <w:rsid w:val="00A326A6"/>
    <w:rsid w:val="00A355D3"/>
    <w:rsid w:val="00A36AA0"/>
    <w:rsid w:val="00A41ECC"/>
    <w:rsid w:val="00A43B4E"/>
    <w:rsid w:val="00A447C2"/>
    <w:rsid w:val="00A50FC5"/>
    <w:rsid w:val="00A5433B"/>
    <w:rsid w:val="00A57759"/>
    <w:rsid w:val="00A64233"/>
    <w:rsid w:val="00A708CE"/>
    <w:rsid w:val="00A721D7"/>
    <w:rsid w:val="00A72368"/>
    <w:rsid w:val="00A742E9"/>
    <w:rsid w:val="00A76403"/>
    <w:rsid w:val="00A778FE"/>
    <w:rsid w:val="00A83B17"/>
    <w:rsid w:val="00A85FAB"/>
    <w:rsid w:val="00A86392"/>
    <w:rsid w:val="00A92A3A"/>
    <w:rsid w:val="00A97E12"/>
    <w:rsid w:val="00AA18F5"/>
    <w:rsid w:val="00AA4F89"/>
    <w:rsid w:val="00AA6ED7"/>
    <w:rsid w:val="00AC0657"/>
    <w:rsid w:val="00AC1AE1"/>
    <w:rsid w:val="00AC4790"/>
    <w:rsid w:val="00AD1AA1"/>
    <w:rsid w:val="00AE5E62"/>
    <w:rsid w:val="00AF08AD"/>
    <w:rsid w:val="00AF288D"/>
    <w:rsid w:val="00AF747F"/>
    <w:rsid w:val="00B074B2"/>
    <w:rsid w:val="00B1434A"/>
    <w:rsid w:val="00B1541E"/>
    <w:rsid w:val="00B212B8"/>
    <w:rsid w:val="00B32787"/>
    <w:rsid w:val="00B37A0D"/>
    <w:rsid w:val="00B457FD"/>
    <w:rsid w:val="00B4677A"/>
    <w:rsid w:val="00B51698"/>
    <w:rsid w:val="00B56FAA"/>
    <w:rsid w:val="00B61407"/>
    <w:rsid w:val="00B62D4F"/>
    <w:rsid w:val="00B70526"/>
    <w:rsid w:val="00B71511"/>
    <w:rsid w:val="00B71CC6"/>
    <w:rsid w:val="00B75F00"/>
    <w:rsid w:val="00B773EB"/>
    <w:rsid w:val="00B815C7"/>
    <w:rsid w:val="00B96DFE"/>
    <w:rsid w:val="00BA36EE"/>
    <w:rsid w:val="00BA71FC"/>
    <w:rsid w:val="00BB23CE"/>
    <w:rsid w:val="00BB26D9"/>
    <w:rsid w:val="00BB4D0F"/>
    <w:rsid w:val="00BB6149"/>
    <w:rsid w:val="00BD5985"/>
    <w:rsid w:val="00BF0B47"/>
    <w:rsid w:val="00BF7A9E"/>
    <w:rsid w:val="00C0306A"/>
    <w:rsid w:val="00C0396F"/>
    <w:rsid w:val="00C042A8"/>
    <w:rsid w:val="00C048B1"/>
    <w:rsid w:val="00C06468"/>
    <w:rsid w:val="00C07221"/>
    <w:rsid w:val="00C17075"/>
    <w:rsid w:val="00C217F9"/>
    <w:rsid w:val="00C25742"/>
    <w:rsid w:val="00C30C84"/>
    <w:rsid w:val="00C317FB"/>
    <w:rsid w:val="00C35DE6"/>
    <w:rsid w:val="00C368FA"/>
    <w:rsid w:val="00C4077E"/>
    <w:rsid w:val="00C423D7"/>
    <w:rsid w:val="00C440FF"/>
    <w:rsid w:val="00C45A0E"/>
    <w:rsid w:val="00C53E89"/>
    <w:rsid w:val="00C6003F"/>
    <w:rsid w:val="00C60D4C"/>
    <w:rsid w:val="00C61F11"/>
    <w:rsid w:val="00C7323B"/>
    <w:rsid w:val="00C74547"/>
    <w:rsid w:val="00C74AFA"/>
    <w:rsid w:val="00C827E2"/>
    <w:rsid w:val="00C94F66"/>
    <w:rsid w:val="00CA492C"/>
    <w:rsid w:val="00CA494E"/>
    <w:rsid w:val="00CB243E"/>
    <w:rsid w:val="00CB3555"/>
    <w:rsid w:val="00CB7CF6"/>
    <w:rsid w:val="00CC0A5C"/>
    <w:rsid w:val="00CC2962"/>
    <w:rsid w:val="00CC33D3"/>
    <w:rsid w:val="00CC5714"/>
    <w:rsid w:val="00CD023C"/>
    <w:rsid w:val="00CD1E42"/>
    <w:rsid w:val="00CD58CF"/>
    <w:rsid w:val="00CD60C0"/>
    <w:rsid w:val="00CE4A84"/>
    <w:rsid w:val="00CF11DC"/>
    <w:rsid w:val="00D00498"/>
    <w:rsid w:val="00D041FA"/>
    <w:rsid w:val="00D107CE"/>
    <w:rsid w:val="00D11D4A"/>
    <w:rsid w:val="00D1320E"/>
    <w:rsid w:val="00D139C4"/>
    <w:rsid w:val="00D171C0"/>
    <w:rsid w:val="00D2290C"/>
    <w:rsid w:val="00D233A9"/>
    <w:rsid w:val="00D31AB3"/>
    <w:rsid w:val="00D3423C"/>
    <w:rsid w:val="00D344FE"/>
    <w:rsid w:val="00D4101F"/>
    <w:rsid w:val="00D41319"/>
    <w:rsid w:val="00D44A8B"/>
    <w:rsid w:val="00D4550E"/>
    <w:rsid w:val="00D47198"/>
    <w:rsid w:val="00D5153D"/>
    <w:rsid w:val="00D550EA"/>
    <w:rsid w:val="00D734FD"/>
    <w:rsid w:val="00D74A48"/>
    <w:rsid w:val="00D759B4"/>
    <w:rsid w:val="00D75B02"/>
    <w:rsid w:val="00D76120"/>
    <w:rsid w:val="00D84057"/>
    <w:rsid w:val="00D870EF"/>
    <w:rsid w:val="00D94040"/>
    <w:rsid w:val="00DA0E21"/>
    <w:rsid w:val="00DA1117"/>
    <w:rsid w:val="00DA6849"/>
    <w:rsid w:val="00DB195A"/>
    <w:rsid w:val="00DC12FF"/>
    <w:rsid w:val="00DC6D7C"/>
    <w:rsid w:val="00DC7287"/>
    <w:rsid w:val="00DC785E"/>
    <w:rsid w:val="00DD7266"/>
    <w:rsid w:val="00DE3D64"/>
    <w:rsid w:val="00DF0C52"/>
    <w:rsid w:val="00DF1A42"/>
    <w:rsid w:val="00DF2F9D"/>
    <w:rsid w:val="00DF6A46"/>
    <w:rsid w:val="00E01E8C"/>
    <w:rsid w:val="00E04502"/>
    <w:rsid w:val="00E105CC"/>
    <w:rsid w:val="00E12589"/>
    <w:rsid w:val="00E1798A"/>
    <w:rsid w:val="00E212DA"/>
    <w:rsid w:val="00E22DED"/>
    <w:rsid w:val="00E23E1C"/>
    <w:rsid w:val="00E25F0A"/>
    <w:rsid w:val="00E30C85"/>
    <w:rsid w:val="00E43EF0"/>
    <w:rsid w:val="00E4409E"/>
    <w:rsid w:val="00E44A18"/>
    <w:rsid w:val="00E45A7E"/>
    <w:rsid w:val="00E51D25"/>
    <w:rsid w:val="00E52B1A"/>
    <w:rsid w:val="00E60C30"/>
    <w:rsid w:val="00E637F3"/>
    <w:rsid w:val="00E643FE"/>
    <w:rsid w:val="00E67B39"/>
    <w:rsid w:val="00E67BB1"/>
    <w:rsid w:val="00E762BC"/>
    <w:rsid w:val="00E77708"/>
    <w:rsid w:val="00E77ABD"/>
    <w:rsid w:val="00E77B2F"/>
    <w:rsid w:val="00E8356E"/>
    <w:rsid w:val="00E84BD1"/>
    <w:rsid w:val="00E923D3"/>
    <w:rsid w:val="00E93984"/>
    <w:rsid w:val="00E93A65"/>
    <w:rsid w:val="00E95802"/>
    <w:rsid w:val="00E97BAA"/>
    <w:rsid w:val="00EA1C2E"/>
    <w:rsid w:val="00EA3124"/>
    <w:rsid w:val="00EB0705"/>
    <w:rsid w:val="00EB2868"/>
    <w:rsid w:val="00EB479A"/>
    <w:rsid w:val="00EB7AEB"/>
    <w:rsid w:val="00EB7B1C"/>
    <w:rsid w:val="00EC5FF8"/>
    <w:rsid w:val="00EC7C1C"/>
    <w:rsid w:val="00EC7E46"/>
    <w:rsid w:val="00ED1B9F"/>
    <w:rsid w:val="00ED318C"/>
    <w:rsid w:val="00EE1B56"/>
    <w:rsid w:val="00EE2743"/>
    <w:rsid w:val="00EE7432"/>
    <w:rsid w:val="00EF1310"/>
    <w:rsid w:val="00EF186D"/>
    <w:rsid w:val="00EF1997"/>
    <w:rsid w:val="00EF60DE"/>
    <w:rsid w:val="00EF7110"/>
    <w:rsid w:val="00EF7DAB"/>
    <w:rsid w:val="00F01A98"/>
    <w:rsid w:val="00F13DC3"/>
    <w:rsid w:val="00F13E9C"/>
    <w:rsid w:val="00F17C3F"/>
    <w:rsid w:val="00F3520E"/>
    <w:rsid w:val="00F36E4E"/>
    <w:rsid w:val="00F42AED"/>
    <w:rsid w:val="00F476A0"/>
    <w:rsid w:val="00F54314"/>
    <w:rsid w:val="00F64F66"/>
    <w:rsid w:val="00F65161"/>
    <w:rsid w:val="00F66128"/>
    <w:rsid w:val="00F67BD4"/>
    <w:rsid w:val="00F750CC"/>
    <w:rsid w:val="00F831EC"/>
    <w:rsid w:val="00F8385C"/>
    <w:rsid w:val="00F85EB0"/>
    <w:rsid w:val="00F91D82"/>
    <w:rsid w:val="00F93226"/>
    <w:rsid w:val="00FA1661"/>
    <w:rsid w:val="00FA4A9A"/>
    <w:rsid w:val="00FA4E45"/>
    <w:rsid w:val="00FB156C"/>
    <w:rsid w:val="00FB1AF5"/>
    <w:rsid w:val="00FB2BEF"/>
    <w:rsid w:val="00FB73CC"/>
    <w:rsid w:val="00FC21D8"/>
    <w:rsid w:val="00FC2FBB"/>
    <w:rsid w:val="00FC7311"/>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rsid w:val="00E45A7E"/>
    <w:rPr>
      <w:sz w:val="20"/>
      <w:szCs w:val="20"/>
    </w:rPr>
  </w:style>
  <w:style w:type="character" w:customStyle="1" w:styleId="FootnoteTextChar">
    <w:name w:val="Footnote Text Char"/>
    <w:basedOn w:val="DefaultParagraphFont"/>
    <w:link w:val="FootnoteText"/>
    <w:rsid w:val="00C227DF"/>
    <w:rPr>
      <w:sz w:val="20"/>
      <w:szCs w:val="20"/>
    </w:rPr>
  </w:style>
  <w:style w:type="character" w:styleId="FootnoteReference">
    <w:name w:val="footnote reference"/>
    <w:basedOn w:val="DefaultParagraphFont"/>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link w:val="ListParagraphChar"/>
    <w:uiPriority w:val="99"/>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784B5C"/>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24C2A"/>
    <w:rPr>
      <w:color w:val="808080"/>
    </w:rPr>
  </w:style>
  <w:style w:type="paragraph" w:customStyle="1" w:styleId="N2-2ndBullet">
    <w:name w:val="N2-2nd Bullet"/>
    <w:basedOn w:val="Normal"/>
    <w:rsid w:val="006C3BB0"/>
    <w:pPr>
      <w:tabs>
        <w:tab w:val="left" w:pos="1728"/>
      </w:tabs>
      <w:spacing w:after="240" w:line="240" w:lineRule="atLeast"/>
      <w:ind w:left="1728" w:hanging="576"/>
      <w:jc w:val="both"/>
    </w:pPr>
    <w:rPr>
      <w:rFonts w:ascii="Times New Roman" w:eastAsia="Times New Roman" w:hAnsi="Times New Roman"/>
      <w:szCs w:val="20"/>
    </w:rPr>
  </w:style>
  <w:style w:type="paragraph" w:customStyle="1" w:styleId="SH-SglSpHead">
    <w:name w:val="SH-Sgl Sp Head"/>
    <w:rsid w:val="00B4677A"/>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 w:type="character" w:customStyle="1" w:styleId="ListParagraphChar">
    <w:name w:val="List Paragraph Char"/>
    <w:link w:val="ListParagraph"/>
    <w:uiPriority w:val="99"/>
    <w:locked/>
    <w:rsid w:val="007A3054"/>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rsid w:val="00E45A7E"/>
    <w:rPr>
      <w:sz w:val="20"/>
      <w:szCs w:val="20"/>
    </w:rPr>
  </w:style>
  <w:style w:type="character" w:customStyle="1" w:styleId="FootnoteTextChar">
    <w:name w:val="Footnote Text Char"/>
    <w:basedOn w:val="DefaultParagraphFont"/>
    <w:link w:val="FootnoteText"/>
    <w:rsid w:val="00C227DF"/>
    <w:rPr>
      <w:sz w:val="20"/>
      <w:szCs w:val="20"/>
    </w:rPr>
  </w:style>
  <w:style w:type="character" w:styleId="FootnoteReference">
    <w:name w:val="footnote reference"/>
    <w:basedOn w:val="DefaultParagraphFont"/>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link w:val="ListParagraphChar"/>
    <w:uiPriority w:val="99"/>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784B5C"/>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24C2A"/>
    <w:rPr>
      <w:color w:val="808080"/>
    </w:rPr>
  </w:style>
  <w:style w:type="paragraph" w:customStyle="1" w:styleId="N2-2ndBullet">
    <w:name w:val="N2-2nd Bullet"/>
    <w:basedOn w:val="Normal"/>
    <w:rsid w:val="006C3BB0"/>
    <w:pPr>
      <w:tabs>
        <w:tab w:val="left" w:pos="1728"/>
      </w:tabs>
      <w:spacing w:after="240" w:line="240" w:lineRule="atLeast"/>
      <w:ind w:left="1728" w:hanging="576"/>
      <w:jc w:val="both"/>
    </w:pPr>
    <w:rPr>
      <w:rFonts w:ascii="Times New Roman" w:eastAsia="Times New Roman" w:hAnsi="Times New Roman"/>
      <w:szCs w:val="20"/>
    </w:rPr>
  </w:style>
  <w:style w:type="paragraph" w:customStyle="1" w:styleId="SH-SglSpHead">
    <w:name w:val="SH-Sgl Sp Head"/>
    <w:rsid w:val="00B4677A"/>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 w:type="character" w:customStyle="1" w:styleId="ListParagraphChar">
    <w:name w:val="List Paragraph Char"/>
    <w:link w:val="ListParagraph"/>
    <w:uiPriority w:val="99"/>
    <w:locked/>
    <w:rsid w:val="007A3054"/>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CC71E-FDBD-4667-9D22-9D4E88D6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3590</Words>
  <Characters>20467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2012-10-22T17:33:00Z</dcterms:created>
  <dcterms:modified xsi:type="dcterms:W3CDTF">2013-04-04T02:23:00Z</dcterms:modified>
</cp:coreProperties>
</file>