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B56" w:rsidRDefault="00EE1B56" w:rsidP="00C368FA">
      <w:pPr>
        <w:spacing w:line="240" w:lineRule="auto"/>
        <w:ind w:left="360" w:right="252"/>
        <w:rPr>
          <w:rFonts w:ascii="Arial" w:hAnsi="Arial" w:cs="Arial"/>
          <w:b/>
          <w:sz w:val="52"/>
          <w:szCs w:val="52"/>
        </w:rPr>
      </w:pPr>
    </w:p>
    <w:p w:rsidR="008126EA" w:rsidRPr="000C6D70" w:rsidRDefault="00331594" w:rsidP="00C368FA">
      <w:pPr>
        <w:spacing w:line="240" w:lineRule="auto"/>
        <w:ind w:left="360" w:right="252"/>
        <w:rPr>
          <w:rFonts w:ascii="Arial" w:hAnsi="Arial" w:cs="Arial"/>
          <w:b/>
          <w:sz w:val="52"/>
          <w:szCs w:val="52"/>
        </w:rPr>
      </w:pPr>
      <w:r>
        <w:rPr>
          <w:rFonts w:ascii="Arial" w:hAnsi="Arial" w:cs="Arial"/>
          <w:b/>
          <w:sz w:val="52"/>
          <w:szCs w:val="52"/>
        </w:rPr>
        <w:t>Volume I</w:t>
      </w:r>
      <w:bookmarkStart w:id="0" w:name="_GoBack"/>
      <w:bookmarkEnd w:id="0"/>
    </w:p>
    <w:p w:rsidR="008126EA" w:rsidRPr="000C6D70" w:rsidRDefault="008126EA" w:rsidP="00C368FA">
      <w:pPr>
        <w:spacing w:line="240" w:lineRule="auto"/>
        <w:ind w:left="360" w:right="252"/>
        <w:rPr>
          <w:rFonts w:ascii="Arial" w:hAnsi="Arial" w:cs="Arial"/>
          <w:sz w:val="48"/>
          <w:szCs w:val="48"/>
        </w:rPr>
      </w:pPr>
    </w:p>
    <w:p w:rsidR="00C05CED" w:rsidRDefault="008126EA" w:rsidP="00C05CED">
      <w:pPr>
        <w:spacing w:line="240" w:lineRule="auto"/>
        <w:ind w:left="360" w:right="252"/>
        <w:rPr>
          <w:rFonts w:ascii="Arial" w:hAnsi="Arial" w:cs="Arial"/>
          <w:sz w:val="40"/>
          <w:szCs w:val="40"/>
        </w:rPr>
      </w:pPr>
      <w:r w:rsidRPr="00382324">
        <w:rPr>
          <w:rFonts w:ascii="Arial" w:hAnsi="Arial" w:cs="Arial"/>
          <w:sz w:val="40"/>
          <w:szCs w:val="40"/>
        </w:rPr>
        <w:t>Fast</w:t>
      </w:r>
      <w:r>
        <w:rPr>
          <w:rFonts w:ascii="Arial" w:hAnsi="Arial" w:cs="Arial"/>
          <w:sz w:val="40"/>
          <w:szCs w:val="40"/>
        </w:rPr>
        <w:t xml:space="preserve"> R</w:t>
      </w:r>
      <w:r w:rsidR="00C05CED">
        <w:rPr>
          <w:rFonts w:ascii="Arial" w:hAnsi="Arial" w:cs="Arial"/>
          <w:sz w:val="40"/>
          <w:szCs w:val="40"/>
        </w:rPr>
        <w:t>esponse Survey System (FRSS</w:t>
      </w:r>
      <w:r w:rsidR="00C05CED" w:rsidRPr="000767BE">
        <w:rPr>
          <w:rFonts w:ascii="Arial" w:hAnsi="Arial" w:cs="Arial"/>
          <w:sz w:val="40"/>
          <w:szCs w:val="40"/>
        </w:rPr>
        <w:t>) 106</w:t>
      </w:r>
      <w:r w:rsidRPr="000767BE">
        <w:rPr>
          <w:rFonts w:ascii="Arial" w:hAnsi="Arial" w:cs="Arial"/>
          <w:sz w:val="40"/>
          <w:szCs w:val="40"/>
        </w:rPr>
        <w:t>:</w:t>
      </w:r>
      <w:r w:rsidRPr="00382324">
        <w:rPr>
          <w:rFonts w:ascii="Arial" w:hAnsi="Arial" w:cs="Arial"/>
          <w:sz w:val="40"/>
          <w:szCs w:val="40"/>
        </w:rPr>
        <w:t xml:space="preserve"> </w:t>
      </w:r>
    </w:p>
    <w:p w:rsidR="008126EA" w:rsidRDefault="00B90AFA" w:rsidP="00C05CED">
      <w:pPr>
        <w:spacing w:line="240" w:lineRule="auto"/>
        <w:ind w:left="360" w:right="252"/>
        <w:rPr>
          <w:rFonts w:ascii="Arial" w:hAnsi="Arial" w:cs="Arial"/>
          <w:sz w:val="40"/>
          <w:szCs w:val="40"/>
        </w:rPr>
      </w:pPr>
      <w:r>
        <w:rPr>
          <w:rFonts w:ascii="Arial" w:hAnsi="Arial" w:cs="Arial"/>
          <w:sz w:val="40"/>
          <w:szCs w:val="40"/>
        </w:rPr>
        <w:t>School Safety and Discipline: 2013</w:t>
      </w:r>
      <w:r w:rsidR="007D030C">
        <w:rPr>
          <w:rFonts w:ascii="Arial" w:hAnsi="Arial" w:cs="Arial"/>
          <w:sz w:val="40"/>
          <w:szCs w:val="40"/>
        </w:rPr>
        <w:t>–</w:t>
      </w:r>
      <w:r>
        <w:rPr>
          <w:rFonts w:ascii="Arial" w:hAnsi="Arial" w:cs="Arial"/>
          <w:sz w:val="40"/>
          <w:szCs w:val="40"/>
        </w:rPr>
        <w:t>14</w:t>
      </w:r>
    </w:p>
    <w:p w:rsidR="008126EA" w:rsidRPr="000C6D70" w:rsidRDefault="008126EA" w:rsidP="00C368FA">
      <w:pPr>
        <w:spacing w:line="240" w:lineRule="auto"/>
        <w:ind w:left="360" w:right="252"/>
        <w:rPr>
          <w:rFonts w:ascii="Arial" w:hAnsi="Arial" w:cs="Arial"/>
          <w:sz w:val="40"/>
          <w:szCs w:val="40"/>
        </w:rPr>
      </w:pPr>
    </w:p>
    <w:p w:rsidR="00C05CED" w:rsidRPr="00C05CED" w:rsidRDefault="00C05CED" w:rsidP="00C05CED">
      <w:pPr>
        <w:spacing w:line="240" w:lineRule="auto"/>
        <w:ind w:left="360" w:right="252"/>
        <w:rPr>
          <w:rFonts w:ascii="Arial" w:hAnsi="Arial" w:cs="Arial"/>
          <w:sz w:val="32"/>
          <w:szCs w:val="32"/>
        </w:rPr>
      </w:pPr>
      <w:r w:rsidRPr="00B90AFA">
        <w:rPr>
          <w:rFonts w:ascii="Arial" w:hAnsi="Arial" w:cs="Arial"/>
          <w:sz w:val="32"/>
          <w:szCs w:val="32"/>
        </w:rPr>
        <w:t>OMB# 1850-</w:t>
      </w:r>
      <w:r w:rsidRPr="000767BE">
        <w:rPr>
          <w:rFonts w:ascii="Arial" w:hAnsi="Arial" w:cs="Arial"/>
          <w:sz w:val="32"/>
          <w:szCs w:val="32"/>
        </w:rPr>
        <w:t>0</w:t>
      </w:r>
      <w:r w:rsidR="00B90AFA" w:rsidRPr="000767BE">
        <w:rPr>
          <w:rFonts w:ascii="Arial" w:hAnsi="Arial" w:cs="Arial"/>
          <w:sz w:val="32"/>
          <w:szCs w:val="32"/>
        </w:rPr>
        <w:t>73</w:t>
      </w:r>
      <w:r w:rsidR="000767BE">
        <w:rPr>
          <w:rFonts w:ascii="Arial" w:hAnsi="Arial" w:cs="Arial"/>
          <w:sz w:val="32"/>
          <w:szCs w:val="32"/>
        </w:rPr>
        <w:t>3 v.</w:t>
      </w:r>
      <w:r w:rsidR="000D6F2D" w:rsidRPr="000767BE">
        <w:rPr>
          <w:rFonts w:ascii="Arial" w:hAnsi="Arial" w:cs="Arial"/>
          <w:sz w:val="32"/>
          <w:szCs w:val="32"/>
        </w:rPr>
        <w:t>29</w:t>
      </w:r>
    </w:p>
    <w:p w:rsidR="008126EA" w:rsidRDefault="008126EA" w:rsidP="00C368FA">
      <w:pPr>
        <w:spacing w:line="240" w:lineRule="auto"/>
        <w:ind w:left="360" w:right="252"/>
        <w:rPr>
          <w:rFonts w:ascii="Arial" w:hAnsi="Arial" w:cs="Arial"/>
          <w:sz w:val="32"/>
          <w:szCs w:val="32"/>
        </w:rPr>
      </w:pPr>
    </w:p>
    <w:p w:rsidR="008126EA" w:rsidRDefault="008126EA" w:rsidP="00C368FA">
      <w:pPr>
        <w:spacing w:line="240" w:lineRule="auto"/>
        <w:ind w:left="360" w:right="252"/>
        <w:rPr>
          <w:rFonts w:ascii="Arial" w:hAnsi="Arial" w:cs="Arial"/>
          <w:sz w:val="32"/>
          <w:szCs w:val="32"/>
        </w:rPr>
      </w:pPr>
    </w:p>
    <w:p w:rsidR="008126EA" w:rsidRDefault="008126EA" w:rsidP="00C368FA">
      <w:pPr>
        <w:spacing w:line="240" w:lineRule="auto"/>
        <w:ind w:left="360" w:right="252"/>
        <w:rPr>
          <w:rFonts w:ascii="Arial" w:hAnsi="Arial" w:cs="Arial"/>
          <w:sz w:val="32"/>
          <w:szCs w:val="32"/>
        </w:rPr>
      </w:pPr>
    </w:p>
    <w:p w:rsidR="008126EA" w:rsidRDefault="008126EA" w:rsidP="00C368FA">
      <w:pPr>
        <w:spacing w:line="240" w:lineRule="auto"/>
        <w:ind w:left="360" w:right="252"/>
        <w:rPr>
          <w:rFonts w:ascii="Arial" w:hAnsi="Arial" w:cs="Arial"/>
          <w:sz w:val="32"/>
          <w:szCs w:val="32"/>
        </w:rPr>
      </w:pPr>
    </w:p>
    <w:p w:rsidR="008126EA" w:rsidRDefault="008126EA" w:rsidP="00C368FA">
      <w:pPr>
        <w:spacing w:line="240" w:lineRule="auto"/>
        <w:ind w:left="360" w:right="252"/>
        <w:rPr>
          <w:rFonts w:ascii="Arial" w:hAnsi="Arial" w:cs="Arial"/>
          <w:sz w:val="32"/>
          <w:szCs w:val="32"/>
        </w:rPr>
      </w:pPr>
    </w:p>
    <w:p w:rsidR="00EE1B56" w:rsidRDefault="00EE1B56" w:rsidP="00C368FA">
      <w:pPr>
        <w:spacing w:line="240" w:lineRule="auto"/>
        <w:ind w:left="360" w:right="252"/>
        <w:rPr>
          <w:rFonts w:ascii="Arial" w:hAnsi="Arial" w:cs="Arial"/>
          <w:sz w:val="32"/>
          <w:szCs w:val="32"/>
        </w:rPr>
      </w:pPr>
    </w:p>
    <w:p w:rsidR="00EE1B56" w:rsidRDefault="00EE1B56" w:rsidP="00C368FA">
      <w:pPr>
        <w:spacing w:line="240" w:lineRule="auto"/>
        <w:ind w:left="360" w:right="252"/>
        <w:rPr>
          <w:rFonts w:ascii="Arial" w:hAnsi="Arial" w:cs="Arial"/>
          <w:sz w:val="32"/>
          <w:szCs w:val="32"/>
        </w:rPr>
      </w:pPr>
    </w:p>
    <w:p w:rsidR="00EE1B56" w:rsidRDefault="00EE1B56" w:rsidP="00C368FA">
      <w:pPr>
        <w:spacing w:line="240" w:lineRule="auto"/>
        <w:ind w:left="360" w:right="252"/>
        <w:rPr>
          <w:rFonts w:ascii="Arial" w:hAnsi="Arial" w:cs="Arial"/>
          <w:sz w:val="32"/>
          <w:szCs w:val="32"/>
        </w:rPr>
      </w:pPr>
    </w:p>
    <w:p w:rsidR="00EE1B56" w:rsidRDefault="00EE1B56" w:rsidP="00C368FA">
      <w:pPr>
        <w:spacing w:line="240" w:lineRule="auto"/>
        <w:ind w:left="360" w:right="252"/>
        <w:rPr>
          <w:rFonts w:ascii="Arial" w:hAnsi="Arial" w:cs="Arial"/>
          <w:sz w:val="32"/>
          <w:szCs w:val="32"/>
        </w:rPr>
      </w:pPr>
    </w:p>
    <w:p w:rsidR="00EE1B56" w:rsidRDefault="00EE1B56" w:rsidP="00C368FA">
      <w:pPr>
        <w:spacing w:line="240" w:lineRule="auto"/>
        <w:ind w:left="360" w:right="252"/>
        <w:rPr>
          <w:rFonts w:ascii="Arial" w:hAnsi="Arial" w:cs="Arial"/>
          <w:sz w:val="32"/>
          <w:szCs w:val="32"/>
        </w:rPr>
      </w:pPr>
    </w:p>
    <w:p w:rsidR="00EE1B56" w:rsidRDefault="00EE1B56" w:rsidP="00C368FA">
      <w:pPr>
        <w:spacing w:line="240" w:lineRule="auto"/>
        <w:ind w:left="360" w:right="252"/>
        <w:rPr>
          <w:rFonts w:ascii="Arial" w:hAnsi="Arial" w:cs="Arial"/>
          <w:sz w:val="32"/>
          <w:szCs w:val="32"/>
        </w:rPr>
      </w:pPr>
    </w:p>
    <w:p w:rsidR="00EE1B56" w:rsidRDefault="00EE1B56" w:rsidP="00C368FA">
      <w:pPr>
        <w:spacing w:line="240" w:lineRule="auto"/>
        <w:ind w:left="360" w:right="252"/>
        <w:rPr>
          <w:rFonts w:ascii="Arial" w:hAnsi="Arial" w:cs="Arial"/>
          <w:sz w:val="32"/>
          <w:szCs w:val="32"/>
        </w:rPr>
      </w:pPr>
    </w:p>
    <w:p w:rsidR="008126EA" w:rsidRDefault="008126EA" w:rsidP="00C368FA">
      <w:pPr>
        <w:spacing w:line="240" w:lineRule="auto"/>
        <w:ind w:left="360" w:right="252"/>
        <w:rPr>
          <w:rFonts w:ascii="Arial" w:hAnsi="Arial" w:cs="Arial"/>
          <w:sz w:val="32"/>
          <w:szCs w:val="32"/>
        </w:rPr>
      </w:pPr>
    </w:p>
    <w:p w:rsidR="008126EA" w:rsidRDefault="00382A03" w:rsidP="00566755">
      <w:pPr>
        <w:spacing w:after="0" w:line="240" w:lineRule="auto"/>
        <w:ind w:left="360" w:right="259"/>
        <w:rPr>
          <w:rFonts w:ascii="Arial" w:hAnsi="Arial" w:cs="Arial"/>
          <w:sz w:val="32"/>
          <w:szCs w:val="32"/>
        </w:rPr>
      </w:pPr>
      <w:r>
        <w:rPr>
          <w:rFonts w:ascii="Arial" w:hAnsi="Arial" w:cs="Arial"/>
          <w:sz w:val="32"/>
          <w:szCs w:val="32"/>
        </w:rPr>
        <w:t>November 2</w:t>
      </w:r>
      <w:r w:rsidR="00967CFE">
        <w:rPr>
          <w:rFonts w:ascii="Arial" w:hAnsi="Arial" w:cs="Arial"/>
          <w:sz w:val="32"/>
          <w:szCs w:val="32"/>
        </w:rPr>
        <w:t>7</w:t>
      </w:r>
      <w:r w:rsidR="00C05CED">
        <w:rPr>
          <w:rFonts w:ascii="Arial" w:hAnsi="Arial" w:cs="Arial"/>
          <w:sz w:val="32"/>
          <w:szCs w:val="32"/>
        </w:rPr>
        <w:t>, 2013</w:t>
      </w:r>
    </w:p>
    <w:p w:rsidR="008126EA" w:rsidRDefault="008126EA" w:rsidP="00566755">
      <w:pPr>
        <w:spacing w:after="0" w:line="240" w:lineRule="auto"/>
        <w:ind w:left="360" w:right="259"/>
        <w:rPr>
          <w:rFonts w:ascii="Arial" w:hAnsi="Arial" w:cs="Arial"/>
          <w:sz w:val="32"/>
          <w:szCs w:val="32"/>
        </w:rPr>
      </w:pPr>
      <w:smartTag w:uri="urn:schemas-microsoft-com:office:smarttags" w:element="place">
        <w:smartTag w:uri="urn:schemas-microsoft-com:office:smarttags" w:element="PlaceName">
          <w:r>
            <w:rPr>
              <w:rFonts w:ascii="Arial" w:hAnsi="Arial" w:cs="Arial"/>
              <w:sz w:val="32"/>
              <w:szCs w:val="32"/>
            </w:rPr>
            <w:t>National</w:t>
          </w:r>
        </w:smartTag>
        <w:r>
          <w:rPr>
            <w:rFonts w:ascii="Arial" w:hAnsi="Arial" w:cs="Arial"/>
            <w:sz w:val="32"/>
            <w:szCs w:val="32"/>
          </w:rPr>
          <w:t xml:space="preserve"> </w:t>
        </w:r>
        <w:smartTag w:uri="urn:schemas-microsoft-com:office:smarttags" w:element="PlaceType">
          <w:r>
            <w:rPr>
              <w:rFonts w:ascii="Arial" w:hAnsi="Arial" w:cs="Arial"/>
              <w:sz w:val="32"/>
              <w:szCs w:val="32"/>
            </w:rPr>
            <w:t>Center</w:t>
          </w:r>
        </w:smartTag>
      </w:smartTag>
      <w:r>
        <w:rPr>
          <w:rFonts w:ascii="Arial" w:hAnsi="Arial" w:cs="Arial"/>
          <w:sz w:val="32"/>
          <w:szCs w:val="32"/>
        </w:rPr>
        <w:t xml:space="preserve"> for Education Statistics</w:t>
      </w:r>
    </w:p>
    <w:p w:rsidR="008126EA" w:rsidRPr="000C6D70" w:rsidRDefault="008126EA" w:rsidP="00566755">
      <w:pPr>
        <w:spacing w:after="0" w:line="240" w:lineRule="auto"/>
        <w:ind w:left="360" w:right="259"/>
        <w:rPr>
          <w:rFonts w:ascii="Arial" w:hAnsi="Arial" w:cs="Arial"/>
          <w:sz w:val="32"/>
          <w:szCs w:val="32"/>
        </w:rPr>
      </w:pPr>
      <w:smartTag w:uri="urn:schemas-microsoft-com:office:smarttags" w:element="place">
        <w:smartTag w:uri="urn:schemas-microsoft-com:office:smarttags" w:element="country-region">
          <w:r>
            <w:rPr>
              <w:rFonts w:ascii="Arial" w:hAnsi="Arial" w:cs="Arial"/>
              <w:sz w:val="32"/>
              <w:szCs w:val="32"/>
            </w:rPr>
            <w:t>U.S.</w:t>
          </w:r>
        </w:smartTag>
      </w:smartTag>
      <w:r>
        <w:rPr>
          <w:rFonts w:ascii="Arial" w:hAnsi="Arial" w:cs="Arial"/>
          <w:sz w:val="32"/>
          <w:szCs w:val="32"/>
        </w:rPr>
        <w:t xml:space="preserve"> Department of Education</w:t>
      </w:r>
    </w:p>
    <w:p w:rsidR="00B84D2B" w:rsidRDefault="00B84D2B" w:rsidP="00566755">
      <w:pPr>
        <w:spacing w:line="240" w:lineRule="auto"/>
        <w:ind w:right="252"/>
        <w:rPr>
          <w:rFonts w:ascii="Arial" w:hAnsi="Arial" w:cs="Arial"/>
          <w:sz w:val="32"/>
          <w:szCs w:val="32"/>
        </w:rPr>
        <w:sectPr w:rsidR="00B84D2B" w:rsidSect="00313DB1">
          <w:footerReference w:type="default" r:id="rId9"/>
          <w:pgSz w:w="12240" w:h="15840" w:code="1"/>
          <w:pgMar w:top="1008" w:right="1008" w:bottom="432" w:left="1008" w:header="720" w:footer="720" w:gutter="0"/>
          <w:cols w:space="720"/>
          <w:titlePg/>
          <w:docGrid w:linePitch="360"/>
        </w:sectPr>
      </w:pPr>
    </w:p>
    <w:p w:rsidR="008126EA" w:rsidRPr="0079689D" w:rsidRDefault="008126EA" w:rsidP="00D40448">
      <w:pPr>
        <w:spacing w:line="240" w:lineRule="auto"/>
        <w:ind w:right="259"/>
        <w:rPr>
          <w:rFonts w:ascii="Times New Roman" w:hAnsi="Times New Roman"/>
          <w:b/>
          <w:sz w:val="28"/>
        </w:rPr>
      </w:pPr>
      <w:r w:rsidRPr="0079689D">
        <w:rPr>
          <w:rFonts w:ascii="Times New Roman" w:hAnsi="Times New Roman"/>
          <w:b/>
          <w:sz w:val="28"/>
        </w:rPr>
        <w:lastRenderedPageBreak/>
        <w:t>Justification</w:t>
      </w:r>
    </w:p>
    <w:p w:rsidR="00E8356E" w:rsidRDefault="005C60AB" w:rsidP="006A3B58">
      <w:pPr>
        <w:pStyle w:val="SL-FlLftSgl"/>
        <w:ind w:firstLine="576"/>
      </w:pPr>
      <w:r w:rsidRPr="0079689D">
        <w:t xml:space="preserve">The National Center for Education Statistics (NCES), U.S. Department of Education (ED), requests OMB approval under the NCES system clearance for </w:t>
      </w:r>
      <w:r w:rsidR="009F3886">
        <w:t xml:space="preserve">the Quick Response Information System (QRIS) </w:t>
      </w:r>
      <w:r w:rsidR="00AF66CF">
        <w:t>(OMB</w:t>
      </w:r>
      <w:r w:rsidRPr="00955733">
        <w:t>#</w:t>
      </w:r>
      <w:r w:rsidR="00AF66CF">
        <w:t xml:space="preserve"> </w:t>
      </w:r>
      <w:r w:rsidRPr="00955733">
        <w:t>1850-0</w:t>
      </w:r>
      <w:r w:rsidR="009F3886">
        <w:t>73</w:t>
      </w:r>
      <w:r w:rsidRPr="00955733">
        <w:t>3)</w:t>
      </w:r>
      <w:r w:rsidRPr="0079689D">
        <w:t xml:space="preserve"> </w:t>
      </w:r>
      <w:r>
        <w:t>to conduct</w:t>
      </w:r>
      <w:r w:rsidR="009F3886">
        <w:t xml:space="preserve"> data collection</w:t>
      </w:r>
      <w:r>
        <w:t xml:space="preserve"> for </w:t>
      </w:r>
      <w:r w:rsidR="009F3886">
        <w:t>the</w:t>
      </w:r>
      <w:r>
        <w:t xml:space="preserve"> </w:t>
      </w:r>
      <w:r w:rsidR="00955733">
        <w:t>Fast Response Survey System (FRSS)</w:t>
      </w:r>
      <w:r w:rsidR="004654C9">
        <w:t xml:space="preserve"> </w:t>
      </w:r>
      <w:r>
        <w:t xml:space="preserve">survey </w:t>
      </w:r>
      <w:r w:rsidR="00E4409E">
        <w:t>#10</w:t>
      </w:r>
      <w:r w:rsidR="00C05CED">
        <w:t>6</w:t>
      </w:r>
      <w:r w:rsidR="00E4409E">
        <w:t xml:space="preserve"> </w:t>
      </w:r>
      <w:r>
        <w:t xml:space="preserve">on </w:t>
      </w:r>
      <w:r w:rsidR="00C05CED">
        <w:t>public school safety and discipline</w:t>
      </w:r>
      <w:r>
        <w:t>.</w:t>
      </w:r>
      <w:r w:rsidR="00D573A1">
        <w:t xml:space="preserve"> </w:t>
      </w:r>
      <w:r w:rsidR="00B61A82" w:rsidRPr="00B61A82">
        <w:t>The survey will provide national</w:t>
      </w:r>
      <w:r w:rsidR="00B61A82">
        <w:t>ly representative</w:t>
      </w:r>
      <w:r w:rsidR="00B61A82" w:rsidRPr="00B61A82">
        <w:t xml:space="preserve"> data</w:t>
      </w:r>
      <w:r w:rsidR="00E8356E">
        <w:t xml:space="preserve">, with a </w:t>
      </w:r>
      <w:r w:rsidR="00E8356E" w:rsidRPr="00B61A82">
        <w:rPr>
          <w:i/>
        </w:rPr>
        <w:t>First Look</w:t>
      </w:r>
      <w:r w:rsidR="00E8356E">
        <w:t xml:space="preserve"> report on the results to be released in </w:t>
      </w:r>
      <w:r w:rsidR="00B61A82">
        <w:t xml:space="preserve">the summer of </w:t>
      </w:r>
      <w:r w:rsidR="00E8356E">
        <w:t>201</w:t>
      </w:r>
      <w:r w:rsidR="00B61A82">
        <w:t>5</w:t>
      </w:r>
      <w:r w:rsidR="00E8356E">
        <w:t>.</w:t>
      </w:r>
      <w:r w:rsidR="00D573A1">
        <w:t xml:space="preserve"> </w:t>
      </w:r>
      <w:r w:rsidR="006A3B58" w:rsidRPr="006A3B58">
        <w:t>The survey will be modeled after the NCES School Survey o</w:t>
      </w:r>
      <w:r w:rsidR="00551CA1">
        <w:t>n</w:t>
      </w:r>
      <w:r w:rsidR="006A3B58" w:rsidRPr="006A3B58">
        <w:t xml:space="preserve"> Crime and Safety (SSOCS), modified</w:t>
      </w:r>
      <w:r w:rsidR="006A3B58">
        <w:t xml:space="preserve"> </w:t>
      </w:r>
      <w:r w:rsidR="006A3B58" w:rsidRPr="006A3B58">
        <w:t xml:space="preserve">for FRSS length and format constraints. </w:t>
      </w:r>
      <w:r w:rsidR="00B61A82" w:rsidRPr="00B61A82">
        <w:t>The SSOCS survey was conducted in 2000, 2004, 2006, 2008</w:t>
      </w:r>
      <w:r w:rsidR="00B61A82">
        <w:t xml:space="preserve">, and 2010. It was </w:t>
      </w:r>
      <w:r w:rsidR="00D40448">
        <w:t xml:space="preserve">also </w:t>
      </w:r>
      <w:r w:rsidR="00B61A82">
        <w:t>approved by OMB for</w:t>
      </w:r>
      <w:r w:rsidR="00551CA1">
        <w:t xml:space="preserve"> a</w:t>
      </w:r>
      <w:r w:rsidR="00B61A82">
        <w:t xml:space="preserve"> 2012 data collection</w:t>
      </w:r>
      <w:r w:rsidR="00AF66CF">
        <w:t xml:space="preserve"> (OMB# </w:t>
      </w:r>
      <w:r w:rsidR="00B61A82" w:rsidRPr="00B61A82">
        <w:t>1850-0761)</w:t>
      </w:r>
      <w:r w:rsidR="00B61A82">
        <w:t xml:space="preserve"> but was not conducted due to budget constraints</w:t>
      </w:r>
      <w:r w:rsidR="00B61A82" w:rsidRPr="00B61A82">
        <w:t>.</w:t>
      </w:r>
      <w:r w:rsidR="00F06ED5">
        <w:t xml:space="preserve"> </w:t>
      </w:r>
    </w:p>
    <w:p w:rsidR="00E8356E" w:rsidRDefault="00E8356E" w:rsidP="0041340B">
      <w:pPr>
        <w:spacing w:after="0" w:line="240" w:lineRule="atLeast"/>
        <w:ind w:firstLine="576"/>
        <w:rPr>
          <w:rFonts w:ascii="Times New Roman" w:hAnsi="Times New Roman"/>
        </w:rPr>
      </w:pPr>
    </w:p>
    <w:p w:rsidR="008126EA" w:rsidRPr="0079689D" w:rsidRDefault="004017A8" w:rsidP="005943B7">
      <w:pPr>
        <w:pStyle w:val="SL-FlLftSgl"/>
        <w:ind w:firstLine="576"/>
      </w:pPr>
      <w:r>
        <w:t xml:space="preserve">The FRSS survey is </w:t>
      </w:r>
      <w:r w:rsidR="00C17075" w:rsidRPr="0079689D">
        <w:t>authorized under the Education Science Reform Act of 2002</w:t>
      </w:r>
      <w:r>
        <w:t xml:space="preserve"> (ESRA 2002, 20 U.S.C. 9573), which authorizes NCES to collect and report statistical data related to education in the United States</w:t>
      </w:r>
      <w:r w:rsidR="00C17075" w:rsidRPr="0079689D">
        <w:t>.</w:t>
      </w:r>
      <w:r w:rsidR="00D573A1">
        <w:rPr>
          <w:bCs/>
        </w:rPr>
        <w:t xml:space="preserve"> </w:t>
      </w:r>
      <w:r w:rsidR="0032206B" w:rsidRPr="0079689D">
        <w:rPr>
          <w:szCs w:val="22"/>
        </w:rPr>
        <w:t>NCES has contract</w:t>
      </w:r>
      <w:r w:rsidR="0032206B">
        <w:rPr>
          <w:szCs w:val="22"/>
        </w:rPr>
        <w:t xml:space="preserve">ed Westat for </w:t>
      </w:r>
      <w:r w:rsidR="00F06ED5" w:rsidRPr="00F06ED5">
        <w:rPr>
          <w:szCs w:val="22"/>
        </w:rPr>
        <w:t xml:space="preserve">all stages of </w:t>
      </w:r>
      <w:r w:rsidR="0032206B">
        <w:rPr>
          <w:szCs w:val="22"/>
        </w:rPr>
        <w:t>this survey.</w:t>
      </w:r>
    </w:p>
    <w:p w:rsidR="008126EA" w:rsidRPr="0079689D" w:rsidRDefault="008126EA" w:rsidP="0041340B">
      <w:pPr>
        <w:spacing w:after="0" w:line="240" w:lineRule="atLeast"/>
        <w:ind w:firstLine="576"/>
        <w:rPr>
          <w:rFonts w:ascii="Times New Roman" w:hAnsi="Times New Roman"/>
        </w:rPr>
      </w:pPr>
    </w:p>
    <w:p w:rsidR="008126EA" w:rsidRPr="0079689D" w:rsidRDefault="008126EA" w:rsidP="00E95802">
      <w:pPr>
        <w:spacing w:line="240" w:lineRule="auto"/>
        <w:rPr>
          <w:rFonts w:ascii="Times New Roman" w:hAnsi="Times New Roman"/>
          <w:b/>
          <w:sz w:val="28"/>
        </w:rPr>
      </w:pPr>
      <w:r w:rsidRPr="0079689D">
        <w:rPr>
          <w:rFonts w:ascii="Times New Roman" w:hAnsi="Times New Roman"/>
          <w:b/>
          <w:sz w:val="28"/>
        </w:rPr>
        <w:t>Design</w:t>
      </w:r>
    </w:p>
    <w:p w:rsidR="008126EA" w:rsidRPr="00054843" w:rsidRDefault="008126EA" w:rsidP="00E95802">
      <w:pPr>
        <w:pStyle w:val="SL-FlLftSgl"/>
        <w:rPr>
          <w:b/>
          <w:bCs/>
          <w:szCs w:val="22"/>
        </w:rPr>
      </w:pPr>
      <w:r w:rsidRPr="00054843">
        <w:rPr>
          <w:b/>
          <w:bCs/>
          <w:szCs w:val="22"/>
        </w:rPr>
        <w:t xml:space="preserve">Overview of Survey Development </w:t>
      </w:r>
    </w:p>
    <w:p w:rsidR="004E6E76" w:rsidRPr="00054843" w:rsidRDefault="004E6E76" w:rsidP="004E6E76">
      <w:pPr>
        <w:pStyle w:val="SL-FlLftSgl"/>
        <w:tabs>
          <w:tab w:val="left" w:pos="1070"/>
        </w:tabs>
        <w:rPr>
          <w:b/>
          <w:bCs/>
          <w:szCs w:val="22"/>
        </w:rPr>
      </w:pPr>
    </w:p>
    <w:p w:rsidR="00605853" w:rsidRPr="00054843" w:rsidRDefault="00383E60" w:rsidP="00C550BF">
      <w:pPr>
        <w:pStyle w:val="SL-FlLftSgl"/>
        <w:ind w:firstLine="576"/>
        <w:rPr>
          <w:szCs w:val="22"/>
        </w:rPr>
      </w:pPr>
      <w:r w:rsidRPr="00054843">
        <w:rPr>
          <w:szCs w:val="22"/>
        </w:rPr>
        <w:t>T</w:t>
      </w:r>
      <w:r w:rsidR="000F4D06" w:rsidRPr="00054843">
        <w:rPr>
          <w:szCs w:val="22"/>
        </w:rPr>
        <w:t xml:space="preserve">he FRSS 106 questionnaire </w:t>
      </w:r>
      <w:r w:rsidR="00474045" w:rsidRPr="00054843">
        <w:rPr>
          <w:szCs w:val="22"/>
        </w:rPr>
        <w:t xml:space="preserve">is comprised of </w:t>
      </w:r>
      <w:r w:rsidR="000F4D06" w:rsidRPr="00054843">
        <w:rPr>
          <w:szCs w:val="22"/>
        </w:rPr>
        <w:t xml:space="preserve">selected questions </w:t>
      </w:r>
      <w:r w:rsidR="00A55106" w:rsidRPr="00054843">
        <w:rPr>
          <w:szCs w:val="22"/>
        </w:rPr>
        <w:t xml:space="preserve">that were </w:t>
      </w:r>
      <w:r w:rsidR="008157BC">
        <w:rPr>
          <w:szCs w:val="22"/>
        </w:rPr>
        <w:t xml:space="preserve">approved </w:t>
      </w:r>
      <w:r w:rsidR="00C020A6">
        <w:rPr>
          <w:szCs w:val="22"/>
        </w:rPr>
        <w:t xml:space="preserve">for </w:t>
      </w:r>
      <w:r w:rsidR="000F4D06" w:rsidRPr="00054843">
        <w:rPr>
          <w:szCs w:val="22"/>
        </w:rPr>
        <w:t>the SSOCS</w:t>
      </w:r>
      <w:r w:rsidR="0030713F" w:rsidRPr="00054843">
        <w:rPr>
          <w:szCs w:val="22"/>
        </w:rPr>
        <w:t>:</w:t>
      </w:r>
      <w:r w:rsidRPr="00054843">
        <w:rPr>
          <w:szCs w:val="22"/>
        </w:rPr>
        <w:t>2010 and SSOCS:</w:t>
      </w:r>
      <w:r w:rsidR="0030713F" w:rsidRPr="00054843">
        <w:rPr>
          <w:szCs w:val="22"/>
        </w:rPr>
        <w:t xml:space="preserve">2012 </w:t>
      </w:r>
      <w:r w:rsidR="000F4D06" w:rsidRPr="00054843">
        <w:rPr>
          <w:szCs w:val="22"/>
        </w:rPr>
        <w:t>questionnaire</w:t>
      </w:r>
      <w:r w:rsidRPr="00054843">
        <w:rPr>
          <w:szCs w:val="22"/>
        </w:rPr>
        <w:t>s</w:t>
      </w:r>
      <w:r w:rsidR="00C020A6">
        <w:rPr>
          <w:szCs w:val="22"/>
        </w:rPr>
        <w:t xml:space="preserve"> (</w:t>
      </w:r>
      <w:r w:rsidR="00A55106" w:rsidRPr="00054843">
        <w:rPr>
          <w:szCs w:val="22"/>
        </w:rPr>
        <w:t xml:space="preserve">SSOCS:2010 </w:t>
      </w:r>
      <w:r w:rsidR="00C020A6">
        <w:rPr>
          <w:szCs w:val="22"/>
        </w:rPr>
        <w:t xml:space="preserve">was fielded, </w:t>
      </w:r>
      <w:r w:rsidR="008157BC">
        <w:rPr>
          <w:szCs w:val="22"/>
        </w:rPr>
        <w:t>while</w:t>
      </w:r>
      <w:r w:rsidR="00C020A6">
        <w:rPr>
          <w:szCs w:val="22"/>
        </w:rPr>
        <w:t xml:space="preserve"> </w:t>
      </w:r>
      <w:r w:rsidR="00A55106" w:rsidRPr="00054843">
        <w:rPr>
          <w:szCs w:val="22"/>
        </w:rPr>
        <w:t>SSOCS:2012</w:t>
      </w:r>
      <w:r w:rsidR="008157BC">
        <w:rPr>
          <w:szCs w:val="22"/>
        </w:rPr>
        <w:t xml:space="preserve"> was not fielded due to budgetary constraints</w:t>
      </w:r>
      <w:r w:rsidR="00C020A6">
        <w:rPr>
          <w:szCs w:val="22"/>
        </w:rPr>
        <w:t>)</w:t>
      </w:r>
      <w:r w:rsidR="00A55106" w:rsidRPr="00054843">
        <w:rPr>
          <w:szCs w:val="22"/>
        </w:rPr>
        <w:t xml:space="preserve">. Because FRSS 106 is comprised entirely of questions included in SSOCS, </w:t>
      </w:r>
      <w:r w:rsidR="0030713F" w:rsidRPr="00054843">
        <w:rPr>
          <w:szCs w:val="22"/>
        </w:rPr>
        <w:t>the development of SSOCS is discussed below</w:t>
      </w:r>
      <w:r w:rsidR="000F4D06" w:rsidRPr="00054843">
        <w:rPr>
          <w:szCs w:val="22"/>
        </w:rPr>
        <w:t>.</w:t>
      </w:r>
    </w:p>
    <w:p w:rsidR="00605853" w:rsidRPr="00054843" w:rsidRDefault="00605853" w:rsidP="00C550BF">
      <w:pPr>
        <w:pStyle w:val="SL-FlLftSgl"/>
        <w:ind w:firstLine="576"/>
        <w:rPr>
          <w:szCs w:val="22"/>
        </w:rPr>
      </w:pPr>
    </w:p>
    <w:p w:rsidR="00C550BF" w:rsidRPr="00054843" w:rsidRDefault="00605853" w:rsidP="00C550BF">
      <w:pPr>
        <w:pStyle w:val="SL-FlLftSgl"/>
        <w:ind w:firstLine="576"/>
        <w:rPr>
          <w:szCs w:val="22"/>
        </w:rPr>
      </w:pPr>
      <w:r w:rsidRPr="00054843">
        <w:rPr>
          <w:szCs w:val="22"/>
        </w:rPr>
        <w:t>P</w:t>
      </w:r>
      <w:r w:rsidR="00C550BF" w:rsidRPr="00054843">
        <w:rPr>
          <w:szCs w:val="22"/>
        </w:rPr>
        <w:t xml:space="preserve">rior to the 2004 SSOCS, </w:t>
      </w:r>
      <w:r w:rsidR="00551CA1" w:rsidRPr="00054843">
        <w:rPr>
          <w:szCs w:val="22"/>
        </w:rPr>
        <w:t>nine</w:t>
      </w:r>
      <w:r w:rsidRPr="00054843">
        <w:rPr>
          <w:szCs w:val="22"/>
        </w:rPr>
        <w:t xml:space="preserve"> </w:t>
      </w:r>
      <w:r w:rsidR="00C550BF" w:rsidRPr="00054843">
        <w:rPr>
          <w:szCs w:val="22"/>
        </w:rPr>
        <w:t xml:space="preserve">administrators from schools varying in locale, level, and district were recruited to identify potential issues with wording, formatting, and content. These </w:t>
      </w:r>
      <w:r w:rsidR="00551CA1" w:rsidRPr="00054843">
        <w:rPr>
          <w:szCs w:val="22"/>
        </w:rPr>
        <w:t>nine</w:t>
      </w:r>
      <w:r w:rsidRPr="00054843">
        <w:rPr>
          <w:szCs w:val="22"/>
        </w:rPr>
        <w:t xml:space="preserve"> </w:t>
      </w:r>
      <w:r w:rsidR="00C550BF" w:rsidRPr="00054843">
        <w:rPr>
          <w:szCs w:val="22"/>
        </w:rPr>
        <w:t xml:space="preserve">participants responded to a series of scripted questions related to the survey items that tested the clarity of terms, the appropriateness of response options, and overall ease in responding to specific survey questions. Interviews were conducted at the schools and varied in length from 1 to 2 hours. </w:t>
      </w:r>
    </w:p>
    <w:p w:rsidR="00C550BF" w:rsidRPr="00054843" w:rsidRDefault="00C550BF" w:rsidP="00C550BF">
      <w:pPr>
        <w:pStyle w:val="SL-FlLftSgl"/>
        <w:ind w:firstLine="576"/>
        <w:rPr>
          <w:szCs w:val="22"/>
        </w:rPr>
      </w:pPr>
    </w:p>
    <w:p w:rsidR="00C550BF" w:rsidRPr="00054843" w:rsidRDefault="00C550BF" w:rsidP="00C550BF">
      <w:pPr>
        <w:pStyle w:val="SL-FlLftSgl"/>
        <w:ind w:firstLine="576"/>
        <w:rPr>
          <w:szCs w:val="22"/>
        </w:rPr>
      </w:pPr>
      <w:r w:rsidRPr="00054843">
        <w:rPr>
          <w:szCs w:val="22"/>
        </w:rPr>
        <w:t xml:space="preserve">After the questionnaire was modified based on the results of the cognitive interview, </w:t>
      </w:r>
      <w:r w:rsidR="00551CA1" w:rsidRPr="00054843">
        <w:rPr>
          <w:szCs w:val="22"/>
        </w:rPr>
        <w:t>seven</w:t>
      </w:r>
      <w:r w:rsidR="00605853" w:rsidRPr="00054843">
        <w:rPr>
          <w:szCs w:val="22"/>
        </w:rPr>
        <w:t xml:space="preserve"> </w:t>
      </w:r>
      <w:r w:rsidRPr="00054843">
        <w:rPr>
          <w:szCs w:val="22"/>
        </w:rPr>
        <w:t xml:space="preserve">site visits were completed to determine how schools record crime data (i.e., the format and layout of the data) and the amount of time it takes to obtain the appropriate data. As with the cognitive interviews, administrators were recruited from schools varying in locale, level, and district and were asked to complete a shortened version of the questionnaire. Interviews were conducted at the schools and varied in length from 1 to 3 hours. </w:t>
      </w:r>
    </w:p>
    <w:p w:rsidR="00C550BF" w:rsidRPr="00054843" w:rsidRDefault="00C550BF" w:rsidP="00C550BF">
      <w:pPr>
        <w:pStyle w:val="SL-FlLftSgl"/>
        <w:ind w:firstLine="576"/>
        <w:rPr>
          <w:szCs w:val="22"/>
        </w:rPr>
      </w:pPr>
    </w:p>
    <w:p w:rsidR="00C550BF" w:rsidRPr="00054843" w:rsidRDefault="00C550BF" w:rsidP="00C550BF">
      <w:pPr>
        <w:pStyle w:val="SL-FlLftSgl"/>
        <w:ind w:firstLine="576"/>
        <w:rPr>
          <w:szCs w:val="22"/>
        </w:rPr>
      </w:pPr>
      <w:r w:rsidRPr="00054843">
        <w:rPr>
          <w:szCs w:val="22"/>
        </w:rPr>
        <w:t xml:space="preserve">To test the wording and format of the questionnaire and to find out how long it took for respondents to complete the SSOCS:2004 instrument in its entirety, a total of </w:t>
      </w:r>
      <w:r w:rsidR="00551CA1" w:rsidRPr="00054843">
        <w:rPr>
          <w:szCs w:val="22"/>
        </w:rPr>
        <w:t>eight</w:t>
      </w:r>
      <w:r w:rsidR="00605853" w:rsidRPr="00054843">
        <w:rPr>
          <w:szCs w:val="22"/>
        </w:rPr>
        <w:t xml:space="preserve"> </w:t>
      </w:r>
      <w:r w:rsidRPr="00054843">
        <w:rPr>
          <w:szCs w:val="22"/>
        </w:rPr>
        <w:t>debriefing interviews were completed. Unlike the cognitive interviews and site visits, the respondents were administrators from public schools only. Principals were asked to complete the survey as if they had received the survey request in the mail, recording the total amount of time it took them to complete the survey. Telephone interviewers then contacted these principals and asked about the amount of time it took to complete the questionnaire, who and what information was needed to respond to the items, whether the questions were clear, and the use and clarity of the instrument provided.</w:t>
      </w:r>
    </w:p>
    <w:p w:rsidR="00C550BF" w:rsidRPr="00054843" w:rsidRDefault="00C550BF" w:rsidP="00C550BF">
      <w:pPr>
        <w:pStyle w:val="SL-FlLftSgl"/>
        <w:ind w:firstLine="576"/>
        <w:rPr>
          <w:szCs w:val="22"/>
        </w:rPr>
      </w:pPr>
    </w:p>
    <w:p w:rsidR="00C550BF" w:rsidRPr="00054843" w:rsidRDefault="00C550BF" w:rsidP="00C550BF">
      <w:pPr>
        <w:pStyle w:val="SL-FlLftSgl"/>
        <w:ind w:firstLine="576"/>
        <w:rPr>
          <w:szCs w:val="22"/>
        </w:rPr>
      </w:pPr>
      <w:r w:rsidRPr="00054843">
        <w:rPr>
          <w:szCs w:val="22"/>
        </w:rPr>
        <w:t>Due to the complexity of this task for SSOCS:2004, its associated cost, and the minimal amount of change to the questionnaire since this thorough undertaking, subsequent consultation</w:t>
      </w:r>
      <w:r w:rsidR="00611246">
        <w:rPr>
          <w:szCs w:val="22"/>
        </w:rPr>
        <w:t>s</w:t>
      </w:r>
      <w:r w:rsidRPr="00054843">
        <w:rPr>
          <w:szCs w:val="22"/>
        </w:rPr>
        <w:t xml:space="preserve"> with principals about SSOCS survey items ha</w:t>
      </w:r>
      <w:r w:rsidR="00611246">
        <w:rPr>
          <w:szCs w:val="22"/>
        </w:rPr>
        <w:t>ve</w:t>
      </w:r>
      <w:r w:rsidRPr="00054843">
        <w:rPr>
          <w:szCs w:val="22"/>
        </w:rPr>
        <w:t xml:space="preserve"> focused on cognitive testing specific items that are new to the survey rather than the entire questionnaire. This was done for SSOCS:2006</w:t>
      </w:r>
      <w:r w:rsidR="00605853" w:rsidRPr="00054843">
        <w:rPr>
          <w:szCs w:val="22"/>
        </w:rPr>
        <w:t>,</w:t>
      </w:r>
      <w:r w:rsidRPr="00054843">
        <w:rPr>
          <w:szCs w:val="22"/>
        </w:rPr>
        <w:t xml:space="preserve"> 2008, and </w:t>
      </w:r>
      <w:r w:rsidR="00605853" w:rsidRPr="00054843">
        <w:rPr>
          <w:szCs w:val="22"/>
        </w:rPr>
        <w:t xml:space="preserve">2010. </w:t>
      </w:r>
    </w:p>
    <w:p w:rsidR="00605853" w:rsidRPr="00054843" w:rsidRDefault="00605853" w:rsidP="004E6E76">
      <w:pPr>
        <w:pStyle w:val="SL-FlLftSgl"/>
        <w:ind w:firstLine="576"/>
        <w:rPr>
          <w:szCs w:val="22"/>
        </w:rPr>
      </w:pPr>
    </w:p>
    <w:p w:rsidR="004E6E76" w:rsidRPr="00054843" w:rsidRDefault="00912C21" w:rsidP="004E6E76">
      <w:pPr>
        <w:pStyle w:val="SL-FlLftSgl"/>
        <w:ind w:firstLine="576"/>
        <w:rPr>
          <w:szCs w:val="22"/>
        </w:rPr>
      </w:pPr>
      <w:r w:rsidRPr="00054843">
        <w:rPr>
          <w:szCs w:val="22"/>
        </w:rPr>
        <w:t xml:space="preserve">The </w:t>
      </w:r>
      <w:r w:rsidR="00605853" w:rsidRPr="00054843">
        <w:rPr>
          <w:szCs w:val="22"/>
        </w:rPr>
        <w:t xml:space="preserve">FRSS 106 </w:t>
      </w:r>
      <w:r w:rsidRPr="00054843">
        <w:rPr>
          <w:szCs w:val="22"/>
        </w:rPr>
        <w:t xml:space="preserve">questionnaire was </w:t>
      </w:r>
      <w:r w:rsidR="00605853" w:rsidRPr="00054843">
        <w:rPr>
          <w:szCs w:val="22"/>
        </w:rPr>
        <w:t>prepared using selected questions from SSOCS</w:t>
      </w:r>
      <w:r w:rsidR="003C06BC" w:rsidRPr="00054843">
        <w:rPr>
          <w:szCs w:val="22"/>
        </w:rPr>
        <w:t>.</w:t>
      </w:r>
      <w:r w:rsidR="00D573A1" w:rsidRPr="00054843">
        <w:rPr>
          <w:szCs w:val="22"/>
        </w:rPr>
        <w:t xml:space="preserve"> </w:t>
      </w:r>
      <w:r w:rsidR="00D972FE" w:rsidRPr="00054843">
        <w:rPr>
          <w:szCs w:val="22"/>
        </w:rPr>
        <w:t>One round of</w:t>
      </w:r>
      <w:r w:rsidR="009E1D70" w:rsidRPr="00054843">
        <w:rPr>
          <w:szCs w:val="22"/>
        </w:rPr>
        <w:t xml:space="preserve"> the</w:t>
      </w:r>
      <w:r w:rsidR="00D972FE" w:rsidRPr="00054843">
        <w:rPr>
          <w:szCs w:val="22"/>
        </w:rPr>
        <w:t xml:space="preserve"> pretest was conducted with </w:t>
      </w:r>
      <w:r w:rsidR="009E1D70" w:rsidRPr="00054843">
        <w:rPr>
          <w:szCs w:val="22"/>
        </w:rPr>
        <w:t xml:space="preserve">eight </w:t>
      </w:r>
      <w:r w:rsidR="00D972FE" w:rsidRPr="00054843">
        <w:rPr>
          <w:szCs w:val="22"/>
        </w:rPr>
        <w:t xml:space="preserve">respondents during November 2013. </w:t>
      </w:r>
      <w:r w:rsidR="0039353A" w:rsidRPr="00054843">
        <w:rPr>
          <w:szCs w:val="22"/>
        </w:rPr>
        <w:t xml:space="preserve">During the pretest, respondents were asked to complete the questionnaire and participate in a telephone debriefing with Westat to provide feedback on the questionnaire. Completed questionnaires were collected by fax prior to the debriefing with each respondent. </w:t>
      </w:r>
      <w:r w:rsidR="00706BA8" w:rsidRPr="00054843">
        <w:rPr>
          <w:szCs w:val="22"/>
        </w:rPr>
        <w:t xml:space="preserve">During the pretest, all questions on the questionnaire were tested and estimates of the respondent time required to complete </w:t>
      </w:r>
      <w:r w:rsidR="00706BA8" w:rsidRPr="00054843">
        <w:rPr>
          <w:szCs w:val="22"/>
        </w:rPr>
        <w:lastRenderedPageBreak/>
        <w:t>the survey were obtained. The purpose of the pretest was to verify that the questions and corresponding instructions were clear and unambiguous, and to determine the response burden for the survey. The final questionnaire (Attachment 1) is being submitted with th</w:t>
      </w:r>
      <w:r w:rsidR="00611246">
        <w:rPr>
          <w:szCs w:val="22"/>
        </w:rPr>
        <w:t>is</w:t>
      </w:r>
      <w:r w:rsidR="00706BA8" w:rsidRPr="00054843">
        <w:rPr>
          <w:szCs w:val="22"/>
        </w:rPr>
        <w:t xml:space="preserve"> request for OMB clearance.</w:t>
      </w:r>
    </w:p>
    <w:p w:rsidR="00F06ED5" w:rsidRPr="00054843" w:rsidRDefault="00F06ED5" w:rsidP="00F06ED5">
      <w:pPr>
        <w:spacing w:after="0" w:line="240" w:lineRule="atLeast"/>
        <w:rPr>
          <w:rFonts w:ascii="Times New Roman" w:hAnsi="Times New Roman"/>
          <w:b/>
        </w:rPr>
      </w:pPr>
    </w:p>
    <w:p w:rsidR="002318D8" w:rsidRPr="00054843" w:rsidRDefault="002318D8" w:rsidP="002318D8">
      <w:pPr>
        <w:pStyle w:val="SL-FlLftSgl"/>
        <w:rPr>
          <w:b/>
          <w:bCs/>
          <w:szCs w:val="22"/>
        </w:rPr>
      </w:pPr>
      <w:r w:rsidRPr="00054843">
        <w:rPr>
          <w:b/>
          <w:bCs/>
          <w:szCs w:val="22"/>
        </w:rPr>
        <w:t xml:space="preserve">NCES Review </w:t>
      </w:r>
      <w:r w:rsidR="00843711" w:rsidRPr="00054843">
        <w:rPr>
          <w:b/>
          <w:bCs/>
          <w:szCs w:val="22"/>
        </w:rPr>
        <w:t>and Consultat</w:t>
      </w:r>
      <w:r w:rsidR="00F85EB0" w:rsidRPr="00054843">
        <w:rPr>
          <w:b/>
          <w:bCs/>
          <w:szCs w:val="22"/>
        </w:rPr>
        <w:t>ion</w:t>
      </w:r>
      <w:r w:rsidR="00843711" w:rsidRPr="00054843">
        <w:rPr>
          <w:b/>
          <w:bCs/>
          <w:szCs w:val="22"/>
        </w:rPr>
        <w:t>s Outside of Agency</w:t>
      </w:r>
    </w:p>
    <w:p w:rsidR="002318D8" w:rsidRPr="00054843" w:rsidRDefault="002318D8" w:rsidP="002318D8">
      <w:pPr>
        <w:pStyle w:val="SP-SglSpPara"/>
        <w:ind w:firstLine="0"/>
        <w:rPr>
          <w:bCs/>
          <w:szCs w:val="22"/>
        </w:rPr>
      </w:pPr>
    </w:p>
    <w:p w:rsidR="00C550BF" w:rsidRPr="00054843" w:rsidRDefault="00C550BF" w:rsidP="00C550BF">
      <w:pPr>
        <w:pStyle w:val="SP-SglSpPara"/>
        <w:rPr>
          <w:szCs w:val="22"/>
        </w:rPr>
      </w:pPr>
      <w:r w:rsidRPr="00054843">
        <w:rPr>
          <w:szCs w:val="22"/>
        </w:rPr>
        <w:t xml:space="preserve">As indicated above, the proposed FRSS 106 questionnaire contains selected questions from the OMB-approved SSOCS questionnaire. The SSOCS survey was originally developed in consultation with a Technical Review Panel (TRP) that was created to review crime-related surveys sponsored by NCES. Panel members and their affiliations are as follows: </w:t>
      </w:r>
    </w:p>
    <w:p w:rsidR="00C550BF" w:rsidRPr="00054843" w:rsidRDefault="00C550BF" w:rsidP="00C550BF">
      <w:pPr>
        <w:pStyle w:val="SP-SglSpPara"/>
        <w:rPr>
          <w:szCs w:val="22"/>
        </w:rPr>
      </w:pPr>
    </w:p>
    <w:p w:rsidR="00C550BF" w:rsidRPr="00054843" w:rsidRDefault="00C550BF" w:rsidP="00C550BF">
      <w:pPr>
        <w:pStyle w:val="SP-SglSpPara"/>
        <w:numPr>
          <w:ilvl w:val="0"/>
          <w:numId w:val="2"/>
        </w:numPr>
        <w:rPr>
          <w:szCs w:val="22"/>
        </w:rPr>
      </w:pPr>
      <w:r w:rsidRPr="00054843">
        <w:rPr>
          <w:szCs w:val="22"/>
        </w:rPr>
        <w:t>Lynn Addington, Department of Justice, Law and Society, American University</w:t>
      </w:r>
    </w:p>
    <w:p w:rsidR="00C550BF" w:rsidRPr="00054843" w:rsidRDefault="00C550BF" w:rsidP="00C550BF">
      <w:pPr>
        <w:pStyle w:val="SP-SglSpPara"/>
        <w:numPr>
          <w:ilvl w:val="0"/>
          <w:numId w:val="2"/>
        </w:numPr>
        <w:rPr>
          <w:szCs w:val="22"/>
        </w:rPr>
      </w:pPr>
      <w:r w:rsidRPr="00054843">
        <w:rPr>
          <w:szCs w:val="22"/>
        </w:rPr>
        <w:t>Bill Bond, National Association of Secondary School Principals</w:t>
      </w:r>
    </w:p>
    <w:p w:rsidR="00C550BF" w:rsidRPr="00054843" w:rsidRDefault="00C550BF" w:rsidP="00C550BF">
      <w:pPr>
        <w:pStyle w:val="SP-SglSpPara"/>
        <w:numPr>
          <w:ilvl w:val="0"/>
          <w:numId w:val="2"/>
        </w:numPr>
        <w:rPr>
          <w:szCs w:val="22"/>
        </w:rPr>
      </w:pPr>
      <w:r w:rsidRPr="00054843">
        <w:rPr>
          <w:szCs w:val="22"/>
        </w:rPr>
        <w:t>Margaret Evans, National Association of Elementary School Principals</w:t>
      </w:r>
    </w:p>
    <w:p w:rsidR="00C550BF" w:rsidRPr="00054843" w:rsidRDefault="00C550BF" w:rsidP="00C550BF">
      <w:pPr>
        <w:pStyle w:val="SP-SglSpPara"/>
        <w:numPr>
          <w:ilvl w:val="0"/>
          <w:numId w:val="2"/>
        </w:numPr>
        <w:rPr>
          <w:szCs w:val="22"/>
        </w:rPr>
      </w:pPr>
      <w:r w:rsidRPr="00054843">
        <w:rPr>
          <w:szCs w:val="22"/>
        </w:rPr>
        <w:t>Denise Gottfredson, Department of Criminology and Justice, University of Maryland</w:t>
      </w:r>
    </w:p>
    <w:p w:rsidR="00C550BF" w:rsidRPr="00054843" w:rsidRDefault="00C550BF" w:rsidP="00C550BF">
      <w:pPr>
        <w:pStyle w:val="SP-SglSpPara"/>
        <w:numPr>
          <w:ilvl w:val="0"/>
          <w:numId w:val="2"/>
        </w:numPr>
        <w:rPr>
          <w:szCs w:val="22"/>
        </w:rPr>
      </w:pPr>
      <w:r w:rsidRPr="00054843">
        <w:rPr>
          <w:szCs w:val="22"/>
        </w:rPr>
        <w:t>Gary Gottfredson, Gottfredson Associates, Inc.</w:t>
      </w:r>
    </w:p>
    <w:p w:rsidR="00C550BF" w:rsidRPr="00054843" w:rsidRDefault="00C550BF" w:rsidP="00C550BF">
      <w:pPr>
        <w:pStyle w:val="SP-SglSpPara"/>
        <w:numPr>
          <w:ilvl w:val="0"/>
          <w:numId w:val="2"/>
        </w:numPr>
        <w:rPr>
          <w:szCs w:val="22"/>
        </w:rPr>
      </w:pPr>
      <w:r w:rsidRPr="00054843">
        <w:rPr>
          <w:szCs w:val="22"/>
        </w:rPr>
        <w:t>Kristen Hayes, Office of Safe and Drug Free Schools</w:t>
      </w:r>
    </w:p>
    <w:p w:rsidR="00C550BF" w:rsidRPr="00054843" w:rsidRDefault="00C550BF" w:rsidP="00C550BF">
      <w:pPr>
        <w:pStyle w:val="SP-SglSpPara"/>
        <w:numPr>
          <w:ilvl w:val="0"/>
          <w:numId w:val="2"/>
        </w:numPr>
        <w:rPr>
          <w:szCs w:val="22"/>
        </w:rPr>
      </w:pPr>
      <w:r w:rsidRPr="00054843">
        <w:rPr>
          <w:szCs w:val="22"/>
        </w:rPr>
        <w:t>William Lassiter, Center for Prevention of School Violence</w:t>
      </w:r>
    </w:p>
    <w:p w:rsidR="00C550BF" w:rsidRPr="00054843" w:rsidRDefault="00C550BF" w:rsidP="00C550BF">
      <w:pPr>
        <w:pStyle w:val="SP-SglSpPara"/>
        <w:numPr>
          <w:ilvl w:val="0"/>
          <w:numId w:val="2"/>
        </w:numPr>
        <w:rPr>
          <w:szCs w:val="22"/>
        </w:rPr>
      </w:pPr>
      <w:r w:rsidRPr="00054843">
        <w:rPr>
          <w:szCs w:val="22"/>
        </w:rPr>
        <w:t>Colin Loftin, School of Criminal Justice, State University of New York, Albany</w:t>
      </w:r>
    </w:p>
    <w:p w:rsidR="00C550BF" w:rsidRPr="00054843" w:rsidRDefault="00C550BF" w:rsidP="00C550BF">
      <w:pPr>
        <w:pStyle w:val="SP-SglSpPara"/>
        <w:numPr>
          <w:ilvl w:val="0"/>
          <w:numId w:val="2"/>
        </w:numPr>
        <w:rPr>
          <w:szCs w:val="22"/>
        </w:rPr>
      </w:pPr>
      <w:r w:rsidRPr="00054843">
        <w:rPr>
          <w:szCs w:val="22"/>
        </w:rPr>
        <w:t>Sister Dale McDonald, National Catholic Education Association</w:t>
      </w:r>
    </w:p>
    <w:p w:rsidR="00C550BF" w:rsidRPr="00054843" w:rsidRDefault="00C550BF" w:rsidP="00C550BF">
      <w:pPr>
        <w:pStyle w:val="SP-SglSpPara"/>
        <w:numPr>
          <w:ilvl w:val="0"/>
          <w:numId w:val="2"/>
        </w:numPr>
        <w:rPr>
          <w:szCs w:val="22"/>
        </w:rPr>
      </w:pPr>
      <w:r w:rsidRPr="00054843">
        <w:rPr>
          <w:szCs w:val="22"/>
        </w:rPr>
        <w:t>Shannon Means, Kentucky Center for School Safety</w:t>
      </w:r>
    </w:p>
    <w:p w:rsidR="00C550BF" w:rsidRPr="00054843" w:rsidRDefault="00C550BF" w:rsidP="00C550BF">
      <w:pPr>
        <w:pStyle w:val="SP-SglSpPara"/>
        <w:numPr>
          <w:ilvl w:val="0"/>
          <w:numId w:val="2"/>
        </w:numPr>
        <w:rPr>
          <w:szCs w:val="22"/>
        </w:rPr>
      </w:pPr>
      <w:r w:rsidRPr="00054843">
        <w:rPr>
          <w:szCs w:val="22"/>
        </w:rPr>
        <w:t>Michael Rand, Bureau of Justice Statistics</w:t>
      </w:r>
    </w:p>
    <w:p w:rsidR="00C550BF" w:rsidRPr="00054843" w:rsidRDefault="00C550BF" w:rsidP="00C550BF">
      <w:pPr>
        <w:pStyle w:val="SP-SglSpPara"/>
        <w:numPr>
          <w:ilvl w:val="0"/>
          <w:numId w:val="2"/>
        </w:numPr>
        <w:rPr>
          <w:szCs w:val="22"/>
        </w:rPr>
      </w:pPr>
      <w:r w:rsidRPr="00054843">
        <w:rPr>
          <w:szCs w:val="22"/>
        </w:rPr>
        <w:t>Bill Smith, Instructional Support Services, Sioux Falls School District</w:t>
      </w:r>
    </w:p>
    <w:p w:rsidR="00C550BF" w:rsidRPr="00054843" w:rsidRDefault="00C550BF" w:rsidP="00C550BF">
      <w:pPr>
        <w:pStyle w:val="SP-SglSpPara"/>
        <w:rPr>
          <w:szCs w:val="22"/>
        </w:rPr>
      </w:pPr>
    </w:p>
    <w:p w:rsidR="00C550BF" w:rsidRPr="00054843" w:rsidRDefault="00C550BF" w:rsidP="00C550BF">
      <w:pPr>
        <w:pStyle w:val="SP-SglSpPara"/>
        <w:rPr>
          <w:szCs w:val="22"/>
        </w:rPr>
      </w:pPr>
      <w:r w:rsidRPr="00054843">
        <w:rPr>
          <w:szCs w:val="22"/>
        </w:rPr>
        <w:t>In addition, the feedback on the SSOCS:2008 questionnaire to inform revisions to SSOCS:2010 was provided by the following outside experts:</w:t>
      </w:r>
    </w:p>
    <w:p w:rsidR="00C550BF" w:rsidRPr="00054843" w:rsidRDefault="00C550BF" w:rsidP="00C550BF">
      <w:pPr>
        <w:pStyle w:val="SP-SglSpPara"/>
        <w:rPr>
          <w:szCs w:val="22"/>
        </w:rPr>
      </w:pPr>
    </w:p>
    <w:p w:rsidR="00C550BF" w:rsidRPr="00054843" w:rsidRDefault="00C550BF" w:rsidP="00C550BF">
      <w:pPr>
        <w:pStyle w:val="SP-SglSpPara"/>
        <w:numPr>
          <w:ilvl w:val="0"/>
          <w:numId w:val="2"/>
        </w:numPr>
        <w:rPr>
          <w:szCs w:val="22"/>
        </w:rPr>
      </w:pPr>
      <w:r w:rsidRPr="00054843">
        <w:rPr>
          <w:szCs w:val="22"/>
        </w:rPr>
        <w:t>Lynn Addington, Department of Justice, Law and Society, American University</w:t>
      </w:r>
    </w:p>
    <w:p w:rsidR="00C550BF" w:rsidRPr="00054843" w:rsidRDefault="00C550BF" w:rsidP="00C550BF">
      <w:pPr>
        <w:pStyle w:val="SP-SglSpPara"/>
        <w:numPr>
          <w:ilvl w:val="0"/>
          <w:numId w:val="2"/>
        </w:numPr>
        <w:rPr>
          <w:szCs w:val="22"/>
        </w:rPr>
      </w:pPr>
      <w:r w:rsidRPr="00054843">
        <w:rPr>
          <w:szCs w:val="22"/>
        </w:rPr>
        <w:t>Aman</w:t>
      </w:r>
      <w:r w:rsidR="008D1598" w:rsidRPr="00054843">
        <w:rPr>
          <w:szCs w:val="22"/>
        </w:rPr>
        <w:t>da Nickerson, School Psychology</w:t>
      </w:r>
      <w:r w:rsidRPr="00054843">
        <w:rPr>
          <w:szCs w:val="22"/>
        </w:rPr>
        <w:t xml:space="preserve"> Department, State University of New York, Albany</w:t>
      </w:r>
    </w:p>
    <w:p w:rsidR="00C550BF" w:rsidRPr="00054843" w:rsidRDefault="00C550BF" w:rsidP="00C550BF">
      <w:pPr>
        <w:pStyle w:val="SP-SglSpPara"/>
        <w:numPr>
          <w:ilvl w:val="0"/>
          <w:numId w:val="2"/>
        </w:numPr>
        <w:rPr>
          <w:szCs w:val="22"/>
        </w:rPr>
      </w:pPr>
      <w:r w:rsidRPr="00054843">
        <w:rPr>
          <w:szCs w:val="22"/>
        </w:rPr>
        <w:t>Teresa Sarmiento Brooks, School of Social Work, University of New England</w:t>
      </w:r>
    </w:p>
    <w:p w:rsidR="00C550BF" w:rsidRPr="00054843" w:rsidRDefault="00C550BF" w:rsidP="005943B7">
      <w:pPr>
        <w:pStyle w:val="SP-SglSpPara"/>
        <w:rPr>
          <w:szCs w:val="22"/>
        </w:rPr>
      </w:pPr>
    </w:p>
    <w:p w:rsidR="003D6AA6" w:rsidRPr="00054843" w:rsidRDefault="003D6AA6" w:rsidP="002318D8">
      <w:pPr>
        <w:spacing w:after="0" w:line="240" w:lineRule="atLeast"/>
        <w:rPr>
          <w:rFonts w:ascii="Times New Roman" w:hAnsi="Times New Roman"/>
          <w:b/>
          <w:bCs/>
        </w:rPr>
      </w:pPr>
      <w:r w:rsidRPr="00054843">
        <w:rPr>
          <w:rFonts w:ascii="Times New Roman" w:hAnsi="Times New Roman"/>
          <w:b/>
          <w:bCs/>
        </w:rPr>
        <w:t>Assurance of Confidentiality</w:t>
      </w:r>
    </w:p>
    <w:p w:rsidR="003D6AA6" w:rsidRPr="00054843" w:rsidRDefault="003D6AA6" w:rsidP="002318D8">
      <w:pPr>
        <w:spacing w:after="0" w:line="240" w:lineRule="atLeast"/>
        <w:rPr>
          <w:rFonts w:ascii="Times New Roman" w:hAnsi="Times New Roman"/>
          <w:bCs/>
        </w:rPr>
      </w:pPr>
    </w:p>
    <w:p w:rsidR="00495928" w:rsidRPr="00054843" w:rsidRDefault="00495928" w:rsidP="00495928">
      <w:pPr>
        <w:pStyle w:val="SP-SglSpPara"/>
        <w:jc w:val="left"/>
        <w:rPr>
          <w:szCs w:val="22"/>
        </w:rPr>
      </w:pPr>
      <w:r w:rsidRPr="00054843">
        <w:rPr>
          <w:szCs w:val="22"/>
        </w:rPr>
        <w:t>Data to be collected will not be released to the public with institutional or personal identifiers attached.  Data will be presented in aggregate statistical form only.  In addition, each data file undergoes extensive disclosure risk analysis and is reviewed by the NCES/IES Disclosure Review Board before use in generating report analyses and before release as a public use data file.  Respondents will be assured that their participation in the survey is voluntary and that their answers may be used only for statistical purposes and may not be disclosed, or used, in identifiable form for any other purpose unless otherwise compelled by law (Education Sciences Reform Act of 2002, 20 U.S.C. § 9573).</w:t>
      </w:r>
    </w:p>
    <w:p w:rsidR="003D6AA6" w:rsidRPr="00054843" w:rsidRDefault="003D6AA6" w:rsidP="002318D8">
      <w:pPr>
        <w:spacing w:after="0" w:line="240" w:lineRule="atLeast"/>
        <w:rPr>
          <w:rFonts w:ascii="Times New Roman" w:hAnsi="Times New Roman"/>
          <w:bCs/>
        </w:rPr>
      </w:pPr>
    </w:p>
    <w:p w:rsidR="008126EA" w:rsidRPr="00054843" w:rsidRDefault="004D456D" w:rsidP="0041340B">
      <w:pPr>
        <w:spacing w:after="0" w:line="240" w:lineRule="atLeast"/>
        <w:rPr>
          <w:rFonts w:ascii="Times New Roman" w:hAnsi="Times New Roman"/>
          <w:b/>
        </w:rPr>
      </w:pPr>
      <w:r w:rsidRPr="00054843">
        <w:rPr>
          <w:rFonts w:ascii="Times New Roman" w:hAnsi="Times New Roman"/>
          <w:b/>
        </w:rPr>
        <w:t xml:space="preserve">Description of </w:t>
      </w:r>
      <w:r w:rsidR="008126EA" w:rsidRPr="00054843">
        <w:rPr>
          <w:rFonts w:ascii="Times New Roman" w:hAnsi="Times New Roman"/>
          <w:b/>
        </w:rPr>
        <w:t>Sample</w:t>
      </w:r>
      <w:r w:rsidRPr="00054843">
        <w:rPr>
          <w:rFonts w:ascii="Times New Roman" w:hAnsi="Times New Roman"/>
          <w:b/>
        </w:rPr>
        <w:t xml:space="preserve"> and</w:t>
      </w:r>
      <w:r w:rsidR="008126EA" w:rsidRPr="00054843">
        <w:rPr>
          <w:rFonts w:ascii="Times New Roman" w:hAnsi="Times New Roman"/>
          <w:b/>
        </w:rPr>
        <w:t xml:space="preserve"> Burden</w:t>
      </w:r>
    </w:p>
    <w:p w:rsidR="008126EA" w:rsidRPr="00054843" w:rsidRDefault="008126EA" w:rsidP="0041340B">
      <w:pPr>
        <w:spacing w:after="0" w:line="240" w:lineRule="atLeast"/>
        <w:rPr>
          <w:rFonts w:ascii="Times New Roman" w:hAnsi="Times New Roman"/>
          <w:b/>
        </w:rPr>
      </w:pPr>
    </w:p>
    <w:p w:rsidR="00093F56" w:rsidRPr="00054843" w:rsidRDefault="007B27F8" w:rsidP="00093F56">
      <w:pPr>
        <w:pStyle w:val="SP-SglSpPara"/>
        <w:jc w:val="left"/>
        <w:rPr>
          <w:szCs w:val="22"/>
        </w:rPr>
      </w:pPr>
      <w:r w:rsidRPr="00054843">
        <w:rPr>
          <w:szCs w:val="22"/>
        </w:rPr>
        <w:t xml:space="preserve">NCES is considering two different sample sizes for the FRSS 106 survey, with the larger sample size contingent upon additional funding being available prior to the start of data collection. </w:t>
      </w:r>
      <w:r w:rsidR="00093F56" w:rsidRPr="00054843">
        <w:rPr>
          <w:szCs w:val="22"/>
        </w:rPr>
        <w:t>The proposed sample design is a nationally representative sample of</w:t>
      </w:r>
      <w:r w:rsidRPr="00054843">
        <w:rPr>
          <w:szCs w:val="22"/>
        </w:rPr>
        <w:t xml:space="preserve"> either</w:t>
      </w:r>
      <w:r w:rsidR="00093F56" w:rsidRPr="00054843">
        <w:rPr>
          <w:szCs w:val="22"/>
        </w:rPr>
        <w:t xml:space="preserve"> 1,</w:t>
      </w:r>
      <w:r w:rsidRPr="00054843">
        <w:rPr>
          <w:szCs w:val="22"/>
        </w:rPr>
        <w:t>6</w:t>
      </w:r>
      <w:r w:rsidR="00093F56" w:rsidRPr="00054843">
        <w:rPr>
          <w:szCs w:val="22"/>
        </w:rPr>
        <w:t>00</w:t>
      </w:r>
      <w:r w:rsidRPr="00054843">
        <w:rPr>
          <w:szCs w:val="22"/>
        </w:rPr>
        <w:t xml:space="preserve"> or 3,500</w:t>
      </w:r>
      <w:r w:rsidR="00093F56" w:rsidRPr="00054843">
        <w:rPr>
          <w:szCs w:val="22"/>
        </w:rPr>
        <w:t xml:space="preserve"> regular public schools from the 2010</w:t>
      </w:r>
      <w:r w:rsidR="007D030C" w:rsidRPr="00054843">
        <w:rPr>
          <w:szCs w:val="22"/>
        </w:rPr>
        <w:t>–</w:t>
      </w:r>
      <w:r w:rsidR="00093F56" w:rsidRPr="00054843">
        <w:rPr>
          <w:szCs w:val="22"/>
        </w:rPr>
        <w:t>11</w:t>
      </w:r>
      <w:r w:rsidR="00802DE1" w:rsidRPr="00054843">
        <w:rPr>
          <w:szCs w:val="22"/>
        </w:rPr>
        <w:t xml:space="preserve"> (or most recent)</w:t>
      </w:r>
      <w:r w:rsidR="00093F56" w:rsidRPr="00054843">
        <w:rPr>
          <w:szCs w:val="22"/>
        </w:rPr>
        <w:t xml:space="preserve"> NCES Common Core of Data (CCD) Public Elementary/Secondary School Universe File.  The questionnaire is limited to three pages of items readily available to respondents and can be completed by most respondents in </w:t>
      </w:r>
      <w:r w:rsidR="008360CA" w:rsidRPr="00054843">
        <w:rPr>
          <w:szCs w:val="22"/>
        </w:rPr>
        <w:t>about 20</w:t>
      </w:r>
      <w:r w:rsidR="00093F56" w:rsidRPr="00054843">
        <w:rPr>
          <w:szCs w:val="22"/>
        </w:rPr>
        <w:t xml:space="preserve"> minutes.</w:t>
      </w:r>
    </w:p>
    <w:p w:rsidR="00093F56" w:rsidRPr="00054843" w:rsidRDefault="00093F56" w:rsidP="00093F56">
      <w:pPr>
        <w:spacing w:after="0" w:line="240" w:lineRule="atLeast"/>
        <w:ind w:firstLine="576"/>
        <w:rPr>
          <w:rFonts w:ascii="Times New Roman" w:hAnsi="Times New Roman"/>
        </w:rPr>
      </w:pPr>
    </w:p>
    <w:p w:rsidR="00753A25" w:rsidRPr="00054843" w:rsidRDefault="00753A25" w:rsidP="00753A25">
      <w:pPr>
        <w:pStyle w:val="SP-SglSpPara"/>
        <w:jc w:val="left"/>
        <w:rPr>
          <w:szCs w:val="22"/>
        </w:rPr>
      </w:pPr>
      <w:r w:rsidRPr="00054843">
        <w:rPr>
          <w:szCs w:val="22"/>
        </w:rPr>
        <w:t xml:space="preserve">Prior to contacting schools for the FRSS 106 survey, </w:t>
      </w:r>
      <w:r w:rsidR="00EF1D29" w:rsidRPr="00054843">
        <w:rPr>
          <w:szCs w:val="22"/>
        </w:rPr>
        <w:t xml:space="preserve">a courtesy information packet consisting of a cover letter (Attachment 2) and copy of the questionnaire will </w:t>
      </w:r>
      <w:r w:rsidR="0018537C" w:rsidRPr="00054843">
        <w:rPr>
          <w:szCs w:val="22"/>
        </w:rPr>
        <w:t xml:space="preserve">be mailed to the superintendent of each district with sampled schools.  The packet will also include a list of the sampled schools within the district.  Any special </w:t>
      </w:r>
      <w:r w:rsidR="0018537C" w:rsidRPr="00054843">
        <w:rPr>
          <w:szCs w:val="22"/>
        </w:rPr>
        <w:lastRenderedPageBreak/>
        <w:t>requirements that districts have for approval of surveys will be met before schools in those districts are contacted.</w:t>
      </w:r>
      <w:r w:rsidRPr="00054843">
        <w:rPr>
          <w:szCs w:val="22"/>
        </w:rPr>
        <w:t xml:space="preserve">  </w:t>
      </w:r>
      <w:r w:rsidR="00093F56" w:rsidRPr="00054843">
        <w:rPr>
          <w:szCs w:val="22"/>
        </w:rPr>
        <w:t xml:space="preserve">Each of the districts that require special approval has unique requirements for obtaining approval.  The materials sent to special districts will be tailored to meet the specific requirements of each district, consistent with the materials included in this OMB package.  For example, most districts request information on survey justification, confidentiality, sample size, and survey collection procedures, which will be copied from the appropriate sections of the OMB package after </w:t>
      </w:r>
      <w:r w:rsidR="00BD5AAB">
        <w:rPr>
          <w:szCs w:val="22"/>
        </w:rPr>
        <w:t>their</w:t>
      </w:r>
      <w:r w:rsidR="00093F56" w:rsidRPr="00054843">
        <w:rPr>
          <w:szCs w:val="22"/>
        </w:rPr>
        <w:t xml:space="preserve"> approval.</w:t>
      </w:r>
    </w:p>
    <w:p w:rsidR="00753A25" w:rsidRPr="00054843" w:rsidRDefault="00753A25" w:rsidP="00093F56">
      <w:pPr>
        <w:pStyle w:val="SP-SglSpPara"/>
        <w:jc w:val="left"/>
        <w:rPr>
          <w:szCs w:val="22"/>
        </w:rPr>
      </w:pPr>
    </w:p>
    <w:p w:rsidR="00093F56" w:rsidRPr="00054843" w:rsidRDefault="00093F56" w:rsidP="00093F56">
      <w:pPr>
        <w:pStyle w:val="SP-SglSpPara"/>
        <w:jc w:val="left"/>
        <w:rPr>
          <w:szCs w:val="22"/>
        </w:rPr>
      </w:pPr>
      <w:r w:rsidRPr="00054843">
        <w:rPr>
          <w:szCs w:val="22"/>
        </w:rPr>
        <w:t xml:space="preserve">Questionnaire packages, including information needed to access the Web survey, will be mailed to the </w:t>
      </w:r>
      <w:r w:rsidR="00614A9F" w:rsidRPr="00054843">
        <w:rPr>
          <w:szCs w:val="22"/>
        </w:rPr>
        <w:t xml:space="preserve">principal </w:t>
      </w:r>
      <w:r w:rsidRPr="00054843">
        <w:rPr>
          <w:szCs w:val="22"/>
        </w:rPr>
        <w:t xml:space="preserve">of sampled schools in </w:t>
      </w:r>
      <w:r w:rsidR="00614A9F" w:rsidRPr="00054843">
        <w:rPr>
          <w:szCs w:val="22"/>
        </w:rPr>
        <w:t>Febru</w:t>
      </w:r>
      <w:r w:rsidRPr="00054843">
        <w:rPr>
          <w:szCs w:val="22"/>
        </w:rPr>
        <w:t>ary 201</w:t>
      </w:r>
      <w:r w:rsidR="00614A9F" w:rsidRPr="00054843">
        <w:rPr>
          <w:szCs w:val="22"/>
        </w:rPr>
        <w:t>4</w:t>
      </w:r>
      <w:r w:rsidRPr="00054843">
        <w:rPr>
          <w:szCs w:val="22"/>
        </w:rPr>
        <w:t>.  The cover letter and questionnaire will include a description of the most appropriate respondent.  Follow-up for nonresponse will be conducted both by mail and telephone and will begin about 3 weeks after the questionnaires have been mailed to the</w:t>
      </w:r>
      <w:r w:rsidR="00614A9F" w:rsidRPr="00054843">
        <w:rPr>
          <w:szCs w:val="22"/>
        </w:rPr>
        <w:t xml:space="preserve"> schools</w:t>
      </w:r>
      <w:r w:rsidRPr="00054843">
        <w:rPr>
          <w:szCs w:val="22"/>
        </w:rPr>
        <w:t>.  Experienced telephone interviewers will be trained to conduct the nonresponse follow-up and will be monitored by Westat supervisory personnel. Telephone nonresponse follow-up is used to prompt respondents to complete the survey by web, mail, or fax and is expected to take about 5 minutes.</w:t>
      </w:r>
    </w:p>
    <w:p w:rsidR="00093F56" w:rsidRPr="00054843" w:rsidRDefault="00093F56" w:rsidP="00093F56">
      <w:pPr>
        <w:pStyle w:val="SP-SglSpPara"/>
        <w:jc w:val="left"/>
        <w:rPr>
          <w:szCs w:val="22"/>
        </w:rPr>
      </w:pPr>
    </w:p>
    <w:p w:rsidR="00D36AEA" w:rsidRPr="00054843" w:rsidRDefault="004865FF" w:rsidP="004865FF">
      <w:pPr>
        <w:pStyle w:val="SL-FlLftSgl"/>
        <w:rPr>
          <w:b/>
          <w:szCs w:val="22"/>
        </w:rPr>
      </w:pPr>
      <w:r w:rsidRPr="00054843">
        <w:rPr>
          <w:b/>
          <w:szCs w:val="22"/>
        </w:rPr>
        <w:t>Option 1: Sample Size of 1,600 Schools</w:t>
      </w:r>
    </w:p>
    <w:p w:rsidR="00766F21" w:rsidRPr="00054843" w:rsidRDefault="00766F21" w:rsidP="004865FF">
      <w:pPr>
        <w:pStyle w:val="SL-FlLftSgl"/>
        <w:rPr>
          <w:b/>
          <w:szCs w:val="22"/>
        </w:rPr>
      </w:pPr>
    </w:p>
    <w:p w:rsidR="00093F56" w:rsidRPr="00B33FEE" w:rsidRDefault="00FD2B8A" w:rsidP="00B33FEE">
      <w:pPr>
        <w:pStyle w:val="SP-SglSpPara"/>
        <w:jc w:val="left"/>
        <w:rPr>
          <w:szCs w:val="22"/>
        </w:rPr>
      </w:pPr>
      <w:r w:rsidRPr="00054843">
        <w:rPr>
          <w:szCs w:val="22"/>
        </w:rPr>
        <w:t xml:space="preserve">The sample of 1,600 schools is estimated to be located in 1,360 districts, based on previous FRSS studies. </w:t>
      </w:r>
      <w:r w:rsidR="00B45E2C" w:rsidRPr="00054843">
        <w:rPr>
          <w:szCs w:val="22"/>
        </w:rPr>
        <w:t xml:space="preserve">Notification to the estimated 1,360 districts is expected to take approximately 5 minutes per district for a total of 113 respondent burden hours (table 1). </w:t>
      </w:r>
      <w:r w:rsidR="00C5571B" w:rsidRPr="00054843">
        <w:rPr>
          <w:szCs w:val="22"/>
        </w:rPr>
        <w:t>Based on previous FRSS studies, i</w:t>
      </w:r>
      <w:r w:rsidR="00D36AEA" w:rsidRPr="00054843">
        <w:rPr>
          <w:szCs w:val="22"/>
        </w:rPr>
        <w:t xml:space="preserve">t is anticipated that approximately </w:t>
      </w:r>
      <w:r w:rsidR="00163C32" w:rsidRPr="00054843">
        <w:rPr>
          <w:szCs w:val="22"/>
        </w:rPr>
        <w:t>7</w:t>
      </w:r>
      <w:r w:rsidR="00D36AEA" w:rsidRPr="00054843">
        <w:rPr>
          <w:szCs w:val="22"/>
        </w:rPr>
        <w:t xml:space="preserve">0 districts with special clearance procedures will be contacted. The respondent burden will be approximately 2 hours per special district for a total of </w:t>
      </w:r>
      <w:r w:rsidR="00163C32" w:rsidRPr="00054843">
        <w:rPr>
          <w:szCs w:val="22"/>
        </w:rPr>
        <w:t>14</w:t>
      </w:r>
      <w:r w:rsidR="00D36AEA" w:rsidRPr="00054843">
        <w:rPr>
          <w:szCs w:val="22"/>
        </w:rPr>
        <w:t>0 respondent burden hours.</w:t>
      </w:r>
      <w:r w:rsidR="00B45E2C" w:rsidRPr="00054843">
        <w:rPr>
          <w:szCs w:val="22"/>
        </w:rPr>
        <w:t xml:space="preserve"> </w:t>
      </w:r>
      <w:r w:rsidR="00093F56" w:rsidRPr="00054843">
        <w:rPr>
          <w:szCs w:val="22"/>
        </w:rPr>
        <w:t xml:space="preserve">The estimated burden time for </w:t>
      </w:r>
      <w:r w:rsidR="00614A9F" w:rsidRPr="00054843">
        <w:rPr>
          <w:szCs w:val="22"/>
        </w:rPr>
        <w:t>1,</w:t>
      </w:r>
      <w:r w:rsidR="003957C6" w:rsidRPr="00054843">
        <w:rPr>
          <w:szCs w:val="22"/>
        </w:rPr>
        <w:t>6</w:t>
      </w:r>
      <w:r w:rsidR="00614A9F" w:rsidRPr="00054843">
        <w:rPr>
          <w:szCs w:val="22"/>
        </w:rPr>
        <w:t xml:space="preserve">00 schools </w:t>
      </w:r>
      <w:r w:rsidR="00093F56" w:rsidRPr="00054843">
        <w:rPr>
          <w:szCs w:val="22"/>
        </w:rPr>
        <w:t xml:space="preserve">to review the introductory letter requesting their participation (initial contact) is 5 minutes per </w:t>
      </w:r>
      <w:r w:rsidR="00614A9F" w:rsidRPr="00054843">
        <w:rPr>
          <w:szCs w:val="22"/>
        </w:rPr>
        <w:t xml:space="preserve">school </w:t>
      </w:r>
      <w:r w:rsidR="00093F56" w:rsidRPr="00054843">
        <w:rPr>
          <w:szCs w:val="22"/>
        </w:rPr>
        <w:t xml:space="preserve">for a total of </w:t>
      </w:r>
      <w:r w:rsidR="001D4A6B" w:rsidRPr="00054843">
        <w:rPr>
          <w:szCs w:val="22"/>
        </w:rPr>
        <w:t>133</w:t>
      </w:r>
      <w:r w:rsidR="00093F56" w:rsidRPr="00054843">
        <w:rPr>
          <w:szCs w:val="22"/>
        </w:rPr>
        <w:t xml:space="preserve"> respondent burden hours. The initial sample of 1,</w:t>
      </w:r>
      <w:r w:rsidR="006A037D" w:rsidRPr="00054843">
        <w:rPr>
          <w:szCs w:val="22"/>
        </w:rPr>
        <w:t>6</w:t>
      </w:r>
      <w:r w:rsidR="00093F56" w:rsidRPr="00054843">
        <w:rPr>
          <w:szCs w:val="22"/>
        </w:rPr>
        <w:t>00 schools will yield about 1,</w:t>
      </w:r>
      <w:r w:rsidR="006A037D" w:rsidRPr="00054843">
        <w:rPr>
          <w:szCs w:val="22"/>
        </w:rPr>
        <w:t>3</w:t>
      </w:r>
      <w:r w:rsidR="00093F56" w:rsidRPr="00054843">
        <w:rPr>
          <w:szCs w:val="22"/>
        </w:rPr>
        <w:t xml:space="preserve">60 completed questionnaires, assuming a response rate of </w:t>
      </w:r>
      <w:r w:rsidR="006A037D" w:rsidRPr="00054843">
        <w:rPr>
          <w:szCs w:val="22"/>
        </w:rPr>
        <w:t>85</w:t>
      </w:r>
      <w:r w:rsidR="00093F56" w:rsidRPr="00054843">
        <w:rPr>
          <w:szCs w:val="22"/>
        </w:rPr>
        <w:t xml:space="preserve"> percent. Based on a response burden of approximately </w:t>
      </w:r>
      <w:r w:rsidR="006A037D" w:rsidRPr="00054843">
        <w:rPr>
          <w:szCs w:val="22"/>
        </w:rPr>
        <w:t>2</w:t>
      </w:r>
      <w:r w:rsidR="00093F56" w:rsidRPr="00054843">
        <w:rPr>
          <w:szCs w:val="22"/>
        </w:rPr>
        <w:t xml:space="preserve">0 minutes per completed questionnaire, the estimated response burden to complete the survey is estimated to be about </w:t>
      </w:r>
      <w:r w:rsidR="006A037D" w:rsidRPr="00054843">
        <w:rPr>
          <w:szCs w:val="22"/>
        </w:rPr>
        <w:t>453</w:t>
      </w:r>
      <w:r w:rsidR="00093F56" w:rsidRPr="00054843">
        <w:rPr>
          <w:szCs w:val="22"/>
        </w:rPr>
        <w:t xml:space="preserve"> hours.</w:t>
      </w:r>
      <w:r w:rsidR="00093F56" w:rsidRPr="00054843">
        <w:rPr>
          <w:szCs w:val="22"/>
          <w:vertAlign w:val="superscript"/>
        </w:rPr>
        <w:footnoteReference w:id="1"/>
      </w:r>
      <w:r w:rsidR="00093F56" w:rsidRPr="00054843">
        <w:rPr>
          <w:szCs w:val="22"/>
        </w:rPr>
        <w:t xml:space="preserve"> It is anticipated that about 75 percent of the </w:t>
      </w:r>
      <w:r w:rsidR="00395B94" w:rsidRPr="00054843">
        <w:rPr>
          <w:szCs w:val="22"/>
        </w:rPr>
        <w:t xml:space="preserve">schools </w:t>
      </w:r>
      <w:r w:rsidR="00093F56" w:rsidRPr="00054843">
        <w:rPr>
          <w:szCs w:val="22"/>
        </w:rPr>
        <w:t xml:space="preserve">will receive a nonresponse follow-up call that will take about 5 minutes. The total estimated burden time for nonresponse follow-up is about </w:t>
      </w:r>
      <w:r w:rsidR="00DB03B0" w:rsidRPr="00054843">
        <w:rPr>
          <w:szCs w:val="22"/>
        </w:rPr>
        <w:t>100</w:t>
      </w:r>
      <w:r w:rsidR="00093F56" w:rsidRPr="00054843">
        <w:rPr>
          <w:szCs w:val="22"/>
        </w:rPr>
        <w:t xml:space="preserve"> hours. The total number of burden hours for data collection and nonresponse follow-up is about </w:t>
      </w:r>
      <w:r w:rsidR="00DB03B0" w:rsidRPr="00054843">
        <w:rPr>
          <w:szCs w:val="22"/>
        </w:rPr>
        <w:t>9</w:t>
      </w:r>
      <w:r w:rsidR="00163C32" w:rsidRPr="00054843">
        <w:rPr>
          <w:szCs w:val="22"/>
        </w:rPr>
        <w:t>3</w:t>
      </w:r>
      <w:r w:rsidR="00DB03B0" w:rsidRPr="00054843">
        <w:rPr>
          <w:szCs w:val="22"/>
        </w:rPr>
        <w:t xml:space="preserve">9 </w:t>
      </w:r>
      <w:r w:rsidR="00093F56" w:rsidRPr="00054843">
        <w:rPr>
          <w:szCs w:val="22"/>
        </w:rPr>
        <w:t xml:space="preserve">hours. </w:t>
      </w:r>
    </w:p>
    <w:p w:rsidR="00766F21" w:rsidRDefault="00766F21">
      <w:pPr>
        <w:spacing w:after="0" w:line="240" w:lineRule="auto"/>
        <w:rPr>
          <w:rFonts w:ascii="Times New Roman" w:hAnsi="Times New Roman"/>
          <w:b/>
        </w:rPr>
      </w:pPr>
    </w:p>
    <w:p w:rsidR="00093F56" w:rsidRPr="00AC2CDC" w:rsidRDefault="00093F56" w:rsidP="00093F56">
      <w:pPr>
        <w:ind w:left="990" w:hanging="990"/>
        <w:rPr>
          <w:rFonts w:ascii="Times New Roman" w:hAnsi="Times New Roman"/>
          <w:b/>
        </w:rPr>
      </w:pPr>
      <w:r w:rsidRPr="00AC2CDC">
        <w:rPr>
          <w:rFonts w:ascii="Times New Roman" w:hAnsi="Times New Roman"/>
          <w:b/>
        </w:rPr>
        <w:t>Table 1.</w:t>
      </w:r>
      <w:r>
        <w:rPr>
          <w:rFonts w:ascii="Times New Roman" w:hAnsi="Times New Roman"/>
          <w:b/>
        </w:rPr>
        <w:tab/>
      </w:r>
      <w:r w:rsidRPr="00AC2CDC">
        <w:rPr>
          <w:rFonts w:ascii="Times New Roman" w:hAnsi="Times New Roman"/>
          <w:b/>
        </w:rPr>
        <w:t>Estimated burden for data co</w:t>
      </w:r>
      <w:r>
        <w:rPr>
          <w:rFonts w:ascii="Times New Roman" w:hAnsi="Times New Roman"/>
          <w:b/>
        </w:rPr>
        <w:t>llection and nonresponse follow-</w:t>
      </w:r>
      <w:r w:rsidRPr="00AC2CDC">
        <w:rPr>
          <w:rFonts w:ascii="Times New Roman" w:hAnsi="Times New Roman"/>
          <w:b/>
        </w:rPr>
        <w:t>up</w:t>
      </w:r>
      <w:r w:rsidR="00CD7614">
        <w:rPr>
          <w:rFonts w:ascii="Times New Roman" w:hAnsi="Times New Roman"/>
          <w:b/>
        </w:rPr>
        <w:t xml:space="preserve"> for </w:t>
      </w:r>
      <w:r w:rsidR="00CD7614" w:rsidRPr="00290D7A">
        <w:rPr>
          <w:rFonts w:ascii="Times New Roman" w:hAnsi="Times New Roman"/>
          <w:b/>
        </w:rPr>
        <w:t>1,600 schools</w:t>
      </w:r>
      <w:r w:rsidRPr="00AC2CDC">
        <w:rPr>
          <w:rFonts w:ascii="Times New Roman" w:hAnsi="Times New Roman"/>
          <w:b/>
        </w:rPr>
        <w:t xml:space="preserve">: FRSS </w:t>
      </w:r>
      <w:r>
        <w:rPr>
          <w:rFonts w:ascii="Times New Roman" w:hAnsi="Times New Roman"/>
          <w:b/>
        </w:rPr>
        <w:t>10</w:t>
      </w:r>
      <w:r w:rsidR="00395B94">
        <w:rPr>
          <w:rFonts w:ascii="Times New Roman" w:hAnsi="Times New Roman"/>
          <w:b/>
        </w:rPr>
        <w:t>6</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2214"/>
        <w:gridCol w:w="1194"/>
        <w:gridCol w:w="1194"/>
        <w:gridCol w:w="1194"/>
        <w:gridCol w:w="1194"/>
        <w:gridCol w:w="1194"/>
        <w:gridCol w:w="1194"/>
      </w:tblGrid>
      <w:tr w:rsidR="00093F56" w:rsidRPr="00AC2CDC" w:rsidTr="00766F21">
        <w:trPr>
          <w:trHeight w:val="772"/>
          <w:jc w:val="center"/>
        </w:trPr>
        <w:tc>
          <w:tcPr>
            <w:tcW w:w="2214" w:type="dxa"/>
            <w:tcBorders>
              <w:bottom w:val="single" w:sz="4" w:space="0" w:color="000000" w:themeColor="text1"/>
            </w:tcBorders>
            <w:vAlign w:val="bottom"/>
          </w:tcPr>
          <w:p w:rsidR="00093F56" w:rsidRPr="00AC2CDC" w:rsidRDefault="00093F56" w:rsidP="00766F21">
            <w:pPr>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Type of collection</w:t>
            </w:r>
          </w:p>
        </w:tc>
        <w:tc>
          <w:tcPr>
            <w:tcW w:w="1194" w:type="dxa"/>
            <w:tcBorders>
              <w:bottom w:val="single" w:sz="4" w:space="0" w:color="000000" w:themeColor="text1"/>
            </w:tcBorders>
            <w:vAlign w:val="bottom"/>
          </w:tcPr>
          <w:p w:rsidR="00093F56" w:rsidRPr="00AC2CDC" w:rsidRDefault="00093F56" w:rsidP="00766F21">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Sample size</w:t>
            </w:r>
          </w:p>
        </w:tc>
        <w:tc>
          <w:tcPr>
            <w:tcW w:w="1194" w:type="dxa"/>
            <w:tcBorders>
              <w:bottom w:val="single" w:sz="4" w:space="0" w:color="000000" w:themeColor="text1"/>
            </w:tcBorders>
            <w:vAlign w:val="bottom"/>
          </w:tcPr>
          <w:p w:rsidR="00093F56" w:rsidRPr="00AC2CDC" w:rsidRDefault="00093F56" w:rsidP="00766F21">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Estimated response rate (percent)</w:t>
            </w:r>
          </w:p>
        </w:tc>
        <w:tc>
          <w:tcPr>
            <w:tcW w:w="1194" w:type="dxa"/>
            <w:tcBorders>
              <w:bottom w:val="single" w:sz="4" w:space="0" w:color="000000" w:themeColor="text1"/>
            </w:tcBorders>
            <w:vAlign w:val="bottom"/>
          </w:tcPr>
          <w:p w:rsidR="00093F56" w:rsidRPr="00AC2CDC" w:rsidRDefault="00093F56" w:rsidP="00766F21">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Estimated number of respondents</w:t>
            </w:r>
          </w:p>
        </w:tc>
        <w:tc>
          <w:tcPr>
            <w:tcW w:w="1194" w:type="dxa"/>
            <w:tcBorders>
              <w:bottom w:val="single" w:sz="4" w:space="0" w:color="000000" w:themeColor="text1"/>
            </w:tcBorders>
            <w:vAlign w:val="bottom"/>
          </w:tcPr>
          <w:p w:rsidR="00093F56" w:rsidRPr="00AC2CDC" w:rsidRDefault="00093F56" w:rsidP="00766F21">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Estimated number of responses</w:t>
            </w:r>
          </w:p>
        </w:tc>
        <w:tc>
          <w:tcPr>
            <w:tcW w:w="1194" w:type="dxa"/>
            <w:tcBorders>
              <w:bottom w:val="single" w:sz="4" w:space="0" w:color="000000" w:themeColor="text1"/>
            </w:tcBorders>
            <w:vAlign w:val="bottom"/>
          </w:tcPr>
          <w:p w:rsidR="00093F56" w:rsidRPr="00AC2CDC" w:rsidRDefault="00093F56" w:rsidP="00766F21">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Total burden hours per respondent</w:t>
            </w:r>
          </w:p>
        </w:tc>
        <w:tc>
          <w:tcPr>
            <w:tcW w:w="1194" w:type="dxa"/>
            <w:tcBorders>
              <w:bottom w:val="single" w:sz="4" w:space="0" w:color="000000" w:themeColor="text1"/>
            </w:tcBorders>
            <w:vAlign w:val="bottom"/>
          </w:tcPr>
          <w:p w:rsidR="00093F56" w:rsidRPr="00AC2CDC" w:rsidRDefault="00093F56" w:rsidP="00766F21">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Respondent burden hours</w:t>
            </w:r>
          </w:p>
        </w:tc>
      </w:tr>
      <w:tr w:rsidR="00093F56" w:rsidRPr="00AC2CDC" w:rsidTr="00766F21">
        <w:trPr>
          <w:trHeight w:val="247"/>
          <w:jc w:val="center"/>
        </w:trPr>
        <w:tc>
          <w:tcPr>
            <w:tcW w:w="2214" w:type="dxa"/>
            <w:tcBorders>
              <w:top w:val="nil"/>
              <w:bottom w:val="nil"/>
              <w:right w:val="nil"/>
            </w:tcBorders>
          </w:tcPr>
          <w:p w:rsidR="00093F56" w:rsidRPr="004C7BC7" w:rsidRDefault="00093F56" w:rsidP="00766F21">
            <w:pPr>
              <w:tabs>
                <w:tab w:val="right" w:leader="dot" w:pos="1998"/>
              </w:tabs>
              <w:spacing w:after="0" w:line="240" w:lineRule="atLeast"/>
              <w:rPr>
                <w:rFonts w:ascii="Times New Roman" w:hAnsi="Times New Roman" w:cs="Times New Roman"/>
                <w:sz w:val="18"/>
                <w:szCs w:val="18"/>
              </w:rPr>
            </w:pPr>
            <w:r w:rsidRPr="004C7BC7">
              <w:rPr>
                <w:rFonts w:ascii="Times New Roman" w:hAnsi="Times New Roman" w:cs="Times New Roman"/>
                <w:sz w:val="18"/>
                <w:szCs w:val="18"/>
              </w:rPr>
              <w:t xml:space="preserve">Special clearance district </w:t>
            </w:r>
            <w:r w:rsidR="00184935">
              <w:rPr>
                <w:rFonts w:ascii="Times New Roman" w:hAnsi="Times New Roman" w:cs="Times New Roman"/>
                <w:sz w:val="18"/>
                <w:szCs w:val="18"/>
              </w:rPr>
              <w:br/>
            </w:r>
            <w:r w:rsidR="00184935">
              <w:rPr>
                <w:rFonts w:ascii="Times New Roman" w:hAnsi="Times New Roman" w:cs="Times New Roman"/>
                <w:sz w:val="18"/>
                <w:szCs w:val="18"/>
              </w:rPr>
              <w:t> </w:t>
            </w:r>
            <w:r w:rsidR="00184935">
              <w:rPr>
                <w:rFonts w:ascii="Times New Roman" w:hAnsi="Times New Roman" w:cs="Times New Roman"/>
                <w:sz w:val="18"/>
                <w:szCs w:val="18"/>
              </w:rPr>
              <w:t> </w:t>
            </w:r>
            <w:r w:rsidR="00184935">
              <w:rPr>
                <w:rFonts w:ascii="Times New Roman" w:hAnsi="Times New Roman" w:cs="Times New Roman"/>
                <w:sz w:val="18"/>
                <w:szCs w:val="18"/>
              </w:rPr>
              <w:t> </w:t>
            </w:r>
            <w:r w:rsidRPr="004C7BC7">
              <w:rPr>
                <w:rFonts w:ascii="Times New Roman" w:hAnsi="Times New Roman" w:cs="Times New Roman"/>
                <w:sz w:val="18"/>
                <w:szCs w:val="18"/>
              </w:rPr>
              <w:t>review</w:t>
            </w:r>
            <w:r w:rsidRPr="004C7BC7">
              <w:rPr>
                <w:rFonts w:ascii="Times New Roman" w:hAnsi="Times New Roman" w:cs="Times New Roman"/>
                <w:sz w:val="18"/>
                <w:szCs w:val="18"/>
              </w:rPr>
              <w:tab/>
            </w:r>
          </w:p>
        </w:tc>
        <w:tc>
          <w:tcPr>
            <w:tcW w:w="1194" w:type="dxa"/>
            <w:tcBorders>
              <w:top w:val="nil"/>
              <w:left w:val="nil"/>
              <w:bottom w:val="nil"/>
              <w:right w:val="nil"/>
            </w:tcBorders>
            <w:vAlign w:val="bottom"/>
          </w:tcPr>
          <w:p w:rsidR="00093F56" w:rsidRPr="004C7BC7" w:rsidRDefault="007B2298"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7</w:t>
            </w:r>
            <w:r w:rsidR="004C7BC7" w:rsidRPr="004C7BC7">
              <w:rPr>
                <w:rFonts w:ascii="Times New Roman" w:hAnsi="Times New Roman" w:cs="Times New Roman"/>
                <w:sz w:val="18"/>
                <w:szCs w:val="18"/>
              </w:rPr>
              <w:t>0</w:t>
            </w:r>
          </w:p>
        </w:tc>
        <w:tc>
          <w:tcPr>
            <w:tcW w:w="1194" w:type="dxa"/>
            <w:tcBorders>
              <w:top w:val="nil"/>
              <w:left w:val="nil"/>
              <w:bottom w:val="nil"/>
              <w:right w:val="nil"/>
            </w:tcBorders>
            <w:vAlign w:val="bottom"/>
          </w:tcPr>
          <w:p w:rsidR="00093F56" w:rsidRPr="004C7BC7" w:rsidRDefault="004C7BC7"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100%</w:t>
            </w:r>
          </w:p>
        </w:tc>
        <w:tc>
          <w:tcPr>
            <w:tcW w:w="1194" w:type="dxa"/>
            <w:tcBorders>
              <w:top w:val="nil"/>
              <w:left w:val="nil"/>
              <w:bottom w:val="nil"/>
              <w:right w:val="nil"/>
            </w:tcBorders>
            <w:vAlign w:val="bottom"/>
          </w:tcPr>
          <w:p w:rsidR="00093F56" w:rsidRPr="004C7BC7" w:rsidRDefault="007B2298"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7</w:t>
            </w:r>
            <w:r w:rsidR="00B45E2C">
              <w:rPr>
                <w:rFonts w:ascii="Times New Roman" w:hAnsi="Times New Roman" w:cs="Times New Roman"/>
                <w:sz w:val="18"/>
                <w:szCs w:val="18"/>
              </w:rPr>
              <w:t>0</w:t>
            </w:r>
          </w:p>
        </w:tc>
        <w:tc>
          <w:tcPr>
            <w:tcW w:w="1194" w:type="dxa"/>
            <w:tcBorders>
              <w:top w:val="nil"/>
              <w:left w:val="nil"/>
              <w:bottom w:val="nil"/>
              <w:right w:val="nil"/>
            </w:tcBorders>
            <w:vAlign w:val="bottom"/>
          </w:tcPr>
          <w:p w:rsidR="00093F56" w:rsidRPr="004C7BC7" w:rsidRDefault="007B2298"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7</w:t>
            </w:r>
            <w:r w:rsidR="00B45E2C">
              <w:rPr>
                <w:rFonts w:ascii="Times New Roman" w:hAnsi="Times New Roman" w:cs="Times New Roman"/>
                <w:sz w:val="18"/>
                <w:szCs w:val="18"/>
              </w:rPr>
              <w:t>0</w:t>
            </w:r>
          </w:p>
        </w:tc>
        <w:tc>
          <w:tcPr>
            <w:tcW w:w="1194" w:type="dxa"/>
            <w:tcBorders>
              <w:top w:val="nil"/>
              <w:left w:val="nil"/>
              <w:bottom w:val="nil"/>
              <w:right w:val="nil"/>
            </w:tcBorders>
            <w:vAlign w:val="bottom"/>
          </w:tcPr>
          <w:p w:rsidR="00093F56" w:rsidRPr="004C7BC7" w:rsidRDefault="001D4A6B"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2.00</w:t>
            </w:r>
          </w:p>
        </w:tc>
        <w:tc>
          <w:tcPr>
            <w:tcW w:w="1194" w:type="dxa"/>
            <w:tcBorders>
              <w:top w:val="nil"/>
              <w:left w:val="nil"/>
              <w:bottom w:val="nil"/>
            </w:tcBorders>
            <w:vAlign w:val="bottom"/>
          </w:tcPr>
          <w:p w:rsidR="00093F56" w:rsidRPr="004C7BC7" w:rsidRDefault="007B2298"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14</w:t>
            </w:r>
            <w:r w:rsidR="001D4A6B">
              <w:rPr>
                <w:rFonts w:ascii="Times New Roman" w:hAnsi="Times New Roman" w:cs="Times New Roman"/>
                <w:sz w:val="18"/>
                <w:szCs w:val="18"/>
              </w:rPr>
              <w:t>0</w:t>
            </w:r>
          </w:p>
        </w:tc>
      </w:tr>
      <w:tr w:rsidR="000B4212" w:rsidRPr="00AC2CDC" w:rsidTr="00766F21">
        <w:trPr>
          <w:trHeight w:val="247"/>
          <w:jc w:val="center"/>
        </w:trPr>
        <w:tc>
          <w:tcPr>
            <w:tcW w:w="2214" w:type="dxa"/>
            <w:tcBorders>
              <w:top w:val="nil"/>
              <w:bottom w:val="nil"/>
              <w:right w:val="nil"/>
            </w:tcBorders>
          </w:tcPr>
          <w:p w:rsidR="000B4212" w:rsidRPr="004C7BC7" w:rsidRDefault="000B4212" w:rsidP="00766F21">
            <w:pPr>
              <w:tabs>
                <w:tab w:val="right" w:leader="dot" w:pos="1998"/>
              </w:tabs>
              <w:spacing w:after="0" w:line="240" w:lineRule="atLeast"/>
              <w:rPr>
                <w:rFonts w:ascii="Times New Roman" w:hAnsi="Times New Roman" w:cs="Times New Roman"/>
                <w:sz w:val="18"/>
                <w:szCs w:val="18"/>
              </w:rPr>
            </w:pPr>
            <w:r w:rsidRPr="004C7BC7">
              <w:rPr>
                <w:rFonts w:ascii="Times New Roman" w:hAnsi="Times New Roman" w:cs="Times New Roman"/>
                <w:sz w:val="18"/>
                <w:szCs w:val="18"/>
              </w:rPr>
              <w:t xml:space="preserve">District notification </w:t>
            </w:r>
            <w:r w:rsidRPr="004C7BC7">
              <w:rPr>
                <w:rFonts w:ascii="Times New Roman" w:hAnsi="Times New Roman" w:cs="Times New Roman"/>
                <w:sz w:val="18"/>
                <w:szCs w:val="18"/>
              </w:rPr>
              <w:tab/>
            </w:r>
          </w:p>
        </w:tc>
        <w:tc>
          <w:tcPr>
            <w:tcW w:w="1194" w:type="dxa"/>
            <w:tcBorders>
              <w:top w:val="nil"/>
              <w:left w:val="nil"/>
              <w:bottom w:val="nil"/>
              <w:right w:val="nil"/>
            </w:tcBorders>
            <w:vAlign w:val="bottom"/>
          </w:tcPr>
          <w:p w:rsidR="000B4212" w:rsidRPr="004C7BC7" w:rsidRDefault="004C7BC7"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1,360</w:t>
            </w:r>
          </w:p>
        </w:tc>
        <w:tc>
          <w:tcPr>
            <w:tcW w:w="1194" w:type="dxa"/>
            <w:tcBorders>
              <w:top w:val="nil"/>
              <w:left w:val="nil"/>
              <w:bottom w:val="nil"/>
              <w:right w:val="nil"/>
            </w:tcBorders>
            <w:vAlign w:val="bottom"/>
          </w:tcPr>
          <w:p w:rsidR="000B4212" w:rsidRPr="004C7BC7" w:rsidRDefault="004C7BC7"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100%</w:t>
            </w:r>
          </w:p>
        </w:tc>
        <w:tc>
          <w:tcPr>
            <w:tcW w:w="1194" w:type="dxa"/>
            <w:tcBorders>
              <w:top w:val="nil"/>
              <w:left w:val="nil"/>
              <w:bottom w:val="nil"/>
              <w:right w:val="nil"/>
            </w:tcBorders>
            <w:vAlign w:val="bottom"/>
          </w:tcPr>
          <w:p w:rsidR="000B4212" w:rsidRPr="004C7BC7" w:rsidRDefault="00B45E2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1,360</w:t>
            </w:r>
          </w:p>
        </w:tc>
        <w:tc>
          <w:tcPr>
            <w:tcW w:w="1194" w:type="dxa"/>
            <w:tcBorders>
              <w:top w:val="nil"/>
              <w:left w:val="nil"/>
              <w:bottom w:val="nil"/>
              <w:right w:val="nil"/>
            </w:tcBorders>
            <w:vAlign w:val="bottom"/>
          </w:tcPr>
          <w:p w:rsidR="000B4212" w:rsidRPr="004C7BC7" w:rsidRDefault="00B45E2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1,360</w:t>
            </w:r>
          </w:p>
        </w:tc>
        <w:tc>
          <w:tcPr>
            <w:tcW w:w="1194" w:type="dxa"/>
            <w:tcBorders>
              <w:top w:val="nil"/>
              <w:left w:val="nil"/>
              <w:bottom w:val="nil"/>
              <w:right w:val="nil"/>
            </w:tcBorders>
            <w:vAlign w:val="bottom"/>
          </w:tcPr>
          <w:p w:rsidR="000B4212" w:rsidRPr="004C7BC7" w:rsidRDefault="00B45E2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.083</w:t>
            </w:r>
          </w:p>
        </w:tc>
        <w:tc>
          <w:tcPr>
            <w:tcW w:w="1194" w:type="dxa"/>
            <w:tcBorders>
              <w:top w:val="nil"/>
              <w:left w:val="nil"/>
              <w:bottom w:val="nil"/>
            </w:tcBorders>
            <w:vAlign w:val="bottom"/>
          </w:tcPr>
          <w:p w:rsidR="000B4212" w:rsidRPr="004C7BC7" w:rsidRDefault="00B45E2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113</w:t>
            </w:r>
          </w:p>
        </w:tc>
      </w:tr>
      <w:tr w:rsidR="00093F56" w:rsidRPr="00AC2CDC" w:rsidTr="00766F21">
        <w:trPr>
          <w:trHeight w:val="247"/>
          <w:jc w:val="center"/>
        </w:trPr>
        <w:tc>
          <w:tcPr>
            <w:tcW w:w="2214" w:type="dxa"/>
            <w:tcBorders>
              <w:top w:val="nil"/>
              <w:bottom w:val="nil"/>
              <w:right w:val="nil"/>
            </w:tcBorders>
          </w:tcPr>
          <w:p w:rsidR="00093F56" w:rsidRPr="004C7BC7" w:rsidRDefault="00093F56" w:rsidP="00766F21">
            <w:pPr>
              <w:tabs>
                <w:tab w:val="right" w:leader="dot" w:pos="1998"/>
              </w:tabs>
              <w:spacing w:after="0" w:line="240" w:lineRule="atLeast"/>
              <w:rPr>
                <w:rFonts w:ascii="Times New Roman" w:hAnsi="Times New Roman" w:cs="Times New Roman"/>
                <w:sz w:val="18"/>
                <w:szCs w:val="18"/>
              </w:rPr>
            </w:pPr>
            <w:r w:rsidRPr="004C7BC7">
              <w:rPr>
                <w:rFonts w:ascii="Times New Roman" w:hAnsi="Times New Roman" w:cs="Times New Roman"/>
                <w:sz w:val="18"/>
                <w:szCs w:val="18"/>
              </w:rPr>
              <w:t xml:space="preserve">Initial </w:t>
            </w:r>
            <w:r w:rsidR="00CA66DA" w:rsidRPr="004C7BC7">
              <w:rPr>
                <w:rFonts w:ascii="Times New Roman" w:hAnsi="Times New Roman" w:cs="Times New Roman"/>
                <w:sz w:val="18"/>
                <w:szCs w:val="18"/>
              </w:rPr>
              <w:t>school</w:t>
            </w:r>
            <w:r w:rsidRPr="004C7BC7">
              <w:rPr>
                <w:rFonts w:ascii="Times New Roman" w:hAnsi="Times New Roman" w:cs="Times New Roman"/>
                <w:sz w:val="18"/>
                <w:szCs w:val="18"/>
              </w:rPr>
              <w:t xml:space="preserve"> contact </w:t>
            </w:r>
            <w:r w:rsidRPr="004C7BC7">
              <w:rPr>
                <w:rFonts w:ascii="Times New Roman" w:hAnsi="Times New Roman" w:cs="Times New Roman"/>
                <w:sz w:val="18"/>
                <w:szCs w:val="18"/>
              </w:rPr>
              <w:tab/>
            </w:r>
          </w:p>
        </w:tc>
        <w:tc>
          <w:tcPr>
            <w:tcW w:w="1194" w:type="dxa"/>
            <w:tcBorders>
              <w:top w:val="nil"/>
              <w:left w:val="nil"/>
              <w:bottom w:val="nil"/>
              <w:right w:val="nil"/>
            </w:tcBorders>
            <w:vAlign w:val="bottom"/>
          </w:tcPr>
          <w:p w:rsidR="00093F56" w:rsidRPr="004C7BC7" w:rsidRDefault="004C7BC7"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1,600</w:t>
            </w:r>
          </w:p>
        </w:tc>
        <w:tc>
          <w:tcPr>
            <w:tcW w:w="1194" w:type="dxa"/>
            <w:tcBorders>
              <w:top w:val="nil"/>
              <w:left w:val="nil"/>
              <w:bottom w:val="nil"/>
              <w:right w:val="nil"/>
            </w:tcBorders>
            <w:vAlign w:val="bottom"/>
          </w:tcPr>
          <w:p w:rsidR="00093F56" w:rsidRPr="004C7BC7" w:rsidRDefault="004C7BC7"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100%</w:t>
            </w:r>
          </w:p>
        </w:tc>
        <w:tc>
          <w:tcPr>
            <w:tcW w:w="1194" w:type="dxa"/>
            <w:tcBorders>
              <w:top w:val="nil"/>
              <w:left w:val="nil"/>
              <w:bottom w:val="nil"/>
              <w:right w:val="nil"/>
            </w:tcBorders>
            <w:vAlign w:val="bottom"/>
          </w:tcPr>
          <w:p w:rsidR="00093F56" w:rsidRPr="004C7BC7" w:rsidRDefault="00B45E2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1,600</w:t>
            </w:r>
          </w:p>
        </w:tc>
        <w:tc>
          <w:tcPr>
            <w:tcW w:w="1194" w:type="dxa"/>
            <w:tcBorders>
              <w:top w:val="nil"/>
              <w:left w:val="nil"/>
              <w:bottom w:val="nil"/>
              <w:right w:val="nil"/>
            </w:tcBorders>
            <w:vAlign w:val="bottom"/>
          </w:tcPr>
          <w:p w:rsidR="00093F56" w:rsidRPr="004C7BC7" w:rsidRDefault="00B45E2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1,600</w:t>
            </w:r>
          </w:p>
        </w:tc>
        <w:tc>
          <w:tcPr>
            <w:tcW w:w="1194" w:type="dxa"/>
            <w:tcBorders>
              <w:top w:val="nil"/>
              <w:left w:val="nil"/>
              <w:bottom w:val="nil"/>
              <w:right w:val="nil"/>
            </w:tcBorders>
            <w:vAlign w:val="bottom"/>
          </w:tcPr>
          <w:p w:rsidR="00093F56" w:rsidRPr="004C7BC7" w:rsidRDefault="001D4A6B"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.083</w:t>
            </w:r>
          </w:p>
        </w:tc>
        <w:tc>
          <w:tcPr>
            <w:tcW w:w="1194" w:type="dxa"/>
            <w:tcBorders>
              <w:top w:val="nil"/>
              <w:left w:val="nil"/>
              <w:bottom w:val="nil"/>
            </w:tcBorders>
            <w:vAlign w:val="bottom"/>
          </w:tcPr>
          <w:p w:rsidR="00093F56" w:rsidRPr="004C7BC7" w:rsidRDefault="001D4A6B"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133</w:t>
            </w:r>
          </w:p>
        </w:tc>
      </w:tr>
      <w:tr w:rsidR="00093F56" w:rsidRPr="00AC2CDC" w:rsidTr="00766F21">
        <w:trPr>
          <w:trHeight w:val="247"/>
          <w:jc w:val="center"/>
        </w:trPr>
        <w:tc>
          <w:tcPr>
            <w:tcW w:w="2214" w:type="dxa"/>
            <w:tcBorders>
              <w:top w:val="nil"/>
              <w:bottom w:val="nil"/>
              <w:right w:val="nil"/>
            </w:tcBorders>
          </w:tcPr>
          <w:p w:rsidR="00093F56" w:rsidRPr="004C7BC7" w:rsidRDefault="00093F56" w:rsidP="00766F21">
            <w:pPr>
              <w:tabs>
                <w:tab w:val="right" w:leader="dot" w:pos="1998"/>
              </w:tabs>
              <w:spacing w:after="0" w:line="240" w:lineRule="atLeast"/>
              <w:rPr>
                <w:rFonts w:ascii="Times New Roman" w:hAnsi="Times New Roman" w:cs="Times New Roman"/>
                <w:sz w:val="18"/>
                <w:szCs w:val="18"/>
              </w:rPr>
            </w:pPr>
            <w:r w:rsidRPr="004C7BC7">
              <w:rPr>
                <w:rFonts w:ascii="Times New Roman" w:hAnsi="Times New Roman" w:cs="Times New Roman"/>
                <w:sz w:val="18"/>
                <w:szCs w:val="18"/>
              </w:rPr>
              <w:t xml:space="preserve">Questionnaire </w:t>
            </w:r>
            <w:r w:rsidRPr="004C7BC7">
              <w:rPr>
                <w:rFonts w:ascii="Times New Roman" w:hAnsi="Times New Roman" w:cs="Times New Roman"/>
                <w:sz w:val="18"/>
                <w:szCs w:val="18"/>
              </w:rPr>
              <w:tab/>
            </w:r>
          </w:p>
        </w:tc>
        <w:tc>
          <w:tcPr>
            <w:tcW w:w="1194" w:type="dxa"/>
            <w:tcBorders>
              <w:top w:val="nil"/>
              <w:left w:val="nil"/>
              <w:bottom w:val="nil"/>
              <w:right w:val="nil"/>
            </w:tcBorders>
            <w:vAlign w:val="bottom"/>
          </w:tcPr>
          <w:p w:rsidR="00093F56" w:rsidRPr="004C7BC7" w:rsidRDefault="004C7BC7"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1,600</w:t>
            </w:r>
          </w:p>
        </w:tc>
        <w:tc>
          <w:tcPr>
            <w:tcW w:w="1194" w:type="dxa"/>
            <w:tcBorders>
              <w:top w:val="nil"/>
              <w:left w:val="nil"/>
              <w:bottom w:val="nil"/>
              <w:right w:val="nil"/>
            </w:tcBorders>
            <w:vAlign w:val="bottom"/>
          </w:tcPr>
          <w:p w:rsidR="00093F56" w:rsidRPr="004C7BC7" w:rsidRDefault="001A4DD1" w:rsidP="00766F21">
            <w:pPr>
              <w:spacing w:after="0" w:line="240" w:lineRule="atLeast"/>
              <w:jc w:val="right"/>
              <w:rPr>
                <w:rFonts w:ascii="Times New Roman" w:hAnsi="Times New Roman" w:cs="Times New Roman"/>
                <w:sz w:val="18"/>
                <w:szCs w:val="18"/>
              </w:rPr>
            </w:pPr>
            <w:r w:rsidRPr="00290D7A">
              <w:rPr>
                <w:rFonts w:ascii="Times New Roman" w:hAnsi="Times New Roman" w:cs="Times New Roman"/>
                <w:sz w:val="18"/>
                <w:szCs w:val="18"/>
              </w:rPr>
              <w:t>85%</w:t>
            </w:r>
          </w:p>
        </w:tc>
        <w:tc>
          <w:tcPr>
            <w:tcW w:w="1194" w:type="dxa"/>
            <w:tcBorders>
              <w:top w:val="nil"/>
              <w:left w:val="nil"/>
              <w:bottom w:val="nil"/>
              <w:right w:val="nil"/>
            </w:tcBorders>
            <w:vAlign w:val="bottom"/>
          </w:tcPr>
          <w:p w:rsidR="00093F56" w:rsidRPr="004C7BC7" w:rsidRDefault="00B45E2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1,360</w:t>
            </w:r>
          </w:p>
        </w:tc>
        <w:tc>
          <w:tcPr>
            <w:tcW w:w="1194" w:type="dxa"/>
            <w:tcBorders>
              <w:top w:val="nil"/>
              <w:left w:val="nil"/>
              <w:bottom w:val="nil"/>
              <w:right w:val="nil"/>
            </w:tcBorders>
            <w:vAlign w:val="bottom"/>
          </w:tcPr>
          <w:p w:rsidR="00093F56" w:rsidRPr="004C7BC7" w:rsidRDefault="00B45E2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1,360</w:t>
            </w:r>
          </w:p>
        </w:tc>
        <w:tc>
          <w:tcPr>
            <w:tcW w:w="1194" w:type="dxa"/>
            <w:tcBorders>
              <w:top w:val="nil"/>
              <w:left w:val="nil"/>
              <w:bottom w:val="nil"/>
              <w:right w:val="nil"/>
            </w:tcBorders>
            <w:vAlign w:val="bottom"/>
          </w:tcPr>
          <w:p w:rsidR="00093F56" w:rsidRPr="004C7BC7" w:rsidRDefault="006A037D"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.333</w:t>
            </w:r>
          </w:p>
        </w:tc>
        <w:tc>
          <w:tcPr>
            <w:tcW w:w="1194" w:type="dxa"/>
            <w:tcBorders>
              <w:top w:val="nil"/>
              <w:left w:val="nil"/>
              <w:bottom w:val="nil"/>
            </w:tcBorders>
            <w:vAlign w:val="bottom"/>
          </w:tcPr>
          <w:p w:rsidR="00093F56" w:rsidRPr="004C7BC7" w:rsidRDefault="006A037D"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453</w:t>
            </w:r>
          </w:p>
        </w:tc>
      </w:tr>
      <w:tr w:rsidR="00093F56" w:rsidRPr="00AC2CDC" w:rsidTr="00766F21">
        <w:trPr>
          <w:trHeight w:val="262"/>
          <w:jc w:val="center"/>
        </w:trPr>
        <w:tc>
          <w:tcPr>
            <w:tcW w:w="2214" w:type="dxa"/>
            <w:tcBorders>
              <w:top w:val="nil"/>
              <w:bottom w:val="single" w:sz="4" w:space="0" w:color="000000" w:themeColor="text1"/>
              <w:right w:val="nil"/>
            </w:tcBorders>
          </w:tcPr>
          <w:p w:rsidR="00093F56" w:rsidRPr="004C7BC7" w:rsidRDefault="00093F56" w:rsidP="00766F21">
            <w:pPr>
              <w:tabs>
                <w:tab w:val="right" w:leader="dot" w:pos="1998"/>
              </w:tabs>
              <w:spacing w:after="0" w:line="240" w:lineRule="atLeast"/>
              <w:rPr>
                <w:rFonts w:ascii="Times New Roman" w:hAnsi="Times New Roman" w:cs="Times New Roman"/>
                <w:sz w:val="18"/>
                <w:szCs w:val="18"/>
              </w:rPr>
            </w:pPr>
            <w:r w:rsidRPr="004C7BC7">
              <w:rPr>
                <w:rFonts w:ascii="Times New Roman" w:hAnsi="Times New Roman" w:cs="Times New Roman"/>
                <w:sz w:val="18"/>
                <w:szCs w:val="18"/>
              </w:rPr>
              <w:t xml:space="preserve">Nonresponse follow-up </w:t>
            </w:r>
            <w:r w:rsidR="00184935">
              <w:rPr>
                <w:rFonts w:ascii="Times New Roman" w:hAnsi="Times New Roman" w:cs="Times New Roman"/>
                <w:sz w:val="18"/>
                <w:szCs w:val="18"/>
              </w:rPr>
              <w:br/>
            </w:r>
            <w:r w:rsidR="00184935">
              <w:rPr>
                <w:rFonts w:ascii="Times New Roman" w:hAnsi="Times New Roman" w:cs="Times New Roman"/>
                <w:sz w:val="18"/>
                <w:szCs w:val="18"/>
              </w:rPr>
              <w:t> </w:t>
            </w:r>
            <w:r w:rsidR="00184935">
              <w:rPr>
                <w:rFonts w:ascii="Times New Roman" w:hAnsi="Times New Roman" w:cs="Times New Roman"/>
                <w:sz w:val="18"/>
                <w:szCs w:val="18"/>
              </w:rPr>
              <w:t> </w:t>
            </w:r>
            <w:r w:rsidR="00184935">
              <w:rPr>
                <w:rFonts w:ascii="Times New Roman" w:hAnsi="Times New Roman" w:cs="Times New Roman"/>
                <w:sz w:val="18"/>
                <w:szCs w:val="18"/>
              </w:rPr>
              <w:t> </w:t>
            </w:r>
            <w:r w:rsidRPr="004C7BC7">
              <w:rPr>
                <w:rFonts w:ascii="Times New Roman" w:hAnsi="Times New Roman" w:cs="Times New Roman"/>
                <w:sz w:val="18"/>
                <w:szCs w:val="18"/>
              </w:rPr>
              <w:t xml:space="preserve">call to </w:t>
            </w:r>
            <w:r w:rsidR="00CA66DA" w:rsidRPr="004C7BC7">
              <w:rPr>
                <w:rFonts w:ascii="Times New Roman" w:hAnsi="Times New Roman" w:cs="Times New Roman"/>
                <w:sz w:val="18"/>
                <w:szCs w:val="18"/>
              </w:rPr>
              <w:t>school</w:t>
            </w:r>
            <w:r w:rsidRPr="004C7BC7">
              <w:rPr>
                <w:rFonts w:ascii="Times New Roman" w:hAnsi="Times New Roman" w:cs="Times New Roman"/>
                <w:sz w:val="18"/>
                <w:szCs w:val="18"/>
              </w:rPr>
              <w:tab/>
            </w:r>
          </w:p>
        </w:tc>
        <w:tc>
          <w:tcPr>
            <w:tcW w:w="1194" w:type="dxa"/>
            <w:tcBorders>
              <w:top w:val="nil"/>
              <w:left w:val="nil"/>
              <w:bottom w:val="single" w:sz="4" w:space="0" w:color="000000" w:themeColor="text1"/>
              <w:right w:val="nil"/>
            </w:tcBorders>
            <w:vAlign w:val="bottom"/>
          </w:tcPr>
          <w:p w:rsidR="00093F56" w:rsidRPr="004C7BC7" w:rsidRDefault="004C7BC7"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1,600</w:t>
            </w:r>
          </w:p>
        </w:tc>
        <w:tc>
          <w:tcPr>
            <w:tcW w:w="1194" w:type="dxa"/>
            <w:tcBorders>
              <w:top w:val="nil"/>
              <w:left w:val="nil"/>
              <w:bottom w:val="single" w:sz="4" w:space="0" w:color="000000" w:themeColor="text1"/>
              <w:right w:val="nil"/>
            </w:tcBorders>
            <w:vAlign w:val="bottom"/>
          </w:tcPr>
          <w:p w:rsidR="00093F56" w:rsidRPr="004C7BC7" w:rsidRDefault="001A4DD1"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75%</w:t>
            </w:r>
          </w:p>
        </w:tc>
        <w:tc>
          <w:tcPr>
            <w:tcW w:w="1194" w:type="dxa"/>
            <w:tcBorders>
              <w:top w:val="nil"/>
              <w:left w:val="nil"/>
              <w:bottom w:val="single" w:sz="4" w:space="0" w:color="000000" w:themeColor="text1"/>
              <w:right w:val="nil"/>
            </w:tcBorders>
            <w:vAlign w:val="bottom"/>
          </w:tcPr>
          <w:p w:rsidR="00093F56" w:rsidRPr="004C7BC7" w:rsidRDefault="006A037D"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1,200</w:t>
            </w:r>
          </w:p>
        </w:tc>
        <w:tc>
          <w:tcPr>
            <w:tcW w:w="1194" w:type="dxa"/>
            <w:tcBorders>
              <w:top w:val="nil"/>
              <w:left w:val="nil"/>
              <w:bottom w:val="single" w:sz="4" w:space="0" w:color="000000" w:themeColor="text1"/>
              <w:right w:val="nil"/>
            </w:tcBorders>
            <w:vAlign w:val="bottom"/>
          </w:tcPr>
          <w:p w:rsidR="00093F56" w:rsidRPr="004C7BC7" w:rsidRDefault="006A037D"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1,200</w:t>
            </w:r>
          </w:p>
        </w:tc>
        <w:tc>
          <w:tcPr>
            <w:tcW w:w="1194" w:type="dxa"/>
            <w:tcBorders>
              <w:top w:val="nil"/>
              <w:left w:val="nil"/>
              <w:bottom w:val="single" w:sz="4" w:space="0" w:color="000000" w:themeColor="text1"/>
              <w:right w:val="nil"/>
            </w:tcBorders>
            <w:vAlign w:val="bottom"/>
          </w:tcPr>
          <w:p w:rsidR="00093F56" w:rsidRPr="004C7BC7" w:rsidRDefault="006A037D"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.083</w:t>
            </w:r>
          </w:p>
        </w:tc>
        <w:tc>
          <w:tcPr>
            <w:tcW w:w="1194" w:type="dxa"/>
            <w:tcBorders>
              <w:top w:val="nil"/>
              <w:left w:val="nil"/>
              <w:bottom w:val="single" w:sz="4" w:space="0" w:color="000000" w:themeColor="text1"/>
            </w:tcBorders>
            <w:vAlign w:val="bottom"/>
          </w:tcPr>
          <w:p w:rsidR="00093F56" w:rsidRPr="004C7BC7" w:rsidRDefault="00DB03B0"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100</w:t>
            </w:r>
          </w:p>
        </w:tc>
      </w:tr>
      <w:tr w:rsidR="00093F56" w:rsidRPr="00AC2CDC" w:rsidTr="00766F21">
        <w:trPr>
          <w:trHeight w:val="262"/>
          <w:jc w:val="center"/>
        </w:trPr>
        <w:tc>
          <w:tcPr>
            <w:tcW w:w="2214" w:type="dxa"/>
            <w:tcBorders>
              <w:right w:val="nil"/>
            </w:tcBorders>
          </w:tcPr>
          <w:p w:rsidR="00093F56" w:rsidRPr="004C7BC7" w:rsidRDefault="00093F56" w:rsidP="00766F21">
            <w:pPr>
              <w:tabs>
                <w:tab w:val="right" w:leader="dot" w:pos="1998"/>
              </w:tabs>
              <w:spacing w:after="0" w:line="240" w:lineRule="atLeast"/>
              <w:rPr>
                <w:rFonts w:ascii="Times New Roman" w:hAnsi="Times New Roman" w:cs="Times New Roman"/>
                <w:sz w:val="18"/>
                <w:szCs w:val="18"/>
              </w:rPr>
            </w:pPr>
            <w:r w:rsidRPr="004C7BC7">
              <w:rPr>
                <w:rFonts w:ascii="Times New Roman" w:hAnsi="Times New Roman" w:cs="Times New Roman"/>
                <w:sz w:val="18"/>
                <w:szCs w:val="18"/>
              </w:rPr>
              <w:t>Total burden</w:t>
            </w:r>
            <w:r w:rsidRPr="004C7BC7">
              <w:rPr>
                <w:rFonts w:ascii="Times New Roman" w:hAnsi="Times New Roman" w:cs="Times New Roman"/>
                <w:sz w:val="18"/>
                <w:szCs w:val="18"/>
              </w:rPr>
              <w:tab/>
            </w:r>
          </w:p>
        </w:tc>
        <w:tc>
          <w:tcPr>
            <w:tcW w:w="1194" w:type="dxa"/>
            <w:tcBorders>
              <w:left w:val="nil"/>
              <w:right w:val="nil"/>
            </w:tcBorders>
            <w:vAlign w:val="bottom"/>
          </w:tcPr>
          <w:p w:rsidR="00093F56" w:rsidRPr="004C7BC7" w:rsidRDefault="004C7BC7"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w:t>
            </w:r>
          </w:p>
        </w:tc>
        <w:tc>
          <w:tcPr>
            <w:tcW w:w="1194" w:type="dxa"/>
            <w:tcBorders>
              <w:left w:val="nil"/>
              <w:right w:val="nil"/>
            </w:tcBorders>
            <w:vAlign w:val="bottom"/>
          </w:tcPr>
          <w:p w:rsidR="00093F56" w:rsidRPr="004C7BC7" w:rsidRDefault="001A4DD1"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w:t>
            </w:r>
          </w:p>
        </w:tc>
        <w:tc>
          <w:tcPr>
            <w:tcW w:w="1194" w:type="dxa"/>
            <w:tcBorders>
              <w:left w:val="nil"/>
              <w:right w:val="nil"/>
            </w:tcBorders>
            <w:vAlign w:val="bottom"/>
          </w:tcPr>
          <w:p w:rsidR="00093F56" w:rsidRPr="004C7BC7" w:rsidRDefault="00FF6330" w:rsidP="00FF6330">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2</w:t>
            </w:r>
            <w:r w:rsidR="007A598A">
              <w:rPr>
                <w:rFonts w:ascii="Times New Roman" w:hAnsi="Times New Roman" w:cs="Times New Roman"/>
                <w:sz w:val="18"/>
                <w:szCs w:val="18"/>
              </w:rPr>
              <w:t>,</w:t>
            </w:r>
            <w:r>
              <w:rPr>
                <w:rFonts w:ascii="Times New Roman" w:hAnsi="Times New Roman" w:cs="Times New Roman"/>
                <w:sz w:val="18"/>
                <w:szCs w:val="18"/>
              </w:rPr>
              <w:t>9</w:t>
            </w:r>
            <w:r w:rsidR="007A598A">
              <w:rPr>
                <w:rFonts w:ascii="Times New Roman" w:hAnsi="Times New Roman" w:cs="Times New Roman"/>
                <w:sz w:val="18"/>
                <w:szCs w:val="18"/>
              </w:rPr>
              <w:t>60</w:t>
            </w:r>
          </w:p>
        </w:tc>
        <w:tc>
          <w:tcPr>
            <w:tcW w:w="1194" w:type="dxa"/>
            <w:tcBorders>
              <w:left w:val="nil"/>
              <w:right w:val="nil"/>
            </w:tcBorders>
            <w:vAlign w:val="bottom"/>
          </w:tcPr>
          <w:p w:rsidR="00093F56" w:rsidRPr="004C7BC7" w:rsidRDefault="007A598A" w:rsidP="00FF6330">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5,</w:t>
            </w:r>
            <w:r w:rsidR="00FF6330">
              <w:rPr>
                <w:rFonts w:ascii="Times New Roman" w:hAnsi="Times New Roman" w:cs="Times New Roman"/>
                <w:sz w:val="18"/>
                <w:szCs w:val="18"/>
              </w:rPr>
              <w:t>59</w:t>
            </w:r>
            <w:r>
              <w:rPr>
                <w:rFonts w:ascii="Times New Roman" w:hAnsi="Times New Roman" w:cs="Times New Roman"/>
                <w:sz w:val="18"/>
                <w:szCs w:val="18"/>
              </w:rPr>
              <w:t>0</w:t>
            </w:r>
          </w:p>
        </w:tc>
        <w:tc>
          <w:tcPr>
            <w:tcW w:w="1194" w:type="dxa"/>
            <w:tcBorders>
              <w:left w:val="nil"/>
              <w:right w:val="nil"/>
            </w:tcBorders>
            <w:vAlign w:val="bottom"/>
          </w:tcPr>
          <w:p w:rsidR="00093F56" w:rsidRPr="004C7BC7" w:rsidRDefault="007A598A"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w:t>
            </w:r>
          </w:p>
        </w:tc>
        <w:tc>
          <w:tcPr>
            <w:tcW w:w="1194" w:type="dxa"/>
            <w:tcBorders>
              <w:left w:val="nil"/>
            </w:tcBorders>
            <w:vAlign w:val="bottom"/>
          </w:tcPr>
          <w:p w:rsidR="00093F56" w:rsidRPr="004C7BC7" w:rsidRDefault="007B2298"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939</w:t>
            </w:r>
          </w:p>
        </w:tc>
      </w:tr>
    </w:tbl>
    <w:p w:rsidR="00093F56" w:rsidRDefault="00093F56" w:rsidP="00093F56">
      <w:pPr>
        <w:pStyle w:val="SP-SglSpPara"/>
      </w:pPr>
    </w:p>
    <w:p w:rsidR="00D7490C" w:rsidRDefault="00D7490C" w:rsidP="00D7490C">
      <w:pPr>
        <w:pStyle w:val="SL-FlLftSgl"/>
        <w:rPr>
          <w:b/>
        </w:rPr>
      </w:pPr>
      <w:r w:rsidRPr="00290D7A">
        <w:rPr>
          <w:b/>
        </w:rPr>
        <w:t>Option 2: Sample Size of 3,500 Schools</w:t>
      </w:r>
    </w:p>
    <w:p w:rsidR="00B84D2B" w:rsidRPr="004865FF" w:rsidRDefault="00B84D2B" w:rsidP="00D7490C">
      <w:pPr>
        <w:pStyle w:val="SL-FlLftSgl"/>
        <w:rPr>
          <w:b/>
        </w:rPr>
      </w:pPr>
    </w:p>
    <w:p w:rsidR="00D7490C" w:rsidRDefault="00D7490C" w:rsidP="00D7490C">
      <w:pPr>
        <w:pStyle w:val="SP-SglSpPara"/>
        <w:jc w:val="left"/>
      </w:pPr>
      <w:r>
        <w:t xml:space="preserve">The sample of </w:t>
      </w:r>
      <w:r w:rsidR="007266CD">
        <w:t>3,5</w:t>
      </w:r>
      <w:r>
        <w:t xml:space="preserve">00 schools is estimated to be located in </w:t>
      </w:r>
      <w:r w:rsidR="007266CD">
        <w:t>2,975</w:t>
      </w:r>
      <w:r>
        <w:t xml:space="preserve"> districts, based on previous FRSS studies. Notification to the estimated </w:t>
      </w:r>
      <w:r w:rsidR="007266CD">
        <w:t>2,975</w:t>
      </w:r>
      <w:r>
        <w:t xml:space="preserve"> districts is expected to take approximately 5 minutes per district for a total of </w:t>
      </w:r>
      <w:r w:rsidR="007266CD">
        <w:t>247</w:t>
      </w:r>
      <w:r>
        <w:t xml:space="preserve"> respondent burden hours (table 2). It is anticipated that </w:t>
      </w:r>
      <w:r w:rsidR="00C5571B">
        <w:t>close to all (</w:t>
      </w:r>
      <w:r>
        <w:t>approximately 1</w:t>
      </w:r>
      <w:r w:rsidR="007266CD">
        <w:t>1</w:t>
      </w:r>
      <w:r>
        <w:t>0</w:t>
      </w:r>
      <w:r w:rsidR="00C5571B">
        <w:t>)</w:t>
      </w:r>
      <w:r>
        <w:t xml:space="preserve"> districts with special clearance procedures will </w:t>
      </w:r>
      <w:r w:rsidR="00C5571B">
        <w:t xml:space="preserve">have schools sampled and need to </w:t>
      </w:r>
      <w:r>
        <w:t>be contacted. The respondent burden will be approximately 2 hours per special district for a total of 2</w:t>
      </w:r>
      <w:r w:rsidR="007266CD">
        <w:t>2</w:t>
      </w:r>
      <w:r>
        <w:t xml:space="preserve">0 respondent burden hours. The estimated burden time for </w:t>
      </w:r>
      <w:r w:rsidR="007266CD">
        <w:t>3,5</w:t>
      </w:r>
      <w:r w:rsidRPr="001D4A6B">
        <w:t>00</w:t>
      </w:r>
      <w:r>
        <w:t xml:space="preserve"> schools to review the introductory letter requesting their participation (initial contact) is 5 minutes per school </w:t>
      </w:r>
      <w:r>
        <w:lastRenderedPageBreak/>
        <w:t xml:space="preserve">for a total of </w:t>
      </w:r>
      <w:r w:rsidR="007266CD">
        <w:t>291</w:t>
      </w:r>
      <w:r>
        <w:t xml:space="preserve"> respondent burden hours. The initial sample of </w:t>
      </w:r>
      <w:r w:rsidR="007266CD">
        <w:t>3,5</w:t>
      </w:r>
      <w:r w:rsidRPr="006A037D">
        <w:t>00</w:t>
      </w:r>
      <w:r>
        <w:t xml:space="preserve"> schools will yield about </w:t>
      </w:r>
      <w:r w:rsidR="007266CD">
        <w:t>2,625</w:t>
      </w:r>
      <w:r>
        <w:t xml:space="preserve"> completed questionnaires, assuming a response rate of </w:t>
      </w:r>
      <w:r w:rsidRPr="00290D7A">
        <w:t>85</w:t>
      </w:r>
      <w:r>
        <w:t xml:space="preserve"> percent. Based on a response burden of approximately </w:t>
      </w:r>
      <w:r w:rsidRPr="00290D7A">
        <w:t>20</w:t>
      </w:r>
      <w:r w:rsidRPr="00EC718D">
        <w:t xml:space="preserve"> minutes per completed questionnaire, the estimated response burden to complete the sur</w:t>
      </w:r>
      <w:r>
        <w:t xml:space="preserve">vey is estimated to be about </w:t>
      </w:r>
      <w:r w:rsidR="007266CD">
        <w:t>991</w:t>
      </w:r>
      <w:r>
        <w:t xml:space="preserve"> hours.</w:t>
      </w:r>
      <w:r w:rsidRPr="0082101E">
        <w:rPr>
          <w:vertAlign w:val="superscript"/>
        </w:rPr>
        <w:footnoteReference w:id="2"/>
      </w:r>
      <w:r>
        <w:t xml:space="preserve"> It is anticipated that about </w:t>
      </w:r>
      <w:r w:rsidRPr="006A037D">
        <w:t>75</w:t>
      </w:r>
      <w:r>
        <w:t xml:space="preserve"> percent of the schools will receive a nonresponse follow-up call that will take about 5 minutes. The total estimated burden time for nonresponse follow-up is about </w:t>
      </w:r>
      <w:r w:rsidR="007266CD">
        <w:t>218</w:t>
      </w:r>
      <w:r>
        <w:t xml:space="preserve"> hours. The total number of burden hours for data collection and nonresponse follow-up is about </w:t>
      </w:r>
      <w:r w:rsidR="007266CD">
        <w:t>1,967</w:t>
      </w:r>
      <w:r>
        <w:t xml:space="preserve"> hours. </w:t>
      </w:r>
    </w:p>
    <w:p w:rsidR="00D7490C" w:rsidRPr="00B17E4E" w:rsidRDefault="00D7490C" w:rsidP="00D7490C">
      <w:pPr>
        <w:pStyle w:val="SP-SglSpPara"/>
      </w:pPr>
    </w:p>
    <w:p w:rsidR="00D7490C" w:rsidRPr="00AC2CDC" w:rsidRDefault="00D7490C" w:rsidP="00D7490C">
      <w:pPr>
        <w:ind w:left="990" w:hanging="990"/>
        <w:rPr>
          <w:rFonts w:ascii="Times New Roman" w:hAnsi="Times New Roman"/>
          <w:b/>
        </w:rPr>
      </w:pPr>
      <w:r w:rsidRPr="00AC2CDC">
        <w:rPr>
          <w:rFonts w:ascii="Times New Roman" w:hAnsi="Times New Roman"/>
          <w:b/>
        </w:rPr>
        <w:t xml:space="preserve">Table </w:t>
      </w:r>
      <w:r>
        <w:rPr>
          <w:rFonts w:ascii="Times New Roman" w:hAnsi="Times New Roman"/>
          <w:b/>
        </w:rPr>
        <w:t>2</w:t>
      </w:r>
      <w:r w:rsidRPr="00AC2CDC">
        <w:rPr>
          <w:rFonts w:ascii="Times New Roman" w:hAnsi="Times New Roman"/>
          <w:b/>
        </w:rPr>
        <w:t>.</w:t>
      </w:r>
      <w:r>
        <w:rPr>
          <w:rFonts w:ascii="Times New Roman" w:hAnsi="Times New Roman"/>
          <w:b/>
        </w:rPr>
        <w:tab/>
      </w:r>
      <w:r w:rsidRPr="00AC2CDC">
        <w:rPr>
          <w:rFonts w:ascii="Times New Roman" w:hAnsi="Times New Roman"/>
          <w:b/>
        </w:rPr>
        <w:t>Estimated burden for data co</w:t>
      </w:r>
      <w:r>
        <w:rPr>
          <w:rFonts w:ascii="Times New Roman" w:hAnsi="Times New Roman"/>
          <w:b/>
        </w:rPr>
        <w:t>llection and nonresponse follow-</w:t>
      </w:r>
      <w:r w:rsidRPr="00AC2CDC">
        <w:rPr>
          <w:rFonts w:ascii="Times New Roman" w:hAnsi="Times New Roman"/>
          <w:b/>
        </w:rPr>
        <w:t>up</w:t>
      </w:r>
      <w:r>
        <w:rPr>
          <w:rFonts w:ascii="Times New Roman" w:hAnsi="Times New Roman"/>
          <w:b/>
        </w:rPr>
        <w:t xml:space="preserve"> for </w:t>
      </w:r>
      <w:r w:rsidRPr="00290D7A">
        <w:rPr>
          <w:rFonts w:ascii="Times New Roman" w:hAnsi="Times New Roman"/>
          <w:b/>
        </w:rPr>
        <w:t>3,500 schools</w:t>
      </w:r>
      <w:r w:rsidRPr="00AC2CDC">
        <w:rPr>
          <w:rFonts w:ascii="Times New Roman" w:hAnsi="Times New Roman"/>
          <w:b/>
        </w:rPr>
        <w:t xml:space="preserve">: FRSS </w:t>
      </w:r>
      <w:r>
        <w:rPr>
          <w:rFonts w:ascii="Times New Roman" w:hAnsi="Times New Roman"/>
          <w:b/>
        </w:rPr>
        <w:t>106</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2214"/>
        <w:gridCol w:w="1194"/>
        <w:gridCol w:w="1194"/>
        <w:gridCol w:w="1194"/>
        <w:gridCol w:w="1194"/>
        <w:gridCol w:w="1194"/>
        <w:gridCol w:w="1194"/>
      </w:tblGrid>
      <w:tr w:rsidR="00D7490C" w:rsidRPr="00AC2CDC" w:rsidTr="00766F21">
        <w:trPr>
          <w:trHeight w:val="772"/>
          <w:jc w:val="center"/>
        </w:trPr>
        <w:tc>
          <w:tcPr>
            <w:tcW w:w="2214" w:type="dxa"/>
            <w:tcBorders>
              <w:bottom w:val="single" w:sz="4" w:space="0" w:color="000000" w:themeColor="text1"/>
            </w:tcBorders>
            <w:vAlign w:val="bottom"/>
          </w:tcPr>
          <w:p w:rsidR="00D7490C" w:rsidRPr="00AC2CDC" w:rsidRDefault="00D7490C" w:rsidP="00766F21">
            <w:pPr>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Type of collection</w:t>
            </w:r>
          </w:p>
        </w:tc>
        <w:tc>
          <w:tcPr>
            <w:tcW w:w="1194" w:type="dxa"/>
            <w:tcBorders>
              <w:bottom w:val="single" w:sz="4" w:space="0" w:color="000000" w:themeColor="text1"/>
            </w:tcBorders>
            <w:vAlign w:val="bottom"/>
          </w:tcPr>
          <w:p w:rsidR="00D7490C" w:rsidRPr="00AC2CDC" w:rsidRDefault="00D7490C" w:rsidP="00766F21">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Sample size</w:t>
            </w:r>
          </w:p>
        </w:tc>
        <w:tc>
          <w:tcPr>
            <w:tcW w:w="1194" w:type="dxa"/>
            <w:tcBorders>
              <w:bottom w:val="single" w:sz="4" w:space="0" w:color="000000" w:themeColor="text1"/>
            </w:tcBorders>
            <w:vAlign w:val="bottom"/>
          </w:tcPr>
          <w:p w:rsidR="00D7490C" w:rsidRPr="00AC2CDC" w:rsidRDefault="00D7490C" w:rsidP="00766F21">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Estimated response rate (percent)</w:t>
            </w:r>
          </w:p>
        </w:tc>
        <w:tc>
          <w:tcPr>
            <w:tcW w:w="1194" w:type="dxa"/>
            <w:tcBorders>
              <w:bottom w:val="single" w:sz="4" w:space="0" w:color="000000" w:themeColor="text1"/>
            </w:tcBorders>
            <w:vAlign w:val="bottom"/>
          </w:tcPr>
          <w:p w:rsidR="00D7490C" w:rsidRPr="00AC2CDC" w:rsidRDefault="00D7490C" w:rsidP="00766F21">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Estimated number of respondents</w:t>
            </w:r>
          </w:p>
        </w:tc>
        <w:tc>
          <w:tcPr>
            <w:tcW w:w="1194" w:type="dxa"/>
            <w:tcBorders>
              <w:bottom w:val="single" w:sz="4" w:space="0" w:color="000000" w:themeColor="text1"/>
            </w:tcBorders>
            <w:vAlign w:val="bottom"/>
          </w:tcPr>
          <w:p w:rsidR="00D7490C" w:rsidRPr="00AC2CDC" w:rsidRDefault="00D7490C" w:rsidP="00766F21">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Estimated number of responses</w:t>
            </w:r>
          </w:p>
        </w:tc>
        <w:tc>
          <w:tcPr>
            <w:tcW w:w="1194" w:type="dxa"/>
            <w:tcBorders>
              <w:bottom w:val="single" w:sz="4" w:space="0" w:color="000000" w:themeColor="text1"/>
            </w:tcBorders>
            <w:vAlign w:val="bottom"/>
          </w:tcPr>
          <w:p w:rsidR="00D7490C" w:rsidRPr="00AC2CDC" w:rsidRDefault="00D7490C" w:rsidP="00766F21">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Total burden hours per respondent</w:t>
            </w:r>
          </w:p>
        </w:tc>
        <w:tc>
          <w:tcPr>
            <w:tcW w:w="1194" w:type="dxa"/>
            <w:tcBorders>
              <w:bottom w:val="single" w:sz="4" w:space="0" w:color="000000" w:themeColor="text1"/>
            </w:tcBorders>
            <w:vAlign w:val="bottom"/>
          </w:tcPr>
          <w:p w:rsidR="00D7490C" w:rsidRPr="00AC2CDC" w:rsidRDefault="00D7490C" w:rsidP="00766F21">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Respondent burden hours</w:t>
            </w:r>
          </w:p>
        </w:tc>
      </w:tr>
      <w:tr w:rsidR="00D7490C" w:rsidRPr="00AC2CDC" w:rsidTr="00766F21">
        <w:trPr>
          <w:trHeight w:val="247"/>
          <w:jc w:val="center"/>
        </w:trPr>
        <w:tc>
          <w:tcPr>
            <w:tcW w:w="2214" w:type="dxa"/>
            <w:tcBorders>
              <w:top w:val="nil"/>
              <w:bottom w:val="nil"/>
              <w:right w:val="nil"/>
            </w:tcBorders>
          </w:tcPr>
          <w:p w:rsidR="00D7490C" w:rsidRPr="004C7BC7" w:rsidRDefault="00D7490C" w:rsidP="00766F21">
            <w:pPr>
              <w:tabs>
                <w:tab w:val="right" w:leader="dot" w:pos="1998"/>
              </w:tabs>
              <w:spacing w:after="0" w:line="240" w:lineRule="atLeast"/>
              <w:rPr>
                <w:rFonts w:ascii="Times New Roman" w:hAnsi="Times New Roman" w:cs="Times New Roman"/>
                <w:sz w:val="18"/>
                <w:szCs w:val="18"/>
              </w:rPr>
            </w:pPr>
            <w:r w:rsidRPr="004C7BC7">
              <w:rPr>
                <w:rFonts w:ascii="Times New Roman" w:hAnsi="Times New Roman" w:cs="Times New Roman"/>
                <w:sz w:val="18"/>
                <w:szCs w:val="18"/>
              </w:rPr>
              <w:t xml:space="preserve">Special clearance district </w:t>
            </w:r>
            <w:r w:rsidR="00B84D2B">
              <w:rPr>
                <w:rFonts w:ascii="Times New Roman" w:hAnsi="Times New Roman" w:cs="Times New Roman"/>
                <w:sz w:val="18"/>
                <w:szCs w:val="18"/>
              </w:rPr>
              <w:br/>
            </w:r>
            <w:r w:rsidR="00B84D2B">
              <w:rPr>
                <w:rFonts w:ascii="Times New Roman" w:hAnsi="Times New Roman" w:cs="Times New Roman"/>
                <w:sz w:val="18"/>
                <w:szCs w:val="18"/>
              </w:rPr>
              <w:t> </w:t>
            </w:r>
            <w:r w:rsidR="00B84D2B">
              <w:rPr>
                <w:rFonts w:ascii="Times New Roman" w:hAnsi="Times New Roman" w:cs="Times New Roman"/>
                <w:sz w:val="18"/>
                <w:szCs w:val="18"/>
              </w:rPr>
              <w:t> </w:t>
            </w:r>
            <w:r w:rsidR="00B84D2B">
              <w:rPr>
                <w:rFonts w:ascii="Times New Roman" w:hAnsi="Times New Roman" w:cs="Times New Roman"/>
                <w:sz w:val="18"/>
                <w:szCs w:val="18"/>
              </w:rPr>
              <w:t> </w:t>
            </w:r>
            <w:r w:rsidRPr="004C7BC7">
              <w:rPr>
                <w:rFonts w:ascii="Times New Roman" w:hAnsi="Times New Roman" w:cs="Times New Roman"/>
                <w:sz w:val="18"/>
                <w:szCs w:val="18"/>
              </w:rPr>
              <w:t>review</w:t>
            </w:r>
            <w:r w:rsidRPr="004C7BC7">
              <w:rPr>
                <w:rFonts w:ascii="Times New Roman" w:hAnsi="Times New Roman" w:cs="Times New Roman"/>
                <w:sz w:val="18"/>
                <w:szCs w:val="18"/>
              </w:rPr>
              <w:tab/>
            </w:r>
          </w:p>
        </w:tc>
        <w:tc>
          <w:tcPr>
            <w:tcW w:w="1194" w:type="dxa"/>
            <w:tcBorders>
              <w:top w:val="nil"/>
              <w:left w:val="nil"/>
              <w:bottom w:val="nil"/>
              <w:right w:val="nil"/>
            </w:tcBorders>
            <w:vAlign w:val="bottom"/>
          </w:tcPr>
          <w:p w:rsidR="00D7490C" w:rsidRPr="004C7BC7" w:rsidRDefault="00D7490C" w:rsidP="00766F21">
            <w:pPr>
              <w:spacing w:after="0" w:line="240" w:lineRule="atLeast"/>
              <w:jc w:val="right"/>
              <w:rPr>
                <w:rFonts w:ascii="Times New Roman" w:hAnsi="Times New Roman" w:cs="Times New Roman"/>
                <w:sz w:val="18"/>
                <w:szCs w:val="18"/>
              </w:rPr>
            </w:pPr>
            <w:r w:rsidRPr="004C7BC7">
              <w:rPr>
                <w:rFonts w:ascii="Times New Roman" w:hAnsi="Times New Roman" w:cs="Times New Roman"/>
                <w:sz w:val="18"/>
                <w:szCs w:val="18"/>
              </w:rPr>
              <w:t>1</w:t>
            </w:r>
            <w:r w:rsidR="00AD275C">
              <w:rPr>
                <w:rFonts w:ascii="Times New Roman" w:hAnsi="Times New Roman" w:cs="Times New Roman"/>
                <w:sz w:val="18"/>
                <w:szCs w:val="18"/>
              </w:rPr>
              <w:t>1</w:t>
            </w:r>
            <w:r w:rsidRPr="004C7BC7">
              <w:rPr>
                <w:rFonts w:ascii="Times New Roman" w:hAnsi="Times New Roman" w:cs="Times New Roman"/>
                <w:sz w:val="18"/>
                <w:szCs w:val="18"/>
              </w:rPr>
              <w:t>0</w:t>
            </w:r>
          </w:p>
        </w:tc>
        <w:tc>
          <w:tcPr>
            <w:tcW w:w="1194" w:type="dxa"/>
            <w:tcBorders>
              <w:top w:val="nil"/>
              <w:left w:val="nil"/>
              <w:bottom w:val="nil"/>
              <w:right w:val="nil"/>
            </w:tcBorders>
            <w:vAlign w:val="bottom"/>
          </w:tcPr>
          <w:p w:rsidR="00D7490C" w:rsidRPr="004C7BC7" w:rsidRDefault="00D7490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100%</w:t>
            </w:r>
          </w:p>
        </w:tc>
        <w:tc>
          <w:tcPr>
            <w:tcW w:w="1194" w:type="dxa"/>
            <w:tcBorders>
              <w:top w:val="nil"/>
              <w:left w:val="nil"/>
              <w:bottom w:val="nil"/>
              <w:right w:val="nil"/>
            </w:tcBorders>
            <w:vAlign w:val="bottom"/>
          </w:tcPr>
          <w:p w:rsidR="00D7490C" w:rsidRPr="004C7BC7" w:rsidRDefault="00D7490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w:t>
            </w:r>
            <w:r w:rsidR="00AD275C">
              <w:rPr>
                <w:rFonts w:ascii="Times New Roman" w:hAnsi="Times New Roman" w:cs="Times New Roman"/>
                <w:sz w:val="18"/>
                <w:szCs w:val="18"/>
              </w:rPr>
              <w:t>1</w:t>
            </w:r>
            <w:r>
              <w:rPr>
                <w:rFonts w:ascii="Times New Roman" w:hAnsi="Times New Roman" w:cs="Times New Roman"/>
                <w:sz w:val="18"/>
                <w:szCs w:val="18"/>
              </w:rPr>
              <w:t>0</w:t>
            </w:r>
          </w:p>
        </w:tc>
        <w:tc>
          <w:tcPr>
            <w:tcW w:w="1194" w:type="dxa"/>
            <w:tcBorders>
              <w:top w:val="nil"/>
              <w:left w:val="nil"/>
              <w:bottom w:val="nil"/>
              <w:right w:val="nil"/>
            </w:tcBorders>
            <w:vAlign w:val="bottom"/>
          </w:tcPr>
          <w:p w:rsidR="00D7490C" w:rsidRPr="004C7BC7" w:rsidRDefault="00D7490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w:t>
            </w:r>
            <w:r w:rsidR="00AD275C">
              <w:rPr>
                <w:rFonts w:ascii="Times New Roman" w:hAnsi="Times New Roman" w:cs="Times New Roman"/>
                <w:sz w:val="18"/>
                <w:szCs w:val="18"/>
              </w:rPr>
              <w:t>1</w:t>
            </w:r>
            <w:r>
              <w:rPr>
                <w:rFonts w:ascii="Times New Roman" w:hAnsi="Times New Roman" w:cs="Times New Roman"/>
                <w:sz w:val="18"/>
                <w:szCs w:val="18"/>
              </w:rPr>
              <w:t>0</w:t>
            </w:r>
          </w:p>
        </w:tc>
        <w:tc>
          <w:tcPr>
            <w:tcW w:w="1194" w:type="dxa"/>
            <w:tcBorders>
              <w:top w:val="nil"/>
              <w:left w:val="nil"/>
              <w:bottom w:val="nil"/>
              <w:right w:val="nil"/>
            </w:tcBorders>
            <w:vAlign w:val="bottom"/>
          </w:tcPr>
          <w:p w:rsidR="00D7490C" w:rsidRPr="004C7BC7" w:rsidRDefault="00D7490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2.00</w:t>
            </w:r>
          </w:p>
        </w:tc>
        <w:tc>
          <w:tcPr>
            <w:tcW w:w="1194" w:type="dxa"/>
            <w:tcBorders>
              <w:top w:val="nil"/>
              <w:left w:val="nil"/>
              <w:bottom w:val="nil"/>
            </w:tcBorders>
            <w:vAlign w:val="bottom"/>
          </w:tcPr>
          <w:p w:rsidR="00D7490C" w:rsidRPr="004C7BC7" w:rsidRDefault="00D7490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2</w:t>
            </w:r>
            <w:r w:rsidR="00AD275C">
              <w:rPr>
                <w:rFonts w:ascii="Times New Roman" w:hAnsi="Times New Roman" w:cs="Times New Roman"/>
                <w:sz w:val="18"/>
                <w:szCs w:val="18"/>
              </w:rPr>
              <w:t>2</w:t>
            </w:r>
            <w:r>
              <w:rPr>
                <w:rFonts w:ascii="Times New Roman" w:hAnsi="Times New Roman" w:cs="Times New Roman"/>
                <w:sz w:val="18"/>
                <w:szCs w:val="18"/>
              </w:rPr>
              <w:t>0</w:t>
            </w:r>
          </w:p>
        </w:tc>
      </w:tr>
      <w:tr w:rsidR="00D7490C" w:rsidRPr="00AC2CDC" w:rsidTr="00766F21">
        <w:trPr>
          <w:trHeight w:val="247"/>
          <w:jc w:val="center"/>
        </w:trPr>
        <w:tc>
          <w:tcPr>
            <w:tcW w:w="2214" w:type="dxa"/>
            <w:tcBorders>
              <w:top w:val="nil"/>
              <w:bottom w:val="nil"/>
              <w:right w:val="nil"/>
            </w:tcBorders>
          </w:tcPr>
          <w:p w:rsidR="00D7490C" w:rsidRPr="004C7BC7" w:rsidRDefault="00D7490C" w:rsidP="00766F21">
            <w:pPr>
              <w:tabs>
                <w:tab w:val="right" w:leader="dot" w:pos="1998"/>
              </w:tabs>
              <w:spacing w:after="0" w:line="240" w:lineRule="atLeast"/>
              <w:rPr>
                <w:rFonts w:ascii="Times New Roman" w:hAnsi="Times New Roman" w:cs="Times New Roman"/>
                <w:sz w:val="18"/>
                <w:szCs w:val="18"/>
              </w:rPr>
            </w:pPr>
            <w:r w:rsidRPr="004C7BC7">
              <w:rPr>
                <w:rFonts w:ascii="Times New Roman" w:hAnsi="Times New Roman" w:cs="Times New Roman"/>
                <w:sz w:val="18"/>
                <w:szCs w:val="18"/>
              </w:rPr>
              <w:t xml:space="preserve">District notification </w:t>
            </w:r>
            <w:r w:rsidRPr="004C7BC7">
              <w:rPr>
                <w:rFonts w:ascii="Times New Roman" w:hAnsi="Times New Roman" w:cs="Times New Roman"/>
                <w:sz w:val="18"/>
                <w:szCs w:val="18"/>
              </w:rPr>
              <w:tab/>
            </w:r>
          </w:p>
        </w:tc>
        <w:tc>
          <w:tcPr>
            <w:tcW w:w="1194" w:type="dxa"/>
            <w:tcBorders>
              <w:top w:val="nil"/>
              <w:left w:val="nil"/>
              <w:bottom w:val="nil"/>
              <w:right w:val="nil"/>
            </w:tcBorders>
            <w:vAlign w:val="bottom"/>
          </w:tcPr>
          <w:p w:rsidR="00D7490C" w:rsidRPr="004C7BC7" w:rsidRDefault="00AD275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2,975</w:t>
            </w:r>
          </w:p>
        </w:tc>
        <w:tc>
          <w:tcPr>
            <w:tcW w:w="1194" w:type="dxa"/>
            <w:tcBorders>
              <w:top w:val="nil"/>
              <w:left w:val="nil"/>
              <w:bottom w:val="nil"/>
              <w:right w:val="nil"/>
            </w:tcBorders>
            <w:vAlign w:val="bottom"/>
          </w:tcPr>
          <w:p w:rsidR="00D7490C" w:rsidRPr="004C7BC7" w:rsidRDefault="00D7490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100%</w:t>
            </w:r>
          </w:p>
        </w:tc>
        <w:tc>
          <w:tcPr>
            <w:tcW w:w="1194" w:type="dxa"/>
            <w:tcBorders>
              <w:top w:val="nil"/>
              <w:left w:val="nil"/>
              <w:bottom w:val="nil"/>
              <w:right w:val="nil"/>
            </w:tcBorders>
            <w:vAlign w:val="bottom"/>
          </w:tcPr>
          <w:p w:rsidR="00D7490C" w:rsidRPr="004C7BC7" w:rsidRDefault="00AD275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2,975</w:t>
            </w:r>
          </w:p>
        </w:tc>
        <w:tc>
          <w:tcPr>
            <w:tcW w:w="1194" w:type="dxa"/>
            <w:tcBorders>
              <w:top w:val="nil"/>
              <w:left w:val="nil"/>
              <w:bottom w:val="nil"/>
              <w:right w:val="nil"/>
            </w:tcBorders>
            <w:vAlign w:val="bottom"/>
          </w:tcPr>
          <w:p w:rsidR="00D7490C" w:rsidRPr="004C7BC7" w:rsidRDefault="00AD275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2,975</w:t>
            </w:r>
          </w:p>
        </w:tc>
        <w:tc>
          <w:tcPr>
            <w:tcW w:w="1194" w:type="dxa"/>
            <w:tcBorders>
              <w:top w:val="nil"/>
              <w:left w:val="nil"/>
              <w:bottom w:val="nil"/>
              <w:right w:val="nil"/>
            </w:tcBorders>
            <w:vAlign w:val="bottom"/>
          </w:tcPr>
          <w:p w:rsidR="00D7490C" w:rsidRPr="004C7BC7" w:rsidRDefault="00D7490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.083</w:t>
            </w:r>
          </w:p>
        </w:tc>
        <w:tc>
          <w:tcPr>
            <w:tcW w:w="1194" w:type="dxa"/>
            <w:tcBorders>
              <w:top w:val="nil"/>
              <w:left w:val="nil"/>
              <w:bottom w:val="nil"/>
            </w:tcBorders>
            <w:vAlign w:val="bottom"/>
          </w:tcPr>
          <w:p w:rsidR="00D7490C" w:rsidRPr="004C7BC7" w:rsidRDefault="00AD275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247</w:t>
            </w:r>
          </w:p>
        </w:tc>
      </w:tr>
      <w:tr w:rsidR="00D7490C" w:rsidRPr="00AC2CDC" w:rsidTr="00766F21">
        <w:trPr>
          <w:trHeight w:val="247"/>
          <w:jc w:val="center"/>
        </w:trPr>
        <w:tc>
          <w:tcPr>
            <w:tcW w:w="2214" w:type="dxa"/>
            <w:tcBorders>
              <w:top w:val="nil"/>
              <w:bottom w:val="nil"/>
              <w:right w:val="nil"/>
            </w:tcBorders>
          </w:tcPr>
          <w:p w:rsidR="00D7490C" w:rsidRPr="004C7BC7" w:rsidRDefault="00D7490C" w:rsidP="00766F21">
            <w:pPr>
              <w:tabs>
                <w:tab w:val="right" w:leader="dot" w:pos="1998"/>
              </w:tabs>
              <w:spacing w:after="0" w:line="240" w:lineRule="atLeast"/>
              <w:rPr>
                <w:rFonts w:ascii="Times New Roman" w:hAnsi="Times New Roman" w:cs="Times New Roman"/>
                <w:sz w:val="18"/>
                <w:szCs w:val="18"/>
              </w:rPr>
            </w:pPr>
            <w:r w:rsidRPr="004C7BC7">
              <w:rPr>
                <w:rFonts w:ascii="Times New Roman" w:hAnsi="Times New Roman" w:cs="Times New Roman"/>
                <w:sz w:val="18"/>
                <w:szCs w:val="18"/>
              </w:rPr>
              <w:t xml:space="preserve">Initial school contact </w:t>
            </w:r>
            <w:r w:rsidRPr="004C7BC7">
              <w:rPr>
                <w:rFonts w:ascii="Times New Roman" w:hAnsi="Times New Roman" w:cs="Times New Roman"/>
                <w:sz w:val="18"/>
                <w:szCs w:val="18"/>
              </w:rPr>
              <w:tab/>
            </w:r>
          </w:p>
        </w:tc>
        <w:tc>
          <w:tcPr>
            <w:tcW w:w="1194" w:type="dxa"/>
            <w:tcBorders>
              <w:top w:val="nil"/>
              <w:left w:val="nil"/>
              <w:bottom w:val="nil"/>
              <w:right w:val="nil"/>
            </w:tcBorders>
            <w:vAlign w:val="bottom"/>
          </w:tcPr>
          <w:p w:rsidR="00D7490C" w:rsidRPr="004C7BC7" w:rsidRDefault="00AD275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3,5</w:t>
            </w:r>
            <w:r w:rsidR="00D7490C">
              <w:rPr>
                <w:rFonts w:ascii="Times New Roman" w:hAnsi="Times New Roman" w:cs="Times New Roman"/>
                <w:sz w:val="18"/>
                <w:szCs w:val="18"/>
              </w:rPr>
              <w:t>00</w:t>
            </w:r>
          </w:p>
        </w:tc>
        <w:tc>
          <w:tcPr>
            <w:tcW w:w="1194" w:type="dxa"/>
            <w:tcBorders>
              <w:top w:val="nil"/>
              <w:left w:val="nil"/>
              <w:bottom w:val="nil"/>
              <w:right w:val="nil"/>
            </w:tcBorders>
            <w:vAlign w:val="bottom"/>
          </w:tcPr>
          <w:p w:rsidR="00D7490C" w:rsidRPr="004C7BC7" w:rsidRDefault="00D7490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100%</w:t>
            </w:r>
          </w:p>
        </w:tc>
        <w:tc>
          <w:tcPr>
            <w:tcW w:w="1194" w:type="dxa"/>
            <w:tcBorders>
              <w:top w:val="nil"/>
              <w:left w:val="nil"/>
              <w:bottom w:val="nil"/>
              <w:right w:val="nil"/>
            </w:tcBorders>
            <w:vAlign w:val="bottom"/>
          </w:tcPr>
          <w:p w:rsidR="00D7490C" w:rsidRPr="004C7BC7" w:rsidRDefault="00AD275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3,500</w:t>
            </w:r>
          </w:p>
        </w:tc>
        <w:tc>
          <w:tcPr>
            <w:tcW w:w="1194" w:type="dxa"/>
            <w:tcBorders>
              <w:top w:val="nil"/>
              <w:left w:val="nil"/>
              <w:bottom w:val="nil"/>
              <w:right w:val="nil"/>
            </w:tcBorders>
            <w:vAlign w:val="bottom"/>
          </w:tcPr>
          <w:p w:rsidR="00D7490C" w:rsidRPr="004C7BC7" w:rsidRDefault="00AD275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3,5</w:t>
            </w:r>
            <w:r w:rsidR="00D7490C">
              <w:rPr>
                <w:rFonts w:ascii="Times New Roman" w:hAnsi="Times New Roman" w:cs="Times New Roman"/>
                <w:sz w:val="18"/>
                <w:szCs w:val="18"/>
              </w:rPr>
              <w:t>00</w:t>
            </w:r>
          </w:p>
        </w:tc>
        <w:tc>
          <w:tcPr>
            <w:tcW w:w="1194" w:type="dxa"/>
            <w:tcBorders>
              <w:top w:val="nil"/>
              <w:left w:val="nil"/>
              <w:bottom w:val="nil"/>
              <w:right w:val="nil"/>
            </w:tcBorders>
            <w:vAlign w:val="bottom"/>
          </w:tcPr>
          <w:p w:rsidR="00D7490C" w:rsidRPr="004C7BC7" w:rsidRDefault="00D7490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.083</w:t>
            </w:r>
          </w:p>
        </w:tc>
        <w:tc>
          <w:tcPr>
            <w:tcW w:w="1194" w:type="dxa"/>
            <w:tcBorders>
              <w:top w:val="nil"/>
              <w:left w:val="nil"/>
              <w:bottom w:val="nil"/>
            </w:tcBorders>
            <w:vAlign w:val="bottom"/>
          </w:tcPr>
          <w:p w:rsidR="00D7490C" w:rsidRPr="004C7BC7" w:rsidRDefault="00AD275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291</w:t>
            </w:r>
          </w:p>
        </w:tc>
      </w:tr>
      <w:tr w:rsidR="00D7490C" w:rsidRPr="00AC2CDC" w:rsidTr="00766F21">
        <w:trPr>
          <w:trHeight w:val="247"/>
          <w:jc w:val="center"/>
        </w:trPr>
        <w:tc>
          <w:tcPr>
            <w:tcW w:w="2214" w:type="dxa"/>
            <w:tcBorders>
              <w:top w:val="nil"/>
              <w:bottom w:val="nil"/>
              <w:right w:val="nil"/>
            </w:tcBorders>
          </w:tcPr>
          <w:p w:rsidR="00D7490C" w:rsidRPr="004C7BC7" w:rsidRDefault="00D7490C" w:rsidP="00766F21">
            <w:pPr>
              <w:tabs>
                <w:tab w:val="right" w:leader="dot" w:pos="1998"/>
              </w:tabs>
              <w:spacing w:after="0" w:line="240" w:lineRule="atLeast"/>
              <w:rPr>
                <w:rFonts w:ascii="Times New Roman" w:hAnsi="Times New Roman" w:cs="Times New Roman"/>
                <w:sz w:val="18"/>
                <w:szCs w:val="18"/>
              </w:rPr>
            </w:pPr>
            <w:r w:rsidRPr="004C7BC7">
              <w:rPr>
                <w:rFonts w:ascii="Times New Roman" w:hAnsi="Times New Roman" w:cs="Times New Roman"/>
                <w:sz w:val="18"/>
                <w:szCs w:val="18"/>
              </w:rPr>
              <w:t xml:space="preserve">Questionnaire </w:t>
            </w:r>
            <w:r w:rsidRPr="004C7BC7">
              <w:rPr>
                <w:rFonts w:ascii="Times New Roman" w:hAnsi="Times New Roman" w:cs="Times New Roman"/>
                <w:sz w:val="18"/>
                <w:szCs w:val="18"/>
              </w:rPr>
              <w:tab/>
            </w:r>
          </w:p>
        </w:tc>
        <w:tc>
          <w:tcPr>
            <w:tcW w:w="1194" w:type="dxa"/>
            <w:tcBorders>
              <w:top w:val="nil"/>
              <w:left w:val="nil"/>
              <w:bottom w:val="nil"/>
              <w:right w:val="nil"/>
            </w:tcBorders>
            <w:vAlign w:val="bottom"/>
          </w:tcPr>
          <w:p w:rsidR="00D7490C" w:rsidRPr="004C7BC7" w:rsidRDefault="00AD275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3,5</w:t>
            </w:r>
            <w:r w:rsidR="00D7490C">
              <w:rPr>
                <w:rFonts w:ascii="Times New Roman" w:hAnsi="Times New Roman" w:cs="Times New Roman"/>
                <w:sz w:val="18"/>
                <w:szCs w:val="18"/>
              </w:rPr>
              <w:t>00</w:t>
            </w:r>
          </w:p>
        </w:tc>
        <w:tc>
          <w:tcPr>
            <w:tcW w:w="1194" w:type="dxa"/>
            <w:tcBorders>
              <w:top w:val="nil"/>
              <w:left w:val="nil"/>
              <w:bottom w:val="nil"/>
              <w:right w:val="nil"/>
            </w:tcBorders>
            <w:vAlign w:val="bottom"/>
          </w:tcPr>
          <w:p w:rsidR="00D7490C" w:rsidRPr="004C7BC7" w:rsidRDefault="00D7490C" w:rsidP="00766F21">
            <w:pPr>
              <w:spacing w:after="0" w:line="240" w:lineRule="atLeast"/>
              <w:jc w:val="right"/>
              <w:rPr>
                <w:rFonts w:ascii="Times New Roman" w:hAnsi="Times New Roman" w:cs="Times New Roman"/>
                <w:sz w:val="18"/>
                <w:szCs w:val="18"/>
              </w:rPr>
            </w:pPr>
            <w:r w:rsidRPr="00290D7A">
              <w:rPr>
                <w:rFonts w:ascii="Times New Roman" w:hAnsi="Times New Roman" w:cs="Times New Roman"/>
                <w:sz w:val="18"/>
                <w:szCs w:val="18"/>
              </w:rPr>
              <w:t>85%</w:t>
            </w:r>
          </w:p>
        </w:tc>
        <w:tc>
          <w:tcPr>
            <w:tcW w:w="1194" w:type="dxa"/>
            <w:tcBorders>
              <w:top w:val="nil"/>
              <w:left w:val="nil"/>
              <w:bottom w:val="nil"/>
              <w:right w:val="nil"/>
            </w:tcBorders>
            <w:vAlign w:val="bottom"/>
          </w:tcPr>
          <w:p w:rsidR="00D7490C" w:rsidRPr="004C7BC7" w:rsidRDefault="00AD275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2,975</w:t>
            </w:r>
          </w:p>
        </w:tc>
        <w:tc>
          <w:tcPr>
            <w:tcW w:w="1194" w:type="dxa"/>
            <w:tcBorders>
              <w:top w:val="nil"/>
              <w:left w:val="nil"/>
              <w:bottom w:val="nil"/>
              <w:right w:val="nil"/>
            </w:tcBorders>
            <w:vAlign w:val="bottom"/>
          </w:tcPr>
          <w:p w:rsidR="00D7490C" w:rsidRPr="004C7BC7" w:rsidRDefault="00AD275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2,975</w:t>
            </w:r>
          </w:p>
        </w:tc>
        <w:tc>
          <w:tcPr>
            <w:tcW w:w="1194" w:type="dxa"/>
            <w:tcBorders>
              <w:top w:val="nil"/>
              <w:left w:val="nil"/>
              <w:bottom w:val="nil"/>
              <w:right w:val="nil"/>
            </w:tcBorders>
            <w:vAlign w:val="bottom"/>
          </w:tcPr>
          <w:p w:rsidR="00D7490C" w:rsidRPr="004C7BC7" w:rsidRDefault="00D7490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.333</w:t>
            </w:r>
          </w:p>
        </w:tc>
        <w:tc>
          <w:tcPr>
            <w:tcW w:w="1194" w:type="dxa"/>
            <w:tcBorders>
              <w:top w:val="nil"/>
              <w:left w:val="nil"/>
              <w:bottom w:val="nil"/>
            </w:tcBorders>
            <w:vAlign w:val="bottom"/>
          </w:tcPr>
          <w:p w:rsidR="00D7490C" w:rsidRPr="004C7BC7" w:rsidRDefault="00AD275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991</w:t>
            </w:r>
          </w:p>
        </w:tc>
      </w:tr>
      <w:tr w:rsidR="00D7490C" w:rsidRPr="00AC2CDC" w:rsidTr="00766F21">
        <w:trPr>
          <w:trHeight w:val="262"/>
          <w:jc w:val="center"/>
        </w:trPr>
        <w:tc>
          <w:tcPr>
            <w:tcW w:w="2214" w:type="dxa"/>
            <w:tcBorders>
              <w:top w:val="nil"/>
              <w:bottom w:val="single" w:sz="4" w:space="0" w:color="000000" w:themeColor="text1"/>
              <w:right w:val="nil"/>
            </w:tcBorders>
          </w:tcPr>
          <w:p w:rsidR="00D7490C" w:rsidRPr="004C7BC7" w:rsidRDefault="00D7490C" w:rsidP="00766F21">
            <w:pPr>
              <w:tabs>
                <w:tab w:val="right" w:leader="dot" w:pos="1998"/>
              </w:tabs>
              <w:spacing w:after="0" w:line="240" w:lineRule="atLeast"/>
              <w:rPr>
                <w:rFonts w:ascii="Times New Roman" w:hAnsi="Times New Roman" w:cs="Times New Roman"/>
                <w:sz w:val="18"/>
                <w:szCs w:val="18"/>
              </w:rPr>
            </w:pPr>
            <w:r w:rsidRPr="004C7BC7">
              <w:rPr>
                <w:rFonts w:ascii="Times New Roman" w:hAnsi="Times New Roman" w:cs="Times New Roman"/>
                <w:sz w:val="18"/>
                <w:szCs w:val="18"/>
              </w:rPr>
              <w:t xml:space="preserve">Nonresponse follow-up </w:t>
            </w:r>
            <w:r w:rsidR="00B84D2B">
              <w:rPr>
                <w:rFonts w:ascii="Times New Roman" w:hAnsi="Times New Roman" w:cs="Times New Roman"/>
                <w:sz w:val="18"/>
                <w:szCs w:val="18"/>
              </w:rPr>
              <w:br/>
            </w:r>
            <w:r w:rsidR="00B84D2B">
              <w:rPr>
                <w:rFonts w:ascii="Times New Roman" w:hAnsi="Times New Roman" w:cs="Times New Roman"/>
                <w:sz w:val="18"/>
                <w:szCs w:val="18"/>
              </w:rPr>
              <w:t> </w:t>
            </w:r>
            <w:r w:rsidR="00B84D2B">
              <w:rPr>
                <w:rFonts w:ascii="Times New Roman" w:hAnsi="Times New Roman" w:cs="Times New Roman"/>
                <w:sz w:val="18"/>
                <w:szCs w:val="18"/>
              </w:rPr>
              <w:t> </w:t>
            </w:r>
            <w:r w:rsidR="00B84D2B">
              <w:rPr>
                <w:rFonts w:ascii="Times New Roman" w:hAnsi="Times New Roman" w:cs="Times New Roman"/>
                <w:sz w:val="18"/>
                <w:szCs w:val="18"/>
              </w:rPr>
              <w:t> </w:t>
            </w:r>
            <w:r w:rsidRPr="004C7BC7">
              <w:rPr>
                <w:rFonts w:ascii="Times New Roman" w:hAnsi="Times New Roman" w:cs="Times New Roman"/>
                <w:sz w:val="18"/>
                <w:szCs w:val="18"/>
              </w:rPr>
              <w:t>call to school</w:t>
            </w:r>
            <w:r w:rsidRPr="004C7BC7">
              <w:rPr>
                <w:rFonts w:ascii="Times New Roman" w:hAnsi="Times New Roman" w:cs="Times New Roman"/>
                <w:sz w:val="18"/>
                <w:szCs w:val="18"/>
              </w:rPr>
              <w:tab/>
            </w:r>
          </w:p>
        </w:tc>
        <w:tc>
          <w:tcPr>
            <w:tcW w:w="1194" w:type="dxa"/>
            <w:tcBorders>
              <w:top w:val="nil"/>
              <w:left w:val="nil"/>
              <w:bottom w:val="single" w:sz="4" w:space="0" w:color="000000" w:themeColor="text1"/>
              <w:right w:val="nil"/>
            </w:tcBorders>
            <w:vAlign w:val="bottom"/>
          </w:tcPr>
          <w:p w:rsidR="00D7490C" w:rsidRPr="004C7BC7" w:rsidRDefault="00AD275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3,5</w:t>
            </w:r>
            <w:r w:rsidR="00D7490C">
              <w:rPr>
                <w:rFonts w:ascii="Times New Roman" w:hAnsi="Times New Roman" w:cs="Times New Roman"/>
                <w:sz w:val="18"/>
                <w:szCs w:val="18"/>
              </w:rPr>
              <w:t>00</w:t>
            </w:r>
          </w:p>
        </w:tc>
        <w:tc>
          <w:tcPr>
            <w:tcW w:w="1194" w:type="dxa"/>
            <w:tcBorders>
              <w:top w:val="nil"/>
              <w:left w:val="nil"/>
              <w:bottom w:val="single" w:sz="4" w:space="0" w:color="000000" w:themeColor="text1"/>
              <w:right w:val="nil"/>
            </w:tcBorders>
            <w:vAlign w:val="bottom"/>
          </w:tcPr>
          <w:p w:rsidR="00D7490C" w:rsidRPr="004C7BC7" w:rsidRDefault="00D7490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75%</w:t>
            </w:r>
          </w:p>
        </w:tc>
        <w:tc>
          <w:tcPr>
            <w:tcW w:w="1194" w:type="dxa"/>
            <w:tcBorders>
              <w:top w:val="nil"/>
              <w:left w:val="nil"/>
              <w:bottom w:val="single" w:sz="4" w:space="0" w:color="000000" w:themeColor="text1"/>
              <w:right w:val="nil"/>
            </w:tcBorders>
            <w:vAlign w:val="bottom"/>
          </w:tcPr>
          <w:p w:rsidR="00D7490C" w:rsidRPr="004C7BC7" w:rsidRDefault="00AD275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2,625</w:t>
            </w:r>
          </w:p>
        </w:tc>
        <w:tc>
          <w:tcPr>
            <w:tcW w:w="1194" w:type="dxa"/>
            <w:tcBorders>
              <w:top w:val="nil"/>
              <w:left w:val="nil"/>
              <w:bottom w:val="single" w:sz="4" w:space="0" w:color="000000" w:themeColor="text1"/>
              <w:right w:val="nil"/>
            </w:tcBorders>
            <w:vAlign w:val="bottom"/>
          </w:tcPr>
          <w:p w:rsidR="00D7490C" w:rsidRPr="004C7BC7" w:rsidRDefault="00AD275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2,625</w:t>
            </w:r>
          </w:p>
        </w:tc>
        <w:tc>
          <w:tcPr>
            <w:tcW w:w="1194" w:type="dxa"/>
            <w:tcBorders>
              <w:top w:val="nil"/>
              <w:left w:val="nil"/>
              <w:bottom w:val="single" w:sz="4" w:space="0" w:color="000000" w:themeColor="text1"/>
              <w:right w:val="nil"/>
            </w:tcBorders>
            <w:vAlign w:val="bottom"/>
          </w:tcPr>
          <w:p w:rsidR="00D7490C" w:rsidRPr="004C7BC7" w:rsidRDefault="00D7490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.083</w:t>
            </w:r>
          </w:p>
        </w:tc>
        <w:tc>
          <w:tcPr>
            <w:tcW w:w="1194" w:type="dxa"/>
            <w:tcBorders>
              <w:top w:val="nil"/>
              <w:left w:val="nil"/>
              <w:bottom w:val="single" w:sz="4" w:space="0" w:color="000000" w:themeColor="text1"/>
            </w:tcBorders>
            <w:vAlign w:val="bottom"/>
          </w:tcPr>
          <w:p w:rsidR="00D7490C" w:rsidRPr="004C7BC7" w:rsidRDefault="00AD275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218</w:t>
            </w:r>
          </w:p>
        </w:tc>
      </w:tr>
      <w:tr w:rsidR="00D7490C" w:rsidRPr="00AC2CDC" w:rsidTr="00766F21">
        <w:trPr>
          <w:trHeight w:val="262"/>
          <w:jc w:val="center"/>
        </w:trPr>
        <w:tc>
          <w:tcPr>
            <w:tcW w:w="2214" w:type="dxa"/>
            <w:tcBorders>
              <w:right w:val="nil"/>
            </w:tcBorders>
          </w:tcPr>
          <w:p w:rsidR="00D7490C" w:rsidRPr="004C7BC7" w:rsidRDefault="00D7490C" w:rsidP="00766F21">
            <w:pPr>
              <w:tabs>
                <w:tab w:val="right" w:leader="dot" w:pos="1998"/>
              </w:tabs>
              <w:spacing w:after="0" w:line="240" w:lineRule="atLeast"/>
              <w:rPr>
                <w:rFonts w:ascii="Times New Roman" w:hAnsi="Times New Roman" w:cs="Times New Roman"/>
                <w:sz w:val="18"/>
                <w:szCs w:val="18"/>
              </w:rPr>
            </w:pPr>
            <w:r w:rsidRPr="004C7BC7">
              <w:rPr>
                <w:rFonts w:ascii="Times New Roman" w:hAnsi="Times New Roman" w:cs="Times New Roman"/>
                <w:sz w:val="18"/>
                <w:szCs w:val="18"/>
              </w:rPr>
              <w:t>Total burden</w:t>
            </w:r>
            <w:r w:rsidRPr="004C7BC7">
              <w:rPr>
                <w:rFonts w:ascii="Times New Roman" w:hAnsi="Times New Roman" w:cs="Times New Roman"/>
                <w:sz w:val="18"/>
                <w:szCs w:val="18"/>
              </w:rPr>
              <w:tab/>
            </w:r>
          </w:p>
        </w:tc>
        <w:tc>
          <w:tcPr>
            <w:tcW w:w="1194" w:type="dxa"/>
            <w:tcBorders>
              <w:left w:val="nil"/>
              <w:right w:val="nil"/>
            </w:tcBorders>
            <w:vAlign w:val="bottom"/>
          </w:tcPr>
          <w:p w:rsidR="00D7490C" w:rsidRPr="004C7BC7" w:rsidRDefault="00D7490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w:t>
            </w:r>
          </w:p>
        </w:tc>
        <w:tc>
          <w:tcPr>
            <w:tcW w:w="1194" w:type="dxa"/>
            <w:tcBorders>
              <w:left w:val="nil"/>
              <w:right w:val="nil"/>
            </w:tcBorders>
            <w:vAlign w:val="bottom"/>
          </w:tcPr>
          <w:p w:rsidR="00D7490C" w:rsidRPr="004C7BC7" w:rsidRDefault="00D7490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w:t>
            </w:r>
          </w:p>
        </w:tc>
        <w:tc>
          <w:tcPr>
            <w:tcW w:w="1194" w:type="dxa"/>
            <w:tcBorders>
              <w:left w:val="nil"/>
              <w:right w:val="nil"/>
            </w:tcBorders>
            <w:vAlign w:val="bottom"/>
          </w:tcPr>
          <w:p w:rsidR="00D7490C" w:rsidRPr="004C7BC7" w:rsidRDefault="00B73048" w:rsidP="00B73048">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6</w:t>
            </w:r>
            <w:r w:rsidR="00AD275C">
              <w:rPr>
                <w:rFonts w:ascii="Times New Roman" w:hAnsi="Times New Roman" w:cs="Times New Roman"/>
                <w:sz w:val="18"/>
                <w:szCs w:val="18"/>
              </w:rPr>
              <w:t>,</w:t>
            </w:r>
            <w:r>
              <w:rPr>
                <w:rFonts w:ascii="Times New Roman" w:hAnsi="Times New Roman" w:cs="Times New Roman"/>
                <w:sz w:val="18"/>
                <w:szCs w:val="18"/>
              </w:rPr>
              <w:t>475</w:t>
            </w:r>
          </w:p>
        </w:tc>
        <w:tc>
          <w:tcPr>
            <w:tcW w:w="1194" w:type="dxa"/>
            <w:tcBorders>
              <w:left w:val="nil"/>
              <w:right w:val="nil"/>
            </w:tcBorders>
            <w:vAlign w:val="bottom"/>
          </w:tcPr>
          <w:p w:rsidR="00D7490C" w:rsidRPr="004C7BC7" w:rsidRDefault="00AD275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12,185</w:t>
            </w:r>
          </w:p>
        </w:tc>
        <w:tc>
          <w:tcPr>
            <w:tcW w:w="1194" w:type="dxa"/>
            <w:tcBorders>
              <w:left w:val="nil"/>
              <w:right w:val="nil"/>
            </w:tcBorders>
            <w:vAlign w:val="bottom"/>
          </w:tcPr>
          <w:p w:rsidR="00D7490C" w:rsidRPr="004C7BC7" w:rsidRDefault="00D7490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w:t>
            </w:r>
          </w:p>
        </w:tc>
        <w:tc>
          <w:tcPr>
            <w:tcW w:w="1194" w:type="dxa"/>
            <w:tcBorders>
              <w:left w:val="nil"/>
            </w:tcBorders>
            <w:vAlign w:val="bottom"/>
          </w:tcPr>
          <w:p w:rsidR="00D7490C" w:rsidRPr="004C7BC7" w:rsidRDefault="00AD275C"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1,967</w:t>
            </w:r>
          </w:p>
        </w:tc>
      </w:tr>
    </w:tbl>
    <w:p w:rsidR="00F748B5" w:rsidRDefault="00F748B5" w:rsidP="00F748B5">
      <w:pPr>
        <w:pStyle w:val="SP-SglSpPara"/>
        <w:ind w:firstLine="0"/>
      </w:pPr>
    </w:p>
    <w:p w:rsidR="00D7490C" w:rsidRDefault="00F748B5" w:rsidP="00F748B5">
      <w:pPr>
        <w:pStyle w:val="SP-SglSpPara"/>
        <w:ind w:firstLine="0"/>
      </w:pPr>
      <w:r>
        <w:t>In case we receive funding to exercise option 2, we are requesting approval for the higher, option 2 burden</w:t>
      </w:r>
      <w:r w:rsidR="00312768">
        <w:t xml:space="preserve"> </w:t>
      </w:r>
      <w:r w:rsidR="007677F9">
        <w:t>estimate</w:t>
      </w:r>
      <w:r>
        <w:t>.</w:t>
      </w:r>
    </w:p>
    <w:p w:rsidR="00F748B5" w:rsidRDefault="00F748B5" w:rsidP="00F748B5">
      <w:pPr>
        <w:pStyle w:val="SP-SglSpPara"/>
        <w:ind w:firstLine="0"/>
      </w:pPr>
    </w:p>
    <w:p w:rsidR="008126EA" w:rsidRPr="0079689D" w:rsidRDefault="00573110" w:rsidP="002E6FFD">
      <w:pPr>
        <w:pStyle w:val="SL-FlLftSgl"/>
        <w:keepNext/>
        <w:rPr>
          <w:b/>
          <w:bCs/>
          <w:szCs w:val="22"/>
        </w:rPr>
      </w:pPr>
      <w:r>
        <w:rPr>
          <w:b/>
          <w:bCs/>
          <w:szCs w:val="22"/>
        </w:rPr>
        <w:t xml:space="preserve">Procedures and </w:t>
      </w:r>
      <w:r w:rsidR="00CC5714">
        <w:rPr>
          <w:b/>
          <w:bCs/>
          <w:szCs w:val="22"/>
        </w:rPr>
        <w:t>Data Collection Instrument</w:t>
      </w:r>
    </w:p>
    <w:p w:rsidR="008126EA" w:rsidRPr="0079689D" w:rsidRDefault="008126EA" w:rsidP="002E6FFD">
      <w:pPr>
        <w:pStyle w:val="SL-FlLftSgl"/>
        <w:keepNext/>
        <w:rPr>
          <w:b/>
          <w:bCs/>
          <w:szCs w:val="22"/>
        </w:rPr>
      </w:pPr>
    </w:p>
    <w:p w:rsidR="008126EA" w:rsidRDefault="00001E22" w:rsidP="00F36E4E">
      <w:pPr>
        <w:pStyle w:val="SP-SglSpPara"/>
        <w:rPr>
          <w:szCs w:val="22"/>
        </w:rPr>
      </w:pPr>
      <w:r>
        <w:rPr>
          <w:szCs w:val="22"/>
        </w:rPr>
        <w:t>A questionnaire, cover letter (Attachment 3), and web information sheet (Attachment 4) will be mailed to each sampled school. The cover letter requests the participation of the school and introduces the purpose and content of the survey. It also notes that the survey should be completed by the person most knowledgeable about safety and discipline at the school. The cover letter also includes instructions on how to complete and return the survey, as well as contact information in case of questions. The web information sheet is included in the mailing to provide information about the option to complete a web version of the survey. On the cover of the survey and in the cover letter, respondents are assured that their participation is voluntary and their answers may</w:t>
      </w:r>
      <w:r w:rsidR="00AA5274">
        <w:rPr>
          <w:szCs w:val="22"/>
        </w:rPr>
        <w:t xml:space="preserve"> not</w:t>
      </w:r>
      <w:r>
        <w:rPr>
          <w:szCs w:val="22"/>
        </w:rPr>
        <w:t xml:space="preserve"> be disclosed</w:t>
      </w:r>
      <w:r w:rsidR="00AA5274">
        <w:rPr>
          <w:szCs w:val="22"/>
        </w:rPr>
        <w:t>,</w:t>
      </w:r>
      <w:r>
        <w:rPr>
          <w:szCs w:val="22"/>
        </w:rPr>
        <w:t xml:space="preserve"> or used</w:t>
      </w:r>
      <w:r w:rsidR="00AA5274">
        <w:rPr>
          <w:szCs w:val="22"/>
        </w:rPr>
        <w:t>,</w:t>
      </w:r>
      <w:r>
        <w:rPr>
          <w:szCs w:val="22"/>
        </w:rPr>
        <w:t xml:space="preserve"> in identifiable form for any other purpose unless otherwise compelled by low (Education Sciences Reform Act of 2002, 20 U.S.C.</w:t>
      </w:r>
      <w:r w:rsidR="005A28D3">
        <w:rPr>
          <w:szCs w:val="22"/>
        </w:rPr>
        <w:t xml:space="preserve"> </w:t>
      </w:r>
      <w:r w:rsidR="005A28D3" w:rsidRPr="00972C44">
        <w:t>§</w:t>
      </w:r>
      <w:r>
        <w:rPr>
          <w:szCs w:val="22"/>
        </w:rPr>
        <w:t xml:space="preserve"> 9573).</w:t>
      </w:r>
    </w:p>
    <w:p w:rsidR="00077D51" w:rsidRDefault="00077D51" w:rsidP="00F36E4E">
      <w:pPr>
        <w:pStyle w:val="SP-SglSpPara"/>
        <w:rPr>
          <w:szCs w:val="22"/>
        </w:rPr>
      </w:pPr>
    </w:p>
    <w:p w:rsidR="00077D51" w:rsidRDefault="00077D51" w:rsidP="00F36E4E">
      <w:pPr>
        <w:pStyle w:val="SP-SglSpPara"/>
        <w:rPr>
          <w:szCs w:val="22"/>
        </w:rPr>
      </w:pPr>
      <w:r>
        <w:rPr>
          <w:szCs w:val="22"/>
        </w:rPr>
        <w:t>If a completed survey is not received for a sampled school within 3 weeks after the initial mailing, the school will receive a nonresponse follow-up letter (Attachment 5), another copy of the school’s web information sheet, and a brief, scripted telephone call (Attachment 6) prompting the respondent to return a completed survey via the web, fax, or mail.</w:t>
      </w:r>
    </w:p>
    <w:p w:rsidR="00766F21" w:rsidRPr="0079689D" w:rsidRDefault="00766F21" w:rsidP="00F36E4E">
      <w:pPr>
        <w:pStyle w:val="SP-SglSpPara"/>
        <w:rPr>
          <w:szCs w:val="22"/>
        </w:rPr>
      </w:pPr>
    </w:p>
    <w:p w:rsidR="008126EA" w:rsidRPr="0079689D" w:rsidRDefault="00CC5714" w:rsidP="007677F9">
      <w:pPr>
        <w:pStyle w:val="SP-SglSpPara"/>
        <w:ind w:firstLine="0"/>
        <w:rPr>
          <w:b/>
          <w:szCs w:val="22"/>
        </w:rPr>
      </w:pPr>
      <w:r w:rsidRPr="0084228D">
        <w:rPr>
          <w:b/>
          <w:szCs w:val="22"/>
        </w:rPr>
        <w:t>Questionnaire</w:t>
      </w:r>
    </w:p>
    <w:p w:rsidR="008126EA" w:rsidRDefault="008126EA" w:rsidP="00F36E4E">
      <w:pPr>
        <w:pStyle w:val="SP-SglSpPara"/>
        <w:rPr>
          <w:szCs w:val="22"/>
        </w:rPr>
      </w:pPr>
    </w:p>
    <w:p w:rsidR="00955733" w:rsidRPr="00454C97" w:rsidRDefault="006C164B" w:rsidP="00454C97">
      <w:pPr>
        <w:pStyle w:val="SP-SglSpPara"/>
      </w:pPr>
      <w:r w:rsidRPr="0079689D">
        <w:rPr>
          <w:szCs w:val="22"/>
        </w:rPr>
        <w:t xml:space="preserve">The </w:t>
      </w:r>
      <w:r w:rsidR="00C217F9">
        <w:rPr>
          <w:szCs w:val="22"/>
        </w:rPr>
        <w:t xml:space="preserve">questionnaire </w:t>
      </w:r>
      <w:r w:rsidRPr="0079689D">
        <w:rPr>
          <w:szCs w:val="22"/>
        </w:rPr>
        <w:t xml:space="preserve">is designed to collect information on </w:t>
      </w:r>
      <w:r w:rsidR="007732F3">
        <w:rPr>
          <w:szCs w:val="22"/>
        </w:rPr>
        <w:t xml:space="preserve">specific </w:t>
      </w:r>
      <w:r w:rsidR="007732F3">
        <w:t xml:space="preserve">safety and discipline plans and practices, </w:t>
      </w:r>
      <w:r w:rsidR="007732F3" w:rsidRPr="007732F3">
        <w:t>training for teachers and aides</w:t>
      </w:r>
      <w:r w:rsidR="007732F3" w:rsidRPr="007732F3">
        <w:rPr>
          <w:rFonts w:eastAsia="Calibri"/>
          <w:szCs w:val="22"/>
        </w:rPr>
        <w:t xml:space="preserve"> related to school </w:t>
      </w:r>
      <w:r w:rsidR="007732F3" w:rsidRPr="007732F3">
        <w:t>safety and discipline issues</w:t>
      </w:r>
      <w:r w:rsidR="007732F3">
        <w:t>, security personnel, frequency of specific discipline problems</w:t>
      </w:r>
      <w:r w:rsidR="00454C97">
        <w:t>, and number of incidents of various crimes</w:t>
      </w:r>
      <w:r w:rsidR="007732F3">
        <w:t>.</w:t>
      </w:r>
    </w:p>
    <w:p w:rsidR="00911756" w:rsidRDefault="00911756" w:rsidP="00F36E4E">
      <w:pPr>
        <w:pStyle w:val="SP-SglSpPara"/>
      </w:pPr>
    </w:p>
    <w:p w:rsidR="00911756" w:rsidRDefault="00911756" w:rsidP="00931BCF">
      <w:pPr>
        <w:pStyle w:val="SP-SglSpPara"/>
        <w:spacing w:after="80"/>
      </w:pPr>
      <w:r w:rsidRPr="00931BCF">
        <w:rPr>
          <w:b/>
        </w:rPr>
        <w:t xml:space="preserve">Question </w:t>
      </w:r>
      <w:r w:rsidR="00454C97">
        <w:rPr>
          <w:b/>
        </w:rPr>
        <w:t>1</w:t>
      </w:r>
      <w:r w:rsidRPr="00911756">
        <w:t xml:space="preserve"> asks about several kinds o</w:t>
      </w:r>
      <w:r w:rsidR="00931BCF">
        <w:t>f school policies and practices.</w:t>
      </w:r>
      <w:r w:rsidR="00931BCF" w:rsidRPr="00931BCF">
        <w:rPr>
          <w:sz w:val="24"/>
          <w:szCs w:val="24"/>
        </w:rPr>
        <w:t xml:space="preserve"> </w:t>
      </w:r>
      <w:r w:rsidR="00931BCF" w:rsidRPr="00931BCF">
        <w:t>These data are important in helping schools know where they stand in relation to other schools, and to help policymakers know what actions are already being taken and those that might be encouraged in the future.</w:t>
      </w:r>
    </w:p>
    <w:p w:rsidR="00911756" w:rsidRPr="00911756" w:rsidRDefault="00911756" w:rsidP="00931BCF">
      <w:pPr>
        <w:pStyle w:val="SP-SglSpPara"/>
        <w:numPr>
          <w:ilvl w:val="0"/>
          <w:numId w:val="3"/>
        </w:numPr>
        <w:spacing w:after="120"/>
        <w:ind w:left="936"/>
      </w:pPr>
      <w:r w:rsidRPr="00911756">
        <w:t xml:space="preserve">Items </w:t>
      </w:r>
      <w:r w:rsidR="007D030C">
        <w:t>1</w:t>
      </w:r>
      <w:r w:rsidRPr="00911756">
        <w:t xml:space="preserve">a through </w:t>
      </w:r>
      <w:r w:rsidR="007D030C">
        <w:t>1</w:t>
      </w:r>
      <w:r w:rsidRPr="00911756">
        <w:t xml:space="preserve">c and </w:t>
      </w:r>
      <w:r w:rsidR="007D030C">
        <w:t>1</w:t>
      </w:r>
      <w:r w:rsidRPr="00911756">
        <w:t xml:space="preserve">f ask about access to the school </w:t>
      </w:r>
      <w:r w:rsidR="007D030C">
        <w:t xml:space="preserve">building(s) and </w:t>
      </w:r>
      <w:r w:rsidRPr="00911756">
        <w:t xml:space="preserve">grounds. The ability of students and outsiders to enter and leave the campus throughout the school day affects the amount of </w:t>
      </w:r>
      <w:r w:rsidRPr="00911756">
        <w:lastRenderedPageBreak/>
        <w:t>control that administrators have over the school environment, and the potential for bringing weapons or drugs onto school grounds.</w:t>
      </w:r>
    </w:p>
    <w:p w:rsidR="00911756" w:rsidRPr="00911756" w:rsidRDefault="00911756" w:rsidP="00931BCF">
      <w:pPr>
        <w:pStyle w:val="SP-SglSpPara"/>
        <w:numPr>
          <w:ilvl w:val="0"/>
          <w:numId w:val="3"/>
        </w:numPr>
        <w:spacing w:after="120"/>
        <w:ind w:left="936"/>
      </w:pPr>
      <w:r w:rsidRPr="00911756">
        <w:t xml:space="preserve">Items </w:t>
      </w:r>
      <w:r w:rsidR="007D030C">
        <w:t>1</w:t>
      </w:r>
      <w:r w:rsidRPr="00911756">
        <w:t>d</w:t>
      </w:r>
      <w:r w:rsidR="007D030C">
        <w:t>–1</w:t>
      </w:r>
      <w:r w:rsidRPr="00911756">
        <w:t xml:space="preserve">e, </w:t>
      </w:r>
      <w:r w:rsidR="007D030C">
        <w:t>1</w:t>
      </w:r>
      <w:r w:rsidRPr="00911756">
        <w:t>g</w:t>
      </w:r>
      <w:r w:rsidR="007D030C">
        <w:t>–1</w:t>
      </w:r>
      <w:r w:rsidRPr="00911756">
        <w:t xml:space="preserve">k, </w:t>
      </w:r>
      <w:r w:rsidR="007D030C">
        <w:t>1</w:t>
      </w:r>
      <w:r w:rsidRPr="00911756">
        <w:t>n</w:t>
      </w:r>
      <w:r w:rsidR="007D030C">
        <w:t>–1</w:t>
      </w:r>
      <w:r w:rsidRPr="00911756">
        <w:t xml:space="preserve">o, </w:t>
      </w:r>
      <w:r w:rsidR="007D030C" w:rsidRPr="007D030C">
        <w:t xml:space="preserve">1q, </w:t>
      </w:r>
      <w:r w:rsidR="007D030C">
        <w:t>1</w:t>
      </w:r>
      <w:r w:rsidRPr="00911756">
        <w:t xml:space="preserve">r, and </w:t>
      </w:r>
      <w:r w:rsidR="007D030C">
        <w:t>1</w:t>
      </w:r>
      <w:r w:rsidRPr="00911756">
        <w:t>t ask about ways that students are monitored to prevent crime. Such actions can directly affect crime because students may be more reluctant to engage in inappropriate activities for fear of being caught. The school climate also may be affected because students may feel more secure knowing that violators of school policies are likely to be caught.</w:t>
      </w:r>
    </w:p>
    <w:p w:rsidR="00911756" w:rsidRPr="00911756" w:rsidRDefault="00911756" w:rsidP="00931BCF">
      <w:pPr>
        <w:pStyle w:val="SP-SglSpPara"/>
        <w:numPr>
          <w:ilvl w:val="0"/>
          <w:numId w:val="3"/>
        </w:numPr>
        <w:spacing w:after="120"/>
        <w:ind w:left="936"/>
      </w:pPr>
      <w:r w:rsidRPr="00911756">
        <w:t xml:space="preserve">Items </w:t>
      </w:r>
      <w:r w:rsidR="007D030C">
        <w:t>1</w:t>
      </w:r>
      <w:r w:rsidRPr="00911756">
        <w:t xml:space="preserve">l and </w:t>
      </w:r>
      <w:r w:rsidR="007D030C">
        <w:t>1</w:t>
      </w:r>
      <w:r w:rsidRPr="00911756">
        <w:t>m ask about dress code.</w:t>
      </w:r>
    </w:p>
    <w:p w:rsidR="00911756" w:rsidRPr="00911756" w:rsidRDefault="00911756" w:rsidP="00931BCF">
      <w:pPr>
        <w:pStyle w:val="SP-SglSpPara"/>
        <w:numPr>
          <w:ilvl w:val="0"/>
          <w:numId w:val="3"/>
        </w:numPr>
        <w:spacing w:after="120"/>
        <w:ind w:left="936"/>
      </w:pPr>
      <w:r w:rsidRPr="00911756">
        <w:t xml:space="preserve">Item </w:t>
      </w:r>
      <w:r w:rsidR="007D030C">
        <w:t>1</w:t>
      </w:r>
      <w:r w:rsidRPr="00911756">
        <w:t>p provides information about a system to notify parents in the event of an emergency.</w:t>
      </w:r>
    </w:p>
    <w:p w:rsidR="00911756" w:rsidRPr="00911756" w:rsidRDefault="00911756" w:rsidP="00931BCF">
      <w:pPr>
        <w:pStyle w:val="SP-SglSpPara"/>
        <w:numPr>
          <w:ilvl w:val="0"/>
          <w:numId w:val="3"/>
        </w:numPr>
        <w:spacing w:after="120"/>
        <w:ind w:left="936"/>
      </w:pPr>
      <w:r w:rsidRPr="00911756">
        <w:t xml:space="preserve">Item </w:t>
      </w:r>
      <w:r w:rsidR="007D030C">
        <w:t>1</w:t>
      </w:r>
      <w:r w:rsidRPr="00911756">
        <w:t>s provides information about the school environment (e.g., are students and outsiders able to identify staff who might help with a problem?) and about the school’s ability to monitor the grounds and identify outsiders.</w:t>
      </w:r>
    </w:p>
    <w:p w:rsidR="00911756" w:rsidRPr="00911756" w:rsidRDefault="00911756" w:rsidP="00931BCF">
      <w:pPr>
        <w:pStyle w:val="SP-SglSpPara"/>
        <w:numPr>
          <w:ilvl w:val="0"/>
          <w:numId w:val="3"/>
        </w:numPr>
        <w:spacing w:after="120"/>
        <w:ind w:left="936"/>
      </w:pPr>
      <w:r w:rsidRPr="00911756">
        <w:t xml:space="preserve">Items </w:t>
      </w:r>
      <w:r w:rsidR="007D030C">
        <w:t>1</w:t>
      </w:r>
      <w:r w:rsidRPr="00911756">
        <w:t xml:space="preserve">u and </w:t>
      </w:r>
      <w:r w:rsidR="007D030C">
        <w:t>1</w:t>
      </w:r>
      <w:r w:rsidRPr="00911756">
        <w:t>v ask about the availability of telephones or two way radios to staff. Either device gives staff and teachers the opportunity to obtain help without leaving the specific location or classroom, and affects the administration’s ability to communicate with teachers.</w:t>
      </w:r>
    </w:p>
    <w:p w:rsidR="00931BCF" w:rsidRPr="00931BCF" w:rsidRDefault="00911756" w:rsidP="00931BCF">
      <w:pPr>
        <w:pStyle w:val="SP-SglSpPara"/>
        <w:numPr>
          <w:ilvl w:val="0"/>
          <w:numId w:val="3"/>
        </w:numPr>
        <w:spacing w:after="120"/>
        <w:ind w:left="936"/>
      </w:pPr>
      <w:r w:rsidRPr="00911756">
        <w:t xml:space="preserve">Items </w:t>
      </w:r>
      <w:r w:rsidR="007D030C">
        <w:t>1</w:t>
      </w:r>
      <w:r w:rsidRPr="00911756">
        <w:t xml:space="preserve">w and </w:t>
      </w:r>
      <w:r w:rsidR="007D030C">
        <w:t>1</w:t>
      </w:r>
      <w:r w:rsidRPr="00911756">
        <w:t xml:space="preserve">x ask about ways the students’ use of cell phones, text messaging devices, and social networking websites is controlled. </w:t>
      </w:r>
      <w:r w:rsidR="00931BCF" w:rsidRPr="00931BCF">
        <w:t xml:space="preserve">These items were </w:t>
      </w:r>
      <w:r w:rsidR="00C404F8">
        <w:t xml:space="preserve">included based on </w:t>
      </w:r>
      <w:r w:rsidR="00931BCF" w:rsidRPr="00931BCF">
        <w:t xml:space="preserve">a body of literature that suggests cyberbullying, harassment via electronic means, and aggression via student social networking sites is an area of concern in schools. </w:t>
      </w:r>
      <w:r w:rsidR="00C404F8">
        <w:t>T</w:t>
      </w:r>
      <w:r w:rsidR="00931BCF" w:rsidRPr="00931BCF">
        <w:t xml:space="preserve">hese items will </w:t>
      </w:r>
      <w:r w:rsidR="00C404F8">
        <w:t xml:space="preserve">collect information on </w:t>
      </w:r>
      <w:r w:rsidR="00931BCF" w:rsidRPr="00931BCF">
        <w:t xml:space="preserve">the prevalence of policies that may limit students’ ability to bully one another via electronic means. </w:t>
      </w:r>
    </w:p>
    <w:p w:rsidR="00911756" w:rsidRPr="00911756" w:rsidRDefault="00911756" w:rsidP="00911756">
      <w:pPr>
        <w:pStyle w:val="SP-SglSpPara"/>
      </w:pPr>
    </w:p>
    <w:p w:rsidR="008B79F3" w:rsidRPr="008B79F3" w:rsidRDefault="008B79F3" w:rsidP="008B79F3">
      <w:pPr>
        <w:pStyle w:val="SP-SglSpPara"/>
      </w:pPr>
      <w:r w:rsidRPr="008B79F3">
        <w:rPr>
          <w:b/>
        </w:rPr>
        <w:t xml:space="preserve">Question </w:t>
      </w:r>
      <w:r w:rsidR="00454C97">
        <w:rPr>
          <w:b/>
        </w:rPr>
        <w:t xml:space="preserve">2 </w:t>
      </w:r>
      <w:r w:rsidRPr="008B79F3">
        <w:t>asks about training provided by schools or districts for classroom teachers or aides. The types of training include classroom management; school-wide discipline policies and practices related to violence, bullying, and alcohol/drug use; safety procedures; recognizing signs of potentially violent students, bullying behavior, and substance abuse; positive behavioral intervention strategies; and crisis prevention and intervention. If schools obtain early warning signs of behavior issues, they may be able to reduce the likelihood of problems or crises (such as multiple shootings). The type of training provided to teachers is important because teachers collectively spend the most time with students and observe students closely.</w:t>
      </w:r>
    </w:p>
    <w:p w:rsidR="00911756" w:rsidRDefault="00911756" w:rsidP="00F36E4E">
      <w:pPr>
        <w:pStyle w:val="SP-SglSpPara"/>
      </w:pPr>
    </w:p>
    <w:p w:rsidR="00454C97" w:rsidRPr="00911756" w:rsidRDefault="00454C97" w:rsidP="00454C97">
      <w:pPr>
        <w:pStyle w:val="SP-SglSpPara"/>
      </w:pPr>
      <w:r w:rsidRPr="00C404F8">
        <w:rPr>
          <w:b/>
        </w:rPr>
        <w:t xml:space="preserve">Question </w:t>
      </w:r>
      <w:r>
        <w:rPr>
          <w:b/>
        </w:rPr>
        <w:t>3</w:t>
      </w:r>
      <w:r w:rsidRPr="00911756">
        <w:t xml:space="preserve"> asks about the existence of written plans for dealing with crises and if students have been drilled on these plans. When crises occur, there may not be time or an appropriate environment for making critical decisions, and key school leaders may not be available to immediately provide guidance. Thus, having a written plan is considered important in preparing schools to deal with crises effectively.</w:t>
      </w:r>
    </w:p>
    <w:p w:rsidR="00454C97" w:rsidRDefault="00454C97" w:rsidP="00454C97">
      <w:pPr>
        <w:pStyle w:val="SP-SglSpPara"/>
      </w:pPr>
    </w:p>
    <w:p w:rsidR="001B535D" w:rsidRPr="001B535D" w:rsidRDefault="00792F35" w:rsidP="001B535D">
      <w:pPr>
        <w:pStyle w:val="SP-SglSpPara"/>
      </w:pPr>
      <w:r>
        <w:rPr>
          <w:b/>
        </w:rPr>
        <w:t>Questions 4 through 6</w:t>
      </w:r>
      <w:r w:rsidR="001B535D" w:rsidRPr="001B535D">
        <w:t xml:space="preserve"> ask about the use of law enforcement or security </w:t>
      </w:r>
      <w:r w:rsidR="009D422B">
        <w:t xml:space="preserve">personnel </w:t>
      </w:r>
      <w:r w:rsidR="001B535D" w:rsidRPr="001B535D">
        <w:t>on the school grounds or at school events. Besides directly affecting school</w:t>
      </w:r>
      <w:r w:rsidR="001B535D">
        <w:t xml:space="preserve"> safety</w:t>
      </w:r>
      <w:r w:rsidR="001B535D" w:rsidRPr="001B535D">
        <w:t xml:space="preserve">, the use of law enforcement personnel also affects the school environment. It may help to prevent illegal actions, and reduce the amount of crime. It also may affect the feeling of security or freedom on school grounds. Thus, the </w:t>
      </w:r>
      <w:r w:rsidR="001B535D">
        <w:t>amount of time</w:t>
      </w:r>
      <w:r w:rsidR="001B535D" w:rsidRPr="001B535D">
        <w:t xml:space="preserve"> the law enforcement personnel are prese</w:t>
      </w:r>
      <w:r w:rsidR="001B535D">
        <w:t>nt and their visibility</w:t>
      </w:r>
      <w:r w:rsidR="001B535D" w:rsidRPr="001B535D">
        <w:t xml:space="preserve"> are important.</w:t>
      </w:r>
    </w:p>
    <w:p w:rsidR="00911756" w:rsidRDefault="00911756" w:rsidP="00F36E4E">
      <w:pPr>
        <w:pStyle w:val="SP-SglSpPara"/>
      </w:pPr>
    </w:p>
    <w:p w:rsidR="00D0535B" w:rsidRDefault="00792F35" w:rsidP="00D0535B">
      <w:pPr>
        <w:pStyle w:val="SP-SglSpPara"/>
      </w:pPr>
      <w:r>
        <w:rPr>
          <w:b/>
        </w:rPr>
        <w:t>Question 7</w:t>
      </w:r>
      <w:r w:rsidR="00D0535B" w:rsidRPr="00D0535B">
        <w:t xml:space="preserve"> asks about the frequency of </w:t>
      </w:r>
      <w:r w:rsidR="00153648">
        <w:t xml:space="preserve">several </w:t>
      </w:r>
      <w:r w:rsidR="00D0535B" w:rsidRPr="00D0535B">
        <w:t xml:space="preserve">kinds of disciplinary problems, providing a measure of the degree to which there are disciplinary problems at </w:t>
      </w:r>
      <w:r w:rsidR="00153648">
        <w:t xml:space="preserve">the </w:t>
      </w:r>
      <w:r w:rsidR="00D0535B" w:rsidRPr="00D0535B">
        <w:t>school.</w:t>
      </w:r>
      <w:r w:rsidR="00153648">
        <w:t xml:space="preserve"> </w:t>
      </w:r>
      <w:r w:rsidR="00D0535B" w:rsidRPr="00D0535B">
        <w:t xml:space="preserve">There is evidence that when these </w:t>
      </w:r>
      <w:r w:rsidR="00153648">
        <w:t xml:space="preserve">types of </w:t>
      </w:r>
      <w:r w:rsidR="00D0535B" w:rsidRPr="00D0535B">
        <w:t xml:space="preserve">violations are controlled, students do not progress to more serious disciplinary problems. This </w:t>
      </w:r>
      <w:r w:rsidR="00153648">
        <w:t xml:space="preserve">question </w:t>
      </w:r>
      <w:r w:rsidR="00D0535B" w:rsidRPr="00D0535B">
        <w:t>asks about the degree to which schools f</w:t>
      </w:r>
      <w:r w:rsidR="00153648">
        <w:t>ace such disciplinary problems and provides</w:t>
      </w:r>
      <w:r w:rsidR="00D0535B" w:rsidRPr="00D0535B">
        <w:t xml:space="preserve"> </w:t>
      </w:r>
      <w:r w:rsidR="00153648">
        <w:t xml:space="preserve">a </w:t>
      </w:r>
      <w:r w:rsidR="00D0535B" w:rsidRPr="00D0535B">
        <w:t xml:space="preserve">measure of the disciplinary situation in U.S. </w:t>
      </w:r>
      <w:r w:rsidR="00153648">
        <w:t xml:space="preserve">public </w:t>
      </w:r>
      <w:r w:rsidR="00D0535B" w:rsidRPr="00D0535B">
        <w:t>schools</w:t>
      </w:r>
      <w:r w:rsidR="00153648">
        <w:t>.</w:t>
      </w:r>
    </w:p>
    <w:p w:rsidR="00D41606" w:rsidRDefault="00D41606" w:rsidP="00D0535B">
      <w:pPr>
        <w:pStyle w:val="SP-SglSpPara"/>
      </w:pPr>
    </w:p>
    <w:p w:rsidR="00D41606" w:rsidRDefault="00090B18" w:rsidP="00D0535B">
      <w:pPr>
        <w:pStyle w:val="SP-SglSpPara"/>
      </w:pPr>
      <w:r w:rsidRPr="00090B18">
        <w:rPr>
          <w:b/>
        </w:rPr>
        <w:t>Question 8</w:t>
      </w:r>
      <w:r>
        <w:t xml:space="preserve"> asks about violent deaths, specifically homicides. Violent deaths get substantial attention by the media but are actually relatively rare, and there is evidence that (in general) schools are much safer than students’ neighboring communities.  Based on analyses of such previous data collected by the SSOC</w:t>
      </w:r>
      <w:r w:rsidR="00AA5274">
        <w:t>S</w:t>
      </w:r>
      <w:r>
        <w:t xml:space="preserve"> surveys, these crimes are rare events such that NCES is unable to report estimates per the Center’s statistical standards. Nonetheless, it is important to include the item in the questionnaire as these are significant incidents of crime that, at the very least, </w:t>
      </w:r>
      <w:r>
        <w:lastRenderedPageBreak/>
        <w:t>independent researchers can evaluate. Furthermore, the survey represents a comprehensive picture of the types of violence that can occur in schools, and the omission of violent deaths would be questioned by respondents who may have experienced such violence.</w:t>
      </w:r>
    </w:p>
    <w:p w:rsidR="00090B18" w:rsidRDefault="00090B18" w:rsidP="00D0535B">
      <w:pPr>
        <w:pStyle w:val="SP-SglSpPara"/>
      </w:pPr>
    </w:p>
    <w:p w:rsidR="00090B18" w:rsidRPr="00D0535B" w:rsidRDefault="00090B18" w:rsidP="00D0535B">
      <w:pPr>
        <w:pStyle w:val="SP-SglSpPara"/>
      </w:pPr>
      <w:r w:rsidRPr="00090B18">
        <w:rPr>
          <w:b/>
        </w:rPr>
        <w:t>Question 9</w:t>
      </w:r>
      <w:r>
        <w:t xml:space="preserve"> asks about the frequency </w:t>
      </w:r>
      <w:r w:rsidR="001731CA">
        <w:t xml:space="preserve">of various kinds of crimes, other than violent deaths, that occurred at school. The data can be used as an indicator of the degree of safety in U.S. public schools. </w:t>
      </w:r>
    </w:p>
    <w:p w:rsidR="00911756" w:rsidRDefault="00911756" w:rsidP="00F36E4E">
      <w:pPr>
        <w:pStyle w:val="SP-SglSpPara"/>
      </w:pPr>
    </w:p>
    <w:p w:rsidR="008126EA" w:rsidRPr="0079689D" w:rsidRDefault="0084228D" w:rsidP="0007508C">
      <w:pPr>
        <w:spacing w:after="0" w:line="240" w:lineRule="auto"/>
        <w:rPr>
          <w:rFonts w:ascii="Times New Roman" w:hAnsi="Times New Roman"/>
          <w:b/>
        </w:rPr>
      </w:pPr>
      <w:r>
        <w:rPr>
          <w:rFonts w:ascii="Times New Roman" w:hAnsi="Times New Roman"/>
          <w:b/>
        </w:rPr>
        <w:t>Survey Cost and T</w:t>
      </w:r>
      <w:r w:rsidR="008126EA" w:rsidRPr="0079689D">
        <w:rPr>
          <w:rFonts w:ascii="Times New Roman" w:hAnsi="Times New Roman"/>
          <w:b/>
        </w:rPr>
        <w:t>ime</w:t>
      </w:r>
      <w:r>
        <w:rPr>
          <w:rFonts w:ascii="Times New Roman" w:hAnsi="Times New Roman"/>
          <w:b/>
        </w:rPr>
        <w:t xml:space="preserve"> Schedule</w:t>
      </w:r>
    </w:p>
    <w:p w:rsidR="008126EA" w:rsidRPr="0079689D" w:rsidRDefault="008126EA" w:rsidP="00D550EA">
      <w:pPr>
        <w:spacing w:after="0" w:line="240" w:lineRule="atLeast"/>
        <w:rPr>
          <w:rFonts w:ascii="Times New Roman" w:hAnsi="Times New Roman"/>
          <w:b/>
        </w:rPr>
      </w:pPr>
    </w:p>
    <w:p w:rsidR="008126EA" w:rsidRDefault="00426C99" w:rsidP="00D550EA">
      <w:pPr>
        <w:spacing w:after="0" w:line="240" w:lineRule="atLeast"/>
        <w:ind w:firstLine="576"/>
        <w:rPr>
          <w:rFonts w:ascii="Times New Roman" w:hAnsi="Times New Roman"/>
        </w:rPr>
      </w:pPr>
      <w:r w:rsidRPr="00BB4AE4">
        <w:rPr>
          <w:rFonts w:ascii="Times New Roman" w:hAnsi="Times New Roman"/>
        </w:rPr>
        <w:t>For a sample size of 1,600, t</w:t>
      </w:r>
      <w:r w:rsidR="0084228D" w:rsidRPr="00BB4AE4">
        <w:rPr>
          <w:rFonts w:ascii="Times New Roman" w:hAnsi="Times New Roman"/>
        </w:rPr>
        <w:t>he survey is estimated to cost the federal government about $800,000, including about $750,000 for contractual costs and $50,000 for salaries and expenses.</w:t>
      </w:r>
      <w:r w:rsidRPr="00BB4AE4">
        <w:rPr>
          <w:rFonts w:ascii="Times New Roman" w:hAnsi="Times New Roman"/>
        </w:rPr>
        <w:t xml:space="preserve"> For a sample size of about 3,500, the survey is estimated to cost the federal government about $1.</w:t>
      </w:r>
      <w:r w:rsidR="000B50F2" w:rsidRPr="00BB4AE4">
        <w:rPr>
          <w:rFonts w:ascii="Times New Roman" w:hAnsi="Times New Roman"/>
        </w:rPr>
        <w:t>2</w:t>
      </w:r>
      <w:r w:rsidRPr="00BB4AE4">
        <w:rPr>
          <w:rFonts w:ascii="Times New Roman" w:hAnsi="Times New Roman"/>
        </w:rPr>
        <w:t xml:space="preserve"> million, including about $</w:t>
      </w:r>
      <w:r w:rsidR="001108C9" w:rsidRPr="00BB4AE4">
        <w:rPr>
          <w:rFonts w:ascii="Times New Roman" w:hAnsi="Times New Roman"/>
        </w:rPr>
        <w:t>1</w:t>
      </w:r>
      <w:r w:rsidR="000B50F2" w:rsidRPr="00BB4AE4">
        <w:rPr>
          <w:rFonts w:ascii="Times New Roman" w:hAnsi="Times New Roman"/>
        </w:rPr>
        <w:t>.1</w:t>
      </w:r>
      <w:r w:rsidR="001108C9" w:rsidRPr="00BB4AE4">
        <w:rPr>
          <w:rFonts w:ascii="Times New Roman" w:hAnsi="Times New Roman"/>
        </w:rPr>
        <w:t xml:space="preserve"> million</w:t>
      </w:r>
      <w:r w:rsidRPr="00BB4AE4">
        <w:rPr>
          <w:rFonts w:ascii="Times New Roman" w:hAnsi="Times New Roman"/>
        </w:rPr>
        <w:t xml:space="preserve"> for contractual costs and $</w:t>
      </w:r>
      <w:r w:rsidR="00C61CA3" w:rsidRPr="00BB4AE4">
        <w:rPr>
          <w:rFonts w:ascii="Times New Roman" w:hAnsi="Times New Roman"/>
        </w:rPr>
        <w:t>75</w:t>
      </w:r>
      <w:r w:rsidRPr="00BB4AE4">
        <w:rPr>
          <w:rFonts w:ascii="Times New Roman" w:hAnsi="Times New Roman"/>
        </w:rPr>
        <w:t>,000 for salaries and expenses.</w:t>
      </w:r>
      <w:r w:rsidR="0084228D" w:rsidRPr="00BB4AE4">
        <w:rPr>
          <w:rFonts w:ascii="Times New Roman" w:hAnsi="Times New Roman"/>
        </w:rPr>
        <w:t xml:space="preserve"> Contractual costs include the costs for survey preparation, data collection, data analysis, and report preparation.</w:t>
      </w:r>
    </w:p>
    <w:p w:rsidR="00B33FEE" w:rsidRDefault="00B33FEE" w:rsidP="00D550EA">
      <w:pPr>
        <w:spacing w:after="0" w:line="240" w:lineRule="atLeast"/>
        <w:ind w:firstLine="576"/>
        <w:rPr>
          <w:rFonts w:ascii="Times New Roman" w:hAnsi="Times New Roman"/>
        </w:rPr>
      </w:pPr>
    </w:p>
    <w:p w:rsidR="0084228D" w:rsidRDefault="0084228D" w:rsidP="00D550EA">
      <w:pPr>
        <w:spacing w:after="0" w:line="240" w:lineRule="atLeast"/>
        <w:ind w:firstLine="576"/>
        <w:rPr>
          <w:rFonts w:ascii="Times New Roman" w:hAnsi="Times New Roman"/>
        </w:rPr>
      </w:pPr>
      <w:r>
        <w:rPr>
          <w:rFonts w:ascii="Times New Roman" w:hAnsi="Times New Roman"/>
        </w:rPr>
        <w:t xml:space="preserve">Mailing of the survey is planned for February 2014.  About 3 weeks after mail out of the survey, Westat will begin telephone follow-up for nonresponse.  Data collection is scheduled for completion about </w:t>
      </w:r>
      <w:r w:rsidR="00AB6C98">
        <w:rPr>
          <w:rFonts w:ascii="Times New Roman" w:hAnsi="Times New Roman"/>
        </w:rPr>
        <w:t>20 weeks after initial mailout.</w:t>
      </w:r>
    </w:p>
    <w:p w:rsidR="00AB6C98" w:rsidRDefault="00AB6C98" w:rsidP="00D550EA">
      <w:pPr>
        <w:spacing w:after="0" w:line="240" w:lineRule="atLeast"/>
        <w:ind w:firstLine="576"/>
        <w:rPr>
          <w:rFonts w:ascii="Times New Roman" w:hAnsi="Times New Roman"/>
        </w:rPr>
      </w:pPr>
    </w:p>
    <w:p w:rsidR="00AB6C98" w:rsidRPr="003F5D02" w:rsidRDefault="003F5D02" w:rsidP="003F5D02">
      <w:pPr>
        <w:spacing w:after="0" w:line="240" w:lineRule="auto"/>
        <w:rPr>
          <w:rFonts w:ascii="Times New Roman" w:hAnsi="Times New Roman"/>
          <w:b/>
        </w:rPr>
      </w:pPr>
      <w:r w:rsidRPr="003F5D02">
        <w:rPr>
          <w:rFonts w:ascii="Times New Roman" w:hAnsi="Times New Roman"/>
          <w:b/>
        </w:rPr>
        <w:t>Plan for Tabulation and Publication</w:t>
      </w:r>
    </w:p>
    <w:p w:rsidR="003F5D02" w:rsidRDefault="003F5D02" w:rsidP="003F5D02">
      <w:pPr>
        <w:spacing w:after="0" w:line="240" w:lineRule="auto"/>
        <w:rPr>
          <w:rFonts w:ascii="Times New Roman" w:hAnsi="Times New Roman"/>
        </w:rPr>
      </w:pPr>
    </w:p>
    <w:p w:rsidR="003F5D02" w:rsidRDefault="004D2D1F" w:rsidP="003F5D02">
      <w:pPr>
        <w:spacing w:after="0" w:line="240" w:lineRule="atLeast"/>
        <w:ind w:firstLine="576"/>
        <w:rPr>
          <w:rFonts w:ascii="Times New Roman" w:hAnsi="Times New Roman"/>
        </w:rPr>
      </w:pPr>
      <w:r>
        <w:rPr>
          <w:rFonts w:ascii="Times New Roman" w:hAnsi="Times New Roman"/>
        </w:rPr>
        <w:t xml:space="preserve">The </w:t>
      </w:r>
      <w:r w:rsidRPr="004D2D1F">
        <w:rPr>
          <w:rFonts w:ascii="Times New Roman" w:hAnsi="Times New Roman"/>
          <w:i/>
        </w:rPr>
        <w:t>First Look</w:t>
      </w:r>
      <w:r>
        <w:rPr>
          <w:rFonts w:ascii="Times New Roman" w:hAnsi="Times New Roman"/>
        </w:rPr>
        <w:t xml:space="preserve"> report will be released on the NCES website in </w:t>
      </w:r>
      <w:r w:rsidR="00E861B5">
        <w:rPr>
          <w:rFonts w:ascii="Times New Roman" w:hAnsi="Times New Roman"/>
        </w:rPr>
        <w:t xml:space="preserve">the </w:t>
      </w:r>
      <w:r w:rsidR="003F17FE">
        <w:rPr>
          <w:rFonts w:ascii="Times New Roman" w:hAnsi="Times New Roman"/>
        </w:rPr>
        <w:t>summer of 2015 and include explanatory text and tables. Participating schools will be notified when NCES releases the report. A public use data file will also be released on the NCES website. Survey responses will be weighted to produce national estimates. Tabulations will</w:t>
      </w:r>
      <w:r w:rsidR="00004634">
        <w:rPr>
          <w:rFonts w:ascii="Times New Roman" w:hAnsi="Times New Roman"/>
        </w:rPr>
        <w:t xml:space="preserve"> be produced for each data item</w:t>
      </w:r>
      <w:r w:rsidR="003F17FE">
        <w:rPr>
          <w:rFonts w:ascii="Times New Roman" w:hAnsi="Times New Roman"/>
        </w:rPr>
        <w:t xml:space="preserve">. Cross-tabulations of data items will be made with selected classification variables, such as instructional level of the school, school enrollment size, </w:t>
      </w:r>
      <w:r w:rsidR="00475B37">
        <w:rPr>
          <w:rFonts w:ascii="Times New Roman" w:hAnsi="Times New Roman"/>
        </w:rPr>
        <w:t xml:space="preserve">urbanicity </w:t>
      </w:r>
      <w:r w:rsidR="003F17FE">
        <w:rPr>
          <w:rFonts w:ascii="Times New Roman" w:hAnsi="Times New Roman"/>
        </w:rPr>
        <w:t xml:space="preserve">(locale), </w:t>
      </w:r>
      <w:r w:rsidR="00475B37">
        <w:rPr>
          <w:rFonts w:ascii="Times New Roman" w:hAnsi="Times New Roman"/>
        </w:rPr>
        <w:t xml:space="preserve">and percent </w:t>
      </w:r>
      <w:r w:rsidR="00EB5C10">
        <w:rPr>
          <w:rFonts w:ascii="Times New Roman" w:hAnsi="Times New Roman"/>
        </w:rPr>
        <w:t xml:space="preserve">White </w:t>
      </w:r>
      <w:r w:rsidR="00475B37">
        <w:rPr>
          <w:rFonts w:ascii="Times New Roman" w:hAnsi="Times New Roman"/>
        </w:rPr>
        <w:t>enrollment. These are the same classification variables used for the SSOCS reports.</w:t>
      </w:r>
    </w:p>
    <w:p w:rsidR="00475B37" w:rsidRDefault="00475B37" w:rsidP="003F5D02">
      <w:pPr>
        <w:spacing w:after="0" w:line="240" w:lineRule="atLeast"/>
        <w:ind w:firstLine="576"/>
        <w:rPr>
          <w:rFonts w:ascii="Times New Roman" w:hAnsi="Times New Roman"/>
        </w:rPr>
      </w:pPr>
    </w:p>
    <w:p w:rsidR="00475B37" w:rsidRDefault="00475B37" w:rsidP="003F5D02">
      <w:pPr>
        <w:spacing w:after="0" w:line="240" w:lineRule="atLeast"/>
        <w:ind w:firstLine="576"/>
        <w:rPr>
          <w:rFonts w:ascii="Times New Roman" w:hAnsi="Times New Roman"/>
        </w:rPr>
      </w:pPr>
    </w:p>
    <w:p w:rsidR="00475B37" w:rsidRPr="00475B37" w:rsidRDefault="00475B37" w:rsidP="00475B37">
      <w:pPr>
        <w:spacing w:line="240" w:lineRule="auto"/>
        <w:rPr>
          <w:rFonts w:ascii="Times New Roman" w:hAnsi="Times New Roman"/>
          <w:b/>
          <w:sz w:val="28"/>
          <w:szCs w:val="28"/>
        </w:rPr>
      </w:pPr>
      <w:r w:rsidRPr="00475B37">
        <w:rPr>
          <w:rFonts w:ascii="Times New Roman" w:hAnsi="Times New Roman"/>
          <w:b/>
          <w:sz w:val="28"/>
          <w:szCs w:val="28"/>
        </w:rPr>
        <w:t>Statistical Methodology</w:t>
      </w:r>
    </w:p>
    <w:p w:rsidR="003F5D02" w:rsidRPr="00475B37" w:rsidRDefault="00475B37" w:rsidP="00475B37">
      <w:pPr>
        <w:spacing w:after="0" w:line="240" w:lineRule="auto"/>
        <w:rPr>
          <w:rFonts w:ascii="Times New Roman" w:hAnsi="Times New Roman"/>
          <w:b/>
        </w:rPr>
      </w:pPr>
      <w:r w:rsidRPr="00475B37">
        <w:rPr>
          <w:rFonts w:ascii="Times New Roman" w:hAnsi="Times New Roman"/>
          <w:b/>
        </w:rPr>
        <w:t>Reviewing Statisticians</w:t>
      </w:r>
    </w:p>
    <w:p w:rsidR="00475B37" w:rsidRDefault="00475B37" w:rsidP="00475B37">
      <w:pPr>
        <w:spacing w:after="0" w:line="240" w:lineRule="auto"/>
        <w:rPr>
          <w:rFonts w:ascii="Times New Roman" w:hAnsi="Times New Roman"/>
        </w:rPr>
      </w:pPr>
    </w:p>
    <w:p w:rsidR="00377C61" w:rsidRDefault="00751829" w:rsidP="00004634">
      <w:pPr>
        <w:spacing w:after="0" w:line="240" w:lineRule="atLeast"/>
        <w:ind w:firstLine="576"/>
        <w:rPr>
          <w:rFonts w:ascii="Times New Roman" w:hAnsi="Times New Roman"/>
        </w:rPr>
      </w:pPr>
      <w:r>
        <w:rPr>
          <w:rFonts w:ascii="Times New Roman" w:hAnsi="Times New Roman"/>
        </w:rPr>
        <w:t xml:space="preserve">Chris Chapman, of NCES, is the Project Officer for this survey. </w:t>
      </w:r>
      <w:r w:rsidR="00EB5C10">
        <w:rPr>
          <w:rFonts w:ascii="Times New Roman" w:hAnsi="Times New Roman"/>
        </w:rPr>
        <w:t xml:space="preserve">Kathryn Chandler, NCES Project Director of the SSOCS, was consulted about both survey content and design. </w:t>
      </w:r>
      <w:r>
        <w:rPr>
          <w:rFonts w:ascii="Times New Roman" w:hAnsi="Times New Roman"/>
        </w:rPr>
        <w:t>Adam Chu, Senior Statistician, Westat, was consulted about the statistical aspects of the design. Westat is the contractor currently conducting the QRIS surveys for NCES.</w:t>
      </w:r>
    </w:p>
    <w:p w:rsidR="00004634" w:rsidRPr="00004634" w:rsidRDefault="00004634" w:rsidP="00004634">
      <w:pPr>
        <w:spacing w:after="0" w:line="240" w:lineRule="atLeast"/>
        <w:ind w:firstLine="576"/>
        <w:rPr>
          <w:rFonts w:ascii="Times New Roman" w:hAnsi="Times New Roman"/>
        </w:rPr>
      </w:pPr>
    </w:p>
    <w:p w:rsidR="00377C61" w:rsidRPr="00847D4A" w:rsidRDefault="00377C61" w:rsidP="00847D4A">
      <w:pPr>
        <w:spacing w:after="0" w:line="240" w:lineRule="auto"/>
        <w:rPr>
          <w:rFonts w:ascii="Times New Roman" w:hAnsi="Times New Roman"/>
          <w:b/>
        </w:rPr>
      </w:pPr>
      <w:r w:rsidRPr="00847D4A">
        <w:rPr>
          <w:rFonts w:ascii="Times New Roman" w:hAnsi="Times New Roman"/>
          <w:b/>
        </w:rPr>
        <w:t>Sample Design</w:t>
      </w:r>
    </w:p>
    <w:p w:rsidR="00847D4A" w:rsidRPr="00847D4A" w:rsidRDefault="00847D4A" w:rsidP="00847D4A">
      <w:pPr>
        <w:spacing w:after="0" w:line="240" w:lineRule="atLeast"/>
        <w:ind w:firstLine="576"/>
        <w:rPr>
          <w:rFonts w:ascii="Times New Roman" w:hAnsi="Times New Roman"/>
        </w:rPr>
      </w:pPr>
    </w:p>
    <w:p w:rsidR="00377C61" w:rsidRDefault="00377C61" w:rsidP="00847D4A">
      <w:pPr>
        <w:spacing w:after="0" w:line="240" w:lineRule="atLeast"/>
        <w:ind w:firstLine="576"/>
        <w:rPr>
          <w:rFonts w:ascii="Times New Roman" w:hAnsi="Times New Roman"/>
        </w:rPr>
      </w:pPr>
      <w:r w:rsidRPr="00847D4A">
        <w:rPr>
          <w:rFonts w:ascii="Times New Roman" w:hAnsi="Times New Roman"/>
        </w:rPr>
        <w:t xml:space="preserve">The sample design for the proposed FRSS survey School Safety and Discipline: 2013–14 </w:t>
      </w:r>
      <w:r w:rsidR="00EB5C10">
        <w:rPr>
          <w:rFonts w:ascii="Times New Roman" w:hAnsi="Times New Roman"/>
        </w:rPr>
        <w:t>is</w:t>
      </w:r>
      <w:r w:rsidRPr="00847D4A">
        <w:rPr>
          <w:rFonts w:ascii="Times New Roman" w:hAnsi="Times New Roman"/>
        </w:rPr>
        <w:t xml:space="preserve"> similar to the design used in previous iterations of NCES’s School Survey on Crime and Safety (SSOCS). The general goals of the sample design are to obtain nationally-representative samples of public schools for each of three instructional levels (elementary, middle, and secondary/combined) and to provide estimates of key variables that are subject to a coefficient of variation (CV) of approximately 5 to 7 percent. </w:t>
      </w:r>
      <w:r w:rsidR="00EB5C10">
        <w:rPr>
          <w:rFonts w:ascii="Times New Roman" w:hAnsi="Times New Roman"/>
        </w:rPr>
        <w:t>Compared to</w:t>
      </w:r>
      <w:r w:rsidR="00EB5C10" w:rsidRPr="00847D4A">
        <w:rPr>
          <w:rFonts w:ascii="Times New Roman" w:hAnsi="Times New Roman"/>
        </w:rPr>
        <w:t xml:space="preserve"> </w:t>
      </w:r>
      <w:r w:rsidRPr="00847D4A">
        <w:rPr>
          <w:rFonts w:ascii="Times New Roman" w:hAnsi="Times New Roman"/>
        </w:rPr>
        <w:t xml:space="preserve">prior SSOCS surveys, the proposed FRSS survey </w:t>
      </w:r>
      <w:r w:rsidR="00EB5C10">
        <w:rPr>
          <w:rFonts w:ascii="Times New Roman" w:hAnsi="Times New Roman"/>
        </w:rPr>
        <w:t>is</w:t>
      </w:r>
      <w:r w:rsidRPr="00847D4A">
        <w:rPr>
          <w:rFonts w:ascii="Times New Roman" w:hAnsi="Times New Roman"/>
        </w:rPr>
        <w:t xml:space="preserve"> much shorter, focusing mainly on school practices and programs</w:t>
      </w:r>
      <w:r w:rsidR="00B71720">
        <w:rPr>
          <w:rFonts w:ascii="Times New Roman" w:hAnsi="Times New Roman"/>
        </w:rPr>
        <w:t>, with collection of a limited number of crime statistics</w:t>
      </w:r>
      <w:r w:rsidRPr="00847D4A">
        <w:rPr>
          <w:rFonts w:ascii="Times New Roman" w:hAnsi="Times New Roman"/>
        </w:rPr>
        <w:t>. The level of funding for the proposed survey is currently under review. Therefore, two options are presented: a basic option with an initial sample size of 1,600 schools, and an enhanced option with an initial sample size of 3,500 schools. Except for the difference in sample size, the general approach to sampling will be the same for both options. Assuming an 85 percent response rate, the proposed sample sizes will yield an estimated 1,360 responding schools under the basic option, and 2,975 responding schools under the enhanced option. In the following sections, we describe the respondent universe and corresponding sampling frame, the proposed allocation of the sample to the three instructional levels, the method of stratification and sample selection, and the expected levels of precision under the specified design.</w:t>
      </w:r>
    </w:p>
    <w:p w:rsidR="00847D4A" w:rsidRPr="00847D4A" w:rsidRDefault="00847D4A" w:rsidP="00847D4A">
      <w:pPr>
        <w:spacing w:after="0" w:line="240" w:lineRule="atLeast"/>
        <w:ind w:firstLine="576"/>
        <w:rPr>
          <w:rFonts w:ascii="Times New Roman" w:hAnsi="Times New Roman"/>
        </w:rPr>
      </w:pPr>
    </w:p>
    <w:p w:rsidR="00377C61" w:rsidRDefault="00377C61" w:rsidP="00847D4A">
      <w:pPr>
        <w:spacing w:after="0" w:line="240" w:lineRule="auto"/>
        <w:rPr>
          <w:rFonts w:ascii="Times New Roman" w:hAnsi="Times New Roman"/>
          <w:b/>
        </w:rPr>
      </w:pPr>
      <w:r w:rsidRPr="00847D4A">
        <w:rPr>
          <w:rFonts w:ascii="Times New Roman" w:hAnsi="Times New Roman"/>
          <w:b/>
        </w:rPr>
        <w:t>Respondent Universe</w:t>
      </w:r>
    </w:p>
    <w:p w:rsidR="00847D4A" w:rsidRPr="00847D4A" w:rsidRDefault="00847D4A" w:rsidP="00847D4A">
      <w:pPr>
        <w:spacing w:after="0" w:line="240" w:lineRule="auto"/>
        <w:rPr>
          <w:rFonts w:ascii="Times New Roman" w:hAnsi="Times New Roman"/>
          <w:b/>
        </w:rPr>
      </w:pPr>
    </w:p>
    <w:p w:rsidR="00377C61" w:rsidRDefault="00377C61" w:rsidP="00847D4A">
      <w:pPr>
        <w:spacing w:after="0" w:line="240" w:lineRule="atLeast"/>
        <w:ind w:firstLine="576"/>
        <w:rPr>
          <w:rFonts w:ascii="Times New Roman" w:hAnsi="Times New Roman"/>
        </w:rPr>
      </w:pPr>
      <w:r w:rsidRPr="00847D4A">
        <w:rPr>
          <w:rFonts w:ascii="Times New Roman" w:hAnsi="Times New Roman"/>
        </w:rPr>
        <w:t xml:space="preserve">The respondent universe for the FRSS survey on school safety includes all regular public schools operating in the United States. The sampling frame will be developed from the most recent NCES Common Core of Data (CCD) Public School Universe File. As indicated in Table </w:t>
      </w:r>
      <w:r w:rsidR="00CF5878">
        <w:rPr>
          <w:rFonts w:ascii="Times New Roman" w:hAnsi="Times New Roman"/>
        </w:rPr>
        <w:t>3</w:t>
      </w:r>
      <w:r w:rsidRPr="00847D4A">
        <w:rPr>
          <w:rFonts w:ascii="Times New Roman" w:hAnsi="Times New Roman"/>
        </w:rPr>
        <w:t xml:space="preserve">, there are 86,753 regular schools included in the 2010–2011 CCD universe file, of which 50,990 are elementary schools, 16,577 are middle schools, and 19,186 are high schools or schools with combined elementary/secondary grades. Table </w:t>
      </w:r>
      <w:r w:rsidR="00CF5878">
        <w:rPr>
          <w:rFonts w:ascii="Times New Roman" w:hAnsi="Times New Roman"/>
        </w:rPr>
        <w:t>4</w:t>
      </w:r>
      <w:r w:rsidRPr="00847D4A">
        <w:rPr>
          <w:rFonts w:ascii="Times New Roman" w:hAnsi="Times New Roman"/>
        </w:rPr>
        <w:t xml:space="preserve"> summarizes how the three instructional levels will be defined for sampling purposes based on the grades taught in the school. Note that the counts of schools in Table </w:t>
      </w:r>
      <w:r w:rsidR="00CF5878">
        <w:rPr>
          <w:rFonts w:ascii="Times New Roman" w:hAnsi="Times New Roman"/>
        </w:rPr>
        <w:t>3</w:t>
      </w:r>
      <w:r w:rsidRPr="00847D4A">
        <w:rPr>
          <w:rFonts w:ascii="Times New Roman" w:hAnsi="Times New Roman"/>
        </w:rPr>
        <w:t xml:space="preserve"> pertain only to the 86,753 “regular” schools in the CCD file, and exclude special education, vocational, and alternative/other non-regular schools. Schools with a high grade of kindergarten or lower, ungraded schools, and schools in the outlying U.S. territories are also ineligible for the survey and are excluded from the counts in the table.</w:t>
      </w:r>
    </w:p>
    <w:p w:rsidR="00847D4A" w:rsidRPr="00847D4A" w:rsidRDefault="00847D4A" w:rsidP="00847D4A">
      <w:pPr>
        <w:spacing w:after="0" w:line="240" w:lineRule="atLeast"/>
        <w:ind w:firstLine="576"/>
        <w:rPr>
          <w:rFonts w:ascii="Times New Roman" w:hAnsi="Times New Roman"/>
        </w:rPr>
      </w:pPr>
    </w:p>
    <w:p w:rsidR="00377C61" w:rsidRDefault="00377C61" w:rsidP="00847D4A">
      <w:pPr>
        <w:spacing w:after="0" w:line="240" w:lineRule="auto"/>
        <w:rPr>
          <w:rFonts w:ascii="Times New Roman" w:hAnsi="Times New Roman"/>
          <w:b/>
        </w:rPr>
      </w:pPr>
      <w:r w:rsidRPr="00847D4A">
        <w:rPr>
          <w:rFonts w:ascii="Times New Roman" w:hAnsi="Times New Roman"/>
          <w:b/>
        </w:rPr>
        <w:t>Sample Allocation</w:t>
      </w:r>
    </w:p>
    <w:p w:rsidR="00847D4A" w:rsidRPr="00847D4A" w:rsidRDefault="00847D4A" w:rsidP="00847D4A">
      <w:pPr>
        <w:spacing w:after="0" w:line="240" w:lineRule="auto"/>
        <w:rPr>
          <w:rFonts w:ascii="Times New Roman" w:hAnsi="Times New Roman"/>
          <w:b/>
        </w:rPr>
      </w:pPr>
    </w:p>
    <w:p w:rsidR="00377C61" w:rsidRPr="00847D4A" w:rsidRDefault="00377C61" w:rsidP="00847D4A">
      <w:pPr>
        <w:spacing w:after="0" w:line="240" w:lineRule="atLeast"/>
        <w:ind w:firstLine="576"/>
        <w:rPr>
          <w:rFonts w:ascii="Times New Roman" w:hAnsi="Times New Roman"/>
        </w:rPr>
      </w:pPr>
      <w:r w:rsidRPr="00847D4A">
        <w:rPr>
          <w:rFonts w:ascii="Times New Roman" w:hAnsi="Times New Roman"/>
        </w:rPr>
        <w:t xml:space="preserve">In general, allocating the total sample to the three instructional levels in proportion to the numbers of schools in the population would be inefficient for the proposed survey because it would lead to a very large sample of elementary schools and relatively few middle schools (e.g., see Table </w:t>
      </w:r>
      <w:r w:rsidR="00CF5878">
        <w:rPr>
          <w:rFonts w:ascii="Times New Roman" w:hAnsi="Times New Roman"/>
        </w:rPr>
        <w:t>3</w:t>
      </w:r>
      <w:r w:rsidRPr="00847D4A">
        <w:rPr>
          <w:rFonts w:ascii="Times New Roman" w:hAnsi="Times New Roman"/>
        </w:rPr>
        <w:t>). An alternative approach that would better support the analytic goals of the study would therefore be to “undersample” elementary schools (where the prevalence of school safety and discipline problems may be relatively low) and to “oversample” middle and secondary/combined schools (where problems are expected to be higher). For example, in the 2010 SSOCS, approximately 25 percent of the total sample was allocated to the elementary school stratum, 35 percent to the middle school stratum, and 40 percent to the secondary/combined school stratum. While such an allocation ensures that relatively robust samples of middle and secondary/combined schools are obtained for analysis purposes, it will result in relatively large overall design effects resulting from the disproportionate allocation of the sample to strata. The design effect reflects the increase in sampling variance as compared with a self-weighting (equal probability) sample of the same size. For example, under the SSOCS allocation, design effects would range from 1.08 to 1.27 for the three instructional levels and up to 1.75 for the total (overall) sample and subgroups that include all three instructional levels (e.g., subgroups defined by urbanicity or minority status).</w:t>
      </w:r>
    </w:p>
    <w:p w:rsidR="00377C61" w:rsidRPr="00847D4A" w:rsidRDefault="00377C61" w:rsidP="00847D4A">
      <w:pPr>
        <w:spacing w:after="0" w:line="240" w:lineRule="atLeast"/>
        <w:ind w:firstLine="576"/>
        <w:rPr>
          <w:rFonts w:ascii="Times New Roman" w:hAnsi="Times New Roman"/>
        </w:rPr>
      </w:pPr>
    </w:p>
    <w:p w:rsidR="00377C61" w:rsidRPr="00847D4A" w:rsidRDefault="00377C61" w:rsidP="00847D4A">
      <w:pPr>
        <w:spacing w:after="0" w:line="240" w:lineRule="atLeast"/>
        <w:ind w:firstLine="576"/>
        <w:rPr>
          <w:rFonts w:ascii="Times New Roman" w:hAnsi="Times New Roman"/>
        </w:rPr>
      </w:pPr>
      <w:r w:rsidRPr="00847D4A">
        <w:rPr>
          <w:rFonts w:ascii="Times New Roman" w:hAnsi="Times New Roman"/>
        </w:rPr>
        <w:t xml:space="preserve">To mitigate the design effects expected under the 25-35-40 percent allocation used in SSOCS, the allocation to the three instructional levels can be modified somewhat to improve the precision of overall estimates while still maintaining reasonably good precision for the three levels. </w:t>
      </w:r>
      <w:r w:rsidR="004D1E72">
        <w:rPr>
          <w:rFonts w:ascii="Times New Roman" w:hAnsi="Times New Roman"/>
        </w:rPr>
        <w:t>W</w:t>
      </w:r>
      <w:r w:rsidRPr="00847D4A">
        <w:rPr>
          <w:rFonts w:ascii="Times New Roman" w:hAnsi="Times New Roman"/>
        </w:rPr>
        <w:t>e propose to allocate the samples to the three levels in roughly the following percentages: 35-30-35. Compared with the SSOCS design, the proposed allocation increases the share of the samples of elementary schools to about 35 percent of the total sample, while moderately reducing the share of middle and secondary schools. The proposed allocation is expected to result in an appreciable reduction in the overall design effects (1.37 under the proposed design compared with 1.74 under the SSOCS allocation).</w:t>
      </w:r>
    </w:p>
    <w:p w:rsidR="00377C61" w:rsidRPr="00847D4A" w:rsidRDefault="00377C61" w:rsidP="00847D4A">
      <w:pPr>
        <w:spacing w:after="0" w:line="240" w:lineRule="atLeast"/>
        <w:ind w:firstLine="576"/>
        <w:rPr>
          <w:rFonts w:ascii="Times New Roman" w:hAnsi="Times New Roman"/>
        </w:rPr>
      </w:pPr>
    </w:p>
    <w:p w:rsidR="00377C61" w:rsidRPr="00847D4A" w:rsidRDefault="00377C61" w:rsidP="00847D4A">
      <w:pPr>
        <w:spacing w:after="0" w:line="240" w:lineRule="auto"/>
        <w:rPr>
          <w:rFonts w:ascii="Times New Roman" w:hAnsi="Times New Roman"/>
          <w:b/>
        </w:rPr>
      </w:pPr>
      <w:r w:rsidRPr="00847D4A">
        <w:rPr>
          <w:rFonts w:ascii="Times New Roman" w:hAnsi="Times New Roman"/>
          <w:b/>
        </w:rPr>
        <w:t>Sample Stratification and Selection</w:t>
      </w:r>
    </w:p>
    <w:p w:rsidR="00377C61" w:rsidRPr="00847D4A" w:rsidRDefault="00377C61" w:rsidP="00847D4A">
      <w:pPr>
        <w:spacing w:after="0" w:line="240" w:lineRule="atLeast"/>
        <w:ind w:firstLine="576"/>
        <w:rPr>
          <w:rFonts w:ascii="Times New Roman" w:hAnsi="Times New Roman"/>
        </w:rPr>
      </w:pPr>
    </w:p>
    <w:p w:rsidR="00377C61" w:rsidRPr="00847D4A" w:rsidRDefault="00377C61" w:rsidP="00847D4A">
      <w:pPr>
        <w:spacing w:after="0" w:line="240" w:lineRule="atLeast"/>
        <w:ind w:firstLine="576"/>
        <w:rPr>
          <w:rFonts w:ascii="Times New Roman" w:hAnsi="Times New Roman"/>
        </w:rPr>
      </w:pPr>
      <w:r w:rsidRPr="00847D4A">
        <w:rPr>
          <w:rFonts w:ascii="Times New Roman" w:hAnsi="Times New Roman"/>
        </w:rPr>
        <w:t xml:space="preserve">For sampling purposes, strata will be defined by crossing instructional level (elementary, middle, and secondary/combined) with four enrollment size classes (less than 300, 300 to 499, 500 to 999, and 1,000+) and four urbanicity categories (city, suburb, town, rural). Within each sampling stratum, schools will be sorted by region and categories of percent </w:t>
      </w:r>
      <w:r w:rsidR="00795F7E">
        <w:rPr>
          <w:rFonts w:ascii="Times New Roman" w:hAnsi="Times New Roman"/>
        </w:rPr>
        <w:t>W</w:t>
      </w:r>
      <w:r w:rsidR="00646656">
        <w:rPr>
          <w:rFonts w:ascii="Times New Roman" w:hAnsi="Times New Roman"/>
        </w:rPr>
        <w:t>hite</w:t>
      </w:r>
      <w:r w:rsidR="00646656" w:rsidRPr="00847D4A">
        <w:rPr>
          <w:rFonts w:ascii="Times New Roman" w:hAnsi="Times New Roman"/>
        </w:rPr>
        <w:t xml:space="preserve"> </w:t>
      </w:r>
      <w:r w:rsidRPr="00847D4A">
        <w:rPr>
          <w:rFonts w:ascii="Times New Roman" w:hAnsi="Times New Roman"/>
        </w:rPr>
        <w:t xml:space="preserve">enrollment prior to sample selection to induce additional implicit stratification. For each instructional level, the specified total sample size will be allocated to strata in rough proportion to the aggregate square root of the enrollment of the schools in the stratum. The use of the square root of enrollment for sample allocation purposes is a compromise between proportional allocation (which is approximately optimal for estimating the number or proportion of schools with a specified characteristic), and allocation in proportion to enrollment (which is approximately optimal for numeric variables that are correlated with school size; e.g., the number of students in schools with controlled access or other practices). After the stratum sample sizes have been determined, the required numbers of schools will be selected systematically from the sorted file using independent random starts and a fixed sampling rate within each stratum. In addition to analyses by instructional level, the sample design will permit separate analysis (along a single dimension) by enrollment size class (four categories) </w:t>
      </w:r>
      <w:r w:rsidRPr="00847D4A">
        <w:rPr>
          <w:rFonts w:ascii="Times New Roman" w:hAnsi="Times New Roman"/>
        </w:rPr>
        <w:lastRenderedPageBreak/>
        <w:t xml:space="preserve">and urbanicity (four categories). Subgroup analysis of categories based on percent </w:t>
      </w:r>
      <w:r w:rsidR="00795F7E">
        <w:rPr>
          <w:rFonts w:ascii="Times New Roman" w:hAnsi="Times New Roman"/>
        </w:rPr>
        <w:t>W</w:t>
      </w:r>
      <w:r w:rsidRPr="00847D4A">
        <w:rPr>
          <w:rFonts w:ascii="Times New Roman" w:hAnsi="Times New Roman"/>
        </w:rPr>
        <w:t xml:space="preserve">hite enrollment is also possible, although the number of schools in the highest percent </w:t>
      </w:r>
      <w:r w:rsidR="00795F7E">
        <w:rPr>
          <w:rFonts w:ascii="Times New Roman" w:hAnsi="Times New Roman"/>
        </w:rPr>
        <w:t>W</w:t>
      </w:r>
      <w:r w:rsidRPr="00847D4A">
        <w:rPr>
          <w:rFonts w:ascii="Times New Roman" w:hAnsi="Times New Roman"/>
        </w:rPr>
        <w:t xml:space="preserve">hite category (more than 95 percent </w:t>
      </w:r>
      <w:r w:rsidR="00795F7E">
        <w:rPr>
          <w:rFonts w:ascii="Times New Roman" w:hAnsi="Times New Roman"/>
        </w:rPr>
        <w:t>W</w:t>
      </w:r>
      <w:r w:rsidRPr="00847D4A">
        <w:rPr>
          <w:rFonts w:ascii="Times New Roman" w:hAnsi="Times New Roman"/>
        </w:rPr>
        <w:t>hite) will be relatively small under the proposed sample allocation.</w:t>
      </w:r>
    </w:p>
    <w:p w:rsidR="00377C61" w:rsidRPr="00847D4A" w:rsidRDefault="00377C61" w:rsidP="00847D4A">
      <w:pPr>
        <w:spacing w:after="0" w:line="240" w:lineRule="atLeast"/>
        <w:ind w:firstLine="576"/>
        <w:rPr>
          <w:rFonts w:ascii="Times New Roman" w:hAnsi="Times New Roman"/>
        </w:rPr>
      </w:pPr>
    </w:p>
    <w:p w:rsidR="00377C61" w:rsidRPr="00847D4A" w:rsidRDefault="00377C61" w:rsidP="00847D4A">
      <w:pPr>
        <w:spacing w:after="0" w:line="240" w:lineRule="auto"/>
        <w:rPr>
          <w:rFonts w:ascii="Times New Roman" w:hAnsi="Times New Roman"/>
          <w:b/>
        </w:rPr>
      </w:pPr>
      <w:r w:rsidRPr="00847D4A">
        <w:rPr>
          <w:rFonts w:ascii="Times New Roman" w:hAnsi="Times New Roman"/>
          <w:b/>
        </w:rPr>
        <w:t>Expected Levels of Precision</w:t>
      </w:r>
    </w:p>
    <w:p w:rsidR="00377C61" w:rsidRPr="00847D4A" w:rsidRDefault="00377C61" w:rsidP="00847D4A">
      <w:pPr>
        <w:spacing w:after="0" w:line="240" w:lineRule="atLeast"/>
        <w:ind w:firstLine="576"/>
        <w:rPr>
          <w:rFonts w:ascii="Times New Roman" w:hAnsi="Times New Roman"/>
        </w:rPr>
      </w:pPr>
    </w:p>
    <w:p w:rsidR="00377C61" w:rsidRPr="00847D4A" w:rsidRDefault="00377C61" w:rsidP="00847D4A">
      <w:pPr>
        <w:spacing w:after="0" w:line="240" w:lineRule="atLeast"/>
        <w:ind w:firstLine="576"/>
        <w:rPr>
          <w:rFonts w:ascii="Times New Roman" w:hAnsi="Times New Roman"/>
        </w:rPr>
      </w:pPr>
      <w:r w:rsidRPr="00847D4A">
        <w:rPr>
          <w:rFonts w:ascii="Times New Roman" w:hAnsi="Times New Roman"/>
        </w:rPr>
        <w:t xml:space="preserve">Assuming an overall response rate of 85 percent, an initial sample size of 1,600 schools under the basic option will yield approximately 1,360 completed questionnaires, while an initial sample size of 3,500 schools under the enhanced option will yield approximately 2,975 completed questionnaires. The approximate sample sizes and the corresponding coefficients of variation (CV) to be expected under the two proposed design options are summarized in Tables </w:t>
      </w:r>
      <w:r w:rsidR="00CF5878">
        <w:rPr>
          <w:rFonts w:ascii="Times New Roman" w:hAnsi="Times New Roman"/>
        </w:rPr>
        <w:t>5</w:t>
      </w:r>
      <w:r w:rsidRPr="00847D4A">
        <w:rPr>
          <w:rFonts w:ascii="Times New Roman" w:hAnsi="Times New Roman"/>
        </w:rPr>
        <w:t xml:space="preserve">A and </w:t>
      </w:r>
      <w:r w:rsidR="00CF5878">
        <w:rPr>
          <w:rFonts w:ascii="Times New Roman" w:hAnsi="Times New Roman"/>
        </w:rPr>
        <w:t>5</w:t>
      </w:r>
      <w:r w:rsidRPr="00847D4A">
        <w:rPr>
          <w:rFonts w:ascii="Times New Roman" w:hAnsi="Times New Roman"/>
        </w:rPr>
        <w:t>B. Since the sample sizes in these tables are derived from preliminary tabulations of the 2010–2011 CCD file</w:t>
      </w:r>
      <w:r w:rsidRPr="00CF5878">
        <w:rPr>
          <w:rFonts w:ascii="Times New Roman" w:hAnsi="Times New Roman"/>
        </w:rPr>
        <w:t>,</w:t>
      </w:r>
      <w:r w:rsidRPr="00217C1C">
        <w:rPr>
          <w:rFonts w:ascii="Times New Roman" w:hAnsi="Times New Roman"/>
          <w:vertAlign w:val="superscript"/>
        </w:rPr>
        <w:footnoteReference w:id="3"/>
      </w:r>
      <w:r w:rsidRPr="00C44AF0">
        <w:rPr>
          <w:rFonts w:ascii="Times New Roman" w:hAnsi="Times New Roman"/>
          <w:vertAlign w:val="superscript"/>
        </w:rPr>
        <w:t xml:space="preserve"> </w:t>
      </w:r>
      <w:r w:rsidRPr="00847D4A">
        <w:rPr>
          <w:rFonts w:ascii="Times New Roman" w:hAnsi="Times New Roman"/>
        </w:rPr>
        <w:t>the actual sample sizes may differ somewhat from those shown. Also, note that the sample sizes represent the expected numbers of completed questionnaires (respondents), and not the numbers of schools to be selected. The coefficient of variation represents the expected relative standard error of an estimated proportion, and can be converted to approximate 95 percent relative confidence bounds by multiplying the entries by 2. Cells for which the CV is greater than 0.075 (i.e., greater than 7.5 percent) are highlighted. Under the basic option (Table 3A), a CV under 0.07 will be difficult to achieve for underlying population proportions that are smaller than 0.50 (i.e., 50 percent prevalence characteristics). In contrast, the sampling errors under the enhanced option (Table 3B) will be considerably smaller. For example, it will generally be possible to attain a CV under 0.07 with the enhanced option unless the underlying population proportions are smaller than 0.33 (i.e., 33 percent prevalence characteristics). Achieving CVs under 0.07 is generally difficult for small proportions because the small value in the denominator of the CV results in large values of the CV.</w:t>
      </w:r>
    </w:p>
    <w:p w:rsidR="00377C61" w:rsidRPr="00847D4A" w:rsidRDefault="00377C61" w:rsidP="00847D4A">
      <w:pPr>
        <w:spacing w:after="0" w:line="240" w:lineRule="atLeast"/>
        <w:ind w:firstLine="576"/>
        <w:rPr>
          <w:rFonts w:ascii="Times New Roman" w:hAnsi="Times New Roman"/>
        </w:rPr>
      </w:pPr>
    </w:p>
    <w:p w:rsidR="00377C61" w:rsidRPr="00B84D2B" w:rsidRDefault="00377C61" w:rsidP="00766F21">
      <w:pPr>
        <w:keepNext/>
        <w:keepLines/>
        <w:ind w:left="900" w:hanging="900"/>
        <w:rPr>
          <w:rFonts w:ascii="Times New Roman" w:hAnsi="Times New Roman"/>
          <w:b/>
          <w:color w:val="000000" w:themeColor="text1"/>
          <w:sz w:val="20"/>
        </w:rPr>
      </w:pPr>
      <w:r w:rsidRPr="00B84D2B">
        <w:rPr>
          <w:rFonts w:ascii="Times New Roman" w:hAnsi="Times New Roman"/>
          <w:b/>
          <w:color w:val="000000" w:themeColor="text1"/>
          <w:sz w:val="20"/>
        </w:rPr>
        <w:t xml:space="preserve">Table </w:t>
      </w:r>
      <w:r w:rsidR="001130B6" w:rsidRPr="00B84D2B">
        <w:rPr>
          <w:rFonts w:ascii="Times New Roman" w:hAnsi="Times New Roman"/>
          <w:b/>
          <w:color w:val="000000" w:themeColor="text1"/>
          <w:sz w:val="20"/>
        </w:rPr>
        <w:t>3</w:t>
      </w:r>
      <w:r w:rsidRPr="00B84D2B">
        <w:rPr>
          <w:rFonts w:ascii="Times New Roman" w:hAnsi="Times New Roman"/>
          <w:b/>
          <w:color w:val="000000" w:themeColor="text1"/>
          <w:sz w:val="20"/>
        </w:rPr>
        <w:t>.</w:t>
      </w:r>
      <w:r w:rsidRPr="00B84D2B">
        <w:rPr>
          <w:rFonts w:ascii="Times New Roman" w:hAnsi="Times New Roman"/>
          <w:b/>
          <w:color w:val="000000" w:themeColor="text1"/>
          <w:sz w:val="20"/>
        </w:rPr>
        <w:tab/>
        <w:t>Number of regular public schools and enrollment in the 2010–2011 CCD public school universe file by instructional level and size class</w:t>
      </w:r>
    </w:p>
    <w:tbl>
      <w:tblPr>
        <w:tblW w:w="5000" w:type="pct"/>
        <w:tblCellMar>
          <w:left w:w="0" w:type="dxa"/>
          <w:right w:w="0" w:type="dxa"/>
        </w:tblCellMar>
        <w:tblLook w:val="0000" w:firstRow="0" w:lastRow="0" w:firstColumn="0" w:lastColumn="0" w:noHBand="0" w:noVBand="0"/>
      </w:tblPr>
      <w:tblGrid>
        <w:gridCol w:w="2556"/>
        <w:gridCol w:w="2556"/>
        <w:gridCol w:w="2556"/>
        <w:gridCol w:w="2556"/>
      </w:tblGrid>
      <w:tr w:rsidR="00377C61" w:rsidRPr="00B84D2B" w:rsidTr="00766F21">
        <w:trPr>
          <w:cantSplit/>
          <w:trHeight w:val="20"/>
        </w:trPr>
        <w:tc>
          <w:tcPr>
            <w:tcW w:w="1250" w:type="pct"/>
            <w:tcBorders>
              <w:top w:val="single" w:sz="2" w:space="0" w:color="auto"/>
              <w:bottom w:val="single" w:sz="2" w:space="0" w:color="auto"/>
              <w:right w:val="single" w:sz="2"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 xml:space="preserve">Instructional </w:t>
            </w:r>
          </w:p>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level*</w:t>
            </w:r>
          </w:p>
        </w:tc>
        <w:tc>
          <w:tcPr>
            <w:tcW w:w="1250" w:type="pct"/>
            <w:tcBorders>
              <w:top w:val="single" w:sz="2" w:space="0" w:color="auto"/>
              <w:bottom w:val="single" w:sz="2" w:space="0" w:color="auto"/>
              <w:right w:val="single" w:sz="2" w:space="0" w:color="auto"/>
            </w:tcBorders>
          </w:tcPr>
          <w:p w:rsidR="00377C61" w:rsidRPr="00B84D2B" w:rsidRDefault="00377C61" w:rsidP="00766F21">
            <w:pPr>
              <w:keepNext/>
              <w:keepLines/>
              <w:spacing w:after="0" w:line="240" w:lineRule="atLeast"/>
              <w:ind w:left="80"/>
              <w:rPr>
                <w:rFonts w:ascii="Times New Roman" w:hAnsi="Times New Roman"/>
                <w:color w:val="000000" w:themeColor="text1"/>
                <w:sz w:val="18"/>
                <w:szCs w:val="18"/>
              </w:rPr>
            </w:pPr>
            <w:r w:rsidRPr="00B84D2B">
              <w:rPr>
                <w:rFonts w:ascii="Times New Roman" w:hAnsi="Times New Roman"/>
                <w:color w:val="000000" w:themeColor="text1"/>
                <w:sz w:val="18"/>
                <w:szCs w:val="18"/>
              </w:rPr>
              <w:t>Enrollment</w:t>
            </w:r>
          </w:p>
          <w:p w:rsidR="00377C61" w:rsidRPr="00B84D2B" w:rsidRDefault="00377C61" w:rsidP="00766F21">
            <w:pPr>
              <w:keepNext/>
              <w:keepLines/>
              <w:spacing w:after="0" w:line="240" w:lineRule="atLeast"/>
              <w:ind w:left="80"/>
              <w:rPr>
                <w:rFonts w:ascii="Times New Roman" w:hAnsi="Times New Roman"/>
                <w:color w:val="000000" w:themeColor="text1"/>
                <w:sz w:val="18"/>
                <w:szCs w:val="18"/>
              </w:rPr>
            </w:pPr>
            <w:r w:rsidRPr="00B84D2B">
              <w:rPr>
                <w:rFonts w:ascii="Times New Roman" w:hAnsi="Times New Roman"/>
                <w:color w:val="000000" w:themeColor="text1"/>
                <w:sz w:val="18"/>
                <w:szCs w:val="18"/>
              </w:rPr>
              <w:t>size class</w:t>
            </w:r>
          </w:p>
        </w:tc>
        <w:tc>
          <w:tcPr>
            <w:tcW w:w="1250" w:type="pct"/>
            <w:tcBorders>
              <w:top w:val="single" w:sz="2" w:space="0" w:color="auto"/>
              <w:bottom w:val="single" w:sz="2" w:space="0" w:color="auto"/>
              <w:right w:val="single" w:sz="2" w:space="0" w:color="auto"/>
            </w:tcBorders>
            <w:vAlign w:val="bottom"/>
          </w:tcPr>
          <w:p w:rsidR="00377C61" w:rsidRPr="00766F21" w:rsidRDefault="00377C61" w:rsidP="00766F21">
            <w:pPr>
              <w:spacing w:after="0" w:line="240" w:lineRule="atLeast"/>
              <w:ind w:right="270"/>
              <w:jc w:val="right"/>
              <w:rPr>
                <w:rFonts w:ascii="Times New Roman" w:hAnsi="Times New Roman"/>
                <w:sz w:val="18"/>
                <w:szCs w:val="18"/>
              </w:rPr>
            </w:pPr>
            <w:r w:rsidRPr="00766F21">
              <w:rPr>
                <w:rFonts w:ascii="Times New Roman" w:hAnsi="Times New Roman"/>
                <w:sz w:val="18"/>
                <w:szCs w:val="18"/>
              </w:rPr>
              <w:t xml:space="preserve">Number </w:t>
            </w:r>
          </w:p>
          <w:p w:rsidR="00377C61" w:rsidRPr="00766F21" w:rsidRDefault="00377C61" w:rsidP="00766F21">
            <w:pPr>
              <w:spacing w:after="0" w:line="240" w:lineRule="atLeast"/>
              <w:ind w:right="270"/>
              <w:jc w:val="right"/>
              <w:rPr>
                <w:rFonts w:ascii="Times New Roman" w:hAnsi="Times New Roman"/>
                <w:sz w:val="18"/>
                <w:szCs w:val="18"/>
              </w:rPr>
            </w:pPr>
            <w:r w:rsidRPr="00766F21">
              <w:rPr>
                <w:rFonts w:ascii="Times New Roman" w:hAnsi="Times New Roman"/>
                <w:sz w:val="18"/>
                <w:szCs w:val="18"/>
              </w:rPr>
              <w:t>of schools</w:t>
            </w:r>
          </w:p>
        </w:tc>
        <w:tc>
          <w:tcPr>
            <w:tcW w:w="1250" w:type="pct"/>
            <w:tcBorders>
              <w:top w:val="single" w:sz="2" w:space="0" w:color="auto"/>
              <w:bottom w:val="single" w:sz="2" w:space="0" w:color="auto"/>
            </w:tcBorders>
            <w:vAlign w:val="bottom"/>
          </w:tcPr>
          <w:p w:rsidR="00377C61" w:rsidRPr="00766F21" w:rsidRDefault="00377C61" w:rsidP="00766F21">
            <w:pPr>
              <w:spacing w:after="0" w:line="240" w:lineRule="atLeast"/>
              <w:ind w:right="270"/>
              <w:jc w:val="right"/>
              <w:rPr>
                <w:rFonts w:ascii="Times New Roman" w:hAnsi="Times New Roman"/>
                <w:sz w:val="18"/>
                <w:szCs w:val="18"/>
              </w:rPr>
            </w:pPr>
          </w:p>
          <w:p w:rsidR="00377C61" w:rsidRPr="00766F21" w:rsidRDefault="00377C61" w:rsidP="00766F21">
            <w:pPr>
              <w:spacing w:after="0" w:line="240" w:lineRule="atLeast"/>
              <w:ind w:right="270"/>
              <w:jc w:val="right"/>
              <w:rPr>
                <w:rFonts w:ascii="Times New Roman" w:hAnsi="Times New Roman"/>
                <w:sz w:val="18"/>
                <w:szCs w:val="18"/>
              </w:rPr>
            </w:pPr>
            <w:r w:rsidRPr="00766F21">
              <w:rPr>
                <w:rFonts w:ascii="Times New Roman" w:hAnsi="Times New Roman"/>
                <w:sz w:val="18"/>
                <w:szCs w:val="18"/>
              </w:rPr>
              <w:t>Enrollment</w:t>
            </w:r>
          </w:p>
        </w:tc>
      </w:tr>
      <w:tr w:rsidR="00377C61" w:rsidRPr="00B84D2B" w:rsidTr="00766F21">
        <w:trPr>
          <w:cantSplit/>
          <w:trHeight w:val="20"/>
        </w:trPr>
        <w:tc>
          <w:tcPr>
            <w:tcW w:w="1250" w:type="pct"/>
            <w:tcBorders>
              <w:right w:val="single" w:sz="2" w:space="0" w:color="auto"/>
            </w:tcBorders>
            <w:vAlign w:val="bottom"/>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Elementary</w:t>
            </w:r>
          </w:p>
        </w:tc>
        <w:tc>
          <w:tcPr>
            <w:tcW w:w="1250" w:type="pct"/>
            <w:tcBorders>
              <w:right w:val="single" w:sz="2" w:space="0" w:color="auto"/>
            </w:tcBorders>
            <w:vAlign w:val="bottom"/>
          </w:tcPr>
          <w:p w:rsidR="00377C61" w:rsidRPr="00B84D2B" w:rsidRDefault="00377C61" w:rsidP="00766F21">
            <w:pPr>
              <w:keepNext/>
              <w:keepLines/>
              <w:spacing w:after="0" w:line="240" w:lineRule="atLeast"/>
              <w:ind w:left="80"/>
              <w:rPr>
                <w:rFonts w:ascii="Times New Roman" w:hAnsi="Times New Roman"/>
                <w:color w:val="000000" w:themeColor="text1"/>
                <w:sz w:val="18"/>
                <w:szCs w:val="18"/>
              </w:rPr>
            </w:pPr>
            <w:r w:rsidRPr="00B84D2B">
              <w:rPr>
                <w:rFonts w:ascii="Times New Roman" w:hAnsi="Times New Roman"/>
                <w:color w:val="000000" w:themeColor="text1"/>
                <w:sz w:val="18"/>
                <w:szCs w:val="18"/>
              </w:rPr>
              <w:t>Less than 300</w:t>
            </w:r>
          </w:p>
        </w:tc>
        <w:tc>
          <w:tcPr>
            <w:tcW w:w="1250" w:type="pct"/>
            <w:tcBorders>
              <w:right w:val="single" w:sz="2" w:space="0" w:color="auto"/>
            </w:tcBorders>
            <w:vAlign w:val="bottom"/>
          </w:tcPr>
          <w:p w:rsidR="00377C61" w:rsidRPr="00B84D2B" w:rsidRDefault="00377C61" w:rsidP="00766F21">
            <w:pPr>
              <w:spacing w:after="0" w:line="240" w:lineRule="atLeast"/>
              <w:ind w:right="270"/>
              <w:jc w:val="right"/>
              <w:rPr>
                <w:rFonts w:ascii="Times New Roman" w:hAnsi="Times New Roman"/>
                <w:sz w:val="18"/>
                <w:szCs w:val="18"/>
              </w:rPr>
            </w:pPr>
            <w:r w:rsidRPr="00B84D2B">
              <w:rPr>
                <w:rFonts w:ascii="Times New Roman" w:hAnsi="Times New Roman"/>
                <w:sz w:val="18"/>
                <w:szCs w:val="18"/>
              </w:rPr>
              <w:t>12,202</w:t>
            </w:r>
          </w:p>
        </w:tc>
        <w:tc>
          <w:tcPr>
            <w:tcW w:w="1250" w:type="pct"/>
            <w:vAlign w:val="bottom"/>
          </w:tcPr>
          <w:p w:rsidR="00377C61" w:rsidRPr="00B84D2B" w:rsidRDefault="00377C61" w:rsidP="00766F21">
            <w:pPr>
              <w:spacing w:after="0" w:line="240" w:lineRule="atLeast"/>
              <w:ind w:right="270"/>
              <w:jc w:val="right"/>
              <w:rPr>
                <w:rFonts w:ascii="Times New Roman" w:hAnsi="Times New Roman"/>
                <w:sz w:val="18"/>
                <w:szCs w:val="18"/>
              </w:rPr>
            </w:pPr>
            <w:r w:rsidRPr="00B84D2B">
              <w:rPr>
                <w:rFonts w:ascii="Times New Roman" w:hAnsi="Times New Roman"/>
                <w:sz w:val="18"/>
                <w:szCs w:val="18"/>
              </w:rPr>
              <w:t>2,277,412</w:t>
            </w:r>
          </w:p>
        </w:tc>
      </w:tr>
      <w:tr w:rsidR="00377C61" w:rsidRPr="00B84D2B" w:rsidTr="00766F21">
        <w:trPr>
          <w:cantSplit/>
          <w:trHeight w:val="20"/>
        </w:trPr>
        <w:tc>
          <w:tcPr>
            <w:tcW w:w="1250" w:type="pct"/>
            <w:tcBorders>
              <w:right w:val="single" w:sz="2" w:space="0" w:color="auto"/>
            </w:tcBorders>
          </w:tcPr>
          <w:p w:rsidR="00377C61" w:rsidRPr="00B84D2B" w:rsidRDefault="00377C61" w:rsidP="00766F21">
            <w:pPr>
              <w:keepNext/>
              <w:keepLines/>
              <w:spacing w:after="0" w:line="240" w:lineRule="atLeast"/>
              <w:ind w:left="80"/>
              <w:jc w:val="center"/>
              <w:rPr>
                <w:rFonts w:ascii="Times New Roman" w:hAnsi="Times New Roman"/>
                <w:color w:val="000000" w:themeColor="text1"/>
                <w:sz w:val="18"/>
                <w:szCs w:val="18"/>
              </w:rPr>
            </w:pPr>
          </w:p>
        </w:tc>
        <w:tc>
          <w:tcPr>
            <w:tcW w:w="1250" w:type="pct"/>
            <w:tcBorders>
              <w:right w:val="single" w:sz="2" w:space="0" w:color="auto"/>
            </w:tcBorders>
          </w:tcPr>
          <w:p w:rsidR="00377C61" w:rsidRPr="00B84D2B" w:rsidRDefault="00377C61" w:rsidP="00766F21">
            <w:pPr>
              <w:keepNext/>
              <w:keepLines/>
              <w:spacing w:after="0" w:line="240" w:lineRule="atLeast"/>
              <w:ind w:left="80"/>
              <w:rPr>
                <w:rFonts w:ascii="Times New Roman" w:hAnsi="Times New Roman"/>
                <w:color w:val="000000" w:themeColor="text1"/>
                <w:sz w:val="18"/>
                <w:szCs w:val="18"/>
              </w:rPr>
            </w:pPr>
            <w:r w:rsidRPr="00B84D2B">
              <w:rPr>
                <w:rFonts w:ascii="Times New Roman" w:hAnsi="Times New Roman"/>
                <w:color w:val="000000" w:themeColor="text1"/>
                <w:sz w:val="18"/>
                <w:szCs w:val="18"/>
              </w:rPr>
              <w:t>300 to 499</w:t>
            </w:r>
          </w:p>
        </w:tc>
        <w:tc>
          <w:tcPr>
            <w:tcW w:w="1250" w:type="pct"/>
            <w:tcBorders>
              <w:right w:val="single" w:sz="2" w:space="0" w:color="auto"/>
            </w:tcBorders>
            <w:vAlign w:val="bottom"/>
          </w:tcPr>
          <w:p w:rsidR="00377C61" w:rsidRPr="00B84D2B" w:rsidRDefault="00377C61" w:rsidP="00766F21">
            <w:pPr>
              <w:spacing w:after="0" w:line="240" w:lineRule="atLeast"/>
              <w:ind w:right="270"/>
              <w:jc w:val="right"/>
              <w:rPr>
                <w:rFonts w:ascii="Times New Roman" w:hAnsi="Times New Roman"/>
                <w:sz w:val="18"/>
                <w:szCs w:val="18"/>
              </w:rPr>
            </w:pPr>
            <w:r w:rsidRPr="00B84D2B">
              <w:rPr>
                <w:rFonts w:ascii="Times New Roman" w:hAnsi="Times New Roman"/>
                <w:sz w:val="18"/>
                <w:szCs w:val="18"/>
              </w:rPr>
              <w:t>18,807</w:t>
            </w:r>
          </w:p>
        </w:tc>
        <w:tc>
          <w:tcPr>
            <w:tcW w:w="1250" w:type="pct"/>
            <w:vAlign w:val="bottom"/>
          </w:tcPr>
          <w:p w:rsidR="00377C61" w:rsidRPr="00B84D2B" w:rsidRDefault="00377C61" w:rsidP="00766F21">
            <w:pPr>
              <w:spacing w:after="0" w:line="240" w:lineRule="atLeast"/>
              <w:ind w:right="270"/>
              <w:jc w:val="right"/>
              <w:rPr>
                <w:rFonts w:ascii="Times New Roman" w:hAnsi="Times New Roman"/>
                <w:sz w:val="18"/>
                <w:szCs w:val="18"/>
              </w:rPr>
            </w:pPr>
            <w:r w:rsidRPr="00B84D2B">
              <w:rPr>
                <w:rFonts w:ascii="Times New Roman" w:hAnsi="Times New Roman"/>
                <w:sz w:val="18"/>
                <w:szCs w:val="18"/>
              </w:rPr>
              <w:t>7,548,403</w:t>
            </w:r>
          </w:p>
        </w:tc>
      </w:tr>
      <w:tr w:rsidR="00377C61" w:rsidRPr="00B84D2B" w:rsidTr="00766F21">
        <w:trPr>
          <w:cantSplit/>
          <w:trHeight w:val="20"/>
        </w:trPr>
        <w:tc>
          <w:tcPr>
            <w:tcW w:w="1250" w:type="pct"/>
            <w:tcBorders>
              <w:right w:val="single" w:sz="2" w:space="0" w:color="auto"/>
            </w:tcBorders>
          </w:tcPr>
          <w:p w:rsidR="00377C61" w:rsidRPr="00B84D2B" w:rsidRDefault="00377C61" w:rsidP="00766F21">
            <w:pPr>
              <w:keepNext/>
              <w:keepLines/>
              <w:spacing w:after="0" w:line="240" w:lineRule="atLeast"/>
              <w:ind w:left="80"/>
              <w:jc w:val="center"/>
              <w:rPr>
                <w:rFonts w:ascii="Times New Roman" w:hAnsi="Times New Roman"/>
                <w:color w:val="000000" w:themeColor="text1"/>
                <w:sz w:val="18"/>
                <w:szCs w:val="18"/>
              </w:rPr>
            </w:pPr>
          </w:p>
        </w:tc>
        <w:tc>
          <w:tcPr>
            <w:tcW w:w="1250" w:type="pct"/>
            <w:tcBorders>
              <w:right w:val="single" w:sz="2" w:space="0" w:color="auto"/>
            </w:tcBorders>
          </w:tcPr>
          <w:p w:rsidR="00377C61" w:rsidRPr="00B84D2B" w:rsidRDefault="00377C61" w:rsidP="00766F21">
            <w:pPr>
              <w:keepNext/>
              <w:keepLines/>
              <w:spacing w:after="0" w:line="240" w:lineRule="atLeast"/>
              <w:ind w:left="80"/>
              <w:rPr>
                <w:rFonts w:ascii="Times New Roman" w:hAnsi="Times New Roman"/>
                <w:color w:val="000000" w:themeColor="text1"/>
                <w:sz w:val="18"/>
                <w:szCs w:val="18"/>
              </w:rPr>
            </w:pPr>
            <w:r w:rsidRPr="00B84D2B">
              <w:rPr>
                <w:rFonts w:ascii="Times New Roman" w:hAnsi="Times New Roman"/>
                <w:color w:val="000000" w:themeColor="text1"/>
                <w:sz w:val="18"/>
                <w:szCs w:val="18"/>
              </w:rPr>
              <w:t>500 to 999</w:t>
            </w:r>
          </w:p>
        </w:tc>
        <w:tc>
          <w:tcPr>
            <w:tcW w:w="1250" w:type="pct"/>
            <w:tcBorders>
              <w:right w:val="single" w:sz="2" w:space="0" w:color="auto"/>
            </w:tcBorders>
            <w:vAlign w:val="bottom"/>
          </w:tcPr>
          <w:p w:rsidR="00377C61" w:rsidRPr="00B84D2B" w:rsidRDefault="00377C61" w:rsidP="00766F21">
            <w:pPr>
              <w:spacing w:after="0" w:line="240" w:lineRule="atLeast"/>
              <w:ind w:right="270"/>
              <w:jc w:val="right"/>
              <w:rPr>
                <w:rFonts w:ascii="Times New Roman" w:hAnsi="Times New Roman"/>
                <w:sz w:val="18"/>
                <w:szCs w:val="18"/>
              </w:rPr>
            </w:pPr>
            <w:r w:rsidRPr="00B84D2B">
              <w:rPr>
                <w:rFonts w:ascii="Times New Roman" w:hAnsi="Times New Roman"/>
                <w:sz w:val="18"/>
                <w:szCs w:val="18"/>
              </w:rPr>
              <w:t>19,052</w:t>
            </w:r>
          </w:p>
        </w:tc>
        <w:tc>
          <w:tcPr>
            <w:tcW w:w="1250" w:type="pct"/>
            <w:vAlign w:val="bottom"/>
          </w:tcPr>
          <w:p w:rsidR="00377C61" w:rsidRPr="00B84D2B" w:rsidRDefault="00377C61" w:rsidP="00766F21">
            <w:pPr>
              <w:spacing w:after="0" w:line="240" w:lineRule="atLeast"/>
              <w:ind w:right="270"/>
              <w:jc w:val="right"/>
              <w:rPr>
                <w:rFonts w:ascii="Times New Roman" w:hAnsi="Times New Roman"/>
                <w:sz w:val="18"/>
                <w:szCs w:val="18"/>
              </w:rPr>
            </w:pPr>
            <w:r w:rsidRPr="00B84D2B">
              <w:rPr>
                <w:rFonts w:ascii="Times New Roman" w:hAnsi="Times New Roman"/>
                <w:sz w:val="18"/>
                <w:szCs w:val="18"/>
              </w:rPr>
              <w:t>12,483,990</w:t>
            </w:r>
          </w:p>
        </w:tc>
      </w:tr>
      <w:tr w:rsidR="00377C61" w:rsidRPr="00B84D2B" w:rsidTr="00766F21">
        <w:trPr>
          <w:cantSplit/>
          <w:trHeight w:val="20"/>
        </w:trPr>
        <w:tc>
          <w:tcPr>
            <w:tcW w:w="1250" w:type="pct"/>
            <w:tcBorders>
              <w:right w:val="single" w:sz="2" w:space="0" w:color="auto"/>
            </w:tcBorders>
          </w:tcPr>
          <w:p w:rsidR="00377C61" w:rsidRPr="00B84D2B" w:rsidRDefault="00377C61" w:rsidP="00766F21">
            <w:pPr>
              <w:keepNext/>
              <w:keepLines/>
              <w:spacing w:after="0" w:line="240" w:lineRule="atLeast"/>
              <w:ind w:left="80"/>
              <w:jc w:val="center"/>
              <w:rPr>
                <w:rFonts w:ascii="Times New Roman" w:hAnsi="Times New Roman"/>
                <w:color w:val="000000" w:themeColor="text1"/>
                <w:sz w:val="18"/>
                <w:szCs w:val="18"/>
              </w:rPr>
            </w:pPr>
          </w:p>
        </w:tc>
        <w:tc>
          <w:tcPr>
            <w:tcW w:w="1250" w:type="pct"/>
            <w:tcBorders>
              <w:right w:val="single" w:sz="2" w:space="0" w:color="auto"/>
            </w:tcBorders>
          </w:tcPr>
          <w:p w:rsidR="00377C61" w:rsidRPr="00B84D2B" w:rsidRDefault="00377C61" w:rsidP="00766F21">
            <w:pPr>
              <w:keepNext/>
              <w:keepLines/>
              <w:spacing w:after="0" w:line="240" w:lineRule="atLeast"/>
              <w:ind w:left="80"/>
              <w:rPr>
                <w:rFonts w:ascii="Times New Roman" w:hAnsi="Times New Roman"/>
                <w:color w:val="000000" w:themeColor="text1"/>
                <w:sz w:val="18"/>
                <w:szCs w:val="18"/>
              </w:rPr>
            </w:pPr>
            <w:r w:rsidRPr="00B84D2B">
              <w:rPr>
                <w:rFonts w:ascii="Times New Roman" w:hAnsi="Times New Roman"/>
                <w:color w:val="000000" w:themeColor="text1"/>
                <w:sz w:val="18"/>
                <w:szCs w:val="18"/>
              </w:rPr>
              <w:t>1,000 or more</w:t>
            </w:r>
          </w:p>
        </w:tc>
        <w:tc>
          <w:tcPr>
            <w:tcW w:w="1250" w:type="pct"/>
            <w:tcBorders>
              <w:right w:val="single" w:sz="2" w:space="0" w:color="auto"/>
            </w:tcBorders>
            <w:vAlign w:val="bottom"/>
          </w:tcPr>
          <w:p w:rsidR="00377C61" w:rsidRPr="00B84D2B" w:rsidRDefault="00377C61" w:rsidP="00766F21">
            <w:pPr>
              <w:spacing w:after="0" w:line="240" w:lineRule="atLeast"/>
              <w:ind w:right="270"/>
              <w:jc w:val="right"/>
              <w:rPr>
                <w:rFonts w:ascii="Times New Roman" w:hAnsi="Times New Roman"/>
                <w:sz w:val="18"/>
                <w:szCs w:val="18"/>
              </w:rPr>
            </w:pPr>
            <w:r w:rsidRPr="00B84D2B">
              <w:rPr>
                <w:rFonts w:ascii="Times New Roman" w:hAnsi="Times New Roman"/>
                <w:sz w:val="18"/>
                <w:szCs w:val="18"/>
              </w:rPr>
              <w:t>929</w:t>
            </w:r>
          </w:p>
        </w:tc>
        <w:tc>
          <w:tcPr>
            <w:tcW w:w="1250" w:type="pct"/>
            <w:vAlign w:val="bottom"/>
          </w:tcPr>
          <w:p w:rsidR="00377C61" w:rsidRPr="00B84D2B" w:rsidRDefault="00377C61" w:rsidP="00766F21">
            <w:pPr>
              <w:spacing w:after="0" w:line="240" w:lineRule="atLeast"/>
              <w:ind w:right="270"/>
              <w:jc w:val="right"/>
              <w:rPr>
                <w:rFonts w:ascii="Times New Roman" w:hAnsi="Times New Roman"/>
                <w:sz w:val="18"/>
                <w:szCs w:val="18"/>
              </w:rPr>
            </w:pPr>
            <w:r w:rsidRPr="00B84D2B">
              <w:rPr>
                <w:rFonts w:ascii="Times New Roman" w:hAnsi="Times New Roman"/>
                <w:sz w:val="18"/>
                <w:szCs w:val="18"/>
              </w:rPr>
              <w:t>1,090,531</w:t>
            </w:r>
          </w:p>
        </w:tc>
      </w:tr>
      <w:tr w:rsidR="00377C61" w:rsidRPr="00B84D2B" w:rsidTr="00766F21">
        <w:trPr>
          <w:cantSplit/>
          <w:trHeight w:val="20"/>
        </w:trPr>
        <w:tc>
          <w:tcPr>
            <w:tcW w:w="1250" w:type="pct"/>
            <w:tcBorders>
              <w:right w:val="single" w:sz="2" w:space="0" w:color="auto"/>
            </w:tcBorders>
            <w:vAlign w:val="bottom"/>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Middle</w:t>
            </w:r>
          </w:p>
        </w:tc>
        <w:tc>
          <w:tcPr>
            <w:tcW w:w="1250" w:type="pct"/>
            <w:tcBorders>
              <w:right w:val="single" w:sz="2" w:space="0" w:color="auto"/>
            </w:tcBorders>
            <w:vAlign w:val="bottom"/>
          </w:tcPr>
          <w:p w:rsidR="00377C61" w:rsidRPr="00B84D2B" w:rsidRDefault="00377C61" w:rsidP="00766F21">
            <w:pPr>
              <w:keepNext/>
              <w:keepLines/>
              <w:spacing w:after="0" w:line="240" w:lineRule="atLeast"/>
              <w:ind w:left="80"/>
              <w:rPr>
                <w:rFonts w:ascii="Times New Roman" w:hAnsi="Times New Roman"/>
                <w:color w:val="000000" w:themeColor="text1"/>
                <w:sz w:val="18"/>
                <w:szCs w:val="18"/>
              </w:rPr>
            </w:pPr>
            <w:r w:rsidRPr="00B84D2B">
              <w:rPr>
                <w:rFonts w:ascii="Times New Roman" w:hAnsi="Times New Roman"/>
                <w:color w:val="000000" w:themeColor="text1"/>
                <w:sz w:val="18"/>
                <w:szCs w:val="18"/>
              </w:rPr>
              <w:t>Less than 300</w:t>
            </w:r>
          </w:p>
        </w:tc>
        <w:tc>
          <w:tcPr>
            <w:tcW w:w="1250" w:type="pct"/>
            <w:tcBorders>
              <w:right w:val="single" w:sz="2" w:space="0" w:color="auto"/>
            </w:tcBorders>
            <w:vAlign w:val="bottom"/>
          </w:tcPr>
          <w:p w:rsidR="00377C61" w:rsidRPr="00B84D2B" w:rsidRDefault="00377C61" w:rsidP="00766F21">
            <w:pPr>
              <w:spacing w:after="0" w:line="240" w:lineRule="atLeast"/>
              <w:ind w:right="270"/>
              <w:jc w:val="right"/>
              <w:rPr>
                <w:rFonts w:ascii="Times New Roman" w:hAnsi="Times New Roman"/>
                <w:sz w:val="18"/>
                <w:szCs w:val="18"/>
              </w:rPr>
            </w:pPr>
            <w:r w:rsidRPr="00B84D2B">
              <w:rPr>
                <w:rFonts w:ascii="Times New Roman" w:hAnsi="Times New Roman"/>
                <w:sz w:val="18"/>
                <w:szCs w:val="18"/>
              </w:rPr>
              <w:t>3,779</w:t>
            </w:r>
          </w:p>
        </w:tc>
        <w:tc>
          <w:tcPr>
            <w:tcW w:w="1250" w:type="pct"/>
            <w:vAlign w:val="bottom"/>
          </w:tcPr>
          <w:p w:rsidR="00377C61" w:rsidRPr="00B84D2B" w:rsidRDefault="00377C61" w:rsidP="00766F21">
            <w:pPr>
              <w:spacing w:after="0" w:line="240" w:lineRule="atLeast"/>
              <w:ind w:right="270"/>
              <w:jc w:val="right"/>
              <w:rPr>
                <w:rFonts w:ascii="Times New Roman" w:hAnsi="Times New Roman"/>
                <w:sz w:val="18"/>
                <w:szCs w:val="18"/>
              </w:rPr>
            </w:pPr>
            <w:r w:rsidRPr="00B84D2B">
              <w:rPr>
                <w:rFonts w:ascii="Times New Roman" w:hAnsi="Times New Roman"/>
                <w:sz w:val="18"/>
                <w:szCs w:val="18"/>
              </w:rPr>
              <w:t>644,923</w:t>
            </w:r>
          </w:p>
        </w:tc>
      </w:tr>
      <w:tr w:rsidR="00377C61" w:rsidRPr="00B84D2B" w:rsidTr="00766F21">
        <w:trPr>
          <w:cantSplit/>
          <w:trHeight w:val="20"/>
        </w:trPr>
        <w:tc>
          <w:tcPr>
            <w:tcW w:w="1250" w:type="pct"/>
            <w:tcBorders>
              <w:right w:val="single" w:sz="2" w:space="0" w:color="auto"/>
            </w:tcBorders>
          </w:tcPr>
          <w:p w:rsidR="00377C61" w:rsidRPr="00B84D2B" w:rsidRDefault="00377C61" w:rsidP="00766F21">
            <w:pPr>
              <w:keepNext/>
              <w:keepLines/>
              <w:spacing w:after="0" w:line="240" w:lineRule="atLeast"/>
              <w:ind w:left="80"/>
              <w:jc w:val="center"/>
              <w:rPr>
                <w:rFonts w:ascii="Times New Roman" w:hAnsi="Times New Roman"/>
                <w:color w:val="000000" w:themeColor="text1"/>
                <w:sz w:val="18"/>
                <w:szCs w:val="18"/>
              </w:rPr>
            </w:pPr>
          </w:p>
        </w:tc>
        <w:tc>
          <w:tcPr>
            <w:tcW w:w="1250" w:type="pct"/>
            <w:tcBorders>
              <w:right w:val="single" w:sz="2" w:space="0" w:color="auto"/>
            </w:tcBorders>
          </w:tcPr>
          <w:p w:rsidR="00377C61" w:rsidRPr="00B84D2B" w:rsidRDefault="00377C61" w:rsidP="00766F21">
            <w:pPr>
              <w:keepNext/>
              <w:keepLines/>
              <w:spacing w:after="0" w:line="240" w:lineRule="atLeast"/>
              <w:ind w:left="80"/>
              <w:rPr>
                <w:rFonts w:ascii="Times New Roman" w:hAnsi="Times New Roman"/>
                <w:color w:val="000000" w:themeColor="text1"/>
                <w:sz w:val="18"/>
                <w:szCs w:val="18"/>
              </w:rPr>
            </w:pPr>
            <w:r w:rsidRPr="00B84D2B">
              <w:rPr>
                <w:rFonts w:ascii="Times New Roman" w:hAnsi="Times New Roman"/>
                <w:color w:val="000000" w:themeColor="text1"/>
                <w:sz w:val="18"/>
                <w:szCs w:val="18"/>
              </w:rPr>
              <w:t>300 to 499</w:t>
            </w:r>
          </w:p>
        </w:tc>
        <w:tc>
          <w:tcPr>
            <w:tcW w:w="1250" w:type="pct"/>
            <w:tcBorders>
              <w:right w:val="single" w:sz="2" w:space="0" w:color="auto"/>
            </w:tcBorders>
            <w:vAlign w:val="bottom"/>
          </w:tcPr>
          <w:p w:rsidR="00377C61" w:rsidRPr="00B84D2B" w:rsidRDefault="00377C61" w:rsidP="00766F21">
            <w:pPr>
              <w:spacing w:after="0" w:line="240" w:lineRule="atLeast"/>
              <w:ind w:right="270"/>
              <w:jc w:val="right"/>
              <w:rPr>
                <w:rFonts w:ascii="Times New Roman" w:hAnsi="Times New Roman"/>
                <w:sz w:val="18"/>
                <w:szCs w:val="18"/>
              </w:rPr>
            </w:pPr>
            <w:r w:rsidRPr="00B84D2B">
              <w:rPr>
                <w:rFonts w:ascii="Times New Roman" w:hAnsi="Times New Roman"/>
                <w:sz w:val="18"/>
                <w:szCs w:val="18"/>
              </w:rPr>
              <w:t>3,711</w:t>
            </w:r>
          </w:p>
        </w:tc>
        <w:tc>
          <w:tcPr>
            <w:tcW w:w="1250" w:type="pct"/>
            <w:vAlign w:val="bottom"/>
          </w:tcPr>
          <w:p w:rsidR="00377C61" w:rsidRPr="00B84D2B" w:rsidRDefault="00377C61" w:rsidP="00766F21">
            <w:pPr>
              <w:spacing w:after="0" w:line="240" w:lineRule="atLeast"/>
              <w:ind w:right="270"/>
              <w:jc w:val="right"/>
              <w:rPr>
                <w:rFonts w:ascii="Times New Roman" w:hAnsi="Times New Roman"/>
                <w:sz w:val="18"/>
                <w:szCs w:val="18"/>
              </w:rPr>
            </w:pPr>
            <w:r w:rsidRPr="00B84D2B">
              <w:rPr>
                <w:rFonts w:ascii="Times New Roman" w:hAnsi="Times New Roman"/>
                <w:sz w:val="18"/>
                <w:szCs w:val="18"/>
              </w:rPr>
              <w:t>1,481,017</w:t>
            </w:r>
          </w:p>
        </w:tc>
      </w:tr>
      <w:tr w:rsidR="00377C61" w:rsidRPr="00B84D2B" w:rsidTr="00766F21">
        <w:trPr>
          <w:cantSplit/>
          <w:trHeight w:val="20"/>
        </w:trPr>
        <w:tc>
          <w:tcPr>
            <w:tcW w:w="1250" w:type="pct"/>
            <w:tcBorders>
              <w:right w:val="single" w:sz="2" w:space="0" w:color="auto"/>
            </w:tcBorders>
          </w:tcPr>
          <w:p w:rsidR="00377C61" w:rsidRPr="00B84D2B" w:rsidRDefault="00377C61" w:rsidP="00766F21">
            <w:pPr>
              <w:keepNext/>
              <w:keepLines/>
              <w:spacing w:after="0" w:line="240" w:lineRule="atLeast"/>
              <w:ind w:left="80"/>
              <w:jc w:val="center"/>
              <w:rPr>
                <w:rFonts w:ascii="Times New Roman" w:hAnsi="Times New Roman"/>
                <w:color w:val="000000" w:themeColor="text1"/>
                <w:sz w:val="18"/>
                <w:szCs w:val="18"/>
              </w:rPr>
            </w:pPr>
          </w:p>
        </w:tc>
        <w:tc>
          <w:tcPr>
            <w:tcW w:w="1250" w:type="pct"/>
            <w:tcBorders>
              <w:right w:val="single" w:sz="2" w:space="0" w:color="auto"/>
            </w:tcBorders>
          </w:tcPr>
          <w:p w:rsidR="00377C61" w:rsidRPr="00B84D2B" w:rsidRDefault="00377C61" w:rsidP="00766F21">
            <w:pPr>
              <w:keepNext/>
              <w:keepLines/>
              <w:spacing w:after="0" w:line="240" w:lineRule="atLeast"/>
              <w:ind w:left="80"/>
              <w:rPr>
                <w:rFonts w:ascii="Times New Roman" w:hAnsi="Times New Roman"/>
                <w:color w:val="000000" w:themeColor="text1"/>
                <w:sz w:val="18"/>
                <w:szCs w:val="18"/>
              </w:rPr>
            </w:pPr>
            <w:r w:rsidRPr="00B84D2B">
              <w:rPr>
                <w:rFonts w:ascii="Times New Roman" w:hAnsi="Times New Roman"/>
                <w:color w:val="000000" w:themeColor="text1"/>
                <w:sz w:val="18"/>
                <w:szCs w:val="18"/>
              </w:rPr>
              <w:t>500 to 999</w:t>
            </w:r>
          </w:p>
        </w:tc>
        <w:tc>
          <w:tcPr>
            <w:tcW w:w="1250" w:type="pct"/>
            <w:tcBorders>
              <w:right w:val="single" w:sz="2" w:space="0" w:color="auto"/>
            </w:tcBorders>
            <w:vAlign w:val="bottom"/>
          </w:tcPr>
          <w:p w:rsidR="00377C61" w:rsidRPr="00B84D2B" w:rsidRDefault="00377C61" w:rsidP="00766F21">
            <w:pPr>
              <w:spacing w:after="0" w:line="240" w:lineRule="atLeast"/>
              <w:ind w:right="270"/>
              <w:jc w:val="right"/>
              <w:rPr>
                <w:rFonts w:ascii="Times New Roman" w:hAnsi="Times New Roman"/>
                <w:sz w:val="18"/>
                <w:szCs w:val="18"/>
              </w:rPr>
            </w:pPr>
            <w:r w:rsidRPr="00B84D2B">
              <w:rPr>
                <w:rFonts w:ascii="Times New Roman" w:hAnsi="Times New Roman"/>
                <w:sz w:val="18"/>
                <w:szCs w:val="18"/>
              </w:rPr>
              <w:t>7,313</w:t>
            </w:r>
          </w:p>
        </w:tc>
        <w:tc>
          <w:tcPr>
            <w:tcW w:w="1250" w:type="pct"/>
            <w:vAlign w:val="bottom"/>
          </w:tcPr>
          <w:p w:rsidR="00377C61" w:rsidRPr="00B84D2B" w:rsidRDefault="00377C61" w:rsidP="00766F21">
            <w:pPr>
              <w:spacing w:after="0" w:line="240" w:lineRule="atLeast"/>
              <w:ind w:right="270"/>
              <w:jc w:val="right"/>
              <w:rPr>
                <w:rFonts w:ascii="Times New Roman" w:hAnsi="Times New Roman"/>
                <w:sz w:val="18"/>
                <w:szCs w:val="18"/>
              </w:rPr>
            </w:pPr>
            <w:r w:rsidRPr="00B84D2B">
              <w:rPr>
                <w:rFonts w:ascii="Times New Roman" w:hAnsi="Times New Roman"/>
                <w:sz w:val="18"/>
                <w:szCs w:val="18"/>
              </w:rPr>
              <w:t>5,234,656</w:t>
            </w:r>
          </w:p>
        </w:tc>
      </w:tr>
      <w:tr w:rsidR="00377C61" w:rsidRPr="00B84D2B" w:rsidTr="00766F21">
        <w:trPr>
          <w:cantSplit/>
          <w:trHeight w:val="20"/>
        </w:trPr>
        <w:tc>
          <w:tcPr>
            <w:tcW w:w="1250" w:type="pct"/>
            <w:tcBorders>
              <w:right w:val="single" w:sz="2" w:space="0" w:color="auto"/>
            </w:tcBorders>
          </w:tcPr>
          <w:p w:rsidR="00377C61" w:rsidRPr="00B84D2B" w:rsidRDefault="00377C61" w:rsidP="00766F21">
            <w:pPr>
              <w:keepNext/>
              <w:keepLines/>
              <w:spacing w:after="0" w:line="240" w:lineRule="atLeast"/>
              <w:ind w:left="80"/>
              <w:jc w:val="center"/>
              <w:rPr>
                <w:rFonts w:ascii="Times New Roman" w:hAnsi="Times New Roman"/>
                <w:color w:val="000000" w:themeColor="text1"/>
                <w:sz w:val="18"/>
                <w:szCs w:val="18"/>
              </w:rPr>
            </w:pPr>
          </w:p>
        </w:tc>
        <w:tc>
          <w:tcPr>
            <w:tcW w:w="1250" w:type="pct"/>
            <w:tcBorders>
              <w:right w:val="single" w:sz="2" w:space="0" w:color="auto"/>
            </w:tcBorders>
          </w:tcPr>
          <w:p w:rsidR="00377C61" w:rsidRPr="00B84D2B" w:rsidRDefault="00377C61" w:rsidP="00766F21">
            <w:pPr>
              <w:keepNext/>
              <w:keepLines/>
              <w:spacing w:after="0" w:line="240" w:lineRule="atLeast"/>
              <w:ind w:left="80"/>
              <w:rPr>
                <w:rFonts w:ascii="Times New Roman" w:hAnsi="Times New Roman"/>
                <w:color w:val="000000" w:themeColor="text1"/>
                <w:sz w:val="18"/>
                <w:szCs w:val="18"/>
              </w:rPr>
            </w:pPr>
            <w:r w:rsidRPr="00B84D2B">
              <w:rPr>
                <w:rFonts w:ascii="Times New Roman" w:hAnsi="Times New Roman"/>
                <w:color w:val="000000" w:themeColor="text1"/>
                <w:sz w:val="18"/>
                <w:szCs w:val="18"/>
              </w:rPr>
              <w:t>1,000 or more</w:t>
            </w:r>
          </w:p>
        </w:tc>
        <w:tc>
          <w:tcPr>
            <w:tcW w:w="1250" w:type="pct"/>
            <w:tcBorders>
              <w:right w:val="single" w:sz="2" w:space="0" w:color="auto"/>
            </w:tcBorders>
            <w:vAlign w:val="bottom"/>
          </w:tcPr>
          <w:p w:rsidR="00377C61" w:rsidRPr="00B84D2B" w:rsidRDefault="00377C61" w:rsidP="00766F21">
            <w:pPr>
              <w:spacing w:after="0" w:line="240" w:lineRule="atLeast"/>
              <w:ind w:right="270"/>
              <w:jc w:val="right"/>
              <w:rPr>
                <w:rFonts w:ascii="Times New Roman" w:hAnsi="Times New Roman"/>
                <w:sz w:val="18"/>
                <w:szCs w:val="18"/>
              </w:rPr>
            </w:pPr>
            <w:r w:rsidRPr="00B84D2B">
              <w:rPr>
                <w:rFonts w:ascii="Times New Roman" w:hAnsi="Times New Roman"/>
                <w:sz w:val="18"/>
                <w:szCs w:val="18"/>
              </w:rPr>
              <w:t>1,774</w:t>
            </w:r>
          </w:p>
        </w:tc>
        <w:tc>
          <w:tcPr>
            <w:tcW w:w="1250" w:type="pct"/>
            <w:vAlign w:val="bottom"/>
          </w:tcPr>
          <w:p w:rsidR="00377C61" w:rsidRPr="00B84D2B" w:rsidRDefault="00377C61" w:rsidP="00766F21">
            <w:pPr>
              <w:spacing w:after="0" w:line="240" w:lineRule="atLeast"/>
              <w:ind w:right="270"/>
              <w:jc w:val="right"/>
              <w:rPr>
                <w:rFonts w:ascii="Times New Roman" w:hAnsi="Times New Roman"/>
                <w:sz w:val="18"/>
                <w:szCs w:val="18"/>
              </w:rPr>
            </w:pPr>
            <w:r w:rsidRPr="00B84D2B">
              <w:rPr>
                <w:rFonts w:ascii="Times New Roman" w:hAnsi="Times New Roman"/>
                <w:sz w:val="18"/>
                <w:szCs w:val="18"/>
              </w:rPr>
              <w:t>2,171,786</w:t>
            </w:r>
          </w:p>
        </w:tc>
      </w:tr>
      <w:tr w:rsidR="00377C61" w:rsidRPr="00B84D2B" w:rsidTr="00766F21">
        <w:trPr>
          <w:cantSplit/>
          <w:trHeight w:val="20"/>
        </w:trPr>
        <w:tc>
          <w:tcPr>
            <w:tcW w:w="1250" w:type="pct"/>
            <w:tcBorders>
              <w:right w:val="single" w:sz="2" w:space="0" w:color="auto"/>
            </w:tcBorders>
            <w:vAlign w:val="bottom"/>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Secondary/</w:t>
            </w:r>
          </w:p>
        </w:tc>
        <w:tc>
          <w:tcPr>
            <w:tcW w:w="1250" w:type="pct"/>
            <w:tcBorders>
              <w:right w:val="single" w:sz="2" w:space="0" w:color="auto"/>
            </w:tcBorders>
            <w:vAlign w:val="bottom"/>
          </w:tcPr>
          <w:p w:rsidR="00377C61" w:rsidRPr="00B84D2B" w:rsidRDefault="00377C61" w:rsidP="00766F21">
            <w:pPr>
              <w:keepNext/>
              <w:keepLines/>
              <w:spacing w:after="0" w:line="240" w:lineRule="atLeast"/>
              <w:ind w:left="80"/>
              <w:rPr>
                <w:rFonts w:ascii="Times New Roman" w:hAnsi="Times New Roman"/>
                <w:color w:val="000000" w:themeColor="text1"/>
                <w:sz w:val="18"/>
                <w:szCs w:val="18"/>
              </w:rPr>
            </w:pPr>
            <w:r w:rsidRPr="00B84D2B">
              <w:rPr>
                <w:rFonts w:ascii="Times New Roman" w:hAnsi="Times New Roman"/>
                <w:color w:val="000000" w:themeColor="text1"/>
                <w:sz w:val="18"/>
                <w:szCs w:val="18"/>
              </w:rPr>
              <w:t>Less than 300</w:t>
            </w:r>
          </w:p>
        </w:tc>
        <w:tc>
          <w:tcPr>
            <w:tcW w:w="1250" w:type="pct"/>
            <w:tcBorders>
              <w:right w:val="single" w:sz="2" w:space="0" w:color="auto"/>
            </w:tcBorders>
            <w:vAlign w:val="bottom"/>
          </w:tcPr>
          <w:p w:rsidR="00377C61" w:rsidRPr="00B84D2B" w:rsidRDefault="00377C61" w:rsidP="00766F21">
            <w:pPr>
              <w:spacing w:after="0" w:line="240" w:lineRule="atLeast"/>
              <w:ind w:right="270"/>
              <w:jc w:val="right"/>
              <w:rPr>
                <w:rFonts w:ascii="Times New Roman" w:hAnsi="Times New Roman"/>
                <w:sz w:val="18"/>
                <w:szCs w:val="18"/>
              </w:rPr>
            </w:pPr>
            <w:r w:rsidRPr="00B84D2B">
              <w:rPr>
                <w:rFonts w:ascii="Times New Roman" w:hAnsi="Times New Roman"/>
                <w:sz w:val="18"/>
                <w:szCs w:val="18"/>
              </w:rPr>
              <w:t>6,014</w:t>
            </w:r>
          </w:p>
        </w:tc>
        <w:tc>
          <w:tcPr>
            <w:tcW w:w="1250" w:type="pct"/>
            <w:vAlign w:val="bottom"/>
          </w:tcPr>
          <w:p w:rsidR="00377C61" w:rsidRPr="00B84D2B" w:rsidRDefault="00377C61" w:rsidP="00766F21">
            <w:pPr>
              <w:spacing w:after="0" w:line="240" w:lineRule="atLeast"/>
              <w:ind w:right="270"/>
              <w:jc w:val="right"/>
              <w:rPr>
                <w:rFonts w:ascii="Times New Roman" w:hAnsi="Times New Roman"/>
                <w:sz w:val="18"/>
                <w:szCs w:val="18"/>
              </w:rPr>
            </w:pPr>
            <w:r w:rsidRPr="00B84D2B">
              <w:rPr>
                <w:rFonts w:ascii="Times New Roman" w:hAnsi="Times New Roman"/>
                <w:sz w:val="18"/>
                <w:szCs w:val="18"/>
              </w:rPr>
              <w:t>913,196</w:t>
            </w:r>
          </w:p>
        </w:tc>
      </w:tr>
      <w:tr w:rsidR="00377C61" w:rsidRPr="00B84D2B" w:rsidTr="00766F21">
        <w:trPr>
          <w:cantSplit/>
          <w:trHeight w:val="20"/>
        </w:trPr>
        <w:tc>
          <w:tcPr>
            <w:tcW w:w="1250" w:type="pct"/>
            <w:tcBorders>
              <w:right w:val="single" w:sz="2"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combined</w:t>
            </w:r>
          </w:p>
        </w:tc>
        <w:tc>
          <w:tcPr>
            <w:tcW w:w="1250" w:type="pct"/>
            <w:tcBorders>
              <w:right w:val="single" w:sz="2" w:space="0" w:color="auto"/>
            </w:tcBorders>
          </w:tcPr>
          <w:p w:rsidR="00377C61" w:rsidRPr="00B84D2B" w:rsidRDefault="00377C61" w:rsidP="00766F21">
            <w:pPr>
              <w:keepNext/>
              <w:keepLines/>
              <w:spacing w:after="0" w:line="240" w:lineRule="atLeast"/>
              <w:ind w:left="80"/>
              <w:rPr>
                <w:rFonts w:ascii="Times New Roman" w:hAnsi="Times New Roman"/>
                <w:color w:val="000000" w:themeColor="text1"/>
                <w:sz w:val="18"/>
                <w:szCs w:val="18"/>
              </w:rPr>
            </w:pPr>
            <w:r w:rsidRPr="00B84D2B">
              <w:rPr>
                <w:rFonts w:ascii="Times New Roman" w:hAnsi="Times New Roman"/>
                <w:color w:val="000000" w:themeColor="text1"/>
                <w:sz w:val="18"/>
                <w:szCs w:val="18"/>
              </w:rPr>
              <w:t>300 to 499</w:t>
            </w:r>
          </w:p>
        </w:tc>
        <w:tc>
          <w:tcPr>
            <w:tcW w:w="1250" w:type="pct"/>
            <w:tcBorders>
              <w:right w:val="single" w:sz="2" w:space="0" w:color="auto"/>
            </w:tcBorders>
            <w:vAlign w:val="bottom"/>
          </w:tcPr>
          <w:p w:rsidR="00377C61" w:rsidRPr="00B84D2B" w:rsidRDefault="00377C61" w:rsidP="00766F21">
            <w:pPr>
              <w:spacing w:after="0" w:line="240" w:lineRule="atLeast"/>
              <w:ind w:right="270"/>
              <w:jc w:val="right"/>
              <w:rPr>
                <w:rFonts w:ascii="Times New Roman" w:hAnsi="Times New Roman"/>
                <w:sz w:val="18"/>
                <w:szCs w:val="18"/>
              </w:rPr>
            </w:pPr>
            <w:r w:rsidRPr="00B84D2B">
              <w:rPr>
                <w:rFonts w:ascii="Times New Roman" w:hAnsi="Times New Roman"/>
                <w:sz w:val="18"/>
                <w:szCs w:val="18"/>
              </w:rPr>
              <w:t>3,297</w:t>
            </w:r>
          </w:p>
        </w:tc>
        <w:tc>
          <w:tcPr>
            <w:tcW w:w="1250" w:type="pct"/>
            <w:vAlign w:val="bottom"/>
          </w:tcPr>
          <w:p w:rsidR="00377C61" w:rsidRPr="00B84D2B" w:rsidRDefault="00377C61" w:rsidP="00766F21">
            <w:pPr>
              <w:spacing w:after="0" w:line="240" w:lineRule="atLeast"/>
              <w:ind w:right="270"/>
              <w:jc w:val="right"/>
              <w:rPr>
                <w:rFonts w:ascii="Times New Roman" w:hAnsi="Times New Roman"/>
                <w:sz w:val="18"/>
                <w:szCs w:val="18"/>
              </w:rPr>
            </w:pPr>
            <w:r w:rsidRPr="00B84D2B">
              <w:rPr>
                <w:rFonts w:ascii="Times New Roman" w:hAnsi="Times New Roman"/>
                <w:sz w:val="18"/>
                <w:szCs w:val="18"/>
              </w:rPr>
              <w:t>1,291,958</w:t>
            </w:r>
          </w:p>
        </w:tc>
      </w:tr>
      <w:tr w:rsidR="00377C61" w:rsidRPr="00B84D2B" w:rsidTr="00766F21">
        <w:trPr>
          <w:cantSplit/>
          <w:trHeight w:val="20"/>
        </w:trPr>
        <w:tc>
          <w:tcPr>
            <w:tcW w:w="1250" w:type="pct"/>
            <w:tcBorders>
              <w:right w:val="single" w:sz="2" w:space="0" w:color="auto"/>
            </w:tcBorders>
          </w:tcPr>
          <w:p w:rsidR="00377C61" w:rsidRPr="00B84D2B" w:rsidRDefault="00377C61" w:rsidP="00766F21">
            <w:pPr>
              <w:keepNext/>
              <w:keepLines/>
              <w:spacing w:after="0" w:line="240" w:lineRule="atLeast"/>
              <w:ind w:left="80"/>
              <w:jc w:val="center"/>
              <w:rPr>
                <w:rFonts w:ascii="Times New Roman" w:hAnsi="Times New Roman"/>
                <w:color w:val="000000" w:themeColor="text1"/>
                <w:sz w:val="18"/>
                <w:szCs w:val="18"/>
              </w:rPr>
            </w:pPr>
          </w:p>
        </w:tc>
        <w:tc>
          <w:tcPr>
            <w:tcW w:w="1250" w:type="pct"/>
            <w:tcBorders>
              <w:right w:val="single" w:sz="2" w:space="0" w:color="auto"/>
            </w:tcBorders>
          </w:tcPr>
          <w:p w:rsidR="00377C61" w:rsidRPr="00B84D2B" w:rsidRDefault="00377C61" w:rsidP="00766F21">
            <w:pPr>
              <w:keepNext/>
              <w:keepLines/>
              <w:spacing w:after="0" w:line="240" w:lineRule="atLeast"/>
              <w:ind w:left="80"/>
              <w:rPr>
                <w:rFonts w:ascii="Times New Roman" w:hAnsi="Times New Roman"/>
                <w:color w:val="000000" w:themeColor="text1"/>
                <w:sz w:val="18"/>
                <w:szCs w:val="18"/>
              </w:rPr>
            </w:pPr>
            <w:r w:rsidRPr="00B84D2B">
              <w:rPr>
                <w:rFonts w:ascii="Times New Roman" w:hAnsi="Times New Roman"/>
                <w:color w:val="000000" w:themeColor="text1"/>
                <w:sz w:val="18"/>
                <w:szCs w:val="18"/>
              </w:rPr>
              <w:t>500 to 999</w:t>
            </w:r>
          </w:p>
        </w:tc>
        <w:tc>
          <w:tcPr>
            <w:tcW w:w="1250" w:type="pct"/>
            <w:tcBorders>
              <w:right w:val="single" w:sz="2" w:space="0" w:color="auto"/>
            </w:tcBorders>
            <w:vAlign w:val="bottom"/>
          </w:tcPr>
          <w:p w:rsidR="00377C61" w:rsidRPr="00B84D2B" w:rsidRDefault="00377C61" w:rsidP="00766F21">
            <w:pPr>
              <w:spacing w:after="0" w:line="240" w:lineRule="atLeast"/>
              <w:ind w:right="270"/>
              <w:jc w:val="right"/>
              <w:rPr>
                <w:rFonts w:ascii="Times New Roman" w:hAnsi="Times New Roman"/>
                <w:sz w:val="18"/>
                <w:szCs w:val="18"/>
              </w:rPr>
            </w:pPr>
            <w:r w:rsidRPr="00B84D2B">
              <w:rPr>
                <w:rFonts w:ascii="Times New Roman" w:hAnsi="Times New Roman"/>
                <w:sz w:val="18"/>
                <w:szCs w:val="18"/>
              </w:rPr>
              <w:t>4,157</w:t>
            </w:r>
          </w:p>
        </w:tc>
        <w:tc>
          <w:tcPr>
            <w:tcW w:w="1250" w:type="pct"/>
            <w:vAlign w:val="bottom"/>
          </w:tcPr>
          <w:p w:rsidR="00377C61" w:rsidRPr="00B84D2B" w:rsidRDefault="00377C61" w:rsidP="00766F21">
            <w:pPr>
              <w:spacing w:after="0" w:line="240" w:lineRule="atLeast"/>
              <w:ind w:right="270"/>
              <w:jc w:val="right"/>
              <w:rPr>
                <w:rFonts w:ascii="Times New Roman" w:hAnsi="Times New Roman"/>
                <w:sz w:val="18"/>
                <w:szCs w:val="18"/>
              </w:rPr>
            </w:pPr>
            <w:r w:rsidRPr="00B84D2B">
              <w:rPr>
                <w:rFonts w:ascii="Times New Roman" w:hAnsi="Times New Roman"/>
                <w:sz w:val="18"/>
                <w:szCs w:val="18"/>
              </w:rPr>
              <w:t>2,961,578</w:t>
            </w:r>
          </w:p>
        </w:tc>
      </w:tr>
      <w:tr w:rsidR="00377C61" w:rsidRPr="00B84D2B" w:rsidTr="00766F21">
        <w:trPr>
          <w:cantSplit/>
          <w:trHeight w:val="20"/>
        </w:trPr>
        <w:tc>
          <w:tcPr>
            <w:tcW w:w="1250" w:type="pct"/>
            <w:tcBorders>
              <w:right w:val="single" w:sz="2" w:space="0" w:color="auto"/>
            </w:tcBorders>
          </w:tcPr>
          <w:p w:rsidR="00377C61" w:rsidRPr="00B84D2B" w:rsidRDefault="00377C61" w:rsidP="00766F21">
            <w:pPr>
              <w:keepNext/>
              <w:keepLines/>
              <w:spacing w:after="0" w:line="240" w:lineRule="atLeast"/>
              <w:ind w:left="80"/>
              <w:jc w:val="center"/>
              <w:rPr>
                <w:rFonts w:ascii="Times New Roman" w:hAnsi="Times New Roman"/>
                <w:color w:val="000000" w:themeColor="text1"/>
                <w:sz w:val="18"/>
                <w:szCs w:val="18"/>
              </w:rPr>
            </w:pPr>
          </w:p>
        </w:tc>
        <w:tc>
          <w:tcPr>
            <w:tcW w:w="1250" w:type="pct"/>
            <w:tcBorders>
              <w:right w:val="single" w:sz="2" w:space="0" w:color="auto"/>
            </w:tcBorders>
          </w:tcPr>
          <w:p w:rsidR="00377C61" w:rsidRPr="00B84D2B" w:rsidRDefault="00377C61" w:rsidP="00766F21">
            <w:pPr>
              <w:keepNext/>
              <w:keepLines/>
              <w:spacing w:after="0" w:line="240" w:lineRule="atLeast"/>
              <w:ind w:left="80"/>
              <w:rPr>
                <w:rFonts w:ascii="Times New Roman" w:hAnsi="Times New Roman"/>
                <w:color w:val="000000" w:themeColor="text1"/>
                <w:sz w:val="18"/>
                <w:szCs w:val="18"/>
              </w:rPr>
            </w:pPr>
            <w:r w:rsidRPr="00B84D2B">
              <w:rPr>
                <w:rFonts w:ascii="Times New Roman" w:hAnsi="Times New Roman"/>
                <w:color w:val="000000" w:themeColor="text1"/>
                <w:sz w:val="18"/>
                <w:szCs w:val="18"/>
              </w:rPr>
              <w:t>1,000 or more</w:t>
            </w:r>
          </w:p>
        </w:tc>
        <w:tc>
          <w:tcPr>
            <w:tcW w:w="1250" w:type="pct"/>
            <w:tcBorders>
              <w:right w:val="single" w:sz="2" w:space="0" w:color="auto"/>
            </w:tcBorders>
            <w:vAlign w:val="bottom"/>
          </w:tcPr>
          <w:p w:rsidR="00377C61" w:rsidRPr="00B84D2B" w:rsidRDefault="00377C61" w:rsidP="00766F21">
            <w:pPr>
              <w:spacing w:after="0" w:line="240" w:lineRule="atLeast"/>
              <w:ind w:right="270"/>
              <w:jc w:val="right"/>
              <w:rPr>
                <w:rFonts w:ascii="Times New Roman" w:hAnsi="Times New Roman"/>
                <w:sz w:val="18"/>
                <w:szCs w:val="18"/>
              </w:rPr>
            </w:pPr>
            <w:r w:rsidRPr="00B84D2B">
              <w:rPr>
                <w:rFonts w:ascii="Times New Roman" w:hAnsi="Times New Roman"/>
                <w:sz w:val="18"/>
                <w:szCs w:val="18"/>
              </w:rPr>
              <w:t>5,718</w:t>
            </w:r>
          </w:p>
        </w:tc>
        <w:tc>
          <w:tcPr>
            <w:tcW w:w="1250" w:type="pct"/>
            <w:vAlign w:val="bottom"/>
          </w:tcPr>
          <w:p w:rsidR="00377C61" w:rsidRPr="00B84D2B" w:rsidRDefault="00377C61" w:rsidP="00766F21">
            <w:pPr>
              <w:spacing w:after="0" w:line="240" w:lineRule="atLeast"/>
              <w:ind w:right="270"/>
              <w:jc w:val="right"/>
              <w:rPr>
                <w:rFonts w:ascii="Times New Roman" w:hAnsi="Times New Roman"/>
                <w:sz w:val="18"/>
                <w:szCs w:val="18"/>
              </w:rPr>
            </w:pPr>
            <w:r w:rsidRPr="00B84D2B">
              <w:rPr>
                <w:rFonts w:ascii="Times New Roman" w:hAnsi="Times New Roman"/>
                <w:sz w:val="18"/>
                <w:szCs w:val="18"/>
              </w:rPr>
              <w:t>9,883,458</w:t>
            </w:r>
          </w:p>
        </w:tc>
      </w:tr>
      <w:tr w:rsidR="00377C61" w:rsidRPr="00B84D2B" w:rsidTr="00766F21">
        <w:trPr>
          <w:cantSplit/>
          <w:trHeight w:val="20"/>
        </w:trPr>
        <w:tc>
          <w:tcPr>
            <w:tcW w:w="1250" w:type="pct"/>
            <w:tcBorders>
              <w:bottom w:val="single" w:sz="2" w:space="0" w:color="auto"/>
              <w:right w:val="single" w:sz="2" w:space="0" w:color="auto"/>
            </w:tcBorders>
          </w:tcPr>
          <w:p w:rsidR="00377C61" w:rsidRPr="00B84D2B" w:rsidRDefault="00377C61" w:rsidP="00766F21">
            <w:pPr>
              <w:keepNext/>
              <w:keepLines/>
              <w:spacing w:after="0" w:line="240" w:lineRule="atLeast"/>
              <w:ind w:left="80"/>
              <w:jc w:val="right"/>
              <w:rPr>
                <w:rFonts w:ascii="Times New Roman" w:hAnsi="Times New Roman"/>
                <w:color w:val="000000" w:themeColor="text1"/>
                <w:sz w:val="18"/>
                <w:szCs w:val="18"/>
              </w:rPr>
            </w:pPr>
          </w:p>
        </w:tc>
        <w:tc>
          <w:tcPr>
            <w:tcW w:w="1250" w:type="pct"/>
            <w:tcBorders>
              <w:bottom w:val="single" w:sz="2" w:space="0" w:color="auto"/>
              <w:right w:val="single" w:sz="2" w:space="0" w:color="auto"/>
            </w:tcBorders>
          </w:tcPr>
          <w:p w:rsidR="00377C61" w:rsidRPr="00B84D2B" w:rsidRDefault="00377C61" w:rsidP="00766F21">
            <w:pPr>
              <w:keepNext/>
              <w:keepLines/>
              <w:spacing w:after="0" w:line="240" w:lineRule="atLeast"/>
              <w:jc w:val="right"/>
              <w:rPr>
                <w:rFonts w:ascii="Times New Roman" w:hAnsi="Times New Roman"/>
                <w:color w:val="000000" w:themeColor="text1"/>
                <w:sz w:val="18"/>
                <w:szCs w:val="18"/>
              </w:rPr>
            </w:pPr>
          </w:p>
        </w:tc>
        <w:tc>
          <w:tcPr>
            <w:tcW w:w="1250" w:type="pct"/>
            <w:tcBorders>
              <w:bottom w:val="single" w:sz="2" w:space="0" w:color="auto"/>
              <w:right w:val="single" w:sz="2" w:space="0" w:color="auto"/>
            </w:tcBorders>
            <w:vAlign w:val="bottom"/>
          </w:tcPr>
          <w:p w:rsidR="00377C61" w:rsidRPr="00B84D2B" w:rsidRDefault="00377C61" w:rsidP="00766F21">
            <w:pPr>
              <w:keepNext/>
              <w:keepLines/>
              <w:spacing w:after="0" w:line="240" w:lineRule="atLeast"/>
              <w:ind w:left="-270" w:right="270"/>
              <w:jc w:val="right"/>
              <w:rPr>
                <w:rFonts w:ascii="Times New Roman" w:hAnsi="Times New Roman"/>
                <w:color w:val="000000" w:themeColor="text1"/>
                <w:sz w:val="18"/>
                <w:szCs w:val="18"/>
              </w:rPr>
            </w:pPr>
          </w:p>
        </w:tc>
        <w:tc>
          <w:tcPr>
            <w:tcW w:w="1250" w:type="pct"/>
            <w:tcBorders>
              <w:bottom w:val="single" w:sz="2" w:space="0" w:color="auto"/>
            </w:tcBorders>
            <w:vAlign w:val="bottom"/>
          </w:tcPr>
          <w:p w:rsidR="00377C61" w:rsidRPr="00B84D2B" w:rsidRDefault="00377C61" w:rsidP="00766F21">
            <w:pPr>
              <w:keepNext/>
              <w:keepLines/>
              <w:spacing w:after="0" w:line="240" w:lineRule="atLeast"/>
              <w:ind w:left="-270" w:right="270"/>
              <w:jc w:val="right"/>
              <w:rPr>
                <w:rFonts w:ascii="Times New Roman" w:hAnsi="Times New Roman"/>
                <w:color w:val="000000" w:themeColor="text1"/>
                <w:sz w:val="18"/>
                <w:szCs w:val="18"/>
              </w:rPr>
            </w:pPr>
          </w:p>
        </w:tc>
      </w:tr>
      <w:tr w:rsidR="00377C61" w:rsidRPr="00B84D2B" w:rsidTr="00766F21">
        <w:trPr>
          <w:cantSplit/>
          <w:trHeight w:val="20"/>
        </w:trPr>
        <w:tc>
          <w:tcPr>
            <w:tcW w:w="1250" w:type="pct"/>
            <w:tcBorders>
              <w:bottom w:val="single" w:sz="2" w:space="0" w:color="auto"/>
              <w:right w:val="single" w:sz="2" w:space="0" w:color="auto"/>
            </w:tcBorders>
            <w:vAlign w:val="center"/>
          </w:tcPr>
          <w:p w:rsidR="00377C61" w:rsidRPr="00B84D2B" w:rsidRDefault="00377C61" w:rsidP="00766F21">
            <w:pPr>
              <w:keepNext/>
              <w:keepLines/>
              <w:spacing w:after="0" w:line="240" w:lineRule="atLeast"/>
              <w:ind w:left="80"/>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Total**</w:t>
            </w:r>
          </w:p>
        </w:tc>
        <w:tc>
          <w:tcPr>
            <w:tcW w:w="1250" w:type="pct"/>
            <w:tcBorders>
              <w:bottom w:val="single" w:sz="2" w:space="0" w:color="auto"/>
              <w:right w:val="single" w:sz="2" w:space="0" w:color="auto"/>
            </w:tcBorders>
            <w:vAlign w:val="center"/>
          </w:tcPr>
          <w:p w:rsidR="00377C61" w:rsidRPr="00B84D2B" w:rsidRDefault="00377C61" w:rsidP="00766F21">
            <w:pPr>
              <w:keepNext/>
              <w:keepLines/>
              <w:spacing w:after="0" w:line="240" w:lineRule="atLeast"/>
              <w:jc w:val="right"/>
              <w:rPr>
                <w:rFonts w:ascii="Times New Roman" w:hAnsi="Times New Roman"/>
                <w:color w:val="000000" w:themeColor="text1"/>
                <w:sz w:val="18"/>
                <w:szCs w:val="18"/>
              </w:rPr>
            </w:pPr>
          </w:p>
        </w:tc>
        <w:tc>
          <w:tcPr>
            <w:tcW w:w="1250" w:type="pct"/>
            <w:tcBorders>
              <w:bottom w:val="single" w:sz="2" w:space="0" w:color="auto"/>
              <w:right w:val="single" w:sz="2" w:space="0" w:color="auto"/>
            </w:tcBorders>
            <w:vAlign w:val="center"/>
          </w:tcPr>
          <w:p w:rsidR="00377C61" w:rsidRPr="00B84D2B" w:rsidRDefault="00377C61" w:rsidP="00766F21">
            <w:pPr>
              <w:spacing w:after="0" w:line="240" w:lineRule="atLeast"/>
              <w:ind w:right="270"/>
              <w:jc w:val="right"/>
              <w:rPr>
                <w:rFonts w:ascii="Times New Roman" w:hAnsi="Times New Roman"/>
                <w:sz w:val="18"/>
                <w:szCs w:val="18"/>
              </w:rPr>
            </w:pPr>
            <w:r w:rsidRPr="00B84D2B">
              <w:rPr>
                <w:rFonts w:ascii="Times New Roman" w:hAnsi="Times New Roman"/>
                <w:sz w:val="18"/>
                <w:szCs w:val="18"/>
              </w:rPr>
              <w:t>86,753</w:t>
            </w:r>
          </w:p>
        </w:tc>
        <w:tc>
          <w:tcPr>
            <w:tcW w:w="1250" w:type="pct"/>
            <w:tcBorders>
              <w:bottom w:val="single" w:sz="2" w:space="0" w:color="auto"/>
            </w:tcBorders>
            <w:vAlign w:val="center"/>
          </w:tcPr>
          <w:p w:rsidR="00377C61" w:rsidRPr="00B84D2B" w:rsidRDefault="00377C61" w:rsidP="00766F21">
            <w:pPr>
              <w:spacing w:after="0" w:line="240" w:lineRule="atLeast"/>
              <w:ind w:right="270"/>
              <w:jc w:val="right"/>
              <w:rPr>
                <w:rFonts w:ascii="Times New Roman" w:hAnsi="Times New Roman"/>
                <w:sz w:val="18"/>
                <w:szCs w:val="18"/>
              </w:rPr>
            </w:pPr>
            <w:r w:rsidRPr="00B84D2B">
              <w:rPr>
                <w:rFonts w:ascii="Times New Roman" w:hAnsi="Times New Roman"/>
                <w:sz w:val="18"/>
                <w:szCs w:val="18"/>
              </w:rPr>
              <w:t>47,982,908</w:t>
            </w:r>
          </w:p>
        </w:tc>
      </w:tr>
    </w:tbl>
    <w:p w:rsidR="00377C61" w:rsidRPr="00181F22" w:rsidRDefault="00377C61" w:rsidP="00766F21">
      <w:pPr>
        <w:spacing w:after="0" w:line="240" w:lineRule="atLeast"/>
        <w:ind w:left="274" w:hanging="274"/>
        <w:rPr>
          <w:rFonts w:ascii="Times New Roman" w:hAnsi="Times New Roman"/>
          <w:color w:val="000000" w:themeColor="text1"/>
          <w:sz w:val="18"/>
          <w:szCs w:val="18"/>
        </w:rPr>
      </w:pPr>
      <w:r w:rsidRPr="00181F22">
        <w:rPr>
          <w:rFonts w:ascii="Times New Roman" w:hAnsi="Times New Roman"/>
          <w:color w:val="000000" w:themeColor="text1"/>
          <w:sz w:val="18"/>
          <w:szCs w:val="18"/>
        </w:rPr>
        <w:t>*</w:t>
      </w:r>
      <w:r w:rsidRPr="00181F22">
        <w:rPr>
          <w:rFonts w:ascii="Times New Roman" w:hAnsi="Times New Roman"/>
          <w:color w:val="000000" w:themeColor="text1"/>
          <w:sz w:val="18"/>
          <w:szCs w:val="18"/>
        </w:rPr>
        <w:tab/>
        <w:t xml:space="preserve">See Table </w:t>
      </w:r>
      <w:r w:rsidR="0085279D">
        <w:rPr>
          <w:rFonts w:ascii="Times New Roman" w:hAnsi="Times New Roman"/>
          <w:color w:val="000000" w:themeColor="text1"/>
          <w:sz w:val="18"/>
          <w:szCs w:val="18"/>
        </w:rPr>
        <w:t>4</w:t>
      </w:r>
      <w:r w:rsidRPr="00181F22">
        <w:rPr>
          <w:rFonts w:ascii="Times New Roman" w:hAnsi="Times New Roman"/>
          <w:color w:val="000000" w:themeColor="text1"/>
          <w:sz w:val="18"/>
          <w:szCs w:val="18"/>
        </w:rPr>
        <w:t xml:space="preserve"> for definitions.</w:t>
      </w:r>
    </w:p>
    <w:p w:rsidR="00377C61" w:rsidRPr="00181F22" w:rsidRDefault="00377C61" w:rsidP="00766F21">
      <w:pPr>
        <w:spacing w:after="0" w:line="240" w:lineRule="atLeast"/>
        <w:ind w:left="274" w:hanging="274"/>
        <w:rPr>
          <w:rFonts w:ascii="Times New Roman" w:hAnsi="Times New Roman"/>
          <w:color w:val="000000" w:themeColor="text1"/>
          <w:sz w:val="18"/>
          <w:szCs w:val="18"/>
        </w:rPr>
      </w:pPr>
      <w:r w:rsidRPr="00181F22">
        <w:rPr>
          <w:rFonts w:ascii="Times New Roman" w:hAnsi="Times New Roman"/>
          <w:color w:val="000000" w:themeColor="text1"/>
          <w:sz w:val="18"/>
          <w:szCs w:val="18"/>
        </w:rPr>
        <w:t>**</w:t>
      </w:r>
      <w:r w:rsidRPr="00181F22">
        <w:rPr>
          <w:rFonts w:ascii="Times New Roman" w:hAnsi="Times New Roman"/>
          <w:color w:val="000000" w:themeColor="text1"/>
          <w:sz w:val="18"/>
          <w:szCs w:val="18"/>
        </w:rPr>
        <w:tab/>
        <w:t>The counts in this table are based on data in the 2010</w:t>
      </w:r>
      <w:r>
        <w:rPr>
          <w:rFonts w:ascii="Times New Roman" w:hAnsi="Times New Roman"/>
          <w:color w:val="000000" w:themeColor="text1"/>
          <w:sz w:val="18"/>
          <w:szCs w:val="18"/>
        </w:rPr>
        <w:t>–</w:t>
      </w:r>
      <w:r w:rsidRPr="00181F22">
        <w:rPr>
          <w:rFonts w:ascii="Times New Roman" w:hAnsi="Times New Roman"/>
          <w:color w:val="000000" w:themeColor="text1"/>
          <w:sz w:val="18"/>
          <w:szCs w:val="18"/>
        </w:rPr>
        <w:t>2011 CCD public school universe file, and exclude special education, vocational, and alternative/other schools, schools with a high grade of kindergarten or lower, ungraded schools, and schools in the outlying U.S. territories.</w:t>
      </w:r>
    </w:p>
    <w:p w:rsidR="00377C61" w:rsidRPr="00642D1F" w:rsidRDefault="00377C61" w:rsidP="00377C61">
      <w:pPr>
        <w:ind w:left="1340"/>
        <w:rPr>
          <w:rFonts w:ascii="Times New Roman" w:hAnsi="Times New Roman"/>
          <w:color w:val="000000" w:themeColor="text1"/>
          <w:sz w:val="20"/>
        </w:rPr>
      </w:pPr>
    </w:p>
    <w:p w:rsidR="00377C61" w:rsidRPr="00B84D2B" w:rsidRDefault="00B84D2B" w:rsidP="00377C61">
      <w:pPr>
        <w:keepNext/>
        <w:keepLines/>
        <w:rPr>
          <w:rFonts w:ascii="Times New Roman" w:hAnsi="Times New Roman"/>
          <w:b/>
          <w:color w:val="000000" w:themeColor="text1"/>
          <w:sz w:val="20"/>
        </w:rPr>
      </w:pPr>
      <w:r>
        <w:rPr>
          <w:rFonts w:ascii="Times New Roman" w:hAnsi="Times New Roman"/>
          <w:b/>
          <w:color w:val="000000" w:themeColor="text1"/>
          <w:sz w:val="20"/>
        </w:rPr>
        <w:br w:type="column"/>
      </w:r>
      <w:r w:rsidR="001130B6" w:rsidRPr="00B84D2B">
        <w:rPr>
          <w:rFonts w:ascii="Times New Roman" w:hAnsi="Times New Roman"/>
          <w:b/>
          <w:color w:val="000000" w:themeColor="text1"/>
          <w:sz w:val="20"/>
        </w:rPr>
        <w:lastRenderedPageBreak/>
        <w:t>Table 4</w:t>
      </w:r>
      <w:r w:rsidR="00377C61" w:rsidRPr="00B84D2B">
        <w:rPr>
          <w:rFonts w:ascii="Times New Roman" w:hAnsi="Times New Roman"/>
          <w:b/>
          <w:color w:val="000000" w:themeColor="text1"/>
          <w:sz w:val="20"/>
        </w:rPr>
        <w:t>.  Definition of instructional level categories for the school safety survey</w:t>
      </w:r>
    </w:p>
    <w:tbl>
      <w:tblPr>
        <w:tblW w:w="0" w:type="auto"/>
        <w:tblLayout w:type="fixed"/>
        <w:tblCellMar>
          <w:left w:w="0" w:type="dxa"/>
          <w:right w:w="0" w:type="dxa"/>
        </w:tblCellMar>
        <w:tblLook w:val="0000" w:firstRow="0" w:lastRow="0" w:firstColumn="0" w:lastColumn="0" w:noHBand="0" w:noVBand="0"/>
      </w:tblPr>
      <w:tblGrid>
        <w:gridCol w:w="810"/>
        <w:gridCol w:w="662"/>
        <w:gridCol w:w="662"/>
        <w:gridCol w:w="662"/>
        <w:gridCol w:w="662"/>
        <w:gridCol w:w="662"/>
        <w:gridCol w:w="662"/>
        <w:gridCol w:w="662"/>
        <w:gridCol w:w="662"/>
        <w:gridCol w:w="662"/>
        <w:gridCol w:w="662"/>
        <w:gridCol w:w="662"/>
        <w:gridCol w:w="667"/>
      </w:tblGrid>
      <w:tr w:rsidR="00C44AF0" w:rsidRPr="00B84D2B" w:rsidTr="00C44AF0">
        <w:trPr>
          <w:cantSplit/>
          <w:trHeight w:hRule="exact" w:val="288"/>
        </w:trPr>
        <w:tc>
          <w:tcPr>
            <w:tcW w:w="810" w:type="dxa"/>
            <w:vMerge w:val="restart"/>
            <w:tcBorders>
              <w:top w:val="single" w:sz="6" w:space="0" w:color="auto"/>
              <w:right w:val="single" w:sz="6" w:space="0" w:color="auto"/>
            </w:tcBorders>
            <w:vAlign w:val="bottom"/>
          </w:tcPr>
          <w:p w:rsidR="00C44AF0" w:rsidRPr="00B84D2B" w:rsidRDefault="00C44AF0" w:rsidP="00C44AF0">
            <w:pPr>
              <w:keepNext/>
              <w:keepLines/>
              <w:spacing w:after="0" w:line="240" w:lineRule="atLeast"/>
              <w:rPr>
                <w:rFonts w:ascii="Times New Roman" w:hAnsi="Times New Roman"/>
                <w:color w:val="000000" w:themeColor="text1"/>
                <w:sz w:val="18"/>
                <w:szCs w:val="18"/>
              </w:rPr>
            </w:pPr>
            <w:r w:rsidRPr="00B84D2B">
              <w:rPr>
                <w:rFonts w:ascii="Times New Roman" w:hAnsi="Times New Roman"/>
                <w:color w:val="000000" w:themeColor="text1"/>
                <w:sz w:val="18"/>
                <w:szCs w:val="18"/>
              </w:rPr>
              <w:t>Low</w:t>
            </w:r>
          </w:p>
          <w:p w:rsidR="00C44AF0" w:rsidRPr="00B84D2B" w:rsidRDefault="00C44AF0" w:rsidP="00C44AF0">
            <w:pPr>
              <w:keepNext/>
              <w:keepLines/>
              <w:spacing w:after="0" w:line="240" w:lineRule="atLeast"/>
              <w:rPr>
                <w:rFonts w:ascii="Times New Roman" w:hAnsi="Times New Roman"/>
                <w:color w:val="000000" w:themeColor="text1"/>
                <w:sz w:val="18"/>
                <w:szCs w:val="18"/>
              </w:rPr>
            </w:pPr>
            <w:r w:rsidRPr="00B84D2B">
              <w:rPr>
                <w:rFonts w:ascii="Times New Roman" w:hAnsi="Times New Roman"/>
                <w:color w:val="000000" w:themeColor="text1"/>
                <w:sz w:val="18"/>
                <w:szCs w:val="18"/>
              </w:rPr>
              <w:t>Grade</w:t>
            </w:r>
          </w:p>
        </w:tc>
        <w:tc>
          <w:tcPr>
            <w:tcW w:w="7949" w:type="dxa"/>
            <w:gridSpan w:val="12"/>
            <w:tcBorders>
              <w:top w:val="single" w:sz="6" w:space="0" w:color="auto"/>
              <w:bottom w:val="single" w:sz="6" w:space="0" w:color="auto"/>
            </w:tcBorders>
          </w:tcPr>
          <w:p w:rsidR="00C44AF0" w:rsidRPr="00B84D2B" w:rsidRDefault="00C44AF0"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High grade</w:t>
            </w:r>
          </w:p>
          <w:p w:rsidR="00C44AF0" w:rsidRPr="00B84D2B" w:rsidRDefault="00C44AF0" w:rsidP="00766F21">
            <w:pPr>
              <w:keepNext/>
              <w:keepLines/>
              <w:spacing w:after="0" w:line="240" w:lineRule="atLeast"/>
              <w:jc w:val="center"/>
              <w:rPr>
                <w:rFonts w:ascii="Times New Roman" w:hAnsi="Times New Roman"/>
                <w:color w:val="000000" w:themeColor="text1"/>
                <w:sz w:val="18"/>
                <w:szCs w:val="18"/>
              </w:rPr>
            </w:pPr>
          </w:p>
        </w:tc>
      </w:tr>
      <w:tr w:rsidR="00C44AF0" w:rsidRPr="00B84D2B" w:rsidTr="00C44AF0">
        <w:trPr>
          <w:cantSplit/>
          <w:trHeight w:hRule="exact" w:val="288"/>
        </w:trPr>
        <w:tc>
          <w:tcPr>
            <w:tcW w:w="810" w:type="dxa"/>
            <w:vMerge/>
            <w:tcBorders>
              <w:bottom w:val="single" w:sz="6" w:space="0" w:color="auto"/>
              <w:right w:val="single" w:sz="6" w:space="0" w:color="auto"/>
            </w:tcBorders>
          </w:tcPr>
          <w:p w:rsidR="00C44AF0" w:rsidRPr="00B84D2B" w:rsidRDefault="00C44AF0" w:rsidP="00766F21">
            <w:pPr>
              <w:keepNext/>
              <w:keepLines/>
              <w:spacing w:after="0" w:line="240" w:lineRule="atLeast"/>
              <w:jc w:val="center"/>
              <w:rPr>
                <w:rFonts w:ascii="Times New Roman" w:hAnsi="Times New Roman"/>
                <w:color w:val="000000" w:themeColor="text1"/>
                <w:sz w:val="18"/>
                <w:szCs w:val="18"/>
              </w:rPr>
            </w:pPr>
          </w:p>
        </w:tc>
        <w:tc>
          <w:tcPr>
            <w:tcW w:w="662" w:type="dxa"/>
            <w:tcBorders>
              <w:bottom w:val="single" w:sz="6" w:space="0" w:color="auto"/>
              <w:right w:val="single" w:sz="6" w:space="0" w:color="auto"/>
            </w:tcBorders>
          </w:tcPr>
          <w:p w:rsidR="00C44AF0" w:rsidRPr="00B84D2B" w:rsidRDefault="00C44AF0"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1</w:t>
            </w:r>
          </w:p>
        </w:tc>
        <w:tc>
          <w:tcPr>
            <w:tcW w:w="662" w:type="dxa"/>
            <w:tcBorders>
              <w:bottom w:val="single" w:sz="6" w:space="0" w:color="auto"/>
              <w:right w:val="single" w:sz="6" w:space="0" w:color="auto"/>
            </w:tcBorders>
          </w:tcPr>
          <w:p w:rsidR="00C44AF0" w:rsidRPr="00B84D2B" w:rsidRDefault="00C44AF0"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2</w:t>
            </w:r>
          </w:p>
        </w:tc>
        <w:tc>
          <w:tcPr>
            <w:tcW w:w="662" w:type="dxa"/>
            <w:tcBorders>
              <w:bottom w:val="single" w:sz="6" w:space="0" w:color="auto"/>
              <w:right w:val="single" w:sz="6" w:space="0" w:color="auto"/>
            </w:tcBorders>
          </w:tcPr>
          <w:p w:rsidR="00C44AF0" w:rsidRPr="00B84D2B" w:rsidRDefault="00C44AF0"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3</w:t>
            </w:r>
          </w:p>
        </w:tc>
        <w:tc>
          <w:tcPr>
            <w:tcW w:w="662" w:type="dxa"/>
            <w:tcBorders>
              <w:bottom w:val="single" w:sz="6" w:space="0" w:color="auto"/>
              <w:right w:val="single" w:sz="6" w:space="0" w:color="auto"/>
            </w:tcBorders>
          </w:tcPr>
          <w:p w:rsidR="00C44AF0" w:rsidRPr="00B84D2B" w:rsidRDefault="00C44AF0"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4</w:t>
            </w:r>
          </w:p>
        </w:tc>
        <w:tc>
          <w:tcPr>
            <w:tcW w:w="662" w:type="dxa"/>
            <w:tcBorders>
              <w:bottom w:val="single" w:sz="6" w:space="0" w:color="auto"/>
              <w:right w:val="single" w:sz="6" w:space="0" w:color="auto"/>
            </w:tcBorders>
          </w:tcPr>
          <w:p w:rsidR="00C44AF0" w:rsidRPr="00B84D2B" w:rsidRDefault="00C44AF0"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5</w:t>
            </w:r>
          </w:p>
        </w:tc>
        <w:tc>
          <w:tcPr>
            <w:tcW w:w="662" w:type="dxa"/>
            <w:tcBorders>
              <w:bottom w:val="single" w:sz="6" w:space="0" w:color="auto"/>
              <w:right w:val="single" w:sz="6" w:space="0" w:color="auto"/>
            </w:tcBorders>
          </w:tcPr>
          <w:p w:rsidR="00C44AF0" w:rsidRPr="00B84D2B" w:rsidRDefault="00C44AF0"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6</w:t>
            </w:r>
          </w:p>
        </w:tc>
        <w:tc>
          <w:tcPr>
            <w:tcW w:w="662" w:type="dxa"/>
            <w:tcBorders>
              <w:bottom w:val="single" w:sz="6" w:space="0" w:color="auto"/>
              <w:right w:val="single" w:sz="6" w:space="0" w:color="auto"/>
            </w:tcBorders>
          </w:tcPr>
          <w:p w:rsidR="00C44AF0" w:rsidRPr="00B84D2B" w:rsidRDefault="00C44AF0"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7</w:t>
            </w:r>
          </w:p>
        </w:tc>
        <w:tc>
          <w:tcPr>
            <w:tcW w:w="662" w:type="dxa"/>
            <w:tcBorders>
              <w:bottom w:val="single" w:sz="6" w:space="0" w:color="auto"/>
              <w:right w:val="single" w:sz="6" w:space="0" w:color="auto"/>
            </w:tcBorders>
          </w:tcPr>
          <w:p w:rsidR="00C44AF0" w:rsidRPr="00B84D2B" w:rsidRDefault="00C44AF0"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8</w:t>
            </w:r>
          </w:p>
        </w:tc>
        <w:tc>
          <w:tcPr>
            <w:tcW w:w="662" w:type="dxa"/>
            <w:tcBorders>
              <w:bottom w:val="single" w:sz="6" w:space="0" w:color="auto"/>
              <w:right w:val="single" w:sz="6" w:space="0" w:color="auto"/>
            </w:tcBorders>
          </w:tcPr>
          <w:p w:rsidR="00C44AF0" w:rsidRPr="00B84D2B" w:rsidRDefault="00C44AF0"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9</w:t>
            </w:r>
          </w:p>
        </w:tc>
        <w:tc>
          <w:tcPr>
            <w:tcW w:w="662" w:type="dxa"/>
            <w:tcBorders>
              <w:bottom w:val="single" w:sz="6" w:space="0" w:color="auto"/>
              <w:right w:val="single" w:sz="6" w:space="0" w:color="auto"/>
            </w:tcBorders>
          </w:tcPr>
          <w:p w:rsidR="00C44AF0" w:rsidRPr="00B84D2B" w:rsidRDefault="00C44AF0"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10</w:t>
            </w:r>
          </w:p>
        </w:tc>
        <w:tc>
          <w:tcPr>
            <w:tcW w:w="662" w:type="dxa"/>
            <w:tcBorders>
              <w:bottom w:val="single" w:sz="6" w:space="0" w:color="auto"/>
              <w:right w:val="single" w:sz="6" w:space="0" w:color="auto"/>
            </w:tcBorders>
          </w:tcPr>
          <w:p w:rsidR="00C44AF0" w:rsidRPr="00B84D2B" w:rsidRDefault="00C44AF0"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11</w:t>
            </w:r>
          </w:p>
        </w:tc>
        <w:tc>
          <w:tcPr>
            <w:tcW w:w="667" w:type="dxa"/>
            <w:tcBorders>
              <w:bottom w:val="single" w:sz="6" w:space="0" w:color="auto"/>
            </w:tcBorders>
          </w:tcPr>
          <w:p w:rsidR="00C44AF0" w:rsidRPr="00B84D2B" w:rsidRDefault="00C44AF0"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12</w:t>
            </w:r>
          </w:p>
        </w:tc>
      </w:tr>
      <w:tr w:rsidR="00377C61" w:rsidRPr="00B84D2B" w:rsidTr="00C44AF0">
        <w:trPr>
          <w:cantSplit/>
          <w:trHeight w:val="240"/>
        </w:trPr>
        <w:tc>
          <w:tcPr>
            <w:tcW w:w="810" w:type="dxa"/>
            <w:tcBorders>
              <w:right w:val="single" w:sz="6" w:space="0" w:color="auto"/>
            </w:tcBorders>
            <w:vAlign w:val="bottom"/>
          </w:tcPr>
          <w:p w:rsidR="00377C61" w:rsidRPr="00B84D2B" w:rsidRDefault="00377C61" w:rsidP="00C44AF0">
            <w:pPr>
              <w:keepNext/>
              <w:keepLines/>
              <w:spacing w:after="0" w:line="240" w:lineRule="atLeast"/>
              <w:rPr>
                <w:rFonts w:ascii="Times New Roman" w:hAnsi="Times New Roman"/>
                <w:color w:val="000000" w:themeColor="text1"/>
                <w:sz w:val="18"/>
                <w:szCs w:val="18"/>
              </w:rPr>
            </w:pPr>
            <w:r w:rsidRPr="00B84D2B">
              <w:rPr>
                <w:rFonts w:ascii="Times New Roman" w:hAnsi="Times New Roman"/>
                <w:color w:val="000000" w:themeColor="text1"/>
                <w:sz w:val="18"/>
                <w:szCs w:val="18"/>
              </w:rPr>
              <w:t>PK</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E</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E</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E</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E</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E</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E</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E</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E</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C</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C</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C</w:t>
            </w:r>
          </w:p>
        </w:tc>
        <w:tc>
          <w:tcPr>
            <w:tcW w:w="667" w:type="dxa"/>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C</w:t>
            </w:r>
          </w:p>
        </w:tc>
      </w:tr>
      <w:tr w:rsidR="00377C61" w:rsidRPr="00B84D2B" w:rsidTr="00C44AF0">
        <w:trPr>
          <w:cantSplit/>
          <w:trHeight w:val="240"/>
        </w:trPr>
        <w:tc>
          <w:tcPr>
            <w:tcW w:w="810" w:type="dxa"/>
            <w:tcBorders>
              <w:right w:val="single" w:sz="6" w:space="0" w:color="auto"/>
            </w:tcBorders>
            <w:vAlign w:val="bottom"/>
          </w:tcPr>
          <w:p w:rsidR="00377C61" w:rsidRPr="00B84D2B" w:rsidRDefault="00377C61" w:rsidP="00C44AF0">
            <w:pPr>
              <w:keepNext/>
              <w:keepLines/>
              <w:spacing w:after="0" w:line="240" w:lineRule="atLeast"/>
              <w:rPr>
                <w:rFonts w:ascii="Times New Roman" w:hAnsi="Times New Roman"/>
                <w:color w:val="000000" w:themeColor="text1"/>
                <w:sz w:val="18"/>
                <w:szCs w:val="18"/>
              </w:rPr>
            </w:pPr>
            <w:r w:rsidRPr="00B84D2B">
              <w:rPr>
                <w:rFonts w:ascii="Times New Roman" w:hAnsi="Times New Roman"/>
                <w:color w:val="000000" w:themeColor="text1"/>
                <w:sz w:val="18"/>
                <w:szCs w:val="18"/>
              </w:rPr>
              <w:t>K</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E</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E</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E</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E</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E</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E</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E</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E</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C</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C</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C</w:t>
            </w:r>
          </w:p>
        </w:tc>
        <w:tc>
          <w:tcPr>
            <w:tcW w:w="667" w:type="dxa"/>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C</w:t>
            </w:r>
          </w:p>
        </w:tc>
      </w:tr>
      <w:tr w:rsidR="00377C61" w:rsidRPr="00B84D2B" w:rsidTr="00C44AF0">
        <w:trPr>
          <w:cantSplit/>
          <w:trHeight w:val="240"/>
        </w:trPr>
        <w:tc>
          <w:tcPr>
            <w:tcW w:w="810" w:type="dxa"/>
            <w:tcBorders>
              <w:right w:val="single" w:sz="6" w:space="0" w:color="auto"/>
            </w:tcBorders>
            <w:vAlign w:val="bottom"/>
          </w:tcPr>
          <w:p w:rsidR="00377C61" w:rsidRPr="00B84D2B" w:rsidRDefault="00377C61" w:rsidP="00C44AF0">
            <w:pPr>
              <w:keepNext/>
              <w:keepLines/>
              <w:spacing w:after="0" w:line="240" w:lineRule="atLeast"/>
              <w:rPr>
                <w:rFonts w:ascii="Times New Roman" w:hAnsi="Times New Roman"/>
                <w:color w:val="000000" w:themeColor="text1"/>
                <w:sz w:val="18"/>
                <w:szCs w:val="18"/>
              </w:rPr>
            </w:pPr>
            <w:r w:rsidRPr="00B84D2B">
              <w:rPr>
                <w:rFonts w:ascii="Times New Roman" w:hAnsi="Times New Roman"/>
                <w:color w:val="000000" w:themeColor="text1"/>
                <w:sz w:val="18"/>
                <w:szCs w:val="18"/>
              </w:rPr>
              <w:t>1</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E</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E</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E</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E</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E</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E</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E</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E</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C</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C</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C</w:t>
            </w:r>
          </w:p>
        </w:tc>
        <w:tc>
          <w:tcPr>
            <w:tcW w:w="667" w:type="dxa"/>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C</w:t>
            </w:r>
          </w:p>
        </w:tc>
      </w:tr>
      <w:tr w:rsidR="00377C61" w:rsidRPr="00B84D2B" w:rsidTr="00C44AF0">
        <w:trPr>
          <w:cantSplit/>
          <w:trHeight w:val="240"/>
        </w:trPr>
        <w:tc>
          <w:tcPr>
            <w:tcW w:w="810" w:type="dxa"/>
            <w:tcBorders>
              <w:right w:val="single" w:sz="6" w:space="0" w:color="auto"/>
            </w:tcBorders>
            <w:vAlign w:val="bottom"/>
          </w:tcPr>
          <w:p w:rsidR="00377C61" w:rsidRPr="00B84D2B" w:rsidRDefault="00377C61" w:rsidP="00C44AF0">
            <w:pPr>
              <w:keepNext/>
              <w:keepLines/>
              <w:spacing w:after="0" w:line="240" w:lineRule="atLeast"/>
              <w:rPr>
                <w:rFonts w:ascii="Times New Roman" w:hAnsi="Times New Roman"/>
                <w:color w:val="000000" w:themeColor="text1"/>
                <w:sz w:val="18"/>
                <w:szCs w:val="18"/>
              </w:rPr>
            </w:pPr>
            <w:r w:rsidRPr="00B84D2B">
              <w:rPr>
                <w:rFonts w:ascii="Times New Roman" w:hAnsi="Times New Roman"/>
                <w:color w:val="000000" w:themeColor="text1"/>
                <w:sz w:val="18"/>
                <w:szCs w:val="18"/>
              </w:rPr>
              <w:t>2</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E</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E</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E</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E</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E</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E</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E</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C</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C</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C</w:t>
            </w:r>
          </w:p>
        </w:tc>
        <w:tc>
          <w:tcPr>
            <w:tcW w:w="667" w:type="dxa"/>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C</w:t>
            </w:r>
          </w:p>
        </w:tc>
      </w:tr>
      <w:tr w:rsidR="00377C61" w:rsidRPr="00B84D2B" w:rsidTr="00C44AF0">
        <w:trPr>
          <w:cantSplit/>
          <w:trHeight w:val="240"/>
        </w:trPr>
        <w:tc>
          <w:tcPr>
            <w:tcW w:w="810" w:type="dxa"/>
            <w:tcBorders>
              <w:right w:val="single" w:sz="6" w:space="0" w:color="auto"/>
            </w:tcBorders>
            <w:vAlign w:val="bottom"/>
          </w:tcPr>
          <w:p w:rsidR="00377C61" w:rsidRPr="00B84D2B" w:rsidRDefault="00377C61" w:rsidP="00C44AF0">
            <w:pPr>
              <w:keepNext/>
              <w:keepLines/>
              <w:spacing w:after="0" w:line="240" w:lineRule="atLeast"/>
              <w:rPr>
                <w:rFonts w:ascii="Times New Roman" w:hAnsi="Times New Roman"/>
                <w:color w:val="000000" w:themeColor="text1"/>
                <w:sz w:val="18"/>
                <w:szCs w:val="18"/>
              </w:rPr>
            </w:pPr>
            <w:r w:rsidRPr="00B84D2B">
              <w:rPr>
                <w:rFonts w:ascii="Times New Roman" w:hAnsi="Times New Roman"/>
                <w:color w:val="000000" w:themeColor="text1"/>
                <w:sz w:val="18"/>
                <w:szCs w:val="18"/>
              </w:rPr>
              <w:t>3</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E</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E</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E</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E</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E</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E</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C</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C</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C</w:t>
            </w:r>
          </w:p>
        </w:tc>
        <w:tc>
          <w:tcPr>
            <w:tcW w:w="667" w:type="dxa"/>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C</w:t>
            </w:r>
          </w:p>
        </w:tc>
      </w:tr>
      <w:tr w:rsidR="00377C61" w:rsidRPr="00B84D2B" w:rsidTr="00C44AF0">
        <w:trPr>
          <w:cantSplit/>
          <w:trHeight w:val="240"/>
        </w:trPr>
        <w:tc>
          <w:tcPr>
            <w:tcW w:w="810" w:type="dxa"/>
            <w:tcBorders>
              <w:right w:val="single" w:sz="6" w:space="0" w:color="auto"/>
            </w:tcBorders>
            <w:vAlign w:val="bottom"/>
          </w:tcPr>
          <w:p w:rsidR="00377C61" w:rsidRPr="00B84D2B" w:rsidRDefault="00377C61" w:rsidP="00C44AF0">
            <w:pPr>
              <w:keepNext/>
              <w:keepLines/>
              <w:spacing w:after="0" w:line="240" w:lineRule="atLeast"/>
              <w:rPr>
                <w:rFonts w:ascii="Times New Roman" w:hAnsi="Times New Roman"/>
                <w:color w:val="000000" w:themeColor="text1"/>
                <w:sz w:val="18"/>
                <w:szCs w:val="18"/>
              </w:rPr>
            </w:pPr>
            <w:r w:rsidRPr="00B84D2B">
              <w:rPr>
                <w:rFonts w:ascii="Times New Roman" w:hAnsi="Times New Roman"/>
                <w:color w:val="000000" w:themeColor="text1"/>
                <w:sz w:val="18"/>
                <w:szCs w:val="18"/>
              </w:rPr>
              <w:t>4</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shd w:val="pct20" w:color="auto" w:fill="auto"/>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M</w:t>
            </w:r>
          </w:p>
        </w:tc>
        <w:tc>
          <w:tcPr>
            <w:tcW w:w="662" w:type="dxa"/>
            <w:tcBorders>
              <w:right w:val="single" w:sz="6" w:space="0" w:color="auto"/>
            </w:tcBorders>
            <w:shd w:val="pct20" w:color="auto" w:fill="auto"/>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M</w:t>
            </w:r>
          </w:p>
        </w:tc>
        <w:tc>
          <w:tcPr>
            <w:tcW w:w="662" w:type="dxa"/>
            <w:tcBorders>
              <w:right w:val="single" w:sz="6" w:space="0" w:color="auto"/>
            </w:tcBorders>
            <w:shd w:val="pct20" w:color="auto" w:fill="auto"/>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M</w:t>
            </w:r>
          </w:p>
        </w:tc>
        <w:tc>
          <w:tcPr>
            <w:tcW w:w="662" w:type="dxa"/>
            <w:tcBorders>
              <w:right w:val="single" w:sz="6" w:space="0" w:color="auto"/>
            </w:tcBorders>
            <w:shd w:val="pct20" w:color="auto" w:fill="auto"/>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M</w:t>
            </w:r>
          </w:p>
        </w:tc>
        <w:tc>
          <w:tcPr>
            <w:tcW w:w="662" w:type="dxa"/>
            <w:tcBorders>
              <w:right w:val="single" w:sz="6" w:space="0" w:color="auto"/>
            </w:tcBorders>
            <w:shd w:val="pct20" w:color="auto" w:fill="auto"/>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M</w:t>
            </w:r>
          </w:p>
        </w:tc>
        <w:tc>
          <w:tcPr>
            <w:tcW w:w="662" w:type="dxa"/>
            <w:tcBorders>
              <w:right w:val="single" w:sz="6" w:space="0" w:color="auto"/>
            </w:tcBorders>
            <w:shd w:val="pct20" w:color="auto" w:fill="auto"/>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M</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C</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C</w:t>
            </w:r>
          </w:p>
        </w:tc>
        <w:tc>
          <w:tcPr>
            <w:tcW w:w="667" w:type="dxa"/>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C</w:t>
            </w:r>
          </w:p>
        </w:tc>
      </w:tr>
      <w:tr w:rsidR="00377C61" w:rsidRPr="00B84D2B" w:rsidTr="00C44AF0">
        <w:trPr>
          <w:cantSplit/>
          <w:trHeight w:val="240"/>
        </w:trPr>
        <w:tc>
          <w:tcPr>
            <w:tcW w:w="810" w:type="dxa"/>
            <w:tcBorders>
              <w:right w:val="single" w:sz="6" w:space="0" w:color="auto"/>
            </w:tcBorders>
            <w:vAlign w:val="bottom"/>
          </w:tcPr>
          <w:p w:rsidR="00377C61" w:rsidRPr="00B84D2B" w:rsidRDefault="00377C61" w:rsidP="00C44AF0">
            <w:pPr>
              <w:keepNext/>
              <w:keepLines/>
              <w:spacing w:after="0" w:line="240" w:lineRule="atLeast"/>
              <w:rPr>
                <w:rFonts w:ascii="Times New Roman" w:hAnsi="Times New Roman"/>
                <w:color w:val="000000" w:themeColor="text1"/>
                <w:sz w:val="18"/>
                <w:szCs w:val="18"/>
              </w:rPr>
            </w:pPr>
            <w:r w:rsidRPr="00B84D2B">
              <w:rPr>
                <w:rFonts w:ascii="Times New Roman" w:hAnsi="Times New Roman"/>
                <w:color w:val="000000" w:themeColor="text1"/>
                <w:sz w:val="18"/>
                <w:szCs w:val="18"/>
              </w:rPr>
              <w:t>5</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shd w:val="pct20" w:color="auto" w:fill="auto"/>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M</w:t>
            </w:r>
          </w:p>
        </w:tc>
        <w:tc>
          <w:tcPr>
            <w:tcW w:w="662" w:type="dxa"/>
            <w:tcBorders>
              <w:right w:val="single" w:sz="6" w:space="0" w:color="auto"/>
            </w:tcBorders>
            <w:shd w:val="pct20" w:color="auto" w:fill="auto"/>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M</w:t>
            </w:r>
          </w:p>
        </w:tc>
        <w:tc>
          <w:tcPr>
            <w:tcW w:w="662" w:type="dxa"/>
            <w:tcBorders>
              <w:right w:val="single" w:sz="6" w:space="0" w:color="auto"/>
            </w:tcBorders>
            <w:shd w:val="pct20" w:color="auto" w:fill="auto"/>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M</w:t>
            </w:r>
          </w:p>
        </w:tc>
        <w:tc>
          <w:tcPr>
            <w:tcW w:w="662" w:type="dxa"/>
            <w:tcBorders>
              <w:right w:val="single" w:sz="6" w:space="0" w:color="auto"/>
            </w:tcBorders>
            <w:shd w:val="pct20" w:color="auto" w:fill="auto"/>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M</w:t>
            </w:r>
          </w:p>
        </w:tc>
        <w:tc>
          <w:tcPr>
            <w:tcW w:w="662" w:type="dxa"/>
            <w:tcBorders>
              <w:right w:val="single" w:sz="6" w:space="0" w:color="auto"/>
            </w:tcBorders>
            <w:shd w:val="pct20" w:color="auto" w:fill="auto"/>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M</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C</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C</w:t>
            </w:r>
          </w:p>
        </w:tc>
        <w:tc>
          <w:tcPr>
            <w:tcW w:w="667" w:type="dxa"/>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C</w:t>
            </w:r>
          </w:p>
        </w:tc>
      </w:tr>
      <w:tr w:rsidR="00377C61" w:rsidRPr="00B84D2B" w:rsidTr="00C44AF0">
        <w:trPr>
          <w:cantSplit/>
          <w:trHeight w:val="240"/>
        </w:trPr>
        <w:tc>
          <w:tcPr>
            <w:tcW w:w="810" w:type="dxa"/>
            <w:tcBorders>
              <w:right w:val="single" w:sz="6" w:space="0" w:color="auto"/>
            </w:tcBorders>
            <w:vAlign w:val="bottom"/>
          </w:tcPr>
          <w:p w:rsidR="00377C61" w:rsidRPr="00B84D2B" w:rsidRDefault="00377C61" w:rsidP="00C44AF0">
            <w:pPr>
              <w:keepNext/>
              <w:keepLines/>
              <w:spacing w:after="0" w:line="240" w:lineRule="atLeast"/>
              <w:rPr>
                <w:rFonts w:ascii="Times New Roman" w:hAnsi="Times New Roman"/>
                <w:color w:val="000000" w:themeColor="text1"/>
                <w:sz w:val="18"/>
                <w:szCs w:val="18"/>
              </w:rPr>
            </w:pPr>
            <w:r w:rsidRPr="00B84D2B">
              <w:rPr>
                <w:rFonts w:ascii="Times New Roman" w:hAnsi="Times New Roman"/>
                <w:color w:val="000000" w:themeColor="text1"/>
                <w:sz w:val="18"/>
                <w:szCs w:val="18"/>
              </w:rPr>
              <w:t>6</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shd w:val="pct20" w:color="auto" w:fill="auto"/>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M</w:t>
            </w:r>
          </w:p>
        </w:tc>
        <w:tc>
          <w:tcPr>
            <w:tcW w:w="662" w:type="dxa"/>
            <w:tcBorders>
              <w:right w:val="single" w:sz="6" w:space="0" w:color="auto"/>
            </w:tcBorders>
            <w:shd w:val="pct20" w:color="auto" w:fill="auto"/>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M</w:t>
            </w:r>
          </w:p>
        </w:tc>
        <w:tc>
          <w:tcPr>
            <w:tcW w:w="662" w:type="dxa"/>
            <w:tcBorders>
              <w:right w:val="single" w:sz="6" w:space="0" w:color="auto"/>
            </w:tcBorders>
            <w:shd w:val="pct20" w:color="auto" w:fill="auto"/>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M</w:t>
            </w:r>
          </w:p>
        </w:tc>
        <w:tc>
          <w:tcPr>
            <w:tcW w:w="662" w:type="dxa"/>
            <w:tcBorders>
              <w:right w:val="single" w:sz="6" w:space="0" w:color="auto"/>
            </w:tcBorders>
            <w:shd w:val="pct20" w:color="auto" w:fill="auto"/>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M</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C</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C</w:t>
            </w:r>
          </w:p>
        </w:tc>
        <w:tc>
          <w:tcPr>
            <w:tcW w:w="667" w:type="dxa"/>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C</w:t>
            </w:r>
          </w:p>
        </w:tc>
      </w:tr>
      <w:tr w:rsidR="00377C61" w:rsidRPr="00B84D2B" w:rsidTr="00C44AF0">
        <w:trPr>
          <w:cantSplit/>
          <w:trHeight w:val="240"/>
        </w:trPr>
        <w:tc>
          <w:tcPr>
            <w:tcW w:w="810" w:type="dxa"/>
            <w:tcBorders>
              <w:right w:val="single" w:sz="6" w:space="0" w:color="auto"/>
            </w:tcBorders>
            <w:vAlign w:val="bottom"/>
          </w:tcPr>
          <w:p w:rsidR="00377C61" w:rsidRPr="00B84D2B" w:rsidRDefault="00377C61" w:rsidP="00C44AF0">
            <w:pPr>
              <w:keepNext/>
              <w:keepLines/>
              <w:spacing w:after="0" w:line="240" w:lineRule="atLeast"/>
              <w:rPr>
                <w:rFonts w:ascii="Times New Roman" w:hAnsi="Times New Roman"/>
                <w:color w:val="000000" w:themeColor="text1"/>
                <w:sz w:val="18"/>
                <w:szCs w:val="18"/>
              </w:rPr>
            </w:pPr>
            <w:r w:rsidRPr="00B84D2B">
              <w:rPr>
                <w:rFonts w:ascii="Times New Roman" w:hAnsi="Times New Roman"/>
                <w:color w:val="000000" w:themeColor="text1"/>
                <w:sz w:val="18"/>
                <w:szCs w:val="18"/>
              </w:rPr>
              <w:t>7</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shd w:val="pct20" w:color="auto" w:fill="auto"/>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M</w:t>
            </w:r>
          </w:p>
        </w:tc>
        <w:tc>
          <w:tcPr>
            <w:tcW w:w="662" w:type="dxa"/>
            <w:tcBorders>
              <w:right w:val="single" w:sz="6" w:space="0" w:color="auto"/>
            </w:tcBorders>
            <w:shd w:val="pct20" w:color="auto" w:fill="auto"/>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M</w:t>
            </w:r>
          </w:p>
        </w:tc>
        <w:tc>
          <w:tcPr>
            <w:tcW w:w="662" w:type="dxa"/>
            <w:tcBorders>
              <w:right w:val="single" w:sz="6" w:space="0" w:color="auto"/>
            </w:tcBorders>
            <w:shd w:val="pct20" w:color="auto" w:fill="auto"/>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M</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C</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C</w:t>
            </w:r>
          </w:p>
        </w:tc>
        <w:tc>
          <w:tcPr>
            <w:tcW w:w="667" w:type="dxa"/>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C</w:t>
            </w:r>
          </w:p>
        </w:tc>
      </w:tr>
      <w:tr w:rsidR="00377C61" w:rsidRPr="00B84D2B" w:rsidTr="00C44AF0">
        <w:trPr>
          <w:cantSplit/>
          <w:trHeight w:val="240"/>
        </w:trPr>
        <w:tc>
          <w:tcPr>
            <w:tcW w:w="810" w:type="dxa"/>
            <w:tcBorders>
              <w:right w:val="single" w:sz="6" w:space="0" w:color="auto"/>
            </w:tcBorders>
            <w:vAlign w:val="bottom"/>
          </w:tcPr>
          <w:p w:rsidR="00377C61" w:rsidRPr="00B84D2B" w:rsidRDefault="00377C61" w:rsidP="00C44AF0">
            <w:pPr>
              <w:keepNext/>
              <w:keepLines/>
              <w:spacing w:after="0" w:line="240" w:lineRule="atLeast"/>
              <w:rPr>
                <w:rFonts w:ascii="Times New Roman" w:hAnsi="Times New Roman"/>
                <w:color w:val="000000" w:themeColor="text1"/>
                <w:sz w:val="18"/>
                <w:szCs w:val="18"/>
              </w:rPr>
            </w:pPr>
            <w:r w:rsidRPr="00B84D2B">
              <w:rPr>
                <w:rFonts w:ascii="Times New Roman" w:hAnsi="Times New Roman"/>
                <w:color w:val="000000" w:themeColor="text1"/>
                <w:sz w:val="18"/>
                <w:szCs w:val="18"/>
              </w:rPr>
              <w:t>8</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shd w:val="pct20" w:color="auto" w:fill="auto"/>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M</w:t>
            </w:r>
          </w:p>
        </w:tc>
        <w:tc>
          <w:tcPr>
            <w:tcW w:w="662" w:type="dxa"/>
            <w:tcBorders>
              <w:right w:val="single" w:sz="6" w:space="0" w:color="auto"/>
            </w:tcBorders>
            <w:shd w:val="pct20" w:color="auto" w:fill="auto"/>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M</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C</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C</w:t>
            </w:r>
          </w:p>
        </w:tc>
        <w:tc>
          <w:tcPr>
            <w:tcW w:w="667" w:type="dxa"/>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C</w:t>
            </w:r>
          </w:p>
        </w:tc>
      </w:tr>
      <w:tr w:rsidR="00377C61" w:rsidRPr="00B84D2B" w:rsidTr="00C44AF0">
        <w:trPr>
          <w:cantSplit/>
          <w:trHeight w:val="240"/>
        </w:trPr>
        <w:tc>
          <w:tcPr>
            <w:tcW w:w="810" w:type="dxa"/>
            <w:tcBorders>
              <w:right w:val="single" w:sz="6" w:space="0" w:color="auto"/>
            </w:tcBorders>
            <w:vAlign w:val="bottom"/>
          </w:tcPr>
          <w:p w:rsidR="00377C61" w:rsidRPr="00B84D2B" w:rsidRDefault="00377C61" w:rsidP="00C44AF0">
            <w:pPr>
              <w:keepNext/>
              <w:keepLines/>
              <w:spacing w:after="0" w:line="240" w:lineRule="atLeast"/>
              <w:rPr>
                <w:rFonts w:ascii="Times New Roman" w:hAnsi="Times New Roman"/>
                <w:color w:val="000000" w:themeColor="text1"/>
                <w:sz w:val="18"/>
                <w:szCs w:val="18"/>
              </w:rPr>
            </w:pPr>
            <w:r w:rsidRPr="00B84D2B">
              <w:rPr>
                <w:rFonts w:ascii="Times New Roman" w:hAnsi="Times New Roman"/>
                <w:color w:val="000000" w:themeColor="text1"/>
                <w:sz w:val="18"/>
                <w:szCs w:val="18"/>
              </w:rPr>
              <w:t>9</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shd w:val="pct20" w:color="auto" w:fill="auto"/>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M</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S</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S</w:t>
            </w:r>
          </w:p>
        </w:tc>
        <w:tc>
          <w:tcPr>
            <w:tcW w:w="667" w:type="dxa"/>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S</w:t>
            </w:r>
          </w:p>
        </w:tc>
      </w:tr>
      <w:tr w:rsidR="00377C61" w:rsidRPr="00B84D2B" w:rsidTr="00C44AF0">
        <w:trPr>
          <w:cantSplit/>
          <w:trHeight w:val="240"/>
        </w:trPr>
        <w:tc>
          <w:tcPr>
            <w:tcW w:w="810" w:type="dxa"/>
            <w:tcBorders>
              <w:right w:val="single" w:sz="6" w:space="0" w:color="auto"/>
            </w:tcBorders>
            <w:vAlign w:val="bottom"/>
          </w:tcPr>
          <w:p w:rsidR="00377C61" w:rsidRPr="00B84D2B" w:rsidRDefault="00377C61" w:rsidP="00C44AF0">
            <w:pPr>
              <w:keepNext/>
              <w:keepLines/>
              <w:spacing w:after="0" w:line="240" w:lineRule="atLeast"/>
              <w:rPr>
                <w:rFonts w:ascii="Times New Roman" w:hAnsi="Times New Roman"/>
                <w:color w:val="000000" w:themeColor="text1"/>
                <w:sz w:val="18"/>
                <w:szCs w:val="18"/>
              </w:rPr>
            </w:pPr>
            <w:r w:rsidRPr="00B84D2B">
              <w:rPr>
                <w:rFonts w:ascii="Times New Roman" w:hAnsi="Times New Roman"/>
                <w:color w:val="000000" w:themeColor="text1"/>
                <w:sz w:val="18"/>
                <w:szCs w:val="18"/>
              </w:rPr>
              <w:t>10</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S</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S</w:t>
            </w:r>
          </w:p>
        </w:tc>
        <w:tc>
          <w:tcPr>
            <w:tcW w:w="667" w:type="dxa"/>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S</w:t>
            </w:r>
          </w:p>
        </w:tc>
      </w:tr>
      <w:tr w:rsidR="00377C61" w:rsidRPr="00B84D2B" w:rsidTr="00C44AF0">
        <w:trPr>
          <w:cantSplit/>
          <w:trHeight w:val="240"/>
        </w:trPr>
        <w:tc>
          <w:tcPr>
            <w:tcW w:w="810" w:type="dxa"/>
            <w:tcBorders>
              <w:right w:val="single" w:sz="6" w:space="0" w:color="auto"/>
            </w:tcBorders>
            <w:vAlign w:val="bottom"/>
          </w:tcPr>
          <w:p w:rsidR="00377C61" w:rsidRPr="00B84D2B" w:rsidRDefault="00377C61" w:rsidP="00C44AF0">
            <w:pPr>
              <w:keepNext/>
              <w:keepLines/>
              <w:spacing w:after="0" w:line="240" w:lineRule="atLeast"/>
              <w:rPr>
                <w:rFonts w:ascii="Times New Roman" w:hAnsi="Times New Roman"/>
                <w:color w:val="000000" w:themeColor="text1"/>
                <w:sz w:val="18"/>
                <w:szCs w:val="18"/>
              </w:rPr>
            </w:pPr>
            <w:r w:rsidRPr="00B84D2B">
              <w:rPr>
                <w:rFonts w:ascii="Times New Roman" w:hAnsi="Times New Roman"/>
                <w:color w:val="000000" w:themeColor="text1"/>
                <w:sz w:val="18"/>
                <w:szCs w:val="18"/>
              </w:rPr>
              <w:t>11</w:t>
            </w: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S</w:t>
            </w:r>
          </w:p>
        </w:tc>
        <w:tc>
          <w:tcPr>
            <w:tcW w:w="667" w:type="dxa"/>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S</w:t>
            </w:r>
          </w:p>
        </w:tc>
      </w:tr>
      <w:tr w:rsidR="00377C61" w:rsidRPr="00B84D2B" w:rsidTr="00C44AF0">
        <w:trPr>
          <w:cantSplit/>
          <w:trHeight w:val="240"/>
        </w:trPr>
        <w:tc>
          <w:tcPr>
            <w:tcW w:w="810" w:type="dxa"/>
            <w:tcBorders>
              <w:bottom w:val="single" w:sz="6" w:space="0" w:color="auto"/>
              <w:right w:val="single" w:sz="6" w:space="0" w:color="auto"/>
            </w:tcBorders>
            <w:vAlign w:val="bottom"/>
          </w:tcPr>
          <w:p w:rsidR="00377C61" w:rsidRPr="00B84D2B" w:rsidRDefault="00377C61" w:rsidP="00C44AF0">
            <w:pPr>
              <w:keepNext/>
              <w:keepLines/>
              <w:spacing w:after="0" w:line="240" w:lineRule="atLeast"/>
              <w:rPr>
                <w:rFonts w:ascii="Times New Roman" w:hAnsi="Times New Roman"/>
                <w:color w:val="000000" w:themeColor="text1"/>
                <w:sz w:val="18"/>
                <w:szCs w:val="18"/>
              </w:rPr>
            </w:pPr>
            <w:r w:rsidRPr="00B84D2B">
              <w:rPr>
                <w:rFonts w:ascii="Times New Roman" w:hAnsi="Times New Roman"/>
                <w:color w:val="000000" w:themeColor="text1"/>
                <w:sz w:val="18"/>
                <w:szCs w:val="18"/>
              </w:rPr>
              <w:t>12</w:t>
            </w:r>
          </w:p>
        </w:tc>
        <w:tc>
          <w:tcPr>
            <w:tcW w:w="662" w:type="dxa"/>
            <w:tcBorders>
              <w:bottom w:val="single" w:sz="6" w:space="0" w:color="auto"/>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bottom w:val="single" w:sz="6" w:space="0" w:color="auto"/>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bottom w:val="single" w:sz="6" w:space="0" w:color="auto"/>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bottom w:val="single" w:sz="6" w:space="0" w:color="auto"/>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bottom w:val="single" w:sz="6" w:space="0" w:color="auto"/>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bottom w:val="single" w:sz="6" w:space="0" w:color="auto"/>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bottom w:val="single" w:sz="6" w:space="0" w:color="auto"/>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bottom w:val="single" w:sz="6" w:space="0" w:color="auto"/>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bottom w:val="single" w:sz="6" w:space="0" w:color="auto"/>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bottom w:val="single" w:sz="6" w:space="0" w:color="auto"/>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2" w:type="dxa"/>
            <w:tcBorders>
              <w:bottom w:val="single" w:sz="6" w:space="0" w:color="auto"/>
              <w:right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p>
        </w:tc>
        <w:tc>
          <w:tcPr>
            <w:tcW w:w="667" w:type="dxa"/>
            <w:tcBorders>
              <w:bottom w:val="single" w:sz="6" w:space="0" w:color="auto"/>
            </w:tcBorders>
          </w:tcPr>
          <w:p w:rsidR="00377C61" w:rsidRPr="00B84D2B" w:rsidRDefault="00377C61" w:rsidP="00766F21">
            <w:pPr>
              <w:keepNext/>
              <w:keepLines/>
              <w:spacing w:after="0" w:line="240" w:lineRule="atLeast"/>
              <w:jc w:val="center"/>
              <w:rPr>
                <w:rFonts w:ascii="Times New Roman" w:hAnsi="Times New Roman"/>
                <w:color w:val="000000" w:themeColor="text1"/>
                <w:sz w:val="18"/>
                <w:szCs w:val="18"/>
              </w:rPr>
            </w:pPr>
            <w:r w:rsidRPr="00B84D2B">
              <w:rPr>
                <w:rFonts w:ascii="Times New Roman" w:hAnsi="Times New Roman"/>
                <w:color w:val="000000" w:themeColor="text1"/>
                <w:sz w:val="18"/>
                <w:szCs w:val="18"/>
              </w:rPr>
              <w:t>S</w:t>
            </w:r>
          </w:p>
        </w:tc>
      </w:tr>
    </w:tbl>
    <w:p w:rsidR="00C44AF0" w:rsidRPr="00B84D2B" w:rsidRDefault="00C44AF0" w:rsidP="00B33FEE">
      <w:pPr>
        <w:tabs>
          <w:tab w:val="left" w:pos="662"/>
        </w:tabs>
        <w:spacing w:after="0" w:line="240" w:lineRule="auto"/>
        <w:rPr>
          <w:rFonts w:ascii="Times New Roman" w:hAnsi="Times New Roman"/>
          <w:color w:val="000000" w:themeColor="text1"/>
          <w:sz w:val="18"/>
          <w:szCs w:val="18"/>
        </w:rPr>
      </w:pPr>
      <w:r w:rsidRPr="00B84D2B">
        <w:rPr>
          <w:rFonts w:ascii="Times New Roman" w:hAnsi="Times New Roman"/>
          <w:color w:val="000000" w:themeColor="text1"/>
          <w:sz w:val="18"/>
          <w:szCs w:val="18"/>
        </w:rPr>
        <w:t>E</w:t>
      </w:r>
      <w:r w:rsidRPr="00B84D2B">
        <w:rPr>
          <w:rFonts w:ascii="Times New Roman" w:hAnsi="Times New Roman"/>
          <w:color w:val="000000" w:themeColor="text1"/>
          <w:sz w:val="18"/>
          <w:szCs w:val="18"/>
        </w:rPr>
        <w:tab/>
        <w:t>Elementary</w:t>
      </w:r>
    </w:p>
    <w:p w:rsidR="00C44AF0" w:rsidRPr="00B84D2B" w:rsidRDefault="00C44AF0" w:rsidP="00B33FEE">
      <w:pPr>
        <w:tabs>
          <w:tab w:val="left" w:pos="662"/>
        </w:tabs>
        <w:spacing w:after="0" w:line="240" w:lineRule="auto"/>
        <w:rPr>
          <w:rFonts w:ascii="Times New Roman" w:hAnsi="Times New Roman"/>
          <w:color w:val="000000" w:themeColor="text1"/>
          <w:sz w:val="18"/>
          <w:szCs w:val="18"/>
        </w:rPr>
      </w:pPr>
      <w:r w:rsidRPr="00B84D2B">
        <w:rPr>
          <w:rFonts w:ascii="Times New Roman" w:hAnsi="Times New Roman"/>
          <w:color w:val="000000" w:themeColor="text1"/>
          <w:sz w:val="18"/>
          <w:szCs w:val="18"/>
        </w:rPr>
        <w:t>M</w:t>
      </w:r>
      <w:r w:rsidRPr="00B84D2B">
        <w:rPr>
          <w:rFonts w:ascii="Times New Roman" w:hAnsi="Times New Roman"/>
          <w:color w:val="000000" w:themeColor="text1"/>
          <w:sz w:val="18"/>
          <w:szCs w:val="18"/>
        </w:rPr>
        <w:tab/>
        <w:t>Middle/junior high</w:t>
      </w:r>
    </w:p>
    <w:p w:rsidR="00C44AF0" w:rsidRPr="00B84D2B" w:rsidRDefault="00C44AF0" w:rsidP="00B33FEE">
      <w:pPr>
        <w:tabs>
          <w:tab w:val="left" w:pos="662"/>
        </w:tabs>
        <w:spacing w:after="0" w:line="240" w:lineRule="auto"/>
        <w:rPr>
          <w:rFonts w:ascii="Times New Roman" w:hAnsi="Times New Roman"/>
          <w:color w:val="000000" w:themeColor="text1"/>
          <w:sz w:val="18"/>
          <w:szCs w:val="18"/>
        </w:rPr>
      </w:pPr>
      <w:r w:rsidRPr="00B84D2B">
        <w:rPr>
          <w:rFonts w:ascii="Times New Roman" w:hAnsi="Times New Roman"/>
          <w:color w:val="000000" w:themeColor="text1"/>
          <w:sz w:val="18"/>
          <w:szCs w:val="18"/>
        </w:rPr>
        <w:t>S/C</w:t>
      </w:r>
      <w:r w:rsidRPr="00B84D2B">
        <w:rPr>
          <w:rFonts w:ascii="Times New Roman" w:hAnsi="Times New Roman"/>
          <w:color w:val="000000" w:themeColor="text1"/>
          <w:sz w:val="18"/>
          <w:szCs w:val="18"/>
        </w:rPr>
        <w:tab/>
        <w:t>Senior high/combined</w:t>
      </w:r>
    </w:p>
    <w:p w:rsidR="00377C61" w:rsidRDefault="00377C61" w:rsidP="00B33FEE">
      <w:pPr>
        <w:tabs>
          <w:tab w:val="left" w:pos="720"/>
          <w:tab w:val="left" w:pos="1440"/>
        </w:tabs>
        <w:spacing w:after="0" w:line="240" w:lineRule="auto"/>
        <w:rPr>
          <w:rFonts w:ascii="Times New Roman" w:hAnsi="Times New Roman"/>
          <w:color w:val="000000" w:themeColor="text1"/>
        </w:rPr>
      </w:pPr>
    </w:p>
    <w:p w:rsidR="00377C61" w:rsidRPr="00B84D2B" w:rsidRDefault="00377C61" w:rsidP="00766F21">
      <w:pPr>
        <w:keepNext/>
        <w:keepLines/>
        <w:ind w:left="900" w:right="630" w:hanging="900"/>
        <w:rPr>
          <w:rFonts w:ascii="Times New Roman" w:hAnsi="Times New Roman"/>
          <w:b/>
          <w:color w:val="000000" w:themeColor="text1"/>
          <w:sz w:val="20"/>
        </w:rPr>
      </w:pPr>
      <w:r w:rsidRPr="00B84D2B">
        <w:rPr>
          <w:rFonts w:ascii="Times New Roman" w:hAnsi="Times New Roman"/>
          <w:b/>
          <w:color w:val="000000" w:themeColor="text1"/>
          <w:sz w:val="20"/>
        </w:rPr>
        <w:t xml:space="preserve">Table </w:t>
      </w:r>
      <w:r w:rsidR="001130B6" w:rsidRPr="00B84D2B">
        <w:rPr>
          <w:rFonts w:ascii="Times New Roman" w:hAnsi="Times New Roman"/>
          <w:b/>
          <w:color w:val="000000" w:themeColor="text1"/>
          <w:sz w:val="20"/>
        </w:rPr>
        <w:t>5</w:t>
      </w:r>
      <w:r w:rsidRPr="00B84D2B">
        <w:rPr>
          <w:rFonts w:ascii="Times New Roman" w:hAnsi="Times New Roman"/>
          <w:b/>
          <w:color w:val="000000" w:themeColor="text1"/>
          <w:sz w:val="20"/>
        </w:rPr>
        <w:t>A.</w:t>
      </w:r>
      <w:r w:rsidRPr="00B84D2B">
        <w:rPr>
          <w:rFonts w:ascii="Times New Roman" w:hAnsi="Times New Roman"/>
          <w:b/>
          <w:color w:val="000000" w:themeColor="text1"/>
          <w:sz w:val="20"/>
        </w:rPr>
        <w:tab/>
        <w:t>Expected sample sizes (number of completed interviews) and coefficients of variation</w:t>
      </w:r>
      <w:r w:rsidR="00766F21">
        <w:rPr>
          <w:rFonts w:ascii="Times New Roman" w:hAnsi="Times New Roman"/>
          <w:b/>
          <w:color w:val="000000" w:themeColor="text1"/>
          <w:sz w:val="20"/>
        </w:rPr>
        <w:t>,</w:t>
      </w:r>
      <w:r w:rsidRPr="00B84D2B">
        <w:rPr>
          <w:rFonts w:ascii="Times New Roman" w:hAnsi="Times New Roman"/>
          <w:b/>
          <w:color w:val="000000" w:themeColor="text1"/>
          <w:sz w:val="20"/>
        </w:rPr>
        <w:t xml:space="preserve"> </w:t>
      </w:r>
      <w:r w:rsidR="00766F21">
        <w:rPr>
          <w:rFonts w:ascii="Times New Roman" w:hAnsi="Times New Roman"/>
          <w:b/>
          <w:color w:val="000000" w:themeColor="text1"/>
          <w:sz w:val="20"/>
        </w:rPr>
        <w:br/>
      </w:r>
      <w:r w:rsidRPr="00B84D2B">
        <w:rPr>
          <w:rFonts w:ascii="Times New Roman" w:hAnsi="Times New Roman"/>
          <w:b/>
          <w:color w:val="000000" w:themeColor="text1"/>
          <w:sz w:val="20"/>
        </w:rPr>
        <w:t>by selected analytic domains under the basic option (n = 1,600)</w:t>
      </w:r>
    </w:p>
    <w:tbl>
      <w:tblPr>
        <w:tblW w:w="4907" w:type="pct"/>
        <w:tblInd w:w="115" w:type="dxa"/>
        <w:tblLook w:val="04A0" w:firstRow="1" w:lastRow="0" w:firstColumn="1" w:lastColumn="0" w:noHBand="0" w:noVBand="1"/>
      </w:tblPr>
      <w:tblGrid>
        <w:gridCol w:w="3426"/>
        <w:gridCol w:w="1189"/>
        <w:gridCol w:w="1125"/>
        <w:gridCol w:w="1125"/>
        <w:gridCol w:w="1125"/>
        <w:gridCol w:w="1125"/>
        <w:gridCol w:w="1131"/>
      </w:tblGrid>
      <w:tr w:rsidR="00B84D2B" w:rsidRPr="00B84D2B" w:rsidTr="00C44AF0">
        <w:trPr>
          <w:trHeight w:val="225"/>
        </w:trPr>
        <w:tc>
          <w:tcPr>
            <w:tcW w:w="1672" w:type="pct"/>
            <w:vMerge w:val="restart"/>
            <w:tcBorders>
              <w:top w:val="single" w:sz="4" w:space="0" w:color="auto"/>
              <w:left w:val="nil"/>
              <w:bottom w:val="single" w:sz="4" w:space="0" w:color="auto"/>
              <w:right w:val="single" w:sz="4" w:space="0" w:color="auto"/>
            </w:tcBorders>
            <w:shd w:val="clear" w:color="auto" w:fill="auto"/>
            <w:vAlign w:val="bottom"/>
            <w:hideMark/>
          </w:tcPr>
          <w:p w:rsidR="00B84D2B" w:rsidRPr="00B84D2B" w:rsidRDefault="00B84D2B" w:rsidP="00C44AF0">
            <w:pPr>
              <w:spacing w:after="0" w:line="240" w:lineRule="atLeast"/>
              <w:rPr>
                <w:rFonts w:ascii="Times New Roman" w:hAnsi="Times New Roman"/>
                <w:sz w:val="18"/>
                <w:szCs w:val="18"/>
              </w:rPr>
            </w:pPr>
            <w:r w:rsidRPr="00B84D2B">
              <w:rPr>
                <w:rFonts w:ascii="Times New Roman" w:hAnsi="Times New Roman"/>
                <w:sz w:val="18"/>
                <w:szCs w:val="18"/>
              </w:rPr>
              <w:t>Sample subgroup</w:t>
            </w:r>
          </w:p>
        </w:tc>
        <w:tc>
          <w:tcPr>
            <w:tcW w:w="58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84D2B" w:rsidRPr="00B84D2B" w:rsidRDefault="00B84D2B" w:rsidP="000A54E2">
            <w:pPr>
              <w:spacing w:after="0" w:line="240" w:lineRule="atLeast"/>
              <w:jc w:val="right"/>
              <w:rPr>
                <w:rFonts w:ascii="Times New Roman" w:hAnsi="Times New Roman"/>
                <w:sz w:val="18"/>
                <w:szCs w:val="18"/>
              </w:rPr>
            </w:pPr>
            <w:r w:rsidRPr="00B84D2B">
              <w:rPr>
                <w:rFonts w:ascii="Times New Roman" w:hAnsi="Times New Roman"/>
                <w:sz w:val="18"/>
                <w:szCs w:val="18"/>
              </w:rPr>
              <w:t>Expected sample size</w:t>
            </w:r>
          </w:p>
        </w:tc>
        <w:tc>
          <w:tcPr>
            <w:tcW w:w="2748" w:type="pct"/>
            <w:gridSpan w:val="5"/>
            <w:tcBorders>
              <w:top w:val="single" w:sz="4" w:space="0" w:color="auto"/>
              <w:left w:val="single" w:sz="4" w:space="0" w:color="auto"/>
              <w:bottom w:val="single" w:sz="4" w:space="0" w:color="auto"/>
              <w:right w:val="nil"/>
            </w:tcBorders>
            <w:shd w:val="clear" w:color="auto" w:fill="auto"/>
            <w:vAlign w:val="bottom"/>
            <w:hideMark/>
          </w:tcPr>
          <w:p w:rsidR="00B84D2B" w:rsidRPr="00B84D2B" w:rsidRDefault="00B84D2B" w:rsidP="00766F21">
            <w:pPr>
              <w:spacing w:after="0" w:line="240" w:lineRule="atLeast"/>
              <w:jc w:val="center"/>
              <w:rPr>
                <w:rFonts w:ascii="Times New Roman" w:hAnsi="Times New Roman"/>
                <w:sz w:val="18"/>
                <w:szCs w:val="18"/>
              </w:rPr>
            </w:pPr>
            <w:r w:rsidRPr="00B84D2B">
              <w:rPr>
                <w:rFonts w:ascii="Times New Roman" w:hAnsi="Times New Roman"/>
                <w:sz w:val="18"/>
                <w:szCs w:val="18"/>
              </w:rPr>
              <w:t>Proportion (P) in population</w:t>
            </w:r>
          </w:p>
        </w:tc>
      </w:tr>
      <w:tr w:rsidR="00B84D2B" w:rsidRPr="00B84D2B" w:rsidTr="00C44AF0">
        <w:trPr>
          <w:trHeight w:val="225"/>
        </w:trPr>
        <w:tc>
          <w:tcPr>
            <w:tcW w:w="1672" w:type="pct"/>
            <w:vMerge/>
            <w:tcBorders>
              <w:top w:val="single" w:sz="4" w:space="0" w:color="auto"/>
              <w:left w:val="nil"/>
              <w:bottom w:val="single" w:sz="4" w:space="0" w:color="auto"/>
              <w:right w:val="single" w:sz="4" w:space="0" w:color="auto"/>
            </w:tcBorders>
            <w:shd w:val="clear" w:color="auto" w:fill="auto"/>
            <w:vAlign w:val="center"/>
            <w:hideMark/>
          </w:tcPr>
          <w:p w:rsidR="00B84D2B" w:rsidRPr="00B84D2B" w:rsidRDefault="00B84D2B" w:rsidP="00766F21">
            <w:pPr>
              <w:spacing w:after="0" w:line="240" w:lineRule="atLeast"/>
              <w:ind w:firstLineChars="100" w:firstLine="180"/>
              <w:rPr>
                <w:rFonts w:ascii="Times New Roman" w:hAnsi="Times New Roman"/>
                <w:sz w:val="18"/>
                <w:szCs w:val="18"/>
              </w:rPr>
            </w:pPr>
          </w:p>
        </w:tc>
        <w:tc>
          <w:tcPr>
            <w:tcW w:w="580" w:type="pct"/>
            <w:vMerge/>
            <w:tcBorders>
              <w:top w:val="single" w:sz="4" w:space="0" w:color="auto"/>
              <w:left w:val="single" w:sz="4" w:space="0" w:color="auto"/>
              <w:bottom w:val="single" w:sz="4" w:space="0" w:color="auto"/>
              <w:right w:val="single" w:sz="4" w:space="0" w:color="auto"/>
            </w:tcBorders>
            <w:vAlign w:val="center"/>
            <w:hideMark/>
          </w:tcPr>
          <w:p w:rsidR="00B84D2B" w:rsidRPr="00B84D2B" w:rsidRDefault="00B84D2B" w:rsidP="00766F21">
            <w:pPr>
              <w:spacing w:after="0" w:line="240" w:lineRule="atLeast"/>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84D2B" w:rsidRPr="00B84D2B" w:rsidRDefault="00B84D2B" w:rsidP="00766F21">
            <w:pPr>
              <w:spacing w:after="0" w:line="240" w:lineRule="atLeast"/>
              <w:jc w:val="right"/>
              <w:rPr>
                <w:rFonts w:ascii="Times New Roman" w:hAnsi="Times New Roman"/>
                <w:sz w:val="18"/>
                <w:szCs w:val="18"/>
              </w:rPr>
            </w:pPr>
            <w:bookmarkStart w:id="1" w:name="RANGE!C5:G5"/>
            <w:r w:rsidRPr="00B84D2B">
              <w:rPr>
                <w:rFonts w:ascii="Times New Roman" w:hAnsi="Times New Roman"/>
                <w:sz w:val="18"/>
                <w:szCs w:val="18"/>
              </w:rPr>
              <w:t>0.20</w:t>
            </w:r>
            <w:bookmarkEnd w:id="1"/>
          </w:p>
        </w:tc>
        <w:tc>
          <w:tcPr>
            <w:tcW w:w="5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84D2B" w:rsidRPr="00B84D2B" w:rsidRDefault="00B84D2B" w:rsidP="00766F21">
            <w:pPr>
              <w:spacing w:after="0" w:line="240" w:lineRule="atLeast"/>
              <w:jc w:val="right"/>
              <w:rPr>
                <w:rFonts w:ascii="Times New Roman" w:hAnsi="Times New Roman"/>
                <w:sz w:val="18"/>
                <w:szCs w:val="18"/>
              </w:rPr>
            </w:pPr>
            <w:r w:rsidRPr="00B84D2B">
              <w:rPr>
                <w:rFonts w:ascii="Times New Roman" w:hAnsi="Times New Roman"/>
                <w:sz w:val="18"/>
                <w:szCs w:val="18"/>
              </w:rPr>
              <w:t>0.33</w:t>
            </w:r>
          </w:p>
        </w:tc>
        <w:tc>
          <w:tcPr>
            <w:tcW w:w="5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84D2B" w:rsidRPr="00B84D2B" w:rsidRDefault="00B84D2B" w:rsidP="00766F21">
            <w:pPr>
              <w:spacing w:after="0" w:line="240" w:lineRule="atLeast"/>
              <w:jc w:val="right"/>
              <w:rPr>
                <w:rFonts w:ascii="Times New Roman" w:hAnsi="Times New Roman"/>
                <w:sz w:val="18"/>
                <w:szCs w:val="18"/>
              </w:rPr>
            </w:pPr>
            <w:r w:rsidRPr="00B84D2B">
              <w:rPr>
                <w:rFonts w:ascii="Times New Roman" w:hAnsi="Times New Roman"/>
                <w:sz w:val="18"/>
                <w:szCs w:val="18"/>
              </w:rPr>
              <w:t>0.50</w:t>
            </w:r>
          </w:p>
        </w:tc>
        <w:tc>
          <w:tcPr>
            <w:tcW w:w="5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84D2B" w:rsidRPr="00B84D2B" w:rsidRDefault="00B84D2B" w:rsidP="00766F21">
            <w:pPr>
              <w:spacing w:after="0" w:line="240" w:lineRule="atLeast"/>
              <w:jc w:val="right"/>
              <w:rPr>
                <w:rFonts w:ascii="Times New Roman" w:hAnsi="Times New Roman"/>
                <w:sz w:val="18"/>
                <w:szCs w:val="18"/>
              </w:rPr>
            </w:pPr>
            <w:r w:rsidRPr="00B84D2B">
              <w:rPr>
                <w:rFonts w:ascii="Times New Roman" w:hAnsi="Times New Roman"/>
                <w:sz w:val="18"/>
                <w:szCs w:val="18"/>
              </w:rPr>
              <w:t>0.67</w:t>
            </w:r>
          </w:p>
        </w:tc>
        <w:tc>
          <w:tcPr>
            <w:tcW w:w="551" w:type="pct"/>
            <w:tcBorders>
              <w:top w:val="single" w:sz="4" w:space="0" w:color="auto"/>
              <w:left w:val="single" w:sz="4" w:space="0" w:color="auto"/>
              <w:bottom w:val="single" w:sz="4" w:space="0" w:color="auto"/>
              <w:right w:val="nil"/>
            </w:tcBorders>
            <w:shd w:val="clear" w:color="auto" w:fill="auto"/>
            <w:vAlign w:val="bottom"/>
            <w:hideMark/>
          </w:tcPr>
          <w:p w:rsidR="00B84D2B" w:rsidRPr="00B84D2B" w:rsidRDefault="00B84D2B" w:rsidP="00766F21">
            <w:pPr>
              <w:spacing w:after="0" w:line="240" w:lineRule="atLeast"/>
              <w:jc w:val="right"/>
              <w:rPr>
                <w:rFonts w:ascii="Times New Roman" w:hAnsi="Times New Roman"/>
                <w:sz w:val="18"/>
                <w:szCs w:val="18"/>
              </w:rPr>
            </w:pPr>
            <w:r w:rsidRPr="00B84D2B">
              <w:rPr>
                <w:rFonts w:ascii="Times New Roman" w:hAnsi="Times New Roman"/>
                <w:sz w:val="18"/>
                <w:szCs w:val="18"/>
              </w:rPr>
              <w:t>0.80</w:t>
            </w:r>
          </w:p>
        </w:tc>
      </w:tr>
      <w:tr w:rsidR="00377C61" w:rsidRPr="00B84D2B" w:rsidTr="00C44AF0">
        <w:trPr>
          <w:trHeight w:val="225"/>
        </w:trPr>
        <w:tc>
          <w:tcPr>
            <w:tcW w:w="1672" w:type="pct"/>
            <w:tcBorders>
              <w:top w:val="single" w:sz="4" w:space="0" w:color="auto"/>
              <w:left w:val="nil"/>
              <w:bottom w:val="nil"/>
              <w:right w:val="nil"/>
            </w:tcBorders>
            <w:shd w:val="clear" w:color="auto" w:fill="auto"/>
            <w:vAlign w:val="center"/>
            <w:hideMark/>
          </w:tcPr>
          <w:p w:rsidR="00377C61" w:rsidRPr="00B84D2B" w:rsidRDefault="00377C61" w:rsidP="00766F21">
            <w:pPr>
              <w:spacing w:after="0" w:line="240" w:lineRule="atLeast"/>
              <w:ind w:firstLineChars="100" w:firstLine="180"/>
              <w:jc w:val="right"/>
              <w:rPr>
                <w:rFonts w:ascii="Times New Roman" w:hAnsi="Times New Roman"/>
                <w:sz w:val="18"/>
                <w:szCs w:val="18"/>
              </w:rPr>
            </w:pPr>
          </w:p>
        </w:tc>
        <w:tc>
          <w:tcPr>
            <w:tcW w:w="580" w:type="pct"/>
            <w:tcBorders>
              <w:top w:val="single" w:sz="4" w:space="0" w:color="auto"/>
              <w:left w:val="nil"/>
              <w:bottom w:val="nil"/>
              <w:right w:val="nil"/>
            </w:tcBorders>
            <w:shd w:val="clear" w:color="auto" w:fill="auto"/>
            <w:vAlign w:val="center"/>
            <w:hideMark/>
          </w:tcPr>
          <w:p w:rsidR="00377C61" w:rsidRPr="00B84D2B" w:rsidRDefault="00377C61" w:rsidP="00766F21">
            <w:pPr>
              <w:spacing w:after="0" w:line="240" w:lineRule="atLeast"/>
              <w:jc w:val="right"/>
              <w:rPr>
                <w:rFonts w:ascii="Times New Roman" w:hAnsi="Times New Roman"/>
                <w:sz w:val="18"/>
                <w:szCs w:val="18"/>
              </w:rPr>
            </w:pPr>
          </w:p>
        </w:tc>
        <w:tc>
          <w:tcPr>
            <w:tcW w:w="549" w:type="pct"/>
            <w:tcBorders>
              <w:top w:val="single" w:sz="4" w:space="0" w:color="auto"/>
              <w:left w:val="nil"/>
              <w:bottom w:val="nil"/>
              <w:right w:val="nil"/>
            </w:tcBorders>
            <w:shd w:val="clear" w:color="auto" w:fill="auto"/>
            <w:vAlign w:val="bottom"/>
            <w:hideMark/>
          </w:tcPr>
          <w:p w:rsidR="00377C61" w:rsidRPr="00B84D2B" w:rsidRDefault="00377C61" w:rsidP="00766F21">
            <w:pPr>
              <w:spacing w:after="0" w:line="240" w:lineRule="atLeast"/>
              <w:jc w:val="right"/>
              <w:rPr>
                <w:rFonts w:ascii="Times New Roman" w:hAnsi="Times New Roman"/>
                <w:sz w:val="18"/>
                <w:szCs w:val="18"/>
              </w:rPr>
            </w:pPr>
          </w:p>
        </w:tc>
        <w:tc>
          <w:tcPr>
            <w:tcW w:w="549" w:type="pct"/>
            <w:tcBorders>
              <w:top w:val="single" w:sz="4" w:space="0" w:color="auto"/>
              <w:left w:val="nil"/>
              <w:bottom w:val="nil"/>
              <w:right w:val="nil"/>
            </w:tcBorders>
            <w:shd w:val="clear" w:color="auto" w:fill="auto"/>
            <w:vAlign w:val="bottom"/>
            <w:hideMark/>
          </w:tcPr>
          <w:p w:rsidR="00377C61" w:rsidRPr="00B84D2B" w:rsidRDefault="00377C61" w:rsidP="00766F21">
            <w:pPr>
              <w:spacing w:after="0" w:line="240" w:lineRule="atLeast"/>
              <w:jc w:val="right"/>
              <w:rPr>
                <w:rFonts w:ascii="Times New Roman" w:hAnsi="Times New Roman"/>
                <w:sz w:val="18"/>
                <w:szCs w:val="18"/>
              </w:rPr>
            </w:pPr>
          </w:p>
        </w:tc>
        <w:tc>
          <w:tcPr>
            <w:tcW w:w="549" w:type="pct"/>
            <w:tcBorders>
              <w:top w:val="single" w:sz="4" w:space="0" w:color="auto"/>
              <w:left w:val="nil"/>
              <w:bottom w:val="nil"/>
              <w:right w:val="nil"/>
            </w:tcBorders>
            <w:shd w:val="clear" w:color="auto" w:fill="auto"/>
            <w:vAlign w:val="bottom"/>
            <w:hideMark/>
          </w:tcPr>
          <w:p w:rsidR="00377C61" w:rsidRPr="00B84D2B" w:rsidRDefault="00377C61" w:rsidP="00766F21">
            <w:pPr>
              <w:spacing w:after="0" w:line="240" w:lineRule="atLeast"/>
              <w:jc w:val="right"/>
              <w:rPr>
                <w:rFonts w:ascii="Times New Roman" w:hAnsi="Times New Roman"/>
                <w:sz w:val="18"/>
                <w:szCs w:val="18"/>
              </w:rPr>
            </w:pPr>
          </w:p>
        </w:tc>
        <w:tc>
          <w:tcPr>
            <w:tcW w:w="549" w:type="pct"/>
            <w:tcBorders>
              <w:top w:val="single" w:sz="4" w:space="0" w:color="auto"/>
              <w:left w:val="nil"/>
              <w:bottom w:val="nil"/>
              <w:right w:val="nil"/>
            </w:tcBorders>
            <w:shd w:val="clear" w:color="auto" w:fill="auto"/>
            <w:vAlign w:val="bottom"/>
            <w:hideMark/>
          </w:tcPr>
          <w:p w:rsidR="00377C61" w:rsidRPr="00B84D2B" w:rsidRDefault="00377C61" w:rsidP="00766F21">
            <w:pPr>
              <w:spacing w:after="0" w:line="240" w:lineRule="atLeast"/>
              <w:jc w:val="right"/>
              <w:rPr>
                <w:rFonts w:ascii="Times New Roman" w:hAnsi="Times New Roman"/>
                <w:sz w:val="18"/>
                <w:szCs w:val="18"/>
              </w:rPr>
            </w:pPr>
          </w:p>
        </w:tc>
        <w:tc>
          <w:tcPr>
            <w:tcW w:w="551" w:type="pct"/>
            <w:tcBorders>
              <w:top w:val="single" w:sz="4" w:space="0" w:color="auto"/>
              <w:left w:val="nil"/>
              <w:bottom w:val="nil"/>
              <w:right w:val="nil"/>
            </w:tcBorders>
            <w:shd w:val="clear" w:color="auto" w:fill="auto"/>
            <w:vAlign w:val="bottom"/>
            <w:hideMark/>
          </w:tcPr>
          <w:p w:rsidR="00377C61" w:rsidRPr="00B84D2B" w:rsidRDefault="00377C61" w:rsidP="00766F21">
            <w:pPr>
              <w:spacing w:after="0" w:line="240" w:lineRule="atLeast"/>
              <w:jc w:val="right"/>
              <w:rPr>
                <w:rFonts w:ascii="Times New Roman" w:hAnsi="Times New Roman"/>
                <w:sz w:val="18"/>
                <w:szCs w:val="18"/>
              </w:rPr>
            </w:pPr>
          </w:p>
        </w:tc>
      </w:tr>
      <w:tr w:rsidR="00377C61" w:rsidRPr="00B84D2B" w:rsidTr="00C44AF0">
        <w:trPr>
          <w:trHeight w:val="225"/>
        </w:trPr>
        <w:tc>
          <w:tcPr>
            <w:tcW w:w="1672" w:type="pct"/>
            <w:tcBorders>
              <w:top w:val="nil"/>
              <w:left w:val="nil"/>
              <w:bottom w:val="nil"/>
              <w:right w:val="nil"/>
            </w:tcBorders>
            <w:shd w:val="clear" w:color="auto" w:fill="auto"/>
            <w:noWrap/>
            <w:vAlign w:val="center"/>
            <w:hideMark/>
          </w:tcPr>
          <w:p w:rsidR="00377C61" w:rsidRPr="00B84D2B" w:rsidRDefault="00377C61" w:rsidP="00766F21">
            <w:pPr>
              <w:tabs>
                <w:tab w:val="right" w:leader="dot" w:pos="3106"/>
              </w:tabs>
              <w:spacing w:after="0" w:line="240" w:lineRule="atLeast"/>
              <w:rPr>
                <w:rFonts w:ascii="Times New Roman" w:hAnsi="Times New Roman"/>
                <w:i/>
                <w:iCs/>
                <w:sz w:val="18"/>
                <w:szCs w:val="18"/>
              </w:rPr>
            </w:pPr>
            <w:r w:rsidRPr="00B84D2B">
              <w:rPr>
                <w:rFonts w:ascii="Times New Roman" w:hAnsi="Times New Roman"/>
                <w:i/>
                <w:iCs/>
                <w:sz w:val="18"/>
                <w:szCs w:val="18"/>
              </w:rPr>
              <w:t>Total sample</w:t>
            </w:r>
          </w:p>
        </w:tc>
        <w:tc>
          <w:tcPr>
            <w:tcW w:w="580" w:type="pct"/>
            <w:tcBorders>
              <w:top w:val="nil"/>
              <w:left w:val="nil"/>
              <w:bottom w:val="nil"/>
              <w:right w:val="nil"/>
            </w:tcBorders>
            <w:shd w:val="clear" w:color="auto" w:fill="auto"/>
            <w:noWrap/>
            <w:vAlign w:val="center"/>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 xml:space="preserve">1,360  </w:t>
            </w: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0.063</w:t>
            </w: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0.045</w:t>
            </w: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0.032</w:t>
            </w: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0.022</w:t>
            </w:r>
          </w:p>
        </w:tc>
        <w:tc>
          <w:tcPr>
            <w:tcW w:w="551"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0.016</w:t>
            </w:r>
          </w:p>
        </w:tc>
      </w:tr>
      <w:tr w:rsidR="00377C61" w:rsidRPr="00B84D2B" w:rsidTr="00C44AF0">
        <w:trPr>
          <w:trHeight w:val="402"/>
        </w:trPr>
        <w:tc>
          <w:tcPr>
            <w:tcW w:w="1672" w:type="pct"/>
            <w:tcBorders>
              <w:top w:val="nil"/>
              <w:left w:val="nil"/>
              <w:bottom w:val="nil"/>
              <w:right w:val="nil"/>
            </w:tcBorders>
            <w:shd w:val="clear" w:color="auto" w:fill="auto"/>
            <w:vAlign w:val="bottom"/>
            <w:hideMark/>
          </w:tcPr>
          <w:p w:rsidR="00377C61" w:rsidRPr="00B84D2B" w:rsidRDefault="00377C61" w:rsidP="00766F21">
            <w:pPr>
              <w:tabs>
                <w:tab w:val="right" w:leader="dot" w:pos="3106"/>
              </w:tabs>
              <w:spacing w:after="0" w:line="240" w:lineRule="atLeast"/>
              <w:rPr>
                <w:rFonts w:ascii="Times New Roman" w:hAnsi="Times New Roman"/>
                <w:i/>
                <w:iCs/>
                <w:sz w:val="18"/>
                <w:szCs w:val="18"/>
              </w:rPr>
            </w:pPr>
            <w:r w:rsidRPr="00B84D2B">
              <w:rPr>
                <w:rFonts w:ascii="Times New Roman" w:hAnsi="Times New Roman"/>
                <w:i/>
                <w:iCs/>
                <w:sz w:val="18"/>
                <w:szCs w:val="18"/>
              </w:rPr>
              <w:t>Instructional level</w:t>
            </w:r>
          </w:p>
        </w:tc>
        <w:tc>
          <w:tcPr>
            <w:tcW w:w="580"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rPr>
                <w:rFonts w:ascii="Times New Roman" w:hAnsi="Times New Roman"/>
                <w:sz w:val="18"/>
                <w:szCs w:val="18"/>
              </w:rPr>
            </w:pPr>
          </w:p>
        </w:tc>
        <w:tc>
          <w:tcPr>
            <w:tcW w:w="551"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rPr>
                <w:rFonts w:ascii="Times New Roman" w:hAnsi="Times New Roman"/>
                <w:sz w:val="18"/>
                <w:szCs w:val="18"/>
              </w:rPr>
            </w:pPr>
          </w:p>
        </w:tc>
      </w:tr>
      <w:tr w:rsidR="00377C61" w:rsidRPr="00B84D2B" w:rsidTr="00C44AF0">
        <w:trPr>
          <w:trHeight w:val="225"/>
        </w:trPr>
        <w:tc>
          <w:tcPr>
            <w:tcW w:w="1672" w:type="pct"/>
            <w:tcBorders>
              <w:top w:val="nil"/>
              <w:left w:val="nil"/>
              <w:bottom w:val="nil"/>
              <w:right w:val="nil"/>
            </w:tcBorders>
            <w:shd w:val="clear" w:color="auto" w:fill="auto"/>
            <w:vAlign w:val="center"/>
            <w:hideMark/>
          </w:tcPr>
          <w:p w:rsidR="00377C61" w:rsidRPr="00B84D2B" w:rsidRDefault="00377C61" w:rsidP="00766F21">
            <w:pPr>
              <w:tabs>
                <w:tab w:val="right" w:leader="dot" w:pos="3106"/>
              </w:tabs>
              <w:spacing w:after="0" w:line="240" w:lineRule="atLeast"/>
              <w:rPr>
                <w:rFonts w:ascii="Times New Roman" w:hAnsi="Times New Roman"/>
                <w:sz w:val="18"/>
                <w:szCs w:val="18"/>
              </w:rPr>
            </w:pPr>
            <w:r w:rsidRPr="00B84D2B">
              <w:rPr>
                <w:rFonts w:ascii="Times New Roman" w:hAnsi="Times New Roman"/>
                <w:sz w:val="18"/>
                <w:szCs w:val="18"/>
              </w:rPr>
              <w:t xml:space="preserve">  Elementary</w:t>
            </w:r>
            <w:r w:rsidR="00766F21">
              <w:rPr>
                <w:rFonts w:ascii="Times New Roman" w:hAnsi="Times New Roman"/>
                <w:sz w:val="18"/>
                <w:szCs w:val="18"/>
              </w:rPr>
              <w:tab/>
            </w:r>
          </w:p>
        </w:tc>
        <w:tc>
          <w:tcPr>
            <w:tcW w:w="580" w:type="pct"/>
            <w:tcBorders>
              <w:top w:val="nil"/>
              <w:left w:val="nil"/>
              <w:bottom w:val="nil"/>
              <w:right w:val="nil"/>
            </w:tcBorders>
            <w:shd w:val="clear" w:color="auto" w:fill="auto"/>
            <w:noWrap/>
            <w:vAlign w:val="center"/>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 xml:space="preserve">476  </w:t>
            </w:r>
          </w:p>
        </w:tc>
        <w:tc>
          <w:tcPr>
            <w:tcW w:w="549" w:type="pct"/>
            <w:tcBorders>
              <w:top w:val="nil"/>
              <w:left w:val="nil"/>
              <w:bottom w:val="nil"/>
              <w:right w:val="nil"/>
            </w:tcBorders>
            <w:shd w:val="clear" w:color="000000" w:fill="FFC7CE"/>
            <w:noWrap/>
            <w:vAlign w:val="bottom"/>
            <w:hideMark/>
          </w:tcPr>
          <w:p w:rsidR="00377C61" w:rsidRPr="00B84D2B" w:rsidRDefault="00377C61" w:rsidP="00766F21">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0.095</w:t>
            </w:r>
          </w:p>
        </w:tc>
        <w:tc>
          <w:tcPr>
            <w:tcW w:w="549" w:type="pct"/>
            <w:tcBorders>
              <w:top w:val="nil"/>
              <w:left w:val="nil"/>
              <w:bottom w:val="nil"/>
              <w:right w:val="nil"/>
            </w:tcBorders>
            <w:shd w:val="clear" w:color="000000" w:fill="FFC7CE"/>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0.068</w:t>
            </w: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0.048</w:t>
            </w: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0.033</w:t>
            </w:r>
          </w:p>
        </w:tc>
        <w:tc>
          <w:tcPr>
            <w:tcW w:w="551"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0.024</w:t>
            </w:r>
          </w:p>
        </w:tc>
      </w:tr>
      <w:tr w:rsidR="00377C61" w:rsidRPr="00B84D2B" w:rsidTr="00C44AF0">
        <w:trPr>
          <w:trHeight w:val="225"/>
        </w:trPr>
        <w:tc>
          <w:tcPr>
            <w:tcW w:w="1672" w:type="pct"/>
            <w:tcBorders>
              <w:top w:val="nil"/>
              <w:left w:val="nil"/>
              <w:bottom w:val="nil"/>
              <w:right w:val="nil"/>
            </w:tcBorders>
            <w:shd w:val="clear" w:color="auto" w:fill="auto"/>
            <w:vAlign w:val="center"/>
            <w:hideMark/>
          </w:tcPr>
          <w:p w:rsidR="00377C61" w:rsidRPr="00B84D2B" w:rsidRDefault="00377C61" w:rsidP="00766F21">
            <w:pPr>
              <w:tabs>
                <w:tab w:val="right" w:leader="dot" w:pos="3106"/>
              </w:tabs>
              <w:spacing w:after="0" w:line="240" w:lineRule="atLeast"/>
              <w:rPr>
                <w:rFonts w:ascii="Times New Roman" w:hAnsi="Times New Roman"/>
                <w:sz w:val="18"/>
                <w:szCs w:val="18"/>
              </w:rPr>
            </w:pPr>
            <w:r w:rsidRPr="00B84D2B">
              <w:rPr>
                <w:rFonts w:ascii="Times New Roman" w:hAnsi="Times New Roman"/>
                <w:sz w:val="18"/>
                <w:szCs w:val="18"/>
              </w:rPr>
              <w:t xml:space="preserve">  Middle</w:t>
            </w:r>
            <w:r w:rsidR="00766F21">
              <w:rPr>
                <w:rFonts w:ascii="Times New Roman" w:hAnsi="Times New Roman"/>
                <w:sz w:val="18"/>
                <w:szCs w:val="18"/>
              </w:rPr>
              <w:tab/>
            </w:r>
          </w:p>
        </w:tc>
        <w:tc>
          <w:tcPr>
            <w:tcW w:w="580" w:type="pct"/>
            <w:tcBorders>
              <w:top w:val="nil"/>
              <w:left w:val="nil"/>
              <w:bottom w:val="nil"/>
              <w:right w:val="nil"/>
            </w:tcBorders>
            <w:shd w:val="clear" w:color="auto" w:fill="auto"/>
            <w:noWrap/>
            <w:vAlign w:val="center"/>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 xml:space="preserve">408  </w:t>
            </w:r>
          </w:p>
        </w:tc>
        <w:tc>
          <w:tcPr>
            <w:tcW w:w="549" w:type="pct"/>
            <w:tcBorders>
              <w:top w:val="nil"/>
              <w:left w:val="nil"/>
              <w:bottom w:val="nil"/>
              <w:right w:val="nil"/>
            </w:tcBorders>
            <w:shd w:val="clear" w:color="000000" w:fill="FFC7CE"/>
            <w:noWrap/>
            <w:vAlign w:val="bottom"/>
            <w:hideMark/>
          </w:tcPr>
          <w:p w:rsidR="00377C61" w:rsidRPr="00B84D2B" w:rsidRDefault="00377C61" w:rsidP="00766F21">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0.105</w:t>
            </w: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0.075</w:t>
            </w: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0.052</w:t>
            </w: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0.037</w:t>
            </w:r>
          </w:p>
        </w:tc>
        <w:tc>
          <w:tcPr>
            <w:tcW w:w="551"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0.026</w:t>
            </w:r>
          </w:p>
        </w:tc>
      </w:tr>
      <w:tr w:rsidR="00377C61" w:rsidRPr="00B84D2B" w:rsidTr="00C44AF0">
        <w:trPr>
          <w:trHeight w:val="225"/>
        </w:trPr>
        <w:tc>
          <w:tcPr>
            <w:tcW w:w="1672" w:type="pct"/>
            <w:tcBorders>
              <w:top w:val="nil"/>
              <w:left w:val="nil"/>
              <w:bottom w:val="nil"/>
              <w:right w:val="nil"/>
            </w:tcBorders>
            <w:shd w:val="clear" w:color="auto" w:fill="auto"/>
            <w:vAlign w:val="center"/>
            <w:hideMark/>
          </w:tcPr>
          <w:p w:rsidR="00377C61" w:rsidRPr="00B84D2B" w:rsidRDefault="00377C61" w:rsidP="00766F21">
            <w:pPr>
              <w:tabs>
                <w:tab w:val="right" w:leader="dot" w:pos="3106"/>
              </w:tabs>
              <w:spacing w:after="0" w:line="240" w:lineRule="atLeast"/>
              <w:rPr>
                <w:rFonts w:ascii="Times New Roman" w:hAnsi="Times New Roman"/>
                <w:sz w:val="18"/>
                <w:szCs w:val="18"/>
              </w:rPr>
            </w:pPr>
            <w:r w:rsidRPr="00B84D2B">
              <w:rPr>
                <w:rFonts w:ascii="Times New Roman" w:hAnsi="Times New Roman"/>
                <w:sz w:val="18"/>
                <w:szCs w:val="18"/>
              </w:rPr>
              <w:t xml:space="preserve">  Sec/combined</w:t>
            </w:r>
            <w:r w:rsidR="00766F21">
              <w:rPr>
                <w:rFonts w:ascii="Times New Roman" w:hAnsi="Times New Roman"/>
                <w:sz w:val="18"/>
                <w:szCs w:val="18"/>
              </w:rPr>
              <w:tab/>
            </w:r>
          </w:p>
        </w:tc>
        <w:tc>
          <w:tcPr>
            <w:tcW w:w="580" w:type="pct"/>
            <w:tcBorders>
              <w:top w:val="nil"/>
              <w:left w:val="nil"/>
              <w:bottom w:val="nil"/>
              <w:right w:val="nil"/>
            </w:tcBorders>
            <w:shd w:val="clear" w:color="auto" w:fill="auto"/>
            <w:noWrap/>
            <w:vAlign w:val="center"/>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 xml:space="preserve">476  </w:t>
            </w:r>
          </w:p>
        </w:tc>
        <w:tc>
          <w:tcPr>
            <w:tcW w:w="549" w:type="pct"/>
            <w:tcBorders>
              <w:top w:val="nil"/>
              <w:left w:val="nil"/>
              <w:bottom w:val="nil"/>
              <w:right w:val="nil"/>
            </w:tcBorders>
            <w:shd w:val="clear" w:color="000000" w:fill="FFC7CE"/>
            <w:noWrap/>
            <w:vAlign w:val="bottom"/>
            <w:hideMark/>
          </w:tcPr>
          <w:p w:rsidR="00377C61" w:rsidRPr="00B84D2B" w:rsidRDefault="00377C61" w:rsidP="00766F21">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0.103</w:t>
            </w: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0.074</w:t>
            </w: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0.052</w:t>
            </w: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0.036</w:t>
            </w:r>
          </w:p>
        </w:tc>
        <w:tc>
          <w:tcPr>
            <w:tcW w:w="551"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0.026</w:t>
            </w:r>
          </w:p>
        </w:tc>
      </w:tr>
      <w:tr w:rsidR="00377C61" w:rsidRPr="00B84D2B" w:rsidTr="00C44AF0">
        <w:trPr>
          <w:trHeight w:val="225"/>
        </w:trPr>
        <w:tc>
          <w:tcPr>
            <w:tcW w:w="1672" w:type="pct"/>
            <w:tcBorders>
              <w:top w:val="nil"/>
              <w:left w:val="nil"/>
              <w:bottom w:val="nil"/>
              <w:right w:val="nil"/>
            </w:tcBorders>
            <w:shd w:val="clear" w:color="auto" w:fill="auto"/>
            <w:vAlign w:val="center"/>
            <w:hideMark/>
          </w:tcPr>
          <w:p w:rsidR="00377C61" w:rsidRPr="00B84D2B" w:rsidRDefault="00377C61" w:rsidP="00766F21">
            <w:pPr>
              <w:tabs>
                <w:tab w:val="right" w:leader="dot" w:pos="3106"/>
              </w:tabs>
              <w:spacing w:after="0" w:line="240" w:lineRule="atLeast"/>
              <w:jc w:val="right"/>
              <w:rPr>
                <w:rFonts w:ascii="Times New Roman" w:hAnsi="Times New Roman"/>
                <w:i/>
                <w:iCs/>
                <w:sz w:val="18"/>
                <w:szCs w:val="18"/>
              </w:rPr>
            </w:pPr>
          </w:p>
        </w:tc>
        <w:tc>
          <w:tcPr>
            <w:tcW w:w="580" w:type="pct"/>
            <w:tcBorders>
              <w:top w:val="nil"/>
              <w:left w:val="nil"/>
              <w:bottom w:val="nil"/>
              <w:right w:val="nil"/>
            </w:tcBorders>
            <w:shd w:val="clear" w:color="auto" w:fill="auto"/>
            <w:noWrap/>
            <w:vAlign w:val="center"/>
            <w:hideMark/>
          </w:tcPr>
          <w:p w:rsidR="00377C61" w:rsidRPr="00B84D2B" w:rsidRDefault="00377C61" w:rsidP="00766F21">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p>
        </w:tc>
        <w:tc>
          <w:tcPr>
            <w:tcW w:w="551"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p>
        </w:tc>
      </w:tr>
      <w:tr w:rsidR="00377C61" w:rsidRPr="00B84D2B" w:rsidTr="00C44AF0">
        <w:trPr>
          <w:trHeight w:val="225"/>
        </w:trPr>
        <w:tc>
          <w:tcPr>
            <w:tcW w:w="1672" w:type="pct"/>
            <w:tcBorders>
              <w:top w:val="nil"/>
              <w:left w:val="nil"/>
              <w:bottom w:val="nil"/>
              <w:right w:val="nil"/>
            </w:tcBorders>
            <w:shd w:val="clear" w:color="auto" w:fill="auto"/>
            <w:vAlign w:val="center"/>
            <w:hideMark/>
          </w:tcPr>
          <w:p w:rsidR="00377C61" w:rsidRPr="00B84D2B" w:rsidRDefault="00377C61" w:rsidP="00766F21">
            <w:pPr>
              <w:tabs>
                <w:tab w:val="right" w:leader="dot" w:pos="3106"/>
              </w:tabs>
              <w:spacing w:after="0" w:line="240" w:lineRule="atLeast"/>
              <w:rPr>
                <w:rFonts w:ascii="Times New Roman" w:hAnsi="Times New Roman"/>
                <w:i/>
                <w:iCs/>
                <w:sz w:val="18"/>
                <w:szCs w:val="18"/>
              </w:rPr>
            </w:pPr>
            <w:r w:rsidRPr="00B84D2B">
              <w:rPr>
                <w:rFonts w:ascii="Times New Roman" w:hAnsi="Times New Roman"/>
                <w:i/>
                <w:iCs/>
                <w:sz w:val="18"/>
                <w:szCs w:val="18"/>
              </w:rPr>
              <w:t>Size of school</w:t>
            </w:r>
          </w:p>
        </w:tc>
        <w:tc>
          <w:tcPr>
            <w:tcW w:w="580" w:type="pct"/>
            <w:tcBorders>
              <w:top w:val="nil"/>
              <w:left w:val="nil"/>
              <w:bottom w:val="nil"/>
              <w:right w:val="nil"/>
            </w:tcBorders>
            <w:shd w:val="clear" w:color="auto" w:fill="auto"/>
            <w:noWrap/>
            <w:vAlign w:val="center"/>
            <w:hideMark/>
          </w:tcPr>
          <w:p w:rsidR="00377C61" w:rsidRPr="00B84D2B" w:rsidRDefault="00377C61" w:rsidP="00766F21">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p>
        </w:tc>
        <w:tc>
          <w:tcPr>
            <w:tcW w:w="551"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p>
        </w:tc>
      </w:tr>
      <w:tr w:rsidR="00377C61" w:rsidRPr="00B84D2B" w:rsidTr="00C44AF0">
        <w:trPr>
          <w:trHeight w:val="225"/>
        </w:trPr>
        <w:tc>
          <w:tcPr>
            <w:tcW w:w="1672" w:type="pct"/>
            <w:tcBorders>
              <w:top w:val="nil"/>
              <w:left w:val="nil"/>
              <w:bottom w:val="nil"/>
              <w:right w:val="nil"/>
            </w:tcBorders>
            <w:shd w:val="clear" w:color="auto" w:fill="auto"/>
            <w:vAlign w:val="center"/>
            <w:hideMark/>
          </w:tcPr>
          <w:p w:rsidR="00377C61" w:rsidRPr="00B84D2B" w:rsidRDefault="00377C61" w:rsidP="00766F21">
            <w:pPr>
              <w:tabs>
                <w:tab w:val="right" w:leader="dot" w:pos="3106"/>
              </w:tabs>
              <w:spacing w:after="0" w:line="240" w:lineRule="atLeast"/>
              <w:rPr>
                <w:rFonts w:ascii="Times New Roman" w:hAnsi="Times New Roman"/>
                <w:sz w:val="18"/>
                <w:szCs w:val="18"/>
              </w:rPr>
            </w:pPr>
            <w:r w:rsidRPr="00B84D2B">
              <w:rPr>
                <w:rFonts w:ascii="Times New Roman" w:hAnsi="Times New Roman"/>
                <w:sz w:val="18"/>
                <w:szCs w:val="18"/>
              </w:rPr>
              <w:t xml:space="preserve">  Less than 300</w:t>
            </w:r>
            <w:r w:rsidR="00766F21">
              <w:rPr>
                <w:rFonts w:ascii="Times New Roman" w:hAnsi="Times New Roman"/>
                <w:sz w:val="18"/>
                <w:szCs w:val="18"/>
              </w:rPr>
              <w:tab/>
            </w:r>
          </w:p>
        </w:tc>
        <w:tc>
          <w:tcPr>
            <w:tcW w:w="580" w:type="pct"/>
            <w:tcBorders>
              <w:top w:val="nil"/>
              <w:left w:val="nil"/>
              <w:bottom w:val="nil"/>
              <w:right w:val="nil"/>
            </w:tcBorders>
            <w:shd w:val="clear" w:color="auto" w:fill="auto"/>
            <w:noWrap/>
            <w:vAlign w:val="center"/>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 xml:space="preserve">194  </w:t>
            </w:r>
          </w:p>
        </w:tc>
        <w:tc>
          <w:tcPr>
            <w:tcW w:w="549" w:type="pct"/>
            <w:tcBorders>
              <w:top w:val="nil"/>
              <w:left w:val="nil"/>
              <w:bottom w:val="nil"/>
              <w:right w:val="nil"/>
            </w:tcBorders>
            <w:shd w:val="clear" w:color="000000" w:fill="FFC7CE"/>
            <w:noWrap/>
            <w:vAlign w:val="bottom"/>
            <w:hideMark/>
          </w:tcPr>
          <w:p w:rsidR="00377C61" w:rsidRPr="00B84D2B" w:rsidRDefault="00377C61" w:rsidP="00766F21">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0.154</w:t>
            </w:r>
          </w:p>
        </w:tc>
        <w:tc>
          <w:tcPr>
            <w:tcW w:w="549" w:type="pct"/>
            <w:tcBorders>
              <w:top w:val="nil"/>
              <w:left w:val="nil"/>
              <w:bottom w:val="nil"/>
              <w:right w:val="nil"/>
            </w:tcBorders>
            <w:shd w:val="clear" w:color="000000" w:fill="FFC7CE"/>
            <w:noWrap/>
            <w:vAlign w:val="bottom"/>
            <w:hideMark/>
          </w:tcPr>
          <w:p w:rsidR="00377C61" w:rsidRPr="00B84D2B" w:rsidRDefault="00377C61" w:rsidP="00766F21">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0.110</w:t>
            </w:r>
          </w:p>
        </w:tc>
        <w:tc>
          <w:tcPr>
            <w:tcW w:w="549" w:type="pct"/>
            <w:tcBorders>
              <w:top w:val="nil"/>
              <w:left w:val="nil"/>
              <w:bottom w:val="nil"/>
              <w:right w:val="nil"/>
            </w:tcBorders>
            <w:shd w:val="clear" w:color="000000" w:fill="FFC7CE"/>
            <w:noWrap/>
            <w:vAlign w:val="bottom"/>
            <w:hideMark/>
          </w:tcPr>
          <w:p w:rsidR="00377C61" w:rsidRPr="00B84D2B" w:rsidRDefault="00377C61" w:rsidP="00766F21">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0.077</w:t>
            </w: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0.054</w:t>
            </w:r>
          </w:p>
        </w:tc>
        <w:tc>
          <w:tcPr>
            <w:tcW w:w="551"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0.039</w:t>
            </w:r>
          </w:p>
        </w:tc>
      </w:tr>
      <w:tr w:rsidR="00377C61" w:rsidRPr="00B84D2B" w:rsidTr="00C44AF0">
        <w:trPr>
          <w:trHeight w:val="225"/>
        </w:trPr>
        <w:tc>
          <w:tcPr>
            <w:tcW w:w="1672" w:type="pct"/>
            <w:tcBorders>
              <w:top w:val="nil"/>
              <w:left w:val="nil"/>
              <w:bottom w:val="nil"/>
              <w:right w:val="nil"/>
            </w:tcBorders>
            <w:shd w:val="clear" w:color="auto" w:fill="auto"/>
            <w:vAlign w:val="center"/>
            <w:hideMark/>
          </w:tcPr>
          <w:p w:rsidR="00377C61" w:rsidRPr="00B84D2B" w:rsidRDefault="00377C61" w:rsidP="00766F21">
            <w:pPr>
              <w:tabs>
                <w:tab w:val="right" w:leader="dot" w:pos="3106"/>
              </w:tabs>
              <w:spacing w:after="0" w:line="240" w:lineRule="atLeast"/>
              <w:rPr>
                <w:rFonts w:ascii="Times New Roman" w:hAnsi="Times New Roman"/>
                <w:sz w:val="18"/>
                <w:szCs w:val="18"/>
              </w:rPr>
            </w:pPr>
            <w:r w:rsidRPr="00B84D2B">
              <w:rPr>
                <w:rFonts w:ascii="Times New Roman" w:hAnsi="Times New Roman"/>
                <w:sz w:val="18"/>
                <w:szCs w:val="18"/>
              </w:rPr>
              <w:t xml:space="preserve">  300 to 499</w:t>
            </w:r>
            <w:r w:rsidR="00766F21">
              <w:rPr>
                <w:rFonts w:ascii="Times New Roman" w:hAnsi="Times New Roman"/>
                <w:sz w:val="18"/>
                <w:szCs w:val="18"/>
              </w:rPr>
              <w:tab/>
            </w:r>
          </w:p>
        </w:tc>
        <w:tc>
          <w:tcPr>
            <w:tcW w:w="580" w:type="pct"/>
            <w:tcBorders>
              <w:top w:val="nil"/>
              <w:left w:val="nil"/>
              <w:bottom w:val="nil"/>
              <w:right w:val="nil"/>
            </w:tcBorders>
            <w:shd w:val="clear" w:color="auto" w:fill="auto"/>
            <w:noWrap/>
            <w:vAlign w:val="center"/>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 xml:space="preserve">314  </w:t>
            </w:r>
          </w:p>
        </w:tc>
        <w:tc>
          <w:tcPr>
            <w:tcW w:w="549" w:type="pct"/>
            <w:tcBorders>
              <w:top w:val="nil"/>
              <w:left w:val="nil"/>
              <w:bottom w:val="nil"/>
              <w:right w:val="nil"/>
            </w:tcBorders>
            <w:shd w:val="clear" w:color="000000" w:fill="FFC7CE"/>
            <w:noWrap/>
            <w:vAlign w:val="bottom"/>
            <w:hideMark/>
          </w:tcPr>
          <w:p w:rsidR="00377C61" w:rsidRPr="00B84D2B" w:rsidRDefault="00377C61" w:rsidP="00766F21">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0.121</w:t>
            </w:r>
          </w:p>
        </w:tc>
        <w:tc>
          <w:tcPr>
            <w:tcW w:w="549" w:type="pct"/>
            <w:tcBorders>
              <w:top w:val="nil"/>
              <w:left w:val="nil"/>
              <w:bottom w:val="nil"/>
              <w:right w:val="nil"/>
            </w:tcBorders>
            <w:shd w:val="clear" w:color="000000" w:fill="FFC7CE"/>
            <w:noWrap/>
            <w:vAlign w:val="bottom"/>
            <w:hideMark/>
          </w:tcPr>
          <w:p w:rsidR="00377C61" w:rsidRPr="00B84D2B" w:rsidRDefault="00377C61" w:rsidP="00766F21">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0.086</w:t>
            </w: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0.060</w:t>
            </w: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0.042</w:t>
            </w:r>
          </w:p>
        </w:tc>
        <w:tc>
          <w:tcPr>
            <w:tcW w:w="551"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0.030</w:t>
            </w:r>
          </w:p>
        </w:tc>
      </w:tr>
      <w:tr w:rsidR="00377C61" w:rsidRPr="00B84D2B" w:rsidTr="00C44AF0">
        <w:trPr>
          <w:trHeight w:val="225"/>
        </w:trPr>
        <w:tc>
          <w:tcPr>
            <w:tcW w:w="1672" w:type="pct"/>
            <w:tcBorders>
              <w:top w:val="nil"/>
              <w:left w:val="nil"/>
              <w:bottom w:val="nil"/>
              <w:right w:val="nil"/>
            </w:tcBorders>
            <w:shd w:val="clear" w:color="auto" w:fill="auto"/>
            <w:vAlign w:val="center"/>
            <w:hideMark/>
          </w:tcPr>
          <w:p w:rsidR="00377C61" w:rsidRPr="00B84D2B" w:rsidRDefault="00377C61" w:rsidP="00766F21">
            <w:pPr>
              <w:tabs>
                <w:tab w:val="right" w:leader="dot" w:pos="3106"/>
              </w:tabs>
              <w:spacing w:after="0" w:line="240" w:lineRule="atLeast"/>
              <w:rPr>
                <w:rFonts w:ascii="Times New Roman" w:hAnsi="Times New Roman"/>
                <w:sz w:val="18"/>
                <w:szCs w:val="18"/>
              </w:rPr>
            </w:pPr>
            <w:r w:rsidRPr="00B84D2B">
              <w:rPr>
                <w:rFonts w:ascii="Times New Roman" w:hAnsi="Times New Roman"/>
                <w:sz w:val="18"/>
                <w:szCs w:val="18"/>
              </w:rPr>
              <w:t xml:space="preserve">  500 to 999</w:t>
            </w:r>
            <w:r w:rsidR="00766F21">
              <w:rPr>
                <w:rFonts w:ascii="Times New Roman" w:hAnsi="Times New Roman"/>
                <w:sz w:val="18"/>
                <w:szCs w:val="18"/>
              </w:rPr>
              <w:tab/>
            </w:r>
          </w:p>
        </w:tc>
        <w:tc>
          <w:tcPr>
            <w:tcW w:w="580" w:type="pct"/>
            <w:tcBorders>
              <w:top w:val="nil"/>
              <w:left w:val="nil"/>
              <w:bottom w:val="nil"/>
              <w:right w:val="nil"/>
            </w:tcBorders>
            <w:shd w:val="clear" w:color="auto" w:fill="auto"/>
            <w:noWrap/>
            <w:vAlign w:val="center"/>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 xml:space="preserve">539  </w:t>
            </w:r>
          </w:p>
        </w:tc>
        <w:tc>
          <w:tcPr>
            <w:tcW w:w="549" w:type="pct"/>
            <w:tcBorders>
              <w:top w:val="nil"/>
              <w:left w:val="nil"/>
              <w:bottom w:val="nil"/>
              <w:right w:val="nil"/>
            </w:tcBorders>
            <w:shd w:val="clear" w:color="000000" w:fill="FFC7CE"/>
            <w:noWrap/>
            <w:vAlign w:val="bottom"/>
            <w:hideMark/>
          </w:tcPr>
          <w:p w:rsidR="00377C61" w:rsidRPr="00B84D2B" w:rsidRDefault="00377C61" w:rsidP="00766F21">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0.094</w:t>
            </w: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0.067</w:t>
            </w: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0.047</w:t>
            </w: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0.033</w:t>
            </w:r>
          </w:p>
        </w:tc>
        <w:tc>
          <w:tcPr>
            <w:tcW w:w="551"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0.024</w:t>
            </w:r>
          </w:p>
        </w:tc>
      </w:tr>
      <w:tr w:rsidR="00377C61" w:rsidRPr="00B84D2B" w:rsidTr="00C44AF0">
        <w:trPr>
          <w:trHeight w:val="225"/>
        </w:trPr>
        <w:tc>
          <w:tcPr>
            <w:tcW w:w="1672" w:type="pct"/>
            <w:tcBorders>
              <w:top w:val="nil"/>
              <w:left w:val="nil"/>
              <w:bottom w:val="nil"/>
              <w:right w:val="nil"/>
            </w:tcBorders>
            <w:shd w:val="clear" w:color="auto" w:fill="auto"/>
            <w:vAlign w:val="center"/>
            <w:hideMark/>
          </w:tcPr>
          <w:p w:rsidR="00377C61" w:rsidRPr="00B84D2B" w:rsidRDefault="00377C61" w:rsidP="00766F21">
            <w:pPr>
              <w:tabs>
                <w:tab w:val="right" w:leader="dot" w:pos="3106"/>
              </w:tabs>
              <w:spacing w:after="0" w:line="240" w:lineRule="atLeast"/>
              <w:rPr>
                <w:rFonts w:ascii="Times New Roman" w:hAnsi="Times New Roman"/>
                <w:sz w:val="18"/>
                <w:szCs w:val="18"/>
              </w:rPr>
            </w:pPr>
            <w:r w:rsidRPr="00B84D2B">
              <w:rPr>
                <w:rFonts w:ascii="Times New Roman" w:hAnsi="Times New Roman"/>
                <w:sz w:val="18"/>
                <w:szCs w:val="18"/>
              </w:rPr>
              <w:t xml:space="preserve">  1,000 +</w:t>
            </w:r>
            <w:r w:rsidR="00766F21">
              <w:rPr>
                <w:rFonts w:ascii="Times New Roman" w:hAnsi="Times New Roman"/>
                <w:sz w:val="18"/>
                <w:szCs w:val="18"/>
              </w:rPr>
              <w:tab/>
            </w:r>
          </w:p>
        </w:tc>
        <w:tc>
          <w:tcPr>
            <w:tcW w:w="580" w:type="pct"/>
            <w:tcBorders>
              <w:top w:val="nil"/>
              <w:left w:val="nil"/>
              <w:bottom w:val="nil"/>
              <w:right w:val="nil"/>
            </w:tcBorders>
            <w:shd w:val="clear" w:color="auto" w:fill="auto"/>
            <w:noWrap/>
            <w:vAlign w:val="center"/>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 xml:space="preserve">314  </w:t>
            </w:r>
          </w:p>
        </w:tc>
        <w:tc>
          <w:tcPr>
            <w:tcW w:w="549" w:type="pct"/>
            <w:tcBorders>
              <w:top w:val="nil"/>
              <w:left w:val="nil"/>
              <w:bottom w:val="nil"/>
              <w:right w:val="nil"/>
            </w:tcBorders>
            <w:shd w:val="clear" w:color="000000" w:fill="FFC7CE"/>
            <w:noWrap/>
            <w:vAlign w:val="bottom"/>
            <w:hideMark/>
          </w:tcPr>
          <w:p w:rsidR="00377C61" w:rsidRPr="00B84D2B" w:rsidRDefault="00377C61" w:rsidP="00766F21">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0.118</w:t>
            </w:r>
          </w:p>
        </w:tc>
        <w:tc>
          <w:tcPr>
            <w:tcW w:w="549" w:type="pct"/>
            <w:tcBorders>
              <w:top w:val="nil"/>
              <w:left w:val="nil"/>
              <w:bottom w:val="nil"/>
              <w:right w:val="nil"/>
            </w:tcBorders>
            <w:shd w:val="clear" w:color="000000" w:fill="FFC7CE"/>
            <w:noWrap/>
            <w:vAlign w:val="bottom"/>
            <w:hideMark/>
          </w:tcPr>
          <w:p w:rsidR="00377C61" w:rsidRPr="00B84D2B" w:rsidRDefault="00377C61" w:rsidP="00766F21">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0.084</w:t>
            </w: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0.059</w:t>
            </w: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0.042</w:t>
            </w:r>
          </w:p>
        </w:tc>
        <w:tc>
          <w:tcPr>
            <w:tcW w:w="551"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0.030</w:t>
            </w:r>
          </w:p>
        </w:tc>
      </w:tr>
      <w:tr w:rsidR="00377C61" w:rsidRPr="00B84D2B" w:rsidTr="00C44AF0">
        <w:trPr>
          <w:trHeight w:val="225"/>
        </w:trPr>
        <w:tc>
          <w:tcPr>
            <w:tcW w:w="1672" w:type="pct"/>
            <w:tcBorders>
              <w:top w:val="nil"/>
              <w:left w:val="nil"/>
              <w:bottom w:val="nil"/>
              <w:right w:val="nil"/>
            </w:tcBorders>
            <w:shd w:val="clear" w:color="auto" w:fill="auto"/>
            <w:vAlign w:val="center"/>
            <w:hideMark/>
          </w:tcPr>
          <w:p w:rsidR="00377C61" w:rsidRPr="00B84D2B" w:rsidRDefault="00377C61" w:rsidP="00766F21">
            <w:pPr>
              <w:tabs>
                <w:tab w:val="right" w:leader="dot" w:pos="3106"/>
              </w:tabs>
              <w:spacing w:after="0" w:line="240" w:lineRule="atLeast"/>
              <w:jc w:val="right"/>
              <w:rPr>
                <w:rFonts w:ascii="Times New Roman" w:hAnsi="Times New Roman"/>
                <w:i/>
                <w:iCs/>
                <w:sz w:val="18"/>
                <w:szCs w:val="18"/>
              </w:rPr>
            </w:pPr>
          </w:p>
        </w:tc>
        <w:tc>
          <w:tcPr>
            <w:tcW w:w="580" w:type="pct"/>
            <w:tcBorders>
              <w:top w:val="nil"/>
              <w:left w:val="nil"/>
              <w:bottom w:val="nil"/>
              <w:right w:val="nil"/>
            </w:tcBorders>
            <w:shd w:val="clear" w:color="auto" w:fill="auto"/>
            <w:noWrap/>
            <w:vAlign w:val="center"/>
            <w:hideMark/>
          </w:tcPr>
          <w:p w:rsidR="00377C61" w:rsidRPr="00B84D2B" w:rsidRDefault="00377C61" w:rsidP="00766F21">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p>
        </w:tc>
        <w:tc>
          <w:tcPr>
            <w:tcW w:w="551"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p>
        </w:tc>
      </w:tr>
      <w:tr w:rsidR="00377C61" w:rsidRPr="00B84D2B" w:rsidTr="00C44AF0">
        <w:trPr>
          <w:trHeight w:val="225"/>
        </w:trPr>
        <w:tc>
          <w:tcPr>
            <w:tcW w:w="1672" w:type="pct"/>
            <w:tcBorders>
              <w:top w:val="nil"/>
              <w:left w:val="nil"/>
              <w:bottom w:val="nil"/>
              <w:right w:val="nil"/>
            </w:tcBorders>
            <w:shd w:val="clear" w:color="auto" w:fill="auto"/>
            <w:vAlign w:val="center"/>
            <w:hideMark/>
          </w:tcPr>
          <w:p w:rsidR="00377C61" w:rsidRPr="00B84D2B" w:rsidRDefault="00377C61" w:rsidP="00766F21">
            <w:pPr>
              <w:tabs>
                <w:tab w:val="right" w:leader="dot" w:pos="3106"/>
              </w:tabs>
              <w:spacing w:after="0" w:line="240" w:lineRule="atLeast"/>
              <w:rPr>
                <w:rFonts w:ascii="Times New Roman" w:hAnsi="Times New Roman"/>
                <w:i/>
                <w:iCs/>
                <w:sz w:val="18"/>
                <w:szCs w:val="18"/>
              </w:rPr>
            </w:pPr>
            <w:r w:rsidRPr="00B84D2B">
              <w:rPr>
                <w:rFonts w:ascii="Times New Roman" w:hAnsi="Times New Roman"/>
                <w:i/>
                <w:iCs/>
                <w:sz w:val="18"/>
                <w:szCs w:val="18"/>
              </w:rPr>
              <w:t>Urbanicity</w:t>
            </w:r>
          </w:p>
        </w:tc>
        <w:tc>
          <w:tcPr>
            <w:tcW w:w="580" w:type="pct"/>
            <w:tcBorders>
              <w:top w:val="nil"/>
              <w:left w:val="nil"/>
              <w:bottom w:val="nil"/>
              <w:right w:val="nil"/>
            </w:tcBorders>
            <w:shd w:val="clear" w:color="auto" w:fill="auto"/>
            <w:noWrap/>
            <w:vAlign w:val="center"/>
            <w:hideMark/>
          </w:tcPr>
          <w:p w:rsidR="00377C61" w:rsidRPr="00B84D2B" w:rsidRDefault="00377C61" w:rsidP="00766F21">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p>
        </w:tc>
        <w:tc>
          <w:tcPr>
            <w:tcW w:w="551"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p>
        </w:tc>
      </w:tr>
      <w:tr w:rsidR="00377C61" w:rsidRPr="00B84D2B" w:rsidTr="00C44AF0">
        <w:trPr>
          <w:trHeight w:val="225"/>
        </w:trPr>
        <w:tc>
          <w:tcPr>
            <w:tcW w:w="1672" w:type="pct"/>
            <w:tcBorders>
              <w:top w:val="nil"/>
              <w:left w:val="nil"/>
              <w:bottom w:val="nil"/>
              <w:right w:val="nil"/>
            </w:tcBorders>
            <w:shd w:val="clear" w:color="auto" w:fill="auto"/>
            <w:vAlign w:val="center"/>
            <w:hideMark/>
          </w:tcPr>
          <w:p w:rsidR="00377C61" w:rsidRPr="00B84D2B" w:rsidRDefault="00377C61" w:rsidP="00766F21">
            <w:pPr>
              <w:tabs>
                <w:tab w:val="right" w:leader="dot" w:pos="3106"/>
              </w:tabs>
              <w:spacing w:after="0" w:line="240" w:lineRule="atLeast"/>
              <w:rPr>
                <w:rFonts w:ascii="Times New Roman" w:hAnsi="Times New Roman"/>
                <w:sz w:val="18"/>
                <w:szCs w:val="18"/>
              </w:rPr>
            </w:pPr>
            <w:r w:rsidRPr="00B84D2B">
              <w:rPr>
                <w:rFonts w:ascii="Times New Roman" w:hAnsi="Times New Roman"/>
                <w:sz w:val="18"/>
                <w:szCs w:val="18"/>
              </w:rPr>
              <w:t xml:space="preserve">  City</w:t>
            </w:r>
            <w:r w:rsidR="00766F21">
              <w:rPr>
                <w:rFonts w:ascii="Times New Roman" w:hAnsi="Times New Roman"/>
                <w:sz w:val="18"/>
                <w:szCs w:val="18"/>
              </w:rPr>
              <w:tab/>
            </w:r>
          </w:p>
        </w:tc>
        <w:tc>
          <w:tcPr>
            <w:tcW w:w="580" w:type="pct"/>
            <w:tcBorders>
              <w:top w:val="nil"/>
              <w:left w:val="nil"/>
              <w:bottom w:val="nil"/>
              <w:right w:val="nil"/>
            </w:tcBorders>
            <w:shd w:val="clear" w:color="auto" w:fill="auto"/>
            <w:noWrap/>
            <w:vAlign w:val="center"/>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 xml:space="preserve">360  </w:t>
            </w:r>
          </w:p>
        </w:tc>
        <w:tc>
          <w:tcPr>
            <w:tcW w:w="549" w:type="pct"/>
            <w:tcBorders>
              <w:top w:val="nil"/>
              <w:left w:val="nil"/>
              <w:bottom w:val="nil"/>
              <w:right w:val="nil"/>
            </w:tcBorders>
            <w:shd w:val="clear" w:color="000000" w:fill="FFC7CE"/>
            <w:noWrap/>
            <w:vAlign w:val="bottom"/>
            <w:hideMark/>
          </w:tcPr>
          <w:p w:rsidR="00377C61" w:rsidRPr="00B84D2B" w:rsidRDefault="00377C61" w:rsidP="00766F21">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0.123</w:t>
            </w:r>
          </w:p>
        </w:tc>
        <w:tc>
          <w:tcPr>
            <w:tcW w:w="549" w:type="pct"/>
            <w:tcBorders>
              <w:top w:val="nil"/>
              <w:left w:val="nil"/>
              <w:bottom w:val="nil"/>
              <w:right w:val="nil"/>
            </w:tcBorders>
            <w:shd w:val="clear" w:color="000000" w:fill="FFC7CE"/>
            <w:noWrap/>
            <w:vAlign w:val="bottom"/>
            <w:hideMark/>
          </w:tcPr>
          <w:p w:rsidR="00377C61" w:rsidRPr="00B84D2B" w:rsidRDefault="00377C61" w:rsidP="00766F21">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0.087</w:t>
            </w: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0.061</w:t>
            </w: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0.043</w:t>
            </w:r>
          </w:p>
        </w:tc>
        <w:tc>
          <w:tcPr>
            <w:tcW w:w="551"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0.031</w:t>
            </w:r>
          </w:p>
        </w:tc>
      </w:tr>
      <w:tr w:rsidR="00377C61" w:rsidRPr="00B84D2B" w:rsidTr="00C44AF0">
        <w:trPr>
          <w:trHeight w:val="225"/>
        </w:trPr>
        <w:tc>
          <w:tcPr>
            <w:tcW w:w="1672" w:type="pct"/>
            <w:tcBorders>
              <w:top w:val="nil"/>
              <w:left w:val="nil"/>
              <w:bottom w:val="nil"/>
              <w:right w:val="nil"/>
            </w:tcBorders>
            <w:shd w:val="clear" w:color="auto" w:fill="auto"/>
            <w:vAlign w:val="center"/>
            <w:hideMark/>
          </w:tcPr>
          <w:p w:rsidR="00377C61" w:rsidRPr="00B84D2B" w:rsidRDefault="00377C61" w:rsidP="00766F21">
            <w:pPr>
              <w:tabs>
                <w:tab w:val="right" w:leader="dot" w:pos="3106"/>
              </w:tabs>
              <w:spacing w:after="0" w:line="240" w:lineRule="atLeast"/>
              <w:rPr>
                <w:rFonts w:ascii="Times New Roman" w:hAnsi="Times New Roman"/>
                <w:sz w:val="18"/>
                <w:szCs w:val="18"/>
              </w:rPr>
            </w:pPr>
            <w:r w:rsidRPr="00B84D2B">
              <w:rPr>
                <w:rFonts w:ascii="Times New Roman" w:hAnsi="Times New Roman"/>
                <w:sz w:val="18"/>
                <w:szCs w:val="18"/>
              </w:rPr>
              <w:t xml:space="preserve">  Suburb</w:t>
            </w:r>
            <w:r w:rsidR="00766F21">
              <w:rPr>
                <w:rFonts w:ascii="Times New Roman" w:hAnsi="Times New Roman"/>
                <w:sz w:val="18"/>
                <w:szCs w:val="18"/>
              </w:rPr>
              <w:tab/>
            </w:r>
          </w:p>
        </w:tc>
        <w:tc>
          <w:tcPr>
            <w:tcW w:w="580" w:type="pct"/>
            <w:tcBorders>
              <w:top w:val="nil"/>
              <w:left w:val="nil"/>
              <w:bottom w:val="nil"/>
              <w:right w:val="nil"/>
            </w:tcBorders>
            <w:shd w:val="clear" w:color="auto" w:fill="auto"/>
            <w:noWrap/>
            <w:vAlign w:val="center"/>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 xml:space="preserve">422  </w:t>
            </w:r>
          </w:p>
        </w:tc>
        <w:tc>
          <w:tcPr>
            <w:tcW w:w="549" w:type="pct"/>
            <w:tcBorders>
              <w:top w:val="nil"/>
              <w:left w:val="nil"/>
              <w:bottom w:val="nil"/>
              <w:right w:val="nil"/>
            </w:tcBorders>
            <w:shd w:val="clear" w:color="000000" w:fill="FFC7CE"/>
            <w:noWrap/>
            <w:vAlign w:val="bottom"/>
            <w:hideMark/>
          </w:tcPr>
          <w:p w:rsidR="00377C61" w:rsidRPr="00B84D2B" w:rsidRDefault="00377C61" w:rsidP="00766F21">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0.114</w:t>
            </w:r>
          </w:p>
        </w:tc>
        <w:tc>
          <w:tcPr>
            <w:tcW w:w="549" w:type="pct"/>
            <w:tcBorders>
              <w:top w:val="nil"/>
              <w:left w:val="nil"/>
              <w:bottom w:val="nil"/>
              <w:right w:val="nil"/>
            </w:tcBorders>
            <w:shd w:val="clear" w:color="000000" w:fill="FFC7CE"/>
            <w:noWrap/>
            <w:vAlign w:val="bottom"/>
            <w:hideMark/>
          </w:tcPr>
          <w:p w:rsidR="00377C61" w:rsidRPr="00B84D2B" w:rsidRDefault="00377C61" w:rsidP="00766F21">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0.082</w:t>
            </w: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0.057</w:t>
            </w: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0.040</w:t>
            </w:r>
          </w:p>
        </w:tc>
        <w:tc>
          <w:tcPr>
            <w:tcW w:w="551"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0.029</w:t>
            </w:r>
          </w:p>
        </w:tc>
      </w:tr>
      <w:tr w:rsidR="00377C61" w:rsidRPr="00B84D2B" w:rsidTr="00C44AF0">
        <w:trPr>
          <w:trHeight w:val="225"/>
        </w:trPr>
        <w:tc>
          <w:tcPr>
            <w:tcW w:w="1672" w:type="pct"/>
            <w:tcBorders>
              <w:top w:val="nil"/>
              <w:left w:val="nil"/>
              <w:bottom w:val="nil"/>
              <w:right w:val="nil"/>
            </w:tcBorders>
            <w:shd w:val="clear" w:color="auto" w:fill="auto"/>
            <w:vAlign w:val="center"/>
            <w:hideMark/>
          </w:tcPr>
          <w:p w:rsidR="00377C61" w:rsidRPr="00B84D2B" w:rsidRDefault="00377C61" w:rsidP="00766F21">
            <w:pPr>
              <w:tabs>
                <w:tab w:val="right" w:leader="dot" w:pos="3106"/>
              </w:tabs>
              <w:spacing w:after="0" w:line="240" w:lineRule="atLeast"/>
              <w:rPr>
                <w:rFonts w:ascii="Times New Roman" w:hAnsi="Times New Roman"/>
                <w:sz w:val="18"/>
                <w:szCs w:val="18"/>
              </w:rPr>
            </w:pPr>
            <w:r w:rsidRPr="00B84D2B">
              <w:rPr>
                <w:rFonts w:ascii="Times New Roman" w:hAnsi="Times New Roman"/>
                <w:sz w:val="18"/>
                <w:szCs w:val="18"/>
              </w:rPr>
              <w:t xml:space="preserve">  Town</w:t>
            </w:r>
            <w:r w:rsidR="00766F21">
              <w:rPr>
                <w:rFonts w:ascii="Times New Roman" w:hAnsi="Times New Roman"/>
                <w:sz w:val="18"/>
                <w:szCs w:val="18"/>
              </w:rPr>
              <w:tab/>
            </w:r>
          </w:p>
        </w:tc>
        <w:tc>
          <w:tcPr>
            <w:tcW w:w="580" w:type="pct"/>
            <w:tcBorders>
              <w:top w:val="nil"/>
              <w:left w:val="nil"/>
              <w:bottom w:val="nil"/>
              <w:right w:val="nil"/>
            </w:tcBorders>
            <w:shd w:val="clear" w:color="auto" w:fill="auto"/>
            <w:noWrap/>
            <w:vAlign w:val="center"/>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 xml:space="preserve">184  </w:t>
            </w:r>
          </w:p>
        </w:tc>
        <w:tc>
          <w:tcPr>
            <w:tcW w:w="549" w:type="pct"/>
            <w:tcBorders>
              <w:top w:val="nil"/>
              <w:left w:val="nil"/>
              <w:bottom w:val="nil"/>
              <w:right w:val="nil"/>
            </w:tcBorders>
            <w:shd w:val="clear" w:color="000000" w:fill="FFC7CE"/>
            <w:noWrap/>
            <w:vAlign w:val="bottom"/>
            <w:hideMark/>
          </w:tcPr>
          <w:p w:rsidR="00377C61" w:rsidRPr="00B84D2B" w:rsidRDefault="00377C61" w:rsidP="00766F21">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0.168</w:t>
            </w:r>
          </w:p>
        </w:tc>
        <w:tc>
          <w:tcPr>
            <w:tcW w:w="549" w:type="pct"/>
            <w:tcBorders>
              <w:top w:val="nil"/>
              <w:left w:val="nil"/>
              <w:bottom w:val="nil"/>
              <w:right w:val="nil"/>
            </w:tcBorders>
            <w:shd w:val="clear" w:color="000000" w:fill="FFC7CE"/>
            <w:noWrap/>
            <w:vAlign w:val="bottom"/>
            <w:hideMark/>
          </w:tcPr>
          <w:p w:rsidR="00377C61" w:rsidRPr="00B84D2B" w:rsidRDefault="00377C61" w:rsidP="00766F21">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0.120</w:t>
            </w:r>
          </w:p>
        </w:tc>
        <w:tc>
          <w:tcPr>
            <w:tcW w:w="549" w:type="pct"/>
            <w:tcBorders>
              <w:top w:val="nil"/>
              <w:left w:val="nil"/>
              <w:bottom w:val="nil"/>
              <w:right w:val="nil"/>
            </w:tcBorders>
            <w:shd w:val="clear" w:color="000000" w:fill="FFC7CE"/>
            <w:noWrap/>
            <w:vAlign w:val="bottom"/>
            <w:hideMark/>
          </w:tcPr>
          <w:p w:rsidR="00377C61" w:rsidRPr="00B84D2B" w:rsidRDefault="00377C61" w:rsidP="00766F21">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0.084</w:t>
            </w: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0.059</w:t>
            </w:r>
          </w:p>
        </w:tc>
        <w:tc>
          <w:tcPr>
            <w:tcW w:w="551"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0.042</w:t>
            </w:r>
          </w:p>
        </w:tc>
      </w:tr>
      <w:tr w:rsidR="00377C61" w:rsidRPr="00B84D2B" w:rsidTr="00C44AF0">
        <w:trPr>
          <w:trHeight w:val="225"/>
        </w:trPr>
        <w:tc>
          <w:tcPr>
            <w:tcW w:w="1672" w:type="pct"/>
            <w:tcBorders>
              <w:top w:val="nil"/>
              <w:left w:val="nil"/>
              <w:bottom w:val="nil"/>
              <w:right w:val="nil"/>
            </w:tcBorders>
            <w:shd w:val="clear" w:color="auto" w:fill="auto"/>
            <w:vAlign w:val="center"/>
            <w:hideMark/>
          </w:tcPr>
          <w:p w:rsidR="00377C61" w:rsidRPr="00B84D2B" w:rsidRDefault="00377C61" w:rsidP="00766F21">
            <w:pPr>
              <w:tabs>
                <w:tab w:val="right" w:leader="dot" w:pos="3106"/>
              </w:tabs>
              <w:spacing w:after="0" w:line="240" w:lineRule="atLeast"/>
              <w:rPr>
                <w:rFonts w:ascii="Times New Roman" w:hAnsi="Times New Roman"/>
                <w:sz w:val="18"/>
                <w:szCs w:val="18"/>
              </w:rPr>
            </w:pPr>
            <w:r w:rsidRPr="00B84D2B">
              <w:rPr>
                <w:rFonts w:ascii="Times New Roman" w:hAnsi="Times New Roman"/>
                <w:sz w:val="18"/>
                <w:szCs w:val="18"/>
              </w:rPr>
              <w:t xml:space="preserve">  Rural</w:t>
            </w:r>
            <w:r w:rsidR="00766F21">
              <w:rPr>
                <w:rFonts w:ascii="Times New Roman" w:hAnsi="Times New Roman"/>
                <w:sz w:val="18"/>
                <w:szCs w:val="18"/>
              </w:rPr>
              <w:tab/>
            </w:r>
          </w:p>
        </w:tc>
        <w:tc>
          <w:tcPr>
            <w:tcW w:w="580" w:type="pct"/>
            <w:tcBorders>
              <w:top w:val="nil"/>
              <w:left w:val="nil"/>
              <w:bottom w:val="nil"/>
              <w:right w:val="nil"/>
            </w:tcBorders>
            <w:shd w:val="clear" w:color="auto" w:fill="auto"/>
            <w:noWrap/>
            <w:vAlign w:val="center"/>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 xml:space="preserve">395  </w:t>
            </w:r>
          </w:p>
        </w:tc>
        <w:tc>
          <w:tcPr>
            <w:tcW w:w="549" w:type="pct"/>
            <w:tcBorders>
              <w:top w:val="nil"/>
              <w:left w:val="nil"/>
              <w:bottom w:val="nil"/>
              <w:right w:val="nil"/>
            </w:tcBorders>
            <w:shd w:val="clear" w:color="000000" w:fill="FFC7CE"/>
            <w:noWrap/>
            <w:vAlign w:val="bottom"/>
            <w:hideMark/>
          </w:tcPr>
          <w:p w:rsidR="00377C61" w:rsidRPr="00B84D2B" w:rsidRDefault="00377C61" w:rsidP="00766F21">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0.118</w:t>
            </w:r>
          </w:p>
        </w:tc>
        <w:tc>
          <w:tcPr>
            <w:tcW w:w="549" w:type="pct"/>
            <w:tcBorders>
              <w:top w:val="nil"/>
              <w:left w:val="nil"/>
              <w:bottom w:val="nil"/>
              <w:right w:val="nil"/>
            </w:tcBorders>
            <w:shd w:val="clear" w:color="000000" w:fill="FFC7CE"/>
            <w:noWrap/>
            <w:vAlign w:val="bottom"/>
            <w:hideMark/>
          </w:tcPr>
          <w:p w:rsidR="00377C61" w:rsidRPr="00B84D2B" w:rsidRDefault="00377C61" w:rsidP="00766F21">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0.084</w:t>
            </w: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0.059</w:t>
            </w: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0.041</w:t>
            </w:r>
          </w:p>
        </w:tc>
        <w:tc>
          <w:tcPr>
            <w:tcW w:w="551"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0.030</w:t>
            </w:r>
          </w:p>
        </w:tc>
      </w:tr>
      <w:tr w:rsidR="00377C61" w:rsidRPr="00B84D2B" w:rsidTr="00C44AF0">
        <w:trPr>
          <w:trHeight w:val="225"/>
        </w:trPr>
        <w:tc>
          <w:tcPr>
            <w:tcW w:w="1672" w:type="pct"/>
            <w:tcBorders>
              <w:top w:val="nil"/>
              <w:left w:val="nil"/>
              <w:bottom w:val="nil"/>
              <w:right w:val="nil"/>
            </w:tcBorders>
            <w:shd w:val="clear" w:color="auto" w:fill="auto"/>
            <w:vAlign w:val="center"/>
            <w:hideMark/>
          </w:tcPr>
          <w:p w:rsidR="00377C61" w:rsidRPr="00B84D2B" w:rsidRDefault="00377C61" w:rsidP="00766F21">
            <w:pPr>
              <w:tabs>
                <w:tab w:val="right" w:leader="dot" w:pos="3106"/>
              </w:tabs>
              <w:spacing w:after="0" w:line="240" w:lineRule="atLeast"/>
              <w:jc w:val="right"/>
              <w:rPr>
                <w:rFonts w:ascii="Times New Roman" w:hAnsi="Times New Roman"/>
                <w:sz w:val="18"/>
                <w:szCs w:val="18"/>
              </w:rPr>
            </w:pPr>
          </w:p>
        </w:tc>
        <w:tc>
          <w:tcPr>
            <w:tcW w:w="580" w:type="pct"/>
            <w:tcBorders>
              <w:top w:val="nil"/>
              <w:left w:val="nil"/>
              <w:bottom w:val="nil"/>
              <w:right w:val="nil"/>
            </w:tcBorders>
            <w:shd w:val="clear" w:color="auto" w:fill="auto"/>
            <w:noWrap/>
            <w:vAlign w:val="center"/>
            <w:hideMark/>
          </w:tcPr>
          <w:p w:rsidR="00377C61" w:rsidRPr="00B84D2B" w:rsidRDefault="00377C61" w:rsidP="00766F21">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p>
        </w:tc>
        <w:tc>
          <w:tcPr>
            <w:tcW w:w="551"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p>
        </w:tc>
      </w:tr>
      <w:tr w:rsidR="00377C61" w:rsidRPr="00B84D2B" w:rsidTr="00C44AF0">
        <w:trPr>
          <w:trHeight w:val="225"/>
        </w:trPr>
        <w:tc>
          <w:tcPr>
            <w:tcW w:w="1672" w:type="pct"/>
            <w:tcBorders>
              <w:top w:val="nil"/>
              <w:left w:val="nil"/>
              <w:bottom w:val="nil"/>
              <w:right w:val="nil"/>
            </w:tcBorders>
            <w:shd w:val="clear" w:color="auto" w:fill="auto"/>
            <w:vAlign w:val="center"/>
            <w:hideMark/>
          </w:tcPr>
          <w:p w:rsidR="00377C61" w:rsidRPr="00B84D2B" w:rsidRDefault="00377C61" w:rsidP="00766F21">
            <w:pPr>
              <w:tabs>
                <w:tab w:val="right" w:leader="dot" w:pos="3106"/>
              </w:tabs>
              <w:spacing w:after="0" w:line="240" w:lineRule="atLeast"/>
              <w:rPr>
                <w:rFonts w:ascii="Times New Roman" w:hAnsi="Times New Roman"/>
                <w:i/>
                <w:iCs/>
                <w:sz w:val="18"/>
                <w:szCs w:val="18"/>
              </w:rPr>
            </w:pPr>
            <w:r w:rsidRPr="00B84D2B">
              <w:rPr>
                <w:rFonts w:ascii="Times New Roman" w:hAnsi="Times New Roman"/>
                <w:i/>
                <w:iCs/>
                <w:sz w:val="18"/>
                <w:szCs w:val="18"/>
              </w:rPr>
              <w:t xml:space="preserve">Percent White </w:t>
            </w:r>
            <w:r w:rsidR="00766F21">
              <w:rPr>
                <w:rFonts w:ascii="Times New Roman" w:hAnsi="Times New Roman"/>
                <w:i/>
                <w:iCs/>
                <w:sz w:val="18"/>
                <w:szCs w:val="18"/>
              </w:rPr>
              <w:t>e</w:t>
            </w:r>
            <w:r w:rsidRPr="00B84D2B">
              <w:rPr>
                <w:rFonts w:ascii="Times New Roman" w:hAnsi="Times New Roman"/>
                <w:i/>
                <w:iCs/>
                <w:sz w:val="18"/>
                <w:szCs w:val="18"/>
              </w:rPr>
              <w:t>nrollment</w:t>
            </w:r>
          </w:p>
        </w:tc>
        <w:tc>
          <w:tcPr>
            <w:tcW w:w="580" w:type="pct"/>
            <w:tcBorders>
              <w:top w:val="nil"/>
              <w:left w:val="nil"/>
              <w:bottom w:val="nil"/>
              <w:right w:val="nil"/>
            </w:tcBorders>
            <w:shd w:val="clear" w:color="auto" w:fill="auto"/>
            <w:noWrap/>
            <w:vAlign w:val="center"/>
            <w:hideMark/>
          </w:tcPr>
          <w:p w:rsidR="00377C61" w:rsidRPr="00B84D2B" w:rsidRDefault="00377C61" w:rsidP="00766F21">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p>
        </w:tc>
        <w:tc>
          <w:tcPr>
            <w:tcW w:w="551"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p>
        </w:tc>
      </w:tr>
      <w:tr w:rsidR="00377C61" w:rsidRPr="00B84D2B" w:rsidTr="00C44AF0">
        <w:trPr>
          <w:trHeight w:val="225"/>
        </w:trPr>
        <w:tc>
          <w:tcPr>
            <w:tcW w:w="1672" w:type="pct"/>
            <w:tcBorders>
              <w:top w:val="nil"/>
              <w:left w:val="nil"/>
              <w:bottom w:val="nil"/>
              <w:right w:val="nil"/>
            </w:tcBorders>
            <w:shd w:val="clear" w:color="auto" w:fill="auto"/>
            <w:vAlign w:val="center"/>
            <w:hideMark/>
          </w:tcPr>
          <w:p w:rsidR="00377C61" w:rsidRPr="00B84D2B" w:rsidRDefault="00377C61" w:rsidP="00766F21">
            <w:pPr>
              <w:tabs>
                <w:tab w:val="right" w:leader="dot" w:pos="3106"/>
              </w:tabs>
              <w:spacing w:after="0" w:line="240" w:lineRule="atLeast"/>
              <w:rPr>
                <w:rFonts w:ascii="Times New Roman" w:hAnsi="Times New Roman"/>
                <w:sz w:val="18"/>
                <w:szCs w:val="18"/>
              </w:rPr>
            </w:pPr>
            <w:r w:rsidRPr="00B84D2B">
              <w:rPr>
                <w:rFonts w:ascii="Times New Roman" w:hAnsi="Times New Roman"/>
                <w:sz w:val="18"/>
                <w:szCs w:val="18"/>
              </w:rPr>
              <w:t xml:space="preserve">  More than 95 percent</w:t>
            </w:r>
            <w:r w:rsidR="00766F21">
              <w:rPr>
                <w:rFonts w:ascii="Times New Roman" w:hAnsi="Times New Roman"/>
                <w:sz w:val="18"/>
                <w:szCs w:val="18"/>
              </w:rPr>
              <w:tab/>
            </w:r>
          </w:p>
        </w:tc>
        <w:tc>
          <w:tcPr>
            <w:tcW w:w="580" w:type="pct"/>
            <w:tcBorders>
              <w:top w:val="nil"/>
              <w:left w:val="nil"/>
              <w:bottom w:val="nil"/>
              <w:right w:val="nil"/>
            </w:tcBorders>
            <w:shd w:val="clear" w:color="auto" w:fill="auto"/>
            <w:noWrap/>
            <w:vAlign w:val="center"/>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 xml:space="preserve">111  </w:t>
            </w:r>
          </w:p>
        </w:tc>
        <w:tc>
          <w:tcPr>
            <w:tcW w:w="549" w:type="pct"/>
            <w:tcBorders>
              <w:top w:val="nil"/>
              <w:left w:val="nil"/>
              <w:bottom w:val="nil"/>
              <w:right w:val="nil"/>
            </w:tcBorders>
            <w:shd w:val="clear" w:color="000000" w:fill="FFC7CE"/>
            <w:noWrap/>
            <w:vAlign w:val="bottom"/>
            <w:hideMark/>
          </w:tcPr>
          <w:p w:rsidR="00377C61" w:rsidRPr="00B84D2B" w:rsidRDefault="00377C61" w:rsidP="00766F21">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0.216</w:t>
            </w:r>
          </w:p>
        </w:tc>
        <w:tc>
          <w:tcPr>
            <w:tcW w:w="549" w:type="pct"/>
            <w:tcBorders>
              <w:top w:val="nil"/>
              <w:left w:val="nil"/>
              <w:bottom w:val="nil"/>
              <w:right w:val="nil"/>
            </w:tcBorders>
            <w:shd w:val="clear" w:color="000000" w:fill="FFC7CE"/>
            <w:noWrap/>
            <w:vAlign w:val="bottom"/>
            <w:hideMark/>
          </w:tcPr>
          <w:p w:rsidR="00377C61" w:rsidRPr="00B84D2B" w:rsidRDefault="00377C61" w:rsidP="00766F21">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0.154</w:t>
            </w:r>
          </w:p>
        </w:tc>
        <w:tc>
          <w:tcPr>
            <w:tcW w:w="549" w:type="pct"/>
            <w:tcBorders>
              <w:top w:val="nil"/>
              <w:left w:val="nil"/>
              <w:bottom w:val="nil"/>
              <w:right w:val="nil"/>
            </w:tcBorders>
            <w:shd w:val="clear" w:color="000000" w:fill="FFC7CE"/>
            <w:noWrap/>
            <w:vAlign w:val="bottom"/>
            <w:hideMark/>
          </w:tcPr>
          <w:p w:rsidR="00377C61" w:rsidRPr="00B84D2B" w:rsidRDefault="00377C61" w:rsidP="00766F21">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0.108</w:t>
            </w:r>
          </w:p>
        </w:tc>
        <w:tc>
          <w:tcPr>
            <w:tcW w:w="549" w:type="pct"/>
            <w:tcBorders>
              <w:top w:val="nil"/>
              <w:left w:val="nil"/>
              <w:bottom w:val="nil"/>
              <w:right w:val="nil"/>
            </w:tcBorders>
            <w:shd w:val="clear" w:color="000000" w:fill="FFC7CE"/>
            <w:noWrap/>
            <w:vAlign w:val="bottom"/>
            <w:hideMark/>
          </w:tcPr>
          <w:p w:rsidR="00377C61" w:rsidRPr="00B84D2B" w:rsidRDefault="00377C61" w:rsidP="00766F21">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0.076</w:t>
            </w:r>
          </w:p>
        </w:tc>
        <w:tc>
          <w:tcPr>
            <w:tcW w:w="551"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0.054</w:t>
            </w:r>
          </w:p>
        </w:tc>
      </w:tr>
      <w:tr w:rsidR="00377C61" w:rsidRPr="00B84D2B" w:rsidTr="00C44AF0">
        <w:trPr>
          <w:trHeight w:val="225"/>
        </w:trPr>
        <w:tc>
          <w:tcPr>
            <w:tcW w:w="1672" w:type="pct"/>
            <w:tcBorders>
              <w:top w:val="nil"/>
              <w:left w:val="nil"/>
              <w:bottom w:val="nil"/>
              <w:right w:val="nil"/>
            </w:tcBorders>
            <w:shd w:val="clear" w:color="auto" w:fill="auto"/>
            <w:vAlign w:val="center"/>
            <w:hideMark/>
          </w:tcPr>
          <w:p w:rsidR="00377C61" w:rsidRPr="00B84D2B" w:rsidRDefault="00377C61" w:rsidP="00766F21">
            <w:pPr>
              <w:tabs>
                <w:tab w:val="right" w:leader="dot" w:pos="3106"/>
              </w:tabs>
              <w:spacing w:after="0" w:line="240" w:lineRule="atLeast"/>
              <w:rPr>
                <w:rFonts w:ascii="Times New Roman" w:hAnsi="Times New Roman"/>
                <w:sz w:val="18"/>
                <w:szCs w:val="18"/>
              </w:rPr>
            </w:pPr>
            <w:r w:rsidRPr="00B84D2B">
              <w:rPr>
                <w:rFonts w:ascii="Times New Roman" w:hAnsi="Times New Roman"/>
                <w:sz w:val="18"/>
                <w:szCs w:val="18"/>
              </w:rPr>
              <w:t xml:space="preserve">  More than 80 to 95 percent</w:t>
            </w:r>
            <w:r w:rsidR="00766F21">
              <w:rPr>
                <w:rFonts w:ascii="Times New Roman" w:hAnsi="Times New Roman"/>
                <w:sz w:val="18"/>
                <w:szCs w:val="18"/>
              </w:rPr>
              <w:tab/>
            </w:r>
          </w:p>
        </w:tc>
        <w:tc>
          <w:tcPr>
            <w:tcW w:w="580" w:type="pct"/>
            <w:tcBorders>
              <w:top w:val="nil"/>
              <w:left w:val="nil"/>
              <w:bottom w:val="nil"/>
              <w:right w:val="nil"/>
            </w:tcBorders>
            <w:shd w:val="clear" w:color="auto" w:fill="auto"/>
            <w:noWrap/>
            <w:vAlign w:val="center"/>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 xml:space="preserve">341  </w:t>
            </w:r>
          </w:p>
        </w:tc>
        <w:tc>
          <w:tcPr>
            <w:tcW w:w="549" w:type="pct"/>
            <w:tcBorders>
              <w:top w:val="nil"/>
              <w:left w:val="nil"/>
              <w:bottom w:val="nil"/>
              <w:right w:val="nil"/>
            </w:tcBorders>
            <w:shd w:val="clear" w:color="000000" w:fill="FFC7CE"/>
            <w:noWrap/>
            <w:vAlign w:val="bottom"/>
            <w:hideMark/>
          </w:tcPr>
          <w:p w:rsidR="00377C61" w:rsidRPr="00B84D2B" w:rsidRDefault="00377C61" w:rsidP="00766F21">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0.126</w:t>
            </w:r>
          </w:p>
        </w:tc>
        <w:tc>
          <w:tcPr>
            <w:tcW w:w="549" w:type="pct"/>
            <w:tcBorders>
              <w:top w:val="nil"/>
              <w:left w:val="nil"/>
              <w:bottom w:val="nil"/>
              <w:right w:val="nil"/>
            </w:tcBorders>
            <w:shd w:val="clear" w:color="000000" w:fill="FFC7CE"/>
            <w:noWrap/>
            <w:vAlign w:val="bottom"/>
            <w:hideMark/>
          </w:tcPr>
          <w:p w:rsidR="00377C61" w:rsidRPr="00B84D2B" w:rsidRDefault="00377C61" w:rsidP="00766F21">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0.090</w:t>
            </w: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0.063</w:t>
            </w:r>
          </w:p>
        </w:tc>
        <w:tc>
          <w:tcPr>
            <w:tcW w:w="549"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0.044</w:t>
            </w:r>
          </w:p>
        </w:tc>
        <w:tc>
          <w:tcPr>
            <w:tcW w:w="551" w:type="pct"/>
            <w:tcBorders>
              <w:top w:val="nil"/>
              <w:left w:val="nil"/>
              <w:bottom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0.032</w:t>
            </w:r>
          </w:p>
        </w:tc>
      </w:tr>
      <w:tr w:rsidR="00377C61" w:rsidRPr="00B84D2B" w:rsidTr="00C44AF0">
        <w:trPr>
          <w:trHeight w:val="225"/>
        </w:trPr>
        <w:tc>
          <w:tcPr>
            <w:tcW w:w="1672" w:type="pct"/>
            <w:tcBorders>
              <w:top w:val="nil"/>
              <w:left w:val="nil"/>
              <w:right w:val="nil"/>
            </w:tcBorders>
            <w:shd w:val="clear" w:color="auto" w:fill="auto"/>
            <w:vAlign w:val="center"/>
            <w:hideMark/>
          </w:tcPr>
          <w:p w:rsidR="00377C61" w:rsidRPr="00B84D2B" w:rsidRDefault="00377C61" w:rsidP="00766F21">
            <w:pPr>
              <w:tabs>
                <w:tab w:val="right" w:leader="dot" w:pos="3106"/>
              </w:tabs>
              <w:spacing w:after="0" w:line="240" w:lineRule="atLeast"/>
              <w:rPr>
                <w:rFonts w:ascii="Times New Roman" w:hAnsi="Times New Roman"/>
                <w:sz w:val="18"/>
                <w:szCs w:val="18"/>
              </w:rPr>
            </w:pPr>
            <w:r w:rsidRPr="00B84D2B">
              <w:rPr>
                <w:rFonts w:ascii="Times New Roman" w:hAnsi="Times New Roman"/>
                <w:sz w:val="18"/>
                <w:szCs w:val="18"/>
              </w:rPr>
              <w:t xml:space="preserve">  More than 50 to 80 percent</w:t>
            </w:r>
            <w:r w:rsidR="00766F21">
              <w:rPr>
                <w:rFonts w:ascii="Times New Roman" w:hAnsi="Times New Roman"/>
                <w:sz w:val="18"/>
                <w:szCs w:val="18"/>
              </w:rPr>
              <w:tab/>
            </w:r>
          </w:p>
        </w:tc>
        <w:tc>
          <w:tcPr>
            <w:tcW w:w="580" w:type="pct"/>
            <w:tcBorders>
              <w:top w:val="nil"/>
              <w:left w:val="nil"/>
              <w:right w:val="nil"/>
            </w:tcBorders>
            <w:shd w:val="clear" w:color="auto" w:fill="auto"/>
            <w:noWrap/>
            <w:vAlign w:val="center"/>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 xml:space="preserve">375  </w:t>
            </w:r>
          </w:p>
        </w:tc>
        <w:tc>
          <w:tcPr>
            <w:tcW w:w="549" w:type="pct"/>
            <w:tcBorders>
              <w:top w:val="nil"/>
              <w:left w:val="nil"/>
              <w:right w:val="nil"/>
            </w:tcBorders>
            <w:shd w:val="clear" w:color="000000" w:fill="FFC7CE"/>
            <w:noWrap/>
            <w:vAlign w:val="bottom"/>
            <w:hideMark/>
          </w:tcPr>
          <w:p w:rsidR="00377C61" w:rsidRPr="00B84D2B" w:rsidRDefault="00377C61" w:rsidP="00766F21">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0.121</w:t>
            </w:r>
          </w:p>
        </w:tc>
        <w:tc>
          <w:tcPr>
            <w:tcW w:w="549" w:type="pct"/>
            <w:tcBorders>
              <w:top w:val="nil"/>
              <w:left w:val="nil"/>
              <w:right w:val="nil"/>
            </w:tcBorders>
            <w:shd w:val="clear" w:color="000000" w:fill="FFC7CE"/>
            <w:noWrap/>
            <w:vAlign w:val="bottom"/>
            <w:hideMark/>
          </w:tcPr>
          <w:p w:rsidR="00377C61" w:rsidRPr="00B84D2B" w:rsidRDefault="00377C61" w:rsidP="00766F21">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0.086</w:t>
            </w:r>
          </w:p>
        </w:tc>
        <w:tc>
          <w:tcPr>
            <w:tcW w:w="549" w:type="pct"/>
            <w:tcBorders>
              <w:top w:val="nil"/>
              <w:left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0.060</w:t>
            </w:r>
          </w:p>
        </w:tc>
        <w:tc>
          <w:tcPr>
            <w:tcW w:w="549" w:type="pct"/>
            <w:tcBorders>
              <w:top w:val="nil"/>
              <w:left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0.042</w:t>
            </w:r>
          </w:p>
        </w:tc>
        <w:tc>
          <w:tcPr>
            <w:tcW w:w="551" w:type="pct"/>
            <w:tcBorders>
              <w:top w:val="nil"/>
              <w:left w:val="nil"/>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0.030</w:t>
            </w:r>
          </w:p>
        </w:tc>
      </w:tr>
      <w:tr w:rsidR="00377C61" w:rsidRPr="00B84D2B" w:rsidTr="00C44AF0">
        <w:trPr>
          <w:trHeight w:val="225"/>
        </w:trPr>
        <w:tc>
          <w:tcPr>
            <w:tcW w:w="1672" w:type="pct"/>
            <w:tcBorders>
              <w:top w:val="nil"/>
              <w:left w:val="nil"/>
              <w:bottom w:val="single" w:sz="4" w:space="0" w:color="auto"/>
              <w:right w:val="nil"/>
            </w:tcBorders>
            <w:shd w:val="clear" w:color="auto" w:fill="auto"/>
            <w:vAlign w:val="center"/>
            <w:hideMark/>
          </w:tcPr>
          <w:p w:rsidR="00377C61" w:rsidRPr="00B84D2B" w:rsidRDefault="00377C61" w:rsidP="00766F21">
            <w:pPr>
              <w:tabs>
                <w:tab w:val="right" w:leader="dot" w:pos="3106"/>
              </w:tabs>
              <w:spacing w:after="0" w:line="240" w:lineRule="atLeast"/>
              <w:rPr>
                <w:rFonts w:ascii="Times New Roman" w:hAnsi="Times New Roman"/>
                <w:sz w:val="18"/>
                <w:szCs w:val="18"/>
              </w:rPr>
            </w:pPr>
            <w:r w:rsidRPr="00B84D2B">
              <w:rPr>
                <w:rFonts w:ascii="Times New Roman" w:hAnsi="Times New Roman"/>
                <w:sz w:val="18"/>
                <w:szCs w:val="18"/>
              </w:rPr>
              <w:t xml:space="preserve">  50 percent or less</w:t>
            </w:r>
            <w:r w:rsidR="00766F21">
              <w:rPr>
                <w:rFonts w:ascii="Times New Roman" w:hAnsi="Times New Roman"/>
                <w:sz w:val="18"/>
                <w:szCs w:val="18"/>
              </w:rPr>
              <w:tab/>
            </w:r>
          </w:p>
        </w:tc>
        <w:tc>
          <w:tcPr>
            <w:tcW w:w="580" w:type="pct"/>
            <w:tcBorders>
              <w:top w:val="nil"/>
              <w:left w:val="nil"/>
              <w:bottom w:val="single" w:sz="4" w:space="0" w:color="auto"/>
              <w:right w:val="nil"/>
            </w:tcBorders>
            <w:shd w:val="clear" w:color="auto" w:fill="auto"/>
            <w:noWrap/>
            <w:vAlign w:val="center"/>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 xml:space="preserve">533  </w:t>
            </w:r>
          </w:p>
        </w:tc>
        <w:tc>
          <w:tcPr>
            <w:tcW w:w="549" w:type="pct"/>
            <w:tcBorders>
              <w:top w:val="nil"/>
              <w:left w:val="nil"/>
              <w:bottom w:val="single" w:sz="4" w:space="0" w:color="auto"/>
              <w:right w:val="nil"/>
            </w:tcBorders>
            <w:shd w:val="clear" w:color="000000" w:fill="FFC7CE"/>
            <w:noWrap/>
            <w:vAlign w:val="bottom"/>
            <w:hideMark/>
          </w:tcPr>
          <w:p w:rsidR="00377C61" w:rsidRPr="00B84D2B" w:rsidRDefault="00377C61" w:rsidP="00766F21">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0.100</w:t>
            </w:r>
          </w:p>
        </w:tc>
        <w:tc>
          <w:tcPr>
            <w:tcW w:w="549" w:type="pct"/>
            <w:tcBorders>
              <w:top w:val="nil"/>
              <w:left w:val="nil"/>
              <w:bottom w:val="single" w:sz="4" w:space="0" w:color="auto"/>
              <w:right w:val="nil"/>
            </w:tcBorders>
            <w:shd w:val="clear" w:color="000000" w:fill="FFC7CE"/>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0.071</w:t>
            </w:r>
          </w:p>
        </w:tc>
        <w:tc>
          <w:tcPr>
            <w:tcW w:w="549" w:type="pct"/>
            <w:tcBorders>
              <w:top w:val="nil"/>
              <w:left w:val="nil"/>
              <w:bottom w:val="single" w:sz="4" w:space="0" w:color="auto"/>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0.050</w:t>
            </w:r>
          </w:p>
        </w:tc>
        <w:tc>
          <w:tcPr>
            <w:tcW w:w="549" w:type="pct"/>
            <w:tcBorders>
              <w:top w:val="nil"/>
              <w:left w:val="nil"/>
              <w:bottom w:val="single" w:sz="4" w:space="0" w:color="auto"/>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0.035</w:t>
            </w:r>
          </w:p>
        </w:tc>
        <w:tc>
          <w:tcPr>
            <w:tcW w:w="551" w:type="pct"/>
            <w:tcBorders>
              <w:top w:val="nil"/>
              <w:left w:val="nil"/>
              <w:bottom w:val="single" w:sz="4" w:space="0" w:color="auto"/>
              <w:right w:val="nil"/>
            </w:tcBorders>
            <w:shd w:val="clear" w:color="auto" w:fill="auto"/>
            <w:noWrap/>
            <w:vAlign w:val="bottom"/>
            <w:hideMark/>
          </w:tcPr>
          <w:p w:rsidR="00377C61" w:rsidRPr="00B84D2B" w:rsidRDefault="00377C61" w:rsidP="00766F21">
            <w:pPr>
              <w:spacing w:after="0" w:line="240" w:lineRule="atLeast"/>
              <w:jc w:val="right"/>
              <w:rPr>
                <w:rFonts w:ascii="Times New Roman" w:hAnsi="Times New Roman"/>
                <w:sz w:val="18"/>
                <w:szCs w:val="18"/>
              </w:rPr>
            </w:pPr>
            <w:r w:rsidRPr="00B84D2B">
              <w:rPr>
                <w:rFonts w:ascii="Times New Roman" w:hAnsi="Times New Roman"/>
                <w:sz w:val="18"/>
                <w:szCs w:val="18"/>
              </w:rPr>
              <w:t>0.025</w:t>
            </w:r>
          </w:p>
        </w:tc>
      </w:tr>
    </w:tbl>
    <w:p w:rsidR="00377C61" w:rsidRPr="00BA7E57" w:rsidRDefault="00377C61" w:rsidP="00766F21">
      <w:pPr>
        <w:spacing w:after="0" w:line="240" w:lineRule="atLeast"/>
        <w:ind w:left="547" w:hanging="547"/>
        <w:rPr>
          <w:rFonts w:ascii="Times New Roman" w:hAnsi="Times New Roman"/>
          <w:color w:val="000000" w:themeColor="text1"/>
          <w:sz w:val="18"/>
          <w:szCs w:val="18"/>
        </w:rPr>
      </w:pPr>
      <w:r w:rsidRPr="00BA7E57">
        <w:rPr>
          <w:rFonts w:ascii="Times New Roman" w:hAnsi="Times New Roman"/>
          <w:color w:val="000000" w:themeColor="text1"/>
          <w:sz w:val="18"/>
          <w:szCs w:val="18"/>
        </w:rPr>
        <w:t>NOTE: Cells for which the CV is greater than 0.075 (i.e., greater than 7.5 percent) are highlighted.</w:t>
      </w:r>
    </w:p>
    <w:p w:rsidR="00377C61" w:rsidRPr="00B84D2B" w:rsidRDefault="00B84D2B" w:rsidP="00766F21">
      <w:pPr>
        <w:keepNext/>
        <w:keepLines/>
        <w:ind w:left="1080" w:right="630" w:hanging="1080"/>
        <w:rPr>
          <w:rFonts w:ascii="Times New Roman" w:hAnsi="Times New Roman"/>
          <w:b/>
          <w:color w:val="000000" w:themeColor="text1"/>
          <w:sz w:val="20"/>
        </w:rPr>
      </w:pPr>
      <w:r>
        <w:rPr>
          <w:rFonts w:ascii="Times New Roman" w:hAnsi="Times New Roman"/>
          <w:color w:val="000000" w:themeColor="text1"/>
          <w:sz w:val="20"/>
        </w:rPr>
        <w:br w:type="column"/>
      </w:r>
      <w:r w:rsidR="00377C61" w:rsidRPr="00B84D2B">
        <w:rPr>
          <w:rFonts w:ascii="Times New Roman" w:hAnsi="Times New Roman"/>
          <w:b/>
          <w:color w:val="000000" w:themeColor="text1"/>
          <w:sz w:val="20"/>
        </w:rPr>
        <w:lastRenderedPageBreak/>
        <w:t xml:space="preserve">Table </w:t>
      </w:r>
      <w:r w:rsidR="001130B6" w:rsidRPr="00B84D2B">
        <w:rPr>
          <w:rFonts w:ascii="Times New Roman" w:hAnsi="Times New Roman"/>
          <w:b/>
          <w:color w:val="000000" w:themeColor="text1"/>
          <w:sz w:val="20"/>
        </w:rPr>
        <w:t>5</w:t>
      </w:r>
      <w:r w:rsidR="00377C61" w:rsidRPr="00B84D2B">
        <w:rPr>
          <w:rFonts w:ascii="Times New Roman" w:hAnsi="Times New Roman"/>
          <w:b/>
          <w:color w:val="000000" w:themeColor="text1"/>
          <w:sz w:val="20"/>
        </w:rPr>
        <w:t>B.</w:t>
      </w:r>
      <w:r w:rsidR="00377C61" w:rsidRPr="00B84D2B">
        <w:rPr>
          <w:rFonts w:ascii="Times New Roman" w:hAnsi="Times New Roman"/>
          <w:b/>
          <w:color w:val="000000" w:themeColor="text1"/>
          <w:sz w:val="20"/>
        </w:rPr>
        <w:tab/>
        <w:t>Expected sample sizes (number of completed interviews) and coefficients of variation</w:t>
      </w:r>
      <w:r w:rsidR="00766F21">
        <w:rPr>
          <w:rFonts w:ascii="Times New Roman" w:hAnsi="Times New Roman"/>
          <w:b/>
          <w:color w:val="000000" w:themeColor="text1"/>
          <w:sz w:val="20"/>
        </w:rPr>
        <w:t>,</w:t>
      </w:r>
      <w:r w:rsidR="00377C61" w:rsidRPr="00B84D2B">
        <w:rPr>
          <w:rFonts w:ascii="Times New Roman" w:hAnsi="Times New Roman"/>
          <w:b/>
          <w:color w:val="000000" w:themeColor="text1"/>
          <w:sz w:val="20"/>
        </w:rPr>
        <w:t xml:space="preserve"> </w:t>
      </w:r>
      <w:r w:rsidR="00766F21">
        <w:rPr>
          <w:rFonts w:ascii="Times New Roman" w:hAnsi="Times New Roman"/>
          <w:b/>
          <w:color w:val="000000" w:themeColor="text1"/>
          <w:sz w:val="20"/>
        </w:rPr>
        <w:br/>
      </w:r>
      <w:r w:rsidR="00377C61" w:rsidRPr="00B84D2B">
        <w:rPr>
          <w:rFonts w:ascii="Times New Roman" w:hAnsi="Times New Roman"/>
          <w:b/>
          <w:color w:val="000000" w:themeColor="text1"/>
          <w:sz w:val="20"/>
        </w:rPr>
        <w:t>by selected analytic domains under the enhanced option (n = 3,500)</w:t>
      </w:r>
    </w:p>
    <w:tbl>
      <w:tblPr>
        <w:tblW w:w="4906" w:type="pct"/>
        <w:tblInd w:w="115" w:type="dxa"/>
        <w:tblLayout w:type="fixed"/>
        <w:tblLook w:val="04A0" w:firstRow="1" w:lastRow="0" w:firstColumn="1" w:lastColumn="0" w:noHBand="0" w:noVBand="1"/>
      </w:tblPr>
      <w:tblGrid>
        <w:gridCol w:w="3427"/>
        <w:gridCol w:w="1188"/>
        <w:gridCol w:w="1125"/>
        <w:gridCol w:w="1125"/>
        <w:gridCol w:w="1125"/>
        <w:gridCol w:w="1125"/>
        <w:gridCol w:w="1129"/>
      </w:tblGrid>
      <w:tr w:rsidR="00B84D2B" w:rsidRPr="00B84D2B" w:rsidTr="00C44AF0">
        <w:trPr>
          <w:trHeight w:val="225"/>
        </w:trPr>
        <w:tc>
          <w:tcPr>
            <w:tcW w:w="1673" w:type="pct"/>
            <w:vMerge w:val="restart"/>
            <w:tcBorders>
              <w:top w:val="single" w:sz="4" w:space="0" w:color="auto"/>
              <w:left w:val="nil"/>
              <w:bottom w:val="single" w:sz="4" w:space="0" w:color="auto"/>
              <w:right w:val="single" w:sz="4" w:space="0" w:color="auto"/>
            </w:tcBorders>
            <w:shd w:val="clear" w:color="auto" w:fill="auto"/>
            <w:vAlign w:val="bottom"/>
            <w:hideMark/>
          </w:tcPr>
          <w:p w:rsidR="00B84D2B" w:rsidRPr="00B84D2B" w:rsidRDefault="00B84D2B" w:rsidP="00C44AF0">
            <w:pPr>
              <w:spacing w:after="0" w:line="240" w:lineRule="atLeast"/>
              <w:rPr>
                <w:rFonts w:ascii="Times New Roman" w:hAnsi="Times New Roman"/>
                <w:sz w:val="18"/>
                <w:szCs w:val="18"/>
              </w:rPr>
            </w:pPr>
            <w:r w:rsidRPr="00B84D2B">
              <w:rPr>
                <w:rFonts w:ascii="Times New Roman" w:hAnsi="Times New Roman"/>
                <w:sz w:val="18"/>
                <w:szCs w:val="18"/>
              </w:rPr>
              <w:t>Sample subgroup</w:t>
            </w:r>
          </w:p>
        </w:tc>
        <w:tc>
          <w:tcPr>
            <w:tcW w:w="58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84D2B" w:rsidRPr="00B84D2B" w:rsidRDefault="00B84D2B" w:rsidP="000A54E2">
            <w:pPr>
              <w:spacing w:after="0" w:line="240" w:lineRule="atLeast"/>
              <w:jc w:val="right"/>
              <w:rPr>
                <w:rFonts w:ascii="Times New Roman" w:hAnsi="Times New Roman"/>
                <w:sz w:val="18"/>
                <w:szCs w:val="18"/>
              </w:rPr>
            </w:pPr>
            <w:r w:rsidRPr="00B84D2B">
              <w:rPr>
                <w:rFonts w:ascii="Times New Roman" w:hAnsi="Times New Roman"/>
                <w:sz w:val="18"/>
                <w:szCs w:val="18"/>
              </w:rPr>
              <w:t>Expected sample size</w:t>
            </w:r>
          </w:p>
        </w:tc>
        <w:tc>
          <w:tcPr>
            <w:tcW w:w="2748" w:type="pct"/>
            <w:gridSpan w:val="5"/>
            <w:tcBorders>
              <w:top w:val="single" w:sz="4" w:space="0" w:color="auto"/>
              <w:left w:val="single" w:sz="4" w:space="0" w:color="auto"/>
              <w:bottom w:val="single" w:sz="4" w:space="0" w:color="auto"/>
              <w:right w:val="nil"/>
            </w:tcBorders>
            <w:shd w:val="clear" w:color="auto" w:fill="auto"/>
            <w:vAlign w:val="center"/>
            <w:hideMark/>
          </w:tcPr>
          <w:p w:rsidR="00B84D2B" w:rsidRPr="00B84D2B" w:rsidRDefault="00B84D2B" w:rsidP="00C44AF0">
            <w:pPr>
              <w:spacing w:after="0" w:line="240" w:lineRule="atLeast"/>
              <w:jc w:val="center"/>
              <w:rPr>
                <w:rFonts w:ascii="Times New Roman" w:hAnsi="Times New Roman"/>
                <w:sz w:val="18"/>
                <w:szCs w:val="18"/>
              </w:rPr>
            </w:pPr>
            <w:r w:rsidRPr="00B84D2B">
              <w:rPr>
                <w:rFonts w:ascii="Times New Roman" w:hAnsi="Times New Roman"/>
                <w:sz w:val="18"/>
                <w:szCs w:val="18"/>
              </w:rPr>
              <w:t>Proportion (P) in population</w:t>
            </w:r>
          </w:p>
        </w:tc>
      </w:tr>
      <w:tr w:rsidR="00B84D2B" w:rsidRPr="00B84D2B" w:rsidTr="00C44AF0">
        <w:trPr>
          <w:trHeight w:val="225"/>
        </w:trPr>
        <w:tc>
          <w:tcPr>
            <w:tcW w:w="1673" w:type="pct"/>
            <w:vMerge/>
            <w:tcBorders>
              <w:top w:val="single" w:sz="4" w:space="0" w:color="auto"/>
              <w:left w:val="nil"/>
              <w:bottom w:val="single" w:sz="4" w:space="0" w:color="auto"/>
              <w:right w:val="single" w:sz="4" w:space="0" w:color="auto"/>
            </w:tcBorders>
            <w:shd w:val="clear" w:color="auto" w:fill="auto"/>
            <w:vAlign w:val="center"/>
            <w:hideMark/>
          </w:tcPr>
          <w:p w:rsidR="00B84D2B" w:rsidRPr="00B84D2B" w:rsidRDefault="00B84D2B" w:rsidP="00C44AF0">
            <w:pPr>
              <w:spacing w:after="0" w:line="240" w:lineRule="atLeast"/>
              <w:ind w:firstLineChars="100" w:firstLine="180"/>
              <w:rPr>
                <w:rFonts w:ascii="Times New Roman" w:hAnsi="Times New Roman"/>
                <w:sz w:val="18"/>
                <w:szCs w:val="18"/>
              </w:rPr>
            </w:pPr>
          </w:p>
        </w:tc>
        <w:tc>
          <w:tcPr>
            <w:tcW w:w="580" w:type="pct"/>
            <w:vMerge/>
            <w:tcBorders>
              <w:top w:val="single" w:sz="4" w:space="0" w:color="auto"/>
              <w:left w:val="single" w:sz="4" w:space="0" w:color="auto"/>
              <w:bottom w:val="single" w:sz="4" w:space="0" w:color="auto"/>
              <w:right w:val="single" w:sz="4" w:space="0" w:color="auto"/>
            </w:tcBorders>
            <w:vAlign w:val="center"/>
            <w:hideMark/>
          </w:tcPr>
          <w:p w:rsidR="00B84D2B" w:rsidRPr="00B84D2B" w:rsidRDefault="00B84D2B" w:rsidP="00C44AF0">
            <w:pPr>
              <w:spacing w:after="0" w:line="240" w:lineRule="atLeast"/>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84D2B" w:rsidRPr="00B84D2B" w:rsidRDefault="00B84D2B" w:rsidP="00C44AF0">
            <w:pPr>
              <w:spacing w:after="0" w:line="240" w:lineRule="atLeast"/>
              <w:jc w:val="right"/>
              <w:rPr>
                <w:rFonts w:ascii="Times New Roman" w:hAnsi="Times New Roman"/>
                <w:sz w:val="18"/>
                <w:szCs w:val="18"/>
              </w:rPr>
            </w:pPr>
            <w:r w:rsidRPr="00B84D2B">
              <w:rPr>
                <w:rFonts w:ascii="Times New Roman" w:hAnsi="Times New Roman"/>
                <w:sz w:val="18"/>
                <w:szCs w:val="18"/>
              </w:rPr>
              <w:t>0.20</w:t>
            </w:r>
          </w:p>
        </w:tc>
        <w:tc>
          <w:tcPr>
            <w:tcW w:w="5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84D2B" w:rsidRPr="00B84D2B" w:rsidRDefault="00B84D2B" w:rsidP="00C44AF0">
            <w:pPr>
              <w:spacing w:after="0" w:line="240" w:lineRule="atLeast"/>
              <w:jc w:val="right"/>
              <w:rPr>
                <w:rFonts w:ascii="Times New Roman" w:hAnsi="Times New Roman"/>
                <w:sz w:val="18"/>
                <w:szCs w:val="18"/>
              </w:rPr>
            </w:pPr>
            <w:r w:rsidRPr="00B84D2B">
              <w:rPr>
                <w:rFonts w:ascii="Times New Roman" w:hAnsi="Times New Roman"/>
                <w:sz w:val="18"/>
                <w:szCs w:val="18"/>
              </w:rPr>
              <w:t>0.33</w:t>
            </w:r>
          </w:p>
        </w:tc>
        <w:tc>
          <w:tcPr>
            <w:tcW w:w="5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84D2B" w:rsidRPr="00B84D2B" w:rsidRDefault="00B84D2B" w:rsidP="00C44AF0">
            <w:pPr>
              <w:spacing w:after="0" w:line="240" w:lineRule="atLeast"/>
              <w:jc w:val="right"/>
              <w:rPr>
                <w:rFonts w:ascii="Times New Roman" w:hAnsi="Times New Roman"/>
                <w:sz w:val="18"/>
                <w:szCs w:val="18"/>
              </w:rPr>
            </w:pPr>
            <w:r w:rsidRPr="00B84D2B">
              <w:rPr>
                <w:rFonts w:ascii="Times New Roman" w:hAnsi="Times New Roman"/>
                <w:sz w:val="18"/>
                <w:szCs w:val="18"/>
              </w:rPr>
              <w:t>0.50</w:t>
            </w:r>
          </w:p>
        </w:tc>
        <w:tc>
          <w:tcPr>
            <w:tcW w:w="5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84D2B" w:rsidRPr="00B84D2B" w:rsidRDefault="00B84D2B" w:rsidP="00C44AF0">
            <w:pPr>
              <w:spacing w:after="0" w:line="240" w:lineRule="atLeast"/>
              <w:jc w:val="right"/>
              <w:rPr>
                <w:rFonts w:ascii="Times New Roman" w:hAnsi="Times New Roman"/>
                <w:sz w:val="18"/>
                <w:szCs w:val="18"/>
              </w:rPr>
            </w:pPr>
            <w:r w:rsidRPr="00B84D2B">
              <w:rPr>
                <w:rFonts w:ascii="Times New Roman" w:hAnsi="Times New Roman"/>
                <w:sz w:val="18"/>
                <w:szCs w:val="18"/>
              </w:rPr>
              <w:t>0.67</w:t>
            </w:r>
          </w:p>
        </w:tc>
        <w:tc>
          <w:tcPr>
            <w:tcW w:w="551" w:type="pct"/>
            <w:tcBorders>
              <w:top w:val="single" w:sz="4" w:space="0" w:color="auto"/>
              <w:left w:val="single" w:sz="4" w:space="0" w:color="auto"/>
              <w:bottom w:val="single" w:sz="4" w:space="0" w:color="auto"/>
              <w:right w:val="nil"/>
            </w:tcBorders>
            <w:shd w:val="clear" w:color="auto" w:fill="auto"/>
            <w:vAlign w:val="bottom"/>
            <w:hideMark/>
          </w:tcPr>
          <w:p w:rsidR="00B84D2B" w:rsidRPr="00B84D2B" w:rsidRDefault="00B84D2B" w:rsidP="00C44AF0">
            <w:pPr>
              <w:spacing w:after="0" w:line="240" w:lineRule="atLeast"/>
              <w:jc w:val="right"/>
              <w:rPr>
                <w:rFonts w:ascii="Times New Roman" w:hAnsi="Times New Roman"/>
                <w:sz w:val="18"/>
                <w:szCs w:val="18"/>
              </w:rPr>
            </w:pPr>
            <w:r w:rsidRPr="00B84D2B">
              <w:rPr>
                <w:rFonts w:ascii="Times New Roman" w:hAnsi="Times New Roman"/>
                <w:sz w:val="18"/>
                <w:szCs w:val="18"/>
              </w:rPr>
              <w:t>0.80</w:t>
            </w:r>
          </w:p>
        </w:tc>
      </w:tr>
      <w:tr w:rsidR="00377C61" w:rsidRPr="00B84D2B" w:rsidTr="00C44AF0">
        <w:trPr>
          <w:trHeight w:val="225"/>
        </w:trPr>
        <w:tc>
          <w:tcPr>
            <w:tcW w:w="1673" w:type="pct"/>
            <w:tcBorders>
              <w:top w:val="single" w:sz="4" w:space="0" w:color="auto"/>
              <w:left w:val="nil"/>
              <w:bottom w:val="nil"/>
              <w:right w:val="nil"/>
            </w:tcBorders>
            <w:shd w:val="clear" w:color="auto" w:fill="auto"/>
            <w:vAlign w:val="center"/>
            <w:hideMark/>
          </w:tcPr>
          <w:p w:rsidR="00377C61" w:rsidRPr="00B84D2B" w:rsidRDefault="00377C61" w:rsidP="00C44AF0">
            <w:pPr>
              <w:spacing w:after="0" w:line="240" w:lineRule="atLeast"/>
              <w:ind w:firstLineChars="100" w:firstLine="180"/>
              <w:jc w:val="right"/>
              <w:rPr>
                <w:rFonts w:ascii="Times New Roman" w:hAnsi="Times New Roman"/>
                <w:sz w:val="18"/>
                <w:szCs w:val="18"/>
              </w:rPr>
            </w:pPr>
          </w:p>
        </w:tc>
        <w:tc>
          <w:tcPr>
            <w:tcW w:w="580" w:type="pct"/>
            <w:tcBorders>
              <w:top w:val="single" w:sz="4" w:space="0" w:color="auto"/>
              <w:left w:val="nil"/>
              <w:bottom w:val="nil"/>
              <w:right w:val="nil"/>
            </w:tcBorders>
            <w:shd w:val="clear" w:color="auto" w:fill="auto"/>
            <w:vAlign w:val="center"/>
            <w:hideMark/>
          </w:tcPr>
          <w:p w:rsidR="00377C61" w:rsidRPr="00B84D2B" w:rsidRDefault="00377C61" w:rsidP="00C44AF0">
            <w:pPr>
              <w:spacing w:after="0" w:line="240" w:lineRule="atLeast"/>
              <w:jc w:val="right"/>
              <w:rPr>
                <w:rFonts w:ascii="Times New Roman" w:hAnsi="Times New Roman"/>
                <w:sz w:val="18"/>
                <w:szCs w:val="18"/>
              </w:rPr>
            </w:pPr>
          </w:p>
        </w:tc>
        <w:tc>
          <w:tcPr>
            <w:tcW w:w="549" w:type="pct"/>
            <w:tcBorders>
              <w:top w:val="single" w:sz="4" w:space="0" w:color="auto"/>
              <w:left w:val="nil"/>
              <w:bottom w:val="nil"/>
              <w:right w:val="nil"/>
            </w:tcBorders>
            <w:shd w:val="clear" w:color="auto" w:fill="auto"/>
            <w:vAlign w:val="center"/>
            <w:hideMark/>
          </w:tcPr>
          <w:p w:rsidR="00377C61" w:rsidRPr="00B84D2B" w:rsidRDefault="00377C61" w:rsidP="00C44AF0">
            <w:pPr>
              <w:spacing w:after="0" w:line="240" w:lineRule="atLeast"/>
              <w:jc w:val="right"/>
              <w:rPr>
                <w:rFonts w:ascii="Times New Roman" w:hAnsi="Times New Roman"/>
                <w:sz w:val="18"/>
                <w:szCs w:val="18"/>
              </w:rPr>
            </w:pPr>
          </w:p>
        </w:tc>
        <w:tc>
          <w:tcPr>
            <w:tcW w:w="549" w:type="pct"/>
            <w:tcBorders>
              <w:top w:val="single" w:sz="4" w:space="0" w:color="auto"/>
              <w:left w:val="nil"/>
              <w:bottom w:val="nil"/>
              <w:right w:val="nil"/>
            </w:tcBorders>
            <w:shd w:val="clear" w:color="auto" w:fill="auto"/>
            <w:vAlign w:val="center"/>
            <w:hideMark/>
          </w:tcPr>
          <w:p w:rsidR="00377C61" w:rsidRPr="00B84D2B" w:rsidRDefault="00377C61" w:rsidP="00C44AF0">
            <w:pPr>
              <w:spacing w:after="0" w:line="240" w:lineRule="atLeast"/>
              <w:jc w:val="right"/>
              <w:rPr>
                <w:rFonts w:ascii="Times New Roman" w:hAnsi="Times New Roman"/>
                <w:sz w:val="18"/>
                <w:szCs w:val="18"/>
              </w:rPr>
            </w:pPr>
          </w:p>
        </w:tc>
        <w:tc>
          <w:tcPr>
            <w:tcW w:w="549" w:type="pct"/>
            <w:tcBorders>
              <w:top w:val="single" w:sz="4" w:space="0" w:color="auto"/>
              <w:left w:val="nil"/>
              <w:bottom w:val="nil"/>
              <w:right w:val="nil"/>
            </w:tcBorders>
            <w:shd w:val="clear" w:color="auto" w:fill="auto"/>
            <w:vAlign w:val="center"/>
            <w:hideMark/>
          </w:tcPr>
          <w:p w:rsidR="00377C61" w:rsidRPr="00B84D2B" w:rsidRDefault="00377C61" w:rsidP="00C44AF0">
            <w:pPr>
              <w:spacing w:after="0" w:line="240" w:lineRule="atLeast"/>
              <w:jc w:val="right"/>
              <w:rPr>
                <w:rFonts w:ascii="Times New Roman" w:hAnsi="Times New Roman"/>
                <w:sz w:val="18"/>
                <w:szCs w:val="18"/>
              </w:rPr>
            </w:pPr>
          </w:p>
        </w:tc>
        <w:tc>
          <w:tcPr>
            <w:tcW w:w="549" w:type="pct"/>
            <w:tcBorders>
              <w:top w:val="single" w:sz="4" w:space="0" w:color="auto"/>
              <w:left w:val="nil"/>
              <w:bottom w:val="nil"/>
              <w:right w:val="nil"/>
            </w:tcBorders>
            <w:shd w:val="clear" w:color="auto" w:fill="auto"/>
            <w:vAlign w:val="center"/>
            <w:hideMark/>
          </w:tcPr>
          <w:p w:rsidR="00377C61" w:rsidRPr="00B84D2B" w:rsidRDefault="00377C61" w:rsidP="00C44AF0">
            <w:pPr>
              <w:spacing w:after="0" w:line="240" w:lineRule="atLeast"/>
              <w:jc w:val="right"/>
              <w:rPr>
                <w:rFonts w:ascii="Times New Roman" w:hAnsi="Times New Roman"/>
                <w:sz w:val="18"/>
                <w:szCs w:val="18"/>
              </w:rPr>
            </w:pPr>
          </w:p>
        </w:tc>
        <w:tc>
          <w:tcPr>
            <w:tcW w:w="551" w:type="pct"/>
            <w:tcBorders>
              <w:top w:val="single" w:sz="4" w:space="0" w:color="auto"/>
              <w:left w:val="nil"/>
              <w:bottom w:val="nil"/>
              <w:right w:val="nil"/>
            </w:tcBorders>
            <w:shd w:val="clear" w:color="auto" w:fill="auto"/>
            <w:vAlign w:val="center"/>
            <w:hideMark/>
          </w:tcPr>
          <w:p w:rsidR="00377C61" w:rsidRPr="00B84D2B" w:rsidRDefault="00377C61" w:rsidP="00C44AF0">
            <w:pPr>
              <w:spacing w:after="0" w:line="240" w:lineRule="atLeast"/>
              <w:jc w:val="right"/>
              <w:rPr>
                <w:rFonts w:ascii="Times New Roman" w:hAnsi="Times New Roman"/>
                <w:sz w:val="18"/>
                <w:szCs w:val="18"/>
              </w:rPr>
            </w:pPr>
          </w:p>
        </w:tc>
      </w:tr>
      <w:tr w:rsidR="00377C61" w:rsidRPr="00B84D2B" w:rsidTr="00C44AF0">
        <w:trPr>
          <w:trHeight w:val="225"/>
        </w:trPr>
        <w:tc>
          <w:tcPr>
            <w:tcW w:w="1673" w:type="pct"/>
            <w:tcBorders>
              <w:top w:val="nil"/>
              <w:left w:val="nil"/>
              <w:bottom w:val="nil"/>
              <w:right w:val="nil"/>
            </w:tcBorders>
            <w:shd w:val="clear" w:color="auto" w:fill="auto"/>
            <w:noWrap/>
            <w:vAlign w:val="center"/>
            <w:hideMark/>
          </w:tcPr>
          <w:p w:rsidR="00377C61" w:rsidRPr="00766F21" w:rsidRDefault="00377C61" w:rsidP="00C44AF0">
            <w:pPr>
              <w:tabs>
                <w:tab w:val="right" w:leader="dot" w:pos="3106"/>
              </w:tabs>
              <w:spacing w:after="0" w:line="240" w:lineRule="atLeast"/>
              <w:rPr>
                <w:rFonts w:ascii="Times New Roman" w:hAnsi="Times New Roman"/>
                <w:iCs/>
                <w:sz w:val="18"/>
                <w:szCs w:val="18"/>
              </w:rPr>
            </w:pPr>
            <w:r w:rsidRPr="00B84D2B">
              <w:rPr>
                <w:rFonts w:ascii="Times New Roman" w:hAnsi="Times New Roman"/>
                <w:i/>
                <w:iCs/>
                <w:sz w:val="18"/>
                <w:szCs w:val="18"/>
              </w:rPr>
              <w:t>Total sample</w:t>
            </w:r>
            <w:r w:rsidR="00766F21">
              <w:rPr>
                <w:rFonts w:ascii="Times New Roman" w:hAnsi="Times New Roman"/>
                <w:iCs/>
                <w:sz w:val="18"/>
                <w:szCs w:val="18"/>
              </w:rPr>
              <w:tab/>
            </w:r>
          </w:p>
        </w:tc>
        <w:tc>
          <w:tcPr>
            <w:tcW w:w="580"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 xml:space="preserve">2,975  </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0.043</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0.031</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0.021</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0.015</w:t>
            </w:r>
          </w:p>
        </w:tc>
        <w:tc>
          <w:tcPr>
            <w:tcW w:w="551"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0.011</w:t>
            </w:r>
          </w:p>
        </w:tc>
      </w:tr>
      <w:tr w:rsidR="00377C61" w:rsidRPr="00B84D2B" w:rsidTr="00C44AF0">
        <w:trPr>
          <w:trHeight w:val="402"/>
        </w:trPr>
        <w:tc>
          <w:tcPr>
            <w:tcW w:w="1673" w:type="pct"/>
            <w:tcBorders>
              <w:top w:val="nil"/>
              <w:left w:val="nil"/>
              <w:bottom w:val="nil"/>
              <w:right w:val="nil"/>
            </w:tcBorders>
            <w:shd w:val="clear" w:color="auto" w:fill="auto"/>
            <w:vAlign w:val="bottom"/>
            <w:hideMark/>
          </w:tcPr>
          <w:p w:rsidR="00377C61" w:rsidRPr="00B84D2B" w:rsidRDefault="00377C61" w:rsidP="00C44AF0">
            <w:pPr>
              <w:tabs>
                <w:tab w:val="right" w:leader="dot" w:pos="3106"/>
              </w:tabs>
              <w:spacing w:after="0" w:line="240" w:lineRule="atLeast"/>
              <w:rPr>
                <w:rFonts w:ascii="Times New Roman" w:hAnsi="Times New Roman"/>
                <w:i/>
                <w:iCs/>
                <w:sz w:val="18"/>
                <w:szCs w:val="18"/>
              </w:rPr>
            </w:pPr>
            <w:r w:rsidRPr="00B84D2B">
              <w:rPr>
                <w:rFonts w:ascii="Times New Roman" w:hAnsi="Times New Roman"/>
                <w:i/>
                <w:iCs/>
                <w:sz w:val="18"/>
                <w:szCs w:val="18"/>
              </w:rPr>
              <w:t>Instructional level</w:t>
            </w:r>
          </w:p>
        </w:tc>
        <w:tc>
          <w:tcPr>
            <w:tcW w:w="580"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rPr>
                <w:rFonts w:ascii="Times New Roman" w:hAnsi="Times New Roman"/>
                <w:sz w:val="18"/>
                <w:szCs w:val="18"/>
              </w:rPr>
            </w:pPr>
          </w:p>
        </w:tc>
        <w:tc>
          <w:tcPr>
            <w:tcW w:w="551"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rPr>
                <w:rFonts w:ascii="Times New Roman" w:hAnsi="Times New Roman"/>
                <w:sz w:val="18"/>
                <w:szCs w:val="18"/>
              </w:rPr>
            </w:pPr>
          </w:p>
        </w:tc>
      </w:tr>
      <w:tr w:rsidR="00377C61" w:rsidRPr="00B84D2B" w:rsidTr="00C44AF0">
        <w:trPr>
          <w:trHeight w:val="225"/>
        </w:trPr>
        <w:tc>
          <w:tcPr>
            <w:tcW w:w="1673" w:type="pct"/>
            <w:tcBorders>
              <w:top w:val="nil"/>
              <w:left w:val="nil"/>
              <w:bottom w:val="nil"/>
              <w:right w:val="nil"/>
            </w:tcBorders>
            <w:shd w:val="clear" w:color="auto" w:fill="auto"/>
            <w:vAlign w:val="center"/>
            <w:hideMark/>
          </w:tcPr>
          <w:p w:rsidR="00377C61" w:rsidRPr="00B84D2B" w:rsidRDefault="00377C61" w:rsidP="00C44AF0">
            <w:pPr>
              <w:tabs>
                <w:tab w:val="right" w:leader="dot" w:pos="3106"/>
              </w:tabs>
              <w:spacing w:after="0" w:line="240" w:lineRule="atLeast"/>
              <w:rPr>
                <w:rFonts w:ascii="Times New Roman" w:hAnsi="Times New Roman"/>
                <w:sz w:val="18"/>
                <w:szCs w:val="18"/>
              </w:rPr>
            </w:pPr>
            <w:r w:rsidRPr="00B84D2B">
              <w:rPr>
                <w:rFonts w:ascii="Times New Roman" w:hAnsi="Times New Roman"/>
                <w:sz w:val="18"/>
                <w:szCs w:val="18"/>
              </w:rPr>
              <w:t xml:space="preserve">  Elementary</w:t>
            </w:r>
            <w:r w:rsidR="00766F21">
              <w:rPr>
                <w:rFonts w:ascii="Times New Roman" w:hAnsi="Times New Roman"/>
                <w:iCs/>
                <w:sz w:val="18"/>
                <w:szCs w:val="18"/>
              </w:rPr>
              <w:tab/>
            </w:r>
          </w:p>
        </w:tc>
        <w:tc>
          <w:tcPr>
            <w:tcW w:w="580"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 xml:space="preserve">1,041  </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0.064</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0.046</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0.032</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0.023</w:t>
            </w:r>
          </w:p>
        </w:tc>
        <w:tc>
          <w:tcPr>
            <w:tcW w:w="551"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0.016</w:t>
            </w:r>
          </w:p>
        </w:tc>
      </w:tr>
      <w:tr w:rsidR="00377C61" w:rsidRPr="00B84D2B" w:rsidTr="00C44AF0">
        <w:trPr>
          <w:trHeight w:val="225"/>
        </w:trPr>
        <w:tc>
          <w:tcPr>
            <w:tcW w:w="1673" w:type="pct"/>
            <w:tcBorders>
              <w:top w:val="nil"/>
              <w:left w:val="nil"/>
              <w:bottom w:val="nil"/>
              <w:right w:val="nil"/>
            </w:tcBorders>
            <w:shd w:val="clear" w:color="auto" w:fill="auto"/>
            <w:vAlign w:val="center"/>
            <w:hideMark/>
          </w:tcPr>
          <w:p w:rsidR="00377C61" w:rsidRPr="00B84D2B" w:rsidRDefault="00377C61" w:rsidP="00C44AF0">
            <w:pPr>
              <w:tabs>
                <w:tab w:val="right" w:leader="dot" w:pos="3106"/>
              </w:tabs>
              <w:spacing w:after="0" w:line="240" w:lineRule="atLeast"/>
              <w:rPr>
                <w:rFonts w:ascii="Times New Roman" w:hAnsi="Times New Roman"/>
                <w:sz w:val="18"/>
                <w:szCs w:val="18"/>
              </w:rPr>
            </w:pPr>
            <w:r w:rsidRPr="00B84D2B">
              <w:rPr>
                <w:rFonts w:ascii="Times New Roman" w:hAnsi="Times New Roman"/>
                <w:sz w:val="18"/>
                <w:szCs w:val="18"/>
              </w:rPr>
              <w:t xml:space="preserve">  Middle</w:t>
            </w:r>
            <w:r w:rsidR="00766F21">
              <w:rPr>
                <w:rFonts w:ascii="Times New Roman" w:hAnsi="Times New Roman"/>
                <w:iCs/>
                <w:sz w:val="18"/>
                <w:szCs w:val="18"/>
              </w:rPr>
              <w:tab/>
            </w:r>
          </w:p>
        </w:tc>
        <w:tc>
          <w:tcPr>
            <w:tcW w:w="580"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 xml:space="preserve">893  </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0.071</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0.050</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0.035</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0.025</w:t>
            </w:r>
          </w:p>
        </w:tc>
        <w:tc>
          <w:tcPr>
            <w:tcW w:w="551"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0.018</w:t>
            </w:r>
          </w:p>
        </w:tc>
      </w:tr>
      <w:tr w:rsidR="00377C61" w:rsidRPr="00B84D2B" w:rsidTr="00C44AF0">
        <w:trPr>
          <w:trHeight w:val="225"/>
        </w:trPr>
        <w:tc>
          <w:tcPr>
            <w:tcW w:w="1673" w:type="pct"/>
            <w:tcBorders>
              <w:top w:val="nil"/>
              <w:left w:val="nil"/>
              <w:bottom w:val="nil"/>
              <w:right w:val="nil"/>
            </w:tcBorders>
            <w:shd w:val="clear" w:color="auto" w:fill="auto"/>
            <w:vAlign w:val="center"/>
            <w:hideMark/>
          </w:tcPr>
          <w:p w:rsidR="00377C61" w:rsidRPr="00B84D2B" w:rsidRDefault="00377C61" w:rsidP="00C44AF0">
            <w:pPr>
              <w:tabs>
                <w:tab w:val="right" w:leader="dot" w:pos="3106"/>
              </w:tabs>
              <w:spacing w:after="0" w:line="240" w:lineRule="atLeast"/>
              <w:rPr>
                <w:rFonts w:ascii="Times New Roman" w:hAnsi="Times New Roman"/>
                <w:sz w:val="18"/>
                <w:szCs w:val="18"/>
              </w:rPr>
            </w:pPr>
            <w:r w:rsidRPr="00B84D2B">
              <w:rPr>
                <w:rFonts w:ascii="Times New Roman" w:hAnsi="Times New Roman"/>
                <w:sz w:val="18"/>
                <w:szCs w:val="18"/>
              </w:rPr>
              <w:t xml:space="preserve">  Sec/combined</w:t>
            </w:r>
            <w:r w:rsidR="00766F21">
              <w:rPr>
                <w:rFonts w:ascii="Times New Roman" w:hAnsi="Times New Roman"/>
                <w:iCs/>
                <w:sz w:val="18"/>
                <w:szCs w:val="18"/>
              </w:rPr>
              <w:tab/>
            </w:r>
          </w:p>
        </w:tc>
        <w:tc>
          <w:tcPr>
            <w:tcW w:w="580"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 xml:space="preserve">1,041  </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0.070</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0.050</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0.035</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0.025</w:t>
            </w:r>
          </w:p>
        </w:tc>
        <w:tc>
          <w:tcPr>
            <w:tcW w:w="551"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0.017</w:t>
            </w:r>
          </w:p>
        </w:tc>
      </w:tr>
      <w:tr w:rsidR="00377C61" w:rsidRPr="00B84D2B" w:rsidTr="00C44AF0">
        <w:trPr>
          <w:trHeight w:val="225"/>
        </w:trPr>
        <w:tc>
          <w:tcPr>
            <w:tcW w:w="1673" w:type="pct"/>
            <w:tcBorders>
              <w:top w:val="nil"/>
              <w:left w:val="nil"/>
              <w:bottom w:val="nil"/>
              <w:right w:val="nil"/>
            </w:tcBorders>
            <w:shd w:val="clear" w:color="auto" w:fill="auto"/>
            <w:vAlign w:val="center"/>
            <w:hideMark/>
          </w:tcPr>
          <w:p w:rsidR="00377C61" w:rsidRPr="00B84D2B" w:rsidRDefault="00377C61" w:rsidP="00C44AF0">
            <w:pPr>
              <w:tabs>
                <w:tab w:val="right" w:leader="dot" w:pos="3106"/>
              </w:tabs>
              <w:spacing w:after="0" w:line="240" w:lineRule="atLeast"/>
              <w:jc w:val="right"/>
              <w:rPr>
                <w:rFonts w:ascii="Times New Roman" w:hAnsi="Times New Roman"/>
                <w:i/>
                <w:iCs/>
                <w:sz w:val="18"/>
                <w:szCs w:val="18"/>
              </w:rPr>
            </w:pPr>
          </w:p>
        </w:tc>
        <w:tc>
          <w:tcPr>
            <w:tcW w:w="580"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p>
        </w:tc>
        <w:tc>
          <w:tcPr>
            <w:tcW w:w="551"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p>
        </w:tc>
      </w:tr>
      <w:tr w:rsidR="00377C61" w:rsidRPr="00B84D2B" w:rsidTr="00C44AF0">
        <w:trPr>
          <w:trHeight w:val="225"/>
        </w:trPr>
        <w:tc>
          <w:tcPr>
            <w:tcW w:w="1673" w:type="pct"/>
            <w:tcBorders>
              <w:top w:val="nil"/>
              <w:left w:val="nil"/>
              <w:bottom w:val="nil"/>
              <w:right w:val="nil"/>
            </w:tcBorders>
            <w:shd w:val="clear" w:color="auto" w:fill="auto"/>
            <w:vAlign w:val="center"/>
            <w:hideMark/>
          </w:tcPr>
          <w:p w:rsidR="00377C61" w:rsidRPr="00B84D2B" w:rsidRDefault="00377C61" w:rsidP="00C44AF0">
            <w:pPr>
              <w:tabs>
                <w:tab w:val="right" w:leader="dot" w:pos="3106"/>
              </w:tabs>
              <w:spacing w:after="0" w:line="240" w:lineRule="atLeast"/>
              <w:rPr>
                <w:rFonts w:ascii="Times New Roman" w:hAnsi="Times New Roman"/>
                <w:i/>
                <w:iCs/>
                <w:sz w:val="18"/>
                <w:szCs w:val="18"/>
              </w:rPr>
            </w:pPr>
            <w:r w:rsidRPr="00B84D2B">
              <w:rPr>
                <w:rFonts w:ascii="Times New Roman" w:hAnsi="Times New Roman"/>
                <w:i/>
                <w:iCs/>
                <w:sz w:val="18"/>
                <w:szCs w:val="18"/>
              </w:rPr>
              <w:t>Size of school</w:t>
            </w:r>
          </w:p>
        </w:tc>
        <w:tc>
          <w:tcPr>
            <w:tcW w:w="580"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p>
        </w:tc>
        <w:tc>
          <w:tcPr>
            <w:tcW w:w="551"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p>
        </w:tc>
      </w:tr>
      <w:tr w:rsidR="00377C61" w:rsidRPr="00B84D2B" w:rsidTr="00C44AF0">
        <w:trPr>
          <w:trHeight w:val="225"/>
        </w:trPr>
        <w:tc>
          <w:tcPr>
            <w:tcW w:w="1673" w:type="pct"/>
            <w:tcBorders>
              <w:top w:val="nil"/>
              <w:left w:val="nil"/>
              <w:bottom w:val="nil"/>
              <w:right w:val="nil"/>
            </w:tcBorders>
            <w:shd w:val="clear" w:color="auto" w:fill="auto"/>
            <w:vAlign w:val="center"/>
            <w:hideMark/>
          </w:tcPr>
          <w:p w:rsidR="00377C61" w:rsidRPr="00B84D2B" w:rsidRDefault="00377C61" w:rsidP="00C44AF0">
            <w:pPr>
              <w:tabs>
                <w:tab w:val="right" w:leader="dot" w:pos="3106"/>
              </w:tabs>
              <w:spacing w:after="0" w:line="240" w:lineRule="atLeast"/>
              <w:rPr>
                <w:rFonts w:ascii="Times New Roman" w:hAnsi="Times New Roman"/>
                <w:sz w:val="18"/>
                <w:szCs w:val="18"/>
              </w:rPr>
            </w:pPr>
            <w:r w:rsidRPr="00B84D2B">
              <w:rPr>
                <w:rFonts w:ascii="Times New Roman" w:hAnsi="Times New Roman"/>
                <w:sz w:val="18"/>
                <w:szCs w:val="18"/>
              </w:rPr>
              <w:t xml:space="preserve">  Less than 300</w:t>
            </w:r>
            <w:r w:rsidR="00766F21">
              <w:rPr>
                <w:rFonts w:ascii="Times New Roman" w:hAnsi="Times New Roman"/>
                <w:iCs/>
                <w:sz w:val="18"/>
                <w:szCs w:val="18"/>
              </w:rPr>
              <w:tab/>
            </w:r>
          </w:p>
        </w:tc>
        <w:tc>
          <w:tcPr>
            <w:tcW w:w="580"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 xml:space="preserve">424  </w:t>
            </w:r>
          </w:p>
        </w:tc>
        <w:tc>
          <w:tcPr>
            <w:tcW w:w="549" w:type="pct"/>
            <w:tcBorders>
              <w:top w:val="nil"/>
              <w:left w:val="nil"/>
              <w:bottom w:val="nil"/>
              <w:right w:val="nil"/>
            </w:tcBorders>
            <w:shd w:val="clear" w:color="000000" w:fill="FFC7CE"/>
            <w:noWrap/>
            <w:vAlign w:val="bottom"/>
            <w:hideMark/>
          </w:tcPr>
          <w:p w:rsidR="00377C61" w:rsidRPr="00B84D2B" w:rsidRDefault="00377C61" w:rsidP="00C44AF0">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0.104</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0.074</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0.052</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0.036</w:t>
            </w:r>
          </w:p>
        </w:tc>
        <w:tc>
          <w:tcPr>
            <w:tcW w:w="551"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0.026</w:t>
            </w:r>
          </w:p>
        </w:tc>
      </w:tr>
      <w:tr w:rsidR="00377C61" w:rsidRPr="00B84D2B" w:rsidTr="00C44AF0">
        <w:trPr>
          <w:trHeight w:val="225"/>
        </w:trPr>
        <w:tc>
          <w:tcPr>
            <w:tcW w:w="1673" w:type="pct"/>
            <w:tcBorders>
              <w:top w:val="nil"/>
              <w:left w:val="nil"/>
              <w:bottom w:val="nil"/>
              <w:right w:val="nil"/>
            </w:tcBorders>
            <w:shd w:val="clear" w:color="auto" w:fill="auto"/>
            <w:vAlign w:val="center"/>
            <w:hideMark/>
          </w:tcPr>
          <w:p w:rsidR="00377C61" w:rsidRPr="00B84D2B" w:rsidRDefault="00377C61" w:rsidP="00C44AF0">
            <w:pPr>
              <w:tabs>
                <w:tab w:val="right" w:leader="dot" w:pos="3106"/>
              </w:tabs>
              <w:spacing w:after="0" w:line="240" w:lineRule="atLeast"/>
              <w:rPr>
                <w:rFonts w:ascii="Times New Roman" w:hAnsi="Times New Roman"/>
                <w:sz w:val="18"/>
                <w:szCs w:val="18"/>
              </w:rPr>
            </w:pPr>
            <w:r w:rsidRPr="00B84D2B">
              <w:rPr>
                <w:rFonts w:ascii="Times New Roman" w:hAnsi="Times New Roman"/>
                <w:sz w:val="18"/>
                <w:szCs w:val="18"/>
              </w:rPr>
              <w:t xml:space="preserve">  300 to 499</w:t>
            </w:r>
            <w:r w:rsidR="00766F21">
              <w:rPr>
                <w:rFonts w:ascii="Times New Roman" w:hAnsi="Times New Roman"/>
                <w:iCs/>
                <w:sz w:val="18"/>
                <w:szCs w:val="18"/>
              </w:rPr>
              <w:tab/>
            </w:r>
          </w:p>
        </w:tc>
        <w:tc>
          <w:tcPr>
            <w:tcW w:w="580"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 xml:space="preserve">687  </w:t>
            </w:r>
          </w:p>
        </w:tc>
        <w:tc>
          <w:tcPr>
            <w:tcW w:w="549" w:type="pct"/>
            <w:tcBorders>
              <w:top w:val="nil"/>
              <w:left w:val="nil"/>
              <w:bottom w:val="nil"/>
              <w:right w:val="nil"/>
            </w:tcBorders>
            <w:shd w:val="clear" w:color="000000" w:fill="FFC7CE"/>
            <w:noWrap/>
            <w:vAlign w:val="bottom"/>
            <w:hideMark/>
          </w:tcPr>
          <w:p w:rsidR="00377C61" w:rsidRPr="00B84D2B" w:rsidRDefault="00377C61" w:rsidP="00C44AF0">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0.081</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0.058</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0.041</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0.029</w:t>
            </w:r>
          </w:p>
        </w:tc>
        <w:tc>
          <w:tcPr>
            <w:tcW w:w="551"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0.020</w:t>
            </w:r>
          </w:p>
        </w:tc>
      </w:tr>
      <w:tr w:rsidR="00377C61" w:rsidRPr="00B84D2B" w:rsidTr="00C44AF0">
        <w:trPr>
          <w:trHeight w:val="225"/>
        </w:trPr>
        <w:tc>
          <w:tcPr>
            <w:tcW w:w="1673" w:type="pct"/>
            <w:tcBorders>
              <w:top w:val="nil"/>
              <w:left w:val="nil"/>
              <w:bottom w:val="nil"/>
              <w:right w:val="nil"/>
            </w:tcBorders>
            <w:shd w:val="clear" w:color="auto" w:fill="auto"/>
            <w:vAlign w:val="center"/>
            <w:hideMark/>
          </w:tcPr>
          <w:p w:rsidR="00377C61" w:rsidRPr="00B84D2B" w:rsidRDefault="00377C61" w:rsidP="00C44AF0">
            <w:pPr>
              <w:tabs>
                <w:tab w:val="right" w:leader="dot" w:pos="3106"/>
              </w:tabs>
              <w:spacing w:after="0" w:line="240" w:lineRule="atLeast"/>
              <w:rPr>
                <w:rFonts w:ascii="Times New Roman" w:hAnsi="Times New Roman"/>
                <w:sz w:val="18"/>
                <w:szCs w:val="18"/>
              </w:rPr>
            </w:pPr>
            <w:r w:rsidRPr="00B84D2B">
              <w:rPr>
                <w:rFonts w:ascii="Times New Roman" w:hAnsi="Times New Roman"/>
                <w:sz w:val="18"/>
                <w:szCs w:val="18"/>
              </w:rPr>
              <w:t xml:space="preserve">  500 to 999</w:t>
            </w:r>
            <w:r w:rsidR="00766F21">
              <w:rPr>
                <w:rFonts w:ascii="Times New Roman" w:hAnsi="Times New Roman"/>
                <w:iCs/>
                <w:sz w:val="18"/>
                <w:szCs w:val="18"/>
              </w:rPr>
              <w:tab/>
            </w:r>
          </w:p>
        </w:tc>
        <w:tc>
          <w:tcPr>
            <w:tcW w:w="580"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 xml:space="preserve">1,179  </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0.064</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0.045</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0.032</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0.022</w:t>
            </w:r>
          </w:p>
        </w:tc>
        <w:tc>
          <w:tcPr>
            <w:tcW w:w="551"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0.016</w:t>
            </w:r>
          </w:p>
        </w:tc>
      </w:tr>
      <w:tr w:rsidR="00377C61" w:rsidRPr="00B84D2B" w:rsidTr="00C44AF0">
        <w:trPr>
          <w:trHeight w:val="225"/>
        </w:trPr>
        <w:tc>
          <w:tcPr>
            <w:tcW w:w="1673" w:type="pct"/>
            <w:tcBorders>
              <w:top w:val="nil"/>
              <w:left w:val="nil"/>
              <w:bottom w:val="nil"/>
              <w:right w:val="nil"/>
            </w:tcBorders>
            <w:shd w:val="clear" w:color="auto" w:fill="auto"/>
            <w:vAlign w:val="center"/>
            <w:hideMark/>
          </w:tcPr>
          <w:p w:rsidR="00377C61" w:rsidRPr="00B84D2B" w:rsidRDefault="00377C61" w:rsidP="00C44AF0">
            <w:pPr>
              <w:tabs>
                <w:tab w:val="right" w:leader="dot" w:pos="3106"/>
              </w:tabs>
              <w:spacing w:after="0" w:line="240" w:lineRule="atLeast"/>
              <w:rPr>
                <w:rFonts w:ascii="Times New Roman" w:hAnsi="Times New Roman"/>
                <w:sz w:val="18"/>
                <w:szCs w:val="18"/>
              </w:rPr>
            </w:pPr>
            <w:r w:rsidRPr="00B84D2B">
              <w:rPr>
                <w:rFonts w:ascii="Times New Roman" w:hAnsi="Times New Roman"/>
                <w:sz w:val="18"/>
                <w:szCs w:val="18"/>
              </w:rPr>
              <w:t xml:space="preserve">  1,000 +</w:t>
            </w:r>
            <w:r w:rsidR="00766F21">
              <w:rPr>
                <w:rFonts w:ascii="Times New Roman" w:hAnsi="Times New Roman"/>
                <w:iCs/>
                <w:sz w:val="18"/>
                <w:szCs w:val="18"/>
              </w:rPr>
              <w:tab/>
            </w:r>
          </w:p>
        </w:tc>
        <w:tc>
          <w:tcPr>
            <w:tcW w:w="580"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 xml:space="preserve">685  </w:t>
            </w:r>
          </w:p>
        </w:tc>
        <w:tc>
          <w:tcPr>
            <w:tcW w:w="549" w:type="pct"/>
            <w:tcBorders>
              <w:top w:val="nil"/>
              <w:left w:val="nil"/>
              <w:bottom w:val="nil"/>
              <w:right w:val="nil"/>
            </w:tcBorders>
            <w:shd w:val="clear" w:color="000000" w:fill="FFC7CE"/>
            <w:noWrap/>
            <w:vAlign w:val="bottom"/>
            <w:hideMark/>
          </w:tcPr>
          <w:p w:rsidR="00377C61" w:rsidRPr="00B84D2B" w:rsidRDefault="00377C61" w:rsidP="00C44AF0">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0.080</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0.057</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0.040</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0.028</w:t>
            </w:r>
          </w:p>
        </w:tc>
        <w:tc>
          <w:tcPr>
            <w:tcW w:w="551"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0.020</w:t>
            </w:r>
          </w:p>
        </w:tc>
      </w:tr>
      <w:tr w:rsidR="00377C61" w:rsidRPr="00B84D2B" w:rsidTr="00C44AF0">
        <w:trPr>
          <w:trHeight w:val="225"/>
        </w:trPr>
        <w:tc>
          <w:tcPr>
            <w:tcW w:w="1673" w:type="pct"/>
            <w:tcBorders>
              <w:top w:val="nil"/>
              <w:left w:val="nil"/>
              <w:bottom w:val="nil"/>
              <w:right w:val="nil"/>
            </w:tcBorders>
            <w:shd w:val="clear" w:color="auto" w:fill="auto"/>
            <w:vAlign w:val="center"/>
            <w:hideMark/>
          </w:tcPr>
          <w:p w:rsidR="00377C61" w:rsidRPr="00B84D2B" w:rsidRDefault="00377C61" w:rsidP="00C44AF0">
            <w:pPr>
              <w:tabs>
                <w:tab w:val="right" w:leader="dot" w:pos="3106"/>
              </w:tabs>
              <w:spacing w:after="0" w:line="240" w:lineRule="atLeast"/>
              <w:jc w:val="right"/>
              <w:rPr>
                <w:rFonts w:ascii="Times New Roman" w:hAnsi="Times New Roman"/>
                <w:i/>
                <w:iCs/>
                <w:sz w:val="18"/>
                <w:szCs w:val="18"/>
              </w:rPr>
            </w:pPr>
          </w:p>
        </w:tc>
        <w:tc>
          <w:tcPr>
            <w:tcW w:w="580"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p>
        </w:tc>
        <w:tc>
          <w:tcPr>
            <w:tcW w:w="551"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p>
        </w:tc>
      </w:tr>
      <w:tr w:rsidR="00377C61" w:rsidRPr="00B84D2B" w:rsidTr="00C44AF0">
        <w:trPr>
          <w:trHeight w:val="225"/>
        </w:trPr>
        <w:tc>
          <w:tcPr>
            <w:tcW w:w="1673" w:type="pct"/>
            <w:tcBorders>
              <w:top w:val="nil"/>
              <w:left w:val="nil"/>
              <w:bottom w:val="nil"/>
              <w:right w:val="nil"/>
            </w:tcBorders>
            <w:shd w:val="clear" w:color="auto" w:fill="auto"/>
            <w:vAlign w:val="center"/>
            <w:hideMark/>
          </w:tcPr>
          <w:p w:rsidR="00377C61" w:rsidRPr="00B84D2B" w:rsidRDefault="00377C61" w:rsidP="00C44AF0">
            <w:pPr>
              <w:tabs>
                <w:tab w:val="right" w:leader="dot" w:pos="3106"/>
              </w:tabs>
              <w:spacing w:after="0" w:line="240" w:lineRule="atLeast"/>
              <w:rPr>
                <w:rFonts w:ascii="Times New Roman" w:hAnsi="Times New Roman"/>
                <w:i/>
                <w:iCs/>
                <w:sz w:val="18"/>
                <w:szCs w:val="18"/>
              </w:rPr>
            </w:pPr>
            <w:r w:rsidRPr="00B84D2B">
              <w:rPr>
                <w:rFonts w:ascii="Times New Roman" w:hAnsi="Times New Roman"/>
                <w:i/>
                <w:iCs/>
                <w:sz w:val="18"/>
                <w:szCs w:val="18"/>
              </w:rPr>
              <w:t>Urbanicity</w:t>
            </w:r>
          </w:p>
        </w:tc>
        <w:tc>
          <w:tcPr>
            <w:tcW w:w="580"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p>
        </w:tc>
        <w:tc>
          <w:tcPr>
            <w:tcW w:w="551"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p>
        </w:tc>
      </w:tr>
      <w:tr w:rsidR="00377C61" w:rsidRPr="00B84D2B" w:rsidTr="00C44AF0">
        <w:trPr>
          <w:trHeight w:val="225"/>
        </w:trPr>
        <w:tc>
          <w:tcPr>
            <w:tcW w:w="1673" w:type="pct"/>
            <w:tcBorders>
              <w:top w:val="nil"/>
              <w:left w:val="nil"/>
              <w:bottom w:val="nil"/>
              <w:right w:val="nil"/>
            </w:tcBorders>
            <w:shd w:val="clear" w:color="auto" w:fill="auto"/>
            <w:vAlign w:val="center"/>
            <w:hideMark/>
          </w:tcPr>
          <w:p w:rsidR="00377C61" w:rsidRPr="00B84D2B" w:rsidRDefault="00377C61" w:rsidP="00C44AF0">
            <w:pPr>
              <w:tabs>
                <w:tab w:val="right" w:leader="dot" w:pos="3106"/>
              </w:tabs>
              <w:spacing w:after="0" w:line="240" w:lineRule="atLeast"/>
              <w:rPr>
                <w:rFonts w:ascii="Times New Roman" w:hAnsi="Times New Roman"/>
                <w:sz w:val="18"/>
                <w:szCs w:val="18"/>
              </w:rPr>
            </w:pPr>
            <w:r w:rsidRPr="00B84D2B">
              <w:rPr>
                <w:rFonts w:ascii="Times New Roman" w:hAnsi="Times New Roman"/>
                <w:sz w:val="18"/>
                <w:szCs w:val="18"/>
              </w:rPr>
              <w:t xml:space="preserve">  City</w:t>
            </w:r>
            <w:r w:rsidR="00766F21">
              <w:rPr>
                <w:rFonts w:ascii="Times New Roman" w:hAnsi="Times New Roman"/>
                <w:iCs/>
                <w:sz w:val="18"/>
                <w:szCs w:val="18"/>
              </w:rPr>
              <w:tab/>
            </w:r>
          </w:p>
        </w:tc>
        <w:tc>
          <w:tcPr>
            <w:tcW w:w="580"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 xml:space="preserve">786  </w:t>
            </w:r>
          </w:p>
        </w:tc>
        <w:tc>
          <w:tcPr>
            <w:tcW w:w="549" w:type="pct"/>
            <w:tcBorders>
              <w:top w:val="nil"/>
              <w:left w:val="nil"/>
              <w:bottom w:val="nil"/>
              <w:right w:val="nil"/>
            </w:tcBorders>
            <w:shd w:val="clear" w:color="000000" w:fill="FFC7CE"/>
            <w:noWrap/>
            <w:vAlign w:val="bottom"/>
            <w:hideMark/>
          </w:tcPr>
          <w:p w:rsidR="00377C61" w:rsidRPr="00B84D2B" w:rsidRDefault="00377C61" w:rsidP="00C44AF0">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0.083</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0.059</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0.041</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0.029</w:t>
            </w:r>
          </w:p>
        </w:tc>
        <w:tc>
          <w:tcPr>
            <w:tcW w:w="551"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0.021</w:t>
            </w:r>
          </w:p>
        </w:tc>
      </w:tr>
      <w:tr w:rsidR="00377C61" w:rsidRPr="00B84D2B" w:rsidTr="00C44AF0">
        <w:trPr>
          <w:trHeight w:val="225"/>
        </w:trPr>
        <w:tc>
          <w:tcPr>
            <w:tcW w:w="1673" w:type="pct"/>
            <w:tcBorders>
              <w:top w:val="nil"/>
              <w:left w:val="nil"/>
              <w:bottom w:val="nil"/>
              <w:right w:val="nil"/>
            </w:tcBorders>
            <w:shd w:val="clear" w:color="auto" w:fill="auto"/>
            <w:vAlign w:val="center"/>
            <w:hideMark/>
          </w:tcPr>
          <w:p w:rsidR="00377C61" w:rsidRPr="00B84D2B" w:rsidRDefault="00377C61" w:rsidP="00C44AF0">
            <w:pPr>
              <w:tabs>
                <w:tab w:val="right" w:leader="dot" w:pos="3106"/>
              </w:tabs>
              <w:spacing w:after="0" w:line="240" w:lineRule="atLeast"/>
              <w:rPr>
                <w:rFonts w:ascii="Times New Roman" w:hAnsi="Times New Roman"/>
                <w:sz w:val="18"/>
                <w:szCs w:val="18"/>
              </w:rPr>
            </w:pPr>
            <w:r w:rsidRPr="00B84D2B">
              <w:rPr>
                <w:rFonts w:ascii="Times New Roman" w:hAnsi="Times New Roman"/>
                <w:sz w:val="18"/>
                <w:szCs w:val="18"/>
              </w:rPr>
              <w:t xml:space="preserve">  Suburb</w:t>
            </w:r>
            <w:r w:rsidR="00766F21">
              <w:rPr>
                <w:rFonts w:ascii="Times New Roman" w:hAnsi="Times New Roman"/>
                <w:iCs/>
                <w:sz w:val="18"/>
                <w:szCs w:val="18"/>
              </w:rPr>
              <w:tab/>
            </w:r>
          </w:p>
        </w:tc>
        <w:tc>
          <w:tcPr>
            <w:tcW w:w="580"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 xml:space="preserve">924  </w:t>
            </w:r>
          </w:p>
        </w:tc>
        <w:tc>
          <w:tcPr>
            <w:tcW w:w="549" w:type="pct"/>
            <w:tcBorders>
              <w:top w:val="nil"/>
              <w:left w:val="nil"/>
              <w:bottom w:val="nil"/>
              <w:right w:val="nil"/>
            </w:tcBorders>
            <w:shd w:val="clear" w:color="000000" w:fill="FFC7CE"/>
            <w:noWrap/>
            <w:vAlign w:val="bottom"/>
            <w:hideMark/>
          </w:tcPr>
          <w:p w:rsidR="00377C61" w:rsidRPr="00B84D2B" w:rsidRDefault="00377C61" w:rsidP="00C44AF0">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0.077</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0.055</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0.039</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0.027</w:t>
            </w:r>
          </w:p>
        </w:tc>
        <w:tc>
          <w:tcPr>
            <w:tcW w:w="551"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0.019</w:t>
            </w:r>
          </w:p>
        </w:tc>
      </w:tr>
      <w:tr w:rsidR="00377C61" w:rsidRPr="00B84D2B" w:rsidTr="00C44AF0">
        <w:trPr>
          <w:trHeight w:val="225"/>
        </w:trPr>
        <w:tc>
          <w:tcPr>
            <w:tcW w:w="1673" w:type="pct"/>
            <w:tcBorders>
              <w:top w:val="nil"/>
              <w:left w:val="nil"/>
              <w:bottom w:val="nil"/>
              <w:right w:val="nil"/>
            </w:tcBorders>
            <w:shd w:val="clear" w:color="auto" w:fill="auto"/>
            <w:vAlign w:val="center"/>
            <w:hideMark/>
          </w:tcPr>
          <w:p w:rsidR="00377C61" w:rsidRPr="00B84D2B" w:rsidRDefault="00377C61" w:rsidP="00C44AF0">
            <w:pPr>
              <w:tabs>
                <w:tab w:val="right" w:leader="dot" w:pos="3106"/>
              </w:tabs>
              <w:spacing w:after="0" w:line="240" w:lineRule="atLeast"/>
              <w:rPr>
                <w:rFonts w:ascii="Times New Roman" w:hAnsi="Times New Roman"/>
                <w:sz w:val="18"/>
                <w:szCs w:val="18"/>
              </w:rPr>
            </w:pPr>
            <w:r w:rsidRPr="00B84D2B">
              <w:rPr>
                <w:rFonts w:ascii="Times New Roman" w:hAnsi="Times New Roman"/>
                <w:sz w:val="18"/>
                <w:szCs w:val="18"/>
              </w:rPr>
              <w:t xml:space="preserve">  Town</w:t>
            </w:r>
            <w:r w:rsidR="00766F21">
              <w:rPr>
                <w:rFonts w:ascii="Times New Roman" w:hAnsi="Times New Roman"/>
                <w:iCs/>
                <w:sz w:val="18"/>
                <w:szCs w:val="18"/>
              </w:rPr>
              <w:tab/>
            </w:r>
          </w:p>
        </w:tc>
        <w:tc>
          <w:tcPr>
            <w:tcW w:w="580"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 xml:space="preserve">400  </w:t>
            </w:r>
          </w:p>
        </w:tc>
        <w:tc>
          <w:tcPr>
            <w:tcW w:w="549" w:type="pct"/>
            <w:tcBorders>
              <w:top w:val="nil"/>
              <w:left w:val="nil"/>
              <w:bottom w:val="nil"/>
              <w:right w:val="nil"/>
            </w:tcBorders>
            <w:shd w:val="clear" w:color="000000" w:fill="FFC7CE"/>
            <w:noWrap/>
            <w:vAlign w:val="bottom"/>
            <w:hideMark/>
          </w:tcPr>
          <w:p w:rsidR="00377C61" w:rsidRPr="00B84D2B" w:rsidRDefault="00377C61" w:rsidP="00C44AF0">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0.114</w:t>
            </w:r>
          </w:p>
        </w:tc>
        <w:tc>
          <w:tcPr>
            <w:tcW w:w="549" w:type="pct"/>
            <w:tcBorders>
              <w:top w:val="nil"/>
              <w:left w:val="nil"/>
              <w:bottom w:val="nil"/>
              <w:right w:val="nil"/>
            </w:tcBorders>
            <w:shd w:val="clear" w:color="000000" w:fill="FFC7CE"/>
            <w:noWrap/>
            <w:vAlign w:val="bottom"/>
            <w:hideMark/>
          </w:tcPr>
          <w:p w:rsidR="00377C61" w:rsidRPr="00B84D2B" w:rsidRDefault="00377C61" w:rsidP="00C44AF0">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0.081</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0.057</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0.040</w:t>
            </w:r>
          </w:p>
        </w:tc>
        <w:tc>
          <w:tcPr>
            <w:tcW w:w="551"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0.028</w:t>
            </w:r>
          </w:p>
        </w:tc>
      </w:tr>
      <w:tr w:rsidR="00377C61" w:rsidRPr="00B84D2B" w:rsidTr="00C44AF0">
        <w:trPr>
          <w:trHeight w:val="225"/>
        </w:trPr>
        <w:tc>
          <w:tcPr>
            <w:tcW w:w="1673" w:type="pct"/>
            <w:tcBorders>
              <w:top w:val="nil"/>
              <w:left w:val="nil"/>
              <w:bottom w:val="nil"/>
              <w:right w:val="nil"/>
            </w:tcBorders>
            <w:shd w:val="clear" w:color="auto" w:fill="auto"/>
            <w:vAlign w:val="center"/>
            <w:hideMark/>
          </w:tcPr>
          <w:p w:rsidR="00377C61" w:rsidRPr="00B84D2B" w:rsidRDefault="00377C61" w:rsidP="00C44AF0">
            <w:pPr>
              <w:tabs>
                <w:tab w:val="right" w:leader="dot" w:pos="3106"/>
              </w:tabs>
              <w:spacing w:after="0" w:line="240" w:lineRule="atLeast"/>
              <w:rPr>
                <w:rFonts w:ascii="Times New Roman" w:hAnsi="Times New Roman"/>
                <w:sz w:val="18"/>
                <w:szCs w:val="18"/>
              </w:rPr>
            </w:pPr>
            <w:r w:rsidRPr="00B84D2B">
              <w:rPr>
                <w:rFonts w:ascii="Times New Roman" w:hAnsi="Times New Roman"/>
                <w:sz w:val="18"/>
                <w:szCs w:val="18"/>
              </w:rPr>
              <w:t xml:space="preserve">  Rural</w:t>
            </w:r>
            <w:r w:rsidR="00766F21">
              <w:rPr>
                <w:rFonts w:ascii="Times New Roman" w:hAnsi="Times New Roman"/>
                <w:iCs/>
                <w:sz w:val="18"/>
                <w:szCs w:val="18"/>
              </w:rPr>
              <w:tab/>
            </w:r>
          </w:p>
        </w:tc>
        <w:tc>
          <w:tcPr>
            <w:tcW w:w="580"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 xml:space="preserve">864  </w:t>
            </w:r>
          </w:p>
        </w:tc>
        <w:tc>
          <w:tcPr>
            <w:tcW w:w="549" w:type="pct"/>
            <w:tcBorders>
              <w:top w:val="nil"/>
              <w:left w:val="nil"/>
              <w:bottom w:val="nil"/>
              <w:right w:val="nil"/>
            </w:tcBorders>
            <w:shd w:val="clear" w:color="000000" w:fill="FFC7CE"/>
            <w:noWrap/>
            <w:vAlign w:val="bottom"/>
            <w:hideMark/>
          </w:tcPr>
          <w:p w:rsidR="00377C61" w:rsidRPr="00B84D2B" w:rsidRDefault="00377C61" w:rsidP="00C44AF0">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0.080</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0.057</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0.040</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0.028</w:t>
            </w:r>
          </w:p>
        </w:tc>
        <w:tc>
          <w:tcPr>
            <w:tcW w:w="551"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0.020</w:t>
            </w:r>
          </w:p>
        </w:tc>
      </w:tr>
      <w:tr w:rsidR="00377C61" w:rsidRPr="00B84D2B" w:rsidTr="00C44AF0">
        <w:trPr>
          <w:trHeight w:val="225"/>
        </w:trPr>
        <w:tc>
          <w:tcPr>
            <w:tcW w:w="1673" w:type="pct"/>
            <w:tcBorders>
              <w:top w:val="nil"/>
              <w:left w:val="nil"/>
              <w:bottom w:val="nil"/>
              <w:right w:val="nil"/>
            </w:tcBorders>
            <w:shd w:val="clear" w:color="auto" w:fill="auto"/>
            <w:vAlign w:val="center"/>
            <w:hideMark/>
          </w:tcPr>
          <w:p w:rsidR="00377C61" w:rsidRPr="00B84D2B" w:rsidRDefault="00377C61" w:rsidP="00C44AF0">
            <w:pPr>
              <w:tabs>
                <w:tab w:val="right" w:leader="dot" w:pos="3106"/>
              </w:tabs>
              <w:spacing w:after="0" w:line="240" w:lineRule="atLeast"/>
              <w:jc w:val="right"/>
              <w:rPr>
                <w:rFonts w:ascii="Times New Roman" w:hAnsi="Times New Roman"/>
                <w:sz w:val="18"/>
                <w:szCs w:val="18"/>
              </w:rPr>
            </w:pPr>
          </w:p>
        </w:tc>
        <w:tc>
          <w:tcPr>
            <w:tcW w:w="580"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p>
        </w:tc>
        <w:tc>
          <w:tcPr>
            <w:tcW w:w="551"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p>
        </w:tc>
      </w:tr>
      <w:tr w:rsidR="00377C61" w:rsidRPr="00B84D2B" w:rsidTr="00C44AF0">
        <w:trPr>
          <w:trHeight w:val="225"/>
        </w:trPr>
        <w:tc>
          <w:tcPr>
            <w:tcW w:w="1673" w:type="pct"/>
            <w:tcBorders>
              <w:top w:val="nil"/>
              <w:left w:val="nil"/>
              <w:bottom w:val="nil"/>
              <w:right w:val="nil"/>
            </w:tcBorders>
            <w:shd w:val="clear" w:color="auto" w:fill="auto"/>
            <w:vAlign w:val="center"/>
            <w:hideMark/>
          </w:tcPr>
          <w:p w:rsidR="00377C61" w:rsidRPr="00B84D2B" w:rsidRDefault="00377C61" w:rsidP="00C44AF0">
            <w:pPr>
              <w:tabs>
                <w:tab w:val="right" w:leader="dot" w:pos="3106"/>
              </w:tabs>
              <w:spacing w:after="0" w:line="240" w:lineRule="atLeast"/>
              <w:rPr>
                <w:rFonts w:ascii="Times New Roman" w:hAnsi="Times New Roman"/>
                <w:i/>
                <w:iCs/>
                <w:sz w:val="18"/>
                <w:szCs w:val="18"/>
              </w:rPr>
            </w:pPr>
            <w:r w:rsidRPr="00B84D2B">
              <w:rPr>
                <w:rFonts w:ascii="Times New Roman" w:hAnsi="Times New Roman"/>
                <w:i/>
                <w:iCs/>
                <w:sz w:val="18"/>
                <w:szCs w:val="18"/>
              </w:rPr>
              <w:t xml:space="preserve">Percent White </w:t>
            </w:r>
            <w:r w:rsidR="00766F21">
              <w:rPr>
                <w:rFonts w:ascii="Times New Roman" w:hAnsi="Times New Roman"/>
                <w:i/>
                <w:iCs/>
                <w:sz w:val="18"/>
                <w:szCs w:val="18"/>
              </w:rPr>
              <w:t>en</w:t>
            </w:r>
            <w:r w:rsidRPr="00B84D2B">
              <w:rPr>
                <w:rFonts w:ascii="Times New Roman" w:hAnsi="Times New Roman"/>
                <w:i/>
                <w:iCs/>
                <w:sz w:val="18"/>
                <w:szCs w:val="18"/>
              </w:rPr>
              <w:t>rollment</w:t>
            </w:r>
          </w:p>
        </w:tc>
        <w:tc>
          <w:tcPr>
            <w:tcW w:w="580"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p>
        </w:tc>
        <w:tc>
          <w:tcPr>
            <w:tcW w:w="551"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p>
        </w:tc>
      </w:tr>
      <w:tr w:rsidR="00377C61" w:rsidRPr="00B84D2B" w:rsidTr="00C44AF0">
        <w:trPr>
          <w:trHeight w:val="225"/>
        </w:trPr>
        <w:tc>
          <w:tcPr>
            <w:tcW w:w="1673" w:type="pct"/>
            <w:tcBorders>
              <w:top w:val="nil"/>
              <w:left w:val="nil"/>
              <w:bottom w:val="nil"/>
              <w:right w:val="nil"/>
            </w:tcBorders>
            <w:shd w:val="clear" w:color="auto" w:fill="auto"/>
            <w:vAlign w:val="center"/>
            <w:hideMark/>
          </w:tcPr>
          <w:p w:rsidR="00377C61" w:rsidRPr="00B84D2B" w:rsidRDefault="00377C61" w:rsidP="00C44AF0">
            <w:pPr>
              <w:tabs>
                <w:tab w:val="right" w:leader="dot" w:pos="3106"/>
              </w:tabs>
              <w:spacing w:after="0" w:line="240" w:lineRule="atLeast"/>
              <w:rPr>
                <w:rFonts w:ascii="Times New Roman" w:hAnsi="Times New Roman"/>
                <w:sz w:val="18"/>
                <w:szCs w:val="18"/>
              </w:rPr>
            </w:pPr>
            <w:r w:rsidRPr="00B84D2B">
              <w:rPr>
                <w:rFonts w:ascii="Times New Roman" w:hAnsi="Times New Roman"/>
                <w:sz w:val="18"/>
                <w:szCs w:val="18"/>
              </w:rPr>
              <w:t xml:space="preserve">  More than 95 percent*</w:t>
            </w:r>
            <w:r w:rsidR="00766F21">
              <w:rPr>
                <w:rFonts w:ascii="Times New Roman" w:hAnsi="Times New Roman"/>
                <w:iCs/>
                <w:sz w:val="18"/>
                <w:szCs w:val="18"/>
              </w:rPr>
              <w:tab/>
            </w:r>
          </w:p>
        </w:tc>
        <w:tc>
          <w:tcPr>
            <w:tcW w:w="580"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 xml:space="preserve">242  </w:t>
            </w:r>
          </w:p>
        </w:tc>
        <w:tc>
          <w:tcPr>
            <w:tcW w:w="549" w:type="pct"/>
            <w:tcBorders>
              <w:top w:val="nil"/>
              <w:left w:val="nil"/>
              <w:bottom w:val="nil"/>
              <w:right w:val="nil"/>
            </w:tcBorders>
            <w:shd w:val="clear" w:color="000000" w:fill="FFC7CE"/>
            <w:noWrap/>
            <w:vAlign w:val="bottom"/>
            <w:hideMark/>
          </w:tcPr>
          <w:p w:rsidR="00377C61" w:rsidRPr="00B84D2B" w:rsidRDefault="00377C61" w:rsidP="00C44AF0">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0.146</w:t>
            </w:r>
          </w:p>
        </w:tc>
        <w:tc>
          <w:tcPr>
            <w:tcW w:w="549" w:type="pct"/>
            <w:tcBorders>
              <w:top w:val="nil"/>
              <w:left w:val="nil"/>
              <w:bottom w:val="nil"/>
              <w:right w:val="nil"/>
            </w:tcBorders>
            <w:shd w:val="clear" w:color="000000" w:fill="FFC7CE"/>
            <w:noWrap/>
            <w:vAlign w:val="bottom"/>
            <w:hideMark/>
          </w:tcPr>
          <w:p w:rsidR="00377C61" w:rsidRPr="00B84D2B" w:rsidRDefault="00377C61" w:rsidP="00C44AF0">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0.104</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0.073</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0.051</w:t>
            </w:r>
          </w:p>
        </w:tc>
        <w:tc>
          <w:tcPr>
            <w:tcW w:w="551"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0.036</w:t>
            </w:r>
          </w:p>
        </w:tc>
      </w:tr>
      <w:tr w:rsidR="00377C61" w:rsidRPr="00B84D2B" w:rsidTr="00C44AF0">
        <w:trPr>
          <w:trHeight w:val="225"/>
        </w:trPr>
        <w:tc>
          <w:tcPr>
            <w:tcW w:w="1673" w:type="pct"/>
            <w:tcBorders>
              <w:top w:val="nil"/>
              <w:left w:val="nil"/>
              <w:bottom w:val="nil"/>
              <w:right w:val="nil"/>
            </w:tcBorders>
            <w:shd w:val="clear" w:color="auto" w:fill="auto"/>
            <w:vAlign w:val="center"/>
            <w:hideMark/>
          </w:tcPr>
          <w:p w:rsidR="00377C61" w:rsidRPr="00B84D2B" w:rsidRDefault="00377C61" w:rsidP="00C44AF0">
            <w:pPr>
              <w:tabs>
                <w:tab w:val="right" w:leader="dot" w:pos="3106"/>
              </w:tabs>
              <w:spacing w:after="0" w:line="240" w:lineRule="atLeast"/>
              <w:rPr>
                <w:rFonts w:ascii="Times New Roman" w:hAnsi="Times New Roman"/>
                <w:sz w:val="18"/>
                <w:szCs w:val="18"/>
              </w:rPr>
            </w:pPr>
            <w:r w:rsidRPr="00B84D2B">
              <w:rPr>
                <w:rFonts w:ascii="Times New Roman" w:hAnsi="Times New Roman"/>
                <w:sz w:val="18"/>
                <w:szCs w:val="18"/>
              </w:rPr>
              <w:t xml:space="preserve">  More than 80 to 95 percent</w:t>
            </w:r>
            <w:r w:rsidR="00766F21">
              <w:rPr>
                <w:rFonts w:ascii="Times New Roman" w:hAnsi="Times New Roman"/>
                <w:iCs/>
                <w:sz w:val="18"/>
                <w:szCs w:val="18"/>
              </w:rPr>
              <w:tab/>
            </w:r>
          </w:p>
        </w:tc>
        <w:tc>
          <w:tcPr>
            <w:tcW w:w="580"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 xml:space="preserve">746  </w:t>
            </w:r>
          </w:p>
        </w:tc>
        <w:tc>
          <w:tcPr>
            <w:tcW w:w="549" w:type="pct"/>
            <w:tcBorders>
              <w:top w:val="nil"/>
              <w:left w:val="nil"/>
              <w:bottom w:val="nil"/>
              <w:right w:val="nil"/>
            </w:tcBorders>
            <w:shd w:val="clear" w:color="000000" w:fill="FFC7CE"/>
            <w:noWrap/>
            <w:vAlign w:val="bottom"/>
            <w:hideMark/>
          </w:tcPr>
          <w:p w:rsidR="00377C61" w:rsidRPr="00B84D2B" w:rsidRDefault="00377C61" w:rsidP="00C44AF0">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0.085</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0.061</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0.043</w:t>
            </w:r>
          </w:p>
        </w:tc>
        <w:tc>
          <w:tcPr>
            <w:tcW w:w="549"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0.030</w:t>
            </w:r>
          </w:p>
        </w:tc>
        <w:tc>
          <w:tcPr>
            <w:tcW w:w="551" w:type="pct"/>
            <w:tcBorders>
              <w:top w:val="nil"/>
              <w:left w:val="nil"/>
              <w:bottom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0.021</w:t>
            </w:r>
          </w:p>
        </w:tc>
      </w:tr>
      <w:tr w:rsidR="00377C61" w:rsidRPr="00B84D2B" w:rsidTr="00C44AF0">
        <w:trPr>
          <w:trHeight w:val="225"/>
        </w:trPr>
        <w:tc>
          <w:tcPr>
            <w:tcW w:w="1673" w:type="pct"/>
            <w:tcBorders>
              <w:top w:val="nil"/>
              <w:left w:val="nil"/>
              <w:right w:val="nil"/>
            </w:tcBorders>
            <w:shd w:val="clear" w:color="auto" w:fill="auto"/>
            <w:vAlign w:val="center"/>
            <w:hideMark/>
          </w:tcPr>
          <w:p w:rsidR="00377C61" w:rsidRPr="00B84D2B" w:rsidRDefault="00377C61" w:rsidP="00C44AF0">
            <w:pPr>
              <w:tabs>
                <w:tab w:val="right" w:leader="dot" w:pos="3106"/>
              </w:tabs>
              <w:spacing w:after="0" w:line="240" w:lineRule="atLeast"/>
              <w:rPr>
                <w:rFonts w:ascii="Times New Roman" w:hAnsi="Times New Roman"/>
                <w:sz w:val="18"/>
                <w:szCs w:val="18"/>
              </w:rPr>
            </w:pPr>
            <w:r w:rsidRPr="00B84D2B">
              <w:rPr>
                <w:rFonts w:ascii="Times New Roman" w:hAnsi="Times New Roman"/>
                <w:sz w:val="18"/>
                <w:szCs w:val="18"/>
              </w:rPr>
              <w:t xml:space="preserve">  More than 50 to 80 percent</w:t>
            </w:r>
            <w:r w:rsidR="00766F21">
              <w:rPr>
                <w:rFonts w:ascii="Times New Roman" w:hAnsi="Times New Roman"/>
                <w:iCs/>
                <w:sz w:val="18"/>
                <w:szCs w:val="18"/>
              </w:rPr>
              <w:tab/>
            </w:r>
          </w:p>
        </w:tc>
        <w:tc>
          <w:tcPr>
            <w:tcW w:w="580" w:type="pct"/>
            <w:tcBorders>
              <w:top w:val="nil"/>
              <w:left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 xml:space="preserve">824  </w:t>
            </w:r>
          </w:p>
        </w:tc>
        <w:tc>
          <w:tcPr>
            <w:tcW w:w="549" w:type="pct"/>
            <w:tcBorders>
              <w:top w:val="nil"/>
              <w:left w:val="nil"/>
              <w:right w:val="nil"/>
            </w:tcBorders>
            <w:shd w:val="clear" w:color="000000" w:fill="FFC7CE"/>
            <w:noWrap/>
            <w:vAlign w:val="bottom"/>
            <w:hideMark/>
          </w:tcPr>
          <w:p w:rsidR="00377C61" w:rsidRPr="00B84D2B" w:rsidRDefault="00377C61" w:rsidP="00C44AF0">
            <w:pPr>
              <w:spacing w:after="0" w:line="240" w:lineRule="atLeast"/>
              <w:jc w:val="right"/>
              <w:rPr>
                <w:rFonts w:ascii="Times New Roman" w:hAnsi="Times New Roman"/>
                <w:color w:val="9C0006"/>
                <w:sz w:val="18"/>
                <w:szCs w:val="18"/>
              </w:rPr>
            </w:pPr>
            <w:r w:rsidRPr="00B84D2B">
              <w:rPr>
                <w:rFonts w:ascii="Times New Roman" w:hAnsi="Times New Roman"/>
                <w:color w:val="9C0006"/>
                <w:sz w:val="18"/>
                <w:szCs w:val="18"/>
              </w:rPr>
              <w:t>0.081</w:t>
            </w:r>
          </w:p>
        </w:tc>
        <w:tc>
          <w:tcPr>
            <w:tcW w:w="549" w:type="pct"/>
            <w:tcBorders>
              <w:top w:val="nil"/>
              <w:left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0.058</w:t>
            </w:r>
          </w:p>
        </w:tc>
        <w:tc>
          <w:tcPr>
            <w:tcW w:w="549" w:type="pct"/>
            <w:tcBorders>
              <w:top w:val="nil"/>
              <w:left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0.041</w:t>
            </w:r>
          </w:p>
        </w:tc>
        <w:tc>
          <w:tcPr>
            <w:tcW w:w="549" w:type="pct"/>
            <w:tcBorders>
              <w:top w:val="nil"/>
              <w:left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0.029</w:t>
            </w:r>
          </w:p>
        </w:tc>
        <w:tc>
          <w:tcPr>
            <w:tcW w:w="551" w:type="pct"/>
            <w:tcBorders>
              <w:top w:val="nil"/>
              <w:left w:val="nil"/>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0.020</w:t>
            </w:r>
          </w:p>
        </w:tc>
      </w:tr>
      <w:tr w:rsidR="00377C61" w:rsidRPr="00B84D2B" w:rsidTr="00C44AF0">
        <w:trPr>
          <w:trHeight w:val="225"/>
        </w:trPr>
        <w:tc>
          <w:tcPr>
            <w:tcW w:w="1673" w:type="pct"/>
            <w:tcBorders>
              <w:top w:val="nil"/>
              <w:left w:val="nil"/>
              <w:bottom w:val="single" w:sz="4" w:space="0" w:color="auto"/>
              <w:right w:val="nil"/>
            </w:tcBorders>
            <w:shd w:val="clear" w:color="auto" w:fill="auto"/>
            <w:vAlign w:val="center"/>
            <w:hideMark/>
          </w:tcPr>
          <w:p w:rsidR="00377C61" w:rsidRPr="00B84D2B" w:rsidRDefault="00377C61" w:rsidP="00C44AF0">
            <w:pPr>
              <w:tabs>
                <w:tab w:val="right" w:leader="dot" w:pos="3106"/>
              </w:tabs>
              <w:spacing w:after="0" w:line="240" w:lineRule="atLeast"/>
              <w:rPr>
                <w:rFonts w:ascii="Times New Roman" w:hAnsi="Times New Roman"/>
                <w:sz w:val="18"/>
                <w:szCs w:val="18"/>
              </w:rPr>
            </w:pPr>
            <w:r w:rsidRPr="00B84D2B">
              <w:rPr>
                <w:rFonts w:ascii="Times New Roman" w:hAnsi="Times New Roman"/>
                <w:sz w:val="18"/>
                <w:szCs w:val="18"/>
              </w:rPr>
              <w:t xml:space="preserve">  50 percent or less</w:t>
            </w:r>
            <w:r w:rsidR="00766F21">
              <w:rPr>
                <w:rFonts w:ascii="Times New Roman" w:hAnsi="Times New Roman"/>
                <w:iCs/>
                <w:sz w:val="18"/>
                <w:szCs w:val="18"/>
              </w:rPr>
              <w:tab/>
            </w:r>
          </w:p>
        </w:tc>
        <w:tc>
          <w:tcPr>
            <w:tcW w:w="580" w:type="pct"/>
            <w:tcBorders>
              <w:top w:val="nil"/>
              <w:left w:val="nil"/>
              <w:bottom w:val="single" w:sz="4" w:space="0" w:color="auto"/>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 xml:space="preserve">1,163  </w:t>
            </w:r>
          </w:p>
        </w:tc>
        <w:tc>
          <w:tcPr>
            <w:tcW w:w="549" w:type="pct"/>
            <w:tcBorders>
              <w:top w:val="nil"/>
              <w:left w:val="nil"/>
              <w:bottom w:val="single" w:sz="4" w:space="0" w:color="auto"/>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0.067</w:t>
            </w:r>
          </w:p>
        </w:tc>
        <w:tc>
          <w:tcPr>
            <w:tcW w:w="549" w:type="pct"/>
            <w:tcBorders>
              <w:top w:val="nil"/>
              <w:left w:val="nil"/>
              <w:bottom w:val="single" w:sz="4" w:space="0" w:color="auto"/>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0.048</w:t>
            </w:r>
          </w:p>
        </w:tc>
        <w:tc>
          <w:tcPr>
            <w:tcW w:w="549" w:type="pct"/>
            <w:tcBorders>
              <w:top w:val="nil"/>
              <w:left w:val="nil"/>
              <w:bottom w:val="single" w:sz="4" w:space="0" w:color="auto"/>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0.034</w:t>
            </w:r>
          </w:p>
        </w:tc>
        <w:tc>
          <w:tcPr>
            <w:tcW w:w="549" w:type="pct"/>
            <w:tcBorders>
              <w:top w:val="nil"/>
              <w:left w:val="nil"/>
              <w:bottom w:val="single" w:sz="4" w:space="0" w:color="auto"/>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0.024</w:t>
            </w:r>
          </w:p>
        </w:tc>
        <w:tc>
          <w:tcPr>
            <w:tcW w:w="551" w:type="pct"/>
            <w:tcBorders>
              <w:top w:val="nil"/>
              <w:left w:val="nil"/>
              <w:bottom w:val="single" w:sz="4" w:space="0" w:color="auto"/>
              <w:right w:val="nil"/>
            </w:tcBorders>
            <w:shd w:val="clear" w:color="auto" w:fill="auto"/>
            <w:noWrap/>
            <w:vAlign w:val="bottom"/>
            <w:hideMark/>
          </w:tcPr>
          <w:p w:rsidR="00377C61" w:rsidRPr="00B84D2B" w:rsidRDefault="00377C61" w:rsidP="00C44AF0">
            <w:pPr>
              <w:spacing w:after="0" w:line="240" w:lineRule="atLeast"/>
              <w:jc w:val="right"/>
              <w:rPr>
                <w:rFonts w:ascii="Times New Roman" w:hAnsi="Times New Roman"/>
                <w:sz w:val="18"/>
                <w:szCs w:val="18"/>
              </w:rPr>
            </w:pPr>
            <w:r w:rsidRPr="00B84D2B">
              <w:rPr>
                <w:rFonts w:ascii="Times New Roman" w:hAnsi="Times New Roman"/>
                <w:sz w:val="18"/>
                <w:szCs w:val="18"/>
              </w:rPr>
              <w:t>0.017</w:t>
            </w:r>
          </w:p>
        </w:tc>
      </w:tr>
    </w:tbl>
    <w:p w:rsidR="00377C61" w:rsidRPr="00BA7E57" w:rsidRDefault="00377C61" w:rsidP="00766F21">
      <w:pPr>
        <w:spacing w:after="0" w:line="240" w:lineRule="atLeast"/>
        <w:ind w:left="547" w:hanging="547"/>
        <w:rPr>
          <w:rFonts w:ascii="Times New Roman" w:hAnsi="Times New Roman"/>
          <w:color w:val="000000" w:themeColor="text1"/>
          <w:sz w:val="18"/>
          <w:szCs w:val="18"/>
        </w:rPr>
      </w:pPr>
      <w:r w:rsidRPr="00BA7E57">
        <w:rPr>
          <w:rFonts w:ascii="Times New Roman" w:hAnsi="Times New Roman"/>
          <w:color w:val="000000" w:themeColor="text1"/>
          <w:sz w:val="18"/>
          <w:szCs w:val="18"/>
        </w:rPr>
        <w:t>NOTE: Cells for which the CV is greater than 0.075 (i.e., greater than 7.5 percent) are highlighted.</w:t>
      </w:r>
    </w:p>
    <w:p w:rsidR="0015344A" w:rsidRDefault="0015344A" w:rsidP="002E6FFD">
      <w:pPr>
        <w:spacing w:after="0" w:line="240" w:lineRule="atLeast"/>
        <w:rPr>
          <w:rFonts w:ascii="Times New Roman" w:hAnsi="Times New Roman"/>
        </w:rPr>
      </w:pPr>
    </w:p>
    <w:p w:rsidR="0084228D" w:rsidRDefault="0084228D" w:rsidP="002E6FFD">
      <w:pPr>
        <w:spacing w:after="0" w:line="240" w:lineRule="atLeast"/>
        <w:rPr>
          <w:rFonts w:ascii="Times New Roman" w:hAnsi="Times New Roman"/>
        </w:rPr>
        <w:sectPr w:rsidR="0084228D" w:rsidSect="00CE39C1">
          <w:footerReference w:type="first" r:id="rId10"/>
          <w:pgSz w:w="12240" w:h="15840" w:code="1"/>
          <w:pgMar w:top="1008" w:right="1008" w:bottom="1008" w:left="1008" w:header="432" w:footer="432" w:gutter="0"/>
          <w:pgNumType w:start="1"/>
          <w:cols w:space="720"/>
          <w:titlePg/>
          <w:docGrid w:linePitch="360"/>
        </w:sectPr>
      </w:pPr>
    </w:p>
    <w:p w:rsidR="0015344A" w:rsidRPr="0015344A" w:rsidRDefault="0015344A" w:rsidP="00592010">
      <w:pPr>
        <w:spacing w:after="0" w:line="240" w:lineRule="atLeast"/>
        <w:jc w:val="center"/>
        <w:rPr>
          <w:rFonts w:ascii="Times New Roman" w:hAnsi="Times New Roman"/>
        </w:rPr>
      </w:pPr>
    </w:p>
    <w:sectPr w:rsidR="0015344A" w:rsidRPr="0015344A" w:rsidSect="00C44AF0">
      <w:headerReference w:type="default" r:id="rId11"/>
      <w:footerReference w:type="default" r:id="rId12"/>
      <w:type w:val="continuous"/>
      <w:pgSz w:w="12240" w:h="15840" w:code="1"/>
      <w:pgMar w:top="1440" w:right="1440" w:bottom="1440" w:left="1440" w:header="720" w:footer="576" w:gutter="0"/>
      <w:cols w:space="720"/>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91A" w:rsidRDefault="00DA091A">
      <w:pPr>
        <w:spacing w:after="0" w:line="240" w:lineRule="auto"/>
      </w:pPr>
      <w:r>
        <w:separator/>
      </w:r>
    </w:p>
  </w:endnote>
  <w:endnote w:type="continuationSeparator" w:id="0">
    <w:p w:rsidR="00DA091A" w:rsidRDefault="00DA0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448" w:rsidRPr="00B84D2B" w:rsidRDefault="00D40448" w:rsidP="00B84D2B">
    <w:pPr>
      <w:pStyle w:val="Footer"/>
      <w:jc w:val="center"/>
      <w:rPr>
        <w:rFonts w:ascii="Times New Roman" w:hAnsi="Times New Roman"/>
      </w:rPr>
    </w:pPr>
    <w:r w:rsidRPr="00B84D2B">
      <w:rPr>
        <w:rFonts w:ascii="Times New Roman" w:hAnsi="Times New Roman"/>
      </w:rPr>
      <w:fldChar w:fldCharType="begin"/>
    </w:r>
    <w:r w:rsidRPr="00B84D2B">
      <w:rPr>
        <w:rFonts w:ascii="Times New Roman" w:hAnsi="Times New Roman"/>
      </w:rPr>
      <w:instrText xml:space="preserve"> PAGE   \* MERGEFORMAT </w:instrText>
    </w:r>
    <w:r w:rsidRPr="00B84D2B">
      <w:rPr>
        <w:rFonts w:ascii="Times New Roman" w:hAnsi="Times New Roman"/>
      </w:rPr>
      <w:fldChar w:fldCharType="separate"/>
    </w:r>
    <w:r w:rsidR="000F0A3B">
      <w:rPr>
        <w:rFonts w:ascii="Times New Roman" w:hAnsi="Times New Roman"/>
        <w:noProof/>
      </w:rPr>
      <w:t>2</w:t>
    </w:r>
    <w:r w:rsidRPr="00B84D2B">
      <w:rPr>
        <w:rFonts w:ascii="Times New Roman" w:hAnsi="Times New Roman"/>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448" w:rsidRPr="00B84D2B" w:rsidRDefault="00D40448" w:rsidP="00766F21">
    <w:pPr>
      <w:pStyle w:val="Footer"/>
      <w:jc w:val="center"/>
      <w:rPr>
        <w:rFonts w:ascii="Times New Roman" w:hAnsi="Times New Roman"/>
      </w:rPr>
    </w:pPr>
    <w:r w:rsidRPr="00B84D2B">
      <w:rPr>
        <w:rFonts w:ascii="Times New Roman" w:hAnsi="Times New Roman"/>
      </w:rPr>
      <w:fldChar w:fldCharType="begin"/>
    </w:r>
    <w:r w:rsidRPr="00B84D2B">
      <w:rPr>
        <w:rFonts w:ascii="Times New Roman" w:hAnsi="Times New Roman"/>
      </w:rPr>
      <w:instrText xml:space="preserve"> PAGE   \* MERGEFORMAT </w:instrText>
    </w:r>
    <w:r w:rsidRPr="00B84D2B">
      <w:rPr>
        <w:rFonts w:ascii="Times New Roman" w:hAnsi="Times New Roman"/>
      </w:rPr>
      <w:fldChar w:fldCharType="separate"/>
    </w:r>
    <w:r w:rsidR="000F0A3B">
      <w:rPr>
        <w:rFonts w:ascii="Times New Roman" w:hAnsi="Times New Roman"/>
        <w:noProof/>
      </w:rPr>
      <w:t>1</w:t>
    </w:r>
    <w:r w:rsidRPr="00B84D2B">
      <w:rPr>
        <w:rFonts w:ascii="Times New Roman" w:hAnsi="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448" w:rsidRDefault="00D40448">
    <w:pPr>
      <w:pStyle w:val="SL-FlLftSgl"/>
    </w:pPr>
  </w:p>
  <w:p w:rsidR="00D40448" w:rsidRDefault="00D40448">
    <w:pPr>
      <w:pStyle w:val="Footer"/>
      <w:pBdr>
        <w:top w:val="single" w:sz="6" w:space="1" w:color="auto"/>
      </w:pBdr>
      <w:spacing w:line="60" w:lineRule="auto"/>
      <w:rPr>
        <w:rFonts w:ascii="Helvetica" w:hAnsi="Helvetica"/>
        <w:sz w:val="16"/>
      </w:rPr>
    </w:pPr>
  </w:p>
  <w:p w:rsidR="00D40448" w:rsidRDefault="00D40448">
    <w:pPr>
      <w:pStyle w:val="Footer"/>
      <w:rPr>
        <w:rFonts w:ascii="Arial" w:hAnsi="Arial"/>
        <w:sz w:val="16"/>
      </w:rPr>
    </w:pPr>
    <w:r>
      <w:rPr>
        <w:rFonts w:ascii="Arial" w:hAnsi="Arial"/>
        <w:sz w:val="16"/>
      </w:rPr>
      <w:t xml:space="preserve">Conducted by WESTAT </w:t>
    </w:r>
    <w:r>
      <w:rPr>
        <w:rFonts w:ascii="Arial" w:hAnsi="Arial"/>
        <w:sz w:val="18"/>
      </w:rPr>
      <w:sym w:font="Symbol" w:char="F0B7"/>
    </w:r>
    <w:r>
      <w:rPr>
        <w:rFonts w:ascii="Arial" w:hAnsi="Arial"/>
        <w:sz w:val="16"/>
      </w:rPr>
      <w:t xml:space="preserve"> 1600 Research Blvd. </w:t>
    </w:r>
    <w:r>
      <w:rPr>
        <w:rFonts w:ascii="Arial" w:hAnsi="Arial"/>
        <w:sz w:val="18"/>
      </w:rPr>
      <w:sym w:font="Symbol" w:char="F0B7"/>
    </w:r>
    <w:r>
      <w:rPr>
        <w:rFonts w:ascii="Arial" w:hAnsi="Arial"/>
        <w:sz w:val="16"/>
      </w:rPr>
      <w:t xml:space="preserve"> Rockville, MD  20850 </w:t>
    </w:r>
    <w:r>
      <w:rPr>
        <w:rFonts w:ascii="Arial" w:hAnsi="Arial"/>
        <w:sz w:val="18"/>
      </w:rPr>
      <w:sym w:font="Symbol" w:char="F0B7"/>
    </w:r>
    <w:r>
      <w:rPr>
        <w:rFonts w:ascii="Arial" w:hAnsi="Arial"/>
        <w:sz w:val="16"/>
      </w:rPr>
      <w:t xml:space="preserve"> (301) 251-1500 </w:t>
    </w:r>
    <w:r>
      <w:rPr>
        <w:rFonts w:ascii="Arial" w:hAnsi="Arial"/>
        <w:sz w:val="18"/>
      </w:rPr>
      <w:sym w:font="Symbol" w:char="F0B7"/>
    </w:r>
    <w:r>
      <w:rPr>
        <w:rFonts w:ascii="Arial" w:hAnsi="Arial"/>
        <w:sz w:val="16"/>
      </w:rPr>
      <w:t xml:space="preserve"> FAX (301) 294-3992 </w:t>
    </w:r>
    <w:r>
      <w:rPr>
        <w:rFonts w:ascii="Arial" w:hAnsi="Arial"/>
        <w:sz w:val="18"/>
      </w:rPr>
      <w:sym w:font="Symbol" w:char="F0B7"/>
    </w:r>
    <w:r>
      <w:rPr>
        <w:rFonts w:ascii="Arial" w:hAnsi="Arial"/>
        <w:sz w:val="16"/>
      </w:rPr>
      <w:t xml:space="preserve"> TOLL FREE (800) 937-8281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91A" w:rsidRDefault="00DA091A">
      <w:pPr>
        <w:spacing w:after="0" w:line="240" w:lineRule="auto"/>
      </w:pPr>
      <w:r>
        <w:separator/>
      </w:r>
    </w:p>
  </w:footnote>
  <w:footnote w:type="continuationSeparator" w:id="0">
    <w:p w:rsidR="00DA091A" w:rsidRDefault="00DA091A">
      <w:pPr>
        <w:spacing w:after="0" w:line="240" w:lineRule="auto"/>
      </w:pPr>
      <w:r>
        <w:continuationSeparator/>
      </w:r>
    </w:p>
  </w:footnote>
  <w:footnote w:id="1">
    <w:p w:rsidR="00D40448" w:rsidRDefault="00D40448" w:rsidP="00B33FEE">
      <w:pPr>
        <w:pStyle w:val="FootnoteText"/>
        <w:spacing w:after="0" w:line="240" w:lineRule="auto"/>
      </w:pPr>
      <w:r w:rsidRPr="00250C79">
        <w:rPr>
          <w:rStyle w:val="FootnoteReference"/>
          <w:rFonts w:ascii="Times New Roman" w:hAnsi="Times New Roman"/>
          <w:sz w:val="18"/>
          <w:szCs w:val="18"/>
        </w:rPr>
        <w:footnoteRef/>
      </w:r>
      <w:r w:rsidRPr="00250C79">
        <w:rPr>
          <w:rFonts w:ascii="Times New Roman" w:hAnsi="Times New Roman"/>
          <w:sz w:val="18"/>
          <w:szCs w:val="18"/>
        </w:rPr>
        <w:t xml:space="preserve"> </w:t>
      </w:r>
      <w:r>
        <w:rPr>
          <w:rFonts w:ascii="Times New Roman" w:hAnsi="Times New Roman"/>
          <w:sz w:val="18"/>
          <w:szCs w:val="18"/>
        </w:rPr>
        <w:t>This e</w:t>
      </w:r>
      <w:r w:rsidRPr="00250C79">
        <w:rPr>
          <w:rFonts w:ascii="Times New Roman" w:hAnsi="Times New Roman"/>
          <w:sz w:val="18"/>
          <w:szCs w:val="18"/>
        </w:rPr>
        <w:t xml:space="preserve">stimate </w:t>
      </w:r>
      <w:r>
        <w:rPr>
          <w:rFonts w:ascii="Times New Roman" w:hAnsi="Times New Roman"/>
          <w:sz w:val="18"/>
          <w:szCs w:val="18"/>
        </w:rPr>
        <w:t>is</w:t>
      </w:r>
      <w:r w:rsidRPr="00250C79">
        <w:rPr>
          <w:rFonts w:ascii="Times New Roman" w:hAnsi="Times New Roman"/>
          <w:sz w:val="18"/>
          <w:szCs w:val="18"/>
        </w:rPr>
        <w:t xml:space="preserve"> the</w:t>
      </w:r>
      <w:r>
        <w:rPr>
          <w:rFonts w:ascii="Times New Roman" w:hAnsi="Times New Roman"/>
          <w:sz w:val="18"/>
          <w:szCs w:val="18"/>
        </w:rPr>
        <w:t xml:space="preserve"> average</w:t>
      </w:r>
      <w:r w:rsidRPr="00250C79">
        <w:rPr>
          <w:rFonts w:ascii="Times New Roman" w:hAnsi="Times New Roman"/>
          <w:sz w:val="18"/>
          <w:szCs w:val="18"/>
        </w:rPr>
        <w:t xml:space="preserve"> amount of time </w:t>
      </w:r>
      <w:r>
        <w:rPr>
          <w:rFonts w:ascii="Times New Roman" w:hAnsi="Times New Roman"/>
          <w:sz w:val="18"/>
          <w:szCs w:val="18"/>
        </w:rPr>
        <w:t xml:space="preserve">school staff </w:t>
      </w:r>
      <w:r w:rsidRPr="00250C79">
        <w:rPr>
          <w:rFonts w:ascii="Times New Roman" w:hAnsi="Times New Roman"/>
          <w:sz w:val="18"/>
          <w:szCs w:val="18"/>
        </w:rPr>
        <w:t>respondents</w:t>
      </w:r>
      <w:r>
        <w:rPr>
          <w:rFonts w:ascii="Times New Roman" w:hAnsi="Times New Roman"/>
          <w:sz w:val="18"/>
          <w:szCs w:val="18"/>
        </w:rPr>
        <w:t xml:space="preserve"> </w:t>
      </w:r>
      <w:r w:rsidRPr="00250C79">
        <w:rPr>
          <w:rFonts w:ascii="Times New Roman" w:hAnsi="Times New Roman"/>
          <w:sz w:val="18"/>
          <w:szCs w:val="18"/>
        </w:rPr>
        <w:t>reported the questionnaire took to complete during the pretest.</w:t>
      </w:r>
      <w:r>
        <w:t xml:space="preserve">  </w:t>
      </w:r>
    </w:p>
  </w:footnote>
  <w:footnote w:id="2">
    <w:p w:rsidR="00D40448" w:rsidRDefault="00D40448" w:rsidP="00B33FEE">
      <w:pPr>
        <w:pStyle w:val="FootnoteText"/>
        <w:spacing w:after="0" w:line="240" w:lineRule="auto"/>
      </w:pPr>
      <w:r w:rsidRPr="00250C79">
        <w:rPr>
          <w:rStyle w:val="FootnoteReference"/>
          <w:rFonts w:ascii="Times New Roman" w:hAnsi="Times New Roman"/>
          <w:sz w:val="18"/>
          <w:szCs w:val="18"/>
        </w:rPr>
        <w:footnoteRef/>
      </w:r>
      <w:r w:rsidRPr="00250C79">
        <w:rPr>
          <w:rFonts w:ascii="Times New Roman" w:hAnsi="Times New Roman"/>
          <w:sz w:val="18"/>
          <w:szCs w:val="18"/>
        </w:rPr>
        <w:t xml:space="preserve"> </w:t>
      </w:r>
      <w:r>
        <w:rPr>
          <w:rFonts w:ascii="Times New Roman" w:hAnsi="Times New Roman"/>
          <w:sz w:val="18"/>
          <w:szCs w:val="18"/>
        </w:rPr>
        <w:t>This e</w:t>
      </w:r>
      <w:r w:rsidRPr="00250C79">
        <w:rPr>
          <w:rFonts w:ascii="Times New Roman" w:hAnsi="Times New Roman"/>
          <w:sz w:val="18"/>
          <w:szCs w:val="18"/>
        </w:rPr>
        <w:t xml:space="preserve">stimate </w:t>
      </w:r>
      <w:r>
        <w:rPr>
          <w:rFonts w:ascii="Times New Roman" w:hAnsi="Times New Roman"/>
          <w:sz w:val="18"/>
          <w:szCs w:val="18"/>
        </w:rPr>
        <w:t>is</w:t>
      </w:r>
      <w:r w:rsidRPr="00250C79">
        <w:rPr>
          <w:rFonts w:ascii="Times New Roman" w:hAnsi="Times New Roman"/>
          <w:sz w:val="18"/>
          <w:szCs w:val="18"/>
        </w:rPr>
        <w:t xml:space="preserve"> the</w:t>
      </w:r>
      <w:r>
        <w:rPr>
          <w:rFonts w:ascii="Times New Roman" w:hAnsi="Times New Roman"/>
          <w:sz w:val="18"/>
          <w:szCs w:val="18"/>
        </w:rPr>
        <w:t xml:space="preserve"> average</w:t>
      </w:r>
      <w:r w:rsidRPr="00250C79">
        <w:rPr>
          <w:rFonts w:ascii="Times New Roman" w:hAnsi="Times New Roman"/>
          <w:sz w:val="18"/>
          <w:szCs w:val="18"/>
        </w:rPr>
        <w:t xml:space="preserve"> amount of time </w:t>
      </w:r>
      <w:r>
        <w:rPr>
          <w:rFonts w:ascii="Times New Roman" w:hAnsi="Times New Roman"/>
          <w:sz w:val="18"/>
          <w:szCs w:val="18"/>
        </w:rPr>
        <w:t xml:space="preserve">school staff </w:t>
      </w:r>
      <w:r w:rsidRPr="00250C79">
        <w:rPr>
          <w:rFonts w:ascii="Times New Roman" w:hAnsi="Times New Roman"/>
          <w:sz w:val="18"/>
          <w:szCs w:val="18"/>
        </w:rPr>
        <w:t>respondents</w:t>
      </w:r>
      <w:r>
        <w:rPr>
          <w:rFonts w:ascii="Times New Roman" w:hAnsi="Times New Roman"/>
          <w:sz w:val="18"/>
          <w:szCs w:val="18"/>
        </w:rPr>
        <w:t xml:space="preserve"> </w:t>
      </w:r>
      <w:r w:rsidRPr="00250C79">
        <w:rPr>
          <w:rFonts w:ascii="Times New Roman" w:hAnsi="Times New Roman"/>
          <w:sz w:val="18"/>
          <w:szCs w:val="18"/>
        </w:rPr>
        <w:t>reported the questionnaire took to complete during the pretest.</w:t>
      </w:r>
      <w:r>
        <w:t xml:space="preserve">  </w:t>
      </w:r>
    </w:p>
  </w:footnote>
  <w:footnote w:id="3">
    <w:p w:rsidR="00D40448" w:rsidRPr="00766F21" w:rsidRDefault="00D40448" w:rsidP="00B33FEE">
      <w:pPr>
        <w:pStyle w:val="FootnoteText"/>
        <w:spacing w:after="0" w:line="240" w:lineRule="auto"/>
        <w:rPr>
          <w:rFonts w:ascii="Times New Roman" w:hAnsi="Times New Roman"/>
          <w:sz w:val="18"/>
          <w:szCs w:val="18"/>
        </w:rPr>
      </w:pPr>
      <w:r w:rsidRPr="003743F3">
        <w:rPr>
          <w:rStyle w:val="FootnoteReference"/>
          <w:sz w:val="18"/>
          <w:szCs w:val="18"/>
        </w:rPr>
        <w:footnoteRef/>
      </w:r>
      <w:r w:rsidRPr="003743F3">
        <w:rPr>
          <w:sz w:val="18"/>
          <w:szCs w:val="18"/>
        </w:rPr>
        <w:t xml:space="preserve"> </w:t>
      </w:r>
      <w:r w:rsidRPr="00766F21">
        <w:rPr>
          <w:rFonts w:ascii="Times New Roman" w:hAnsi="Times New Roman"/>
          <w:sz w:val="18"/>
          <w:szCs w:val="18"/>
        </w:rPr>
        <w:t>The most current 2011</w:t>
      </w:r>
      <w:r>
        <w:rPr>
          <w:rFonts w:ascii="Times New Roman" w:hAnsi="Times New Roman"/>
          <w:sz w:val="18"/>
          <w:szCs w:val="18"/>
        </w:rPr>
        <w:t>–</w:t>
      </w:r>
      <w:r w:rsidRPr="00766F21">
        <w:rPr>
          <w:rFonts w:ascii="Times New Roman" w:hAnsi="Times New Roman"/>
          <w:sz w:val="18"/>
          <w:szCs w:val="18"/>
        </w:rPr>
        <w:t>2012 CCD school universe will be used for sample selection if it is available.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448" w:rsidRDefault="00D40448" w:rsidP="00766F21">
    <w:pPr>
      <w:pStyle w:val="Header"/>
      <w:pBdr>
        <w:bottom w:val="single" w:sz="12" w:space="1" w:color="auto"/>
      </w:pBdr>
      <w:ind w:right="-360"/>
    </w:pPr>
  </w:p>
  <w:p w:rsidR="00D40448" w:rsidRDefault="00D40448" w:rsidP="00766F21">
    <w:pPr>
      <w:pStyle w:val="Header"/>
      <w:pBdr>
        <w:bottom w:val="single" w:sz="12" w:space="1" w:color="auto"/>
      </w:pBdr>
      <w:ind w:right="-360"/>
    </w:pPr>
    <w:r>
      <w:rPr>
        <w:noProof/>
        <w:sz w:val="20"/>
      </w:rPr>
      <w:drawing>
        <wp:inline distT="0" distB="0" distL="0" distR="0" wp14:anchorId="4156A5AE" wp14:editId="341EE76B">
          <wp:extent cx="2286000" cy="523875"/>
          <wp:effectExtent l="1905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2286000" cy="523875"/>
                  </a:xfrm>
                  <a:prstGeom prst="rect">
                    <a:avLst/>
                  </a:prstGeom>
                  <a:noFill/>
                  <a:ln w="9525">
                    <a:noFill/>
                    <a:miter lim="800000"/>
                    <a:headEnd/>
                    <a:tailEnd/>
                  </a:ln>
                </pic:spPr>
              </pic:pic>
            </a:graphicData>
          </a:graphic>
        </wp:inline>
      </w:drawing>
    </w:r>
  </w:p>
  <w:p w:rsidR="00D40448" w:rsidRDefault="00D40448" w:rsidP="00766F21">
    <w:pPr>
      <w:pStyle w:val="Header"/>
      <w:spacing w:before="80"/>
      <w:ind w:right="-360"/>
    </w:pPr>
    <w:smartTag w:uri="urn:schemas-microsoft-com:office:smarttags" w:element="country-region">
      <w:smartTag w:uri="urn:schemas-microsoft-com:office:smarttags" w:element="place">
        <w:r>
          <w:rPr>
            <w:rFonts w:ascii="Arial" w:hAnsi="Arial"/>
            <w:sz w:val="16"/>
          </w:rPr>
          <w:t>U.S.</w:t>
        </w:r>
      </w:smartTag>
    </w:smartTag>
    <w:r>
      <w:rPr>
        <w:rFonts w:ascii="Arial" w:hAnsi="Arial"/>
        <w:sz w:val="16"/>
      </w:rPr>
      <w:t xml:space="preserve"> Department of Education  </w:t>
    </w:r>
    <w:r>
      <w:rPr>
        <w:rFonts w:ascii="Arial" w:hAnsi="Arial"/>
        <w:sz w:val="18"/>
      </w:rPr>
      <w:sym w:font="Symbol" w:char="F0B7"/>
    </w:r>
    <w:r>
      <w:rPr>
        <w:rFonts w:ascii="Arial" w:hAnsi="Arial"/>
        <w:sz w:val="16"/>
      </w:rPr>
      <w:t xml:space="preserve">  </w:t>
    </w:r>
    <w:smartTag w:uri="urn:schemas-microsoft-com:office:smarttags" w:element="place">
      <w:smartTag w:uri="urn:schemas-microsoft-com:office:smarttags" w:element="PlaceType">
        <w:r>
          <w:rPr>
            <w:rFonts w:ascii="Arial" w:hAnsi="Arial"/>
            <w:sz w:val="16"/>
          </w:rPr>
          <w:t>Institute</w:t>
        </w:r>
      </w:smartTag>
      <w:r>
        <w:rPr>
          <w:rFonts w:ascii="Arial" w:hAnsi="Arial"/>
          <w:sz w:val="16"/>
        </w:rPr>
        <w:t xml:space="preserve"> of </w:t>
      </w:r>
      <w:smartTag w:uri="urn:schemas-microsoft-com:office:smarttags" w:element="PlaceName">
        <w:r>
          <w:rPr>
            <w:rFonts w:ascii="Arial" w:hAnsi="Arial"/>
            <w:sz w:val="16"/>
          </w:rPr>
          <w:t>Education</w:t>
        </w:r>
      </w:smartTag>
    </w:smartTag>
    <w:r>
      <w:rPr>
        <w:rFonts w:ascii="Arial" w:hAnsi="Arial"/>
        <w:sz w:val="16"/>
      </w:rPr>
      <w:t xml:space="preserve"> Sciences  </w:t>
    </w:r>
    <w:r>
      <w:rPr>
        <w:rFonts w:ascii="Arial" w:hAnsi="Arial"/>
        <w:sz w:val="18"/>
      </w:rPr>
      <w:sym w:font="Symbol" w:char="F0B7"/>
    </w:r>
    <w:r>
      <w:rPr>
        <w:rFonts w:ascii="Arial" w:hAnsi="Arial"/>
        <w:sz w:val="16"/>
      </w:rPr>
      <w:t xml:space="preserve">  </w:t>
    </w:r>
    <w:smartTag w:uri="urn:schemas-microsoft-com:office:smarttags" w:element="place">
      <w:smartTag w:uri="urn:schemas-microsoft-com:office:smarttags" w:element="PlaceName">
        <w:r>
          <w:rPr>
            <w:rFonts w:ascii="Arial" w:hAnsi="Arial"/>
            <w:sz w:val="16"/>
          </w:rPr>
          <w:t>National</w:t>
        </w:r>
      </w:smartTag>
      <w:r>
        <w:rPr>
          <w:rFonts w:ascii="Arial" w:hAnsi="Arial"/>
          <w:sz w:val="16"/>
        </w:rPr>
        <w:t xml:space="preserve"> </w:t>
      </w:r>
      <w:smartTag w:uri="urn:schemas-microsoft-com:office:smarttags" w:element="PlaceType">
        <w:r>
          <w:rPr>
            <w:rFonts w:ascii="Arial" w:hAnsi="Arial"/>
            <w:sz w:val="16"/>
          </w:rPr>
          <w:t>Center</w:t>
        </w:r>
      </w:smartTag>
    </w:smartTag>
    <w:r>
      <w:rPr>
        <w:rFonts w:ascii="Arial" w:hAnsi="Arial"/>
        <w:sz w:val="16"/>
      </w:rPr>
      <w:t xml:space="preserve"> for Education Statistics</w:t>
    </w:r>
  </w:p>
  <w:p w:rsidR="00D40448" w:rsidRDefault="00D404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8563AB"/>
    <w:multiLevelType w:val="hybridMultilevel"/>
    <w:tmpl w:val="B284F372"/>
    <w:lvl w:ilvl="0" w:tplc="04090019">
      <w:start w:val="1"/>
      <w:numFmt w:val="bullet"/>
      <w:lvlText w:val=""/>
      <w:lvlJc w:val="left"/>
      <w:pPr>
        <w:tabs>
          <w:tab w:val="num" w:pos="936"/>
        </w:tabs>
        <w:ind w:left="936" w:hanging="360"/>
      </w:pPr>
      <w:rPr>
        <w:rFonts w:ascii="Symbol" w:hAnsi="Symbol" w:hint="default"/>
      </w:rPr>
    </w:lvl>
    <w:lvl w:ilvl="1" w:tplc="04090019" w:tentative="1">
      <w:start w:val="1"/>
      <w:numFmt w:val="bullet"/>
      <w:lvlText w:val="o"/>
      <w:lvlJc w:val="left"/>
      <w:pPr>
        <w:tabs>
          <w:tab w:val="num" w:pos="1656"/>
        </w:tabs>
        <w:ind w:left="1656" w:hanging="360"/>
      </w:pPr>
      <w:rPr>
        <w:rFonts w:ascii="Courier New" w:hAnsi="Courier New" w:hint="default"/>
      </w:rPr>
    </w:lvl>
    <w:lvl w:ilvl="2" w:tplc="0409001B" w:tentative="1">
      <w:start w:val="1"/>
      <w:numFmt w:val="bullet"/>
      <w:lvlText w:val=""/>
      <w:lvlJc w:val="left"/>
      <w:pPr>
        <w:tabs>
          <w:tab w:val="num" w:pos="2376"/>
        </w:tabs>
        <w:ind w:left="2376" w:hanging="360"/>
      </w:pPr>
      <w:rPr>
        <w:rFonts w:ascii="Wingdings" w:hAnsi="Wingdings" w:hint="default"/>
      </w:rPr>
    </w:lvl>
    <w:lvl w:ilvl="3" w:tplc="0409000F" w:tentative="1">
      <w:start w:val="1"/>
      <w:numFmt w:val="bullet"/>
      <w:lvlText w:val=""/>
      <w:lvlJc w:val="left"/>
      <w:pPr>
        <w:tabs>
          <w:tab w:val="num" w:pos="3096"/>
        </w:tabs>
        <w:ind w:left="3096" w:hanging="360"/>
      </w:pPr>
      <w:rPr>
        <w:rFonts w:ascii="Symbol" w:hAnsi="Symbol" w:hint="default"/>
      </w:rPr>
    </w:lvl>
    <w:lvl w:ilvl="4" w:tplc="04090019" w:tentative="1">
      <w:start w:val="1"/>
      <w:numFmt w:val="bullet"/>
      <w:lvlText w:val="o"/>
      <w:lvlJc w:val="left"/>
      <w:pPr>
        <w:tabs>
          <w:tab w:val="num" w:pos="3816"/>
        </w:tabs>
        <w:ind w:left="3816" w:hanging="360"/>
      </w:pPr>
      <w:rPr>
        <w:rFonts w:ascii="Courier New" w:hAnsi="Courier New" w:hint="default"/>
      </w:rPr>
    </w:lvl>
    <w:lvl w:ilvl="5" w:tplc="0409001B" w:tentative="1">
      <w:start w:val="1"/>
      <w:numFmt w:val="bullet"/>
      <w:lvlText w:val=""/>
      <w:lvlJc w:val="left"/>
      <w:pPr>
        <w:tabs>
          <w:tab w:val="num" w:pos="4536"/>
        </w:tabs>
        <w:ind w:left="4536" w:hanging="360"/>
      </w:pPr>
      <w:rPr>
        <w:rFonts w:ascii="Wingdings" w:hAnsi="Wingdings" w:hint="default"/>
      </w:rPr>
    </w:lvl>
    <w:lvl w:ilvl="6" w:tplc="0409000F" w:tentative="1">
      <w:start w:val="1"/>
      <w:numFmt w:val="bullet"/>
      <w:lvlText w:val=""/>
      <w:lvlJc w:val="left"/>
      <w:pPr>
        <w:tabs>
          <w:tab w:val="num" w:pos="5256"/>
        </w:tabs>
        <w:ind w:left="5256" w:hanging="360"/>
      </w:pPr>
      <w:rPr>
        <w:rFonts w:ascii="Symbol" w:hAnsi="Symbol" w:hint="default"/>
      </w:rPr>
    </w:lvl>
    <w:lvl w:ilvl="7" w:tplc="04090019" w:tentative="1">
      <w:start w:val="1"/>
      <w:numFmt w:val="bullet"/>
      <w:lvlText w:val="o"/>
      <w:lvlJc w:val="left"/>
      <w:pPr>
        <w:tabs>
          <w:tab w:val="num" w:pos="5976"/>
        </w:tabs>
        <w:ind w:left="5976" w:hanging="360"/>
      </w:pPr>
      <w:rPr>
        <w:rFonts w:ascii="Courier New" w:hAnsi="Courier New" w:hint="default"/>
      </w:rPr>
    </w:lvl>
    <w:lvl w:ilvl="8" w:tplc="0409001B" w:tentative="1">
      <w:start w:val="1"/>
      <w:numFmt w:val="bullet"/>
      <w:lvlText w:val=""/>
      <w:lvlJc w:val="left"/>
      <w:pPr>
        <w:tabs>
          <w:tab w:val="num" w:pos="6696"/>
        </w:tabs>
        <w:ind w:left="6696" w:hanging="360"/>
      </w:pPr>
      <w:rPr>
        <w:rFonts w:ascii="Wingdings" w:hAnsi="Wingdings" w:hint="default"/>
      </w:rPr>
    </w:lvl>
  </w:abstractNum>
  <w:abstractNum w:abstractNumId="1">
    <w:nsid w:val="5BF16362"/>
    <w:multiLevelType w:val="hybridMultilevel"/>
    <w:tmpl w:val="CB9C95A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nsid w:val="61FA7560"/>
    <w:multiLevelType w:val="singleLevel"/>
    <w:tmpl w:val="04090011"/>
    <w:lvl w:ilvl="0">
      <w:start w:val="1"/>
      <w:numFmt w:val="decimal"/>
      <w:lvlText w:val="%1)"/>
      <w:lvlJc w:val="left"/>
      <w:pPr>
        <w:tabs>
          <w:tab w:val="num" w:pos="360"/>
        </w:tabs>
        <w:ind w:left="360" w:hanging="360"/>
      </w:pPr>
    </w:lvl>
  </w:abstractNum>
  <w:num w:numId="1">
    <w:abstractNumId w:val="2"/>
    <w:lvlOverride w:ilvl="0">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1F4"/>
    <w:rsid w:val="00001E22"/>
    <w:rsid w:val="00001F4A"/>
    <w:rsid w:val="00004634"/>
    <w:rsid w:val="00010CE5"/>
    <w:rsid w:val="000120D3"/>
    <w:rsid w:val="00014787"/>
    <w:rsid w:val="0002211C"/>
    <w:rsid w:val="0002412A"/>
    <w:rsid w:val="00031DE6"/>
    <w:rsid w:val="00036EC8"/>
    <w:rsid w:val="0003770B"/>
    <w:rsid w:val="00037CC0"/>
    <w:rsid w:val="00054843"/>
    <w:rsid w:val="0006644B"/>
    <w:rsid w:val="00073C82"/>
    <w:rsid w:val="0007508C"/>
    <w:rsid w:val="000767BE"/>
    <w:rsid w:val="00077D51"/>
    <w:rsid w:val="00081336"/>
    <w:rsid w:val="0008629F"/>
    <w:rsid w:val="00090B18"/>
    <w:rsid w:val="00093F56"/>
    <w:rsid w:val="00094993"/>
    <w:rsid w:val="000951E5"/>
    <w:rsid w:val="000A0883"/>
    <w:rsid w:val="000A1043"/>
    <w:rsid w:val="000A54E2"/>
    <w:rsid w:val="000A7381"/>
    <w:rsid w:val="000B30AB"/>
    <w:rsid w:val="000B4212"/>
    <w:rsid w:val="000B50F2"/>
    <w:rsid w:val="000B6CA8"/>
    <w:rsid w:val="000C2C5B"/>
    <w:rsid w:val="000C6D70"/>
    <w:rsid w:val="000D1EBF"/>
    <w:rsid w:val="000D4F2F"/>
    <w:rsid w:val="000D6F2D"/>
    <w:rsid w:val="000E790C"/>
    <w:rsid w:val="000F0A3B"/>
    <w:rsid w:val="000F4818"/>
    <w:rsid w:val="000F4D06"/>
    <w:rsid w:val="00104A54"/>
    <w:rsid w:val="0010768B"/>
    <w:rsid w:val="001108C9"/>
    <w:rsid w:val="00112CE1"/>
    <w:rsid w:val="001130B6"/>
    <w:rsid w:val="00114DCB"/>
    <w:rsid w:val="001328E6"/>
    <w:rsid w:val="001476AC"/>
    <w:rsid w:val="00151BD6"/>
    <w:rsid w:val="0015344A"/>
    <w:rsid w:val="00153648"/>
    <w:rsid w:val="00161DD1"/>
    <w:rsid w:val="00163C32"/>
    <w:rsid w:val="00165585"/>
    <w:rsid w:val="001731CA"/>
    <w:rsid w:val="0017527C"/>
    <w:rsid w:val="00184935"/>
    <w:rsid w:val="0018537C"/>
    <w:rsid w:val="001A4DD1"/>
    <w:rsid w:val="001B3C6A"/>
    <w:rsid w:val="001B535D"/>
    <w:rsid w:val="001D4A6B"/>
    <w:rsid w:val="001E7C26"/>
    <w:rsid w:val="001F1BE5"/>
    <w:rsid w:val="00203668"/>
    <w:rsid w:val="00210390"/>
    <w:rsid w:val="00215775"/>
    <w:rsid w:val="00216940"/>
    <w:rsid w:val="00217C1C"/>
    <w:rsid w:val="00221C2D"/>
    <w:rsid w:val="00224F2F"/>
    <w:rsid w:val="00226EDC"/>
    <w:rsid w:val="002277C8"/>
    <w:rsid w:val="002318D8"/>
    <w:rsid w:val="00245BC5"/>
    <w:rsid w:val="002529D0"/>
    <w:rsid w:val="00252A2C"/>
    <w:rsid w:val="00256830"/>
    <w:rsid w:val="00256BAF"/>
    <w:rsid w:val="002624E7"/>
    <w:rsid w:val="00270681"/>
    <w:rsid w:val="00275F82"/>
    <w:rsid w:val="00277162"/>
    <w:rsid w:val="0028052F"/>
    <w:rsid w:val="00281847"/>
    <w:rsid w:val="0028193C"/>
    <w:rsid w:val="00290D7A"/>
    <w:rsid w:val="00291C0E"/>
    <w:rsid w:val="002A24AC"/>
    <w:rsid w:val="002A406B"/>
    <w:rsid w:val="002C19C5"/>
    <w:rsid w:val="002C266F"/>
    <w:rsid w:val="002C2D5D"/>
    <w:rsid w:val="002C455F"/>
    <w:rsid w:val="002C7FCD"/>
    <w:rsid w:val="002E2E3A"/>
    <w:rsid w:val="002E30A5"/>
    <w:rsid w:val="002E49A5"/>
    <w:rsid w:val="002E5ACD"/>
    <w:rsid w:val="002E6FFD"/>
    <w:rsid w:val="002F0B28"/>
    <w:rsid w:val="002F661F"/>
    <w:rsid w:val="0030713F"/>
    <w:rsid w:val="00310298"/>
    <w:rsid w:val="00312768"/>
    <w:rsid w:val="00313DB1"/>
    <w:rsid w:val="0032206B"/>
    <w:rsid w:val="00323831"/>
    <w:rsid w:val="00331594"/>
    <w:rsid w:val="00332BFA"/>
    <w:rsid w:val="00337A00"/>
    <w:rsid w:val="00341D07"/>
    <w:rsid w:val="0034203D"/>
    <w:rsid w:val="00361E4C"/>
    <w:rsid w:val="00362ECD"/>
    <w:rsid w:val="00363605"/>
    <w:rsid w:val="0037132E"/>
    <w:rsid w:val="00376EDD"/>
    <w:rsid w:val="003771ED"/>
    <w:rsid w:val="00377C61"/>
    <w:rsid w:val="00382324"/>
    <w:rsid w:val="00382A03"/>
    <w:rsid w:val="00383E60"/>
    <w:rsid w:val="00390BAA"/>
    <w:rsid w:val="0039129F"/>
    <w:rsid w:val="0039224D"/>
    <w:rsid w:val="0039353A"/>
    <w:rsid w:val="003957C6"/>
    <w:rsid w:val="00395B94"/>
    <w:rsid w:val="00395C07"/>
    <w:rsid w:val="00397E91"/>
    <w:rsid w:val="003A1120"/>
    <w:rsid w:val="003A6F27"/>
    <w:rsid w:val="003B5887"/>
    <w:rsid w:val="003B61D7"/>
    <w:rsid w:val="003C06BC"/>
    <w:rsid w:val="003C4F47"/>
    <w:rsid w:val="003C5595"/>
    <w:rsid w:val="003D1604"/>
    <w:rsid w:val="003D267D"/>
    <w:rsid w:val="003D6AA6"/>
    <w:rsid w:val="003E1B02"/>
    <w:rsid w:val="003E51F9"/>
    <w:rsid w:val="003F17FE"/>
    <w:rsid w:val="003F5D02"/>
    <w:rsid w:val="004017A8"/>
    <w:rsid w:val="00401F7F"/>
    <w:rsid w:val="004104EA"/>
    <w:rsid w:val="00410C8B"/>
    <w:rsid w:val="0041340B"/>
    <w:rsid w:val="004147D0"/>
    <w:rsid w:val="00422BCD"/>
    <w:rsid w:val="00426C99"/>
    <w:rsid w:val="00436999"/>
    <w:rsid w:val="00440BDA"/>
    <w:rsid w:val="00440C75"/>
    <w:rsid w:val="00447491"/>
    <w:rsid w:val="004522DE"/>
    <w:rsid w:val="00454C97"/>
    <w:rsid w:val="004654C9"/>
    <w:rsid w:val="00474045"/>
    <w:rsid w:val="00475B37"/>
    <w:rsid w:val="00481A67"/>
    <w:rsid w:val="004837EE"/>
    <w:rsid w:val="004865FF"/>
    <w:rsid w:val="00487BBC"/>
    <w:rsid w:val="00495928"/>
    <w:rsid w:val="004B1C3F"/>
    <w:rsid w:val="004C7BC7"/>
    <w:rsid w:val="004D1E72"/>
    <w:rsid w:val="004D2D1F"/>
    <w:rsid w:val="004D38DA"/>
    <w:rsid w:val="004D40AE"/>
    <w:rsid w:val="004D456D"/>
    <w:rsid w:val="004E6E76"/>
    <w:rsid w:val="004F2B3D"/>
    <w:rsid w:val="004F3605"/>
    <w:rsid w:val="00504F0E"/>
    <w:rsid w:val="005150E7"/>
    <w:rsid w:val="0051627A"/>
    <w:rsid w:val="00523261"/>
    <w:rsid w:val="00524D2E"/>
    <w:rsid w:val="00531063"/>
    <w:rsid w:val="00535680"/>
    <w:rsid w:val="005409A5"/>
    <w:rsid w:val="00540F5F"/>
    <w:rsid w:val="00543FB3"/>
    <w:rsid w:val="00551CA1"/>
    <w:rsid w:val="00566755"/>
    <w:rsid w:val="005700AE"/>
    <w:rsid w:val="00573110"/>
    <w:rsid w:val="005740F0"/>
    <w:rsid w:val="00575287"/>
    <w:rsid w:val="005914FD"/>
    <w:rsid w:val="00592010"/>
    <w:rsid w:val="005943B7"/>
    <w:rsid w:val="005973A9"/>
    <w:rsid w:val="005A22AE"/>
    <w:rsid w:val="005A28D3"/>
    <w:rsid w:val="005A61F4"/>
    <w:rsid w:val="005B52C8"/>
    <w:rsid w:val="005C60AB"/>
    <w:rsid w:val="005E05B4"/>
    <w:rsid w:val="005E7AE0"/>
    <w:rsid w:val="005E7D65"/>
    <w:rsid w:val="005F0FBC"/>
    <w:rsid w:val="005F4F39"/>
    <w:rsid w:val="005F69AC"/>
    <w:rsid w:val="00603083"/>
    <w:rsid w:val="006057EB"/>
    <w:rsid w:val="00605853"/>
    <w:rsid w:val="00611246"/>
    <w:rsid w:val="00614A9F"/>
    <w:rsid w:val="006239E2"/>
    <w:rsid w:val="00642AEB"/>
    <w:rsid w:val="00646656"/>
    <w:rsid w:val="00656613"/>
    <w:rsid w:val="00662A33"/>
    <w:rsid w:val="006652FB"/>
    <w:rsid w:val="006830E9"/>
    <w:rsid w:val="006853BC"/>
    <w:rsid w:val="00686916"/>
    <w:rsid w:val="0069222D"/>
    <w:rsid w:val="00692B90"/>
    <w:rsid w:val="006A037D"/>
    <w:rsid w:val="006A13D0"/>
    <w:rsid w:val="006A3B58"/>
    <w:rsid w:val="006A78AF"/>
    <w:rsid w:val="006B09C1"/>
    <w:rsid w:val="006B20F6"/>
    <w:rsid w:val="006B2314"/>
    <w:rsid w:val="006C03C5"/>
    <w:rsid w:val="006C164B"/>
    <w:rsid w:val="006C4BFC"/>
    <w:rsid w:val="006D0D42"/>
    <w:rsid w:val="006D3143"/>
    <w:rsid w:val="006D4806"/>
    <w:rsid w:val="006E7F16"/>
    <w:rsid w:val="00700535"/>
    <w:rsid w:val="00704101"/>
    <w:rsid w:val="00706BA8"/>
    <w:rsid w:val="00707D5F"/>
    <w:rsid w:val="00710D10"/>
    <w:rsid w:val="00711597"/>
    <w:rsid w:val="0071617B"/>
    <w:rsid w:val="007266CD"/>
    <w:rsid w:val="00731613"/>
    <w:rsid w:val="00735884"/>
    <w:rsid w:val="00736674"/>
    <w:rsid w:val="00744EBC"/>
    <w:rsid w:val="00746220"/>
    <w:rsid w:val="00751829"/>
    <w:rsid w:val="00753065"/>
    <w:rsid w:val="007534DB"/>
    <w:rsid w:val="00753A25"/>
    <w:rsid w:val="00766F21"/>
    <w:rsid w:val="007677F9"/>
    <w:rsid w:val="007732F3"/>
    <w:rsid w:val="00773466"/>
    <w:rsid w:val="0077576F"/>
    <w:rsid w:val="007763A5"/>
    <w:rsid w:val="007844E9"/>
    <w:rsid w:val="00787432"/>
    <w:rsid w:val="007924FC"/>
    <w:rsid w:val="00792F35"/>
    <w:rsid w:val="00793A5B"/>
    <w:rsid w:val="00794FDD"/>
    <w:rsid w:val="00795F7E"/>
    <w:rsid w:val="00796219"/>
    <w:rsid w:val="0079689D"/>
    <w:rsid w:val="007A00E8"/>
    <w:rsid w:val="007A042A"/>
    <w:rsid w:val="007A2121"/>
    <w:rsid w:val="007A3371"/>
    <w:rsid w:val="007A598A"/>
    <w:rsid w:val="007B2298"/>
    <w:rsid w:val="007B27F8"/>
    <w:rsid w:val="007B389C"/>
    <w:rsid w:val="007C034D"/>
    <w:rsid w:val="007C08CA"/>
    <w:rsid w:val="007C2C23"/>
    <w:rsid w:val="007C710A"/>
    <w:rsid w:val="007D030C"/>
    <w:rsid w:val="007D1945"/>
    <w:rsid w:val="007D77F4"/>
    <w:rsid w:val="007D7AFB"/>
    <w:rsid w:val="007E0A92"/>
    <w:rsid w:val="007E0F72"/>
    <w:rsid w:val="007E1267"/>
    <w:rsid w:val="007E2C4A"/>
    <w:rsid w:val="007E4C8D"/>
    <w:rsid w:val="00800A8A"/>
    <w:rsid w:val="00802DE1"/>
    <w:rsid w:val="008126EA"/>
    <w:rsid w:val="008157BC"/>
    <w:rsid w:val="00820953"/>
    <w:rsid w:val="00820B4D"/>
    <w:rsid w:val="00821791"/>
    <w:rsid w:val="008227A4"/>
    <w:rsid w:val="008360CA"/>
    <w:rsid w:val="0084228D"/>
    <w:rsid w:val="00843711"/>
    <w:rsid w:val="00845513"/>
    <w:rsid w:val="00847D4A"/>
    <w:rsid w:val="008514E9"/>
    <w:rsid w:val="0085279D"/>
    <w:rsid w:val="00862DE4"/>
    <w:rsid w:val="00870917"/>
    <w:rsid w:val="0087381A"/>
    <w:rsid w:val="00886A4B"/>
    <w:rsid w:val="00887FDA"/>
    <w:rsid w:val="008939AD"/>
    <w:rsid w:val="00896847"/>
    <w:rsid w:val="008A1BF1"/>
    <w:rsid w:val="008A3557"/>
    <w:rsid w:val="008B79F3"/>
    <w:rsid w:val="008B7DAF"/>
    <w:rsid w:val="008D1598"/>
    <w:rsid w:val="008F2BE3"/>
    <w:rsid w:val="00903C04"/>
    <w:rsid w:val="00911756"/>
    <w:rsid w:val="00911869"/>
    <w:rsid w:val="00912C21"/>
    <w:rsid w:val="0091412D"/>
    <w:rsid w:val="00920759"/>
    <w:rsid w:val="00921D60"/>
    <w:rsid w:val="00924F35"/>
    <w:rsid w:val="00931BCF"/>
    <w:rsid w:val="00935999"/>
    <w:rsid w:val="00945437"/>
    <w:rsid w:val="00947FC4"/>
    <w:rsid w:val="009525B6"/>
    <w:rsid w:val="00955733"/>
    <w:rsid w:val="00967CFE"/>
    <w:rsid w:val="00971072"/>
    <w:rsid w:val="0097434E"/>
    <w:rsid w:val="00992777"/>
    <w:rsid w:val="009A5511"/>
    <w:rsid w:val="009B1D26"/>
    <w:rsid w:val="009B2705"/>
    <w:rsid w:val="009B4A7C"/>
    <w:rsid w:val="009D4024"/>
    <w:rsid w:val="009D422B"/>
    <w:rsid w:val="009E1D70"/>
    <w:rsid w:val="009E3175"/>
    <w:rsid w:val="009E41E1"/>
    <w:rsid w:val="009F3886"/>
    <w:rsid w:val="009F6EE2"/>
    <w:rsid w:val="00A057DA"/>
    <w:rsid w:val="00A21D8E"/>
    <w:rsid w:val="00A27FDA"/>
    <w:rsid w:val="00A31612"/>
    <w:rsid w:val="00A32002"/>
    <w:rsid w:val="00A355D3"/>
    <w:rsid w:val="00A36AA0"/>
    <w:rsid w:val="00A41ECC"/>
    <w:rsid w:val="00A43B4E"/>
    <w:rsid w:val="00A5433B"/>
    <w:rsid w:val="00A55106"/>
    <w:rsid w:val="00A61ADC"/>
    <w:rsid w:val="00A64233"/>
    <w:rsid w:val="00A708CE"/>
    <w:rsid w:val="00A72368"/>
    <w:rsid w:val="00A742E9"/>
    <w:rsid w:val="00A76403"/>
    <w:rsid w:val="00A778FE"/>
    <w:rsid w:val="00A835A1"/>
    <w:rsid w:val="00A83B17"/>
    <w:rsid w:val="00A85FAB"/>
    <w:rsid w:val="00A92A3A"/>
    <w:rsid w:val="00A97E12"/>
    <w:rsid w:val="00AA18F5"/>
    <w:rsid w:val="00AA4F89"/>
    <w:rsid w:val="00AA5274"/>
    <w:rsid w:val="00AA6ED7"/>
    <w:rsid w:val="00AB6C98"/>
    <w:rsid w:val="00AC0657"/>
    <w:rsid w:val="00AC1448"/>
    <w:rsid w:val="00AC4790"/>
    <w:rsid w:val="00AD1AA1"/>
    <w:rsid w:val="00AD275C"/>
    <w:rsid w:val="00AF08AD"/>
    <w:rsid w:val="00AF288D"/>
    <w:rsid w:val="00AF66CF"/>
    <w:rsid w:val="00B074B2"/>
    <w:rsid w:val="00B1434A"/>
    <w:rsid w:val="00B1541E"/>
    <w:rsid w:val="00B212B8"/>
    <w:rsid w:val="00B33FEE"/>
    <w:rsid w:val="00B37A0D"/>
    <w:rsid w:val="00B45E2C"/>
    <w:rsid w:val="00B61A82"/>
    <w:rsid w:val="00B70526"/>
    <w:rsid w:val="00B71511"/>
    <w:rsid w:val="00B71720"/>
    <w:rsid w:val="00B73048"/>
    <w:rsid w:val="00B84D2B"/>
    <w:rsid w:val="00B90AFA"/>
    <w:rsid w:val="00BA71FC"/>
    <w:rsid w:val="00BB23CE"/>
    <w:rsid w:val="00BB4AE4"/>
    <w:rsid w:val="00BB4D0F"/>
    <w:rsid w:val="00BD5AAB"/>
    <w:rsid w:val="00BF0B47"/>
    <w:rsid w:val="00BF7A9E"/>
    <w:rsid w:val="00C020A6"/>
    <w:rsid w:val="00C05CED"/>
    <w:rsid w:val="00C06468"/>
    <w:rsid w:val="00C17075"/>
    <w:rsid w:val="00C217F9"/>
    <w:rsid w:val="00C30C84"/>
    <w:rsid w:val="00C317FB"/>
    <w:rsid w:val="00C368FA"/>
    <w:rsid w:val="00C404F8"/>
    <w:rsid w:val="00C4077E"/>
    <w:rsid w:val="00C423D7"/>
    <w:rsid w:val="00C440FF"/>
    <w:rsid w:val="00C44AF0"/>
    <w:rsid w:val="00C45A0E"/>
    <w:rsid w:val="00C52923"/>
    <w:rsid w:val="00C53E89"/>
    <w:rsid w:val="00C550BF"/>
    <w:rsid w:val="00C5571B"/>
    <w:rsid w:val="00C61CA3"/>
    <w:rsid w:val="00C61F11"/>
    <w:rsid w:val="00C7323B"/>
    <w:rsid w:val="00C73953"/>
    <w:rsid w:val="00C74547"/>
    <w:rsid w:val="00C74AFA"/>
    <w:rsid w:val="00C827E2"/>
    <w:rsid w:val="00C83BE0"/>
    <w:rsid w:val="00C87933"/>
    <w:rsid w:val="00C92E0E"/>
    <w:rsid w:val="00CA494E"/>
    <w:rsid w:val="00CA66DA"/>
    <w:rsid w:val="00CB3555"/>
    <w:rsid w:val="00CB7CF6"/>
    <w:rsid w:val="00CC2545"/>
    <w:rsid w:val="00CC5714"/>
    <w:rsid w:val="00CD58CF"/>
    <w:rsid w:val="00CD7614"/>
    <w:rsid w:val="00CD7E4C"/>
    <w:rsid w:val="00CE39C1"/>
    <w:rsid w:val="00CE4A84"/>
    <w:rsid w:val="00CF5878"/>
    <w:rsid w:val="00CF61E3"/>
    <w:rsid w:val="00D0535B"/>
    <w:rsid w:val="00D107CE"/>
    <w:rsid w:val="00D139C4"/>
    <w:rsid w:val="00D2290C"/>
    <w:rsid w:val="00D3423C"/>
    <w:rsid w:val="00D344FE"/>
    <w:rsid w:val="00D34AA7"/>
    <w:rsid w:val="00D359C1"/>
    <w:rsid w:val="00D36AEA"/>
    <w:rsid w:val="00D40448"/>
    <w:rsid w:val="00D4101F"/>
    <w:rsid w:val="00D41606"/>
    <w:rsid w:val="00D44A8B"/>
    <w:rsid w:val="00D4550E"/>
    <w:rsid w:val="00D5153D"/>
    <w:rsid w:val="00D550EA"/>
    <w:rsid w:val="00D573A1"/>
    <w:rsid w:val="00D734FD"/>
    <w:rsid w:val="00D7490C"/>
    <w:rsid w:val="00D75B02"/>
    <w:rsid w:val="00D82C1C"/>
    <w:rsid w:val="00D84057"/>
    <w:rsid w:val="00D870EF"/>
    <w:rsid w:val="00D94040"/>
    <w:rsid w:val="00D972FE"/>
    <w:rsid w:val="00DA091A"/>
    <w:rsid w:val="00DA0E21"/>
    <w:rsid w:val="00DB03B0"/>
    <w:rsid w:val="00DB195A"/>
    <w:rsid w:val="00DC6D7C"/>
    <w:rsid w:val="00DC785E"/>
    <w:rsid w:val="00DD4D5E"/>
    <w:rsid w:val="00DE3802"/>
    <w:rsid w:val="00DF0C52"/>
    <w:rsid w:val="00DF6A46"/>
    <w:rsid w:val="00E01E8C"/>
    <w:rsid w:val="00E1798A"/>
    <w:rsid w:val="00E212DA"/>
    <w:rsid w:val="00E23E1C"/>
    <w:rsid w:val="00E25F0A"/>
    <w:rsid w:val="00E43EF0"/>
    <w:rsid w:val="00E4409E"/>
    <w:rsid w:val="00E44A18"/>
    <w:rsid w:val="00E45A7E"/>
    <w:rsid w:val="00E52B1A"/>
    <w:rsid w:val="00E60C30"/>
    <w:rsid w:val="00E643FE"/>
    <w:rsid w:val="00E762BC"/>
    <w:rsid w:val="00E77708"/>
    <w:rsid w:val="00E77B2F"/>
    <w:rsid w:val="00E8356E"/>
    <w:rsid w:val="00E84BD1"/>
    <w:rsid w:val="00E861B5"/>
    <w:rsid w:val="00E93984"/>
    <w:rsid w:val="00E95802"/>
    <w:rsid w:val="00EA3124"/>
    <w:rsid w:val="00EB0705"/>
    <w:rsid w:val="00EB479A"/>
    <w:rsid w:val="00EB5C10"/>
    <w:rsid w:val="00EC3B3F"/>
    <w:rsid w:val="00ED1B9F"/>
    <w:rsid w:val="00ED318C"/>
    <w:rsid w:val="00EE1B56"/>
    <w:rsid w:val="00EE2743"/>
    <w:rsid w:val="00EF1310"/>
    <w:rsid w:val="00EF1997"/>
    <w:rsid w:val="00EF1D29"/>
    <w:rsid w:val="00EF7DAB"/>
    <w:rsid w:val="00F01A98"/>
    <w:rsid w:val="00F01E2C"/>
    <w:rsid w:val="00F06ED5"/>
    <w:rsid w:val="00F13E9C"/>
    <w:rsid w:val="00F3520E"/>
    <w:rsid w:val="00F36E4E"/>
    <w:rsid w:val="00F42AED"/>
    <w:rsid w:val="00F476A0"/>
    <w:rsid w:val="00F640A2"/>
    <w:rsid w:val="00F64F66"/>
    <w:rsid w:val="00F748B5"/>
    <w:rsid w:val="00F831EC"/>
    <w:rsid w:val="00F8385C"/>
    <w:rsid w:val="00F85EB0"/>
    <w:rsid w:val="00F91D82"/>
    <w:rsid w:val="00FA1661"/>
    <w:rsid w:val="00FA4A9A"/>
    <w:rsid w:val="00FB156C"/>
    <w:rsid w:val="00FB1AF5"/>
    <w:rsid w:val="00FB287A"/>
    <w:rsid w:val="00FB73CC"/>
    <w:rsid w:val="00FB7F0C"/>
    <w:rsid w:val="00FC7311"/>
    <w:rsid w:val="00FD2B8A"/>
    <w:rsid w:val="00FE7B57"/>
    <w:rsid w:val="00FF41ED"/>
    <w:rsid w:val="00FF6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paragraph" w:styleId="Heading1">
    <w:name w:val="heading 1"/>
    <w:basedOn w:val="Normal"/>
    <w:next w:val="Normal"/>
    <w:link w:val="Heading1Char"/>
    <w:qFormat/>
    <w:locked/>
    <w:rsid w:val="004865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basedOn w:val="Normal"/>
    <w:link w:val="FootnoteTextChar"/>
    <w:rsid w:val="00E45A7E"/>
    <w:rPr>
      <w:sz w:val="20"/>
      <w:szCs w:val="20"/>
    </w:rPr>
  </w:style>
  <w:style w:type="character" w:customStyle="1" w:styleId="FootnoteTextChar">
    <w:name w:val="Footnote Text Char"/>
    <w:basedOn w:val="DefaultParagraphFont"/>
    <w:link w:val="FootnoteText"/>
    <w:rsid w:val="00C227DF"/>
    <w:rPr>
      <w:sz w:val="20"/>
      <w:szCs w:val="20"/>
    </w:rPr>
  </w:style>
  <w:style w:type="character" w:styleId="FootnoteReference">
    <w:name w:val="footnote reference"/>
    <w:basedOn w:val="DefaultParagraphFont"/>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customStyle="1" w:styleId="N4-FlLftBullet">
    <w:name w:val="N4-Fl Lft Bullet"/>
    <w:rsid w:val="0015344A"/>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 w:type="paragraph" w:styleId="ListParagraph">
    <w:name w:val="List Paragraph"/>
    <w:basedOn w:val="Normal"/>
    <w:uiPriority w:val="34"/>
    <w:qFormat/>
    <w:rsid w:val="0015344A"/>
    <w:pPr>
      <w:spacing w:after="0" w:line="240" w:lineRule="atLeast"/>
      <w:ind w:left="720"/>
      <w:contextualSpacing/>
      <w:jc w:val="both"/>
    </w:pPr>
    <w:rPr>
      <w:rFonts w:ascii="Times New Roman" w:eastAsia="Times New Roman" w:hAnsi="Times New Roman"/>
      <w:szCs w:val="20"/>
    </w:rPr>
  </w:style>
  <w:style w:type="table" w:styleId="TableGrid">
    <w:name w:val="Table Grid"/>
    <w:basedOn w:val="TableNormal"/>
    <w:uiPriority w:val="59"/>
    <w:locked/>
    <w:rsid w:val="00093F56"/>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4865FF"/>
    <w:rPr>
      <w:rFonts w:asciiTheme="majorHAnsi" w:eastAsiaTheme="majorEastAsia" w:hAnsiTheme="majorHAnsi" w:cstheme="majorBidi"/>
      <w:b/>
      <w:bCs/>
      <w:color w:val="365F91" w:themeColor="accent1" w:themeShade="BF"/>
      <w:sz w:val="28"/>
      <w:szCs w:val="28"/>
    </w:rPr>
  </w:style>
  <w:style w:type="paragraph" w:customStyle="1" w:styleId="SH-SglSpHead">
    <w:name w:val="SH-Sgl Sp Head"/>
    <w:rsid w:val="00377C61"/>
    <w:pPr>
      <w:keepNext/>
      <w:tabs>
        <w:tab w:val="left" w:pos="576"/>
      </w:tabs>
      <w:overflowPunct w:val="0"/>
      <w:autoSpaceDE w:val="0"/>
      <w:autoSpaceDN w:val="0"/>
      <w:adjustRightInd w:val="0"/>
      <w:spacing w:line="240" w:lineRule="atLeast"/>
      <w:ind w:left="576" w:hanging="576"/>
      <w:textAlignment w:val="baseline"/>
    </w:pPr>
    <w:rPr>
      <w:rFonts w:ascii="Times New Roman" w:eastAsia="Times New Roman" w:hAnsi="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paragraph" w:styleId="Heading1">
    <w:name w:val="heading 1"/>
    <w:basedOn w:val="Normal"/>
    <w:next w:val="Normal"/>
    <w:link w:val="Heading1Char"/>
    <w:qFormat/>
    <w:locked/>
    <w:rsid w:val="004865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basedOn w:val="Normal"/>
    <w:link w:val="FootnoteTextChar"/>
    <w:rsid w:val="00E45A7E"/>
    <w:rPr>
      <w:sz w:val="20"/>
      <w:szCs w:val="20"/>
    </w:rPr>
  </w:style>
  <w:style w:type="character" w:customStyle="1" w:styleId="FootnoteTextChar">
    <w:name w:val="Footnote Text Char"/>
    <w:basedOn w:val="DefaultParagraphFont"/>
    <w:link w:val="FootnoteText"/>
    <w:rsid w:val="00C227DF"/>
    <w:rPr>
      <w:sz w:val="20"/>
      <w:szCs w:val="20"/>
    </w:rPr>
  </w:style>
  <w:style w:type="character" w:styleId="FootnoteReference">
    <w:name w:val="footnote reference"/>
    <w:basedOn w:val="DefaultParagraphFont"/>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customStyle="1" w:styleId="N4-FlLftBullet">
    <w:name w:val="N4-Fl Lft Bullet"/>
    <w:rsid w:val="0015344A"/>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 w:type="paragraph" w:styleId="ListParagraph">
    <w:name w:val="List Paragraph"/>
    <w:basedOn w:val="Normal"/>
    <w:uiPriority w:val="34"/>
    <w:qFormat/>
    <w:rsid w:val="0015344A"/>
    <w:pPr>
      <w:spacing w:after="0" w:line="240" w:lineRule="atLeast"/>
      <w:ind w:left="720"/>
      <w:contextualSpacing/>
      <w:jc w:val="both"/>
    </w:pPr>
    <w:rPr>
      <w:rFonts w:ascii="Times New Roman" w:eastAsia="Times New Roman" w:hAnsi="Times New Roman"/>
      <w:szCs w:val="20"/>
    </w:rPr>
  </w:style>
  <w:style w:type="table" w:styleId="TableGrid">
    <w:name w:val="Table Grid"/>
    <w:basedOn w:val="TableNormal"/>
    <w:uiPriority w:val="59"/>
    <w:locked/>
    <w:rsid w:val="00093F56"/>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4865FF"/>
    <w:rPr>
      <w:rFonts w:asciiTheme="majorHAnsi" w:eastAsiaTheme="majorEastAsia" w:hAnsiTheme="majorHAnsi" w:cstheme="majorBidi"/>
      <w:b/>
      <w:bCs/>
      <w:color w:val="365F91" w:themeColor="accent1" w:themeShade="BF"/>
      <w:sz w:val="28"/>
      <w:szCs w:val="28"/>
    </w:rPr>
  </w:style>
  <w:style w:type="paragraph" w:customStyle="1" w:styleId="SH-SglSpHead">
    <w:name w:val="SH-Sgl Sp Head"/>
    <w:rsid w:val="00377C61"/>
    <w:pPr>
      <w:keepNext/>
      <w:tabs>
        <w:tab w:val="left" w:pos="576"/>
      </w:tabs>
      <w:overflowPunct w:val="0"/>
      <w:autoSpaceDE w:val="0"/>
      <w:autoSpaceDN w:val="0"/>
      <w:adjustRightInd w:val="0"/>
      <w:spacing w:line="240" w:lineRule="atLeast"/>
      <w:ind w:left="576" w:hanging="576"/>
      <w:textAlignment w:val="baseline"/>
    </w:pPr>
    <w:rPr>
      <w:rFonts w:ascii="Times New Roman" w:eastAsia="Times New Roman" w:hAnsi="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2D986A-EB59-47F9-B0BD-3CDD70AA9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5186</Words>
  <Characters>29565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2013-11-26T18:09:00Z</dcterms:created>
  <dcterms:modified xsi:type="dcterms:W3CDTF">2013-12-11T17:30:00Z</dcterms:modified>
</cp:coreProperties>
</file>