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F1" w:rsidRDefault="001E2CF1" w:rsidP="00320474">
      <w:pPr>
        <w:pStyle w:val="CoverTextRed16pt"/>
        <w:ind w:left="5760"/>
        <w:rPr>
          <w:noProof/>
        </w:rPr>
      </w:pPr>
      <w:r>
        <w:rPr>
          <w:noProof/>
        </w:rPr>
        <w:drawing>
          <wp:anchor distT="0" distB="0" distL="114300" distR="114300" simplePos="0" relativeHeight="251664384" behindDoc="0" locked="0" layoutInCell="1" allowOverlap="1">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6340" cy="1196340"/>
                    </a:xfrm>
                    <a:prstGeom prst="rect">
                      <a:avLst/>
                    </a:prstGeom>
                    <a:noFill/>
                    <a:ln>
                      <a:noFill/>
                    </a:ln>
                  </pic:spPr>
                </pic:pic>
              </a:graphicData>
            </a:graphic>
          </wp:anchor>
        </w:drawing>
      </w:r>
      <w:r w:rsidR="00320474">
        <w:rPr>
          <w:noProof/>
        </w:rPr>
        <w:t xml:space="preserve">Part </w:t>
      </w:r>
      <w:r w:rsidR="00CE02F4">
        <w:rPr>
          <w:noProof/>
        </w:rPr>
        <w:t>B</w:t>
      </w:r>
      <w:r w:rsidR="00320474">
        <w:rPr>
          <w:noProof/>
        </w:rPr>
        <w:t>: Supporting Statement for Paperwork Reduction Act Submission</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Pr="007631C7" w:rsidRDefault="001A20EE" w:rsidP="00320474">
      <w:pPr>
        <w:pStyle w:val="CoverTextRed16pt"/>
        <w:tabs>
          <w:tab w:val="left" w:pos="6390"/>
        </w:tabs>
        <w:ind w:left="5760"/>
      </w:pPr>
      <w:r w:rsidRPr="001A20EE">
        <w:rPr>
          <w:noProof/>
        </w:rPr>
        <w:t>Study of Promising Features of Teacher Preparation Programs</w:t>
      </w:r>
    </w:p>
    <w:p w:rsidR="001E2CF1" w:rsidRDefault="001E2CF1" w:rsidP="00744E2C">
      <w:pPr>
        <w:pStyle w:val="CoverText-Address"/>
      </w:pPr>
    </w:p>
    <w:p w:rsidR="009565D4" w:rsidRDefault="009565D4" w:rsidP="009565D4">
      <w:pPr>
        <w:pStyle w:val="CoverTextGreyBold"/>
      </w:pPr>
    </w:p>
    <w:p w:rsidR="009565D4" w:rsidRDefault="009565D4" w:rsidP="009565D4">
      <w:pPr>
        <w:pStyle w:val="CoverText-Address"/>
      </w:pPr>
    </w:p>
    <w:p w:rsidR="009565D4" w:rsidRDefault="009565D4" w:rsidP="009565D4">
      <w:pPr>
        <w:pStyle w:val="CoverText-Address"/>
      </w:pPr>
    </w:p>
    <w:p w:rsidR="00A226A4" w:rsidRDefault="00A226A4" w:rsidP="009565D4">
      <w:pPr>
        <w:pStyle w:val="CoverText-Address"/>
      </w:pPr>
    </w:p>
    <w:p w:rsidR="009565D4" w:rsidRDefault="009565D4" w:rsidP="009565D4">
      <w:pPr>
        <w:pStyle w:val="CoverText-Address"/>
      </w:pPr>
    </w:p>
    <w:p w:rsidR="009565D4" w:rsidRPr="001E2CF1" w:rsidRDefault="00896BD3" w:rsidP="00744E2C">
      <w:pPr>
        <w:pStyle w:val="CoverText-Address"/>
      </w:pPr>
      <w:r>
        <w:rPr>
          <w:b/>
        </w:rPr>
        <w:fldChar w:fldCharType="begin"/>
      </w:r>
      <w:r w:rsidR="00F07521">
        <w:rPr>
          <w:b/>
        </w:rPr>
        <w:instrText xml:space="preserve"> DATE \@ "MMMM d, yyyy" </w:instrText>
      </w:r>
      <w:r>
        <w:rPr>
          <w:b/>
        </w:rPr>
        <w:fldChar w:fldCharType="separate"/>
      </w:r>
      <w:r w:rsidR="00E74F93">
        <w:rPr>
          <w:b/>
          <w:noProof/>
        </w:rPr>
        <w:t>March 26, 2012</w:t>
      </w:r>
      <w:r>
        <w:rPr>
          <w:b/>
        </w:rPr>
        <w:fldChar w:fldCharType="end"/>
      </w: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rsidR="009565D4" w:rsidRDefault="001E2CF1" w:rsidP="009565D4">
      <w:pPr>
        <w:pStyle w:val="CoverText11pt"/>
      </w:pPr>
      <w:r w:rsidRPr="001E2CF1">
        <w:t>Prepared for:</w:t>
      </w:r>
    </w:p>
    <w:p w:rsidR="009565D4" w:rsidRPr="009565D4" w:rsidRDefault="00320474" w:rsidP="009565D4">
      <w:pPr>
        <w:pStyle w:val="CoverText-Address"/>
        <w:rPr>
          <w:b/>
          <w:color w:val="DA291C"/>
        </w:rPr>
      </w:pPr>
      <w:r>
        <w:rPr>
          <w:b/>
          <w:color w:val="DA291C"/>
        </w:rPr>
        <w:t>Amanda DeGraff</w:t>
      </w:r>
    </w:p>
    <w:p w:rsidR="009565D4" w:rsidRDefault="00320474" w:rsidP="00320474">
      <w:pPr>
        <w:pStyle w:val="CoverText-Address"/>
        <w:ind w:left="5760"/>
      </w:pPr>
      <w:r>
        <w:t>Institute for Education Sciences</w:t>
      </w:r>
    </w:p>
    <w:p w:rsidR="009565D4" w:rsidRDefault="00320474" w:rsidP="00320474">
      <w:pPr>
        <w:pStyle w:val="CoverText-Address"/>
        <w:ind w:left="5760"/>
      </w:pPr>
      <w:r>
        <w:t>555 New Jersey Ave, NW</w:t>
      </w:r>
    </w:p>
    <w:p w:rsidR="00320474" w:rsidRDefault="00320474" w:rsidP="00320474">
      <w:pPr>
        <w:pStyle w:val="CoverText-Address"/>
        <w:ind w:left="5760"/>
      </w:pPr>
      <w:r>
        <w:t>Room 50</w:t>
      </w:r>
      <w:r w:rsidR="004F770D">
        <w:t>0I</w:t>
      </w:r>
    </w:p>
    <w:p w:rsidR="001E2CF1" w:rsidRDefault="00320474" w:rsidP="00320474">
      <w:pPr>
        <w:pStyle w:val="CoverText-Address"/>
        <w:ind w:left="5760"/>
      </w:pPr>
      <w:r>
        <w:t>Washington, DC 20208-5500</w:t>
      </w:r>
    </w:p>
    <w:p w:rsidR="009565D4" w:rsidRDefault="009565D4" w:rsidP="009565D4">
      <w:pPr>
        <w:pStyle w:val="CoverText-Address"/>
      </w:pPr>
    </w:p>
    <w:p w:rsidR="009565D4" w:rsidRPr="001E2CF1" w:rsidRDefault="009565D4" w:rsidP="009565D4">
      <w:pPr>
        <w:pStyle w:val="CoverText-Address"/>
      </w:pPr>
    </w:p>
    <w:p w:rsidR="001E2CF1" w:rsidRPr="001E2CF1" w:rsidRDefault="001E2CF1" w:rsidP="00744E2C">
      <w:pPr>
        <w:pStyle w:val="CoverText-Address"/>
      </w:pPr>
    </w:p>
    <w:p w:rsidR="001E2CF1" w:rsidRPr="001E2CF1" w:rsidRDefault="001E2CF1" w:rsidP="00354503">
      <w:pPr>
        <w:pStyle w:val="CoverText11pt"/>
      </w:pPr>
      <w:r w:rsidRPr="001E2CF1">
        <w:t>Submitted by:</w:t>
      </w:r>
    </w:p>
    <w:p w:rsidR="001E2CF1" w:rsidRPr="00354503" w:rsidRDefault="001E2CF1" w:rsidP="00354503">
      <w:pPr>
        <w:pStyle w:val="CoverText-Address"/>
        <w:rPr>
          <w:b/>
          <w:color w:val="DA291C"/>
        </w:rPr>
      </w:pPr>
      <w:r w:rsidRPr="00354503">
        <w:rPr>
          <w:b/>
          <w:color w:val="DA291C"/>
        </w:rPr>
        <w:t>Abt Associates Inc.</w:t>
      </w:r>
    </w:p>
    <w:p w:rsidR="001E2CF1" w:rsidRDefault="00320474" w:rsidP="00354503">
      <w:pPr>
        <w:pStyle w:val="CoverText-Address"/>
      </w:pPr>
      <w:r>
        <w:t>55 Wheeler Street</w:t>
      </w:r>
    </w:p>
    <w:p w:rsidR="00320474" w:rsidRPr="001E2CF1" w:rsidRDefault="00320474" w:rsidP="00354503">
      <w:pPr>
        <w:pStyle w:val="CoverText-Address"/>
      </w:pPr>
      <w:r>
        <w:t>Cambridge, MA 02138</w:t>
      </w:r>
    </w:p>
    <w:p w:rsidR="001E2CF1" w:rsidRPr="001E2CF1" w:rsidRDefault="001E2CF1" w:rsidP="00354503">
      <w:pPr>
        <w:pStyle w:val="CoverText-Address"/>
      </w:pPr>
    </w:p>
    <w:p w:rsidR="001E2CF1" w:rsidRPr="001E2CF1" w:rsidRDefault="001E2CF1" w:rsidP="00354503">
      <w:pPr>
        <w:pStyle w:val="CoverText-Address"/>
      </w:pPr>
    </w:p>
    <w:p w:rsidR="001E2CF1" w:rsidRDefault="001E2CF1" w:rsidP="00354503">
      <w:pPr>
        <w:pStyle w:val="CoverText-Address"/>
        <w:rPr>
          <w:b/>
        </w:rPr>
      </w:pPr>
      <w:r w:rsidRPr="001E2CF1">
        <w:rPr>
          <w:b/>
        </w:rPr>
        <w:t>In Partnership with:</w:t>
      </w:r>
    </w:p>
    <w:p w:rsidR="0046421D" w:rsidRDefault="0046421D" w:rsidP="00320474">
      <w:pPr>
        <w:pStyle w:val="CoverText-Address"/>
        <w:ind w:left="5760"/>
      </w:pPr>
      <w:r w:rsidRPr="0046421D">
        <w:t>Abt SRBI</w:t>
      </w:r>
    </w:p>
    <w:p w:rsidR="00320474" w:rsidRDefault="00320474" w:rsidP="00320474">
      <w:pPr>
        <w:pStyle w:val="CoverText-Address"/>
        <w:ind w:left="5760"/>
      </w:pPr>
      <w:r w:rsidRPr="00320474">
        <w:t>Ches</w:t>
      </w:r>
      <w:r>
        <w:t>apeake Research Associates</w:t>
      </w:r>
    </w:p>
    <w:p w:rsidR="00FC40CB" w:rsidRDefault="00980BD0" w:rsidP="00320474">
      <w:pPr>
        <w:pStyle w:val="CoverText-Address"/>
        <w:ind w:left="5760"/>
      </w:pPr>
      <w:r>
        <w:t>The Bench Group</w:t>
      </w:r>
    </w:p>
    <w:p w:rsidR="00FC40CB" w:rsidRDefault="00FC40CB" w:rsidP="00320474">
      <w:pPr>
        <w:pStyle w:val="CoverText-Address"/>
        <w:ind w:left="5760"/>
      </w:pPr>
      <w:r>
        <w:t xml:space="preserve">Dillon-Goodson </w:t>
      </w:r>
      <w:r w:rsidR="006665BD">
        <w:t xml:space="preserve">Research </w:t>
      </w:r>
      <w:r>
        <w:t>Associates</w:t>
      </w:r>
    </w:p>
    <w:p w:rsidR="00980BD0" w:rsidRDefault="00980BD0">
      <w:pPr>
        <w:spacing w:after="0" w:line="240" w:lineRule="auto"/>
        <w:rPr>
          <w:rFonts w:ascii="Arial Bold" w:hAnsi="Arial Bold"/>
          <w:b/>
          <w:color w:val="FFFFFF"/>
          <w:sz w:val="24"/>
          <w:szCs w:val="24"/>
        </w:rPr>
      </w:pPr>
    </w:p>
    <w:p w:rsidR="00C2759C" w:rsidRDefault="00C2759C" w:rsidP="006B1DA6">
      <w:pPr>
        <w:pStyle w:val="ReportTitle-TOCPage"/>
        <w:sectPr w:rsidR="00C2759C" w:rsidSect="006B1DA6">
          <w:headerReference w:type="default" r:id="rId9"/>
          <w:footerReference w:type="default" r:id="rId10"/>
          <w:pgSz w:w="12240" w:h="15840" w:code="1"/>
          <w:pgMar w:top="1440" w:right="1440" w:bottom="1440" w:left="1800" w:header="1080" w:footer="720" w:gutter="0"/>
          <w:pgNumType w:fmt="lowerRoman" w:start="1"/>
          <w:cols w:space="720"/>
          <w:docGrid w:linePitch="299"/>
        </w:sectPr>
      </w:pPr>
    </w:p>
    <w:p w:rsidR="007B1904" w:rsidRPr="006B1DA6" w:rsidRDefault="00CE02F4" w:rsidP="006B1DA6">
      <w:pPr>
        <w:pStyle w:val="ReportTitle-TOCPage"/>
      </w:pPr>
      <w:r>
        <w:lastRenderedPageBreak/>
        <w:t>Part B</w:t>
      </w:r>
      <w:r w:rsidR="00320474">
        <w:t>: Supporting Statement for Paperwork Reduction Act Submission</w:t>
      </w:r>
    </w:p>
    <w:p w:rsidR="00752119" w:rsidRPr="00A178FC" w:rsidRDefault="00752119" w:rsidP="00D979EA">
      <w:pPr>
        <w:pStyle w:val="TOCHeader"/>
      </w:pPr>
      <w:r w:rsidRPr="00A178FC">
        <w:t>Table of Contents</w:t>
      </w:r>
    </w:p>
    <w:p w:rsidR="00DA3EFF" w:rsidRDefault="00896BD3">
      <w:pPr>
        <w:pStyle w:val="TOC1"/>
        <w:tabs>
          <w:tab w:val="left" w:pos="576"/>
          <w:tab w:val="right" w:leader="dot" w:pos="8990"/>
        </w:tabs>
        <w:rPr>
          <w:rFonts w:asciiTheme="minorHAnsi" w:eastAsiaTheme="minorEastAsia" w:hAnsiTheme="minorHAnsi" w:cstheme="minorBidi"/>
          <w:b w:val="0"/>
          <w:noProof/>
          <w:szCs w:val="22"/>
        </w:rPr>
      </w:pPr>
      <w:r w:rsidRPr="00896BD3">
        <w:fldChar w:fldCharType="begin"/>
      </w:r>
      <w:r w:rsidR="001178CA">
        <w:instrText xml:space="preserve"> TOC \o "1-3" \h \z \u </w:instrText>
      </w:r>
      <w:r w:rsidRPr="00896BD3">
        <w:fldChar w:fldCharType="separate"/>
      </w:r>
      <w:hyperlink w:anchor="_Toc307840501" w:history="1">
        <w:r w:rsidR="00DA3EFF" w:rsidRPr="00835E5A">
          <w:rPr>
            <w:rStyle w:val="Hyperlink"/>
            <w:noProof/>
          </w:rPr>
          <w:t>B.</w:t>
        </w:r>
        <w:r w:rsidR="00DA3EFF">
          <w:rPr>
            <w:rFonts w:asciiTheme="minorHAnsi" w:eastAsiaTheme="minorEastAsia" w:hAnsiTheme="minorHAnsi" w:cstheme="minorBidi"/>
            <w:b w:val="0"/>
            <w:noProof/>
            <w:szCs w:val="22"/>
          </w:rPr>
          <w:tab/>
        </w:r>
        <w:r w:rsidR="00DA3EFF" w:rsidRPr="00835E5A">
          <w:rPr>
            <w:rStyle w:val="Hyperlink"/>
            <w:noProof/>
          </w:rPr>
          <w:t>Collection of Information Employing Statistical Methods</w:t>
        </w:r>
        <w:r w:rsidR="00DA3EFF">
          <w:rPr>
            <w:noProof/>
            <w:webHidden/>
          </w:rPr>
          <w:tab/>
        </w:r>
        <w:r>
          <w:rPr>
            <w:noProof/>
            <w:webHidden/>
          </w:rPr>
          <w:fldChar w:fldCharType="begin"/>
        </w:r>
        <w:r w:rsidR="00DA3EFF">
          <w:rPr>
            <w:noProof/>
            <w:webHidden/>
          </w:rPr>
          <w:instrText xml:space="preserve"> PAGEREF _Toc307840501 \h </w:instrText>
        </w:r>
        <w:r>
          <w:rPr>
            <w:noProof/>
            <w:webHidden/>
          </w:rPr>
        </w:r>
        <w:r>
          <w:rPr>
            <w:noProof/>
            <w:webHidden/>
          </w:rPr>
          <w:fldChar w:fldCharType="separate"/>
        </w:r>
        <w:r w:rsidR="00BC2E28">
          <w:rPr>
            <w:noProof/>
            <w:webHidden/>
          </w:rPr>
          <w:t>B-1</w:t>
        </w:r>
        <w:r>
          <w:rPr>
            <w:noProof/>
            <w:webHidden/>
          </w:rPr>
          <w:fldChar w:fldCharType="end"/>
        </w:r>
      </w:hyperlink>
    </w:p>
    <w:p w:rsidR="00DA3EFF" w:rsidRDefault="00896BD3">
      <w:pPr>
        <w:pStyle w:val="TOC2"/>
        <w:tabs>
          <w:tab w:val="right" w:leader="dot" w:pos="8990"/>
        </w:tabs>
        <w:rPr>
          <w:rFonts w:asciiTheme="minorHAnsi" w:eastAsiaTheme="minorEastAsia" w:hAnsiTheme="minorHAnsi" w:cstheme="minorBidi"/>
          <w:noProof/>
          <w:szCs w:val="22"/>
        </w:rPr>
      </w:pPr>
      <w:hyperlink w:anchor="_Toc307840502" w:history="1">
        <w:r w:rsidR="00DA3EFF" w:rsidRPr="00835E5A">
          <w:rPr>
            <w:rStyle w:val="Hyperlink"/>
            <w:noProof/>
          </w:rPr>
          <w:t>Introduction</w:t>
        </w:r>
        <w:r w:rsidR="00DA3EFF">
          <w:rPr>
            <w:noProof/>
            <w:webHidden/>
          </w:rPr>
          <w:tab/>
        </w:r>
        <w:r>
          <w:rPr>
            <w:noProof/>
            <w:webHidden/>
          </w:rPr>
          <w:fldChar w:fldCharType="begin"/>
        </w:r>
        <w:r w:rsidR="00DA3EFF">
          <w:rPr>
            <w:noProof/>
            <w:webHidden/>
          </w:rPr>
          <w:instrText xml:space="preserve"> PAGEREF _Toc307840502 \h </w:instrText>
        </w:r>
        <w:r>
          <w:rPr>
            <w:noProof/>
            <w:webHidden/>
          </w:rPr>
        </w:r>
        <w:r>
          <w:rPr>
            <w:noProof/>
            <w:webHidden/>
          </w:rPr>
          <w:fldChar w:fldCharType="separate"/>
        </w:r>
        <w:r w:rsidR="00BC2E28">
          <w:rPr>
            <w:noProof/>
            <w:webHidden/>
          </w:rPr>
          <w:t>B-1</w:t>
        </w:r>
        <w:r>
          <w:rPr>
            <w:noProof/>
            <w:webHidden/>
          </w:rPr>
          <w:fldChar w:fldCharType="end"/>
        </w:r>
      </w:hyperlink>
    </w:p>
    <w:p w:rsidR="00DA3EFF" w:rsidRDefault="00896BD3">
      <w:pPr>
        <w:pStyle w:val="TOC2"/>
        <w:tabs>
          <w:tab w:val="left" w:pos="1152"/>
          <w:tab w:val="right" w:leader="dot" w:pos="8990"/>
        </w:tabs>
        <w:rPr>
          <w:rFonts w:asciiTheme="minorHAnsi" w:eastAsiaTheme="minorEastAsia" w:hAnsiTheme="minorHAnsi" w:cstheme="minorBidi"/>
          <w:noProof/>
          <w:szCs w:val="22"/>
        </w:rPr>
      </w:pPr>
      <w:hyperlink w:anchor="_Toc307840503" w:history="1">
        <w:r w:rsidR="00DA3EFF" w:rsidRPr="00835E5A">
          <w:rPr>
            <w:rStyle w:val="Hyperlink"/>
            <w:noProof/>
          </w:rPr>
          <w:t>B.1</w:t>
        </w:r>
        <w:r w:rsidR="00DA3EFF">
          <w:rPr>
            <w:rFonts w:asciiTheme="minorHAnsi" w:eastAsiaTheme="minorEastAsia" w:hAnsiTheme="minorHAnsi" w:cstheme="minorBidi"/>
            <w:noProof/>
            <w:szCs w:val="22"/>
          </w:rPr>
          <w:tab/>
        </w:r>
        <w:r w:rsidR="00DA3EFF" w:rsidRPr="00835E5A">
          <w:rPr>
            <w:rStyle w:val="Hyperlink"/>
            <w:noProof/>
          </w:rPr>
          <w:t>Respondent Universe and Sampling Methods</w:t>
        </w:r>
        <w:r w:rsidR="00DA3EFF">
          <w:rPr>
            <w:noProof/>
            <w:webHidden/>
          </w:rPr>
          <w:tab/>
        </w:r>
        <w:r>
          <w:rPr>
            <w:noProof/>
            <w:webHidden/>
          </w:rPr>
          <w:fldChar w:fldCharType="begin"/>
        </w:r>
        <w:r w:rsidR="00DA3EFF">
          <w:rPr>
            <w:noProof/>
            <w:webHidden/>
          </w:rPr>
          <w:instrText xml:space="preserve"> PAGEREF _Toc307840503 \h </w:instrText>
        </w:r>
        <w:r>
          <w:rPr>
            <w:noProof/>
            <w:webHidden/>
          </w:rPr>
        </w:r>
        <w:r>
          <w:rPr>
            <w:noProof/>
            <w:webHidden/>
          </w:rPr>
          <w:fldChar w:fldCharType="separate"/>
        </w:r>
        <w:r w:rsidR="00BC2E28">
          <w:rPr>
            <w:noProof/>
            <w:webHidden/>
          </w:rPr>
          <w:t>B-1</w:t>
        </w:r>
        <w:r>
          <w:rPr>
            <w:noProof/>
            <w:webHidden/>
          </w:rPr>
          <w:fldChar w:fldCharType="end"/>
        </w:r>
      </w:hyperlink>
    </w:p>
    <w:p w:rsidR="00DA3EFF" w:rsidRDefault="00896BD3">
      <w:pPr>
        <w:pStyle w:val="TOC2"/>
        <w:tabs>
          <w:tab w:val="left" w:pos="1152"/>
          <w:tab w:val="right" w:leader="dot" w:pos="8990"/>
        </w:tabs>
        <w:rPr>
          <w:rFonts w:asciiTheme="minorHAnsi" w:eastAsiaTheme="minorEastAsia" w:hAnsiTheme="minorHAnsi" w:cstheme="minorBidi"/>
          <w:noProof/>
          <w:szCs w:val="22"/>
        </w:rPr>
      </w:pPr>
      <w:hyperlink w:anchor="_Toc307840504" w:history="1">
        <w:r w:rsidR="00DA3EFF" w:rsidRPr="00835E5A">
          <w:rPr>
            <w:rStyle w:val="Hyperlink"/>
            <w:noProof/>
          </w:rPr>
          <w:t>B.2</w:t>
        </w:r>
        <w:r w:rsidR="00DA3EFF">
          <w:rPr>
            <w:rFonts w:asciiTheme="minorHAnsi" w:eastAsiaTheme="minorEastAsia" w:hAnsiTheme="minorHAnsi" w:cstheme="minorBidi"/>
            <w:noProof/>
            <w:szCs w:val="22"/>
          </w:rPr>
          <w:tab/>
        </w:r>
        <w:r w:rsidR="00DA3EFF" w:rsidRPr="00835E5A">
          <w:rPr>
            <w:rStyle w:val="Hyperlink"/>
            <w:noProof/>
          </w:rPr>
          <w:t>Statistical Methods for Sample Selection and Degree of Accuracy Needed</w:t>
        </w:r>
        <w:r w:rsidR="00DA3EFF">
          <w:rPr>
            <w:noProof/>
            <w:webHidden/>
          </w:rPr>
          <w:tab/>
        </w:r>
        <w:r>
          <w:rPr>
            <w:noProof/>
            <w:webHidden/>
          </w:rPr>
          <w:fldChar w:fldCharType="begin"/>
        </w:r>
        <w:r w:rsidR="00DA3EFF">
          <w:rPr>
            <w:noProof/>
            <w:webHidden/>
          </w:rPr>
          <w:instrText xml:space="preserve"> PAGEREF _Toc307840504 \h </w:instrText>
        </w:r>
        <w:r>
          <w:rPr>
            <w:noProof/>
            <w:webHidden/>
          </w:rPr>
        </w:r>
        <w:r>
          <w:rPr>
            <w:noProof/>
            <w:webHidden/>
          </w:rPr>
          <w:fldChar w:fldCharType="separate"/>
        </w:r>
        <w:r w:rsidR="00BC2E28">
          <w:rPr>
            <w:noProof/>
            <w:webHidden/>
          </w:rPr>
          <w:t>B-5</w:t>
        </w:r>
        <w:r>
          <w:rPr>
            <w:noProof/>
            <w:webHidden/>
          </w:rPr>
          <w:fldChar w:fldCharType="end"/>
        </w:r>
      </w:hyperlink>
    </w:p>
    <w:p w:rsidR="00DA3EFF" w:rsidRDefault="00896BD3">
      <w:pPr>
        <w:pStyle w:val="TOC3"/>
        <w:tabs>
          <w:tab w:val="left" w:pos="1920"/>
          <w:tab w:val="right" w:leader="dot" w:pos="8990"/>
        </w:tabs>
        <w:rPr>
          <w:rFonts w:asciiTheme="minorHAnsi" w:eastAsiaTheme="minorEastAsia" w:hAnsiTheme="minorHAnsi" w:cstheme="minorBidi"/>
          <w:noProof/>
          <w:szCs w:val="22"/>
        </w:rPr>
      </w:pPr>
      <w:hyperlink w:anchor="_Toc307840505" w:history="1">
        <w:r w:rsidR="00DA3EFF" w:rsidRPr="00835E5A">
          <w:rPr>
            <w:rStyle w:val="Hyperlink"/>
            <w:noProof/>
          </w:rPr>
          <w:t>B.2.1</w:t>
        </w:r>
        <w:r w:rsidR="00DA3EFF">
          <w:rPr>
            <w:rFonts w:asciiTheme="minorHAnsi" w:eastAsiaTheme="minorEastAsia" w:hAnsiTheme="minorHAnsi" w:cstheme="minorBidi"/>
            <w:noProof/>
            <w:szCs w:val="22"/>
          </w:rPr>
          <w:tab/>
        </w:r>
        <w:r w:rsidR="00DA3EFF" w:rsidRPr="00835E5A">
          <w:rPr>
            <w:rStyle w:val="Hyperlink"/>
            <w:noProof/>
          </w:rPr>
          <w:t>Sample Selection</w:t>
        </w:r>
        <w:r w:rsidR="00DA3EFF">
          <w:rPr>
            <w:noProof/>
            <w:webHidden/>
          </w:rPr>
          <w:tab/>
        </w:r>
        <w:r>
          <w:rPr>
            <w:noProof/>
            <w:webHidden/>
          </w:rPr>
          <w:fldChar w:fldCharType="begin"/>
        </w:r>
        <w:r w:rsidR="00DA3EFF">
          <w:rPr>
            <w:noProof/>
            <w:webHidden/>
          </w:rPr>
          <w:instrText xml:space="preserve"> PAGEREF _Toc307840505 \h </w:instrText>
        </w:r>
        <w:r>
          <w:rPr>
            <w:noProof/>
            <w:webHidden/>
          </w:rPr>
        </w:r>
        <w:r>
          <w:rPr>
            <w:noProof/>
            <w:webHidden/>
          </w:rPr>
          <w:fldChar w:fldCharType="separate"/>
        </w:r>
        <w:r w:rsidR="00BC2E28">
          <w:rPr>
            <w:noProof/>
            <w:webHidden/>
          </w:rPr>
          <w:t>B-5</w:t>
        </w:r>
        <w:r>
          <w:rPr>
            <w:noProof/>
            <w:webHidden/>
          </w:rPr>
          <w:fldChar w:fldCharType="end"/>
        </w:r>
      </w:hyperlink>
    </w:p>
    <w:p w:rsidR="00DA3EFF" w:rsidRDefault="00896BD3">
      <w:pPr>
        <w:pStyle w:val="TOC3"/>
        <w:tabs>
          <w:tab w:val="left" w:pos="1920"/>
          <w:tab w:val="right" w:leader="dot" w:pos="8990"/>
        </w:tabs>
        <w:rPr>
          <w:rFonts w:asciiTheme="minorHAnsi" w:eastAsiaTheme="minorEastAsia" w:hAnsiTheme="minorHAnsi" w:cstheme="minorBidi"/>
          <w:noProof/>
          <w:szCs w:val="22"/>
        </w:rPr>
      </w:pPr>
      <w:hyperlink w:anchor="_Toc307840506" w:history="1">
        <w:r w:rsidR="00DA3EFF" w:rsidRPr="00835E5A">
          <w:rPr>
            <w:rStyle w:val="Hyperlink"/>
            <w:noProof/>
          </w:rPr>
          <w:t>B.2.2</w:t>
        </w:r>
        <w:r w:rsidR="00DA3EFF">
          <w:rPr>
            <w:rFonts w:asciiTheme="minorHAnsi" w:eastAsiaTheme="minorEastAsia" w:hAnsiTheme="minorHAnsi" w:cstheme="minorBidi"/>
            <w:noProof/>
            <w:szCs w:val="22"/>
          </w:rPr>
          <w:tab/>
        </w:r>
        <w:r w:rsidR="00DA3EFF" w:rsidRPr="00835E5A">
          <w:rPr>
            <w:rStyle w:val="Hyperlink"/>
            <w:noProof/>
          </w:rPr>
          <w:t>Estimation Procedures</w:t>
        </w:r>
        <w:r w:rsidR="00DA3EFF">
          <w:rPr>
            <w:noProof/>
            <w:webHidden/>
          </w:rPr>
          <w:tab/>
        </w:r>
        <w:r>
          <w:rPr>
            <w:noProof/>
            <w:webHidden/>
          </w:rPr>
          <w:fldChar w:fldCharType="begin"/>
        </w:r>
        <w:r w:rsidR="00DA3EFF">
          <w:rPr>
            <w:noProof/>
            <w:webHidden/>
          </w:rPr>
          <w:instrText xml:space="preserve"> PAGEREF _Toc307840506 \h </w:instrText>
        </w:r>
        <w:r>
          <w:rPr>
            <w:noProof/>
            <w:webHidden/>
          </w:rPr>
        </w:r>
        <w:r>
          <w:rPr>
            <w:noProof/>
            <w:webHidden/>
          </w:rPr>
          <w:fldChar w:fldCharType="separate"/>
        </w:r>
        <w:r w:rsidR="00BC2E28">
          <w:rPr>
            <w:noProof/>
            <w:webHidden/>
          </w:rPr>
          <w:t>B-7</w:t>
        </w:r>
        <w:r>
          <w:rPr>
            <w:noProof/>
            <w:webHidden/>
          </w:rPr>
          <w:fldChar w:fldCharType="end"/>
        </w:r>
      </w:hyperlink>
    </w:p>
    <w:p w:rsidR="00DA3EFF" w:rsidRDefault="00896BD3">
      <w:pPr>
        <w:pStyle w:val="TOC3"/>
        <w:tabs>
          <w:tab w:val="left" w:pos="1920"/>
          <w:tab w:val="right" w:leader="dot" w:pos="8990"/>
        </w:tabs>
        <w:rPr>
          <w:rFonts w:asciiTheme="minorHAnsi" w:eastAsiaTheme="minorEastAsia" w:hAnsiTheme="minorHAnsi" w:cstheme="minorBidi"/>
          <w:noProof/>
          <w:szCs w:val="22"/>
        </w:rPr>
      </w:pPr>
      <w:hyperlink w:anchor="_Toc307840507" w:history="1">
        <w:r w:rsidR="00DA3EFF" w:rsidRPr="00835E5A">
          <w:rPr>
            <w:rStyle w:val="Hyperlink"/>
            <w:noProof/>
          </w:rPr>
          <w:t>B.2.3</w:t>
        </w:r>
        <w:r w:rsidR="00DA3EFF">
          <w:rPr>
            <w:rFonts w:asciiTheme="minorHAnsi" w:eastAsiaTheme="minorEastAsia" w:hAnsiTheme="minorHAnsi" w:cstheme="minorBidi"/>
            <w:noProof/>
            <w:szCs w:val="22"/>
          </w:rPr>
          <w:tab/>
        </w:r>
        <w:r w:rsidR="00DA3EFF" w:rsidRPr="00835E5A">
          <w:rPr>
            <w:rStyle w:val="Hyperlink"/>
            <w:noProof/>
          </w:rPr>
          <w:t>Degree of Accuracy Needed</w:t>
        </w:r>
        <w:r w:rsidR="00DA3EFF">
          <w:rPr>
            <w:noProof/>
            <w:webHidden/>
          </w:rPr>
          <w:tab/>
        </w:r>
        <w:r>
          <w:rPr>
            <w:noProof/>
            <w:webHidden/>
          </w:rPr>
          <w:fldChar w:fldCharType="begin"/>
        </w:r>
        <w:r w:rsidR="00DA3EFF">
          <w:rPr>
            <w:noProof/>
            <w:webHidden/>
          </w:rPr>
          <w:instrText xml:space="preserve"> PAGEREF _Toc307840507 \h </w:instrText>
        </w:r>
        <w:r>
          <w:rPr>
            <w:noProof/>
            <w:webHidden/>
          </w:rPr>
        </w:r>
        <w:r>
          <w:rPr>
            <w:noProof/>
            <w:webHidden/>
          </w:rPr>
          <w:fldChar w:fldCharType="separate"/>
        </w:r>
        <w:r w:rsidR="00BC2E28">
          <w:rPr>
            <w:noProof/>
            <w:webHidden/>
          </w:rPr>
          <w:t>B-7</w:t>
        </w:r>
        <w:r>
          <w:rPr>
            <w:noProof/>
            <w:webHidden/>
          </w:rPr>
          <w:fldChar w:fldCharType="end"/>
        </w:r>
      </w:hyperlink>
    </w:p>
    <w:p w:rsidR="00DA3EFF" w:rsidRDefault="00896BD3">
      <w:pPr>
        <w:pStyle w:val="TOC3"/>
        <w:tabs>
          <w:tab w:val="left" w:pos="1920"/>
          <w:tab w:val="right" w:leader="dot" w:pos="8990"/>
        </w:tabs>
        <w:rPr>
          <w:rFonts w:asciiTheme="minorHAnsi" w:eastAsiaTheme="minorEastAsia" w:hAnsiTheme="minorHAnsi" w:cstheme="minorBidi"/>
          <w:noProof/>
          <w:szCs w:val="22"/>
        </w:rPr>
      </w:pPr>
      <w:hyperlink w:anchor="_Toc307840508" w:history="1">
        <w:r w:rsidR="00DA3EFF" w:rsidRPr="00835E5A">
          <w:rPr>
            <w:rStyle w:val="Hyperlink"/>
            <w:noProof/>
          </w:rPr>
          <w:t>B.2.4</w:t>
        </w:r>
        <w:r w:rsidR="00DA3EFF">
          <w:rPr>
            <w:rFonts w:asciiTheme="minorHAnsi" w:eastAsiaTheme="minorEastAsia" w:hAnsiTheme="minorHAnsi" w:cstheme="minorBidi"/>
            <w:noProof/>
            <w:szCs w:val="22"/>
          </w:rPr>
          <w:tab/>
        </w:r>
        <w:r w:rsidR="00DA3EFF" w:rsidRPr="00835E5A">
          <w:rPr>
            <w:rStyle w:val="Hyperlink"/>
            <w:noProof/>
          </w:rPr>
          <w:t>Unusual Problems Requiring Specialized Sampling Procedures</w:t>
        </w:r>
        <w:r w:rsidR="00DA3EFF">
          <w:rPr>
            <w:noProof/>
            <w:webHidden/>
          </w:rPr>
          <w:tab/>
        </w:r>
        <w:r>
          <w:rPr>
            <w:noProof/>
            <w:webHidden/>
          </w:rPr>
          <w:fldChar w:fldCharType="begin"/>
        </w:r>
        <w:r w:rsidR="00DA3EFF">
          <w:rPr>
            <w:noProof/>
            <w:webHidden/>
          </w:rPr>
          <w:instrText xml:space="preserve"> PAGEREF _Toc307840508 \h </w:instrText>
        </w:r>
        <w:r>
          <w:rPr>
            <w:noProof/>
            <w:webHidden/>
          </w:rPr>
        </w:r>
        <w:r>
          <w:rPr>
            <w:noProof/>
            <w:webHidden/>
          </w:rPr>
          <w:fldChar w:fldCharType="separate"/>
        </w:r>
        <w:r w:rsidR="00BC2E28">
          <w:rPr>
            <w:noProof/>
            <w:webHidden/>
          </w:rPr>
          <w:t>B-12</w:t>
        </w:r>
        <w:r>
          <w:rPr>
            <w:noProof/>
            <w:webHidden/>
          </w:rPr>
          <w:fldChar w:fldCharType="end"/>
        </w:r>
      </w:hyperlink>
    </w:p>
    <w:p w:rsidR="00DA3EFF" w:rsidRDefault="00896BD3">
      <w:pPr>
        <w:pStyle w:val="TOC3"/>
        <w:tabs>
          <w:tab w:val="left" w:pos="1920"/>
          <w:tab w:val="right" w:leader="dot" w:pos="8990"/>
        </w:tabs>
        <w:rPr>
          <w:rFonts w:asciiTheme="minorHAnsi" w:eastAsiaTheme="minorEastAsia" w:hAnsiTheme="minorHAnsi" w:cstheme="minorBidi"/>
          <w:noProof/>
          <w:szCs w:val="22"/>
        </w:rPr>
      </w:pPr>
      <w:hyperlink w:anchor="_Toc307840509" w:history="1">
        <w:r w:rsidR="00DA3EFF" w:rsidRPr="00835E5A">
          <w:rPr>
            <w:rStyle w:val="Hyperlink"/>
            <w:noProof/>
          </w:rPr>
          <w:t>B.2.5</w:t>
        </w:r>
        <w:r w:rsidR="00DA3EFF">
          <w:rPr>
            <w:rFonts w:asciiTheme="minorHAnsi" w:eastAsiaTheme="minorEastAsia" w:hAnsiTheme="minorHAnsi" w:cstheme="minorBidi"/>
            <w:noProof/>
            <w:szCs w:val="22"/>
          </w:rPr>
          <w:tab/>
        </w:r>
        <w:r w:rsidR="00DA3EFF" w:rsidRPr="00835E5A">
          <w:rPr>
            <w:rStyle w:val="Hyperlink"/>
            <w:noProof/>
          </w:rPr>
          <w:t>Use of Periodic Data Collection Cycles to Reduce Burden</w:t>
        </w:r>
        <w:r w:rsidR="00DA3EFF">
          <w:rPr>
            <w:noProof/>
            <w:webHidden/>
          </w:rPr>
          <w:tab/>
        </w:r>
        <w:r>
          <w:rPr>
            <w:noProof/>
            <w:webHidden/>
          </w:rPr>
          <w:fldChar w:fldCharType="begin"/>
        </w:r>
        <w:r w:rsidR="00DA3EFF">
          <w:rPr>
            <w:noProof/>
            <w:webHidden/>
          </w:rPr>
          <w:instrText xml:space="preserve"> PAGEREF _Toc307840509 \h </w:instrText>
        </w:r>
        <w:r>
          <w:rPr>
            <w:noProof/>
            <w:webHidden/>
          </w:rPr>
        </w:r>
        <w:r>
          <w:rPr>
            <w:noProof/>
            <w:webHidden/>
          </w:rPr>
          <w:fldChar w:fldCharType="separate"/>
        </w:r>
        <w:r w:rsidR="00BC2E28">
          <w:rPr>
            <w:noProof/>
            <w:webHidden/>
          </w:rPr>
          <w:t>B-12</w:t>
        </w:r>
        <w:r>
          <w:rPr>
            <w:noProof/>
            <w:webHidden/>
          </w:rPr>
          <w:fldChar w:fldCharType="end"/>
        </w:r>
      </w:hyperlink>
    </w:p>
    <w:p w:rsidR="00DA3EFF" w:rsidRDefault="00896BD3">
      <w:pPr>
        <w:pStyle w:val="TOC2"/>
        <w:tabs>
          <w:tab w:val="left" w:pos="1152"/>
          <w:tab w:val="right" w:leader="dot" w:pos="8990"/>
        </w:tabs>
        <w:rPr>
          <w:rFonts w:asciiTheme="minorHAnsi" w:eastAsiaTheme="minorEastAsia" w:hAnsiTheme="minorHAnsi" w:cstheme="minorBidi"/>
          <w:noProof/>
          <w:szCs w:val="22"/>
        </w:rPr>
      </w:pPr>
      <w:hyperlink w:anchor="_Toc307840510" w:history="1">
        <w:r w:rsidR="00DA3EFF" w:rsidRPr="00835E5A">
          <w:rPr>
            <w:rStyle w:val="Hyperlink"/>
            <w:noProof/>
          </w:rPr>
          <w:t>B.3</w:t>
        </w:r>
        <w:r w:rsidR="00DA3EFF">
          <w:rPr>
            <w:rFonts w:asciiTheme="minorHAnsi" w:eastAsiaTheme="minorEastAsia" w:hAnsiTheme="minorHAnsi" w:cstheme="minorBidi"/>
            <w:noProof/>
            <w:szCs w:val="22"/>
          </w:rPr>
          <w:tab/>
        </w:r>
        <w:r w:rsidR="00DA3EFF" w:rsidRPr="00835E5A">
          <w:rPr>
            <w:rStyle w:val="Hyperlink"/>
            <w:noProof/>
          </w:rPr>
          <w:t>Methods to Maximize Response Rates and Deal with Nonresponse</w:t>
        </w:r>
        <w:r w:rsidR="00DA3EFF">
          <w:rPr>
            <w:noProof/>
            <w:webHidden/>
          </w:rPr>
          <w:tab/>
        </w:r>
        <w:r>
          <w:rPr>
            <w:noProof/>
            <w:webHidden/>
          </w:rPr>
          <w:fldChar w:fldCharType="begin"/>
        </w:r>
        <w:r w:rsidR="00DA3EFF">
          <w:rPr>
            <w:noProof/>
            <w:webHidden/>
          </w:rPr>
          <w:instrText xml:space="preserve"> PAGEREF _Toc307840510 \h </w:instrText>
        </w:r>
        <w:r>
          <w:rPr>
            <w:noProof/>
            <w:webHidden/>
          </w:rPr>
        </w:r>
        <w:r>
          <w:rPr>
            <w:noProof/>
            <w:webHidden/>
          </w:rPr>
          <w:fldChar w:fldCharType="separate"/>
        </w:r>
        <w:r w:rsidR="00BC2E28">
          <w:rPr>
            <w:noProof/>
            <w:webHidden/>
          </w:rPr>
          <w:t>B-12</w:t>
        </w:r>
        <w:r>
          <w:rPr>
            <w:noProof/>
            <w:webHidden/>
          </w:rPr>
          <w:fldChar w:fldCharType="end"/>
        </w:r>
      </w:hyperlink>
    </w:p>
    <w:p w:rsidR="00DA3EFF" w:rsidRDefault="00896BD3">
      <w:pPr>
        <w:pStyle w:val="TOC2"/>
        <w:tabs>
          <w:tab w:val="left" w:pos="1152"/>
          <w:tab w:val="right" w:leader="dot" w:pos="8990"/>
        </w:tabs>
        <w:rPr>
          <w:rFonts w:asciiTheme="minorHAnsi" w:eastAsiaTheme="minorEastAsia" w:hAnsiTheme="minorHAnsi" w:cstheme="minorBidi"/>
          <w:noProof/>
          <w:szCs w:val="22"/>
        </w:rPr>
      </w:pPr>
      <w:hyperlink w:anchor="_Toc307840511" w:history="1">
        <w:r w:rsidR="00DA3EFF" w:rsidRPr="00835E5A">
          <w:rPr>
            <w:rStyle w:val="Hyperlink"/>
            <w:noProof/>
          </w:rPr>
          <w:t>B.4</w:t>
        </w:r>
        <w:r w:rsidR="00DA3EFF">
          <w:rPr>
            <w:rFonts w:asciiTheme="minorHAnsi" w:eastAsiaTheme="minorEastAsia" w:hAnsiTheme="minorHAnsi" w:cstheme="minorBidi"/>
            <w:noProof/>
            <w:szCs w:val="22"/>
          </w:rPr>
          <w:tab/>
        </w:r>
        <w:r w:rsidR="00DA3EFF" w:rsidRPr="00835E5A">
          <w:rPr>
            <w:rStyle w:val="Hyperlink"/>
            <w:noProof/>
          </w:rPr>
          <w:t>Test of Procedures and Methods to be Undertaken</w:t>
        </w:r>
        <w:r w:rsidR="00DA3EFF">
          <w:rPr>
            <w:noProof/>
            <w:webHidden/>
          </w:rPr>
          <w:tab/>
        </w:r>
        <w:r>
          <w:rPr>
            <w:noProof/>
            <w:webHidden/>
          </w:rPr>
          <w:fldChar w:fldCharType="begin"/>
        </w:r>
        <w:r w:rsidR="00DA3EFF">
          <w:rPr>
            <w:noProof/>
            <w:webHidden/>
          </w:rPr>
          <w:instrText xml:space="preserve"> PAGEREF _Toc307840511 \h </w:instrText>
        </w:r>
        <w:r>
          <w:rPr>
            <w:noProof/>
            <w:webHidden/>
          </w:rPr>
        </w:r>
        <w:r>
          <w:rPr>
            <w:noProof/>
            <w:webHidden/>
          </w:rPr>
          <w:fldChar w:fldCharType="separate"/>
        </w:r>
        <w:r w:rsidR="00BC2E28">
          <w:rPr>
            <w:noProof/>
            <w:webHidden/>
          </w:rPr>
          <w:t>B-13</w:t>
        </w:r>
        <w:r>
          <w:rPr>
            <w:noProof/>
            <w:webHidden/>
          </w:rPr>
          <w:fldChar w:fldCharType="end"/>
        </w:r>
      </w:hyperlink>
    </w:p>
    <w:p w:rsidR="00DA3EFF" w:rsidRDefault="00896BD3">
      <w:pPr>
        <w:pStyle w:val="TOC2"/>
        <w:tabs>
          <w:tab w:val="left" w:pos="1152"/>
          <w:tab w:val="right" w:leader="dot" w:pos="8990"/>
        </w:tabs>
        <w:rPr>
          <w:rFonts w:asciiTheme="minorHAnsi" w:eastAsiaTheme="minorEastAsia" w:hAnsiTheme="minorHAnsi" w:cstheme="minorBidi"/>
          <w:noProof/>
          <w:szCs w:val="22"/>
        </w:rPr>
      </w:pPr>
      <w:hyperlink w:anchor="_Toc307840512" w:history="1">
        <w:r w:rsidR="00DA3EFF" w:rsidRPr="00835E5A">
          <w:rPr>
            <w:rStyle w:val="Hyperlink"/>
            <w:noProof/>
          </w:rPr>
          <w:t>B.5</w:t>
        </w:r>
        <w:r w:rsidR="00DA3EFF">
          <w:rPr>
            <w:rFonts w:asciiTheme="minorHAnsi" w:eastAsiaTheme="minorEastAsia" w:hAnsiTheme="minorHAnsi" w:cstheme="minorBidi"/>
            <w:noProof/>
            <w:szCs w:val="22"/>
          </w:rPr>
          <w:tab/>
        </w:r>
        <w:r w:rsidR="00DA3EFF" w:rsidRPr="00835E5A">
          <w:rPr>
            <w:rStyle w:val="Hyperlink"/>
            <w:noProof/>
          </w:rPr>
          <w:t>Individuals Consulted on Statistical Aspects of the Design</w:t>
        </w:r>
        <w:r w:rsidR="00DA3EFF">
          <w:rPr>
            <w:noProof/>
            <w:webHidden/>
          </w:rPr>
          <w:tab/>
        </w:r>
        <w:r>
          <w:rPr>
            <w:noProof/>
            <w:webHidden/>
          </w:rPr>
          <w:fldChar w:fldCharType="begin"/>
        </w:r>
        <w:r w:rsidR="00DA3EFF">
          <w:rPr>
            <w:noProof/>
            <w:webHidden/>
          </w:rPr>
          <w:instrText xml:space="preserve"> PAGEREF _Toc307840512 \h </w:instrText>
        </w:r>
        <w:r>
          <w:rPr>
            <w:noProof/>
            <w:webHidden/>
          </w:rPr>
        </w:r>
        <w:r>
          <w:rPr>
            <w:noProof/>
            <w:webHidden/>
          </w:rPr>
          <w:fldChar w:fldCharType="separate"/>
        </w:r>
        <w:r w:rsidR="00BC2E28">
          <w:rPr>
            <w:noProof/>
            <w:webHidden/>
          </w:rPr>
          <w:t>B-14</w:t>
        </w:r>
        <w:r>
          <w:rPr>
            <w:noProof/>
            <w:webHidden/>
          </w:rPr>
          <w:fldChar w:fldCharType="end"/>
        </w:r>
      </w:hyperlink>
    </w:p>
    <w:p w:rsidR="00DA3EFF" w:rsidRDefault="00896BD3">
      <w:pPr>
        <w:pStyle w:val="TOC2"/>
        <w:tabs>
          <w:tab w:val="right" w:leader="dot" w:pos="8990"/>
        </w:tabs>
        <w:rPr>
          <w:rFonts w:asciiTheme="minorHAnsi" w:eastAsiaTheme="minorEastAsia" w:hAnsiTheme="minorHAnsi" w:cstheme="minorBidi"/>
          <w:noProof/>
          <w:szCs w:val="22"/>
        </w:rPr>
      </w:pPr>
      <w:hyperlink w:anchor="_Toc307840513" w:history="1">
        <w:r w:rsidR="00DA3EFF" w:rsidRPr="00835E5A">
          <w:rPr>
            <w:rStyle w:val="Hyperlink"/>
            <w:noProof/>
          </w:rPr>
          <w:t>References</w:t>
        </w:r>
        <w:r w:rsidR="00DA3EFF">
          <w:rPr>
            <w:noProof/>
            <w:webHidden/>
          </w:rPr>
          <w:tab/>
        </w:r>
        <w:r>
          <w:rPr>
            <w:noProof/>
            <w:webHidden/>
          </w:rPr>
          <w:fldChar w:fldCharType="begin"/>
        </w:r>
        <w:r w:rsidR="00DA3EFF">
          <w:rPr>
            <w:noProof/>
            <w:webHidden/>
          </w:rPr>
          <w:instrText xml:space="preserve"> PAGEREF _Toc307840513 \h </w:instrText>
        </w:r>
        <w:r>
          <w:rPr>
            <w:noProof/>
            <w:webHidden/>
          </w:rPr>
        </w:r>
        <w:r>
          <w:rPr>
            <w:noProof/>
            <w:webHidden/>
          </w:rPr>
          <w:fldChar w:fldCharType="separate"/>
        </w:r>
        <w:r w:rsidR="00BC2E28">
          <w:rPr>
            <w:noProof/>
            <w:webHidden/>
          </w:rPr>
          <w:t>B-15</w:t>
        </w:r>
        <w:r>
          <w:rPr>
            <w:noProof/>
            <w:webHidden/>
          </w:rPr>
          <w:fldChar w:fldCharType="end"/>
        </w:r>
      </w:hyperlink>
    </w:p>
    <w:p w:rsidR="00934773" w:rsidRDefault="00896BD3" w:rsidP="00D979EA">
      <w:pPr>
        <w:pStyle w:val="BodyText"/>
        <w:rPr>
          <w:b/>
        </w:rPr>
      </w:pPr>
      <w:r>
        <w:fldChar w:fldCharType="end"/>
      </w:r>
    </w:p>
    <w:p w:rsidR="00521D86" w:rsidRPr="00FC40CB" w:rsidRDefault="00521D86" w:rsidP="00FC40CB">
      <w:pPr>
        <w:pStyle w:val="BodyText"/>
        <w:sectPr w:rsidR="00521D86" w:rsidRPr="00FC40CB" w:rsidSect="006B1DA6">
          <w:headerReference w:type="default" r:id="rId11"/>
          <w:footerReference w:type="default" r:id="rId12"/>
          <w:pgSz w:w="12240" w:h="15840" w:code="1"/>
          <w:pgMar w:top="1440" w:right="1440" w:bottom="1440" w:left="1800" w:header="1080" w:footer="720" w:gutter="0"/>
          <w:pgNumType w:fmt="lowerRoman" w:start="1"/>
          <w:cols w:space="720"/>
          <w:docGrid w:linePitch="299"/>
        </w:sectPr>
      </w:pPr>
    </w:p>
    <w:p w:rsidR="007B1904" w:rsidRPr="007057ED" w:rsidRDefault="00CE02F4" w:rsidP="00C2759C">
      <w:pPr>
        <w:pStyle w:val="Heading1"/>
        <w:tabs>
          <w:tab w:val="clear" w:pos="432"/>
        </w:tabs>
        <w:ind w:left="720" w:hanging="720"/>
      </w:pPr>
      <w:bookmarkStart w:id="0" w:name="_Toc307840501"/>
      <w:r>
        <w:lastRenderedPageBreak/>
        <w:t>Collection of Information Employing Statistical Methods</w:t>
      </w:r>
      <w:bookmarkEnd w:id="0"/>
    </w:p>
    <w:p w:rsidR="007B1904" w:rsidRDefault="00320474" w:rsidP="00320474">
      <w:pPr>
        <w:pStyle w:val="Heading2"/>
        <w:numPr>
          <w:ilvl w:val="0"/>
          <w:numId w:val="0"/>
        </w:numPr>
        <w:ind w:left="720" w:hanging="720"/>
      </w:pPr>
      <w:bookmarkStart w:id="1" w:name="_Toc307840502"/>
      <w:r>
        <w:t>Introduction</w:t>
      </w:r>
      <w:bookmarkEnd w:id="1"/>
    </w:p>
    <w:p w:rsidR="007F67C8" w:rsidRDefault="007F67C8" w:rsidP="007F67C8">
      <w:bookmarkStart w:id="2" w:name="_Toc307840503"/>
      <w:r>
        <w:t xml:space="preserve">This Information Collection Request seeks clearance to select teacher preparation programs, and recruit districts and schools, collect student rosters, and administer a baseline student achievement test for a rigorous study of the effect on student learning of teachers who have experienced intensive clinical practice within the university-based preparation programs they chose to attend. </w:t>
      </w:r>
    </w:p>
    <w:p w:rsidR="007F67C8" w:rsidRDefault="007F67C8" w:rsidP="007F67C8">
      <w:r>
        <w:t>This study is being conducted by the Institute of Education Sciences, U</w:t>
      </w:r>
      <w:r w:rsidR="00F94BAB">
        <w:t>.</w:t>
      </w:r>
      <w:r>
        <w:t>S</w:t>
      </w:r>
      <w:r w:rsidR="00F94BAB">
        <w:t>.</w:t>
      </w:r>
      <w:r>
        <w:t xml:space="preserve"> Department of Education (ED); it is being implemented by Abt Associates Inc.</w:t>
      </w:r>
      <w:r w:rsidR="00F94BAB">
        <w:t xml:space="preserve"> and</w:t>
      </w:r>
      <w:r>
        <w:t xml:space="preserve"> its wholly owned subsidiary Abt SRBI, </w:t>
      </w:r>
      <w:r w:rsidR="00F94BAB">
        <w:t>along with</w:t>
      </w:r>
      <w:r>
        <w:t xml:space="preserve"> its partners, Chesapeake Research Associates, The Bench Group, Dillon-Goodson Research Associates, and Drs. Sharon Vaughn and Karen Wixson (together, the “Abt study team”).</w:t>
      </w:r>
    </w:p>
    <w:p w:rsidR="00316CCF" w:rsidRPr="00ED08D0" w:rsidRDefault="00316CCF" w:rsidP="00316CCF">
      <w:pPr>
        <w:pStyle w:val="BodyText"/>
      </w:pPr>
      <w:r w:rsidRPr="006C6918">
        <w:t xml:space="preserve">The objective of this study is to use rigorous methods to examine </w:t>
      </w:r>
      <w:r>
        <w:t xml:space="preserve">certain </w:t>
      </w:r>
      <w:r w:rsidRPr="006C6918">
        <w:t xml:space="preserve">university-based clinical practice features for novice teachers. </w:t>
      </w:r>
      <w:r w:rsidRPr="00ED08D0">
        <w:t xml:space="preserve">Teachers who have experienced </w:t>
      </w:r>
      <w:r>
        <w:t>intensive</w:t>
      </w:r>
      <w:r w:rsidRPr="00ED08D0">
        <w:t xml:space="preserve"> clinical practice features </w:t>
      </w:r>
      <w:r>
        <w:t>as part of their preservice teacher preparation program, that they chose to attend,</w:t>
      </w:r>
      <w:r w:rsidRPr="00ED08D0">
        <w:t xml:space="preserve"> are hypothesized to produce higher average student test scores</w:t>
      </w:r>
      <w:r w:rsidRPr="00695BDF">
        <w:t xml:space="preserve"> than teachers who have not </w:t>
      </w:r>
      <w:r w:rsidRPr="00ED08D0">
        <w:t xml:space="preserve">experienced </w:t>
      </w:r>
      <w:r>
        <w:t>intensive</w:t>
      </w:r>
      <w:r w:rsidRPr="00ED08D0">
        <w:t xml:space="preserve"> clinical practice </w:t>
      </w:r>
      <w:r>
        <w:t xml:space="preserve">in the program that they chose to attend. </w:t>
      </w:r>
      <w:r w:rsidRPr="00ED08D0">
        <w:t>Using a randomized controlled trial (RCT), students will be randomly assigned to a pair of teachers in the same school and grade level, one of</w:t>
      </w:r>
      <w:r>
        <w:t xml:space="preserve"> whom will have experienced intensive </w:t>
      </w:r>
      <w:r w:rsidRPr="00ED08D0">
        <w:t>clinical practice</w:t>
      </w:r>
      <w:r>
        <w:t xml:space="preserve"> as part of their chosen preservice teacher preparation program </w:t>
      </w:r>
      <w:r w:rsidRPr="00ED08D0">
        <w:t xml:space="preserve">(“treatment”) while the other will not have </w:t>
      </w:r>
      <w:r>
        <w:t>had that same experience</w:t>
      </w:r>
      <w:r w:rsidRPr="00ED08D0">
        <w:t xml:space="preserve"> </w:t>
      </w:r>
      <w:r>
        <w:t xml:space="preserve">as part of their chosen preservice teacher preparation program </w:t>
      </w:r>
      <w:r w:rsidRPr="00ED08D0">
        <w:t>(“control</w:t>
      </w:r>
      <w:r w:rsidRPr="00655D11">
        <w:t xml:space="preserve">”). </w:t>
      </w:r>
      <w:r w:rsidRPr="00655D11">
        <w:rPr>
          <w:sz w:val="24"/>
        </w:rPr>
        <w:t xml:space="preserve">The study will then </w:t>
      </w:r>
      <w:r>
        <w:rPr>
          <w:color w:val="000000"/>
          <w:szCs w:val="22"/>
        </w:rPr>
        <w:t>examine</w:t>
      </w:r>
      <w:r w:rsidRPr="008D4556">
        <w:rPr>
          <w:color w:val="000000"/>
          <w:szCs w:val="22"/>
        </w:rPr>
        <w:t xml:space="preserve"> the impact on student achievement of teachers who choose to enter teaching through a traditional university-based teacher preparation program that includes promising preparation features versus those teachers who choose to enter teaching through university-based programs that have more typical features</w:t>
      </w:r>
      <w:r>
        <w:rPr>
          <w:color w:val="000000"/>
          <w:szCs w:val="22"/>
        </w:rPr>
        <w:t>.</w:t>
      </w:r>
    </w:p>
    <w:p w:rsidR="007F67C8" w:rsidRDefault="007F67C8" w:rsidP="007F67C8">
      <w:pPr>
        <w:pStyle w:val="BodyText"/>
      </w:pPr>
      <w:bookmarkStart w:id="3" w:name="_GoBack"/>
      <w:bookmarkEnd w:id="3"/>
      <w:r>
        <w:t xml:space="preserve">The information collection request (ICR) will be submitted in two phases, because the study schedule requires that the process of identifying eligible teachers – including </w:t>
      </w:r>
      <w:r w:rsidR="002C6533">
        <w:t xml:space="preserve">1) </w:t>
      </w:r>
      <w:r>
        <w:t xml:space="preserve">the preliminary steps of defining the specific features of intensive clinical practice upon which the study will focus, </w:t>
      </w:r>
      <w:r w:rsidR="002C6533">
        <w:t xml:space="preserve">2) </w:t>
      </w:r>
      <w:r>
        <w:t xml:space="preserve">identifying and selecting the elementary school teacher preparation programs that provide such clinical practice features, </w:t>
      </w:r>
      <w:r w:rsidR="002C6533">
        <w:t xml:space="preserve">3) </w:t>
      </w:r>
      <w:r>
        <w:t xml:space="preserve">district and school recruitment, and </w:t>
      </w:r>
      <w:r w:rsidR="002C6533">
        <w:t xml:space="preserve">4) </w:t>
      </w:r>
      <w:r>
        <w:t xml:space="preserve">the identification of matched teacher pairs – </w:t>
      </w:r>
      <w:r w:rsidR="002C6533">
        <w:t xml:space="preserve">will </w:t>
      </w:r>
      <w:r>
        <w:t>begin before all of the data collection instruments are developed and tested.  Additionally, this ICR includes the collection of student rosters and the fall administration of student achievement tests which will be used to examine the statistical equivalence of students in the randomly assigned classrooms. The student rosters are needed in order to prepare for random assignment prior to the beginning of the school year.</w:t>
      </w:r>
    </w:p>
    <w:p w:rsidR="007F67C8" w:rsidRDefault="007F67C8" w:rsidP="007F67C8">
      <w:pPr>
        <w:pStyle w:val="BodyText"/>
      </w:pPr>
      <w:r>
        <w:rPr>
          <w:b/>
          <w:i/>
        </w:rPr>
        <w:t>Phase I – Recruitment</w:t>
      </w:r>
      <w:r>
        <w:rPr>
          <w:i/>
        </w:rPr>
        <w:t xml:space="preserve"> </w:t>
      </w:r>
      <w:r>
        <w:rPr>
          <w:b/>
          <w:i/>
        </w:rPr>
        <w:t>and Random Assignment</w:t>
      </w:r>
      <w:r>
        <w:rPr>
          <w:i/>
        </w:rPr>
        <w:t xml:space="preserve"> </w:t>
      </w:r>
      <w:r>
        <w:rPr>
          <w:b/>
          <w:i/>
        </w:rPr>
        <w:t xml:space="preserve">ICR.  </w:t>
      </w:r>
      <w:r>
        <w:t xml:space="preserve">The study will use a multi-step process to identify feasible states for the study, select specific features related to intensive clinical practice, identify university-based teacher preparation programs that require such clinical practice, identify feasible districts and schools for the study, confirm eligibility of potential teachers for the study, and implement random assignment of students to treatment and control classrooms. The </w:t>
      </w:r>
      <w:r>
        <w:rPr>
          <w:i/>
        </w:rPr>
        <w:t>Phase I - Recruitment and Random Assignment ICR</w:t>
      </w:r>
      <w:r>
        <w:t xml:space="preserve"> requests approval to </w:t>
      </w:r>
      <w:r w:rsidR="002C6533">
        <w:t xml:space="preserve">1) </w:t>
      </w:r>
      <w:r>
        <w:t xml:space="preserve">collect information from preparation programs about their requirements, focusing on features of clinical practice specifically, </w:t>
      </w:r>
      <w:r w:rsidR="002C6533">
        <w:t xml:space="preserve">2) </w:t>
      </w:r>
      <w:r>
        <w:t xml:space="preserve">collect information from teachers about their preparation to determine their eligibility for the study, and </w:t>
      </w:r>
      <w:r w:rsidR="002C6533">
        <w:t xml:space="preserve">3) </w:t>
      </w:r>
      <w:r>
        <w:t>to randomly assign students to treatment and control classrooms. This package also provides an overview of the study, including its design and data collection procedures.</w:t>
      </w:r>
    </w:p>
    <w:p w:rsidR="007F67C8" w:rsidRDefault="007F67C8" w:rsidP="007F67C8">
      <w:pPr>
        <w:pStyle w:val="BodyText"/>
      </w:pPr>
      <w:r>
        <w:t xml:space="preserve">A second package, </w:t>
      </w:r>
      <w:r w:rsidR="000D137F">
        <w:rPr>
          <w:i/>
        </w:rPr>
        <w:t xml:space="preserve">Phase II - Data Collection ICR, </w:t>
      </w:r>
      <w:r>
        <w:t xml:space="preserve">to be submitted in </w:t>
      </w:r>
      <w:r w:rsidR="000317B1">
        <w:t xml:space="preserve">June </w:t>
      </w:r>
      <w:r>
        <w:t>2012 will request clearance for winter and spring data collection activities for the study. The second package will provide a detailed discussion of the data collection activities and copies or descriptions of the instruments (</w:t>
      </w:r>
      <w:r w:rsidR="000D137F">
        <w:t xml:space="preserve">i.e., </w:t>
      </w:r>
      <w:r>
        <w:t>teacher survey and observation protocol</w:t>
      </w:r>
      <w:r w:rsidR="000D137F">
        <w:t>)</w:t>
      </w:r>
      <w:r>
        <w:t>.</w:t>
      </w:r>
    </w:p>
    <w:p w:rsidR="007F67C8" w:rsidRDefault="007F67C8" w:rsidP="007F67C8">
      <w:pPr>
        <w:rPr>
          <w:color w:val="1F497D"/>
        </w:rPr>
      </w:pPr>
      <w:r>
        <w:t xml:space="preserve">In addition to the impact study described above, a second component of the study will use state level administrative data </w:t>
      </w:r>
      <w:r w:rsidR="00A44F04">
        <w:t xml:space="preserve">and value-added analyses </w:t>
      </w:r>
      <w:r>
        <w:t xml:space="preserve">to examine the relationship between achievement levels of students who are English Language learners (EL) and (as a contract option that may be exercised) students with disabilities (SWD), and the preparation requirements teachers experienced with regard to teaching such student populations. This component will gather information about preparation programs’ requirements with a focus on requirements </w:t>
      </w:r>
      <w:r w:rsidR="000D137F">
        <w:t xml:space="preserve">that </w:t>
      </w:r>
      <w:r>
        <w:t>prepar</w:t>
      </w:r>
      <w:r w:rsidR="000D137F">
        <w:t>e</w:t>
      </w:r>
      <w:r>
        <w:t xml:space="preserve"> teachers for</w:t>
      </w:r>
      <w:r w:rsidR="000D137F">
        <w:t xml:space="preserve"> working with</w:t>
      </w:r>
      <w:r>
        <w:t xml:space="preserve"> diverse populations. Using extant test</w:t>
      </w:r>
      <w:r w:rsidR="000D137F">
        <w:t xml:space="preserve"> </w:t>
      </w:r>
      <w:r>
        <w:t>score data and information about teachers’ preparation programs in several states, it will examine the relationship between student test scores and different novice teachers’ preparation features. This component is based on extant data and is not included in the information collection requests for this study.</w:t>
      </w:r>
    </w:p>
    <w:p w:rsidR="00320474" w:rsidRDefault="00CE02F4" w:rsidP="00A17045">
      <w:pPr>
        <w:pStyle w:val="Heading2"/>
      </w:pPr>
      <w:r>
        <w:t>Respondent Universe and Sampling Methods</w:t>
      </w:r>
      <w:bookmarkEnd w:id="2"/>
    </w:p>
    <w:p w:rsidR="00997733" w:rsidRDefault="00997733" w:rsidP="00997733">
      <w:pPr>
        <w:pStyle w:val="BodyText"/>
      </w:pPr>
      <w:r>
        <w:t>The respondent universe of the study will consist of</w:t>
      </w:r>
      <w:r w:rsidR="00536FC0">
        <w:t xml:space="preserve"> recently graduated</w:t>
      </w:r>
      <w:r>
        <w:t xml:space="preserve"> </w:t>
      </w:r>
      <w:r w:rsidRPr="0008079E">
        <w:t>ele</w:t>
      </w:r>
      <w:r w:rsidR="00AD44D0" w:rsidRPr="0008079E">
        <w:t xml:space="preserve">mentary-grade </w:t>
      </w:r>
      <w:r w:rsidRPr="0008079E">
        <w:t xml:space="preserve">teachers </w:t>
      </w:r>
      <w:r w:rsidR="0069551E">
        <w:t>who experienced intensive clinical practice as part of their preservice teacher preparation program that they chose to attend</w:t>
      </w:r>
      <w:r w:rsidR="0069551E" w:rsidRPr="00ED08D0">
        <w:t xml:space="preserve"> (“treatment”) </w:t>
      </w:r>
      <w:r w:rsidR="0069551E">
        <w:t xml:space="preserve">and recently-graduated elementary-grade teacher who did </w:t>
      </w:r>
      <w:r w:rsidR="0069551E" w:rsidRPr="00ED08D0">
        <w:t>not have</w:t>
      </w:r>
      <w:r w:rsidR="0069551E">
        <w:t xml:space="preserve"> that same experience</w:t>
      </w:r>
      <w:r w:rsidR="0069551E" w:rsidRPr="00ED08D0">
        <w:t xml:space="preserve"> </w:t>
      </w:r>
      <w:r w:rsidR="0069551E">
        <w:t xml:space="preserve">as part of their preservice teacher preparation program that they chose to attend </w:t>
      </w:r>
      <w:r w:rsidR="0069551E" w:rsidRPr="00ED08D0">
        <w:t xml:space="preserve">(“control”). </w:t>
      </w:r>
      <w:r w:rsidR="00AD44D0" w:rsidRPr="0008079E">
        <w:t>As described in Part A of this Supporting Statement, t</w:t>
      </w:r>
      <w:r w:rsidRPr="0008079E">
        <w:t>he sample</w:t>
      </w:r>
      <w:r>
        <w:t xml:space="preserve"> will be selected </w:t>
      </w:r>
      <w:r w:rsidR="00F86991">
        <w:t>as follows:</w:t>
      </w:r>
    </w:p>
    <w:p w:rsidR="00F54966" w:rsidRDefault="00F54966" w:rsidP="00F54966">
      <w:pPr>
        <w:pStyle w:val="BodyText"/>
      </w:pPr>
      <w:r>
        <w:t xml:space="preserve">The goal of </w:t>
      </w:r>
      <w:r>
        <w:rPr>
          <w:i/>
        </w:rPr>
        <w:t xml:space="preserve">Phase I – </w:t>
      </w:r>
      <w:r w:rsidRPr="005C44C3">
        <w:rPr>
          <w:i/>
        </w:rPr>
        <w:t>Recruitment</w:t>
      </w:r>
      <w:r>
        <w:t xml:space="preserve"> </w:t>
      </w:r>
      <w:r w:rsidRPr="00AF21B7">
        <w:rPr>
          <w:i/>
        </w:rPr>
        <w:t>and Random Assignment</w:t>
      </w:r>
      <w:r>
        <w:t xml:space="preserve"> is to identify teachers for the study (and their schools and districts) by first identifying which teacher preparation programs deliver intensive clinical practice features of interest, and then </w:t>
      </w:r>
      <w:r w:rsidRPr="00711A08">
        <w:t>finding teachers who (likely) experienced those features by locating the districts and schools that hire</w:t>
      </w:r>
      <w:r>
        <w:t>d them</w:t>
      </w:r>
      <w:r w:rsidRPr="00711A08">
        <w:t xml:space="preserve">. The final step of recruitment is to collect data to verify that teachers participated in </w:t>
      </w:r>
      <w:r>
        <w:t xml:space="preserve">intensive clinical practice </w:t>
      </w:r>
      <w:r w:rsidRPr="00711A08">
        <w:t>while attending the program</w:t>
      </w:r>
      <w:r>
        <w:t>. The process for Phase I – Recruitment and Random Assignment is illustrated in Exhibit A.1 and detailed in the remainder of this section. Phase II – Data Collection is the subject of a subsequent ICR.</w:t>
      </w:r>
    </w:p>
    <w:p w:rsidR="00F54966" w:rsidRDefault="00F54966" w:rsidP="00F54966">
      <w:pPr>
        <w:pStyle w:val="BodyText"/>
        <w:rPr>
          <w:szCs w:val="22"/>
        </w:rPr>
      </w:pPr>
      <w:r>
        <w:rPr>
          <w:b/>
        </w:rPr>
        <w:t>Selection of study states.</w:t>
      </w:r>
      <w:r>
        <w:t xml:space="preserve"> State selection will be based on identifying states in which the study is most feasible, that is, where the study team is most likely, and most efficiently, able to recruit eligible teacher pairs for the study, as described above. Using the initial data on potential program candidates and the feedback from additional consultants to the study, the study team has selected the eight states listed </w:t>
      </w:r>
      <w:r w:rsidR="00476A59">
        <w:t xml:space="preserve">in Part A </w:t>
      </w:r>
      <w:r>
        <w:t xml:space="preserve">as the primary focus of study recruitment efforts. </w:t>
      </w:r>
    </w:p>
    <w:p w:rsidR="00F54966" w:rsidRDefault="00F54966" w:rsidP="00F54966">
      <w:pPr>
        <w:pStyle w:val="BodyText"/>
        <w:sectPr w:rsidR="00F54966" w:rsidSect="00F54966">
          <w:headerReference w:type="default" r:id="rId13"/>
          <w:footerReference w:type="default" r:id="rId14"/>
          <w:pgSz w:w="12240" w:h="15840" w:code="1"/>
          <w:pgMar w:top="720" w:right="1440" w:bottom="720" w:left="1800" w:header="1080" w:footer="720" w:gutter="0"/>
          <w:pgNumType w:start="1" w:chapStyle="1"/>
          <w:cols w:space="720"/>
          <w:docGrid w:linePitch="299"/>
        </w:sectPr>
      </w:pPr>
    </w:p>
    <w:p w:rsidR="00F54966" w:rsidRDefault="00F54966" w:rsidP="00F54966">
      <w:pPr>
        <w:pStyle w:val="Caption"/>
      </w:pPr>
      <w:r>
        <w:t xml:space="preserve">Exhibit </w:t>
      </w:r>
      <w:r w:rsidR="00E375E6">
        <w:t>B</w:t>
      </w:r>
      <w:r>
        <w:t xml:space="preserve">. </w:t>
      </w:r>
      <w:r w:rsidR="00896BD3">
        <w:fldChar w:fldCharType="begin"/>
      </w:r>
      <w:r w:rsidR="00A0779E">
        <w:instrText xml:space="preserve"> SEQ Exhibit_A. \* ARABIC </w:instrText>
      </w:r>
      <w:r w:rsidR="00896BD3">
        <w:fldChar w:fldCharType="separate"/>
      </w:r>
      <w:r w:rsidR="00BC2E28">
        <w:rPr>
          <w:noProof/>
        </w:rPr>
        <w:t>1</w:t>
      </w:r>
      <w:r w:rsidR="00896BD3">
        <w:rPr>
          <w:noProof/>
        </w:rPr>
        <w:fldChar w:fldCharType="end"/>
      </w:r>
      <w:r>
        <w:t xml:space="preserve">: Teacher Preparation Program and District/School Recruiting and </w:t>
      </w:r>
      <w:r w:rsidR="0084515B">
        <w:t xml:space="preserve">Student </w:t>
      </w:r>
      <w:r>
        <w:t xml:space="preserve">Random Assignment Process </w:t>
      </w:r>
    </w:p>
    <w:p w:rsidR="00F54966" w:rsidRDefault="0084515B" w:rsidP="00F54966">
      <w:pPr>
        <w:pStyle w:val="BodyText"/>
        <w:sectPr w:rsidR="00F54966" w:rsidSect="00F54966">
          <w:pgSz w:w="12240" w:h="15840" w:code="1"/>
          <w:pgMar w:top="720" w:right="1440" w:bottom="720" w:left="1800" w:header="1080" w:footer="720" w:gutter="0"/>
          <w:pgNumType w:chapStyle="1"/>
          <w:cols w:space="720"/>
          <w:docGrid w:linePitch="299"/>
        </w:sectPr>
      </w:pPr>
      <w:r w:rsidRPr="0084515B">
        <w:rPr>
          <w:noProof/>
        </w:rPr>
        <w:drawing>
          <wp:inline distT="0" distB="0" distL="0" distR="0">
            <wp:extent cx="5715000" cy="75292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7529275"/>
                    </a:xfrm>
                    <a:prstGeom prst="rect">
                      <a:avLst/>
                    </a:prstGeom>
                    <a:noFill/>
                  </pic:spPr>
                </pic:pic>
              </a:graphicData>
            </a:graphic>
          </wp:inline>
        </w:drawing>
      </w:r>
    </w:p>
    <w:p w:rsidR="00F54966" w:rsidRDefault="00F54966" w:rsidP="00F54966">
      <w:pPr>
        <w:spacing w:after="0" w:line="240" w:lineRule="auto"/>
        <w:rPr>
          <w:b/>
          <w:i/>
        </w:rPr>
      </w:pPr>
    </w:p>
    <w:p w:rsidR="00F54966" w:rsidRPr="00440DE6" w:rsidRDefault="00F54966" w:rsidP="00F54966">
      <w:pPr>
        <w:pStyle w:val="Heading4"/>
      </w:pPr>
      <w:r w:rsidRPr="00440DE6">
        <w:t>Selecting Teacher Preparation Programs</w:t>
      </w:r>
    </w:p>
    <w:p w:rsidR="00F54966" w:rsidRDefault="00F54966" w:rsidP="00F54966">
      <w:pPr>
        <w:pStyle w:val="BodyText"/>
      </w:pPr>
      <w:r>
        <w:t xml:space="preserve">The study hypothesis is that teachers who receive intensive clinical practice will be more effective teachers, and their students will therefore perform better on standardized assessments. An essential step is to identify preparation programs that </w:t>
      </w:r>
      <w:r w:rsidRPr="00F3444C">
        <w:rPr>
          <w:i/>
        </w:rPr>
        <w:t>implement</w:t>
      </w:r>
      <w:r>
        <w:t xml:space="preserve"> those features. Research has indicated that there can be a gap between what programs describe and what they actually deliver (Walsh, 2011). Confirming that the teacher preparation programs have these features is therefore critical to ensuring a meaningful experimental contrast. </w:t>
      </w:r>
    </w:p>
    <w:p w:rsidR="00F54966" w:rsidRDefault="00F54966" w:rsidP="00F54966">
      <w:pPr>
        <w:pStyle w:val="BodyText"/>
      </w:pPr>
      <w:r>
        <w:t xml:space="preserve">The identification of teacher preparation programs will involve compiling extant data to obtain systematic information on the eligible teacher preparation programs in the selected eight states. The extant data will consist of publically available program descriptions and requirements obtained from university and program websites, student handbooks, and course catalogues. The next step is a screen based on two criteria: (1) it must be an undergraduate program that trains teachers for elementary grades, and (2) it must send at least some graduates to public schools (rather than non-public schools). </w:t>
      </w:r>
    </w:p>
    <w:p w:rsidR="00802EDA" w:rsidRDefault="00802EDA" w:rsidP="00802EDA">
      <w:pPr>
        <w:pStyle w:val="BodyText"/>
      </w:pPr>
      <w:r>
        <w:t xml:space="preserve">Based on consultation with experts and IES, the study team will begin to collect data from teacher preparation programs </w:t>
      </w:r>
      <w:r w:rsidR="00476A59">
        <w:t>about</w:t>
      </w:r>
      <w:r>
        <w:t xml:space="preserve"> the targeted clinical experience feature(s) to expedite the identification of programs for the district and school recruiters. As described above, this information will be collected via teacher preparation program websites and by conducting interviews with program administrators using the ‘Teacher Preparation Program Interview Guide’ (Appendix B). The second activity involves prioritizing preparation programs based on </w:t>
      </w:r>
      <w:r w:rsidR="00476A59">
        <w:t>at least two</w:t>
      </w:r>
      <w:r>
        <w:t xml:space="preserve"> criteria: 1) information from large districts about the programs from which they often hire teachers; and 2) programs for which the study team has prior knowledge that they may implement intensive clinical experience feature(s).</w:t>
      </w:r>
    </w:p>
    <w:p w:rsidR="00F54966" w:rsidRDefault="00F54966" w:rsidP="00F54966">
      <w:pPr>
        <w:pStyle w:val="BodyText"/>
      </w:pPr>
      <w:r>
        <w:t xml:space="preserve">Based on the information listed above, the study team will then conduct an in-depth review </w:t>
      </w:r>
      <w:r w:rsidR="00476A59">
        <w:t xml:space="preserve">of </w:t>
      </w:r>
      <w:r>
        <w:t xml:space="preserve"> data on preparation programs. This information will then be used for the recruitment of districts and schools, and the identification of potential matched teacher pairs. </w:t>
      </w:r>
    </w:p>
    <w:p w:rsidR="00F54966" w:rsidRDefault="00F54966" w:rsidP="00F54966">
      <w:pPr>
        <w:pStyle w:val="BodyText"/>
      </w:pPr>
      <w:r w:rsidRPr="00C61633">
        <w:t xml:space="preserve">The </w:t>
      </w:r>
      <w:r>
        <w:t>next step involves verification of the information gleaned from extant data sources and collection of information through interviews with program administrators. The study team will send administrators of eligible teacher preparation programs in the study states</w:t>
      </w:r>
      <w:r w:rsidR="00B811B7">
        <w:t xml:space="preserve"> two documents:</w:t>
      </w:r>
      <w:r>
        <w:t xml:space="preserve"> 1) the </w:t>
      </w:r>
      <w:r w:rsidRPr="003D6F52">
        <w:rPr>
          <w:b/>
          <w:i/>
        </w:rPr>
        <w:t>Teacher Preparation Program Support Letter from IES</w:t>
      </w:r>
      <w:r>
        <w:rPr>
          <w:b/>
          <w:i/>
        </w:rPr>
        <w:t xml:space="preserve"> </w:t>
      </w:r>
      <w:r>
        <w:t xml:space="preserve">(Appendix B), </w:t>
      </w:r>
      <w:r w:rsidR="00B811B7">
        <w:t xml:space="preserve">which </w:t>
      </w:r>
      <w:r>
        <w:t>encourag</w:t>
      </w:r>
      <w:r w:rsidR="00B811B7">
        <w:t>es</w:t>
      </w:r>
      <w:r>
        <w:t xml:space="preserve"> programs to participate in the study and let</w:t>
      </w:r>
      <w:r w:rsidR="00B811B7">
        <w:t>s</w:t>
      </w:r>
      <w:r>
        <w:t xml:space="preserve"> the administrator know that the study team will contact him or her, and 2) the </w:t>
      </w:r>
      <w:r>
        <w:rPr>
          <w:b/>
          <w:i/>
        </w:rPr>
        <w:t xml:space="preserve">Study Fact Sheet </w:t>
      </w:r>
      <w:r>
        <w:t xml:space="preserve">(Appendix B), which describes the study. Interviews with program administrators then will be conducted to confirm that identified features are available to all students and have been in place for at least three academic years, as well as to learn about relationships with hiring districts. To facilitate these calls, the study team will use the </w:t>
      </w:r>
      <w:r w:rsidR="00316CCF">
        <w:t xml:space="preserve">topics outlined in the </w:t>
      </w:r>
      <w:r>
        <w:rPr>
          <w:b/>
          <w:i/>
        </w:rPr>
        <w:t xml:space="preserve">Teacher Preparation </w:t>
      </w:r>
      <w:r w:rsidRPr="00BD3106">
        <w:rPr>
          <w:b/>
          <w:i/>
        </w:rPr>
        <w:t xml:space="preserve">Program </w:t>
      </w:r>
      <w:r>
        <w:rPr>
          <w:b/>
          <w:i/>
        </w:rPr>
        <w:t>Interview Guide</w:t>
      </w:r>
      <w:r>
        <w:rPr>
          <w:i/>
        </w:rPr>
        <w:t xml:space="preserve">, </w:t>
      </w:r>
      <w:r w:rsidR="00316CCF">
        <w:t xml:space="preserve">to develop and complete a </w:t>
      </w:r>
      <w:r>
        <w:t>questionnaire</w:t>
      </w:r>
      <w:r>
        <w:rPr>
          <w:i/>
        </w:rPr>
        <w:t xml:space="preserve"> </w:t>
      </w:r>
      <w:r>
        <w:t>which will be programmed into an Access data entry form so it can be administered in a manner similar to Computer Aided Telephone Interviewing (CATI</w:t>
      </w:r>
      <w:r w:rsidR="00B811B7">
        <w:t>)</w:t>
      </w:r>
      <w:r>
        <w:t xml:space="preserve">; Appendix B contains the </w:t>
      </w:r>
      <w:r w:rsidR="00316CCF">
        <w:t>topics</w:t>
      </w:r>
      <w:r>
        <w:t xml:space="preserve"> which will be</w:t>
      </w:r>
      <w:r w:rsidR="00316CCF">
        <w:t xml:space="preserve"> used to program </w:t>
      </w:r>
      <w:r>
        <w:t xml:space="preserve">the Access data entry form. </w:t>
      </w:r>
    </w:p>
    <w:p w:rsidR="00F54966" w:rsidRDefault="00F54966" w:rsidP="00F54966">
      <w:pPr>
        <w:pStyle w:val="BodyText"/>
      </w:pPr>
      <w:r w:rsidRPr="000D4517">
        <w:t xml:space="preserve">The data collected through the program review and interview process will be used to </w:t>
      </w:r>
      <w:r>
        <w:t xml:space="preserve">determine which programs are most likely to </w:t>
      </w:r>
      <w:r w:rsidRPr="000D4517">
        <w:t>produc</w:t>
      </w:r>
      <w:r>
        <w:t>e</w:t>
      </w:r>
      <w:r w:rsidRPr="000D4517">
        <w:t xml:space="preserve"> treatment or control teachers.</w:t>
      </w:r>
      <w:r>
        <w:t xml:space="preserve"> These designations will be utilized by the recruitment team </w:t>
      </w:r>
      <w:r w:rsidR="00B811B7">
        <w:t xml:space="preserve">when </w:t>
      </w:r>
      <w:r>
        <w:t xml:space="preserve"> recruiting districts, schools and teachers. Although the data collection on preparation programs will provide preliminary information about treatment and control status of program graduates, and will provide guidance to the recruitment team on likely treatment and control teachers, the final determination of a teacher’s status into treatment or control condition will come from the Teacher Background Form, as described below. </w:t>
      </w:r>
    </w:p>
    <w:p w:rsidR="00F54966" w:rsidRPr="00440DE6" w:rsidRDefault="00F54966" w:rsidP="00F54966">
      <w:pPr>
        <w:pStyle w:val="Heading4"/>
      </w:pPr>
      <w:r w:rsidRPr="00440DE6">
        <w:t>Selecting Targeted School Districts</w:t>
      </w:r>
    </w:p>
    <w:p w:rsidR="00F54966" w:rsidRPr="00440DE6" w:rsidRDefault="00F54966" w:rsidP="00F54966">
      <w:pPr>
        <w:pStyle w:val="BodyText"/>
      </w:pPr>
      <w:r w:rsidRPr="002449BF">
        <w:t xml:space="preserve">In parallel with investigating and selecting teacher preparation programs that will be the focus of this study, the study team will also identify school districts that are targets </w:t>
      </w:r>
      <w:r>
        <w:t>for</w:t>
      </w:r>
      <w:r w:rsidRPr="002449BF">
        <w:t xml:space="preserve"> recruitment activities. Within the selected </w:t>
      </w:r>
      <w:r w:rsidRPr="00440DE6">
        <w:t>study states, the study team will first use extant data to identify districts that provide a greater likelihood of finding graduates of the selected teacher preparation programs along with a matched “control” group teacher in the same school and grade. This will be based on two criteria: (1) “large” districts, i.e., those with 10 or more elementary schools with &gt;75 students in at least one K-6 grade</w:t>
      </w:r>
      <w:r w:rsidR="00B811B7">
        <w:t xml:space="preserve"> and</w:t>
      </w:r>
      <w:r w:rsidRPr="00440DE6">
        <w:t xml:space="preserve"> (2) </w:t>
      </w:r>
      <w:r w:rsidR="00B811B7">
        <w:t xml:space="preserve">districts  </w:t>
      </w:r>
      <w:r w:rsidRPr="00440DE6">
        <w:t>located within a 100-mile proximity to one or more of the possible study teacher preparation programs</w:t>
      </w:r>
      <w:r>
        <w:t xml:space="preserve">. </w:t>
      </w:r>
      <w:r w:rsidRPr="00440DE6">
        <w:t xml:space="preserve">Geographic proximity of programs to hiring districts has been shown to be particularly important for teachers; recent research indicates that substantial proportions of teachers attend (teacher preparation programs in) college within 50 miles of their homes, and further, that substantial proportions of new teachers obtain employment within 50 miles of their homes (Boyd, Lankford, Loeb, &amp; Wyckoff, 2005). </w:t>
      </w:r>
      <w:r>
        <w:t xml:space="preserve"> Because the study will be conducted in states that cover large geographic areas, the study has expanded the proximity to a 100-mile radius. </w:t>
      </w:r>
      <w:r w:rsidRPr="00440DE6">
        <w:t xml:space="preserve">The study team will also obtain information from district web sites on the typical sources of new teacher hires for districts meeting these two criteria, and will augment this with informational calls to district human resource directors. </w:t>
      </w:r>
    </w:p>
    <w:p w:rsidR="00F54966" w:rsidRPr="002449BF" w:rsidRDefault="00F54966" w:rsidP="00F54966">
      <w:pPr>
        <w:pStyle w:val="BodyText"/>
      </w:pPr>
      <w:r w:rsidRPr="00440DE6">
        <w:t>This information, co</w:t>
      </w:r>
      <w:r w:rsidRPr="002449BF">
        <w:t xml:space="preserve">mbined with decisions about </w:t>
      </w:r>
      <w:r>
        <w:t>including particular programs which produce teachers trained with the features of interest</w:t>
      </w:r>
      <w:r w:rsidRPr="002449BF">
        <w:t>, will be used to develop a short list of potential study districts that will be targeted for recruitment</w:t>
      </w:r>
      <w:r>
        <w:t xml:space="preserve">. </w:t>
      </w:r>
    </w:p>
    <w:p w:rsidR="00F54966" w:rsidRPr="00440DE6" w:rsidRDefault="00F54966" w:rsidP="00F54966">
      <w:pPr>
        <w:pStyle w:val="Heading4"/>
      </w:pPr>
      <w:r w:rsidRPr="00440DE6">
        <w:t>Recruiting Study Districts</w:t>
      </w:r>
    </w:p>
    <w:p w:rsidR="00F54966" w:rsidRPr="002449BF" w:rsidRDefault="00F54966" w:rsidP="00F54966">
      <w:pPr>
        <w:pStyle w:val="BodyText"/>
      </w:pPr>
      <w:r w:rsidRPr="002449BF">
        <w:t xml:space="preserve">The study team will contact </w:t>
      </w:r>
      <w:r>
        <w:t xml:space="preserve">targeted </w:t>
      </w:r>
      <w:r w:rsidRPr="002449BF">
        <w:t xml:space="preserve">school districts (1) </w:t>
      </w:r>
      <w:r>
        <w:t xml:space="preserve">to </w:t>
      </w:r>
      <w:r w:rsidRPr="002449BF">
        <w:t xml:space="preserve">confirm the feasibility of conducting the study in their elementary schools; (2) if implementation appears feasible, </w:t>
      </w:r>
      <w:r>
        <w:t xml:space="preserve">to </w:t>
      </w:r>
      <w:r w:rsidRPr="002449BF">
        <w:t xml:space="preserve">obtain permission to begin contacting administrators about their possible study participation; and (3) </w:t>
      </w:r>
      <w:r>
        <w:t xml:space="preserve">to </w:t>
      </w:r>
      <w:r w:rsidRPr="002449BF">
        <w:t xml:space="preserve">move forward </w:t>
      </w:r>
      <w:r>
        <w:t>in districts that use their own approval processes for research studies.</w:t>
      </w:r>
    </w:p>
    <w:p w:rsidR="00F54966" w:rsidRPr="002449BF" w:rsidRDefault="00F54966" w:rsidP="00F54966">
      <w:pPr>
        <w:pStyle w:val="BodyText"/>
      </w:pPr>
      <w:r w:rsidRPr="002449BF">
        <w:t xml:space="preserve">This process will begin by sending letters to the district </w:t>
      </w:r>
      <w:r>
        <w:t>s</w:t>
      </w:r>
      <w:r w:rsidRPr="002449BF">
        <w:t xml:space="preserve">uperintendents that include, as attachments, a </w:t>
      </w:r>
      <w:r w:rsidRPr="002449BF">
        <w:rPr>
          <w:b/>
          <w:i/>
        </w:rPr>
        <w:t>District Letter of Support from IES</w:t>
      </w:r>
      <w:r w:rsidRPr="002449BF">
        <w:rPr>
          <w:i/>
        </w:rPr>
        <w:t xml:space="preserve">, </w:t>
      </w:r>
      <w:r w:rsidRPr="002449BF">
        <w:t xml:space="preserve">expressing support and encouragement for participation in the study, and a </w:t>
      </w:r>
      <w:r w:rsidR="00316CCF" w:rsidRPr="002449BF">
        <w:rPr>
          <w:b/>
          <w:i/>
        </w:rPr>
        <w:t xml:space="preserve">District </w:t>
      </w:r>
      <w:r w:rsidRPr="002449BF">
        <w:rPr>
          <w:b/>
          <w:i/>
        </w:rPr>
        <w:t>Study Fact Sheet</w:t>
      </w:r>
      <w:r w:rsidRPr="002449BF">
        <w:t xml:space="preserve"> both of which are provided in Appendix </w:t>
      </w:r>
      <w:r>
        <w:t>B</w:t>
      </w:r>
      <w:r w:rsidRPr="002449BF">
        <w:t>. Following confirmation of delivery of the district recruitment package, s</w:t>
      </w:r>
      <w:r>
        <w:t xml:space="preserve">tudy </w:t>
      </w:r>
      <w:r w:rsidRPr="002449BF">
        <w:t xml:space="preserve">staff will </w:t>
      </w:r>
      <w:r>
        <w:t>call</w:t>
      </w:r>
      <w:r w:rsidRPr="002449BF">
        <w:t xml:space="preserve"> targeted districts. This contact will begin with a determination of the appropriate point of contact in the distric</w:t>
      </w:r>
      <w:r>
        <w:t>t. In some cases it may be the s</w:t>
      </w:r>
      <w:r w:rsidRPr="002449BF">
        <w:t xml:space="preserve">uperintendent, </w:t>
      </w:r>
      <w:r w:rsidR="00B811B7">
        <w:t xml:space="preserve">and </w:t>
      </w:r>
      <w:r w:rsidRPr="002449BF">
        <w:t xml:space="preserve">in other situations he/she may suggest working with another district-level administrator (e.g., the </w:t>
      </w:r>
      <w:r>
        <w:t>a</w:t>
      </w:r>
      <w:r w:rsidRPr="002449BF">
        <w:t xml:space="preserve">ssistant </w:t>
      </w:r>
      <w:r>
        <w:t>a</w:t>
      </w:r>
      <w:r w:rsidRPr="002449BF">
        <w:t xml:space="preserve">dministrator for </w:t>
      </w:r>
      <w:r>
        <w:t>e</w:t>
      </w:r>
      <w:r w:rsidRPr="002449BF">
        <w:t xml:space="preserve">lementary </w:t>
      </w:r>
      <w:r>
        <w:t>e</w:t>
      </w:r>
      <w:r w:rsidRPr="002449BF">
        <w:t xml:space="preserve">ducation, the </w:t>
      </w:r>
      <w:r>
        <w:t>h</w:t>
      </w:r>
      <w:r w:rsidRPr="002449BF">
        <w:t xml:space="preserve">ead of </w:t>
      </w:r>
      <w:r>
        <w:t>h</w:t>
      </w:r>
      <w:r w:rsidRPr="002449BF">
        <w:t xml:space="preserve">uman </w:t>
      </w:r>
      <w:r>
        <w:t>r</w:t>
      </w:r>
      <w:r w:rsidRPr="002449BF">
        <w:t>esources/</w:t>
      </w:r>
      <w:r>
        <w:t>t</w:t>
      </w:r>
      <w:r w:rsidRPr="002449BF">
        <w:t xml:space="preserve">eacher </w:t>
      </w:r>
      <w:r>
        <w:t>h</w:t>
      </w:r>
      <w:r w:rsidRPr="002449BF">
        <w:t xml:space="preserve">iring, etc.). </w:t>
      </w:r>
    </w:p>
    <w:p w:rsidR="00F54966" w:rsidRPr="002449BF" w:rsidRDefault="00F54966" w:rsidP="00F54966">
      <w:pPr>
        <w:pStyle w:val="BodyText"/>
      </w:pPr>
      <w:r w:rsidRPr="002449BF">
        <w:t xml:space="preserve">Once the contact has been identified, recruiters will </w:t>
      </w:r>
      <w:r>
        <w:t xml:space="preserve">talk with </w:t>
      </w:r>
      <w:r w:rsidR="00B811B7">
        <w:t>designated staff</w:t>
      </w:r>
      <w:r>
        <w:t xml:space="preserve"> </w:t>
      </w:r>
      <w:r w:rsidRPr="002449BF">
        <w:t xml:space="preserve">about the study’s feasibility and acceptability for implementation in the 2012-13 school year. </w:t>
      </w:r>
      <w:r>
        <w:t>R</w:t>
      </w:r>
      <w:r w:rsidRPr="002449BF">
        <w:t>ecruiters will cover the following points:</w:t>
      </w:r>
    </w:p>
    <w:p w:rsidR="00F54966" w:rsidRPr="002449BF" w:rsidRDefault="00F54966" w:rsidP="00F54966">
      <w:pPr>
        <w:pStyle w:val="Bullets"/>
      </w:pPr>
      <w:r>
        <w:t>An</w:t>
      </w:r>
      <w:r w:rsidRPr="002449BF">
        <w:t xml:space="preserve"> overview of the study and the purpose of th</w:t>
      </w:r>
      <w:r>
        <w:t>e</w:t>
      </w:r>
      <w:r w:rsidRPr="002449BF">
        <w:t xml:space="preserve"> call – the sponsorship of the study by IES/ED, the goal and importance of the study, the general design of the study, and what we’re trying to accomplish with this call; </w:t>
      </w:r>
    </w:p>
    <w:p w:rsidR="00F54966" w:rsidRPr="002449BF" w:rsidRDefault="00F54966" w:rsidP="00F54966">
      <w:pPr>
        <w:pStyle w:val="Bullets"/>
      </w:pPr>
      <w:r>
        <w:t>D</w:t>
      </w:r>
      <w:r w:rsidRPr="002449BF">
        <w:t xml:space="preserve">istrict’s eligibility for the study – describe district and school eligibility criteria, and determine if there are potentially eligible schools in the district; </w:t>
      </w:r>
    </w:p>
    <w:p w:rsidR="00F54966" w:rsidRPr="002449BF" w:rsidRDefault="00F54966" w:rsidP="00F54966">
      <w:pPr>
        <w:pStyle w:val="Bullets"/>
      </w:pPr>
      <w:r>
        <w:t>I</w:t>
      </w:r>
      <w:r w:rsidRPr="002449BF">
        <w:t xml:space="preserve">nterest in study participation – describe in broad terms what the study will entail and get an indication of possible district participation; and, </w:t>
      </w:r>
    </w:p>
    <w:p w:rsidR="00F54966" w:rsidRPr="002449BF" w:rsidRDefault="00F54966" w:rsidP="00F54966">
      <w:pPr>
        <w:pStyle w:val="BulletsLast"/>
      </w:pPr>
      <w:r>
        <w:t>N</w:t>
      </w:r>
      <w:r w:rsidRPr="002449BF">
        <w:t xml:space="preserve">ecessary procedures to secure district permission to begin contacting schools for recruitment and for permission to conduct the </w:t>
      </w:r>
      <w:r>
        <w:t>study</w:t>
      </w:r>
      <w:r w:rsidRPr="002449BF">
        <w:t>, in particular district requirements regarding parental consent, the requirements for submission of Institutional Review Board (IRB) research applications, and the main contact point for the application, if required.</w:t>
      </w:r>
    </w:p>
    <w:p w:rsidR="00F54966" w:rsidRPr="002449BF" w:rsidRDefault="00F54966" w:rsidP="00F54966">
      <w:pPr>
        <w:pStyle w:val="BodyText"/>
      </w:pPr>
      <w:r>
        <w:t>E</w:t>
      </w:r>
      <w:r w:rsidRPr="002449BF">
        <w:t xml:space="preserve">specially with large districts (i.e., those with potential for multiple eligible schools) – the study team </w:t>
      </w:r>
      <w:r>
        <w:t xml:space="preserve">also </w:t>
      </w:r>
      <w:r w:rsidRPr="002449BF">
        <w:t xml:space="preserve">is planning to </w:t>
      </w:r>
      <w:r>
        <w:t xml:space="preserve">meet with district staff </w:t>
      </w:r>
      <w:r w:rsidR="00F62C1A">
        <w:t>in person</w:t>
      </w:r>
      <w:r w:rsidRPr="002449BF">
        <w:t xml:space="preserve">. These meetings will cover the same points as the calls but will allow for participation of a wider set of decision-makers, and for a more in-depth exploration of study feasibility. </w:t>
      </w:r>
    </w:p>
    <w:p w:rsidR="00F54966" w:rsidRPr="002449BF" w:rsidRDefault="00F54966" w:rsidP="00F54966">
      <w:pPr>
        <w:pStyle w:val="BodyText"/>
      </w:pPr>
      <w:r w:rsidRPr="002449BF">
        <w:t xml:space="preserve">District authorization of the study will be formalized in a </w:t>
      </w:r>
      <w:r>
        <w:t>m</w:t>
      </w:r>
      <w:r w:rsidRPr="002449BF">
        <w:t xml:space="preserve">emorandum of </w:t>
      </w:r>
      <w:r>
        <w:t>u</w:t>
      </w:r>
      <w:r w:rsidRPr="002449BF">
        <w:t>nderstanding (MOU)</w:t>
      </w:r>
      <w:r w:rsidRPr="002449BF">
        <w:rPr>
          <w:b/>
          <w:i/>
        </w:rPr>
        <w:t xml:space="preserve"> </w:t>
      </w:r>
      <w:r w:rsidRPr="00646E24">
        <w:t xml:space="preserve">to be </w:t>
      </w:r>
      <w:r w:rsidRPr="00D55CFD">
        <w:t xml:space="preserve">signed by a district representative and the study </w:t>
      </w:r>
      <w:r>
        <w:t>d</w:t>
      </w:r>
      <w:r w:rsidRPr="00D55CFD">
        <w:t xml:space="preserve">irector. In </w:t>
      </w:r>
      <w:r>
        <w:t xml:space="preserve">addition, the study will submit </w:t>
      </w:r>
      <w:r w:rsidRPr="002449BF">
        <w:t>formal Institutional Review Board (IRB) research application</w:t>
      </w:r>
      <w:r>
        <w:t xml:space="preserve">s where necessary; in some instances, </w:t>
      </w:r>
      <w:r w:rsidRPr="002449BF">
        <w:t xml:space="preserve">the district’s written application approval </w:t>
      </w:r>
      <w:r>
        <w:t xml:space="preserve">may </w:t>
      </w:r>
      <w:r w:rsidRPr="002449BF">
        <w:t xml:space="preserve">substitute for the MOU to limit redundancy. </w:t>
      </w:r>
    </w:p>
    <w:p w:rsidR="00F54966" w:rsidRPr="00440DE6" w:rsidRDefault="00F54966" w:rsidP="00F54966">
      <w:pPr>
        <w:pStyle w:val="Heading4"/>
      </w:pPr>
      <w:r w:rsidRPr="00440DE6">
        <w:t xml:space="preserve">School Identification and Recruitment </w:t>
      </w:r>
    </w:p>
    <w:p w:rsidR="00F54966" w:rsidRPr="00FC417F" w:rsidRDefault="00F54966" w:rsidP="00F54966">
      <w:pPr>
        <w:pStyle w:val="BodyText"/>
      </w:pPr>
      <w:r>
        <w:t xml:space="preserve">In </w:t>
      </w:r>
      <w:r w:rsidRPr="00FC417F">
        <w:t xml:space="preserve">districts </w:t>
      </w:r>
      <w:r>
        <w:t xml:space="preserve">that give the study </w:t>
      </w:r>
      <w:r w:rsidRPr="00FC417F">
        <w:t>permission to contact schools</w:t>
      </w:r>
      <w:r>
        <w:t xml:space="preserve">, </w:t>
      </w:r>
      <w:r w:rsidRPr="00FC417F">
        <w:t>schools will be identified based on teacher placement information provided by the selected teacher preparation programs</w:t>
      </w:r>
      <w:r>
        <w:t xml:space="preserve"> </w:t>
      </w:r>
      <w:r w:rsidRPr="00FC417F">
        <w:t>or school districts. As with districts, priority will be given to schools likely to have the highest potential for teacher matches</w:t>
      </w:r>
      <w:r>
        <w:t>. T</w:t>
      </w:r>
      <w:r w:rsidRPr="00FC417F">
        <w:t xml:space="preserve">he school recruitment process will begin with a mailing to school </w:t>
      </w:r>
      <w:r>
        <w:t>p</w:t>
      </w:r>
      <w:r w:rsidRPr="00FC417F">
        <w:t xml:space="preserve">rincipals that will include a </w:t>
      </w:r>
      <w:r w:rsidRPr="00FC417F">
        <w:rPr>
          <w:b/>
          <w:i/>
        </w:rPr>
        <w:t>School Letter of Support from IES</w:t>
      </w:r>
      <w:r w:rsidRPr="00FC417F">
        <w:rPr>
          <w:i/>
        </w:rPr>
        <w:t xml:space="preserve">, </w:t>
      </w:r>
      <w:r w:rsidRPr="00FC417F">
        <w:t xml:space="preserve">expressing support and encouragement for participation in the study, and the same </w:t>
      </w:r>
      <w:r w:rsidR="00316CCF" w:rsidRPr="002449BF">
        <w:rPr>
          <w:b/>
          <w:i/>
        </w:rPr>
        <w:t xml:space="preserve">District </w:t>
      </w:r>
      <w:r w:rsidRPr="00FC417F">
        <w:rPr>
          <w:b/>
          <w:i/>
        </w:rPr>
        <w:t xml:space="preserve">Study Fact Sheet </w:t>
      </w:r>
      <w:r w:rsidRPr="00FC417F">
        <w:t xml:space="preserve">(Appendix </w:t>
      </w:r>
      <w:r>
        <w:t>B</w:t>
      </w:r>
      <w:r w:rsidRPr="00FC417F">
        <w:t xml:space="preserve">). </w:t>
      </w:r>
      <w:r>
        <w:t>R</w:t>
      </w:r>
      <w:r w:rsidRPr="00FC417F">
        <w:t xml:space="preserve">ecruiters will call </w:t>
      </w:r>
      <w:r>
        <w:t>p</w:t>
      </w:r>
      <w:r w:rsidRPr="00FC417F">
        <w:t xml:space="preserve">rincipals to confirm the feasibility of finding matched pairs of eligible teachers, and to determine acceptability of conducting the study during the 2012-13 school year. </w:t>
      </w:r>
      <w:r>
        <w:t>R</w:t>
      </w:r>
      <w:r w:rsidRPr="00FC417F">
        <w:t>ecruiters</w:t>
      </w:r>
      <w:r>
        <w:t xml:space="preserve"> will </w:t>
      </w:r>
      <w:r w:rsidR="00F62C1A">
        <w:t xml:space="preserve">focus conversations </w:t>
      </w:r>
      <w:r>
        <w:t xml:space="preserve">on these </w:t>
      </w:r>
      <w:r w:rsidRPr="00FC417F">
        <w:t>discussion points:</w:t>
      </w:r>
    </w:p>
    <w:p w:rsidR="00F54966" w:rsidRPr="00FC417F" w:rsidRDefault="00F54966" w:rsidP="00F54966">
      <w:pPr>
        <w:pStyle w:val="Bullets"/>
      </w:pPr>
      <w:r w:rsidRPr="00FC417F">
        <w:t xml:space="preserve">Introduce recruiter/study and the purpose of the call (refer to the mailed study materials). Indicate the sponsorship of the study by IES/ED, and the district’s approval to contact them directly. </w:t>
      </w:r>
    </w:p>
    <w:p w:rsidR="00F54966" w:rsidRPr="00FC417F" w:rsidRDefault="00F54966" w:rsidP="00F54966">
      <w:pPr>
        <w:pStyle w:val="Bullets"/>
      </w:pPr>
      <w:r w:rsidRPr="00FC417F">
        <w:t>Provide a brief overview of the study</w:t>
      </w:r>
    </w:p>
    <w:p w:rsidR="00F54966" w:rsidRPr="00FC417F" w:rsidRDefault="00F54966" w:rsidP="00F54966">
      <w:pPr>
        <w:pStyle w:val="Bullets"/>
      </w:pPr>
      <w:r w:rsidRPr="00FC417F">
        <w:t xml:space="preserve">Describe the need to find teacher pairs as a basic requirement of eligibility, and what </w:t>
      </w:r>
      <w:r>
        <w:t xml:space="preserve">the study team means </w:t>
      </w:r>
      <w:r w:rsidRPr="00FC417F">
        <w:t>by a teacher</w:t>
      </w:r>
      <w:r>
        <w:t xml:space="preserve"> pair</w:t>
      </w:r>
      <w:r w:rsidRPr="00FC417F">
        <w:t>.</w:t>
      </w:r>
    </w:p>
    <w:p w:rsidR="00F54966" w:rsidRPr="00FC417F" w:rsidRDefault="00F54966" w:rsidP="00F54966">
      <w:pPr>
        <w:pStyle w:val="Bullets"/>
      </w:pPr>
      <w:r w:rsidRPr="00FC417F">
        <w:t xml:space="preserve">Review the key data collection requirements for a participating school. </w:t>
      </w:r>
    </w:p>
    <w:p w:rsidR="00F54966" w:rsidRPr="00FC417F" w:rsidRDefault="00F54966" w:rsidP="00F54966">
      <w:pPr>
        <w:pStyle w:val="Bullets"/>
      </w:pPr>
      <w:r w:rsidRPr="00FC417F">
        <w:t xml:space="preserve">Note the study team’s efforts to minimize the burden </w:t>
      </w:r>
      <w:r>
        <w:t xml:space="preserve">to be </w:t>
      </w:r>
      <w:r w:rsidRPr="00FC417F">
        <w:t>place</w:t>
      </w:r>
      <w:r>
        <w:t>d</w:t>
      </w:r>
      <w:r w:rsidRPr="00FC417F">
        <w:t xml:space="preserve"> on schools and teachers.</w:t>
      </w:r>
    </w:p>
    <w:p w:rsidR="00F54966" w:rsidRDefault="00F54966" w:rsidP="00F54966">
      <w:pPr>
        <w:pStyle w:val="BulletsLast"/>
      </w:pPr>
      <w:r w:rsidRPr="00693726">
        <w:t xml:space="preserve">Assess questions or concerns, arrange for a visit if possible </w:t>
      </w:r>
    </w:p>
    <w:p w:rsidR="00F54966" w:rsidRPr="00693726" w:rsidRDefault="00F54966" w:rsidP="00F54966">
      <w:pPr>
        <w:pStyle w:val="BodyText"/>
        <w:rPr>
          <w:color w:val="000000"/>
        </w:rPr>
      </w:pPr>
      <w:r w:rsidRPr="00693726">
        <w:t xml:space="preserve">As noted, once interest and feasibility has been determined, the study team </w:t>
      </w:r>
      <w:r>
        <w:t xml:space="preserve">will </w:t>
      </w:r>
      <w:r w:rsidRPr="00693726">
        <w:t>schedule face-to-face meeting</w:t>
      </w:r>
      <w:r>
        <w:t>s</w:t>
      </w:r>
      <w:r w:rsidRPr="00693726">
        <w:t xml:space="preserve"> with the </w:t>
      </w:r>
      <w:r>
        <w:t>p</w:t>
      </w:r>
      <w:r w:rsidRPr="00693726">
        <w:t xml:space="preserve">rincipal and other decision-makers at the school. This meeting will be </w:t>
      </w:r>
      <w:r>
        <w:t>an opportunity t</w:t>
      </w:r>
      <w:r w:rsidRPr="00693726">
        <w:t>o discuss the study’</w:t>
      </w:r>
      <w:r w:rsidRPr="00693726">
        <w:rPr>
          <w:color w:val="000000"/>
        </w:rPr>
        <w:t>s eligibility requirements of matched treatment and control teacher</w:t>
      </w:r>
      <w:r>
        <w:rPr>
          <w:color w:val="000000"/>
        </w:rPr>
        <w:t xml:space="preserve"> pairs</w:t>
      </w:r>
      <w:r w:rsidRPr="00693726">
        <w:rPr>
          <w:color w:val="000000"/>
        </w:rPr>
        <w:t>, random assignment of students, data collection activities, and the study timeline. The desired outcome of these school meetings is evidence that there is a strong likelihood of having at least one matched</w:t>
      </w:r>
      <w:r>
        <w:rPr>
          <w:color w:val="000000"/>
        </w:rPr>
        <w:t xml:space="preserve"> teacher pair at the school </w:t>
      </w:r>
      <w:r w:rsidR="00F62C1A">
        <w:rPr>
          <w:color w:val="000000"/>
        </w:rPr>
        <w:t xml:space="preserve">for </w:t>
      </w:r>
      <w:r w:rsidR="000317B1">
        <w:rPr>
          <w:color w:val="000000"/>
        </w:rPr>
        <w:t>f</w:t>
      </w:r>
      <w:r w:rsidRPr="00693726">
        <w:rPr>
          <w:color w:val="000000"/>
        </w:rPr>
        <w:t>all 2012, and school administration agreement to participate in the study.</w:t>
      </w:r>
    </w:p>
    <w:p w:rsidR="00F54966" w:rsidRDefault="00F54966" w:rsidP="00F54966">
      <w:pPr>
        <w:pStyle w:val="BodyText"/>
        <w:rPr>
          <w:color w:val="000000"/>
        </w:rPr>
      </w:pPr>
      <w:r w:rsidRPr="00FC417F">
        <w:t xml:space="preserve">The </w:t>
      </w:r>
      <w:r>
        <w:t>next</w:t>
      </w:r>
      <w:r w:rsidRPr="00FC417F">
        <w:t xml:space="preserve"> step is to collect information on potential teacher pairs for the study. The </w:t>
      </w:r>
      <w:r>
        <w:rPr>
          <w:b/>
          <w:i/>
        </w:rPr>
        <w:t>Teacher Background Form</w:t>
      </w:r>
      <w:r w:rsidRPr="00FC417F">
        <w:rPr>
          <w:i/>
        </w:rPr>
        <w:t xml:space="preserve"> </w:t>
      </w:r>
      <w:r w:rsidRPr="00FC417F">
        <w:t xml:space="preserve">(see Appendix </w:t>
      </w:r>
      <w:r>
        <w:t>B</w:t>
      </w:r>
      <w:r w:rsidRPr="00FC417F">
        <w:t xml:space="preserve">) is a short paper </w:t>
      </w:r>
      <w:r>
        <w:t xml:space="preserve">questionnaire </w:t>
      </w:r>
      <w:r w:rsidRPr="00FC417F">
        <w:t xml:space="preserve">to </w:t>
      </w:r>
      <w:r w:rsidRPr="00FC417F">
        <w:rPr>
          <w:color w:val="000000"/>
        </w:rPr>
        <w:t xml:space="preserve">assess whether teacher pairs satisfy the eligibility criteria, including whether: 1) the candidate teacher is the lead teachers in </w:t>
      </w:r>
      <w:r w:rsidR="00F62C1A">
        <w:rPr>
          <w:color w:val="000000"/>
        </w:rPr>
        <w:t xml:space="preserve">a </w:t>
      </w:r>
      <w:r w:rsidRPr="00FC417F">
        <w:rPr>
          <w:color w:val="000000"/>
        </w:rPr>
        <w:t>self-contained elementary school classroom in the same grade and teach</w:t>
      </w:r>
      <w:r w:rsidR="00F62C1A">
        <w:rPr>
          <w:color w:val="000000"/>
        </w:rPr>
        <w:t>es</w:t>
      </w:r>
      <w:r w:rsidRPr="00FC417F">
        <w:rPr>
          <w:color w:val="000000"/>
        </w:rPr>
        <w:t xml:space="preserve"> both reading and math; 2) students in the teacher pair’s classrooms come from the same pool (e.g., all regular students); </w:t>
      </w:r>
      <w:r w:rsidRPr="00377DBC">
        <w:rPr>
          <w:color w:val="000000"/>
        </w:rPr>
        <w:t xml:space="preserve">3) </w:t>
      </w:r>
      <w:r>
        <w:rPr>
          <w:color w:val="000000"/>
        </w:rPr>
        <w:t>on</w:t>
      </w:r>
      <w:r w:rsidRPr="00ED08D0">
        <w:t>e</w:t>
      </w:r>
      <w:r>
        <w:t xml:space="preserve"> teacher (i.e., the “treatment” teacher)</w:t>
      </w:r>
      <w:r w:rsidRPr="00ED08D0">
        <w:t xml:space="preserve"> </w:t>
      </w:r>
      <w:r>
        <w:t xml:space="preserve">in the match has experienced intensive </w:t>
      </w:r>
      <w:r w:rsidRPr="00ED08D0">
        <w:t>clinical practice</w:t>
      </w:r>
      <w:r>
        <w:t xml:space="preserve"> as part of the preservice teacher preparation program that he/she chose to attend</w:t>
      </w:r>
      <w:r w:rsidRPr="00ED08D0">
        <w:t xml:space="preserve"> </w:t>
      </w:r>
      <w:r>
        <w:t>and graduated from within the past three years, while the other teacher (i.e., the “control” teacher”) has</w:t>
      </w:r>
      <w:r w:rsidRPr="00ED08D0">
        <w:t xml:space="preserve"> not </w:t>
      </w:r>
      <w:r>
        <w:t>had that same experience</w:t>
      </w:r>
      <w:r w:rsidRPr="00ED08D0">
        <w:t xml:space="preserve"> </w:t>
      </w:r>
      <w:r>
        <w:t>as part of the preservice teacher preparation program that he/she chose to attend and graduated from within the past three years</w:t>
      </w:r>
      <w:r w:rsidRPr="00ED08D0">
        <w:t>.</w:t>
      </w:r>
      <w:r w:rsidRPr="00377DBC">
        <w:rPr>
          <w:color w:val="000000"/>
        </w:rPr>
        <w:t xml:space="preserve"> To ascertain teacher eligibility, the </w:t>
      </w:r>
      <w:r>
        <w:rPr>
          <w:color w:val="000000"/>
        </w:rPr>
        <w:t>Teacher Background Form</w:t>
      </w:r>
      <w:r w:rsidRPr="00377DBC">
        <w:rPr>
          <w:color w:val="000000"/>
        </w:rPr>
        <w:t xml:space="preserve"> will include short questions that pertain to characteristics of teachers (e.g., experience) and their preparation programs, in particular, </w:t>
      </w:r>
      <w:r>
        <w:rPr>
          <w:color w:val="000000"/>
        </w:rPr>
        <w:t xml:space="preserve">to verify that teachers report having experienced the features of interest (for treatment teachers) or having not  (for control teachers) in the preservice teacher preparation programs they chose to attend.  Once the teacher background forms are completed and reviewed, determinations can be made about treatment/control teacher pairs within schools. </w:t>
      </w:r>
    </w:p>
    <w:p w:rsidR="00F54966" w:rsidRPr="00AF21B7" w:rsidRDefault="00F54966" w:rsidP="00F54966">
      <w:pPr>
        <w:pStyle w:val="BodyText"/>
        <w:rPr>
          <w:b/>
          <w:i/>
          <w:color w:val="000000"/>
        </w:rPr>
      </w:pPr>
      <w:r>
        <w:rPr>
          <w:b/>
          <w:i/>
          <w:color w:val="000000"/>
        </w:rPr>
        <w:t>Random Assignment</w:t>
      </w:r>
    </w:p>
    <w:p w:rsidR="00F54966" w:rsidRDefault="00F54966" w:rsidP="00F54966">
      <w:pPr>
        <w:pStyle w:val="BodyText"/>
        <w:rPr>
          <w:color w:val="000000"/>
        </w:rPr>
      </w:pPr>
      <w:r>
        <w:rPr>
          <w:color w:val="000000"/>
        </w:rPr>
        <w:t xml:space="preserve">The final step in the Phase I Recruitment and Random Assignment ICR is to collect student rosters to prepare for random assignment.  </w:t>
      </w:r>
      <w:r w:rsidRPr="0052784D">
        <w:t>Working</w:t>
      </w:r>
      <w:r>
        <w:t xml:space="preserve"> closely with schools having eligible teacher pairs, the study team will obtain rosters of students who will be taught by those teachers. Using the student lists, a well-developed randomization procedure will be used to assign students to the two teachers’ classrooms. Students will have an equal chance of being assigned to either of the teachers in the pair. In some schools, students are divided into groups (e.g., “houses”, “pods”, “families”, “academies”), and random assignment may be coordinated with the creation of such groups. As necessary, the study will accommodate a small number of exceptions to random assignment, such as students who must be paired with a particular teacher or separated from other specific students, or students who must be purposefully assigned to achieve gender balance across classrooms (often a consideration in elementary classrooms). </w:t>
      </w:r>
      <w:r>
        <w:rPr>
          <w:color w:val="000000"/>
        </w:rPr>
        <w:t xml:space="preserve">Because student enrollment will not be static, student rosters will be collected twice </w:t>
      </w:r>
      <w:r w:rsidR="00F62C1A">
        <w:rPr>
          <w:color w:val="000000"/>
        </w:rPr>
        <w:t xml:space="preserve">during </w:t>
      </w:r>
      <w:r>
        <w:rPr>
          <w:color w:val="000000"/>
        </w:rPr>
        <w:t>the first two weeks of school and random assignment will continue from spring 2012 through the second week of school in fall 2012.</w:t>
      </w:r>
    </w:p>
    <w:p w:rsidR="00F54966" w:rsidRPr="00FC417F" w:rsidRDefault="00F54966" w:rsidP="00F54966">
      <w:pPr>
        <w:pStyle w:val="BodyText"/>
        <w:rPr>
          <w:color w:val="000000"/>
        </w:rPr>
      </w:pPr>
      <w:r>
        <w:rPr>
          <w:color w:val="000000"/>
        </w:rPr>
        <w:t>The study plans to administer student achievement tests in fall 2012 and spring 2013 to measure changes in students’ achievement over the course of the year</w:t>
      </w:r>
      <w:r w:rsidR="00F62C1A">
        <w:rPr>
          <w:color w:val="000000"/>
        </w:rPr>
        <w:t xml:space="preserve">; this activity </w:t>
      </w:r>
      <w:r>
        <w:rPr>
          <w:color w:val="000000"/>
        </w:rPr>
        <w:t xml:space="preserve">will be discussed in more detail in the Phase II – Data Collection ICR.  To verify the equivalence of student proficiency in the two randomly assigned classrooms, the study will use the fall (pre) test scores to ensure there are no significant </w:t>
      </w:r>
      <w:r w:rsidR="00D77C19">
        <w:rPr>
          <w:color w:val="000000"/>
        </w:rPr>
        <w:t xml:space="preserve">baseline </w:t>
      </w:r>
      <w:r>
        <w:rPr>
          <w:color w:val="000000"/>
        </w:rPr>
        <w:t xml:space="preserve">differences in student ability in the participating classrooms.  Therefore, consent forms will be distributed to parents of students in classrooms of the teacher pairs in fall 2012 prior to the initial student achievement testing (Appendix B).  While final decisions about the student achievement measure will be made over the course of the study’s first year and will take into consideration those assessments that </w:t>
      </w:r>
      <w:r w:rsidRPr="0052784D">
        <w:t xml:space="preserve">can most effectively assess the skills related to </w:t>
      </w:r>
      <w:r>
        <w:t xml:space="preserve">clinical practice </w:t>
      </w:r>
      <w:r w:rsidRPr="0052784D">
        <w:t xml:space="preserve">program </w:t>
      </w:r>
      <w:r>
        <w:t xml:space="preserve">features, a potential option is </w:t>
      </w:r>
      <w:r w:rsidR="00F62C1A">
        <w:t>the SAT 10</w:t>
      </w:r>
      <w:r>
        <w:t>.</w:t>
      </w:r>
      <w:r>
        <w:rPr>
          <w:rStyle w:val="FootnoteReference"/>
        </w:rPr>
        <w:footnoteReference w:id="1"/>
      </w:r>
      <w:r w:rsidRPr="00D43556">
        <w:t xml:space="preserve"> </w:t>
      </w:r>
      <w:r>
        <w:t xml:space="preserve"> </w:t>
      </w:r>
      <w:r>
        <w:rPr>
          <w:color w:val="000000"/>
        </w:rPr>
        <w:t xml:space="preserve"> </w:t>
      </w:r>
    </w:p>
    <w:p w:rsidR="00AD44D0" w:rsidRDefault="00812189" w:rsidP="003B1B8C">
      <w:pPr>
        <w:pStyle w:val="BodyText"/>
      </w:pPr>
      <w:r>
        <w:t xml:space="preserve">The ability of a study to detect differences between the treatment and control groups depends, in large part, on sample sizes. </w:t>
      </w:r>
      <w:r w:rsidR="00AD44D0">
        <w:t xml:space="preserve">The study will consist of 100 </w:t>
      </w:r>
      <w:r w:rsidR="00997733" w:rsidRPr="001742D0">
        <w:t xml:space="preserve">“teacher pairs” </w:t>
      </w:r>
      <w:r w:rsidR="003A3A27">
        <w:t xml:space="preserve">(a total of 200 teachers) in </w:t>
      </w:r>
      <w:r w:rsidR="00090931">
        <w:t xml:space="preserve">approximately </w:t>
      </w:r>
      <w:r w:rsidR="003A3A27">
        <w:t>100 schools.</w:t>
      </w:r>
      <w:r w:rsidR="00DB0392">
        <w:t xml:space="preserve"> </w:t>
      </w:r>
      <w:r w:rsidR="00AD44D0">
        <w:t xml:space="preserve">Each teacher pair </w:t>
      </w:r>
      <w:r w:rsidR="003971D4">
        <w:t xml:space="preserve">consists of two teachers </w:t>
      </w:r>
      <w:r w:rsidR="00AD44D0">
        <w:t>who meet the following criteria</w:t>
      </w:r>
      <w:r w:rsidR="003A3A27">
        <w:t xml:space="preserve"> in the 2012-13 school year</w:t>
      </w:r>
      <w:r w:rsidR="00AD44D0">
        <w:t>:</w:t>
      </w:r>
    </w:p>
    <w:p w:rsidR="00F54966" w:rsidRDefault="00F54966" w:rsidP="00F54966">
      <w:pPr>
        <w:pStyle w:val="BodyText"/>
        <w:numPr>
          <w:ilvl w:val="0"/>
          <w:numId w:val="16"/>
        </w:numPr>
      </w:pPr>
      <w:r>
        <w:t>Both teachers are the lead teacher</w:t>
      </w:r>
      <w:r w:rsidR="00F62C1A">
        <w:t>s</w:t>
      </w:r>
      <w:r>
        <w:t xml:space="preserve"> in their respective classes and teach</w:t>
      </w:r>
      <w:r w:rsidRPr="006858E7">
        <w:t xml:space="preserve"> both</w:t>
      </w:r>
      <w:r>
        <w:t xml:space="preserve"> </w:t>
      </w:r>
      <w:r w:rsidRPr="00292026">
        <w:t>reading</w:t>
      </w:r>
      <w:r>
        <w:t xml:space="preserve"> and math to students in those classes. This is a typical self-contained elementary school classroom.</w:t>
      </w:r>
      <w:r>
        <w:rPr>
          <w:rStyle w:val="FootnoteReference"/>
        </w:rPr>
        <w:footnoteReference w:id="2"/>
      </w:r>
      <w:r>
        <w:t xml:space="preserve"> </w:t>
      </w:r>
    </w:p>
    <w:p w:rsidR="00F54966" w:rsidRDefault="00F54966" w:rsidP="00F54966">
      <w:pPr>
        <w:pStyle w:val="BodyText"/>
        <w:numPr>
          <w:ilvl w:val="0"/>
          <w:numId w:val="16"/>
        </w:numPr>
      </w:pPr>
      <w:r>
        <w:t xml:space="preserve">The students whom they are assigned come from the same “pool” (i.e., </w:t>
      </w:r>
      <w:r w:rsidRPr="00014B97">
        <w:t>general education students, or both teachers serve predominantly ELL students or students with disabilities</w:t>
      </w:r>
      <w:r>
        <w:t>)</w:t>
      </w:r>
      <w:r w:rsidRPr="00014B97">
        <w:t>.</w:t>
      </w:r>
      <w:r>
        <w:t xml:space="preserve"> </w:t>
      </w:r>
    </w:p>
    <w:p w:rsidR="00F54966" w:rsidRDefault="00F54966" w:rsidP="00F54966">
      <w:pPr>
        <w:pStyle w:val="BodyText"/>
        <w:numPr>
          <w:ilvl w:val="0"/>
          <w:numId w:val="16"/>
        </w:numPr>
      </w:pPr>
      <w:r>
        <w:t>O</w:t>
      </w:r>
      <w:r w:rsidRPr="00ED08D0">
        <w:t>ne</w:t>
      </w:r>
      <w:r>
        <w:t xml:space="preserve"> teacher (which the study calls the “treatment” teacher)</w:t>
      </w:r>
      <w:r w:rsidRPr="00ED08D0">
        <w:t xml:space="preserve"> </w:t>
      </w:r>
      <w:r>
        <w:t xml:space="preserve">will have experienced intensive </w:t>
      </w:r>
      <w:r w:rsidRPr="00ED08D0">
        <w:t>clinical practice</w:t>
      </w:r>
      <w:r>
        <w:t xml:space="preserve"> as part of their teacher preparation program from which they graduated within the past three years.  The other teacher (the “control” teacher) </w:t>
      </w:r>
      <w:r w:rsidRPr="00ED08D0">
        <w:t xml:space="preserve">will not have </w:t>
      </w:r>
      <w:r>
        <w:t>had that same experience</w:t>
      </w:r>
      <w:r w:rsidRPr="00ED08D0">
        <w:t xml:space="preserve"> </w:t>
      </w:r>
      <w:r>
        <w:t>as part of their preservice teacher preparation program from which they graduate</w:t>
      </w:r>
      <w:r w:rsidR="00F62C1A">
        <w:t>d</w:t>
      </w:r>
      <w:r>
        <w:t xml:space="preserve"> within the past three years</w:t>
      </w:r>
      <w:r w:rsidRPr="00ED08D0">
        <w:t>.</w:t>
      </w:r>
    </w:p>
    <w:p w:rsidR="00F54966" w:rsidRDefault="00997733" w:rsidP="007C6B3A">
      <w:pPr>
        <w:pStyle w:val="BodyText"/>
      </w:pPr>
      <w:r w:rsidRPr="001742D0">
        <w:t xml:space="preserve">Furthermore, it must be possible for researchers to randomly assign students between </w:t>
      </w:r>
      <w:r w:rsidR="003A3A27">
        <w:t>the teacher pair</w:t>
      </w:r>
      <w:r w:rsidRPr="001742D0">
        <w:t xml:space="preserve"> with no disruption to school scheduling procedures. Assuming each </w:t>
      </w:r>
      <w:r w:rsidR="003A3A27">
        <w:t xml:space="preserve">of the 200 </w:t>
      </w:r>
      <w:r w:rsidRPr="001742D0">
        <w:t>teacher</w:t>
      </w:r>
      <w:r w:rsidR="003A3A27">
        <w:t>s in the sample teaches a single</w:t>
      </w:r>
      <w:r w:rsidRPr="001742D0">
        <w:t xml:space="preserve"> class</w:t>
      </w:r>
      <w:r w:rsidR="003A3A27">
        <w:t xml:space="preserve"> of students</w:t>
      </w:r>
      <w:r w:rsidR="00090931">
        <w:t>,</w:t>
      </w:r>
      <w:r w:rsidRPr="001742D0">
        <w:t xml:space="preserve"> and assuming </w:t>
      </w:r>
      <w:r w:rsidR="001742D0" w:rsidRPr="001742D0">
        <w:t>25</w:t>
      </w:r>
      <w:r w:rsidRPr="001742D0">
        <w:t xml:space="preserve"> students per class, the study will include approximately </w:t>
      </w:r>
      <w:r w:rsidR="001742D0" w:rsidRPr="001742D0">
        <w:t>5</w:t>
      </w:r>
      <w:r w:rsidRPr="001742D0">
        <w:t>,000 students.</w:t>
      </w:r>
      <w:r>
        <w:t xml:space="preserve"> </w:t>
      </w:r>
      <w:r w:rsidR="00064A68">
        <w:t>Based on experiences in two similar studies, IES believes that i</w:t>
      </w:r>
      <w:r w:rsidR="00AB1DD3">
        <w:t>dentifying and recruiting these teachers</w:t>
      </w:r>
      <w:r w:rsidR="00AB1DD3" w:rsidRPr="001742D0">
        <w:t xml:space="preserve"> may require </w:t>
      </w:r>
      <w:r w:rsidR="00AB1DD3">
        <w:t>the study team</w:t>
      </w:r>
      <w:r w:rsidR="00AB1DD3" w:rsidRPr="001742D0">
        <w:t xml:space="preserve"> to contact and screen as many as 100 teacher preparation programs and 1,000 schools in 10 states.</w:t>
      </w:r>
      <w:r w:rsidR="00AB1DD3">
        <w:t xml:space="preserve"> </w:t>
      </w:r>
      <w:r w:rsidR="00064A68">
        <w:rPr>
          <w:rStyle w:val="FootnoteReference"/>
        </w:rPr>
        <w:footnoteReference w:id="3"/>
      </w:r>
    </w:p>
    <w:p w:rsidR="00A17045" w:rsidRDefault="00CE02F4" w:rsidP="00CE02F4">
      <w:pPr>
        <w:pStyle w:val="Heading2"/>
      </w:pPr>
      <w:bookmarkStart w:id="4" w:name="_Toc307840504"/>
      <w:r>
        <w:t>Statistical Methods for Sample Selection and Degree of Accuracy Needed</w:t>
      </w:r>
      <w:bookmarkEnd w:id="4"/>
    </w:p>
    <w:p w:rsidR="00CE02F4" w:rsidRDefault="00CE02F4" w:rsidP="00CE02F4">
      <w:pPr>
        <w:pStyle w:val="Heading3"/>
      </w:pPr>
      <w:bookmarkStart w:id="5" w:name="_Toc307840505"/>
      <w:r>
        <w:t>Sample Selection</w:t>
      </w:r>
      <w:bookmarkEnd w:id="5"/>
    </w:p>
    <w:p w:rsidR="0037181B" w:rsidRDefault="00106830" w:rsidP="0037181B">
      <w:pPr>
        <w:pStyle w:val="BodyText"/>
      </w:pPr>
      <w:r>
        <w:t>R</w:t>
      </w:r>
      <w:r w:rsidR="0037181B">
        <w:t xml:space="preserve">andom sampling is not feasible because </w:t>
      </w:r>
      <w:r w:rsidR="00A75698">
        <w:t>1) no sampling frame exists</w:t>
      </w:r>
      <w:r w:rsidR="00E04EAE">
        <w:t>,</w:t>
      </w:r>
      <w:r w:rsidR="00A75698">
        <w:t xml:space="preserve"> and 2) t</w:t>
      </w:r>
      <w:r w:rsidR="0037181B">
        <w:t xml:space="preserve">he </w:t>
      </w:r>
      <w:r w:rsidR="00053720">
        <w:t>study</w:t>
      </w:r>
      <w:r w:rsidR="0037181B">
        <w:t xml:space="preserve"> will necessarily and exclusively be limited to schools with eligible teacher matches. Thus, </w:t>
      </w:r>
      <w:r w:rsidR="00A75698">
        <w:t>the study team</w:t>
      </w:r>
      <w:r w:rsidR="0037181B">
        <w:t xml:space="preserve"> propose</w:t>
      </w:r>
      <w:r w:rsidR="00A75698">
        <w:t>s</w:t>
      </w:r>
      <w:r w:rsidR="0037181B">
        <w:t xml:space="preserve"> to </w:t>
      </w:r>
      <w:r w:rsidR="00F54966">
        <w:t xml:space="preserve">create </w:t>
      </w:r>
      <w:r w:rsidR="0037181B">
        <w:t xml:space="preserve">a purposive sample designed to meet the specified statistical standard of precision. As described above, </w:t>
      </w:r>
      <w:r w:rsidR="00AB1DD3">
        <w:t>the results w</w:t>
      </w:r>
      <w:r w:rsidR="00F54966">
        <w:t xml:space="preserve">ill </w:t>
      </w:r>
      <w:r w:rsidR="00AB1DD3">
        <w:t xml:space="preserve">be valid estimates of the </w:t>
      </w:r>
      <w:r w:rsidR="000D137F">
        <w:t xml:space="preserve">effect </w:t>
      </w:r>
      <w:r w:rsidR="00AB1DD3">
        <w:t>of the teachers who met the eligibility criteria</w:t>
      </w:r>
      <w:r w:rsidR="00AB1DD3" w:rsidRPr="0008079E">
        <w:t xml:space="preserve">. The </w:t>
      </w:r>
      <w:r w:rsidR="00A75698" w:rsidRPr="0008079E">
        <w:t xml:space="preserve">results will not be </w:t>
      </w:r>
      <w:r w:rsidR="00AB1DD3" w:rsidRPr="0008079E">
        <w:t xml:space="preserve">formally </w:t>
      </w:r>
      <w:r w:rsidR="00E04EAE" w:rsidRPr="0008079E">
        <w:t>generalizable</w:t>
      </w:r>
      <w:r w:rsidR="00A75698" w:rsidRPr="0008079E">
        <w:t xml:space="preserve"> to the universe of elementary grade </w:t>
      </w:r>
      <w:r w:rsidR="0037181B" w:rsidRPr="0008079E">
        <w:t xml:space="preserve">teachers </w:t>
      </w:r>
      <w:r w:rsidR="00AB1DD3" w:rsidRPr="0008079E">
        <w:t xml:space="preserve">who </w:t>
      </w:r>
      <w:r w:rsidR="0069551E">
        <w:t>experienced intensive clinical practice as part of the preservice teacher pre</w:t>
      </w:r>
      <w:r w:rsidR="00F54966">
        <w:t>paration program that they choose</w:t>
      </w:r>
      <w:r w:rsidR="00064A68">
        <w:t>.</w:t>
      </w:r>
      <w:r w:rsidR="00AB1DD3">
        <w:t xml:space="preserve"> </w:t>
      </w:r>
      <w:r w:rsidR="00A75698">
        <w:t>T</w:t>
      </w:r>
      <w:r w:rsidR="0037181B">
        <w:t>his section</w:t>
      </w:r>
      <w:r w:rsidR="00A75698">
        <w:t xml:space="preserve"> describes</w:t>
      </w:r>
      <w:r w:rsidR="0037181B">
        <w:t xml:space="preserve"> in detail how the sample will be drawn</w:t>
      </w:r>
      <w:r w:rsidR="00C04211">
        <w:t xml:space="preserve"> and provides</w:t>
      </w:r>
      <w:r w:rsidR="0037181B">
        <w:t xml:space="preserve"> </w:t>
      </w:r>
      <w:r w:rsidR="00C04211">
        <w:t xml:space="preserve">a summary of </w:t>
      </w:r>
      <w:r w:rsidR="00D35473" w:rsidRPr="00400727">
        <w:rPr>
          <w:i/>
        </w:rPr>
        <w:t xml:space="preserve">Phase I </w:t>
      </w:r>
      <w:r w:rsidR="00C04211" w:rsidRPr="00400727">
        <w:rPr>
          <w:i/>
        </w:rPr>
        <w:t>–</w:t>
      </w:r>
      <w:r w:rsidR="00D35473" w:rsidRPr="00400727">
        <w:rPr>
          <w:i/>
        </w:rPr>
        <w:t xml:space="preserve"> Recruitment</w:t>
      </w:r>
      <w:r w:rsidR="00C04211">
        <w:t xml:space="preserve"> </w:t>
      </w:r>
      <w:r w:rsidR="00284E3C">
        <w:t xml:space="preserve">and Random Assignment </w:t>
      </w:r>
      <w:r w:rsidR="00C04211">
        <w:t>that is further detailed in Part A of this Supporting Statement</w:t>
      </w:r>
      <w:r w:rsidR="0037181B">
        <w:t xml:space="preserve">. </w:t>
      </w:r>
    </w:p>
    <w:p w:rsidR="0037181B" w:rsidRDefault="0037181B" w:rsidP="00C2759C">
      <w:pPr>
        <w:pStyle w:val="Bullets"/>
      </w:pPr>
      <w:r w:rsidRPr="00D35473">
        <w:rPr>
          <w:b/>
        </w:rPr>
        <w:t>Selection of States.</w:t>
      </w:r>
      <w:r>
        <w:t xml:space="preserve"> </w:t>
      </w:r>
      <w:r w:rsidR="00A75698">
        <w:t xml:space="preserve">States </w:t>
      </w:r>
      <w:r w:rsidR="00F54966">
        <w:t>will be</w:t>
      </w:r>
      <w:r w:rsidR="00A75698">
        <w:t xml:space="preserve"> identified purposively based on where the study team is most likely and most efficiently able to recruit eligible teacher pairs for the </w:t>
      </w:r>
      <w:r w:rsidR="00053720">
        <w:t>study</w:t>
      </w:r>
      <w:r w:rsidR="00A75698">
        <w:t>.</w:t>
      </w:r>
      <w:r w:rsidR="00DB0392">
        <w:t xml:space="preserve"> </w:t>
      </w:r>
      <w:r w:rsidR="00F54966">
        <w:t>S</w:t>
      </w:r>
      <w:r w:rsidR="00A75698">
        <w:t xml:space="preserve">tates will not be </w:t>
      </w:r>
      <w:r>
        <w:t>randomly chose</w:t>
      </w:r>
      <w:r w:rsidR="00A75698">
        <w:t>n.</w:t>
      </w:r>
      <w:r w:rsidR="00DB0392">
        <w:t xml:space="preserve"> </w:t>
      </w:r>
      <w:r>
        <w:t xml:space="preserve">Instead, </w:t>
      </w:r>
      <w:r w:rsidR="00A75698">
        <w:t xml:space="preserve">recruitment </w:t>
      </w:r>
      <w:r>
        <w:t>will</w:t>
      </w:r>
      <w:r w:rsidRPr="001675E3">
        <w:t xml:space="preserve"> focus </w:t>
      </w:r>
      <w:r>
        <w:t>on large states with large districts</w:t>
      </w:r>
      <w:r w:rsidR="00A75698">
        <w:t>,</w:t>
      </w:r>
      <w:r>
        <w:t xml:space="preserve"> which in turn w</w:t>
      </w:r>
      <w:r w:rsidR="00F54966">
        <w:t xml:space="preserve">ill </w:t>
      </w:r>
      <w:r>
        <w:t>have</w:t>
      </w:r>
      <w:r w:rsidRPr="001675E3">
        <w:t xml:space="preserve"> large </w:t>
      </w:r>
      <w:r>
        <w:t>schools</w:t>
      </w:r>
      <w:r w:rsidR="00A75698">
        <w:t>, in order to</w:t>
      </w:r>
      <w:r w:rsidRPr="001675E3">
        <w:t xml:space="preserve"> maximize the chance of finding teacher matches and efficiently utilize the study’s resources</w:t>
      </w:r>
      <w:r>
        <w:t>.</w:t>
      </w:r>
    </w:p>
    <w:p w:rsidR="00F54966" w:rsidRDefault="00F22D9E" w:rsidP="00C2759C">
      <w:pPr>
        <w:pStyle w:val="Bullets"/>
      </w:pPr>
      <w:r w:rsidRPr="00F54966">
        <w:rPr>
          <w:b/>
        </w:rPr>
        <w:t>Selection of Teacher Preparation Programs</w:t>
      </w:r>
      <w:r w:rsidR="0037181B" w:rsidRPr="00D35473">
        <w:t xml:space="preserve">. </w:t>
      </w:r>
      <w:r>
        <w:t xml:space="preserve">The study team will collect extant data </w:t>
      </w:r>
      <w:r w:rsidR="008B5E70">
        <w:t xml:space="preserve">for all </w:t>
      </w:r>
      <w:r>
        <w:t>university-based programs in study states</w:t>
      </w:r>
      <w:r w:rsidR="00F54966">
        <w:t>. T</w:t>
      </w:r>
      <w:r>
        <w:t xml:space="preserve">he study team </w:t>
      </w:r>
      <w:r w:rsidR="00F54966">
        <w:t xml:space="preserve">then </w:t>
      </w:r>
      <w:r>
        <w:t xml:space="preserve">will identify programs with </w:t>
      </w:r>
      <w:r w:rsidR="00106830">
        <w:t xml:space="preserve">the </w:t>
      </w:r>
      <w:r w:rsidR="00F54966">
        <w:t xml:space="preserve">specified </w:t>
      </w:r>
      <w:r w:rsidR="00106830">
        <w:t>clinical experience features</w:t>
      </w:r>
      <w:r w:rsidR="00F54966">
        <w:t xml:space="preserve">, </w:t>
      </w:r>
      <w:r>
        <w:t xml:space="preserve">and </w:t>
      </w:r>
      <w:r w:rsidR="008B5E70">
        <w:t xml:space="preserve">call program administrators to </w:t>
      </w:r>
      <w:r>
        <w:t>verify the universality and maturity of those features.</w:t>
      </w:r>
      <w:r w:rsidR="00DB0392">
        <w:t xml:space="preserve"> </w:t>
      </w:r>
      <w:r>
        <w:t xml:space="preserve">Additionally, </w:t>
      </w:r>
      <w:r w:rsidR="00400727">
        <w:t xml:space="preserve">the calls </w:t>
      </w:r>
      <w:r>
        <w:t xml:space="preserve">may </w:t>
      </w:r>
      <w:r w:rsidR="008B5E70">
        <w:t xml:space="preserve">yield </w:t>
      </w:r>
      <w:r>
        <w:t xml:space="preserve">information about the relationships that programs </w:t>
      </w:r>
      <w:r w:rsidR="00E04EAE">
        <w:t xml:space="preserve">with </w:t>
      </w:r>
      <w:r w:rsidR="00106830">
        <w:t xml:space="preserve">the targeted </w:t>
      </w:r>
      <w:r w:rsidR="00E04EAE">
        <w:t xml:space="preserve">features </w:t>
      </w:r>
      <w:r>
        <w:t>have with hiring districts.</w:t>
      </w:r>
      <w:r w:rsidR="00DB0392">
        <w:t xml:space="preserve"> </w:t>
      </w:r>
    </w:p>
    <w:p w:rsidR="00BD6B0A" w:rsidRDefault="00F22D9E" w:rsidP="00C2759C">
      <w:pPr>
        <w:pStyle w:val="Bullets"/>
      </w:pPr>
      <w:r w:rsidRPr="00F54966">
        <w:rPr>
          <w:b/>
        </w:rPr>
        <w:t xml:space="preserve">Selection of </w:t>
      </w:r>
      <w:r w:rsidR="00F86991" w:rsidRPr="00F54966">
        <w:rPr>
          <w:b/>
        </w:rPr>
        <w:t>Districts</w:t>
      </w:r>
      <w:r w:rsidRPr="00F54966">
        <w:rPr>
          <w:b/>
        </w:rPr>
        <w:t>.</w:t>
      </w:r>
      <w:r w:rsidR="00DB0392" w:rsidRPr="00F54966">
        <w:rPr>
          <w:b/>
        </w:rPr>
        <w:t xml:space="preserve"> </w:t>
      </w:r>
      <w:r w:rsidRPr="00D35473">
        <w:t>The goal of district recruitment is to secure permission to conduct th</w:t>
      </w:r>
      <w:r w:rsidRPr="00913972">
        <w:t xml:space="preserve">e study and to obtain authorization to contact schools about </w:t>
      </w:r>
      <w:r w:rsidR="00BD6B0A">
        <w:t xml:space="preserve">the </w:t>
      </w:r>
      <w:r w:rsidRPr="00913972">
        <w:t xml:space="preserve">study. </w:t>
      </w:r>
      <w:r w:rsidR="00F54966">
        <w:t xml:space="preserve">Districts will not be randomly selected. </w:t>
      </w:r>
      <w:r w:rsidRPr="00215D7F">
        <w:t xml:space="preserve">The study </w:t>
      </w:r>
      <w:r>
        <w:t xml:space="preserve">team will prioritize recruitment efforts by identifying from </w:t>
      </w:r>
      <w:r w:rsidR="00400727">
        <w:t xml:space="preserve">extant data </w:t>
      </w:r>
      <w:r w:rsidR="00F54966">
        <w:t xml:space="preserve">the </w:t>
      </w:r>
      <w:r w:rsidR="00BD6B0A">
        <w:t xml:space="preserve">relationships </w:t>
      </w:r>
      <w:r w:rsidR="000E1779">
        <w:t xml:space="preserve">teacher preparation program </w:t>
      </w:r>
      <w:r w:rsidR="00BD6B0A">
        <w:t xml:space="preserve">have with </w:t>
      </w:r>
      <w:r>
        <w:t xml:space="preserve">hiring districts </w:t>
      </w:r>
      <w:r w:rsidR="00F54966">
        <w:t xml:space="preserve">(confirmed by calls with district administrators) </w:t>
      </w:r>
      <w:r>
        <w:t>and by cross-referencing information about teacher preparation programs that have graduated a large enough number of teachers and the names of districts that have hired and are likely to hire 20 or more elementary grade teachers per year.</w:t>
      </w:r>
      <w:r w:rsidR="00DB0392">
        <w:t xml:space="preserve"> </w:t>
      </w:r>
      <w:r w:rsidR="00BD6B0A">
        <w:t>S</w:t>
      </w:r>
      <w:r>
        <w:t xml:space="preserve">chool districts will be </w:t>
      </w:r>
      <w:r w:rsidR="00BD6B0A">
        <w:t>identified b</w:t>
      </w:r>
      <w:r>
        <w:t xml:space="preserve">ased on where the study is most likely and most efficiently able to recruit eligible teacher pairs for the </w:t>
      </w:r>
      <w:r w:rsidR="00053720">
        <w:t>study</w:t>
      </w:r>
      <w:r>
        <w:t>.</w:t>
      </w:r>
      <w:r w:rsidR="00DB0392">
        <w:t xml:space="preserve"> </w:t>
      </w:r>
    </w:p>
    <w:p w:rsidR="00AF2D12" w:rsidRPr="007821FC" w:rsidRDefault="00AF2D12" w:rsidP="00472B7B">
      <w:pPr>
        <w:pStyle w:val="Bullets"/>
        <w:numPr>
          <w:ilvl w:val="0"/>
          <w:numId w:val="0"/>
        </w:numPr>
        <w:ind w:left="360"/>
      </w:pPr>
      <w:r>
        <w:t xml:space="preserve">Once study districts are identified, superintendents in the targeted districts will </w:t>
      </w:r>
      <w:r w:rsidR="00BD6B0A">
        <w:t xml:space="preserve">receive a </w:t>
      </w:r>
      <w:r w:rsidR="00E04EAE">
        <w:t xml:space="preserve">letter from ED </w:t>
      </w:r>
      <w:r>
        <w:t>encourag</w:t>
      </w:r>
      <w:r w:rsidR="00BD6B0A">
        <w:t>ing them</w:t>
      </w:r>
      <w:r>
        <w:t xml:space="preserve"> to </w:t>
      </w:r>
      <w:r w:rsidR="00BD6B0A">
        <w:t xml:space="preserve">work </w:t>
      </w:r>
      <w:r>
        <w:t xml:space="preserve">with the study team and </w:t>
      </w:r>
      <w:r w:rsidR="00BD6B0A">
        <w:t xml:space="preserve">providing information about contacting the </w:t>
      </w:r>
      <w:r>
        <w:t>study</w:t>
      </w:r>
      <w:r w:rsidR="00E04EAE">
        <w:t xml:space="preserve"> team </w:t>
      </w:r>
      <w:r w:rsidR="00BD6B0A">
        <w:t>along with a</w:t>
      </w:r>
      <w:r w:rsidR="00E04EAE">
        <w:t xml:space="preserve"> study fact sheet</w:t>
      </w:r>
      <w:r>
        <w:t>.</w:t>
      </w:r>
      <w:r w:rsidR="00DB0392">
        <w:t xml:space="preserve"> </w:t>
      </w:r>
      <w:r w:rsidR="00BD6B0A">
        <w:t>F</w:t>
      </w:r>
      <w:r>
        <w:t>ollowing the mailings, s</w:t>
      </w:r>
      <w:r w:rsidRPr="00E433D6">
        <w:t>enior</w:t>
      </w:r>
      <w:r>
        <w:t xml:space="preserve"> study staff will conduct the initial telephone outreach and negotiations with school district staff. If</w:t>
      </w:r>
      <w:r w:rsidR="005A24F3">
        <w:t xml:space="preserve"> districts have processes for study approval, </w:t>
      </w:r>
      <w:r>
        <w:t xml:space="preserve">the study team may </w:t>
      </w:r>
      <w:r w:rsidR="00BD6B0A">
        <w:t xml:space="preserve">need to </w:t>
      </w:r>
      <w:r>
        <w:t xml:space="preserve">submit formal research applications or conduct in-person meetings and </w:t>
      </w:r>
      <w:r w:rsidR="00494562">
        <w:t>presentations with the district</w:t>
      </w:r>
      <w:r>
        <w:t>.</w:t>
      </w:r>
      <w:r>
        <w:rPr>
          <w:rStyle w:val="FootnoteReference"/>
        </w:rPr>
        <w:footnoteReference w:id="4"/>
      </w:r>
    </w:p>
    <w:p w:rsidR="00AF2D12" w:rsidRPr="00AF2D12" w:rsidRDefault="00AF2D12" w:rsidP="00C2759C">
      <w:pPr>
        <w:pStyle w:val="Bullets"/>
        <w:rPr>
          <w:szCs w:val="24"/>
        </w:rPr>
      </w:pPr>
      <w:r w:rsidRPr="00D35473">
        <w:rPr>
          <w:b/>
        </w:rPr>
        <w:t xml:space="preserve">Selection of </w:t>
      </w:r>
      <w:r w:rsidR="00F86991">
        <w:rPr>
          <w:b/>
        </w:rPr>
        <w:t>Sc</w:t>
      </w:r>
      <w:r w:rsidRPr="00D35473">
        <w:rPr>
          <w:b/>
        </w:rPr>
        <w:t>hools.</w:t>
      </w:r>
      <w:r w:rsidRPr="00D35473">
        <w:t xml:space="preserve"> Once district</w:t>
      </w:r>
      <w:r>
        <w:t xml:space="preserve"> approval is obtained</w:t>
      </w:r>
      <w:r w:rsidR="0037181B">
        <w:t xml:space="preserve">, </w:t>
      </w:r>
      <w:r>
        <w:t xml:space="preserve">the study team </w:t>
      </w:r>
      <w:r w:rsidR="0037181B">
        <w:t>will contact sch</w:t>
      </w:r>
      <w:r w:rsidR="00494562">
        <w:t xml:space="preserve">ools to determine if they </w:t>
      </w:r>
      <w:r w:rsidR="0037181B">
        <w:t xml:space="preserve">anticipate having at least one eligible </w:t>
      </w:r>
      <w:r w:rsidR="0008079E">
        <w:t xml:space="preserve">pair of </w:t>
      </w:r>
      <w:r w:rsidR="0037181B">
        <w:t>“teacher ma</w:t>
      </w:r>
      <w:r>
        <w:t>tch</w:t>
      </w:r>
      <w:r w:rsidR="0008079E">
        <w:t>es</w:t>
      </w:r>
      <w:r>
        <w:t>” in the 2012-13 school year</w:t>
      </w:r>
      <w:r w:rsidR="00BD6B0A">
        <w:t>. S</w:t>
      </w:r>
      <w:r w:rsidR="00494562">
        <w:t xml:space="preserve">chools </w:t>
      </w:r>
      <w:r>
        <w:t xml:space="preserve">will be selected </w:t>
      </w:r>
      <w:r w:rsidR="000E1779">
        <w:t xml:space="preserve">purposively </w:t>
      </w:r>
      <w:r>
        <w:t xml:space="preserve">based on their likelihood of having an eligible teacher pair and the feasibility of the study </w:t>
      </w:r>
      <w:r w:rsidR="005A24F3">
        <w:t>procedures</w:t>
      </w:r>
      <w:r>
        <w:t>.</w:t>
      </w:r>
      <w:r w:rsidR="00DB0392">
        <w:t xml:space="preserve"> </w:t>
      </w:r>
      <w:r>
        <w:t xml:space="preserve">Once study schools are identified and districts have </w:t>
      </w:r>
      <w:r w:rsidR="005A24F3">
        <w:t>given</w:t>
      </w:r>
      <w:r>
        <w:t xml:space="preserve"> permission, principals in th</w:t>
      </w:r>
      <w:r w:rsidR="00BD6B0A">
        <w:t xml:space="preserve">ose </w:t>
      </w:r>
      <w:r>
        <w:t xml:space="preserve">schools will </w:t>
      </w:r>
      <w:r w:rsidR="00BD6B0A">
        <w:t xml:space="preserve">receive a </w:t>
      </w:r>
      <w:r w:rsidR="00494562">
        <w:t>letter from ED</w:t>
      </w:r>
      <w:r w:rsidR="00BD6B0A">
        <w:t xml:space="preserve"> including facts about the study and how to contact the </w:t>
      </w:r>
      <w:r>
        <w:t>study tea</w:t>
      </w:r>
      <w:r w:rsidR="00494562">
        <w:t>m</w:t>
      </w:r>
      <w:r>
        <w:t xml:space="preserve">. The </w:t>
      </w:r>
      <w:r w:rsidR="00BD6B0A">
        <w:t xml:space="preserve">team then will call the </w:t>
      </w:r>
      <w:r>
        <w:t>school principal</w:t>
      </w:r>
      <w:r w:rsidR="0008079E">
        <w:t>s</w:t>
      </w:r>
      <w:r>
        <w:t xml:space="preserve"> to provide additional information about the study, answer questions and determine interest in and feasibility of participation. Once interest and feasibility have been determined </w:t>
      </w:r>
      <w:r w:rsidR="008265DD">
        <w:t>during</w:t>
      </w:r>
      <w:r>
        <w:t xml:space="preserve"> the introductory phone call, the study team will schedule an in-person meeting with </w:t>
      </w:r>
      <w:r w:rsidR="0008079E">
        <w:t xml:space="preserve">each potential </w:t>
      </w:r>
      <w:r>
        <w:t>school principal and other appropriate school staff</w:t>
      </w:r>
      <w:r w:rsidR="00BD6B0A">
        <w:t xml:space="preserve"> to </w:t>
      </w:r>
      <w:r>
        <w:t>discuss the study’</w:t>
      </w:r>
      <w:r w:rsidRPr="00AF2D12">
        <w:rPr>
          <w:color w:val="000000"/>
          <w:szCs w:val="22"/>
        </w:rPr>
        <w:t>s eligibility requirements of matched treatment and control teachers, random assignment of students, data collection activities, and timeline</w:t>
      </w:r>
      <w:r>
        <w:rPr>
          <w:color w:val="000000"/>
          <w:szCs w:val="22"/>
        </w:rPr>
        <w:t>, as well as to verify</w:t>
      </w:r>
      <w:r w:rsidRPr="00AF2D12">
        <w:rPr>
          <w:color w:val="000000"/>
          <w:szCs w:val="22"/>
        </w:rPr>
        <w:t xml:space="preserve"> that schools have hired teachers from the selected preparation programs within the past t</w:t>
      </w:r>
      <w:r w:rsidR="0047375E">
        <w:rPr>
          <w:color w:val="000000"/>
          <w:szCs w:val="22"/>
        </w:rPr>
        <w:t xml:space="preserve">wo years and/or plan to do so for the 2012-13 school </w:t>
      </w:r>
      <w:r w:rsidRPr="00AF2D12">
        <w:rPr>
          <w:color w:val="000000"/>
          <w:szCs w:val="22"/>
        </w:rPr>
        <w:t xml:space="preserve">year. </w:t>
      </w:r>
    </w:p>
    <w:p w:rsidR="00B9252F" w:rsidRPr="00250772" w:rsidRDefault="00AF2D12" w:rsidP="00C2759C">
      <w:pPr>
        <w:pStyle w:val="Bullets"/>
      </w:pPr>
      <w:r w:rsidRPr="00472B7B">
        <w:rPr>
          <w:b/>
        </w:rPr>
        <w:t xml:space="preserve">Selection of </w:t>
      </w:r>
      <w:r w:rsidR="00F86991" w:rsidRPr="00472B7B">
        <w:rPr>
          <w:b/>
        </w:rPr>
        <w:t>T</w:t>
      </w:r>
      <w:r w:rsidRPr="00472B7B">
        <w:rPr>
          <w:b/>
        </w:rPr>
        <w:t>eachers.</w:t>
      </w:r>
      <w:r w:rsidR="00DB0392" w:rsidRPr="00472B7B">
        <w:rPr>
          <w:b/>
        </w:rPr>
        <w:t xml:space="preserve"> </w:t>
      </w:r>
      <w:r w:rsidRPr="00D35473">
        <w:t>Once</w:t>
      </w:r>
      <w:r>
        <w:t xml:space="preserve"> </w:t>
      </w:r>
      <w:r w:rsidR="0047375E">
        <w:t>a</w:t>
      </w:r>
      <w:r>
        <w:t xml:space="preserve"> school has granted permission for the study, the study team will </w:t>
      </w:r>
      <w:r w:rsidR="00B9252F" w:rsidRPr="00472B7B">
        <w:rPr>
          <w:szCs w:val="24"/>
        </w:rPr>
        <w:t xml:space="preserve">initiate a process to identify </w:t>
      </w:r>
      <w:r w:rsidR="00472B7B" w:rsidRPr="00472B7B">
        <w:rPr>
          <w:szCs w:val="24"/>
        </w:rPr>
        <w:t xml:space="preserve">eligible </w:t>
      </w:r>
      <w:r w:rsidR="00B9252F" w:rsidRPr="00472B7B">
        <w:rPr>
          <w:szCs w:val="24"/>
        </w:rPr>
        <w:t>teacher pairs. Eligibility</w:t>
      </w:r>
      <w:r w:rsidR="0047375E">
        <w:rPr>
          <w:szCs w:val="24"/>
        </w:rPr>
        <w:t xml:space="preserve"> criteria</w:t>
      </w:r>
      <w:r w:rsidR="00472B7B" w:rsidRPr="00472B7B">
        <w:rPr>
          <w:szCs w:val="24"/>
        </w:rPr>
        <w:t xml:space="preserve"> </w:t>
      </w:r>
      <w:r w:rsidR="00B9252F" w:rsidRPr="00472B7B">
        <w:rPr>
          <w:szCs w:val="24"/>
        </w:rPr>
        <w:t xml:space="preserve">for inclusion in a teacher </w:t>
      </w:r>
      <w:r w:rsidRPr="00472B7B">
        <w:rPr>
          <w:szCs w:val="24"/>
        </w:rPr>
        <w:t>pair</w:t>
      </w:r>
      <w:r w:rsidR="00B9252F" w:rsidRPr="00472B7B">
        <w:rPr>
          <w:szCs w:val="24"/>
        </w:rPr>
        <w:t xml:space="preserve"> are </w:t>
      </w:r>
      <w:r w:rsidR="00472B7B" w:rsidRPr="00472B7B">
        <w:rPr>
          <w:szCs w:val="24"/>
        </w:rPr>
        <w:t>delineated above</w:t>
      </w:r>
      <w:r w:rsidR="00472B7B">
        <w:rPr>
          <w:szCs w:val="24"/>
        </w:rPr>
        <w:t xml:space="preserve"> in Part B.1 and in Part A of this Supporting Statement</w:t>
      </w:r>
      <w:r w:rsidR="00472B7B" w:rsidRPr="00472B7B">
        <w:rPr>
          <w:szCs w:val="24"/>
        </w:rPr>
        <w:t>.</w:t>
      </w:r>
      <w:r w:rsidR="00472B7B">
        <w:rPr>
          <w:szCs w:val="24"/>
        </w:rPr>
        <w:t xml:space="preserve">  </w:t>
      </w:r>
      <w:r w:rsidR="00030264">
        <w:t xml:space="preserve">Teacher (pair) eligibility will be determined using a short </w:t>
      </w:r>
      <w:r w:rsidR="0047375E">
        <w:t>background form</w:t>
      </w:r>
      <w:r w:rsidR="00030264">
        <w:t>.</w:t>
      </w:r>
      <w:r w:rsidR="00DB0392">
        <w:t xml:space="preserve"> </w:t>
      </w:r>
      <w:r w:rsidR="00030264">
        <w:t xml:space="preserve">In each school, the study team will include as many eligible teacher pairs as possible to </w:t>
      </w:r>
      <w:r w:rsidR="00BD6B0A">
        <w:t xml:space="preserve">reduce costs and </w:t>
      </w:r>
      <w:r w:rsidR="00030264">
        <w:t xml:space="preserve">maximize the </w:t>
      </w:r>
      <w:r w:rsidR="00BD6B0A">
        <w:t xml:space="preserve">efficiency of the </w:t>
      </w:r>
      <w:r w:rsidR="00030264">
        <w:t>study.</w:t>
      </w:r>
    </w:p>
    <w:p w:rsidR="0037181B" w:rsidRDefault="0037181B" w:rsidP="00C2759C">
      <w:pPr>
        <w:pStyle w:val="BulletsLast"/>
      </w:pPr>
      <w:r w:rsidRPr="00D35473">
        <w:rPr>
          <w:b/>
        </w:rPr>
        <w:t>Selection of Students</w:t>
      </w:r>
      <w:r w:rsidR="00030264" w:rsidRPr="00D35473">
        <w:rPr>
          <w:b/>
        </w:rPr>
        <w:t>.</w:t>
      </w:r>
      <w:r w:rsidRPr="00D35473">
        <w:t xml:space="preserve"> All</w:t>
      </w:r>
      <w:r>
        <w:t xml:space="preserve"> students who </w:t>
      </w:r>
      <w:r w:rsidR="00030264">
        <w:t xml:space="preserve">would be assigned to the classroom of one of the teacher pair and who are not exceptions to the random assignment (e.g., parents may </w:t>
      </w:r>
      <w:r w:rsidR="00C651A4">
        <w:t>want their child placed with a particular teacher</w:t>
      </w:r>
      <w:r w:rsidR="00106830">
        <w:t>; the study team will limit such exceptions to no more than 10%</w:t>
      </w:r>
      <w:r w:rsidR="00030264">
        <w:t xml:space="preserve">) </w:t>
      </w:r>
      <w:r>
        <w:t xml:space="preserve">will be included in the study sample. The eligible </w:t>
      </w:r>
      <w:r w:rsidR="00030264">
        <w:t>students</w:t>
      </w:r>
      <w:r>
        <w:t xml:space="preserve"> will be randomly assigned to either classroom </w:t>
      </w:r>
      <w:r w:rsidR="00494562">
        <w:t xml:space="preserve">within the </w:t>
      </w:r>
      <w:r w:rsidR="00030264">
        <w:t>match</w:t>
      </w:r>
      <w:r w:rsidR="00494562">
        <w:t>ed teacher pairs</w:t>
      </w:r>
      <w:r w:rsidR="00030264">
        <w:t xml:space="preserve"> described above.</w:t>
      </w:r>
      <w:r w:rsidR="00DB0392">
        <w:t xml:space="preserve"> </w:t>
      </w:r>
    </w:p>
    <w:p w:rsidR="00CE02F4" w:rsidRDefault="00CE02F4" w:rsidP="00CE02F4">
      <w:pPr>
        <w:pStyle w:val="Heading3"/>
      </w:pPr>
      <w:bookmarkStart w:id="6" w:name="_Toc307840506"/>
      <w:r>
        <w:t>Estimation Procedures</w:t>
      </w:r>
      <w:bookmarkEnd w:id="6"/>
    </w:p>
    <w:p w:rsidR="00DE0060" w:rsidRDefault="00DE0060" w:rsidP="00DE0060">
      <w:pPr>
        <w:pStyle w:val="BodyText"/>
      </w:pPr>
      <w:bookmarkStart w:id="7" w:name="_Toc307840507"/>
      <w:r>
        <w:t>This section presents the study’s analytic approach for addressing the study’s research questions (See Appendix A):</w:t>
      </w:r>
    </w:p>
    <w:p w:rsidR="00316CCF" w:rsidRDefault="00316CCF" w:rsidP="00316CCF">
      <w:pPr>
        <w:pStyle w:val="BodyText"/>
        <w:numPr>
          <w:ilvl w:val="0"/>
          <w:numId w:val="21"/>
        </w:numPr>
      </w:pPr>
      <w:r w:rsidRPr="008D4556">
        <w:rPr>
          <w:color w:val="000000"/>
          <w:szCs w:val="22"/>
        </w:rPr>
        <w:t>What is the impact on student achievement of teachers who choose to enter teaching through a traditional university-based teacher preparation program that includes promising preparation features versus those teachers who choose to enter teaching through university-based programs that have more typical features</w:t>
      </w:r>
      <w:r>
        <w:t xml:space="preserve">? </w:t>
      </w:r>
    </w:p>
    <w:p w:rsidR="00316CCF" w:rsidRDefault="00316CCF" w:rsidP="00316CCF">
      <w:pPr>
        <w:pStyle w:val="BodyText"/>
        <w:numPr>
          <w:ilvl w:val="0"/>
          <w:numId w:val="21"/>
        </w:numPr>
      </w:pPr>
      <w:r w:rsidRPr="00C2759C">
        <w:t xml:space="preserve">Among the teachers studied, what are the core features of their teacher preparation? In particular, to what extent does preparation vary </w:t>
      </w:r>
      <w:r w:rsidRPr="00CC5780">
        <w:t>o</w:t>
      </w:r>
      <w:r w:rsidRPr="00C2759C">
        <w:t xml:space="preserve">n </w:t>
      </w:r>
      <w:r>
        <w:t>dimensions of clinical preparation</w:t>
      </w:r>
      <w:r w:rsidRPr="00C2759C">
        <w:t xml:space="preserve">? </w:t>
      </w:r>
    </w:p>
    <w:p w:rsidR="00316CCF" w:rsidRPr="00C2759C" w:rsidRDefault="00316CCF" w:rsidP="00316CCF">
      <w:pPr>
        <w:pStyle w:val="BodyText"/>
        <w:ind w:left="720" w:hanging="360"/>
      </w:pPr>
      <w:r>
        <w:t>3.</w:t>
      </w:r>
      <w:r>
        <w:tab/>
      </w:r>
      <w:r w:rsidRPr="004D30FB">
        <w:rPr>
          <w:rFonts w:cstheme="minorHAnsi"/>
        </w:rPr>
        <w:t>What is the impact on</w:t>
      </w:r>
      <w:r w:rsidRPr="004D30FB">
        <w:rPr>
          <w:rStyle w:val="apple-converted-space"/>
          <w:rFonts w:cstheme="minorHAnsi"/>
        </w:rPr>
        <w:t> </w:t>
      </w:r>
      <w:r w:rsidRPr="004D30FB">
        <w:rPr>
          <w:rFonts w:cstheme="minorHAnsi"/>
        </w:rPr>
        <w:t>the classroom practices of</w:t>
      </w:r>
      <w:r w:rsidRPr="004D30FB">
        <w:rPr>
          <w:rStyle w:val="apple-style-span"/>
          <w:rFonts w:cstheme="minorHAnsi"/>
        </w:rPr>
        <w:t xml:space="preserve"> novice elementary school teachers who experienced intensive clinical practice as part of their preservice teacher preparation program that they chose to attend compared to novice elementary school teachers who</w:t>
      </w:r>
      <w:r w:rsidRPr="004D30FB">
        <w:rPr>
          <w:rStyle w:val="apple-converted-space"/>
          <w:rFonts w:cstheme="minorHAnsi"/>
        </w:rPr>
        <w:t> </w:t>
      </w:r>
      <w:r w:rsidRPr="004D30FB">
        <w:rPr>
          <w:rStyle w:val="apple-style-span"/>
          <w:rFonts w:cstheme="minorHAnsi"/>
          <w:u w:val="single"/>
        </w:rPr>
        <w:t>did not</w:t>
      </w:r>
      <w:r w:rsidRPr="004D30FB">
        <w:rPr>
          <w:rStyle w:val="apple-converted-space"/>
          <w:rFonts w:cstheme="minorHAnsi"/>
        </w:rPr>
        <w:t> </w:t>
      </w:r>
      <w:r w:rsidRPr="004D30FB">
        <w:rPr>
          <w:rStyle w:val="apple-style-span"/>
          <w:rFonts w:cstheme="minorHAnsi"/>
        </w:rPr>
        <w:t>have the same experience as part of their preservice teacher preparation program that they chose to attend?</w:t>
      </w:r>
    </w:p>
    <w:p w:rsidR="00316CCF" w:rsidRPr="00655D11" w:rsidRDefault="00316CCF" w:rsidP="00316CCF">
      <w:pPr>
        <w:pStyle w:val="Bullets"/>
        <w:numPr>
          <w:ilvl w:val="0"/>
          <w:numId w:val="0"/>
        </w:numPr>
        <w:ind w:left="720" w:hanging="360"/>
      </w:pPr>
      <w:r w:rsidRPr="00C2759C">
        <w:t xml:space="preserve">4. </w:t>
      </w:r>
      <w:r w:rsidRPr="00C2759C">
        <w:tab/>
      </w:r>
      <w:r>
        <w:t>What teacher preparation features (such as opportunities to teach throughout the preparation program, extent or nature of the clinical practice, and structured feedback during clinical practice) are associated with teacher effectiveness?</w:t>
      </w:r>
    </w:p>
    <w:p w:rsidR="00316CCF" w:rsidRPr="007454B2" w:rsidRDefault="00316CCF" w:rsidP="00316CCF">
      <w:pPr>
        <w:pStyle w:val="Bullets"/>
        <w:numPr>
          <w:ilvl w:val="0"/>
          <w:numId w:val="0"/>
        </w:numPr>
        <w:ind w:left="720" w:hanging="360"/>
      </w:pPr>
      <w:r>
        <w:t>5</w:t>
      </w:r>
      <w:r w:rsidRPr="00C2759C">
        <w:t xml:space="preserve">. </w:t>
      </w:r>
      <w:r w:rsidRPr="00C2759C">
        <w:tab/>
      </w:r>
      <w:r w:rsidRPr="008D4556">
        <w:t xml:space="preserve">What teacher preparation features are associated with teacher </w:t>
      </w:r>
      <w:r w:rsidRPr="00EA187F">
        <w:rPr>
          <w:color w:val="000000"/>
        </w:rPr>
        <w:t xml:space="preserve">effectiveness for special </w:t>
      </w:r>
      <w:r>
        <w:rPr>
          <w:color w:val="000000"/>
        </w:rPr>
        <w:t xml:space="preserve"> </w:t>
      </w:r>
      <w:r w:rsidRPr="00EA187F">
        <w:rPr>
          <w:color w:val="000000"/>
        </w:rPr>
        <w:t xml:space="preserve">populations (i.e. Special Education Students and English Language Learners)? </w:t>
      </w:r>
    </w:p>
    <w:p w:rsidR="002D08E1" w:rsidRDefault="00DE0060" w:rsidP="002D08E1">
      <w:pPr>
        <w:pStyle w:val="BodyText"/>
      </w:pPr>
      <w:r>
        <w:t xml:space="preserve">Question 1 will be addressed within the experimental framework by </w:t>
      </w:r>
      <w:r w:rsidRPr="000317B1">
        <w:t>impact</w:t>
      </w:r>
      <w:r>
        <w:t xml:space="preserve"> analyses while the remaining questions will be addressed using descriptive and non-experimental analyses. </w:t>
      </w:r>
    </w:p>
    <w:p w:rsidR="00DE0060" w:rsidRDefault="00DE0060" w:rsidP="002D08E1">
      <w:pPr>
        <w:pStyle w:val="BodyText"/>
        <w:rPr>
          <w:i/>
        </w:rPr>
      </w:pPr>
      <w:r w:rsidRPr="000317B1">
        <w:t>Impact</w:t>
      </w:r>
      <w:r>
        <w:t xml:space="preserve"> Analyses</w:t>
      </w:r>
    </w:p>
    <w:p w:rsidR="00DE0060" w:rsidRPr="00DE0060" w:rsidRDefault="00DE0060" w:rsidP="00DE0060">
      <w:pPr>
        <w:pStyle w:val="BodyText"/>
      </w:pPr>
      <w:r w:rsidRPr="00DE0060">
        <w:t xml:space="preserve">Random assignment of students to treatment/control (T/C) teachers is a central feature of this study; it ensures </w:t>
      </w:r>
      <w:r w:rsidR="005A24F3">
        <w:t>equivalence on average of students in both classrooms of the pair. O</w:t>
      </w:r>
      <w:r w:rsidRPr="00DE0060">
        <w:t xml:space="preserve">bserved </w:t>
      </w:r>
      <w:r w:rsidR="005A24F3">
        <w:t xml:space="preserve">student outcome </w:t>
      </w:r>
      <w:r w:rsidRPr="00DE0060">
        <w:t xml:space="preserve">differences </w:t>
      </w:r>
      <w:r w:rsidR="005A24F3">
        <w:t>can then be attributed to</w:t>
      </w:r>
      <w:r w:rsidRPr="00DE0060">
        <w:t xml:space="preserve"> teachers. However, difference</w:t>
      </w:r>
      <w:r w:rsidR="005A24F3">
        <w:t>s</w:t>
      </w:r>
      <w:r w:rsidRPr="00DE0060">
        <w:t xml:space="preserve"> may not be directly attributed to the difference in the intensity of clinical </w:t>
      </w:r>
      <w:r w:rsidR="005A24F3">
        <w:t xml:space="preserve">experience. The </w:t>
      </w:r>
      <w:r w:rsidRPr="00DE0060">
        <w:t>difference includes both “program” and “teacher” effects, where the latter reflects sy</w:t>
      </w:r>
      <w:r w:rsidR="005A24F3">
        <w:t>stematic differences between</w:t>
      </w:r>
      <w:r w:rsidRPr="00DE0060">
        <w:t xml:space="preserve"> teachers due to </w:t>
      </w:r>
      <w:r w:rsidR="005A24F3">
        <w:t>their self-selection into their preparation program (for example, teachers with greater potential may choose to attend programs that have more intensive clinical experience)</w:t>
      </w:r>
      <w:r w:rsidRPr="00DE0060">
        <w:t>.</w:t>
      </w:r>
    </w:p>
    <w:p w:rsidR="005A24F3" w:rsidRDefault="00DE0060" w:rsidP="00DE0060">
      <w:pPr>
        <w:pStyle w:val="BodyText"/>
      </w:pPr>
      <w:r w:rsidRPr="00DE0060">
        <w:t>As its wording implies, rese</w:t>
      </w:r>
      <w:r w:rsidR="005A24F3">
        <w:t>arch question 1</w:t>
      </w:r>
      <w:r w:rsidR="008265DD">
        <w:t xml:space="preserve"> above </w:t>
      </w:r>
      <w:r w:rsidR="005A24F3">
        <w:t>acknowledges this</w:t>
      </w:r>
      <w:r w:rsidRPr="00DE0060">
        <w:t xml:space="preserve"> potential confound between the teacher and program effect. The most direct way of addressing this question is producing an estimate of the combination of the two effects, which is relevant as it </w:t>
      </w:r>
      <w:r w:rsidR="005A24F3">
        <w:t xml:space="preserve">is analogous to the </w:t>
      </w:r>
      <w:r w:rsidRPr="00DE0060">
        <w:t xml:space="preserve">hiring decision of a district administrator or a school principal: whether to hire a teacher </w:t>
      </w:r>
      <w:r w:rsidR="005A24F3">
        <w:t>who graduated from a program that featured</w:t>
      </w:r>
      <w:r w:rsidRPr="00DE0060">
        <w:t xml:space="preserve"> </w:t>
      </w:r>
      <w:r w:rsidR="005A24F3">
        <w:t xml:space="preserve">intensive clinical practice. </w:t>
      </w:r>
    </w:p>
    <w:p w:rsidR="00DE0060" w:rsidRPr="001D3025" w:rsidRDefault="00DE0060" w:rsidP="00DE0060">
      <w:pPr>
        <w:pStyle w:val="BodyText"/>
      </w:pPr>
      <w:r w:rsidRPr="00DE0060">
        <w:t xml:space="preserve">To estimate the combined teacher and program effect, the study will measure </w:t>
      </w:r>
      <w:r w:rsidR="00B811B7">
        <w:t xml:space="preserve">effects </w:t>
      </w:r>
      <w:r w:rsidRPr="00DE0060">
        <w:t>using the following prototypical model:</w:t>
      </w:r>
      <w:r w:rsidRPr="00DE0060">
        <w:rPr>
          <w:vertAlign w:val="superscript"/>
        </w:rPr>
        <w:t xml:space="preserve"> </w:t>
      </w:r>
      <w:r w:rsidRPr="00DE0060">
        <w:rPr>
          <w:vertAlign w:val="superscript"/>
        </w:rPr>
        <w:footnoteReference w:id="5"/>
      </w:r>
    </w:p>
    <w:p w:rsidR="00DE0060" w:rsidRPr="001D3025" w:rsidRDefault="00DE0060" w:rsidP="00DE0060">
      <w:pPr>
        <w:pStyle w:val="BodyText"/>
      </w:pPr>
      <w:r w:rsidRPr="001D3025">
        <w:t>(1)</w:t>
      </w:r>
      <w:r w:rsidRPr="001D3025">
        <w:tab/>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ij</m:t>
            </m: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J</m:t>
            </m:r>
          </m:sup>
          <m:e>
            <m:sSub>
              <m:sSubPr>
                <m:ctrlPr>
                  <w:rPr>
                    <w:rFonts w:ascii="Cambria Math" w:hAnsi="Cambria Math"/>
                  </w:rPr>
                </m:ctrlPr>
              </m:sSubPr>
              <m:e>
                <m:r>
                  <m:rPr>
                    <m:sty m:val="p"/>
                  </m:rPr>
                  <w:rPr>
                    <w:rFonts w:ascii="Cambria Math" w:hAnsi="Cambria Math"/>
                  </w:rPr>
                  <m:t>θ</m:t>
                </m:r>
              </m:e>
              <m:sub>
                <m:r>
                  <m:rPr>
                    <m:sty m:val="p"/>
                  </m:rPr>
                  <w:rPr>
                    <w:rFonts w:ascii="Cambria Math" w:hAnsi="Cambria Math"/>
                  </w:rPr>
                  <m:t>j</m:t>
                </m:r>
              </m:sub>
            </m:sSub>
          </m:e>
        </m:nary>
        <m:sSub>
          <m:sSubPr>
            <m:ctrlPr>
              <w:rPr>
                <w:rFonts w:ascii="Cambria Math" w:hAnsi="Cambria Math"/>
              </w:rPr>
            </m:ctrlPr>
          </m:sSubPr>
          <m:e>
            <m:r>
              <m:rPr>
                <m:sty m:val="p"/>
              </m:rPr>
              <w:rPr>
                <w:rFonts w:ascii="Cambria Math" w:hAnsi="Cambria Math"/>
              </w:rPr>
              <m:t>Sc</m:t>
            </m:r>
          </m:e>
          <m:sub>
            <m:r>
              <m:rPr>
                <m:sty m:val="p"/>
              </m:rPr>
              <w:rPr>
                <w:rFonts w:ascii="Cambria Math" w:hAnsi="Cambria Math"/>
              </w:rPr>
              <m:t>ij</m:t>
            </m: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J</m:t>
            </m:r>
          </m:sup>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j</m:t>
                </m:r>
              </m:sub>
            </m:sSub>
          </m:e>
        </m:nary>
        <m:sSub>
          <m:sSubPr>
            <m:ctrlPr>
              <w:rPr>
                <w:rFonts w:ascii="Cambria Math" w:hAnsi="Cambria Math"/>
              </w:rPr>
            </m:ctrlPr>
          </m:sSubPr>
          <m:e>
            <m:r>
              <m:rPr>
                <m:sty m:val="p"/>
              </m:rPr>
              <w:rPr>
                <w:rFonts w:ascii="Cambria Math" w:hAnsi="Cambria Math"/>
              </w:rPr>
              <m:t>Sc</m:t>
            </m:r>
          </m:e>
          <m:sub>
            <m:r>
              <m:rPr>
                <m:sty m:val="p"/>
              </m:rPr>
              <w:rPr>
                <w:rFonts w:ascii="Cambria Math" w:hAnsi="Cambria Math"/>
              </w:rPr>
              <m:t>ij</m:t>
            </m:r>
          </m:sub>
        </m:sSub>
        <m:sSub>
          <m:sSubPr>
            <m:ctrlPr>
              <w:rPr>
                <w:rFonts w:ascii="Cambria Math" w:hAnsi="Cambria Math"/>
              </w:rPr>
            </m:ctrlPr>
          </m:sSubPr>
          <m:e>
            <m:r>
              <m:rPr>
                <m:sty m:val="p"/>
              </m:rPr>
              <w:rPr>
                <w:rFonts w:ascii="Cambria Math" w:hAnsi="Cambria Math"/>
              </w:rPr>
              <m:t>T</m:t>
            </m:r>
          </m:e>
          <m:sub>
            <m:r>
              <m:rPr>
                <m:sty m:val="p"/>
              </m:rP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r>
          <m:rPr>
            <m:sty m:val="p"/>
          </m:rPr>
          <w:rPr>
            <w:rFonts w:ascii="Cambria Math" w:hAnsi="Cambria Math"/>
          </w:rPr>
          <m:t>ϕ+</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oMath>
    </w:p>
    <w:p w:rsidR="00DE0060" w:rsidRPr="001D3025" w:rsidRDefault="00DE0060" w:rsidP="00DE0060">
      <w:pPr>
        <w:pStyle w:val="BodyText"/>
      </w:pPr>
      <w:r w:rsidRPr="001D3025">
        <w:t>where:</w:t>
      </w:r>
    </w:p>
    <w:p w:rsidR="00DE0060" w:rsidRPr="001D3025" w:rsidRDefault="00896BD3" w:rsidP="00DE0060">
      <w:pPr>
        <w:pStyle w:val="BodyText"/>
        <w:ind w:firstLine="360"/>
      </w:pP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ij</m:t>
            </m:r>
          </m:sub>
        </m:sSub>
      </m:oMath>
      <w:r w:rsidR="00DE0060" w:rsidRPr="001D3025">
        <w:t xml:space="preserve"> : post-test score (administered in spring of 2013) of student i in school j;</w:t>
      </w:r>
    </w:p>
    <w:p w:rsidR="00DE0060" w:rsidRPr="001D3025" w:rsidRDefault="00896BD3" w:rsidP="00DE0060">
      <w:pPr>
        <w:pStyle w:val="BodyText"/>
        <w:ind w:firstLine="360"/>
      </w:pPr>
      <m:oMath>
        <m:sSub>
          <m:sSubPr>
            <m:ctrlPr>
              <w:rPr>
                <w:rFonts w:ascii="Cambria Math" w:hAnsi="Cambria Math"/>
              </w:rPr>
            </m:ctrlPr>
          </m:sSubPr>
          <m:e>
            <m:r>
              <m:rPr>
                <m:sty m:val="p"/>
              </m:rPr>
              <w:rPr>
                <w:rFonts w:ascii="Cambria Math" w:hAnsi="Cambria Math"/>
              </w:rPr>
              <m:t>Sc</m:t>
            </m:r>
          </m:e>
          <m:sub>
            <m:r>
              <m:rPr>
                <m:sty m:val="p"/>
              </m:rPr>
              <w:rPr>
                <w:rFonts w:ascii="Cambria Math" w:hAnsi="Cambria Math"/>
              </w:rPr>
              <m:t>ij</m:t>
            </m:r>
          </m:sub>
        </m:sSub>
      </m:oMath>
      <w:r w:rsidR="00DE0060" w:rsidRPr="001D3025">
        <w:t>: indicator for the j</w:t>
      </w:r>
      <w:r w:rsidR="00DE0060" w:rsidRPr="001D3025">
        <w:rPr>
          <w:vertAlign w:val="superscript"/>
        </w:rPr>
        <w:t>th</w:t>
      </w:r>
      <w:r w:rsidR="00DE0060" w:rsidRPr="001D3025">
        <w:t xml:space="preserve"> school, which equals 1 if student i is in school j and 0 otherwise;</w:t>
      </w:r>
    </w:p>
    <w:p w:rsidR="00DE0060" w:rsidRPr="001D3025" w:rsidRDefault="00896BD3" w:rsidP="00DE0060">
      <w:pPr>
        <w:pStyle w:val="BodyText"/>
        <w:ind w:firstLine="36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ij</m:t>
            </m:r>
          </m:sub>
        </m:sSub>
      </m:oMath>
      <w:r w:rsidR="00DE0060" w:rsidRPr="001D3025">
        <w:t xml:space="preserve"> : indicator set to 1 if student i is assigned to a treatment teacher and 0 otherwise;</w:t>
      </w:r>
    </w:p>
    <w:p w:rsidR="00DE0060" w:rsidRPr="001D3025" w:rsidRDefault="00896BD3" w:rsidP="00DE0060">
      <w:pPr>
        <w:pStyle w:val="BodyText"/>
        <w:ind w:left="360"/>
      </w:p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oMath>
      <w:r w:rsidR="00DE0060" w:rsidRPr="001D3025">
        <w:t xml:space="preserve"> : vector of student i’s characteristics such as his/her pre-test score (from fall of 2012) and other demographic attributes such as gender, race/ethnicity, reduced price lunch eligibility, etc.;</w:t>
      </w:r>
    </w:p>
    <w:p w:rsidR="00DE0060" w:rsidRPr="001D3025" w:rsidRDefault="00896BD3" w:rsidP="00DE0060">
      <w:pPr>
        <w:pStyle w:val="BodyText"/>
        <w:ind w:firstLine="360"/>
      </w:pP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oMath>
      <w:r w:rsidR="00DE0060" w:rsidRPr="001D3025">
        <w:t xml:space="preserve">: residual for student i assumed to be normally distributed with mean 0 and variance of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ε</m:t>
            </m:r>
          </m:sub>
          <m:sup>
            <m:r>
              <m:rPr>
                <m:sty m:val="p"/>
              </m:rPr>
              <w:rPr>
                <w:rFonts w:ascii="Cambria Math" w:hAnsi="Cambria Math"/>
              </w:rPr>
              <m:t>2</m:t>
            </m:r>
          </m:sup>
        </m:sSubSup>
      </m:oMath>
      <w:r w:rsidR="00DE0060" w:rsidRPr="001D3025">
        <w:t>.</w:t>
      </w:r>
    </w:p>
    <w:p w:rsidR="00DE0060" w:rsidRPr="001D3025" w:rsidRDefault="00DE0060" w:rsidP="00225FF6">
      <w:pPr>
        <w:pStyle w:val="BodyText"/>
      </w:pPr>
      <w:r>
        <w:t>F</w:t>
      </w:r>
      <w:r w:rsidRPr="001D3025">
        <w:t>ollowing Schochet</w:t>
      </w:r>
      <w:r>
        <w:t xml:space="preserve"> (2008a) and Constantine et al.</w:t>
      </w:r>
      <w:r w:rsidRPr="001D3025">
        <w:t xml:space="preserve"> (2009), the model does not include a teacher level, </w:t>
      </w:r>
      <w:r>
        <w:t xml:space="preserve">since </w:t>
      </w:r>
      <w:r w:rsidRPr="001D3025">
        <w:t xml:space="preserve">each school </w:t>
      </w:r>
      <w:r>
        <w:t xml:space="preserve">is likely to have only </w:t>
      </w:r>
      <w:r w:rsidRPr="001D3025">
        <w:t xml:space="preserve">one </w:t>
      </w:r>
      <w:r w:rsidR="005A24F3">
        <w:t>treatment-control</w:t>
      </w:r>
      <w:r w:rsidRPr="001D3025">
        <w:t xml:space="preserve"> pair </w:t>
      </w:r>
      <w:r>
        <w:t xml:space="preserve">and </w:t>
      </w:r>
      <w:r w:rsidR="005A24F3">
        <w:t>the teacher level will be confounded with the school level</w:t>
      </w:r>
      <w:r w:rsidRPr="001D3025">
        <w:t>.</w:t>
      </w:r>
      <w:r>
        <w:t xml:space="preserve"> </w:t>
      </w:r>
    </w:p>
    <w:p w:rsidR="00DE0060" w:rsidRDefault="00DE0060" w:rsidP="00DE0060">
      <w:r w:rsidRPr="001D3025">
        <w:t xml:space="preserve">In the model in Equation 1, </w:t>
      </w: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j</m:t>
            </m:r>
          </m:sub>
        </m:sSub>
      </m:oMath>
      <w:r w:rsidRPr="001D3025">
        <w:t xml:space="preserve"> is the </w:t>
      </w:r>
      <w:r w:rsidR="000D137F">
        <w:t>effect</w:t>
      </w:r>
      <w:r w:rsidR="000D137F" w:rsidRPr="001D3025">
        <w:t xml:space="preserve"> </w:t>
      </w:r>
      <w:r w:rsidRPr="001D3025">
        <w:t xml:space="preserve">(i.e., </w:t>
      </w:r>
      <w:r w:rsidRPr="00B30A92">
        <w:t>adjusted</w:t>
      </w:r>
      <w:r w:rsidRPr="001D3025">
        <w:t xml:space="preserve"> treatment vs. control difference) for school j</w:t>
      </w:r>
      <w:r>
        <w:t xml:space="preserve"> and </w:t>
      </w:r>
      <m:oMath>
        <m:sSub>
          <m:sSubPr>
            <m:ctrlPr>
              <w:rPr>
                <w:rFonts w:ascii="Cambria Math" w:hAnsi="Cambria Math"/>
              </w:rPr>
            </m:ctrlPr>
          </m:sSubPr>
          <m:e>
            <m:r>
              <m:rPr>
                <m:sty m:val="p"/>
              </m:rPr>
              <w:rPr>
                <w:rFonts w:ascii="Cambria Math" w:hAnsi="Cambria Math"/>
              </w:rPr>
              <m:t>θ</m:t>
            </m:r>
          </m:e>
          <m:sub>
            <m:r>
              <m:rPr>
                <m:sty m:val="p"/>
              </m:rPr>
              <w:rPr>
                <w:rFonts w:ascii="Cambria Math" w:hAnsi="Cambria Math"/>
              </w:rPr>
              <m:t>j</m:t>
            </m:r>
          </m:sub>
        </m:sSub>
      </m:oMath>
      <w:r w:rsidRPr="001D3025">
        <w:t xml:space="preserve"> captures the </w:t>
      </w:r>
      <w:r w:rsidR="005A24F3">
        <w:t xml:space="preserve">“fixed” </w:t>
      </w:r>
      <w:r w:rsidRPr="001D3025">
        <w:t>effect for school j.</w:t>
      </w:r>
      <w:r>
        <w:rPr>
          <w:rStyle w:val="FootnoteReference"/>
        </w:rPr>
        <w:footnoteReference w:id="6"/>
      </w:r>
      <w:r w:rsidRPr="001D3025">
        <w:t xml:space="preserve"> The </w:t>
      </w:r>
      <w:r w:rsidR="000D137F">
        <w:t xml:space="preserve">effects </w:t>
      </w:r>
      <w:r>
        <w:t>for each school</w:t>
      </w:r>
      <w:r w:rsidRPr="001D3025">
        <w:t xml:space="preserve"> will be averaged with equal weights to yield an overall effect estimate, </w:t>
      </w:r>
      <m:oMath>
        <m:acc>
          <m:accPr>
            <m:ctrlPr>
              <w:rPr>
                <w:rFonts w:ascii="Cambria Math" w:hAnsi="Cambria Math"/>
              </w:rPr>
            </m:ctrlPr>
          </m:accPr>
          <m:e>
            <m:r>
              <m:rPr>
                <m:sty m:val="p"/>
              </m:rPr>
              <w:rPr>
                <w:rFonts w:ascii="Cambria Math" w:hAnsi="Cambria Math"/>
              </w:rPr>
              <m:t>β</m:t>
            </m:r>
          </m:e>
        </m:acc>
        <m:r>
          <m:rPr>
            <m:sty m:val="p"/>
          </m:rPr>
          <w:rPr>
            <w:rFonts w:ascii="Cambria Math" w:hAnsi="Cambria Math"/>
          </w:rPr>
          <m:t>=</m:t>
        </m:r>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J</m:t>
            </m:r>
          </m:den>
        </m:f>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J</m:t>
            </m:r>
          </m:sup>
          <m:e>
            <m:acc>
              <m:accPr>
                <m:ctrlPr>
                  <w:rPr>
                    <w:rFonts w:ascii="Cambria Math" w:hAnsi="Cambria Math"/>
                  </w:rPr>
                </m:ctrlPr>
              </m:accPr>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j</m:t>
                    </m:r>
                  </m:sub>
                </m:sSub>
              </m:e>
            </m:acc>
          </m:e>
        </m:nary>
      </m:oMath>
      <w:r w:rsidRPr="001D3025">
        <w:t>.</w:t>
      </w:r>
      <w:r>
        <w:t xml:space="preserve"> Th</w:t>
      </w:r>
      <w:r w:rsidRPr="005059BC">
        <w:t>e resulting estimate</w:t>
      </w:r>
      <w:r>
        <w:t>s</w:t>
      </w:r>
      <w:r w:rsidRPr="005059BC">
        <w:t xml:space="preserve"> </w:t>
      </w:r>
      <w:r>
        <w:t xml:space="preserve">can be expressed </w:t>
      </w:r>
      <w:r w:rsidRPr="005059BC">
        <w:t xml:space="preserve">in effect size units, calculated by dividing </w:t>
      </w:r>
      <m:oMath>
        <m:acc>
          <m:accPr>
            <m:ctrlPr>
              <w:rPr>
                <w:rFonts w:ascii="Cambria Math" w:hAnsi="Cambria Math"/>
                <w:i/>
              </w:rPr>
            </m:ctrlPr>
          </m:accPr>
          <m:e>
            <m:r>
              <w:rPr>
                <w:rFonts w:ascii="Cambria Math" w:hAnsi="Cambria Math"/>
              </w:rPr>
              <m:t>β</m:t>
            </m:r>
          </m:e>
        </m:acc>
      </m:oMath>
      <w:r w:rsidRPr="005059BC">
        <w:t xml:space="preserve"> by the standard deviation of the outcome in the control group</w:t>
      </w:r>
      <w:r w:rsidRPr="00D60322">
        <w:t>.</w:t>
      </w:r>
      <w:r w:rsidRPr="001D3025">
        <w:t xml:space="preserve"> </w:t>
      </w:r>
    </w:p>
    <w:p w:rsidR="00DE0060" w:rsidRDefault="00DE0060" w:rsidP="00DE0060">
      <w:pPr>
        <w:pStyle w:val="BodyText"/>
      </w:pPr>
      <w:r>
        <w:t>The study</w:t>
      </w:r>
      <w:r w:rsidRPr="001D3025">
        <w:t xml:space="preserve"> will also assess heterogeneity in estimated effects with respect to </w:t>
      </w:r>
      <w:r>
        <w:t xml:space="preserve">a limited number of </w:t>
      </w:r>
      <w:r w:rsidRPr="001D3025">
        <w:t>student and teacher characteristics</w:t>
      </w:r>
      <w:r>
        <w:t xml:space="preserve"> via subgroup analyses. </w:t>
      </w:r>
      <w:r w:rsidRPr="00435E26">
        <w:t>Potential student characteristics for subgroup analyses include</w:t>
      </w:r>
      <w:r>
        <w:t xml:space="preserve"> EL </w:t>
      </w:r>
      <w:r w:rsidRPr="00435E26">
        <w:t xml:space="preserve">status, pre-test score, </w:t>
      </w:r>
      <w:r>
        <w:t xml:space="preserve">and </w:t>
      </w:r>
      <w:r w:rsidRPr="00435E26">
        <w:t xml:space="preserve">grade-level. Subgroup analyses by teacher characteristics will be based on attributes of the treatment teacher, which </w:t>
      </w:r>
      <w:r>
        <w:t xml:space="preserve">may </w:t>
      </w:r>
      <w:r w:rsidRPr="00435E26">
        <w:t>include experience and amount of course work required by the preparation program.</w:t>
      </w:r>
      <w:r>
        <w:t xml:space="preserve"> </w:t>
      </w:r>
    </w:p>
    <w:p w:rsidR="00DE0060" w:rsidRPr="00863386" w:rsidRDefault="00DE0060" w:rsidP="00DE0060">
      <w:pPr>
        <w:pStyle w:val="BodyText"/>
        <w:rPr>
          <w:b/>
          <w:i/>
        </w:rPr>
      </w:pPr>
      <w:r w:rsidRPr="001D3025">
        <w:t xml:space="preserve">To supplement the analyses described above and to </w:t>
      </w:r>
      <w:r w:rsidR="008265DD">
        <w:t>best</w:t>
      </w:r>
      <w:r>
        <w:t xml:space="preserve"> </w:t>
      </w:r>
      <w:r w:rsidRPr="001D3025">
        <w:t>isolate the program ef</w:t>
      </w:r>
      <w:r>
        <w:t>fect from the teacher effect, the study team</w:t>
      </w:r>
      <w:r w:rsidRPr="001D3025">
        <w:t xml:space="preserve"> will conduct tw</w:t>
      </w:r>
      <w:r>
        <w:t>o additional analyses. First, it</w:t>
      </w:r>
      <w:r w:rsidRPr="001D3025">
        <w:t xml:space="preserve"> will investigate which teacher characteristics explain self-selection of treatment and control teachers’ into preparation programs with and without </w:t>
      </w:r>
      <w:r>
        <w:t>intensive clinical practice</w:t>
      </w:r>
      <w:r w:rsidRPr="001D3025">
        <w:t xml:space="preserve"> by fitting a regression model that uses the treatment indicator as the outcome variable and teacher characteristi</w:t>
      </w:r>
      <w:r>
        <w:t>cs as the predictors. Second, the team</w:t>
      </w:r>
      <w:r w:rsidRPr="001D3025">
        <w:t xml:space="preserve"> will estimate </w:t>
      </w:r>
      <w:r w:rsidRPr="000317B1">
        <w:t>the impact model in Equation 1, adding teacher characteristics believed to be correlated with selection of teachers into different preparation programs. Since this analysis attempts to account for teacher effects, it will address a slightly different question than question 1. It is important to note that these analyses may not account for all differences between the treatment and control teachers and the resulting impact estimate</w:t>
      </w:r>
      <w:r w:rsidRPr="001D3025">
        <w:t xml:space="preserve"> may still include a residual teacher effect; therefore, the</w:t>
      </w:r>
      <w:r w:rsidR="008265DD">
        <w:t>se analyses</w:t>
      </w:r>
      <w:r w:rsidRPr="001D3025">
        <w:t xml:space="preserve"> will be framed as exploratory with appropriate caveats indicating that the results are outside the experimental framework.</w:t>
      </w:r>
      <w:r>
        <w:t xml:space="preserve"> </w:t>
      </w:r>
    </w:p>
    <w:p w:rsidR="00DE0060" w:rsidRPr="007D5205" w:rsidRDefault="00DE0060" w:rsidP="00DE0060">
      <w:pPr>
        <w:pStyle w:val="Heading4"/>
      </w:pPr>
      <w:r w:rsidRPr="007D5205">
        <w:t>Descriptive and Non-Experimental Analyses</w:t>
      </w:r>
    </w:p>
    <w:p w:rsidR="00DE0060" w:rsidRDefault="00DE0060" w:rsidP="00DE0060">
      <w:pPr>
        <w:pStyle w:val="BodyText"/>
      </w:pPr>
      <w:r w:rsidRPr="00D60322">
        <w:t>To answ</w:t>
      </w:r>
      <w:r>
        <w:t>er the second research question, the study will</w:t>
      </w:r>
      <w:r w:rsidRPr="00D60322">
        <w:t xml:space="preserve"> </w:t>
      </w:r>
      <w:r>
        <w:t>provide a qualitative summary</w:t>
      </w:r>
      <w:r w:rsidRPr="00D60322">
        <w:t xml:space="preserve"> of the core f</w:t>
      </w:r>
      <w:r>
        <w:t xml:space="preserve">eatures of preparation programs </w:t>
      </w:r>
      <w:r w:rsidRPr="00D60322">
        <w:t>obtained from</w:t>
      </w:r>
      <w:r>
        <w:t xml:space="preserve"> the extant data review (confirmed by the Teacher Preparation Program Interview)</w:t>
      </w:r>
      <w:r w:rsidRPr="00D60322">
        <w:t xml:space="preserve"> of the preparation progra</w:t>
      </w:r>
      <w:r>
        <w:t>ms of both treatment and control teachers and the surveys teachers were administered. In addition, for each dimension of clinical preparation, the study team</w:t>
      </w:r>
      <w:r w:rsidRPr="00D60322">
        <w:t xml:space="preserve"> will</w:t>
      </w:r>
      <w:r>
        <w:t xml:space="preserve"> present descriptive tables that display the percentage of teachers who attended a preparation program implementing that dimension. </w:t>
      </w:r>
    </w:p>
    <w:p w:rsidR="00DE0060" w:rsidRPr="00DE0060" w:rsidRDefault="00DE0060" w:rsidP="00DE0060">
      <w:pPr>
        <w:pStyle w:val="BodyText"/>
      </w:pPr>
      <w:r w:rsidRPr="00DE0060">
        <w:t>To address the third research question,</w:t>
      </w:r>
      <w:r w:rsidR="008265DD">
        <w:t xml:space="preserve"> the</w:t>
      </w:r>
      <w:r w:rsidRPr="00DE0060">
        <w:t xml:space="preserve"> study team will estimate the average treatment-control differences in the teacher classroom practice measures that will be created based on classroom observations. These analyses will help identify potential pathways through which intensive clinical practice influences teachers’ effectiveness. The model below will be used:</w:t>
      </w:r>
    </w:p>
    <w:p w:rsidR="00DE0060" w:rsidRPr="00DE0060" w:rsidRDefault="00DE0060" w:rsidP="00DE0060">
      <w:pPr>
        <w:pStyle w:val="BodyText"/>
      </w:pPr>
      <w:r w:rsidRPr="00DE0060">
        <w:t>(2)</w:t>
      </w:r>
      <w:r w:rsidRPr="00DE0060">
        <w:tab/>
        <w:t>C</w:t>
      </w:r>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=π+α</m:t>
        </m:r>
        <m:sSub>
          <m:sSubPr>
            <m:ctrlPr>
              <w:rPr>
                <w:rFonts w:ascii="Cambria Math" w:hAnsi="Cambria Math"/>
                <w:i/>
              </w:rPr>
            </m:ctrlPr>
          </m:sSubPr>
          <m:e>
            <m:r>
              <w:rPr>
                <w:rFonts w:ascii="Cambria Math" w:hAnsi="Cambria Math"/>
              </w:rPr>
              <m:t>T</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k</m:t>
            </m:r>
          </m:sub>
        </m:sSub>
      </m:oMath>
    </w:p>
    <w:p w:rsidR="00DE0060" w:rsidRPr="00DE0060" w:rsidRDefault="00DE0060" w:rsidP="00DE0060">
      <w:pPr>
        <w:pStyle w:val="BodyText"/>
      </w:pPr>
      <w:r w:rsidRPr="00DE0060">
        <w:t>where:</w:t>
      </w:r>
    </w:p>
    <w:p w:rsidR="00DE0060" w:rsidRPr="00DE0060" w:rsidRDefault="00896BD3" w:rsidP="00DE0060">
      <w:pPr>
        <w:pStyle w:val="BodyText"/>
        <w:ind w:firstLine="360"/>
      </w:pPr>
      <m:oMath>
        <m:sSub>
          <m:sSubPr>
            <m:ctrlPr>
              <w:rPr>
                <w:rFonts w:ascii="Cambria Math" w:hAnsi="Cambria Math"/>
                <w:i/>
              </w:rPr>
            </m:ctrlPr>
          </m:sSubPr>
          <m:e>
            <m:r>
              <w:rPr>
                <w:rFonts w:ascii="Cambria Math" w:hAnsi="Cambria Math"/>
              </w:rPr>
              <m:t>CP</m:t>
            </m:r>
          </m:e>
          <m:sub>
            <m:r>
              <w:rPr>
                <w:rFonts w:ascii="Cambria Math" w:hAnsi="Cambria Math"/>
              </w:rPr>
              <m:t>k</m:t>
            </m:r>
          </m:sub>
        </m:sSub>
      </m:oMath>
      <w:r w:rsidR="00DE0060" w:rsidRPr="00DE0060">
        <w:t xml:space="preserve">: teacher classroom practice measure for teacher </w:t>
      </w:r>
      <w:r w:rsidR="00DE0060" w:rsidRPr="00DE0060">
        <w:rPr>
          <w:i/>
        </w:rPr>
        <w:t>k</w:t>
      </w:r>
      <w:r w:rsidR="00DE0060" w:rsidRPr="00DE0060">
        <w:t>;</w:t>
      </w:r>
    </w:p>
    <w:p w:rsidR="00DE0060" w:rsidRPr="00DE0060" w:rsidRDefault="00896BD3" w:rsidP="00DE0060">
      <w:pPr>
        <w:pStyle w:val="BodyText"/>
        <w:ind w:firstLine="360"/>
      </w:pPr>
      <m:oMath>
        <m:sSub>
          <m:sSubPr>
            <m:ctrlPr>
              <w:rPr>
                <w:rFonts w:ascii="Cambria Math" w:hAnsi="Cambria Math"/>
                <w:i/>
              </w:rPr>
            </m:ctrlPr>
          </m:sSubPr>
          <m:e>
            <m:r>
              <w:rPr>
                <w:rFonts w:ascii="Cambria Math" w:hAnsi="Cambria Math"/>
              </w:rPr>
              <m:t>T</m:t>
            </m:r>
          </m:e>
          <m:sub>
            <m:r>
              <w:rPr>
                <w:rFonts w:ascii="Cambria Math" w:hAnsi="Cambria Math"/>
              </w:rPr>
              <m:t>k</m:t>
            </m:r>
          </m:sub>
        </m:sSub>
      </m:oMath>
      <w:r w:rsidR="00DE0060" w:rsidRPr="00DE0060">
        <w:t xml:space="preserve"> : treatment indicator set to 1 for treatment teachers and to 0 for control teachers; and </w:t>
      </w:r>
    </w:p>
    <w:p w:rsidR="00DE0060" w:rsidRPr="00D60322" w:rsidRDefault="00896BD3" w:rsidP="00DE0060">
      <w:pPr>
        <w:pStyle w:val="BodyText"/>
        <w:ind w:firstLine="360"/>
      </w:pPr>
      <m:oMath>
        <m:sSub>
          <m:sSubPr>
            <m:ctrlPr>
              <w:rPr>
                <w:rFonts w:ascii="Cambria Math" w:hAnsi="Cambria Math"/>
                <w:i/>
              </w:rPr>
            </m:ctrlPr>
          </m:sSubPr>
          <m:e>
            <m:r>
              <w:rPr>
                <w:rFonts w:ascii="Cambria Math" w:hAnsi="Cambria Math"/>
              </w:rPr>
              <m:t>λ</m:t>
            </m:r>
          </m:e>
          <m:sub>
            <m:r>
              <w:rPr>
                <w:rFonts w:ascii="Cambria Math" w:hAnsi="Cambria Math"/>
              </w:rPr>
              <m:t>k</m:t>
            </m:r>
          </m:sub>
        </m:sSub>
      </m:oMath>
      <w:r w:rsidR="00DE0060" w:rsidRPr="00DE0060">
        <w:t>: residual for teacher</w:t>
      </w:r>
      <w:r w:rsidR="00DE0060" w:rsidRPr="00DE0060">
        <w:rPr>
          <w:i/>
        </w:rPr>
        <w:t xml:space="preserve"> k, </w:t>
      </w:r>
      <w:r w:rsidR="00DE0060" w:rsidRPr="00DE0060">
        <w:t xml:space="preserve">normally distributed with mean zero and variance </w:t>
      </w:r>
      <m:oMath>
        <m:sSubSup>
          <m:sSubSupPr>
            <m:ctrlPr>
              <w:rPr>
                <w:rFonts w:ascii="Cambria Math" w:hAnsi="Cambria Math"/>
                <w:i/>
              </w:rPr>
            </m:ctrlPr>
          </m:sSubSupPr>
          <m:e>
            <m:r>
              <w:rPr>
                <w:rFonts w:ascii="Cambria Math" w:hAnsi="Cambria Math"/>
              </w:rPr>
              <m:t>σ</m:t>
            </m:r>
          </m:e>
          <m:sub>
            <m:r>
              <w:rPr>
                <w:rFonts w:ascii="Cambria Math" w:hAnsi="Cambria Math"/>
              </w:rPr>
              <m:t>λ</m:t>
            </m:r>
          </m:sub>
          <m:sup>
            <m:r>
              <w:rPr>
                <w:rFonts w:ascii="Cambria Math" w:hAnsi="Cambria Math"/>
              </w:rPr>
              <m:t>2</m:t>
            </m:r>
          </m:sup>
        </m:sSubSup>
      </m:oMath>
      <w:r w:rsidR="00DE0060" w:rsidRPr="00DE0060">
        <w:t>.</w:t>
      </w:r>
    </w:p>
    <w:p w:rsidR="00DE0060" w:rsidRPr="00D60322" w:rsidRDefault="00DE0060" w:rsidP="00DE0060">
      <w:pPr>
        <w:pStyle w:val="BodyText"/>
      </w:pPr>
      <w:r>
        <w:t xml:space="preserve">In Equation </w:t>
      </w:r>
      <w:r w:rsidRPr="003A2AD8">
        <w:t>2,</w:t>
      </w:r>
      <w:r w:rsidRPr="00D60322">
        <w:t xml:space="preserve"> </w:t>
      </w:r>
      <m:oMath>
        <m:r>
          <w:rPr>
            <w:rFonts w:ascii="Cambria Math" w:hAnsi="Cambria Math"/>
          </w:rPr>
          <m:t>α</m:t>
        </m:r>
      </m:oMath>
      <w:r w:rsidRPr="00D60322">
        <w:t xml:space="preserve"> captures the average treatment-control difference across all treatment-control pairs</w:t>
      </w:r>
      <w:r>
        <w:t xml:space="preserve"> and </w:t>
      </w:r>
      <w:r w:rsidRPr="00D60322">
        <w:t xml:space="preserve">the estimate of </w:t>
      </w:r>
      <m:oMath>
        <m:r>
          <w:rPr>
            <w:rFonts w:ascii="Cambria Math" w:hAnsi="Cambria Math"/>
          </w:rPr>
          <m:t>α</m:t>
        </m:r>
      </m:oMath>
      <w:r w:rsidRPr="00D60322">
        <w:t xml:space="preserve"> reflects both the effect of preparation programs (program effect) and the </w:t>
      </w:r>
      <w:r>
        <w:t>effect of differences between</w:t>
      </w:r>
      <w:r w:rsidRPr="00D60322">
        <w:t xml:space="preserve"> treatment and control teachers (teacher effect) on the </w:t>
      </w:r>
      <w:r>
        <w:t>classroom</w:t>
      </w:r>
      <w:r w:rsidRPr="00D60322">
        <w:t xml:space="preserve"> practice measures</w:t>
      </w:r>
      <w:r>
        <w:t xml:space="preserve"> since the model does not include any teacher controls</w:t>
      </w:r>
      <w:r w:rsidRPr="00D60322">
        <w:t xml:space="preserve">. </w:t>
      </w:r>
    </w:p>
    <w:p w:rsidR="00DE0060" w:rsidRPr="000317B1" w:rsidRDefault="00DE0060" w:rsidP="00DE0060">
      <w:pPr>
        <w:pStyle w:val="BodyText"/>
      </w:pPr>
      <w:r>
        <w:t xml:space="preserve">The fourth research question </w:t>
      </w:r>
      <w:r w:rsidRPr="00D60322">
        <w:t>aims to identify specific preparation features</w:t>
      </w:r>
      <w:r>
        <w:t xml:space="preserve"> (such as opportunities to teach throughout the preparation program, extent and nature of clinical practice)</w:t>
      </w:r>
      <w:r w:rsidRPr="00D60322">
        <w:t xml:space="preserve"> that are related to teacher effectiveness (as measured by </w:t>
      </w:r>
      <w:r>
        <w:t xml:space="preserve">higher </w:t>
      </w:r>
      <w:r w:rsidRPr="00D60322">
        <w:t xml:space="preserve">student test scores), essentially considering each preparation feature as a potential </w:t>
      </w:r>
      <w:r w:rsidR="00D06E8C">
        <w:t>channel</w:t>
      </w:r>
      <w:r w:rsidRPr="00D60322">
        <w:t xml:space="preserve"> through which preparation programs affect teacher </w:t>
      </w:r>
      <w:r w:rsidRPr="000317B1">
        <w:t>effectiveness. To address this question, the study will estimate the relationship between the school-specific estimates yielded by the impact model in Equation 1 (</w:t>
      </w:r>
      <m:oMath>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j</m:t>
                </m:r>
              </m:sub>
            </m:sSub>
          </m:e>
        </m:acc>
      </m:oMath>
      <w:r w:rsidRPr="000317B1">
        <w:rPr>
          <w:rFonts w:eastAsiaTheme="minorEastAsia"/>
        </w:rPr>
        <w:t>)</w:t>
      </w:r>
      <w:r w:rsidRPr="000317B1">
        <w:t xml:space="preserve"> and the treatment-control differences in the indicator variables that capture whether the preparation program of a teacher implemented a particular feature or not:</w:t>
      </w:r>
    </w:p>
    <w:p w:rsidR="00DE0060" w:rsidRPr="000317B1" w:rsidRDefault="00DE0060" w:rsidP="00DE0060">
      <w:pPr>
        <w:pStyle w:val="BodyText"/>
      </w:pPr>
      <w:r w:rsidRPr="000317B1">
        <w:t>(3)</w:t>
      </w:r>
      <w:r w:rsidRPr="000317B1">
        <w:tab/>
      </w:r>
      <m:oMath>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j</m:t>
                </m:r>
              </m:sub>
            </m:sSub>
          </m:e>
        </m:acc>
        <m:r>
          <w:rPr>
            <w:rFonts w:ascii="Cambria Math" w:hAnsi="Cambria Math"/>
          </w:rPr>
          <m:t>=δ+</m:t>
        </m:r>
        <m:sSub>
          <m:sSubPr>
            <m:ctrlPr>
              <w:rPr>
                <w:rFonts w:ascii="Cambria Math" w:hAnsi="Cambria Math"/>
                <w:i/>
              </w:rPr>
            </m:ctrlPr>
          </m:sSubPr>
          <m:e>
            <m:nary>
              <m:naryPr>
                <m:chr m:val="∑"/>
                <m:limLoc m:val="subSup"/>
                <m:ctrlPr>
                  <w:rPr>
                    <w:rFonts w:ascii="Cambria Math" w:hAnsi="Cambria Math"/>
                    <w:i/>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ψ</m:t>
                    </m:r>
                  </m:e>
                  <m:sub>
                    <m:r>
                      <w:rPr>
                        <w:rFonts w:ascii="Cambria Math" w:hAnsi="Cambria Math"/>
                      </w:rPr>
                      <m:t>m</m:t>
                    </m:r>
                  </m:sub>
                </m:sSub>
                <m:sSubSup>
                  <m:sSubSupPr>
                    <m:ctrlPr>
                      <w:rPr>
                        <w:rFonts w:ascii="Cambria Math" w:hAnsi="Cambria Math"/>
                        <w:i/>
                      </w:rPr>
                    </m:ctrlPr>
                  </m:sSubSupPr>
                  <m:e>
                    <m:r>
                      <m:rPr>
                        <m:sty m:val="p"/>
                      </m:rPr>
                      <w:rPr>
                        <w:rFonts w:ascii="Cambria Math" w:hAnsi="Cambria Math"/>
                      </w:rPr>
                      <m:t>Δ</m:t>
                    </m:r>
                    <m:r>
                      <w:rPr>
                        <w:rFonts w:ascii="Cambria Math" w:hAnsi="Cambria Math"/>
                      </w:rPr>
                      <m:t>F</m:t>
                    </m:r>
                  </m:e>
                  <m:sub>
                    <m:r>
                      <w:rPr>
                        <w:rFonts w:ascii="Cambria Math" w:hAnsi="Cambria Math"/>
                      </w:rPr>
                      <m:t>j</m:t>
                    </m:r>
                  </m:sub>
                  <m:sup>
                    <m:r>
                      <w:rPr>
                        <w:rFonts w:ascii="Cambria Math" w:hAnsi="Cambria Math"/>
                      </w:rPr>
                      <m:t>m</m:t>
                    </m:r>
                  </m:sup>
                </m:sSubSup>
              </m:e>
            </m:nary>
            <m:r>
              <w:rPr>
                <w:rFonts w:ascii="Cambria Math" w:hAnsi="Cambria Math"/>
              </w:rPr>
              <m:t>+μ</m:t>
            </m:r>
          </m:e>
          <m:sub>
            <m:r>
              <w:rPr>
                <w:rFonts w:ascii="Cambria Math" w:hAnsi="Cambria Math"/>
              </w:rPr>
              <m:t>j</m:t>
            </m:r>
          </m:sub>
        </m:sSub>
      </m:oMath>
    </w:p>
    <w:p w:rsidR="00DE0060" w:rsidRPr="000317B1" w:rsidRDefault="00DE0060" w:rsidP="00DE0060">
      <w:pPr>
        <w:pStyle w:val="BodyText"/>
      </w:pPr>
      <w:r w:rsidRPr="000317B1">
        <w:t>where:</w:t>
      </w:r>
    </w:p>
    <w:p w:rsidR="00DE0060" w:rsidRPr="00D60322" w:rsidRDefault="00896BD3" w:rsidP="00DE0060">
      <w:pPr>
        <w:pStyle w:val="BodyText"/>
        <w:ind w:left="360"/>
      </w:pPr>
      <m:oMath>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j</m:t>
                </m:r>
              </m:sub>
            </m:sSub>
          </m:e>
        </m:acc>
      </m:oMath>
      <w:r w:rsidR="00DE0060" w:rsidRPr="000317B1">
        <w:rPr>
          <w:rFonts w:eastAsiaTheme="minorEastAsia"/>
        </w:rPr>
        <w:t>: impact</w:t>
      </w:r>
      <w:r w:rsidR="00DE0060">
        <w:rPr>
          <w:rFonts w:eastAsiaTheme="minorEastAsia"/>
        </w:rPr>
        <w:t xml:space="preserve"> estimate for school </w:t>
      </w:r>
      <w:r w:rsidR="00DE0060" w:rsidRPr="005150CB">
        <w:rPr>
          <w:rFonts w:eastAsiaTheme="minorEastAsia"/>
          <w:i/>
        </w:rPr>
        <w:t>j</w:t>
      </w:r>
      <w:r w:rsidR="00DE0060">
        <w:rPr>
          <w:rFonts w:eastAsiaTheme="minorEastAsia"/>
          <w:i/>
        </w:rPr>
        <w:t>;</w:t>
      </w:r>
    </w:p>
    <w:p w:rsidR="00DE0060" w:rsidRPr="00D60322" w:rsidRDefault="00896BD3" w:rsidP="00DE0060">
      <w:pPr>
        <w:pStyle w:val="BodyText"/>
        <w:ind w:left="360"/>
      </w:pPr>
      <m:oMath>
        <m:sSubSup>
          <m:sSubSupPr>
            <m:ctrlPr>
              <w:rPr>
                <w:rFonts w:ascii="Cambria Math" w:hAnsi="Cambria Math"/>
                <w:i/>
              </w:rPr>
            </m:ctrlPr>
          </m:sSubSupPr>
          <m:e>
            <m:r>
              <m:rPr>
                <m:sty m:val="p"/>
              </m:rPr>
              <w:rPr>
                <w:rFonts w:ascii="Cambria Math" w:hAnsi="Cambria Math"/>
              </w:rPr>
              <m:t>Δ</m:t>
            </m:r>
            <m:r>
              <w:rPr>
                <w:rFonts w:ascii="Cambria Math" w:hAnsi="Cambria Math"/>
              </w:rPr>
              <m:t>F</m:t>
            </m:r>
          </m:e>
          <m:sub>
            <m:r>
              <w:rPr>
                <w:rFonts w:ascii="Cambria Math" w:hAnsi="Cambria Math"/>
              </w:rPr>
              <m:t>j</m:t>
            </m:r>
          </m:sub>
          <m:sup>
            <m:r>
              <w:rPr>
                <w:rFonts w:ascii="Cambria Math" w:hAnsi="Cambria Math"/>
              </w:rPr>
              <m:t>m</m:t>
            </m:r>
          </m:sup>
        </m:sSubSup>
        <m:r>
          <w:rPr>
            <w:rFonts w:ascii="Cambria Math" w:hAnsi="Cambria Math"/>
          </w:rPr>
          <m:t>:</m:t>
        </m:r>
      </m:oMath>
      <w:r w:rsidR="00DE0060">
        <w:rPr>
          <w:rFonts w:eastAsiaTheme="minorEastAsia"/>
        </w:rPr>
        <w:t xml:space="preserve"> equals </w:t>
      </w:r>
      <m:oMath>
        <m:sSubSup>
          <m:sSubSupPr>
            <m:ctrlPr>
              <w:rPr>
                <w:rFonts w:ascii="Cambria Math" w:hAnsi="Cambria Math"/>
                <w:i/>
              </w:rPr>
            </m:ctrlPr>
          </m:sSubSupPr>
          <m:e>
            <m:r>
              <w:rPr>
                <w:rFonts w:ascii="Cambria Math" w:hAnsi="Cambria Math"/>
              </w:rPr>
              <m:t>T</m:t>
            </m:r>
          </m:e>
          <m:sub>
            <m:r>
              <w:rPr>
                <w:rFonts w:ascii="Cambria Math" w:hAnsi="Cambria Math"/>
              </w:rPr>
              <m:t>j</m:t>
            </m:r>
          </m:sub>
          <m:sup>
            <m:r>
              <w:rPr>
                <w:rFonts w:ascii="Cambria Math" w:hAnsi="Cambria Math"/>
              </w:rPr>
              <m:t>m</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m</m:t>
            </m:r>
          </m:sup>
        </m:sSubSup>
      </m:oMath>
      <w:r w:rsidR="00DE0060">
        <w:rPr>
          <w:rFonts w:eastAsiaTheme="minorEastAsia"/>
        </w:rPr>
        <w:t xml:space="preserve">, where </w:t>
      </w:r>
      <m:oMath>
        <m:sSubSup>
          <m:sSubSupPr>
            <m:ctrlPr>
              <w:rPr>
                <w:rFonts w:ascii="Cambria Math" w:hAnsi="Cambria Math"/>
                <w:i/>
              </w:rPr>
            </m:ctrlPr>
          </m:sSubSupPr>
          <m:e>
            <m:r>
              <w:rPr>
                <w:rFonts w:ascii="Cambria Math" w:hAnsi="Cambria Math"/>
              </w:rPr>
              <m:t>T</m:t>
            </m:r>
          </m:e>
          <m:sub>
            <m:r>
              <w:rPr>
                <w:rFonts w:ascii="Cambria Math" w:hAnsi="Cambria Math"/>
              </w:rPr>
              <m:t>j</m:t>
            </m:r>
          </m:sub>
          <m:sup>
            <m:r>
              <w:rPr>
                <w:rFonts w:ascii="Cambria Math" w:hAnsi="Cambria Math"/>
              </w:rPr>
              <m:t>m</m:t>
            </m:r>
          </m:sup>
        </m:sSubSup>
      </m:oMath>
      <w:r w:rsidR="00DE0060">
        <w:rPr>
          <w:rFonts w:eastAsiaTheme="minorEastAsia"/>
        </w:rPr>
        <w:t xml:space="preserve"> equals one if the treatment teacher in school </w:t>
      </w:r>
      <w:r w:rsidR="00DE0060" w:rsidRPr="006E5DCC">
        <w:rPr>
          <w:rFonts w:eastAsiaTheme="minorEastAsia"/>
          <w:i/>
        </w:rPr>
        <w:t>j</w:t>
      </w:r>
      <w:r w:rsidR="00DE0060">
        <w:rPr>
          <w:rFonts w:eastAsiaTheme="minorEastAsia"/>
        </w:rPr>
        <w:t xml:space="preserve"> experienced the </w:t>
      </w:r>
      <w:r w:rsidR="00DE0060" w:rsidRPr="006E5DCC">
        <w:rPr>
          <w:rFonts w:eastAsiaTheme="minorEastAsia"/>
          <w:i/>
        </w:rPr>
        <w:t>m</w:t>
      </w:r>
      <w:r w:rsidR="00DE0060" w:rsidRPr="006E5DCC">
        <w:rPr>
          <w:rFonts w:eastAsiaTheme="minorEastAsia"/>
          <w:vertAlign w:val="superscript"/>
        </w:rPr>
        <w:t>th</w:t>
      </w:r>
      <w:r w:rsidR="00DE0060">
        <w:rPr>
          <w:rFonts w:eastAsiaTheme="minorEastAsia"/>
        </w:rPr>
        <w:t xml:space="preserve"> targeted feature and zero otherwise and </w:t>
      </w:r>
      <m:oMath>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m</m:t>
            </m:r>
          </m:sup>
        </m:sSubSup>
      </m:oMath>
      <w:r w:rsidR="00DE0060">
        <w:rPr>
          <w:rFonts w:eastAsiaTheme="minorEastAsia"/>
        </w:rPr>
        <w:t xml:space="preserve"> is defined in a similar fashion for the control teacher in school </w:t>
      </w:r>
      <w:r w:rsidR="00DE0060" w:rsidRPr="006E5DCC">
        <w:rPr>
          <w:rFonts w:eastAsiaTheme="minorEastAsia"/>
          <w:i/>
        </w:rPr>
        <w:t>j</w:t>
      </w:r>
      <w:r w:rsidR="00DE0060" w:rsidRPr="00D60322">
        <w:t>; and</w:t>
      </w:r>
    </w:p>
    <w:p w:rsidR="00DE0060" w:rsidRPr="00D60322" w:rsidRDefault="00896BD3" w:rsidP="00DE0060">
      <w:pPr>
        <w:pStyle w:val="BodyText"/>
        <w:ind w:left="360"/>
      </w:pPr>
      <m:oMath>
        <m:sSub>
          <m:sSubPr>
            <m:ctrlPr>
              <w:rPr>
                <w:rFonts w:ascii="Cambria Math" w:hAnsi="Cambria Math"/>
                <w:i/>
              </w:rPr>
            </m:ctrlPr>
          </m:sSubPr>
          <m:e>
            <m:r>
              <w:rPr>
                <w:rFonts w:ascii="Cambria Math" w:hAnsi="Cambria Math"/>
              </w:rPr>
              <m:t>μ</m:t>
            </m:r>
          </m:e>
          <m:sub>
            <m:r>
              <w:rPr>
                <w:rFonts w:ascii="Cambria Math" w:hAnsi="Cambria Math"/>
              </w:rPr>
              <m:t>j</m:t>
            </m:r>
          </m:sub>
        </m:sSub>
      </m:oMath>
      <w:r w:rsidR="00DE0060">
        <w:t>: residual</w:t>
      </w:r>
      <w:r w:rsidR="00DE0060" w:rsidRPr="00D60322">
        <w:t xml:space="preserve"> for </w:t>
      </w:r>
      <w:r w:rsidR="00DE0060">
        <w:t>school</w:t>
      </w:r>
      <w:r w:rsidR="00DE0060" w:rsidRPr="00D60322">
        <w:t xml:space="preserve"> </w:t>
      </w:r>
      <w:r w:rsidR="00DE0060" w:rsidRPr="00D60322">
        <w:rPr>
          <w:i/>
        </w:rPr>
        <w:t>j</w:t>
      </w:r>
      <w:r w:rsidR="00DE0060" w:rsidRPr="00D60322">
        <w:t xml:space="preserve"> assumed to be normally distributed with mean </w:t>
      </w:r>
      <w:r w:rsidR="00DE0060">
        <w:t>zero and variance</w:t>
      </w:r>
      <w:r w:rsidR="00DE0060" w:rsidRPr="00D60322">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μ</m:t>
            </m:r>
          </m:sub>
          <m:sup>
            <m:r>
              <w:rPr>
                <w:rFonts w:ascii="Cambria Math" w:hAnsi="Cambria Math"/>
              </w:rPr>
              <m:t>2</m:t>
            </m:r>
          </m:sup>
        </m:sSubSup>
        <m:r>
          <w:rPr>
            <w:rFonts w:ascii="Cambria Math" w:hAnsi="Cambria Math"/>
          </w:rPr>
          <m:t>.</m:t>
        </m:r>
      </m:oMath>
      <w:r w:rsidR="00DE0060">
        <w:t xml:space="preserve"> </w:t>
      </w:r>
    </w:p>
    <w:p w:rsidR="00DE0060" w:rsidRDefault="00DE0060" w:rsidP="00DE0060">
      <w:r>
        <w:t xml:space="preserve">In this model, </w:t>
      </w:r>
      <m:oMath>
        <m:sSub>
          <m:sSubPr>
            <m:ctrlPr>
              <w:rPr>
                <w:rFonts w:ascii="Cambria Math" w:hAnsi="Cambria Math"/>
                <w:i/>
              </w:rPr>
            </m:ctrlPr>
          </m:sSubPr>
          <m:e>
            <m:r>
              <w:rPr>
                <w:rFonts w:ascii="Cambria Math" w:hAnsi="Cambria Math"/>
              </w:rPr>
              <m:t>ψ</m:t>
            </m:r>
          </m:e>
          <m:sub>
            <m:r>
              <w:rPr>
                <w:rFonts w:ascii="Cambria Math" w:hAnsi="Cambria Math"/>
              </w:rPr>
              <m:t>m</m:t>
            </m:r>
          </m:sub>
        </m:sSub>
      </m:oMath>
      <w:r>
        <w:rPr>
          <w:rFonts w:eastAsiaTheme="minorEastAsia"/>
        </w:rPr>
        <w:t xml:space="preserve"> captures the association between teachers’ effectiveness and the </w:t>
      </w:r>
      <w:r w:rsidRPr="006E5DCC">
        <w:rPr>
          <w:rFonts w:eastAsiaTheme="minorEastAsia"/>
          <w:i/>
        </w:rPr>
        <w:t>m</w:t>
      </w:r>
      <w:r w:rsidRPr="006E5DCC">
        <w:rPr>
          <w:rFonts w:eastAsiaTheme="minorEastAsia"/>
          <w:vertAlign w:val="superscript"/>
        </w:rPr>
        <w:t>th</w:t>
      </w:r>
      <w:r>
        <w:rPr>
          <w:rFonts w:eastAsiaTheme="minorEastAsia"/>
        </w:rPr>
        <w:t xml:space="preserve"> feature while controlling for the other features.</w:t>
      </w:r>
      <w:r w:rsidRPr="00D60322">
        <w:t xml:space="preserve"> </w:t>
      </w:r>
      <w:r>
        <w:t>It is important to note that indicators of the treatment-control differences in the targeted features may be correlated, which may reduce the ability to disentangle one feature from others. Also note that the estimated associations between teachers’ effectiveness and program features</w:t>
      </w:r>
      <w:r w:rsidRPr="00D60322">
        <w:t xml:space="preserve"> may not be causal because of the s</w:t>
      </w:r>
      <w:r>
        <w:t xml:space="preserve">elf-selection of teachers into preparation programs.   </w:t>
      </w:r>
    </w:p>
    <w:p w:rsidR="00DE0060" w:rsidRDefault="00DE0060" w:rsidP="00DE0060">
      <w:pPr>
        <w:pStyle w:val="BodyText"/>
      </w:pPr>
      <w:r>
        <w:t xml:space="preserve">Finally, the analyses conducted to address the fifth research question </w:t>
      </w:r>
      <w:r w:rsidRPr="003A1F2E">
        <w:t>will compare test scores of</w:t>
      </w:r>
      <w:r>
        <w:t xml:space="preserve"> EL </w:t>
      </w:r>
      <w:r w:rsidRPr="003A1F2E">
        <w:t xml:space="preserve">students taught by teachers </w:t>
      </w:r>
      <w:r>
        <w:t xml:space="preserve">who graduated </w:t>
      </w:r>
      <w:r w:rsidRPr="003A1F2E">
        <w:t xml:space="preserve">from preparation programs implementing all or some of the key </w:t>
      </w:r>
      <w:r>
        <w:t>targeted</w:t>
      </w:r>
      <w:r w:rsidRPr="003A1F2E">
        <w:t xml:space="preserve"> program features (group A) to those taught by teachers </w:t>
      </w:r>
      <w:r w:rsidR="001E3AFB">
        <w:t xml:space="preserve">who have not experienced the targeted features </w:t>
      </w:r>
      <w:r w:rsidRPr="003A1F2E">
        <w:t xml:space="preserve">(group B) using extant data collected from states in which it is possible to link student records to teachers. </w:t>
      </w:r>
      <w:r>
        <w:t xml:space="preserve">If there is sufficient extant data, the study team will perform a similar analysis </w:t>
      </w:r>
      <w:r w:rsidR="001E3AFB">
        <w:t>for students with disabilities (SWD)</w:t>
      </w:r>
      <w:r>
        <w:t xml:space="preserve">. </w:t>
      </w:r>
      <w:r w:rsidRPr="003A1F2E">
        <w:t>These analyses will also control for student scores from the previous year and grade to account for the fact that particular types (e.g., higher or lower performing) of students may be assigned to particular teachers, essentially comparing</w:t>
      </w:r>
      <w:r>
        <w:t xml:space="preserve"> </w:t>
      </w:r>
      <w:r w:rsidRPr="003A1F2E">
        <w:t>value-added (for</w:t>
      </w:r>
      <w:r>
        <w:t xml:space="preserve"> EL </w:t>
      </w:r>
      <w:r w:rsidRPr="003A1F2E">
        <w:t>students) of teachers from group A to that from group B.</w:t>
      </w:r>
    </w:p>
    <w:p w:rsidR="00CE02F4" w:rsidRDefault="00CE02F4" w:rsidP="00CE02F4">
      <w:pPr>
        <w:pStyle w:val="Heading3"/>
      </w:pPr>
      <w:r>
        <w:t>Degree of Accuracy Needed</w:t>
      </w:r>
      <w:bookmarkEnd w:id="7"/>
    </w:p>
    <w:p w:rsidR="00D06E8C" w:rsidRDefault="00CA375D" w:rsidP="00CA375D">
      <w:pPr>
        <w:pStyle w:val="BodyText"/>
      </w:pPr>
      <w:r>
        <w:t xml:space="preserve">This section presents the power analyses conducted to estimate the minimum detectable effect sizes (MDES) for the treatment/control differences on student and teacher outcomes to address the first and </w:t>
      </w:r>
      <w:r w:rsidRPr="000317B1">
        <w:t xml:space="preserve">second research questions, respectively. The power analysis conducted for the student outcomes utilizes the MDES formula provided by Schochet (2005, 2008a) for an RCT design that entails the random assignment of students within schools and the corresponding impact model in Equation 1. </w:t>
      </w:r>
      <w:r w:rsidR="00D06E8C" w:rsidRPr="000317B1">
        <w:t xml:space="preserve">A technical consideration is that this model </w:t>
      </w:r>
      <w:r w:rsidRPr="000317B1">
        <w:t>treats school</w:t>
      </w:r>
      <w:r w:rsidR="001E2882" w:rsidRPr="000317B1">
        <w:t xml:space="preserve"> </w:t>
      </w:r>
      <w:r w:rsidRPr="000317B1">
        <w:t xml:space="preserve">effects as </w:t>
      </w:r>
      <w:r w:rsidRPr="000317B1">
        <w:rPr>
          <w:i/>
        </w:rPr>
        <w:t>fixed</w:t>
      </w:r>
      <w:r w:rsidRPr="000317B1">
        <w:t xml:space="preserve"> instead of</w:t>
      </w:r>
      <w:r>
        <w:t xml:space="preserve"> </w:t>
      </w:r>
      <w:r w:rsidRPr="0036155E">
        <w:rPr>
          <w:i/>
        </w:rPr>
        <w:t>random</w:t>
      </w:r>
      <w:r w:rsidR="003738B0">
        <w:t xml:space="preserve"> since the study</w:t>
      </w:r>
      <w:r>
        <w:t xml:space="preserve"> will utilize a purposively se</w:t>
      </w:r>
      <w:r w:rsidR="003738B0">
        <w:t xml:space="preserve">lected sample of schools and </w:t>
      </w:r>
      <w:r w:rsidR="001E2882">
        <w:t xml:space="preserve">will </w:t>
      </w:r>
      <w:r w:rsidR="003738B0">
        <w:t>not generalize</w:t>
      </w:r>
      <w:r w:rsidR="00D06E8C">
        <w:t xml:space="preserve"> results beyond this sample. And as noted above it does not include a teacher </w:t>
      </w:r>
      <w:r>
        <w:t>level</w:t>
      </w:r>
      <w:r w:rsidR="00D06E8C">
        <w:t xml:space="preserve"> because teachers and schools would be confounded</w:t>
      </w:r>
      <w:r>
        <w:t xml:space="preserve">. </w:t>
      </w:r>
    </w:p>
    <w:p w:rsidR="00CA375D" w:rsidRDefault="00D06E8C" w:rsidP="00CA375D">
      <w:pPr>
        <w:pStyle w:val="BodyText"/>
      </w:pPr>
      <w:r>
        <w:t>Power</w:t>
      </w:r>
      <w:r w:rsidR="00CA375D">
        <w:t xml:space="preserve"> analyses </w:t>
      </w:r>
      <w:r>
        <w:t>were based on th</w:t>
      </w:r>
      <w:r w:rsidR="00CA375D">
        <w:t>e following MDES formula:</w:t>
      </w:r>
    </w:p>
    <w:p w:rsidR="00CA375D" w:rsidRDefault="00CA375D" w:rsidP="00CA375D">
      <w:pPr>
        <w:pStyle w:val="BodyText"/>
      </w:pPr>
      <w:r>
        <w:t>(4)</w:t>
      </w:r>
      <w:r>
        <w:tab/>
      </w:r>
      <m:oMath>
        <m:r>
          <w:rPr>
            <w:rFonts w:ascii="Cambria Math" w:hAnsi="Cambria Math"/>
          </w:rPr>
          <m:t>MDES=</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α</m:t>
                    </m:r>
                  </m:num>
                  <m:den>
                    <m:r>
                      <w:rPr>
                        <w:rFonts w:ascii="Cambria Math" w:hAnsi="Cambria Math"/>
                      </w:rPr>
                      <m:t>2</m:t>
                    </m:r>
                  </m:den>
                </m:f>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-1</m:t>
                </m:r>
              </m:sup>
            </m:sSup>
            <m:d>
              <m:dPr>
                <m:ctrlPr>
                  <w:rPr>
                    <w:rFonts w:ascii="Cambria Math" w:hAnsi="Cambria Math"/>
                    <w:i/>
                  </w:rPr>
                </m:ctrlPr>
              </m:dPr>
              <m:e>
                <m:r>
                  <w:rPr>
                    <w:rFonts w:ascii="Cambria Math" w:hAnsi="Cambria Math"/>
                  </w:rPr>
                  <m:t>β</m:t>
                </m:r>
              </m:e>
            </m:d>
          </m:e>
        </m:d>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(1-</m:t>
                </m:r>
                <m:sSubSup>
                  <m:sSubSupPr>
                    <m:ctrlPr>
                      <w:rPr>
                        <w:rFonts w:ascii="Cambria Math" w:hAnsi="Cambria Math"/>
                        <w:i/>
                      </w:rPr>
                    </m:ctrlPr>
                  </m:sSubSupPr>
                  <m:e>
                    <m:r>
                      <w:rPr>
                        <w:rFonts w:ascii="Cambria Math" w:hAnsi="Cambria Math"/>
                      </w:rPr>
                      <m:t>R</m:t>
                    </m:r>
                  </m:e>
                  <m:sub>
                    <m:r>
                      <w:rPr>
                        <w:rFonts w:ascii="Cambria Math" w:hAnsi="Cambria Math"/>
                      </w:rPr>
                      <m:t>ε</m:t>
                    </m:r>
                  </m:sub>
                  <m:sup>
                    <m:r>
                      <w:rPr>
                        <w:rFonts w:ascii="Cambria Math" w:hAnsi="Cambria Math"/>
                      </w:rPr>
                      <m:t>2</m:t>
                    </m:r>
                  </m:sup>
                </m:sSubSup>
                <m:r>
                  <w:rPr>
                    <w:rFonts w:ascii="Cambria Math" w:hAnsi="Cambria Math"/>
                  </w:rPr>
                  <m:t>)</m:t>
                </m:r>
              </m:num>
              <m:den>
                <m:r>
                  <w:rPr>
                    <w:rFonts w:ascii="Cambria Math" w:hAnsi="Cambria Math"/>
                  </w:rPr>
                  <m:t>0.25stn</m:t>
                </m:r>
              </m:den>
            </m:f>
          </m:e>
        </m:rad>
        <m:r>
          <w:rPr>
            <w:rFonts w:ascii="Cambria Math" w:hAnsi="Cambria Math"/>
          </w:rPr>
          <m:t xml:space="preserve"> /σ</m:t>
        </m:r>
      </m:oMath>
    </w:p>
    <w:p w:rsidR="00CA375D" w:rsidRDefault="00CA375D" w:rsidP="00CA375D">
      <w:pPr>
        <w:pStyle w:val="BodyText"/>
      </w:pPr>
      <w:r>
        <w:t xml:space="preserve">where: </w:t>
      </w:r>
    </w:p>
    <w:p w:rsidR="00CA375D" w:rsidRDefault="00CA375D" w:rsidP="001A20EE">
      <w:pPr>
        <w:pStyle w:val="BodyText"/>
        <w:ind w:left="360"/>
      </w:pPr>
      <m:oMath>
        <m:r>
          <w:rPr>
            <w:rFonts w:ascii="Cambria Math" w:hAnsi="Cambria Math"/>
          </w:rPr>
          <m:t>α</m:t>
        </m:r>
      </m:oMath>
      <w:r>
        <w:rPr>
          <w:rFonts w:eastAsiaTheme="minorEastAsia"/>
        </w:rPr>
        <w:t>:</w:t>
      </w:r>
      <w:r>
        <w:t xml:space="preserve"> significance level for a two-tailed test;</w:t>
      </w:r>
    </w:p>
    <w:p w:rsidR="00CA375D" w:rsidRDefault="00CA375D" w:rsidP="001A20EE">
      <w:pPr>
        <w:pStyle w:val="BodyText"/>
        <w:ind w:left="360"/>
      </w:pPr>
      <m:oMath>
        <m:r>
          <w:rPr>
            <w:rFonts w:ascii="Cambria Math" w:hAnsi="Cambria Math"/>
          </w:rPr>
          <m:t>β</m:t>
        </m:r>
      </m:oMath>
      <w:r>
        <w:t>:</w:t>
      </w:r>
      <w:r w:rsidR="00344AB5">
        <w:t xml:space="preserve"> </w:t>
      </w:r>
      <w:r>
        <w:t>statistical power;</w:t>
      </w:r>
    </w:p>
    <w:p w:rsidR="00CA375D" w:rsidRDefault="00896BD3" w:rsidP="001A20EE">
      <w:pPr>
        <w:pStyle w:val="BodyText"/>
        <w:ind w:left="360"/>
      </w:pPr>
      <m:oMath>
        <m:sSup>
          <m:sSupPr>
            <m:ctrlPr>
              <w:rPr>
                <w:rFonts w:ascii="Cambria Math" w:hAnsi="Cambria Math"/>
                <w:i/>
              </w:rPr>
            </m:ctrlPr>
          </m:sSupPr>
          <m:e>
            <m:r>
              <w:rPr>
                <w:rFonts w:ascii="Cambria Math" w:hAnsi="Cambria Math"/>
              </w:rPr>
              <m:t>T</m:t>
            </m:r>
          </m:e>
          <m:sup>
            <m:r>
              <w:rPr>
                <w:rFonts w:ascii="Cambria Math" w:hAnsi="Cambria Math"/>
              </w:rPr>
              <m:t>-1</m:t>
            </m:r>
          </m:sup>
        </m:sSup>
        <m:r>
          <w:rPr>
            <w:rFonts w:ascii="Cambria Math" w:hAnsi="Cambria Math"/>
          </w:rPr>
          <m:t>(.)</m:t>
        </m:r>
      </m:oMath>
      <w:r w:rsidR="00CA375D">
        <w:t xml:space="preserve"> is the inverse of the student’s t distribution function with degrees of freedom </w:t>
      </w:r>
      <m:oMath>
        <m:r>
          <w:rPr>
            <w:rFonts w:ascii="Cambria Math" w:hAnsi="Cambria Math"/>
          </w:rPr>
          <m:t>df</m:t>
        </m:r>
      </m:oMath>
      <w:r w:rsidR="00CA375D">
        <w:rPr>
          <w:rFonts w:eastAsiaTheme="minorEastAsia"/>
        </w:rPr>
        <w:t xml:space="preserve"> (which equals </w:t>
      </w:r>
      <m:oMath>
        <m:r>
          <w:rPr>
            <w:rFonts w:ascii="Cambria Math" w:eastAsiaTheme="minorEastAsia" w:hAnsi="Cambria Math"/>
          </w:rPr>
          <m:t>s*t*n-s-1</m:t>
        </m:r>
      </m:oMath>
      <w:r w:rsidR="00CA375D">
        <w:rPr>
          <w:rFonts w:eastAsiaTheme="minorEastAsia"/>
        </w:rPr>
        <w:t>)</w:t>
      </w:r>
      <w:r w:rsidR="00CA375D">
        <w:t>;</w:t>
      </w:r>
    </w:p>
    <w:p w:rsidR="00CA375D" w:rsidRDefault="00896BD3" w:rsidP="001A20EE">
      <w:pPr>
        <w:pStyle w:val="BodyText"/>
        <w:ind w:left="360"/>
      </w:pPr>
      <m:oMath>
        <m:sSub>
          <m:sSubPr>
            <m:ctrlPr>
              <w:rPr>
                <w:rFonts w:ascii="Cambria Math" w:hAnsi="Cambria Math"/>
                <w:i/>
              </w:rPr>
            </m:ctrlPr>
          </m:sSubPr>
          <m:e>
            <m:r>
              <w:rPr>
                <w:rFonts w:ascii="Cambria Math" w:hAnsi="Cambria Math"/>
              </w:rPr>
              <m:t>σ</m:t>
            </m:r>
          </m:e>
          <m:sub>
            <m:r>
              <w:rPr>
                <w:rFonts w:ascii="Cambria Math" w:hAnsi="Cambria Math"/>
              </w:rPr>
              <m:t>s</m:t>
            </m:r>
          </m:sub>
        </m:sSub>
      </m:oMath>
      <w:r w:rsidR="00CA375D">
        <w:t>: standard deviation of the outcome measure (assumed to be 1 in this case);</w:t>
      </w:r>
    </w:p>
    <w:p w:rsidR="00CA375D" w:rsidRDefault="00CA375D" w:rsidP="001A20EE">
      <w:pPr>
        <w:pStyle w:val="BodyText"/>
        <w:ind w:left="360"/>
      </w:pPr>
      <m:oMath>
        <m:r>
          <w:rPr>
            <w:rFonts w:ascii="Cambria Math" w:hAnsi="Cambria Math"/>
          </w:rPr>
          <m:t>s</m:t>
        </m:r>
      </m:oMath>
      <w:r>
        <w:t>: total number of schools;</w:t>
      </w:r>
    </w:p>
    <w:p w:rsidR="00CA375D" w:rsidRDefault="00CA375D" w:rsidP="001A20EE">
      <w:pPr>
        <w:pStyle w:val="BodyText"/>
        <w:ind w:left="360"/>
      </w:pPr>
      <w:r>
        <w:rPr>
          <w:i/>
        </w:rPr>
        <w:t xml:space="preserve">t: </w:t>
      </w:r>
      <w:r>
        <w:t>number of teachers per school (set to 2);</w:t>
      </w:r>
    </w:p>
    <w:p w:rsidR="00CA375D" w:rsidRDefault="00CA375D" w:rsidP="001A20EE">
      <w:pPr>
        <w:pStyle w:val="BodyText"/>
        <w:ind w:left="360"/>
      </w:pPr>
      <m:oMath>
        <m:r>
          <w:rPr>
            <w:rFonts w:ascii="Cambria Math" w:hAnsi="Cambria Math"/>
          </w:rPr>
          <m:t>n</m:t>
        </m:r>
      </m:oMath>
      <w:r>
        <w:t xml:space="preserve">: average number of students per classroom with a valid outcome measure after account for attrition and non-response; and </w:t>
      </w:r>
    </w:p>
    <w:p w:rsidR="00CA375D" w:rsidRDefault="00896BD3" w:rsidP="00876435">
      <w:pPr>
        <w:pStyle w:val="BodyText"/>
        <w:spacing w:after="240"/>
        <w:ind w:firstLine="360"/>
      </w:pPr>
      <m:oMath>
        <m:sSubSup>
          <m:sSubSupPr>
            <m:ctrlPr>
              <w:rPr>
                <w:rFonts w:ascii="Cambria Math" w:hAnsi="Cambria Math"/>
                <w:i/>
              </w:rPr>
            </m:ctrlPr>
          </m:sSubSupPr>
          <m:e>
            <m:r>
              <w:rPr>
                <w:rFonts w:ascii="Cambria Math" w:hAnsi="Cambria Math"/>
              </w:rPr>
              <m:t>R</m:t>
            </m:r>
          </m:e>
          <m:sub>
            <m:r>
              <w:rPr>
                <w:rFonts w:ascii="Cambria Math" w:hAnsi="Cambria Math"/>
              </w:rPr>
              <m:t>ε</m:t>
            </m:r>
          </m:sub>
          <m:sup>
            <m:r>
              <w:rPr>
                <w:rFonts w:ascii="Cambria Math" w:hAnsi="Cambria Math"/>
              </w:rPr>
              <m:t>2</m:t>
            </m:r>
          </m:sup>
        </m:sSubSup>
        <m:r>
          <w:rPr>
            <w:rFonts w:ascii="Cambria Math" w:hAnsi="Cambria Math"/>
          </w:rPr>
          <m:t>:</m:t>
        </m:r>
      </m:oMath>
      <w:r w:rsidR="00CA375D">
        <w:t xml:space="preserve"> proportion of the student-level variance</w:t>
      </w:r>
      <w:r w:rsidR="00344AB5">
        <w:t xml:space="preserve"> </w:t>
      </w:r>
      <w:r w:rsidR="00CA375D">
        <w:t>explained by the regressors in the model</w:t>
      </w:r>
    </w:p>
    <w:p w:rsidR="00CA375D" w:rsidRPr="00C06D7D" w:rsidRDefault="00CA375D" w:rsidP="00B30A92">
      <w:r>
        <w:t xml:space="preserve">The MDES estimates are based on the </w:t>
      </w:r>
      <w:r w:rsidRPr="00B30A92">
        <w:t>following</w:t>
      </w:r>
      <w:r>
        <w:t xml:space="preserve"> parameters, which are consistent with those reported by </w:t>
      </w:r>
      <w:r>
        <w:rPr>
          <w:rFonts w:eastAsiaTheme="minorEastAsia"/>
        </w:rPr>
        <w:t>Schochet (2005), Bloom et al.</w:t>
      </w:r>
      <w:r w:rsidR="004D60A3">
        <w:rPr>
          <w:rFonts w:eastAsiaTheme="minorEastAsia"/>
        </w:rPr>
        <w:t xml:space="preserve"> (</w:t>
      </w:r>
      <w:r>
        <w:rPr>
          <w:rFonts w:eastAsiaTheme="minorEastAsia"/>
        </w:rPr>
        <w:t>2007</w:t>
      </w:r>
      <w:r w:rsidR="004D60A3">
        <w:rPr>
          <w:rFonts w:eastAsiaTheme="minorEastAsia"/>
        </w:rPr>
        <w:t>), Hedges and Hedberg</w:t>
      </w:r>
      <w:r>
        <w:rPr>
          <w:rFonts w:eastAsiaTheme="minorEastAsia"/>
        </w:rPr>
        <w:t xml:space="preserve"> </w:t>
      </w:r>
      <w:r w:rsidR="004D60A3">
        <w:rPr>
          <w:rFonts w:eastAsiaTheme="minorEastAsia"/>
        </w:rPr>
        <w:t>(</w:t>
      </w:r>
      <w:r>
        <w:rPr>
          <w:rFonts w:eastAsiaTheme="minorEastAsia"/>
        </w:rPr>
        <w:t>2007</w:t>
      </w:r>
      <w:r w:rsidR="004D60A3">
        <w:rPr>
          <w:rFonts w:eastAsiaTheme="minorEastAsia"/>
        </w:rPr>
        <w:t>)</w:t>
      </w:r>
      <w:r>
        <w:rPr>
          <w:rFonts w:eastAsiaTheme="minorEastAsia"/>
        </w:rPr>
        <w:t xml:space="preserve">, and Kane and Staiger </w:t>
      </w:r>
      <w:r w:rsidR="004D60A3">
        <w:rPr>
          <w:rFonts w:eastAsiaTheme="minorEastAsia"/>
        </w:rPr>
        <w:t>(</w:t>
      </w:r>
      <w:r>
        <w:rPr>
          <w:rFonts w:eastAsiaTheme="minorEastAsia"/>
        </w:rPr>
        <w:t>2008):</w:t>
      </w:r>
    </w:p>
    <w:p w:rsidR="00CA375D" w:rsidRDefault="00CA375D" w:rsidP="003B1B8C">
      <w:pPr>
        <w:pStyle w:val="BodyText"/>
        <w:numPr>
          <w:ilvl w:val="0"/>
          <w:numId w:val="8"/>
        </w:numPr>
        <w:ind w:left="720"/>
      </w:pPr>
      <w:r>
        <w:rPr>
          <w:i/>
        </w:rPr>
        <w:t>Two-sided hypothesis test with the significance level</w:t>
      </w:r>
      <w:r w:rsidR="00344AB5">
        <w:rPr>
          <w:i/>
        </w:rPr>
        <w:t xml:space="preserve"> </w:t>
      </w:r>
      <w:r>
        <w:rPr>
          <w:i/>
        </w:rPr>
        <w:t>(</w:t>
      </w:r>
      <m:oMath>
        <m:r>
          <w:rPr>
            <w:rFonts w:ascii="Cambria Math" w:hAnsi="Cambria Math"/>
          </w:rPr>
          <m:t>α</m:t>
        </m:r>
      </m:oMath>
      <w:r>
        <w:rPr>
          <w:i/>
        </w:rPr>
        <w:t>)</w:t>
      </w:r>
      <w:r>
        <w:t xml:space="preserve"> = 0.05</w:t>
      </w:r>
      <w:r w:rsidR="00393CBA">
        <w:t>;</w:t>
      </w:r>
    </w:p>
    <w:p w:rsidR="00CA375D" w:rsidRDefault="00CA375D" w:rsidP="003B1B8C">
      <w:pPr>
        <w:pStyle w:val="BodyText"/>
        <w:numPr>
          <w:ilvl w:val="0"/>
          <w:numId w:val="8"/>
        </w:numPr>
        <w:ind w:left="720"/>
      </w:pPr>
      <w:r>
        <w:rPr>
          <w:i/>
        </w:rPr>
        <w:t>Statistical power (</w:t>
      </w:r>
      <m:oMath>
        <m:r>
          <w:rPr>
            <w:rFonts w:ascii="Cambria Math" w:hAnsi="Cambria Math"/>
          </w:rPr>
          <m:t>β</m:t>
        </m:r>
      </m:oMath>
      <w:r>
        <w:rPr>
          <w:i/>
        </w:rPr>
        <w:t>) =</w:t>
      </w:r>
      <w:r>
        <w:t xml:space="preserve"> 0.80;</w:t>
      </w:r>
    </w:p>
    <w:p w:rsidR="00CA375D" w:rsidRDefault="00CA375D" w:rsidP="003B1B8C">
      <w:pPr>
        <w:pStyle w:val="BodyText"/>
        <w:numPr>
          <w:ilvl w:val="0"/>
          <w:numId w:val="8"/>
        </w:numPr>
        <w:ind w:left="720"/>
      </w:pPr>
      <w:r>
        <w:rPr>
          <w:i/>
        </w:rPr>
        <w:t>Average number of students per classroom (n):</w:t>
      </w:r>
      <w:r>
        <w:t xml:space="preserve"> 15 which reflects an average class size of 2</w:t>
      </w:r>
      <w:r w:rsidR="0042491D">
        <w:t>5</w:t>
      </w:r>
      <w:r>
        <w:t xml:space="preserve"> students and </w:t>
      </w:r>
      <w:r w:rsidR="0042491D">
        <w:t xml:space="preserve">a combined </w:t>
      </w:r>
      <w:r>
        <w:t xml:space="preserve">total attrition and non-response rate of </w:t>
      </w:r>
      <w:r w:rsidR="0042491D">
        <w:t>40</w:t>
      </w:r>
      <w:r>
        <w:t>%;</w:t>
      </w:r>
    </w:p>
    <w:p w:rsidR="00CA375D" w:rsidRDefault="00CA375D" w:rsidP="003B1B8C">
      <w:pPr>
        <w:pStyle w:val="BodyText"/>
        <w:numPr>
          <w:ilvl w:val="0"/>
          <w:numId w:val="8"/>
        </w:numPr>
        <w:ind w:left="720"/>
      </w:pPr>
      <w:r w:rsidRPr="00C06D7D">
        <w:rPr>
          <w:i/>
        </w:rPr>
        <w:t>Proportion of the outcome variance explained by covariates (e.g., pre-test</w:t>
      </w:r>
      <w:r w:rsidR="00733E68">
        <w:rPr>
          <w:i/>
        </w:rPr>
        <w:t>, school fixed-effects, other covariates</w:t>
      </w:r>
      <w:r w:rsidRPr="00C06D7D">
        <w:rPr>
          <w:i/>
        </w:rPr>
        <w:t>) –</w:t>
      </w:r>
      <m:oMath>
        <m:sSubSup>
          <m:sSubSupPr>
            <m:ctrlPr>
              <w:rPr>
                <w:rFonts w:ascii="Cambria Math" w:hAnsi="Cambria Math"/>
                <w:i/>
              </w:rPr>
            </m:ctrlPr>
          </m:sSubSupPr>
          <m:e>
            <m:r>
              <w:rPr>
                <w:rFonts w:ascii="Cambria Math" w:hAnsi="Cambria Math"/>
              </w:rPr>
              <m:t>R</m:t>
            </m:r>
          </m:e>
          <m:sub>
            <m:r>
              <w:rPr>
                <w:rFonts w:ascii="Cambria Math" w:hAnsi="Cambria Math"/>
              </w:rPr>
              <m:t>ε</m:t>
            </m:r>
          </m:sub>
          <m:sup>
            <m:r>
              <w:rPr>
                <w:rFonts w:ascii="Cambria Math" w:hAnsi="Cambria Math"/>
              </w:rPr>
              <m:t>2</m:t>
            </m:r>
          </m:sup>
        </m:sSubSup>
      </m:oMath>
      <w:r w:rsidRPr="00C06D7D">
        <w:rPr>
          <w:i/>
        </w:rPr>
        <w:t>:</w:t>
      </w:r>
      <w:r>
        <w:t xml:space="preserve"> As mentioned above, previously reported values of these parameters tend to vary between 0.25 and 0.75</w:t>
      </w:r>
      <w:r w:rsidR="00B811B7">
        <w:t xml:space="preserve"> </w:t>
      </w:r>
      <w:r>
        <w:t xml:space="preserve">and considering this range, </w:t>
      </w:r>
      <w:r w:rsidR="00D35473">
        <w:t xml:space="preserve">the study team has </w:t>
      </w:r>
      <w:r>
        <w:t>conducted two separate analyses with these values to represent a lenient case (R</w:t>
      </w:r>
      <w:r w:rsidRPr="00C06D7D">
        <w:rPr>
          <w:vertAlign w:val="superscript"/>
        </w:rPr>
        <w:t>2</w:t>
      </w:r>
      <w:r>
        <w:t>=0.75) and a more conservative case (R</w:t>
      </w:r>
      <w:r w:rsidRPr="00C06D7D">
        <w:rPr>
          <w:vertAlign w:val="superscript"/>
        </w:rPr>
        <w:t>2</w:t>
      </w:r>
      <w:r>
        <w:t>=0.25).</w:t>
      </w:r>
    </w:p>
    <w:p w:rsidR="00CA375D" w:rsidRDefault="00CA375D" w:rsidP="00B30A92">
      <w:pPr>
        <w:rPr>
          <w:rFonts w:eastAsiaTheme="minorEastAsia"/>
        </w:rPr>
      </w:pPr>
      <w:r w:rsidRPr="000317B1">
        <w:rPr>
          <w:rFonts w:eastAsiaTheme="minorEastAsia"/>
        </w:rPr>
        <w:t xml:space="preserve">The first two rows in Exhibit </w:t>
      </w:r>
      <w:r w:rsidR="00185D65" w:rsidRPr="000317B1">
        <w:rPr>
          <w:rFonts w:eastAsiaTheme="minorEastAsia"/>
        </w:rPr>
        <w:t>B-</w:t>
      </w:r>
      <w:r w:rsidRPr="000317B1">
        <w:rPr>
          <w:rFonts w:eastAsiaTheme="minorEastAsia"/>
        </w:rPr>
        <w:t xml:space="preserve">1 present the corresponding MDES estimates for the impact analyses that use student test scores and the full analytic sample of 100 teacher-pairs and those that are conducted with subsamples containing 25, 50, and 75 teacher-pairs. The latter estimates are intended to inform the statistical power for analyses that investigate (i) the impact of a particular feature implemented by a subgroup of the preparation programs included in the </w:t>
      </w:r>
      <w:r w:rsidR="00053720" w:rsidRPr="000317B1">
        <w:rPr>
          <w:rFonts w:eastAsiaTheme="minorEastAsia"/>
        </w:rPr>
        <w:t xml:space="preserve">study </w:t>
      </w:r>
      <w:r w:rsidRPr="000317B1">
        <w:rPr>
          <w:rFonts w:eastAsiaTheme="minorEastAsia"/>
        </w:rPr>
        <w:t>and (ii) the impact for a particular subgroup of teachers defined by a characteristics of interest (e.g., experience level, highest degree ob</w:t>
      </w:r>
      <w:r w:rsidR="005E6167" w:rsidRPr="000317B1">
        <w:rPr>
          <w:rFonts w:eastAsiaTheme="minorEastAsia"/>
        </w:rPr>
        <w:t xml:space="preserve">tained). As seen in Exhibit </w:t>
      </w:r>
      <w:r w:rsidR="00185D65" w:rsidRPr="000317B1">
        <w:rPr>
          <w:rFonts w:eastAsiaTheme="minorEastAsia"/>
        </w:rPr>
        <w:t>B-</w:t>
      </w:r>
      <w:r w:rsidRPr="000317B1">
        <w:rPr>
          <w:rFonts w:eastAsiaTheme="minorEastAsia"/>
        </w:rPr>
        <w:t>1, the estimated MDES for the</w:t>
      </w:r>
      <w:r>
        <w:rPr>
          <w:rFonts w:eastAsiaTheme="minorEastAsia"/>
        </w:rPr>
        <w:t xml:space="preserve"> full sample is 0.0</w:t>
      </w:r>
      <w:r w:rsidR="008A40C8">
        <w:rPr>
          <w:rFonts w:eastAsiaTheme="minorEastAsia"/>
        </w:rPr>
        <w:t>5</w:t>
      </w:r>
      <w:r>
        <w:rPr>
          <w:rFonts w:eastAsiaTheme="minorEastAsia"/>
        </w:rPr>
        <w:t xml:space="preserve"> for the lenient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Pr>
          <w:rFonts w:eastAsiaTheme="minorEastAsia"/>
        </w:rPr>
        <w:t xml:space="preserve"> value and 0.</w:t>
      </w:r>
      <w:r w:rsidR="008A40C8">
        <w:rPr>
          <w:rFonts w:eastAsiaTheme="minorEastAsia"/>
        </w:rPr>
        <w:t>09</w:t>
      </w:r>
      <w:r>
        <w:rPr>
          <w:rFonts w:eastAsiaTheme="minorEastAsia"/>
        </w:rPr>
        <w:t xml:space="preserve"> for the conservative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w:rPr>
            <w:rFonts w:ascii="Cambria Math" w:hAnsi="Cambria Math"/>
          </w:rPr>
          <m:t xml:space="preserve"> </m:t>
        </m:r>
      </m:oMath>
      <w:r>
        <w:rPr>
          <w:rFonts w:eastAsiaTheme="minorEastAsia"/>
        </w:rPr>
        <w:t>value.</w:t>
      </w:r>
      <w:r w:rsidR="003738B0">
        <w:rPr>
          <w:rFonts w:eastAsiaTheme="minorEastAsia"/>
        </w:rPr>
        <w:t xml:space="preserve"> The study team</w:t>
      </w:r>
      <w:r>
        <w:rPr>
          <w:rFonts w:eastAsiaTheme="minorEastAsia"/>
        </w:rPr>
        <w:t xml:space="preserve"> anticipate</w:t>
      </w:r>
      <w:r w:rsidR="003738B0">
        <w:rPr>
          <w:rFonts w:eastAsiaTheme="minorEastAsia"/>
        </w:rPr>
        <w:t>s</w:t>
      </w:r>
      <w:r>
        <w:rPr>
          <w:rFonts w:eastAsiaTheme="minorEastAsia"/>
        </w:rPr>
        <w:t xml:space="preserve"> the “realized” MDES for the study to be between these two estimates</w:t>
      </w:r>
      <w:r w:rsidR="00A86ED9">
        <w:rPr>
          <w:rFonts w:eastAsiaTheme="minorEastAsia"/>
        </w:rPr>
        <w:t>, which are deemed</w:t>
      </w:r>
      <w:r>
        <w:rPr>
          <w:rFonts w:eastAsiaTheme="minorEastAsia"/>
        </w:rPr>
        <w:t xml:space="preserve"> </w:t>
      </w:r>
      <w:r w:rsidR="00A86ED9">
        <w:rPr>
          <w:rFonts w:eastAsiaTheme="minorEastAsia"/>
        </w:rPr>
        <w:t xml:space="preserve">as </w:t>
      </w:r>
      <w:r>
        <w:rPr>
          <w:rFonts w:eastAsiaTheme="minorEastAsia"/>
        </w:rPr>
        <w:t xml:space="preserve">policy-relevant </w:t>
      </w:r>
      <w:r w:rsidR="00A86ED9">
        <w:rPr>
          <w:rFonts w:eastAsiaTheme="minorEastAsia"/>
        </w:rPr>
        <w:t>and attainable as the year-to-year growth in reading and math test scores of the targeted student popul</w:t>
      </w:r>
      <w:r w:rsidR="005E50F2">
        <w:rPr>
          <w:rFonts w:eastAsiaTheme="minorEastAsia"/>
        </w:rPr>
        <w:t xml:space="preserve">ation is estimated to be around 0.4 standard deviations </w:t>
      </w:r>
      <w:r w:rsidR="00A86ED9">
        <w:rPr>
          <w:rFonts w:eastAsiaTheme="minorEastAsia"/>
        </w:rPr>
        <w:t>(Bloom, Hill, Black, and Lipsey, 2008).</w:t>
      </w:r>
      <w:r w:rsidR="005E6167">
        <w:rPr>
          <w:rFonts w:eastAsiaTheme="minorEastAsia"/>
        </w:rPr>
        <w:t xml:space="preserve"> Exhibit </w:t>
      </w:r>
      <w:r w:rsidR="00185D65">
        <w:rPr>
          <w:rFonts w:eastAsiaTheme="minorEastAsia"/>
        </w:rPr>
        <w:t>B-</w:t>
      </w:r>
      <w:r w:rsidRPr="000A7AE6">
        <w:rPr>
          <w:rFonts w:eastAsiaTheme="minorEastAsia"/>
        </w:rPr>
        <w:t>1 also show</w:t>
      </w:r>
      <w:r>
        <w:rPr>
          <w:rFonts w:eastAsiaTheme="minorEastAsia"/>
        </w:rPr>
        <w:t>s that for the subgroup analysis conducted with 25 teacher pairs, the MDES estimate is 0.1</w:t>
      </w:r>
      <w:r w:rsidR="008A40C8">
        <w:rPr>
          <w:rFonts w:eastAsiaTheme="minorEastAsia"/>
        </w:rPr>
        <w:t>0</w:t>
      </w:r>
      <w:r>
        <w:rPr>
          <w:rFonts w:eastAsiaTheme="minorEastAsia"/>
        </w:rPr>
        <w:t xml:space="preserve"> for the lenient case and 0.</w:t>
      </w:r>
      <w:r w:rsidR="008A40C8">
        <w:rPr>
          <w:rFonts w:eastAsiaTheme="minorEastAsia"/>
        </w:rPr>
        <w:t>18</w:t>
      </w:r>
      <w:r>
        <w:rPr>
          <w:rFonts w:eastAsiaTheme="minorEastAsia"/>
        </w:rPr>
        <w:t xml:space="preserve"> for the conservative case.</w:t>
      </w:r>
    </w:p>
    <w:p w:rsidR="00CA375D" w:rsidRDefault="003738B0" w:rsidP="00CA375D">
      <w:pPr>
        <w:pStyle w:val="BodyText"/>
      </w:pPr>
      <w:r>
        <w:rPr>
          <w:rFonts w:eastAsiaTheme="minorEastAsia"/>
        </w:rPr>
        <w:t>As noted above, the team has</w:t>
      </w:r>
      <w:r w:rsidR="00CA375D">
        <w:rPr>
          <w:rFonts w:eastAsiaTheme="minorEastAsia"/>
        </w:rPr>
        <w:t xml:space="preserve"> also calculated MDES estimates for </w:t>
      </w:r>
      <w:r w:rsidR="00CA375D">
        <w:t xml:space="preserve">the comparisons of classroom practices across the treatment and control teachers </w:t>
      </w:r>
      <w:r w:rsidR="005E50F2">
        <w:t xml:space="preserve">using the regression model in Equation 2. </w:t>
      </w:r>
      <w:r w:rsidR="00CA375D">
        <w:t>These analyses utilized the following formula:</w:t>
      </w:r>
    </w:p>
    <w:p w:rsidR="00CA375D" w:rsidRDefault="005E6167" w:rsidP="00CA375D">
      <w:pPr>
        <w:pStyle w:val="BodyText"/>
        <w:rPr>
          <w:rFonts w:eastAsiaTheme="minorEastAsia"/>
        </w:rPr>
      </w:pPr>
      <w:r>
        <w:t>(5</w:t>
      </w:r>
      <w:r w:rsidR="00CA375D">
        <w:t>)</w:t>
      </w:r>
      <w:r w:rsidR="00CA375D">
        <w:tab/>
      </w:r>
      <m:oMath>
        <m:r>
          <w:rPr>
            <w:rFonts w:ascii="Cambria Math" w:hAnsi="Cambria Math"/>
          </w:rPr>
          <m:t>MDES=</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α</m:t>
                    </m:r>
                  </m:num>
                  <m:den>
                    <m:r>
                      <w:rPr>
                        <w:rFonts w:ascii="Cambria Math" w:hAnsi="Cambria Math"/>
                      </w:rPr>
                      <m:t>2</m:t>
                    </m:r>
                  </m:den>
                </m:f>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-1</m:t>
                </m:r>
              </m:sup>
            </m:sSup>
            <m:d>
              <m:dPr>
                <m:ctrlPr>
                  <w:rPr>
                    <w:rFonts w:ascii="Cambria Math" w:hAnsi="Cambria Math"/>
                    <w:i/>
                  </w:rPr>
                </m:ctrlPr>
              </m:dPr>
              <m:e>
                <m:r>
                  <w:rPr>
                    <w:rFonts w:ascii="Cambria Math" w:hAnsi="Cambria Math"/>
                  </w:rPr>
                  <m:t>β</m:t>
                </m:r>
              </m:e>
            </m:d>
          </m:e>
        </m:d>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0.25ts</m:t>
                </m:r>
              </m:den>
            </m:f>
          </m:e>
        </m:rad>
        <m:r>
          <w:rPr>
            <w:rFonts w:ascii="Cambria Math" w:hAnsi="Cambria Math"/>
          </w:rPr>
          <m:t xml:space="preserve"> /σ</m:t>
        </m:r>
      </m:oMath>
    </w:p>
    <w:p w:rsidR="00CA375D" w:rsidRPr="002864AE" w:rsidRDefault="00CA375D" w:rsidP="00CA375D">
      <w:pPr>
        <w:pStyle w:val="BodyText"/>
        <w:rPr>
          <w:rFonts w:eastAsiaTheme="minorEastAsia"/>
        </w:rPr>
      </w:pPr>
      <w:r>
        <w:rPr>
          <w:rFonts w:eastAsiaTheme="minorEastAsia"/>
        </w:rPr>
        <w:t xml:space="preserve">where </w:t>
      </w:r>
      <m:oMath>
        <m:r>
          <w:rPr>
            <w:rFonts w:ascii="Cambria Math" w:hAnsi="Cambria Math"/>
          </w:rPr>
          <m:t>σ</m:t>
        </m:r>
      </m:oMath>
      <w:r>
        <w:rPr>
          <w:rFonts w:eastAsiaTheme="minorEastAsia"/>
        </w:rPr>
        <w:t xml:space="preserve"> denotes the</w:t>
      </w:r>
      <w:r>
        <w:t xml:space="preserve"> standard deviation of the teacher practice measure (assumed to be 1 in this case) and the remaining </w:t>
      </w:r>
      <w:r>
        <w:rPr>
          <w:rFonts w:eastAsiaTheme="minorEastAsia"/>
        </w:rPr>
        <w:t xml:space="preserve">parameters are as described above </w:t>
      </w:r>
      <w:r w:rsidR="008A40C8">
        <w:rPr>
          <w:rFonts w:eastAsiaTheme="minorEastAsia"/>
        </w:rPr>
        <w:t>except for the fact that</w:t>
      </w:r>
      <w:r>
        <w:rPr>
          <w:rFonts w:eastAsiaTheme="minorEastAsia"/>
        </w:rPr>
        <w:t xml:space="preserve"> the degrees of freedom for these analyses is set to </w:t>
      </w:r>
      <m:oMath>
        <m:r>
          <w:rPr>
            <w:rFonts w:ascii="Cambria Math" w:eastAsiaTheme="minorEastAsia" w:hAnsi="Cambria Math"/>
          </w:rPr>
          <m:t>s*t-1</m:t>
        </m:r>
      </m:oMath>
      <w:r>
        <w:rPr>
          <w:rFonts w:eastAsiaTheme="minorEastAsia"/>
        </w:rPr>
        <w:t xml:space="preserve">. </w:t>
      </w:r>
      <w:r w:rsidR="005E6167">
        <w:rPr>
          <w:rFonts w:eastAsiaTheme="minorEastAsia"/>
        </w:rPr>
        <w:t xml:space="preserve">The third row in Exhibit </w:t>
      </w:r>
      <w:r w:rsidR="00185D65">
        <w:rPr>
          <w:rFonts w:eastAsiaTheme="minorEastAsia"/>
        </w:rPr>
        <w:t>B-</w:t>
      </w:r>
      <w:r w:rsidRPr="002864AE">
        <w:rPr>
          <w:rFonts w:eastAsiaTheme="minorEastAsia"/>
        </w:rPr>
        <w:t>1 reports the corresponding MDES estimate, which is 0.4 standard deviations for the full-sample and 0.81 standard deviations for the quarter of the full-sample.</w:t>
      </w:r>
    </w:p>
    <w:p w:rsidR="00CA375D" w:rsidRPr="0008632B" w:rsidRDefault="005E6167" w:rsidP="00B30A92">
      <w:pPr>
        <w:pStyle w:val="Caption"/>
      </w:pPr>
      <w:r>
        <w:t xml:space="preserve">Exhibit </w:t>
      </w:r>
      <w:r w:rsidR="00185D65">
        <w:t>B-1</w:t>
      </w:r>
      <w:r w:rsidR="00CA375D">
        <w:t>.</w:t>
      </w:r>
      <w:r w:rsidR="00B30A92">
        <w:tab/>
      </w:r>
      <w:r w:rsidR="00CA375D" w:rsidRPr="002864AE">
        <w:t xml:space="preserve">MDES </w:t>
      </w:r>
      <w:r w:rsidR="00B30A92">
        <w:t>E</w:t>
      </w:r>
      <w:r w:rsidR="00CA375D" w:rsidRPr="002864AE">
        <w:t xml:space="preserve">stimates for </w:t>
      </w:r>
      <w:r w:rsidR="00B30A92">
        <w:t>S</w:t>
      </w:r>
      <w:r w:rsidR="00CA375D" w:rsidRPr="002864AE">
        <w:t xml:space="preserve">tudent and </w:t>
      </w:r>
      <w:r w:rsidR="00B30A92">
        <w:t>T</w:t>
      </w:r>
      <w:r w:rsidR="00CA375D" w:rsidRPr="002864AE">
        <w:t xml:space="preserve">eacher </w:t>
      </w:r>
      <w:r w:rsidR="00B30A92">
        <w:t>M</w:t>
      </w:r>
      <w:r w:rsidR="00CA375D" w:rsidRPr="002864AE">
        <w:t>easures</w:t>
      </w:r>
    </w:p>
    <w:tbl>
      <w:tblPr>
        <w:tblStyle w:val="TableGrid"/>
        <w:tblW w:w="0" w:type="auto"/>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tblPr>
      <w:tblGrid>
        <w:gridCol w:w="2606"/>
        <w:gridCol w:w="1570"/>
        <w:gridCol w:w="1644"/>
        <w:gridCol w:w="1644"/>
        <w:gridCol w:w="1644"/>
      </w:tblGrid>
      <w:tr w:rsidR="00B30A92" w:rsidRPr="00B30A92" w:rsidTr="00185D65">
        <w:trPr>
          <w:trHeight w:val="288"/>
        </w:trPr>
        <w:tc>
          <w:tcPr>
            <w:tcW w:w="2718" w:type="dxa"/>
            <w:vMerge w:val="restart"/>
            <w:shd w:val="clear" w:color="auto" w:fill="C3C6A8"/>
            <w:vAlign w:val="bottom"/>
          </w:tcPr>
          <w:p w:rsidR="00CA375D" w:rsidRPr="00B30A92" w:rsidRDefault="00CA375D" w:rsidP="00B30A92">
            <w:pPr>
              <w:spacing w:after="0"/>
              <w:rPr>
                <w:rFonts w:ascii="Arial" w:hAnsi="Arial" w:cs="Arial"/>
                <w:b/>
                <w:sz w:val="20"/>
              </w:rPr>
            </w:pPr>
            <w:r w:rsidRPr="00B30A92">
              <w:rPr>
                <w:rFonts w:ascii="Arial" w:hAnsi="Arial" w:cs="Arial"/>
                <w:b/>
                <w:sz w:val="20"/>
              </w:rPr>
              <w:t>Outcome Measure</w:t>
            </w:r>
          </w:p>
        </w:tc>
        <w:tc>
          <w:tcPr>
            <w:tcW w:w="6858" w:type="dxa"/>
            <w:gridSpan w:val="4"/>
            <w:shd w:val="clear" w:color="auto" w:fill="C3C6A8"/>
            <w:vAlign w:val="center"/>
          </w:tcPr>
          <w:p w:rsidR="00CA375D" w:rsidRPr="00B30A92" w:rsidRDefault="00CA375D" w:rsidP="00185D65">
            <w:pPr>
              <w:spacing w:after="0"/>
              <w:jc w:val="center"/>
              <w:rPr>
                <w:rFonts w:ascii="Arial" w:hAnsi="Arial" w:cs="Arial"/>
                <w:b/>
                <w:sz w:val="20"/>
              </w:rPr>
            </w:pPr>
            <w:r w:rsidRPr="00B30A92">
              <w:rPr>
                <w:rFonts w:ascii="Arial" w:hAnsi="Arial" w:cs="Arial"/>
                <w:b/>
                <w:sz w:val="20"/>
              </w:rPr>
              <w:t>Percentage of the Full Analytic Sample Used in the Analysis</w:t>
            </w:r>
          </w:p>
        </w:tc>
      </w:tr>
      <w:tr w:rsidR="00B30A92" w:rsidRPr="00B30A92" w:rsidTr="00185D65">
        <w:trPr>
          <w:trHeight w:val="288"/>
        </w:trPr>
        <w:tc>
          <w:tcPr>
            <w:tcW w:w="2718" w:type="dxa"/>
            <w:vMerge/>
            <w:shd w:val="clear" w:color="auto" w:fill="C3C6A8"/>
            <w:vAlign w:val="center"/>
          </w:tcPr>
          <w:p w:rsidR="00CA375D" w:rsidRPr="00B30A92" w:rsidRDefault="00CA375D" w:rsidP="00B30A92">
            <w:pPr>
              <w:spacing w:after="0"/>
              <w:rPr>
                <w:rFonts w:ascii="Arial" w:hAnsi="Arial" w:cs="Arial"/>
                <w:b/>
                <w:sz w:val="20"/>
              </w:rPr>
            </w:pPr>
          </w:p>
        </w:tc>
        <w:tc>
          <w:tcPr>
            <w:tcW w:w="1647" w:type="dxa"/>
            <w:shd w:val="clear" w:color="auto" w:fill="C3C6A8"/>
            <w:vAlign w:val="bottom"/>
          </w:tcPr>
          <w:p w:rsidR="00CA375D" w:rsidRPr="00B30A92" w:rsidRDefault="00CA375D" w:rsidP="00B30A92">
            <w:pPr>
              <w:spacing w:after="0"/>
              <w:jc w:val="center"/>
              <w:rPr>
                <w:rFonts w:ascii="Arial" w:hAnsi="Arial" w:cs="Arial"/>
                <w:b/>
                <w:sz w:val="20"/>
              </w:rPr>
            </w:pPr>
            <w:r w:rsidRPr="00B30A92">
              <w:rPr>
                <w:rFonts w:ascii="Arial" w:hAnsi="Arial" w:cs="Arial"/>
                <w:b/>
                <w:sz w:val="20"/>
              </w:rPr>
              <w:t>100%</w:t>
            </w:r>
          </w:p>
        </w:tc>
        <w:tc>
          <w:tcPr>
            <w:tcW w:w="1737" w:type="dxa"/>
            <w:shd w:val="clear" w:color="auto" w:fill="C3C6A8"/>
            <w:vAlign w:val="bottom"/>
          </w:tcPr>
          <w:p w:rsidR="00CA375D" w:rsidRPr="00B30A92" w:rsidRDefault="00CA375D" w:rsidP="00B30A92">
            <w:pPr>
              <w:spacing w:after="0"/>
              <w:jc w:val="center"/>
              <w:rPr>
                <w:rFonts w:ascii="Arial" w:hAnsi="Arial" w:cs="Arial"/>
                <w:b/>
                <w:sz w:val="20"/>
              </w:rPr>
            </w:pPr>
            <w:r w:rsidRPr="00B30A92">
              <w:rPr>
                <w:rFonts w:ascii="Arial" w:hAnsi="Arial" w:cs="Arial"/>
                <w:b/>
                <w:sz w:val="20"/>
              </w:rPr>
              <w:t>75%</w:t>
            </w:r>
          </w:p>
        </w:tc>
        <w:tc>
          <w:tcPr>
            <w:tcW w:w="1737" w:type="dxa"/>
            <w:shd w:val="clear" w:color="auto" w:fill="C3C6A8"/>
            <w:vAlign w:val="bottom"/>
          </w:tcPr>
          <w:p w:rsidR="00CA375D" w:rsidRPr="00B30A92" w:rsidRDefault="00CA375D" w:rsidP="00B30A92">
            <w:pPr>
              <w:spacing w:after="0"/>
              <w:jc w:val="center"/>
              <w:rPr>
                <w:rFonts w:ascii="Arial" w:hAnsi="Arial" w:cs="Arial"/>
                <w:b/>
                <w:sz w:val="20"/>
              </w:rPr>
            </w:pPr>
            <w:r w:rsidRPr="00B30A92">
              <w:rPr>
                <w:rFonts w:ascii="Arial" w:hAnsi="Arial" w:cs="Arial"/>
                <w:b/>
                <w:sz w:val="20"/>
              </w:rPr>
              <w:t>50%</w:t>
            </w:r>
          </w:p>
        </w:tc>
        <w:tc>
          <w:tcPr>
            <w:tcW w:w="1737" w:type="dxa"/>
            <w:shd w:val="clear" w:color="auto" w:fill="C3C6A8"/>
            <w:vAlign w:val="bottom"/>
          </w:tcPr>
          <w:p w:rsidR="00CA375D" w:rsidRPr="00B30A92" w:rsidRDefault="00CA375D" w:rsidP="00B30A92">
            <w:pPr>
              <w:spacing w:after="0"/>
              <w:jc w:val="center"/>
              <w:rPr>
                <w:rFonts w:ascii="Arial" w:hAnsi="Arial" w:cs="Arial"/>
                <w:b/>
                <w:sz w:val="20"/>
              </w:rPr>
            </w:pPr>
            <w:r w:rsidRPr="00B30A92">
              <w:rPr>
                <w:rFonts w:ascii="Arial" w:hAnsi="Arial" w:cs="Arial"/>
                <w:b/>
                <w:sz w:val="20"/>
              </w:rPr>
              <w:t>25%</w:t>
            </w:r>
          </w:p>
        </w:tc>
      </w:tr>
      <w:tr w:rsidR="00CA375D" w:rsidRPr="00B30A92" w:rsidTr="00185D65">
        <w:trPr>
          <w:trHeight w:val="288"/>
        </w:trPr>
        <w:tc>
          <w:tcPr>
            <w:tcW w:w="2718" w:type="dxa"/>
            <w:vAlign w:val="center"/>
          </w:tcPr>
          <w:p w:rsidR="00CA375D" w:rsidRPr="00B30A92" w:rsidRDefault="00CA375D" w:rsidP="00B30A92">
            <w:pPr>
              <w:spacing w:after="0"/>
              <w:rPr>
                <w:rFonts w:ascii="Arial" w:hAnsi="Arial" w:cs="Arial"/>
                <w:sz w:val="20"/>
              </w:rPr>
            </w:pPr>
            <w:r w:rsidRPr="00B30A92">
              <w:rPr>
                <w:rFonts w:ascii="Arial" w:hAnsi="Arial" w:cs="Arial"/>
                <w:sz w:val="20"/>
              </w:rPr>
              <w:t xml:space="preserve">Student, Lenient </w:t>
            </w:r>
            <m:oMath>
              <m:sSup>
                <m:sSupPr>
                  <m:ctrlPr>
                    <w:rPr>
                      <w:rFonts w:ascii="Cambria Math" w:hAnsi="Cambria Math" w:cs="Arial"/>
                      <w:sz w:val="20"/>
                    </w:rPr>
                  </m:ctrlPr>
                </m:sSupPr>
                <m:e>
                  <m:r>
                    <m:rPr>
                      <m:sty m:val="p"/>
                    </m:rPr>
                    <w:rPr>
                      <w:rFonts w:ascii="Cambria Math" w:hAnsi="Cambria Math" w:cs="Arial"/>
                      <w:sz w:val="20"/>
                    </w:rPr>
                    <m:t>R</m:t>
                  </m:r>
                </m:e>
                <m:sup>
                  <m:r>
                    <m:rPr>
                      <m:sty m:val="p"/>
                    </m:rPr>
                    <w:rPr>
                      <w:rFonts w:ascii="Cambria Math" w:hAnsi="Cambria Math" w:cs="Arial"/>
                      <w:sz w:val="20"/>
                    </w:rPr>
                    <m:t>2</m:t>
                  </m:r>
                </m:sup>
              </m:sSup>
            </m:oMath>
          </w:p>
        </w:tc>
        <w:tc>
          <w:tcPr>
            <w:tcW w:w="164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0.0</w:t>
            </w:r>
            <w:r w:rsidR="008A40C8">
              <w:rPr>
                <w:rFonts w:ascii="Arial" w:hAnsi="Arial" w:cs="Arial"/>
                <w:sz w:val="20"/>
              </w:rPr>
              <w:t>5</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0.0</w:t>
            </w:r>
            <w:r w:rsidR="008A40C8">
              <w:rPr>
                <w:rFonts w:ascii="Arial" w:hAnsi="Arial" w:cs="Arial"/>
                <w:sz w:val="20"/>
              </w:rPr>
              <w:t>6</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0.0</w:t>
            </w:r>
            <w:r w:rsidR="008A40C8">
              <w:rPr>
                <w:rFonts w:ascii="Arial" w:hAnsi="Arial" w:cs="Arial"/>
                <w:sz w:val="20"/>
              </w:rPr>
              <w:t>7</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0.1</w:t>
            </w:r>
            <w:r w:rsidR="008A40C8">
              <w:rPr>
                <w:rFonts w:ascii="Arial" w:hAnsi="Arial" w:cs="Arial"/>
                <w:sz w:val="20"/>
              </w:rPr>
              <w:t>0</w:t>
            </w:r>
          </w:p>
        </w:tc>
      </w:tr>
      <w:tr w:rsidR="00CA375D" w:rsidRPr="00B30A92" w:rsidTr="00185D65">
        <w:trPr>
          <w:trHeight w:val="288"/>
        </w:trPr>
        <w:tc>
          <w:tcPr>
            <w:tcW w:w="2718" w:type="dxa"/>
            <w:vAlign w:val="center"/>
          </w:tcPr>
          <w:p w:rsidR="00CA375D" w:rsidRPr="00B30A92" w:rsidRDefault="00CA375D" w:rsidP="00B30A92">
            <w:pPr>
              <w:spacing w:after="0"/>
              <w:rPr>
                <w:rFonts w:ascii="Arial" w:hAnsi="Arial" w:cs="Arial"/>
                <w:sz w:val="20"/>
              </w:rPr>
            </w:pPr>
            <w:r w:rsidRPr="00B30A92">
              <w:rPr>
                <w:rFonts w:ascii="Arial" w:hAnsi="Arial" w:cs="Arial"/>
                <w:sz w:val="20"/>
              </w:rPr>
              <w:t xml:space="preserve">Student, Conservative </w:t>
            </w:r>
            <m:oMath>
              <m:sSup>
                <m:sSupPr>
                  <m:ctrlPr>
                    <w:rPr>
                      <w:rFonts w:ascii="Cambria Math" w:hAnsi="Cambria Math" w:cs="Arial"/>
                      <w:sz w:val="20"/>
                    </w:rPr>
                  </m:ctrlPr>
                </m:sSupPr>
                <m:e>
                  <m:r>
                    <m:rPr>
                      <m:sty m:val="p"/>
                    </m:rPr>
                    <w:rPr>
                      <w:rFonts w:ascii="Cambria Math" w:hAnsi="Cambria Math" w:cs="Arial"/>
                      <w:sz w:val="20"/>
                    </w:rPr>
                    <m:t>R</m:t>
                  </m:r>
                </m:e>
                <m:sup>
                  <m:r>
                    <m:rPr>
                      <m:sty m:val="p"/>
                    </m:rPr>
                    <w:rPr>
                      <w:rFonts w:ascii="Cambria Math" w:hAnsi="Cambria Math" w:cs="Arial"/>
                      <w:sz w:val="20"/>
                    </w:rPr>
                    <m:t>2</m:t>
                  </m:r>
                </m:sup>
              </m:sSup>
            </m:oMath>
          </w:p>
        </w:tc>
        <w:tc>
          <w:tcPr>
            <w:tcW w:w="164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w:t>
            </w:r>
            <w:r w:rsidR="008A40C8">
              <w:rPr>
                <w:rFonts w:ascii="Arial" w:hAnsi="Arial" w:cs="Arial"/>
                <w:sz w:val="20"/>
              </w:rPr>
              <w:t>09</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0.1</w:t>
            </w:r>
            <w:r w:rsidR="008A40C8">
              <w:rPr>
                <w:rFonts w:ascii="Arial" w:hAnsi="Arial" w:cs="Arial"/>
                <w:sz w:val="20"/>
              </w:rPr>
              <w:t>0</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0.1</w:t>
            </w:r>
            <w:r w:rsidR="008A40C8">
              <w:rPr>
                <w:rFonts w:ascii="Arial" w:hAnsi="Arial" w:cs="Arial"/>
                <w:sz w:val="20"/>
              </w:rPr>
              <w:t>3</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w:t>
            </w:r>
            <w:r w:rsidR="008A40C8">
              <w:rPr>
                <w:rFonts w:ascii="Arial" w:hAnsi="Arial" w:cs="Arial"/>
                <w:sz w:val="20"/>
              </w:rPr>
              <w:t>18</w:t>
            </w:r>
          </w:p>
        </w:tc>
      </w:tr>
      <w:tr w:rsidR="00CA375D" w:rsidRPr="00B30A92" w:rsidTr="00185D65">
        <w:trPr>
          <w:trHeight w:val="288"/>
        </w:trPr>
        <w:tc>
          <w:tcPr>
            <w:tcW w:w="2718" w:type="dxa"/>
            <w:vAlign w:val="center"/>
          </w:tcPr>
          <w:p w:rsidR="00CA375D" w:rsidRPr="00B30A92" w:rsidRDefault="00CA375D" w:rsidP="00B30A92">
            <w:pPr>
              <w:spacing w:after="0"/>
              <w:rPr>
                <w:rFonts w:ascii="Arial" w:hAnsi="Arial" w:cs="Arial"/>
                <w:sz w:val="20"/>
              </w:rPr>
            </w:pPr>
            <w:r w:rsidRPr="00B30A92">
              <w:rPr>
                <w:rFonts w:ascii="Arial" w:hAnsi="Arial" w:cs="Arial"/>
                <w:sz w:val="20"/>
              </w:rPr>
              <w:t>Teacher</w:t>
            </w:r>
          </w:p>
        </w:tc>
        <w:tc>
          <w:tcPr>
            <w:tcW w:w="164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0.40</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0.46</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0.57</w:t>
            </w:r>
          </w:p>
        </w:tc>
        <w:tc>
          <w:tcPr>
            <w:tcW w:w="1737" w:type="dxa"/>
            <w:vAlign w:val="center"/>
          </w:tcPr>
          <w:p w:rsidR="00CA375D" w:rsidRPr="00B30A92" w:rsidRDefault="00CA375D" w:rsidP="00B30A92">
            <w:pPr>
              <w:spacing w:after="0"/>
              <w:jc w:val="center"/>
              <w:rPr>
                <w:rFonts w:ascii="Arial" w:hAnsi="Arial" w:cs="Arial"/>
                <w:sz w:val="20"/>
              </w:rPr>
            </w:pPr>
            <w:r w:rsidRPr="00B30A92">
              <w:rPr>
                <w:rFonts w:ascii="Arial" w:hAnsi="Arial" w:cs="Arial"/>
                <w:sz w:val="20"/>
              </w:rPr>
              <w:t>0.81</w:t>
            </w:r>
          </w:p>
        </w:tc>
      </w:tr>
    </w:tbl>
    <w:p w:rsidR="00B8153B" w:rsidRPr="00B30A92" w:rsidRDefault="00B8153B" w:rsidP="00B30A92"/>
    <w:p w:rsidR="00CE02F4" w:rsidRDefault="00CE02F4" w:rsidP="00CE02F4">
      <w:pPr>
        <w:pStyle w:val="Heading3"/>
      </w:pPr>
      <w:bookmarkStart w:id="8" w:name="_Toc307840508"/>
      <w:r>
        <w:t>U</w:t>
      </w:r>
      <w:r w:rsidR="00D131DC">
        <w:t>nu</w:t>
      </w:r>
      <w:r>
        <w:t>sual Problems Requiring Specialized Sampling Procedures</w:t>
      </w:r>
      <w:bookmarkEnd w:id="8"/>
    </w:p>
    <w:p w:rsidR="00CE02F4" w:rsidRPr="00CE02F4" w:rsidRDefault="00D35473" w:rsidP="00CE02F4">
      <w:pPr>
        <w:pStyle w:val="BodyText"/>
      </w:pPr>
      <w:r>
        <w:t>U</w:t>
      </w:r>
      <w:r w:rsidR="00CE02F4">
        <w:t xml:space="preserve">nusual problems that require </w:t>
      </w:r>
      <w:r>
        <w:t>specialized sampling procedures are not anticipated.</w:t>
      </w:r>
    </w:p>
    <w:p w:rsidR="00CE02F4" w:rsidRDefault="00CE02F4" w:rsidP="00CE02F4">
      <w:pPr>
        <w:pStyle w:val="Heading3"/>
      </w:pPr>
      <w:bookmarkStart w:id="9" w:name="_Toc307840509"/>
      <w:r>
        <w:t>Use of Periodic Data Collection Cycles to Reduce Burden</w:t>
      </w:r>
      <w:bookmarkEnd w:id="9"/>
    </w:p>
    <w:p w:rsidR="00CE02F4" w:rsidRDefault="00CE02F4" w:rsidP="00CE02F4">
      <w:pPr>
        <w:pStyle w:val="BodyText"/>
      </w:pPr>
      <w:r>
        <w:t>This is a one-time data collection effort.</w:t>
      </w:r>
    </w:p>
    <w:p w:rsidR="00CE02F4" w:rsidRDefault="00CE02F4" w:rsidP="00CE02F4">
      <w:pPr>
        <w:pStyle w:val="Heading2"/>
      </w:pPr>
      <w:bookmarkStart w:id="10" w:name="_Toc307840510"/>
      <w:r>
        <w:t>Methods to Maximize Response Rates and Deal with Nonresponse</w:t>
      </w:r>
      <w:bookmarkEnd w:id="10"/>
    </w:p>
    <w:p w:rsidR="00091864" w:rsidRDefault="00344AB5" w:rsidP="00A032E1">
      <w:pPr>
        <w:pStyle w:val="BodyText"/>
      </w:pPr>
      <w:r>
        <w:t>This section</w:t>
      </w:r>
      <w:r w:rsidR="00594362" w:rsidRPr="000064FD">
        <w:t xml:space="preserve"> describe</w:t>
      </w:r>
      <w:r>
        <w:t>s</w:t>
      </w:r>
      <w:r w:rsidR="00594362" w:rsidRPr="000064FD">
        <w:t xml:space="preserve"> the strategies and methods that will be used to maximize response rates and deal with non-response for </w:t>
      </w:r>
      <w:r w:rsidR="004B3D0D">
        <w:t xml:space="preserve">Phase I </w:t>
      </w:r>
      <w:r w:rsidR="00284E3C">
        <w:t>–</w:t>
      </w:r>
      <w:r w:rsidR="004B3D0D">
        <w:t xml:space="preserve"> Recruitment</w:t>
      </w:r>
      <w:r w:rsidR="00284E3C">
        <w:t xml:space="preserve"> and Random Assignment</w:t>
      </w:r>
      <w:r w:rsidR="00594362" w:rsidRPr="000064FD">
        <w:t xml:space="preserve">, </w:t>
      </w:r>
      <w:r w:rsidR="005D750D">
        <w:t xml:space="preserve">i.e., </w:t>
      </w:r>
      <w:r w:rsidR="003A5AEA">
        <w:t xml:space="preserve">collecting information on the characteristics of teacher preparation programs using the Teacher Preparation Program Interview and </w:t>
      </w:r>
      <w:r w:rsidR="00594362" w:rsidRPr="000064FD">
        <w:t xml:space="preserve">determining the eligibility of interested teachers through completion and review of the </w:t>
      </w:r>
      <w:r w:rsidR="003A5AEA">
        <w:t xml:space="preserve">Teacher </w:t>
      </w:r>
      <w:r w:rsidR="00053720">
        <w:t>Background Form</w:t>
      </w:r>
      <w:r w:rsidR="00594362" w:rsidRPr="000064FD">
        <w:t>.</w:t>
      </w:r>
      <w:r w:rsidR="00F74A5D">
        <w:t xml:space="preserve">   For both activities, all sample members must </w:t>
      </w:r>
      <w:r w:rsidR="00053720">
        <w:t xml:space="preserve">have </w:t>
      </w:r>
      <w:r w:rsidR="00F74A5D">
        <w:t>complete</w:t>
      </w:r>
      <w:r w:rsidR="00053720">
        <w:t>d</w:t>
      </w:r>
      <w:r w:rsidR="00F74A5D">
        <w:t xml:space="preserve"> the data collection</w:t>
      </w:r>
      <w:r w:rsidR="00F62C1A">
        <w:t xml:space="preserve"> process</w:t>
      </w:r>
      <w:r w:rsidR="00F74A5D">
        <w:t xml:space="preserve"> in order to be considered eligible for the study.  The study team will therefore have data on 100</w:t>
      </w:r>
      <w:r w:rsidR="00053720">
        <w:t xml:space="preserve"> percent</w:t>
      </w:r>
      <w:r w:rsidR="00F74A5D">
        <w:t xml:space="preserve"> of the study sample in this data collection</w:t>
      </w:r>
      <w:r w:rsidR="00F86991">
        <w:t>.</w:t>
      </w:r>
    </w:p>
    <w:p w:rsidR="00A032E1" w:rsidRDefault="00F74A5D" w:rsidP="00A032E1">
      <w:pPr>
        <w:pStyle w:val="BodyText"/>
      </w:pPr>
      <w:r>
        <w:t>In order to obtain responses from the study sample, the study team has developed the following strategies</w:t>
      </w:r>
      <w:r w:rsidR="00F62C1A">
        <w:t xml:space="preserve"> for</w:t>
      </w:r>
      <w:r w:rsidRPr="00F74A5D">
        <w:t xml:space="preserve"> </w:t>
      </w:r>
      <w:r w:rsidRPr="000064FD">
        <w:t>facilitating communication with district and school respondents during recruitment activities and maximizing response rates for telephone calls, on-site meetings, and the completion of study forms</w:t>
      </w:r>
      <w:r>
        <w:t xml:space="preserve">.  These strategies have proven successful in the study team’s </w:t>
      </w:r>
      <w:r w:rsidR="00A032E1" w:rsidRPr="000064FD">
        <w:t>extensive experience conducting large-scale evaluation</w:t>
      </w:r>
      <w:r w:rsidR="00053720">
        <w:t xml:space="preserve"> studie</w:t>
      </w:r>
      <w:r w:rsidR="00A032E1" w:rsidRPr="000064FD">
        <w:t>s (e.g., The Reading First Impact Study, Evaluation of the U.S. Department of Education’s Student Me</w:t>
      </w:r>
      <w:r w:rsidR="00344AB5">
        <w:t>ntoring Program)</w:t>
      </w:r>
      <w:r>
        <w:t>.</w:t>
      </w:r>
    </w:p>
    <w:p w:rsidR="00105D6D" w:rsidRDefault="00A032E1" w:rsidP="00185D65">
      <w:pPr>
        <w:pStyle w:val="Bullets"/>
      </w:pPr>
      <w:r>
        <w:rPr>
          <w:b/>
        </w:rPr>
        <w:t>T</w:t>
      </w:r>
      <w:r w:rsidR="004B3D0D" w:rsidRPr="004B3D0D">
        <w:rPr>
          <w:b/>
        </w:rPr>
        <w:t xml:space="preserve">rained </w:t>
      </w:r>
      <w:r>
        <w:rPr>
          <w:b/>
        </w:rPr>
        <w:t xml:space="preserve">senior-level </w:t>
      </w:r>
      <w:r w:rsidR="004B3D0D" w:rsidRPr="004B3D0D">
        <w:rPr>
          <w:b/>
        </w:rPr>
        <w:t>recruiters.</w:t>
      </w:r>
      <w:r w:rsidR="00344AB5">
        <w:rPr>
          <w:b/>
        </w:rPr>
        <w:t xml:space="preserve"> </w:t>
      </w:r>
      <w:r w:rsidR="004B3D0D">
        <w:t xml:space="preserve">Recruiters will be </w:t>
      </w:r>
      <w:r>
        <w:t xml:space="preserve">senior staff </w:t>
      </w:r>
      <w:r w:rsidR="004B3D0D">
        <w:t>trained to present information, address concerns, and respond to questions clearly, quickly, and efficiently.</w:t>
      </w:r>
      <w:r w:rsidR="00344AB5">
        <w:rPr>
          <w:szCs w:val="22"/>
        </w:rPr>
        <w:t xml:space="preserve"> </w:t>
      </w:r>
      <w:r w:rsidR="00E970A8">
        <w:rPr>
          <w:szCs w:val="22"/>
        </w:rPr>
        <w:t xml:space="preserve">Recruiters will also be trained to </w:t>
      </w:r>
      <w:r w:rsidR="00E970A8" w:rsidRPr="000064FD">
        <w:rPr>
          <w:szCs w:val="22"/>
        </w:rPr>
        <w:t>demonstrate knowledge and understanding of the issues facing district an</w:t>
      </w:r>
      <w:r w:rsidR="00E970A8">
        <w:rPr>
          <w:szCs w:val="22"/>
        </w:rPr>
        <w:t>d school administrators and elementary</w:t>
      </w:r>
      <w:r w:rsidR="00E970A8" w:rsidRPr="000064FD">
        <w:rPr>
          <w:szCs w:val="22"/>
        </w:rPr>
        <w:t xml:space="preserve"> school teachers trying to</w:t>
      </w:r>
      <w:r w:rsidR="00E970A8" w:rsidRPr="000064FD">
        <w:t xml:space="preserve"> complete their day-to-day a</w:t>
      </w:r>
      <w:r w:rsidR="00E970A8">
        <w:t>ctivities.</w:t>
      </w:r>
    </w:p>
    <w:p w:rsidR="00105D6D" w:rsidRPr="00105D6D" w:rsidRDefault="00565BC0" w:rsidP="00185D65">
      <w:pPr>
        <w:pStyle w:val="Bullets"/>
      </w:pPr>
      <w:r w:rsidRPr="00105D6D">
        <w:rPr>
          <w:b/>
        </w:rPr>
        <w:t xml:space="preserve">Credible </w:t>
      </w:r>
      <w:r w:rsidR="00053720">
        <w:rPr>
          <w:b/>
        </w:rPr>
        <w:t>study</w:t>
      </w:r>
      <w:r w:rsidRPr="00105D6D">
        <w:rPr>
          <w:b/>
        </w:rPr>
        <w:t>.</w:t>
      </w:r>
      <w:r>
        <w:t xml:space="preserve"> </w:t>
      </w:r>
      <w:r w:rsidR="003776AA">
        <w:t>The study team</w:t>
      </w:r>
      <w:r w:rsidR="009D5396">
        <w:t xml:space="preserve"> will use letters from ED, on ED letterhead, for notification letters and recruiters will indicate that they are calling on behalf of </w:t>
      </w:r>
      <w:r w:rsidR="00F62C1A">
        <w:t xml:space="preserve">a study funded by </w:t>
      </w:r>
      <w:r w:rsidR="009D5396">
        <w:t>ED when the</w:t>
      </w:r>
      <w:r>
        <w:t>y speak with</w:t>
      </w:r>
      <w:r w:rsidR="009D5396">
        <w:t xml:space="preserve"> representatives of programs, districts, and schools.</w:t>
      </w:r>
      <w:r w:rsidR="00344AB5">
        <w:t xml:space="preserve"> </w:t>
      </w:r>
      <w:r w:rsidR="00A032E1">
        <w:t>Where appropriate, r</w:t>
      </w:r>
      <w:r>
        <w:t>ecruiters</w:t>
      </w:r>
      <w:r w:rsidR="00A032E1">
        <w:t xml:space="preserve"> and study materials</w:t>
      </w:r>
      <w:r>
        <w:t xml:space="preserve"> will also note that the study has been reviewed by both the Office of Management and Budget (OMB</w:t>
      </w:r>
      <w:r w:rsidR="00A032E1">
        <w:t>) and an independent Institutional Review Board (IRB).</w:t>
      </w:r>
      <w:r w:rsidR="00344AB5">
        <w:t xml:space="preserve"> </w:t>
      </w:r>
      <w:r w:rsidR="003776AA">
        <w:t>Finally, the team</w:t>
      </w:r>
      <w:r w:rsidR="00A032E1">
        <w:t xml:space="preserve"> </w:t>
      </w:r>
      <w:r w:rsidR="003A1F2E">
        <w:t>may</w:t>
      </w:r>
      <w:r w:rsidR="00053720">
        <w:t xml:space="preserve"> be able to</w:t>
      </w:r>
      <w:r w:rsidR="00A032E1">
        <w:t xml:space="preserve"> </w:t>
      </w:r>
      <w:r w:rsidR="00A032E1" w:rsidRPr="0004084F">
        <w:t>leverage the support of teacher preparation programs to recruit their alumni.</w:t>
      </w:r>
    </w:p>
    <w:p w:rsidR="00105D6D" w:rsidRPr="00105D6D" w:rsidRDefault="00F478DF" w:rsidP="00185D65">
      <w:pPr>
        <w:pStyle w:val="Bullets"/>
        <w:rPr>
          <w:b/>
        </w:rPr>
      </w:pPr>
      <w:r w:rsidRPr="00105D6D">
        <w:rPr>
          <w:b/>
        </w:rPr>
        <w:t xml:space="preserve">Flexible and responsive </w:t>
      </w:r>
      <w:r w:rsidR="0004084F" w:rsidRPr="00105D6D">
        <w:rPr>
          <w:b/>
        </w:rPr>
        <w:t>recruitment</w:t>
      </w:r>
      <w:r w:rsidR="00A032E1" w:rsidRPr="00105D6D">
        <w:rPr>
          <w:b/>
        </w:rPr>
        <w:t>.</w:t>
      </w:r>
      <w:r w:rsidR="00344AB5">
        <w:rPr>
          <w:b/>
        </w:rPr>
        <w:t xml:space="preserve"> </w:t>
      </w:r>
      <w:r w:rsidRPr="0004084F">
        <w:t>Recruitment is</w:t>
      </w:r>
      <w:r>
        <w:t xml:space="preserve"> scheduled over a period of several months to ensure that the busy schedules of </w:t>
      </w:r>
      <w:r w:rsidR="00F74A5D">
        <w:t xml:space="preserve">program, </w:t>
      </w:r>
      <w:r>
        <w:t>district and school administrators can be accommodated.</w:t>
      </w:r>
      <w:r w:rsidR="00344AB5">
        <w:t xml:space="preserve"> </w:t>
      </w:r>
      <w:r w:rsidR="00E970A8" w:rsidRPr="00105D6D">
        <w:rPr>
          <w:szCs w:val="22"/>
        </w:rPr>
        <w:t xml:space="preserve">Study team members will maintain regular contact to monitor </w:t>
      </w:r>
      <w:r w:rsidR="00B11AC5">
        <w:rPr>
          <w:szCs w:val="22"/>
        </w:rPr>
        <w:t xml:space="preserve">progress and </w:t>
      </w:r>
      <w:r w:rsidR="00E970A8" w:rsidRPr="00105D6D">
        <w:rPr>
          <w:szCs w:val="22"/>
        </w:rPr>
        <w:t>resolve problems quickly.</w:t>
      </w:r>
      <w:r w:rsidR="00344AB5">
        <w:rPr>
          <w:szCs w:val="22"/>
        </w:rPr>
        <w:t xml:space="preserve"> </w:t>
      </w:r>
      <w:r w:rsidR="00E970A8" w:rsidRPr="00105D6D">
        <w:rPr>
          <w:szCs w:val="22"/>
        </w:rPr>
        <w:t xml:space="preserve">The team will be led by </w:t>
      </w:r>
      <w:r w:rsidR="00E970A8">
        <w:t>a recruitment task leader who will mo</w:t>
      </w:r>
      <w:r w:rsidR="003776AA">
        <w:t>n</w:t>
      </w:r>
      <w:r w:rsidR="003738B0">
        <w:t>itor recruitment and issues dai</w:t>
      </w:r>
      <w:r w:rsidR="003776AA">
        <w:t>ly</w:t>
      </w:r>
      <w:r w:rsidR="00E970A8">
        <w:t xml:space="preserve"> so as to quickly resolve any obstacles to participation.</w:t>
      </w:r>
      <w:r w:rsidR="00344AB5">
        <w:rPr>
          <w:szCs w:val="22"/>
        </w:rPr>
        <w:t xml:space="preserve"> </w:t>
      </w:r>
    </w:p>
    <w:p w:rsidR="0004084F" w:rsidRPr="00105D6D" w:rsidRDefault="0004084F" w:rsidP="00185D65">
      <w:pPr>
        <w:pStyle w:val="Bullets"/>
        <w:rPr>
          <w:b/>
        </w:rPr>
      </w:pPr>
      <w:r w:rsidRPr="00105D6D">
        <w:rPr>
          <w:b/>
        </w:rPr>
        <w:t>Designated point of contact.</w:t>
      </w:r>
      <w:r w:rsidR="00344AB5">
        <w:rPr>
          <w:b/>
        </w:rPr>
        <w:t xml:space="preserve"> </w:t>
      </w:r>
      <w:r>
        <w:t xml:space="preserve">To build connections with study participants, a single point of contact will be assigned from the recruiting team to each </w:t>
      </w:r>
      <w:r w:rsidR="00F74A5D">
        <w:t xml:space="preserve">program, </w:t>
      </w:r>
      <w:r>
        <w:t>district and school.</w:t>
      </w:r>
      <w:r w:rsidR="00344AB5">
        <w:t xml:space="preserve"> </w:t>
      </w:r>
      <w:r>
        <w:t>Administrators will be asked to designate a point of contact for their organization as well.</w:t>
      </w:r>
      <w:r w:rsidR="00344AB5">
        <w:t xml:space="preserve"> </w:t>
      </w:r>
      <w:r>
        <w:t>The recruiter will use follow-up</w:t>
      </w:r>
      <w:r w:rsidR="00344AB5">
        <w:t xml:space="preserve"> </w:t>
      </w:r>
      <w:r>
        <w:t>and reminder calls and emails to stay in contact with study participants, and to encourage those who have not responded to outreach efforts or returned study forms to do so.</w:t>
      </w:r>
    </w:p>
    <w:p w:rsidR="0004084F" w:rsidRPr="0004084F" w:rsidRDefault="00E970A8" w:rsidP="00185D65">
      <w:pPr>
        <w:pStyle w:val="BulletsLast"/>
      </w:pPr>
      <w:r>
        <w:rPr>
          <w:b/>
        </w:rPr>
        <w:t>Fully-informed decision-making</w:t>
      </w:r>
      <w:r w:rsidR="00F478DF">
        <w:rPr>
          <w:b/>
        </w:rPr>
        <w:t>.</w:t>
      </w:r>
      <w:r w:rsidR="00344AB5">
        <w:rPr>
          <w:b/>
        </w:rPr>
        <w:t xml:space="preserve"> </w:t>
      </w:r>
      <w:r>
        <w:t xml:space="preserve">Recruiters will </w:t>
      </w:r>
      <w:r w:rsidR="00594362" w:rsidRPr="000064FD">
        <w:t>provide sufficient information about the study design, objectives, and methodology so that potential participants have an informed basis fo</w:t>
      </w:r>
      <w:r>
        <w:t>r their decision to participate.</w:t>
      </w:r>
      <w:r w:rsidR="00344AB5">
        <w:t xml:space="preserve"> </w:t>
      </w:r>
      <w:r>
        <w:t xml:space="preserve">Additionally, they will </w:t>
      </w:r>
      <w:r w:rsidR="00594362" w:rsidRPr="000064FD">
        <w:t xml:space="preserve">provide potential participants with a realistic appraisal of the contributions in time, information, space, and human resources they will be expected to invest in the study effort and a statement of </w:t>
      </w:r>
      <w:r w:rsidR="00594362" w:rsidRPr="00E970A8">
        <w:rPr>
          <w:szCs w:val="22"/>
        </w:rPr>
        <w:t>anticipated benefits (incl</w:t>
      </w:r>
      <w:r>
        <w:rPr>
          <w:szCs w:val="22"/>
        </w:rPr>
        <w:t>uding honoraria and incentives).</w:t>
      </w:r>
    </w:p>
    <w:p w:rsidR="00105D6D" w:rsidRDefault="00594362" w:rsidP="00105D6D">
      <w:pPr>
        <w:pStyle w:val="BodyText"/>
      </w:pPr>
      <w:r w:rsidRPr="000064FD">
        <w:t xml:space="preserve">These strategies have </w:t>
      </w:r>
      <w:r>
        <w:t xml:space="preserve">been </w:t>
      </w:r>
      <w:r w:rsidRPr="000064FD">
        <w:t>proven to foster honest and collaborative relationships between the research team and study participants, which in turn, lead to high participation rates in telephone conversations and onsite meetings and high response ra</w:t>
      </w:r>
      <w:r w:rsidR="00105D6D">
        <w:t>tes on study surveys and forms.</w:t>
      </w:r>
    </w:p>
    <w:p w:rsidR="00B8153B" w:rsidRDefault="00B8153B" w:rsidP="00B8153B">
      <w:pPr>
        <w:pStyle w:val="Heading2"/>
      </w:pPr>
      <w:bookmarkStart w:id="11" w:name="_Toc307840511"/>
      <w:r>
        <w:t>Test of Procedures and Methods to be Undertaken</w:t>
      </w:r>
      <w:bookmarkEnd w:id="11"/>
    </w:p>
    <w:p w:rsidR="003A5AEA" w:rsidRPr="004D60A3" w:rsidRDefault="003A5AEA" w:rsidP="00F86991">
      <w:pPr>
        <w:pStyle w:val="BodyText"/>
      </w:pPr>
      <w:r>
        <w:t xml:space="preserve">The </w:t>
      </w:r>
      <w:r w:rsidRPr="000317B1">
        <w:rPr>
          <w:b/>
        </w:rPr>
        <w:t xml:space="preserve">Teacher Preparation Program Interview </w:t>
      </w:r>
      <w:r>
        <w:t xml:space="preserve">was created for this survey. </w:t>
      </w:r>
      <w:r w:rsidRPr="004D60A3">
        <w:t xml:space="preserve">To obtain a true estimate of the burden associated with the </w:t>
      </w:r>
      <w:r>
        <w:t xml:space="preserve">Teacher Preparation Program Interview </w:t>
      </w:r>
      <w:r w:rsidRPr="004D60A3">
        <w:t xml:space="preserve">and to assess the efficacy of elements selected for inclusion, the </w:t>
      </w:r>
      <w:r w:rsidR="003B1B8C" w:rsidRPr="003B1B8C">
        <w:t>Teacher Preparation Program Interview Guide was pilot tested with 9 teacher preparation program administrators in 9 programs.</w:t>
      </w:r>
      <w:r w:rsidRPr="004D60A3">
        <w:t xml:space="preserve"> </w:t>
      </w:r>
      <w:r>
        <w:t xml:space="preserve">Pilot testing simulated the planned administrator interview. </w:t>
      </w:r>
      <w:r w:rsidRPr="004D60A3">
        <w:t xml:space="preserve">The respondents were </w:t>
      </w:r>
      <w:r>
        <w:t>interviewed by phone by a study member using the protocol</w:t>
      </w:r>
      <w:r w:rsidRPr="004D60A3">
        <w:t xml:space="preserve">. </w:t>
      </w:r>
      <w:r w:rsidR="003A1F2E">
        <w:t>Administrators</w:t>
      </w:r>
      <w:r>
        <w:t xml:space="preserve"> responded to all of the questions on the protocol. Interview completion time was recorded for each </w:t>
      </w:r>
      <w:r w:rsidR="003A1F2E">
        <w:t>administr</w:t>
      </w:r>
      <w:r w:rsidR="00053720">
        <w:t>at</w:t>
      </w:r>
      <w:r w:rsidR="003A1F2E">
        <w:t>or,</w:t>
      </w:r>
      <w:r>
        <w:t xml:space="preserve"> along with an indication of any question where clarification was sought, inappropriate information was provided, or the respondent appeared to hesitate or stumble when answering the question.</w:t>
      </w:r>
    </w:p>
    <w:p w:rsidR="003A5AEA" w:rsidRDefault="003A5AEA" w:rsidP="00105D6D">
      <w:pPr>
        <w:pStyle w:val="BodyText"/>
      </w:pPr>
      <w:r w:rsidRPr="004D60A3">
        <w:t xml:space="preserve">Modifications to the length, content, and structure of the </w:t>
      </w:r>
      <w:r>
        <w:t xml:space="preserve">Teacher Preparation Program Interview </w:t>
      </w:r>
      <w:r w:rsidRPr="004D60A3">
        <w:t xml:space="preserve">have been made based on the results of the feedback provided by </w:t>
      </w:r>
      <w:r w:rsidR="003A1F2E">
        <w:t>administrators</w:t>
      </w:r>
      <w:r w:rsidRPr="004D60A3">
        <w:t xml:space="preserve"> involved in the pilot test. Several questions have been reworded to ensure clarity and reliability across </w:t>
      </w:r>
      <w:r w:rsidR="00F07340">
        <w:t>program administrators</w:t>
      </w:r>
      <w:r w:rsidR="00F07340" w:rsidRPr="004D60A3">
        <w:t xml:space="preserve"> </w:t>
      </w:r>
      <w:r w:rsidRPr="004D60A3">
        <w:t>in all states. Other questions were deemed unnecessary to determine characteristics of</w:t>
      </w:r>
      <w:r>
        <w:t xml:space="preserve"> the teacher </w:t>
      </w:r>
      <w:r w:rsidRPr="004D60A3">
        <w:t>preparation</w:t>
      </w:r>
      <w:r>
        <w:t xml:space="preserve"> program</w:t>
      </w:r>
      <w:r w:rsidRPr="004D60A3">
        <w:t xml:space="preserve"> and were deleted from the </w:t>
      </w:r>
      <w:r>
        <w:t>guide</w:t>
      </w:r>
      <w:r w:rsidRPr="004D60A3">
        <w:t xml:space="preserve">. </w:t>
      </w:r>
    </w:p>
    <w:p w:rsidR="00105D6D" w:rsidRDefault="00105D6D" w:rsidP="00105D6D">
      <w:pPr>
        <w:pStyle w:val="BodyText"/>
      </w:pPr>
      <w:r>
        <w:t xml:space="preserve">The </w:t>
      </w:r>
      <w:r w:rsidR="003A5AEA" w:rsidRPr="000317B1">
        <w:rPr>
          <w:b/>
        </w:rPr>
        <w:t xml:space="preserve">Teacher </w:t>
      </w:r>
      <w:r w:rsidR="00053720" w:rsidRPr="000317B1">
        <w:rPr>
          <w:b/>
        </w:rPr>
        <w:t>Background Form</w:t>
      </w:r>
      <w:r>
        <w:t xml:space="preserve"> was modeled on forms used in previous education studies by Abt Associates on teacher educational background</w:t>
      </w:r>
      <w:r w:rsidR="003738B0">
        <w:t xml:space="preserve"> and on two ED studies on alternative certification.</w:t>
      </w:r>
      <w:r w:rsidR="003738B0">
        <w:rPr>
          <w:rStyle w:val="FootnoteReference"/>
        </w:rPr>
        <w:footnoteReference w:id="7"/>
      </w:r>
      <w:r w:rsidR="003738B0">
        <w:t xml:space="preserve"> </w:t>
      </w:r>
    </w:p>
    <w:p w:rsidR="00594362" w:rsidRPr="004D60A3" w:rsidRDefault="003B1B8C" w:rsidP="00594362">
      <w:pPr>
        <w:pStyle w:val="BodyText"/>
      </w:pPr>
      <w:r w:rsidRPr="003B1B8C">
        <w:t>To obtain a true estimate of the burden associated with the Teacher Background Form and to assess the efficacy of elements selected for inclusion, it was pilot tested with 9 teachers.</w:t>
      </w:r>
      <w:r w:rsidR="00594362" w:rsidRPr="004D60A3">
        <w:t xml:space="preserve"> The respondents were asked to complete the forms and return them to the study team. A member of the study team reviewed the completed forms and conducted a short telephone follow-up with each teacher to ask respondents to provide feedback on the time necessary to complete the form and the extent to which the questions on the form were clear and able to be understood</w:t>
      </w:r>
      <w:r w:rsidR="00105D6D" w:rsidRPr="004D60A3">
        <w:t>.</w:t>
      </w:r>
    </w:p>
    <w:p w:rsidR="00594362" w:rsidRDefault="00594362" w:rsidP="00594362">
      <w:pPr>
        <w:pStyle w:val="BodyText"/>
      </w:pPr>
      <w:r w:rsidRPr="004D60A3">
        <w:t xml:space="preserve">Modifications to the length, content, and structure of the </w:t>
      </w:r>
      <w:r w:rsidR="003A5AEA">
        <w:t>Teacher</w:t>
      </w:r>
      <w:r w:rsidR="00053720">
        <w:t xml:space="preserve"> Background Form </w:t>
      </w:r>
      <w:r w:rsidRPr="004D60A3">
        <w:t xml:space="preserve">have been made based on the results of the feedback provided by teachers involved in the pilot test. Several questions have been reworded to ensure clarity and reliability across teachers in all states. Other questions were deemed unnecessary to determine </w:t>
      </w:r>
      <w:r w:rsidR="00105D6D" w:rsidRPr="004D60A3">
        <w:t xml:space="preserve">characteristics of teachers’ preparation </w:t>
      </w:r>
      <w:r w:rsidRPr="004D60A3">
        <w:t>and were deleted from the form. The structure of the form was also examined during the pilot test and questions on the form were rearranged in order to determine initial eligibility within the first few questions. This</w:t>
      </w:r>
      <w:r w:rsidR="00F62C1A">
        <w:t xml:space="preserve"> reorganization</w:t>
      </w:r>
      <w:r w:rsidRPr="004D60A3">
        <w:t xml:space="preserve"> will reduce the burden of having ineligible teachers complete the full array of questions.</w:t>
      </w:r>
    </w:p>
    <w:p w:rsidR="00B8153B" w:rsidRPr="00B8153B" w:rsidRDefault="00B8153B" w:rsidP="00C63C4C">
      <w:pPr>
        <w:pStyle w:val="Heading2"/>
        <w:pBdr>
          <w:top w:val="single" w:sz="6" w:space="0" w:color="D0D3D4"/>
        </w:pBdr>
      </w:pPr>
      <w:bookmarkStart w:id="12" w:name="_Toc307840512"/>
      <w:r>
        <w:t>Individuals Consulted on Statistical Aspects of the Design</w:t>
      </w:r>
      <w:bookmarkEnd w:id="12"/>
    </w:p>
    <w:p w:rsidR="00CE02F4" w:rsidRDefault="00B8153B" w:rsidP="00CE02F4">
      <w:pPr>
        <w:pStyle w:val="BodyText"/>
      </w:pPr>
      <w:r>
        <w:t>The following individuals were consulted on the statistical aspects of the study:</w:t>
      </w:r>
    </w:p>
    <w:tbl>
      <w:tblPr>
        <w:tblW w:w="873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0" w:type="dxa"/>
          <w:right w:w="0" w:type="dxa"/>
        </w:tblCellMar>
        <w:tblLook w:val="04A0"/>
      </w:tblPr>
      <w:tblGrid>
        <w:gridCol w:w="3060"/>
        <w:gridCol w:w="4140"/>
        <w:gridCol w:w="1530"/>
      </w:tblGrid>
      <w:tr w:rsidR="001E5492" w:rsidTr="00C67132">
        <w:trPr>
          <w:cantSplit/>
          <w:trHeight w:val="288"/>
          <w:tblHeader/>
        </w:trPr>
        <w:tc>
          <w:tcPr>
            <w:tcW w:w="3060" w:type="dxa"/>
            <w:shd w:val="clear" w:color="auto" w:fill="C3C6A8"/>
            <w:tcMar>
              <w:top w:w="0" w:type="dxa"/>
              <w:left w:w="108" w:type="dxa"/>
              <w:bottom w:w="0" w:type="dxa"/>
              <w:right w:w="108" w:type="dxa"/>
            </w:tcMar>
            <w:vAlign w:val="center"/>
            <w:hideMark/>
          </w:tcPr>
          <w:p w:rsidR="001E5492" w:rsidRDefault="001E5492" w:rsidP="00C67132">
            <w:pPr>
              <w:pStyle w:val="ExhibitRowHeader"/>
              <w:spacing w:before="0" w:after="0" w:line="264" w:lineRule="auto"/>
              <w:jc w:val="left"/>
              <w:rPr>
                <w:color w:val="auto"/>
              </w:rPr>
            </w:pPr>
            <w:r>
              <w:rPr>
                <w:color w:val="auto"/>
              </w:rPr>
              <w:t>Name</w:t>
            </w:r>
          </w:p>
        </w:tc>
        <w:tc>
          <w:tcPr>
            <w:tcW w:w="4140" w:type="dxa"/>
            <w:shd w:val="clear" w:color="auto" w:fill="C3C6A8"/>
            <w:tcMar>
              <w:top w:w="0" w:type="dxa"/>
              <w:left w:w="108" w:type="dxa"/>
              <w:bottom w:w="0" w:type="dxa"/>
              <w:right w:w="108" w:type="dxa"/>
            </w:tcMar>
            <w:vAlign w:val="center"/>
            <w:hideMark/>
          </w:tcPr>
          <w:p w:rsidR="001E5492" w:rsidRDefault="001E5492" w:rsidP="00C67132">
            <w:pPr>
              <w:pStyle w:val="ExhibitRowHeader"/>
              <w:spacing w:before="0" w:after="0" w:line="264" w:lineRule="auto"/>
              <w:jc w:val="left"/>
              <w:rPr>
                <w:color w:val="auto"/>
              </w:rPr>
            </w:pPr>
            <w:r>
              <w:rPr>
                <w:color w:val="auto"/>
              </w:rPr>
              <w:t>Title/Affiliation</w:t>
            </w:r>
          </w:p>
        </w:tc>
        <w:tc>
          <w:tcPr>
            <w:tcW w:w="1530" w:type="dxa"/>
            <w:shd w:val="clear" w:color="auto" w:fill="C3C6A8"/>
            <w:tcMar>
              <w:top w:w="0" w:type="dxa"/>
              <w:left w:w="108" w:type="dxa"/>
              <w:bottom w:w="0" w:type="dxa"/>
              <w:right w:w="108" w:type="dxa"/>
            </w:tcMar>
            <w:vAlign w:val="center"/>
            <w:hideMark/>
          </w:tcPr>
          <w:p w:rsidR="001E5492" w:rsidRDefault="001E5492" w:rsidP="00C67132">
            <w:pPr>
              <w:pStyle w:val="ExhibitColumnHeader"/>
              <w:spacing w:before="0" w:after="0" w:line="264" w:lineRule="auto"/>
              <w:jc w:val="left"/>
            </w:pPr>
            <w:r>
              <w:t>Telephone</w:t>
            </w:r>
          </w:p>
        </w:tc>
      </w:tr>
      <w:tr w:rsidR="001E5492" w:rsidTr="00C67132">
        <w:trPr>
          <w:cantSplit/>
          <w:trHeight w:val="288"/>
        </w:trPr>
        <w:tc>
          <w:tcPr>
            <w:tcW w:w="3060" w:type="dxa"/>
            <w:tcMar>
              <w:top w:w="0" w:type="dxa"/>
              <w:left w:w="108" w:type="dxa"/>
              <w:bottom w:w="0" w:type="dxa"/>
              <w:right w:w="108" w:type="dxa"/>
            </w:tcMar>
            <w:hideMark/>
          </w:tcPr>
          <w:p w:rsidR="001E5492" w:rsidRDefault="00B72A45" w:rsidP="00C67132">
            <w:pPr>
              <w:pStyle w:val="ExhibitText"/>
              <w:spacing w:before="0" w:after="0"/>
            </w:pPr>
            <w:r>
              <w:t>Dr. Fatih Unlu</w:t>
            </w:r>
          </w:p>
        </w:tc>
        <w:tc>
          <w:tcPr>
            <w:tcW w:w="4140" w:type="dxa"/>
            <w:tcMar>
              <w:top w:w="0" w:type="dxa"/>
              <w:left w:w="108" w:type="dxa"/>
              <w:bottom w:w="0" w:type="dxa"/>
              <w:right w:w="108" w:type="dxa"/>
            </w:tcMar>
            <w:hideMark/>
          </w:tcPr>
          <w:p w:rsidR="001E5492" w:rsidRDefault="00B72A45" w:rsidP="00C67132">
            <w:pPr>
              <w:pStyle w:val="ExhibitText"/>
              <w:spacing w:before="0" w:after="0"/>
            </w:pPr>
            <w:r>
              <w:rPr>
                <w:color w:val="auto"/>
              </w:rPr>
              <w:t>Associate/Scientist, Abt Associates</w:t>
            </w:r>
          </w:p>
        </w:tc>
        <w:tc>
          <w:tcPr>
            <w:tcW w:w="1530" w:type="dxa"/>
            <w:tcMar>
              <w:top w:w="0" w:type="dxa"/>
              <w:left w:w="108" w:type="dxa"/>
              <w:bottom w:w="0" w:type="dxa"/>
              <w:right w:w="108" w:type="dxa"/>
            </w:tcMar>
            <w:hideMark/>
          </w:tcPr>
          <w:p w:rsidR="001E5492" w:rsidRDefault="00B72A45" w:rsidP="00C67132">
            <w:pPr>
              <w:pStyle w:val="ExhibitText"/>
              <w:spacing w:before="0" w:after="0"/>
            </w:pPr>
            <w:r>
              <w:rPr>
                <w:color w:val="auto"/>
              </w:rPr>
              <w:t>617-520-2528</w:t>
            </w:r>
          </w:p>
        </w:tc>
      </w:tr>
      <w:tr w:rsidR="001E5492" w:rsidTr="00C67132">
        <w:trPr>
          <w:cantSplit/>
          <w:trHeight w:val="288"/>
        </w:trPr>
        <w:tc>
          <w:tcPr>
            <w:tcW w:w="3060" w:type="dxa"/>
            <w:tcMar>
              <w:top w:w="0" w:type="dxa"/>
              <w:left w:w="108" w:type="dxa"/>
              <w:bottom w:w="0" w:type="dxa"/>
              <w:right w:w="108" w:type="dxa"/>
            </w:tcMar>
            <w:hideMark/>
          </w:tcPr>
          <w:p w:rsidR="001E5492" w:rsidRDefault="001E5492" w:rsidP="00B72A45">
            <w:pPr>
              <w:pStyle w:val="ExhibitText"/>
              <w:spacing w:before="0" w:after="0"/>
            </w:pPr>
            <w:r>
              <w:t xml:space="preserve">Dr. </w:t>
            </w:r>
            <w:r w:rsidR="00B72A45">
              <w:t>Mark Dynarski</w:t>
            </w:r>
          </w:p>
        </w:tc>
        <w:tc>
          <w:tcPr>
            <w:tcW w:w="4140" w:type="dxa"/>
            <w:tcMar>
              <w:top w:w="0" w:type="dxa"/>
              <w:left w:w="108" w:type="dxa"/>
              <w:bottom w:w="0" w:type="dxa"/>
              <w:right w:w="108" w:type="dxa"/>
            </w:tcMar>
            <w:hideMark/>
          </w:tcPr>
          <w:p w:rsidR="001E5492" w:rsidRDefault="00C63C4C" w:rsidP="00C67132">
            <w:pPr>
              <w:pStyle w:val="ExhibitText"/>
              <w:spacing w:before="0" w:after="0"/>
              <w:rPr>
                <w:color w:val="auto"/>
              </w:rPr>
            </w:pPr>
            <w:r>
              <w:rPr>
                <w:color w:val="auto"/>
              </w:rPr>
              <w:t>Director/Pemberton Research</w:t>
            </w:r>
          </w:p>
        </w:tc>
        <w:tc>
          <w:tcPr>
            <w:tcW w:w="1530" w:type="dxa"/>
            <w:tcMar>
              <w:top w:w="0" w:type="dxa"/>
              <w:left w:w="108" w:type="dxa"/>
              <w:bottom w:w="0" w:type="dxa"/>
              <w:right w:w="108" w:type="dxa"/>
            </w:tcMar>
            <w:hideMark/>
          </w:tcPr>
          <w:p w:rsidR="001E5492" w:rsidRDefault="00C63C4C" w:rsidP="00C67132">
            <w:pPr>
              <w:pStyle w:val="ExhibitText"/>
              <w:spacing w:before="0" w:after="0"/>
              <w:rPr>
                <w:color w:val="auto"/>
              </w:rPr>
            </w:pPr>
            <w:r>
              <w:rPr>
                <w:color w:val="auto"/>
              </w:rPr>
              <w:t>609-443-1981</w:t>
            </w:r>
          </w:p>
        </w:tc>
      </w:tr>
      <w:tr w:rsidR="0013520E" w:rsidTr="00C67132">
        <w:trPr>
          <w:cantSplit/>
          <w:trHeight w:val="288"/>
        </w:trPr>
        <w:tc>
          <w:tcPr>
            <w:tcW w:w="3060" w:type="dxa"/>
            <w:tcMar>
              <w:top w:w="0" w:type="dxa"/>
              <w:left w:w="108" w:type="dxa"/>
              <w:bottom w:w="0" w:type="dxa"/>
              <w:right w:w="108" w:type="dxa"/>
            </w:tcMar>
          </w:tcPr>
          <w:p w:rsidR="0013520E" w:rsidRDefault="0013520E" w:rsidP="00B72A45">
            <w:pPr>
              <w:pStyle w:val="ExhibitText"/>
              <w:spacing w:before="0" w:after="0"/>
            </w:pPr>
            <w:r>
              <w:t>Mr. Cristofer Price</w:t>
            </w:r>
          </w:p>
        </w:tc>
        <w:tc>
          <w:tcPr>
            <w:tcW w:w="4140" w:type="dxa"/>
            <w:tcMar>
              <w:top w:w="0" w:type="dxa"/>
              <w:left w:w="108" w:type="dxa"/>
              <w:bottom w:w="0" w:type="dxa"/>
              <w:right w:w="108" w:type="dxa"/>
            </w:tcMar>
          </w:tcPr>
          <w:p w:rsidR="0013520E" w:rsidRDefault="0013520E" w:rsidP="00C67132">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13520E" w:rsidRDefault="0013520E" w:rsidP="0013520E">
            <w:pPr>
              <w:pStyle w:val="ExhibitText"/>
              <w:spacing w:before="0" w:after="0"/>
              <w:rPr>
                <w:color w:val="auto"/>
              </w:rPr>
            </w:pPr>
            <w:r w:rsidRPr="0013520E">
              <w:rPr>
                <w:color w:val="auto"/>
              </w:rPr>
              <w:t>301</w:t>
            </w:r>
            <w:r>
              <w:rPr>
                <w:color w:val="auto"/>
              </w:rPr>
              <w:t>-</w:t>
            </w:r>
            <w:r w:rsidRPr="0013520E">
              <w:rPr>
                <w:color w:val="auto"/>
              </w:rPr>
              <w:t>634-1852</w:t>
            </w:r>
          </w:p>
        </w:tc>
      </w:tr>
    </w:tbl>
    <w:p w:rsidR="00B15687" w:rsidRPr="0046421D" w:rsidRDefault="00B15687" w:rsidP="0046421D"/>
    <w:p w:rsidR="00590D41" w:rsidRDefault="009D6958" w:rsidP="0046421D">
      <w:pPr>
        <w:pStyle w:val="Heading2"/>
        <w:pageBreakBefore/>
        <w:numPr>
          <w:ilvl w:val="0"/>
          <w:numId w:val="0"/>
        </w:numPr>
      </w:pPr>
      <w:bookmarkStart w:id="13" w:name="_Toc307840513"/>
      <w:r>
        <w:t>References</w:t>
      </w:r>
      <w:bookmarkEnd w:id="13"/>
    </w:p>
    <w:p w:rsidR="0046421D" w:rsidRDefault="0046421D" w:rsidP="003B1B8C">
      <w:pPr>
        <w:pStyle w:val="BodyText"/>
        <w:ind w:left="360" w:hanging="360"/>
      </w:pPr>
      <w:r>
        <w:t xml:space="preserve">Bloom, H.S. (1984). </w:t>
      </w:r>
      <w:r w:rsidRPr="0023047E">
        <w:t>Accounting for no-shows in experimental evaluation designs</w:t>
      </w:r>
      <w:r w:rsidRPr="00580E57">
        <w:rPr>
          <w:i/>
        </w:rPr>
        <w:t>.</w:t>
      </w:r>
      <w:r>
        <w:t xml:space="preserve"> </w:t>
      </w:r>
      <w:r w:rsidRPr="0023047E">
        <w:rPr>
          <w:i/>
          <w:iCs/>
        </w:rPr>
        <w:t>Evaluation Review</w:t>
      </w:r>
      <w:r>
        <w:rPr>
          <w:i/>
          <w:iCs/>
        </w:rPr>
        <w:t>,</w:t>
      </w:r>
      <w:r w:rsidRPr="0023047E">
        <w:rPr>
          <w:i/>
          <w:iCs/>
        </w:rPr>
        <w:t xml:space="preserve"> 8</w:t>
      </w:r>
      <w:r w:rsidRPr="00580E57">
        <w:t>(2), 225-</w:t>
      </w:r>
      <w:r>
        <w:t>2</w:t>
      </w:r>
      <w:r w:rsidRPr="00580E57">
        <w:t>46.</w:t>
      </w:r>
    </w:p>
    <w:p w:rsidR="0046421D" w:rsidRDefault="0046421D" w:rsidP="003B1B8C">
      <w:pPr>
        <w:pStyle w:val="BodyText"/>
        <w:ind w:left="360" w:hanging="360"/>
      </w:pPr>
      <w:r>
        <w:t>Bloom, H.S., Richburg</w:t>
      </w:r>
      <w:r>
        <w:rPr>
          <w:rFonts w:ascii="Cambria Math" w:hAnsi="Cambria Math" w:cs="Cambria Math"/>
        </w:rPr>
        <w:t>‐</w:t>
      </w:r>
      <w:r>
        <w:t xml:space="preserve">Hayes, L., &amp; Black, A.R. (2007). </w:t>
      </w:r>
      <w:r w:rsidRPr="0023047E">
        <w:t>Using covariates to improve precision for studies that randomize schools to evaluate educational interventions.</w:t>
      </w:r>
      <w:r>
        <w:t xml:space="preserve"> </w:t>
      </w:r>
      <w:r w:rsidRPr="0023047E">
        <w:rPr>
          <w:i/>
          <w:iCs/>
        </w:rPr>
        <w:t>Educational Evaluation</w:t>
      </w:r>
      <w:r w:rsidRPr="0023047E">
        <w:rPr>
          <w:i/>
        </w:rPr>
        <w:t xml:space="preserve"> </w:t>
      </w:r>
      <w:r w:rsidRPr="0023047E">
        <w:rPr>
          <w:i/>
          <w:iCs/>
        </w:rPr>
        <w:t>and Policy Analysis</w:t>
      </w:r>
      <w:r>
        <w:rPr>
          <w:i/>
          <w:iCs/>
        </w:rPr>
        <w:t>,</w:t>
      </w:r>
      <w:r w:rsidRPr="0023047E">
        <w:rPr>
          <w:i/>
          <w:iCs/>
        </w:rPr>
        <w:t xml:space="preserve"> 29</w:t>
      </w:r>
      <w:r w:rsidRPr="00AB6103">
        <w:t>(1), 30–59.</w:t>
      </w:r>
    </w:p>
    <w:p w:rsidR="0046421D" w:rsidRPr="00AB6103" w:rsidRDefault="0046421D" w:rsidP="003B1B8C">
      <w:pPr>
        <w:pStyle w:val="BodyText"/>
        <w:ind w:left="360" w:hanging="360"/>
        <w:rPr>
          <w:i/>
        </w:rPr>
      </w:pPr>
      <w:r>
        <w:t>Bloom, H.S., Hill, C.J., Black, A.R. &amp;</w:t>
      </w:r>
      <w:r w:rsidRPr="00E972CC">
        <w:t xml:space="preserve"> Lipsey, M.W. (2008).</w:t>
      </w:r>
      <w:r>
        <w:rPr>
          <w:sz w:val="15"/>
          <w:szCs w:val="15"/>
        </w:rPr>
        <w:t xml:space="preserve"> </w:t>
      </w:r>
      <w:r w:rsidRPr="00E972CC">
        <w:rPr>
          <w:i/>
        </w:rPr>
        <w:t>Performance Trajectories and Performance Gaps as Achievement Effect-Size Benchmarks for Educational Interventions</w:t>
      </w:r>
      <w:r>
        <w:rPr>
          <w:i/>
        </w:rPr>
        <w:t xml:space="preserve">. </w:t>
      </w:r>
      <w:r>
        <w:t>MDRC Working Papers on Research Methodology. New York: MDRC.</w:t>
      </w:r>
    </w:p>
    <w:p w:rsidR="0046421D" w:rsidRPr="00580E57" w:rsidRDefault="0046421D" w:rsidP="003B1B8C">
      <w:pPr>
        <w:pStyle w:val="BodyText"/>
        <w:ind w:left="360" w:hanging="360"/>
        <w:rPr>
          <w:i/>
          <w:iCs/>
        </w:rPr>
      </w:pPr>
      <w:r>
        <w:t xml:space="preserve">Clotfelter, C.T., Ladd, H.F., &amp; Vigdor, J.L. (2007). </w:t>
      </w:r>
      <w:r>
        <w:rPr>
          <w:i/>
          <w:iCs/>
        </w:rPr>
        <w:t xml:space="preserve">How and why do teacher credentials matter for student achievement? </w:t>
      </w:r>
      <w:r>
        <w:t>(NBER Working Paper 12828). Cambridge, MA: National Bureau of</w:t>
      </w:r>
      <w:r>
        <w:rPr>
          <w:i/>
          <w:iCs/>
        </w:rPr>
        <w:t xml:space="preserve"> </w:t>
      </w:r>
      <w:r>
        <w:t>Economic Research.</w:t>
      </w:r>
    </w:p>
    <w:p w:rsidR="0046421D" w:rsidRPr="00580E57" w:rsidRDefault="0046421D" w:rsidP="003B1B8C">
      <w:pPr>
        <w:pStyle w:val="BodyText"/>
        <w:ind w:left="360" w:hanging="360"/>
        <w:rPr>
          <w:i/>
          <w:iCs/>
        </w:rPr>
      </w:pPr>
      <w:r>
        <w:t xml:space="preserve">Constantine, J., Player D., Silva, T., Hallgren, K., Grider, M., &amp; Deke, J. (2009). </w:t>
      </w:r>
      <w:r>
        <w:rPr>
          <w:i/>
          <w:iCs/>
        </w:rPr>
        <w:t xml:space="preserve">An Evaluation of teachers trained through different routes to certification, final report </w:t>
      </w:r>
      <w:r>
        <w:t>(NCEE 2009- 4043).</w:t>
      </w:r>
      <w:r>
        <w:rPr>
          <w:i/>
          <w:iCs/>
        </w:rPr>
        <w:t xml:space="preserve"> </w:t>
      </w:r>
      <w:r>
        <w:t>Washington, DC: National Center for Education Evaluation and Regional Assistance, Institute of</w:t>
      </w:r>
      <w:r>
        <w:rPr>
          <w:i/>
          <w:iCs/>
        </w:rPr>
        <w:t xml:space="preserve"> </w:t>
      </w:r>
      <w:r>
        <w:t>Education Sciences, U.S. Department of Education.</w:t>
      </w:r>
    </w:p>
    <w:p w:rsidR="0046421D" w:rsidRDefault="0046421D" w:rsidP="003B1B8C">
      <w:pPr>
        <w:pStyle w:val="BodyText"/>
        <w:ind w:left="360" w:hanging="360"/>
      </w:pPr>
      <w:r>
        <w:t xml:space="preserve">Decker, P.T., Mayer, D.P., &amp; Glazerman, S. (2004). </w:t>
      </w:r>
      <w:r>
        <w:rPr>
          <w:i/>
          <w:iCs/>
        </w:rPr>
        <w:t>The effects of Teach For America on students: Findings from a national evaluation</w:t>
      </w:r>
      <w:r>
        <w:t>. Princeton, NJ: Mathematica Policy Research Inc.</w:t>
      </w:r>
    </w:p>
    <w:p w:rsidR="0046421D" w:rsidRPr="00B11CA6" w:rsidRDefault="0046421D" w:rsidP="003B1B8C">
      <w:pPr>
        <w:pStyle w:val="BodyText"/>
        <w:ind w:left="360" w:hanging="360"/>
      </w:pPr>
      <w:r>
        <w:t xml:space="preserve">Gennetian, L., Morris, J.B. &amp; Bloom, H. (2005). </w:t>
      </w:r>
      <w:r w:rsidRPr="00B11CA6">
        <w:rPr>
          <w:i/>
        </w:rPr>
        <w:t>Coupling the non-experimental technique of instrumental variables with experimental data to learn how programs create impacts</w:t>
      </w:r>
      <w:r>
        <w:t xml:space="preserve">. </w:t>
      </w:r>
      <w:r w:rsidRPr="00B11CA6">
        <w:t xml:space="preserve">In H. Bloom (Ed.), </w:t>
      </w:r>
      <w:r w:rsidRPr="00B11CA6">
        <w:rPr>
          <w:iCs/>
        </w:rPr>
        <w:t>Moving to the next level: Combining experimental and non-experimental methods</w:t>
      </w:r>
      <w:r w:rsidRPr="00B11CA6">
        <w:t xml:space="preserve"> </w:t>
      </w:r>
      <w:r w:rsidRPr="00B11CA6">
        <w:rPr>
          <w:iCs/>
        </w:rPr>
        <w:t xml:space="preserve">to advance employment policy research. </w:t>
      </w:r>
      <w:r w:rsidRPr="00B11CA6">
        <w:t>New York: Russell Sage Foundation.</w:t>
      </w:r>
    </w:p>
    <w:p w:rsidR="0046421D" w:rsidRDefault="0046421D" w:rsidP="003B1B8C">
      <w:pPr>
        <w:pStyle w:val="BodyText"/>
        <w:ind w:left="360" w:hanging="360"/>
      </w:pPr>
      <w:r>
        <w:t xml:space="preserve">Hedges, L.V., &amp; Hedberg, E. (2007). </w:t>
      </w:r>
      <w:r w:rsidRPr="00273FD6">
        <w:t>Interclass correlation values for planning group-randomized trials in education</w:t>
      </w:r>
      <w:r w:rsidRPr="00273FD6">
        <w:rPr>
          <w:iCs/>
        </w:rPr>
        <w:t>.</w:t>
      </w:r>
      <w:r>
        <w:rPr>
          <w:i/>
          <w:iCs/>
        </w:rPr>
        <w:t xml:space="preserve"> </w:t>
      </w:r>
      <w:r w:rsidRPr="00273FD6">
        <w:rPr>
          <w:i/>
          <w:iCs/>
        </w:rPr>
        <w:t>Educational Evaluation and Policy Analysis</w:t>
      </w:r>
      <w:r>
        <w:rPr>
          <w:i/>
          <w:iCs/>
        </w:rPr>
        <w:t>,</w:t>
      </w:r>
      <w:r w:rsidRPr="00273FD6">
        <w:rPr>
          <w:i/>
          <w:iCs/>
        </w:rPr>
        <w:t xml:space="preserve"> 29</w:t>
      </w:r>
      <w:r w:rsidRPr="00AB6103">
        <w:t>(1), 60–87.</w:t>
      </w:r>
    </w:p>
    <w:p w:rsidR="0046421D" w:rsidRPr="00AB6103" w:rsidRDefault="0046421D" w:rsidP="003B1B8C">
      <w:pPr>
        <w:pStyle w:val="BodyText"/>
        <w:ind w:left="360" w:hanging="360"/>
        <w:rPr>
          <w:i/>
        </w:rPr>
      </w:pPr>
      <w:r>
        <w:t xml:space="preserve">Kane, Thomas J., &amp; Staiger, Douglas. (2008). </w:t>
      </w:r>
      <w:r w:rsidRPr="00AB6103">
        <w:rPr>
          <w:i/>
        </w:rPr>
        <w:t xml:space="preserve">Estimating teacher </w:t>
      </w:r>
      <w:r>
        <w:rPr>
          <w:i/>
        </w:rPr>
        <w:t xml:space="preserve">impacts on student achievement: </w:t>
      </w:r>
      <w:r w:rsidRPr="00AB6103">
        <w:rPr>
          <w:i/>
        </w:rPr>
        <w:t>An experimental evaluation</w:t>
      </w:r>
      <w:r>
        <w:t xml:space="preserve"> (NBER Working Paper Series, Vol. 14607). Cambridge, MA:</w:t>
      </w:r>
      <w:r>
        <w:rPr>
          <w:i/>
        </w:rPr>
        <w:t xml:space="preserve"> </w:t>
      </w:r>
      <w:r>
        <w:t>National Bureau of Economic Research.</w:t>
      </w:r>
    </w:p>
    <w:p w:rsidR="0046421D" w:rsidRPr="00580E57" w:rsidRDefault="0046421D" w:rsidP="003B1B8C">
      <w:pPr>
        <w:pStyle w:val="BodyText"/>
        <w:ind w:left="360" w:hanging="360"/>
        <w:rPr>
          <w:i/>
          <w:iCs/>
        </w:rPr>
      </w:pPr>
      <w:r>
        <w:t xml:space="preserve">Puma, M.J., Olsen, R.B., Bell, S.H. &amp; Price, C. (2009). </w:t>
      </w:r>
      <w:r>
        <w:rPr>
          <w:i/>
          <w:iCs/>
        </w:rPr>
        <w:t xml:space="preserve">What to do when data are missing in group randomized controlled trials </w:t>
      </w:r>
      <w:r>
        <w:t>(NCEE 2009-0049). Washington, DC: National Center for</w:t>
      </w:r>
      <w:r>
        <w:rPr>
          <w:i/>
          <w:iCs/>
        </w:rPr>
        <w:t xml:space="preserve"> </w:t>
      </w:r>
      <w:r>
        <w:t>Education Evaluation and Regional Assistance, Institute of Education Sciences, U.S.</w:t>
      </w:r>
      <w:r>
        <w:rPr>
          <w:i/>
          <w:iCs/>
        </w:rPr>
        <w:t xml:space="preserve"> </w:t>
      </w:r>
      <w:r>
        <w:t>Department of Education.</w:t>
      </w:r>
    </w:p>
    <w:p w:rsidR="0046421D" w:rsidRPr="00580E57" w:rsidRDefault="0046421D" w:rsidP="003B1B8C">
      <w:pPr>
        <w:pStyle w:val="BodyText"/>
        <w:ind w:left="360" w:hanging="360"/>
        <w:rPr>
          <w:i/>
          <w:iCs/>
        </w:rPr>
      </w:pPr>
      <w:r>
        <w:t>Rivkin, S.G., Hanushek, E. A., &amp; Kain, J.F. (2005</w:t>
      </w:r>
      <w:r w:rsidRPr="00580E57">
        <w:rPr>
          <w:i/>
        </w:rPr>
        <w:t xml:space="preserve">). </w:t>
      </w:r>
      <w:r w:rsidRPr="00273FD6">
        <w:t>Teachers, schools, and academic achievement.</w:t>
      </w:r>
      <w:r>
        <w:t xml:space="preserve"> </w:t>
      </w:r>
      <w:r w:rsidRPr="00273FD6">
        <w:rPr>
          <w:i/>
          <w:iCs/>
        </w:rPr>
        <w:t>Econometrica</w:t>
      </w:r>
      <w:r>
        <w:rPr>
          <w:iCs/>
        </w:rPr>
        <w:t>,</w:t>
      </w:r>
      <w:r w:rsidRPr="00273FD6">
        <w:rPr>
          <w:i/>
          <w:iCs/>
        </w:rPr>
        <w:t xml:space="preserve"> 73</w:t>
      </w:r>
      <w:r w:rsidRPr="00580E57">
        <w:t>(2), 417-58.</w:t>
      </w:r>
    </w:p>
    <w:p w:rsidR="0046421D" w:rsidRDefault="0046421D" w:rsidP="003B1B8C">
      <w:pPr>
        <w:pStyle w:val="BodyText"/>
        <w:ind w:left="360" w:hanging="360"/>
      </w:pPr>
      <w:r>
        <w:t xml:space="preserve">Rockoff, J.E. (2004). </w:t>
      </w:r>
      <w:r w:rsidRPr="00273FD6">
        <w:t xml:space="preserve">The impact of individual teachers on student achievement: Evidence from panel data. </w:t>
      </w:r>
      <w:r w:rsidRPr="00273FD6">
        <w:rPr>
          <w:i/>
          <w:iCs/>
        </w:rPr>
        <w:t>American Economic Review</w:t>
      </w:r>
      <w:r>
        <w:rPr>
          <w:i/>
          <w:iCs/>
        </w:rPr>
        <w:t>,</w:t>
      </w:r>
      <w:r w:rsidRPr="00273FD6">
        <w:rPr>
          <w:i/>
          <w:iCs/>
        </w:rPr>
        <w:t xml:space="preserve"> 94</w:t>
      </w:r>
      <w:r w:rsidRPr="00580E57">
        <w:t>(2)</w:t>
      </w:r>
      <w:r>
        <w:t>,</w:t>
      </w:r>
      <w:r w:rsidRPr="00580E57">
        <w:t xml:space="preserve"> 247-52.</w:t>
      </w:r>
    </w:p>
    <w:p w:rsidR="0046421D" w:rsidRDefault="0046421D" w:rsidP="003B1B8C">
      <w:pPr>
        <w:pStyle w:val="BodyText"/>
        <w:ind w:left="360" w:hanging="360"/>
      </w:pPr>
      <w:r>
        <w:t xml:space="preserve">Schochet, P.Z. (2005). </w:t>
      </w:r>
      <w:r>
        <w:rPr>
          <w:i/>
          <w:iCs/>
        </w:rPr>
        <w:t>Statistical power for random assignment evaluations of education programs</w:t>
      </w:r>
      <w:r w:rsidR="00DA3EFF">
        <w:rPr>
          <w:i/>
          <w:iCs/>
        </w:rPr>
        <w:t xml:space="preserve">. </w:t>
      </w:r>
      <w:r>
        <w:t>(Document No. PR05-36). Princeton, NJ: Mathematica Policy Research</w:t>
      </w:r>
    </w:p>
    <w:p w:rsidR="0046421D" w:rsidRDefault="0046421D" w:rsidP="003B1B8C">
      <w:pPr>
        <w:pStyle w:val="BodyText"/>
        <w:ind w:left="360" w:hanging="360"/>
      </w:pPr>
      <w:r>
        <w:t xml:space="preserve">Schochet, P.Z. (2008). </w:t>
      </w:r>
      <w:r w:rsidRPr="00273FD6">
        <w:t>Statistical power for random assignment e</w:t>
      </w:r>
      <w:r>
        <w:t xml:space="preserve">valuations of education programs. </w:t>
      </w:r>
      <w:r w:rsidRPr="00273FD6">
        <w:rPr>
          <w:i/>
          <w:iCs/>
        </w:rPr>
        <w:t xml:space="preserve">Journal of Educational and Behavioral Statistics, 33 </w:t>
      </w:r>
      <w:r w:rsidRPr="00257D0E">
        <w:t>(1), 62-87.</w:t>
      </w:r>
    </w:p>
    <w:p w:rsidR="0046421D" w:rsidRDefault="0046421D" w:rsidP="003B1B8C">
      <w:pPr>
        <w:pStyle w:val="BodyText"/>
        <w:ind w:left="360" w:hanging="360"/>
      </w:pPr>
      <w:r>
        <w:t xml:space="preserve">Staiger, D. O., &amp; Rockoff, J. E. (2010). </w:t>
      </w:r>
      <w:r w:rsidRPr="00273FD6">
        <w:t>Searching for Effective Teachers with Imperfect Information</w:t>
      </w:r>
      <w:r w:rsidRPr="00580E57">
        <w:rPr>
          <w:i/>
        </w:rPr>
        <w:t>.</w:t>
      </w:r>
      <w:r>
        <w:t xml:space="preserve"> </w:t>
      </w:r>
      <w:r w:rsidRPr="00273FD6">
        <w:rPr>
          <w:i/>
          <w:iCs/>
        </w:rPr>
        <w:t>Journal of Economic Perspectives, 24</w:t>
      </w:r>
      <w:r w:rsidR="00776D67">
        <w:t>(3), 97-118.</w:t>
      </w:r>
    </w:p>
    <w:p w:rsidR="00590D41" w:rsidRPr="00590D41" w:rsidRDefault="00590D41" w:rsidP="00590D41">
      <w:pPr>
        <w:pStyle w:val="BodyText"/>
      </w:pPr>
    </w:p>
    <w:sectPr w:rsidR="00590D41" w:rsidRPr="00590D41" w:rsidSect="00967D7C">
      <w:footerReference w:type="default" r:id="rId16"/>
      <w:pgSz w:w="12240" w:h="15840" w:code="1"/>
      <w:pgMar w:top="1440" w:right="1440" w:bottom="1440" w:left="1800" w:header="1080" w:footer="720" w:gutter="0"/>
      <w:pgNumType w:start="1"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79E" w:rsidRDefault="00A0779E" w:rsidP="00D979EA">
      <w:r>
        <w:separator/>
      </w:r>
    </w:p>
  </w:endnote>
  <w:endnote w:type="continuationSeparator" w:id="0">
    <w:p w:rsidR="00A0779E" w:rsidRDefault="00A0779E"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6C" w:rsidRPr="00C2759C" w:rsidRDefault="00D65E6C" w:rsidP="00C2759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6C" w:rsidRPr="0066134E" w:rsidRDefault="00D65E6C" w:rsidP="00882AE9">
    <w:pPr>
      <w:pStyle w:val="Footer"/>
      <w:tabs>
        <w:tab w:val="clear" w:pos="4507"/>
      </w:tabs>
    </w:pPr>
    <w:r w:rsidRPr="00967D7C">
      <w:rPr>
        <w:color w:val="DA291C"/>
      </w:rPr>
      <w:t>Abt Associates Inc.</w:t>
    </w:r>
    <w:r w:rsidRPr="0066134E">
      <w:tab/>
    </w:r>
    <w:r>
      <w:rPr>
        <w:rStyle w:val="PageNumber"/>
        <w:b/>
      </w:rPr>
      <w:t>Contents</w:t>
    </w:r>
    <w:r>
      <w:rPr>
        <w:rStyle w:val="PageNumber"/>
        <w:b/>
      </w:rPr>
      <w:t> </w:t>
    </w:r>
    <w:r>
      <w:rPr>
        <w:rStyle w:val="PageNumber"/>
        <w:rFonts w:cs="Arial"/>
        <w:b/>
      </w:rPr>
      <w:t>▌</w:t>
    </w:r>
    <w:r>
      <w:rPr>
        <w:rStyle w:val="PageNumber"/>
        <w:b/>
      </w:rPr>
      <w:t xml:space="preserve">pg. </w:t>
    </w:r>
    <w:r w:rsidR="00896BD3" w:rsidRPr="002064D3">
      <w:rPr>
        <w:rStyle w:val="PageNumber"/>
        <w:b/>
        <w:color w:val="DA291C"/>
      </w:rPr>
      <w:fldChar w:fldCharType="begin"/>
    </w:r>
    <w:r w:rsidRPr="002064D3">
      <w:rPr>
        <w:rStyle w:val="PageNumber"/>
        <w:b/>
        <w:color w:val="DA291C"/>
      </w:rPr>
      <w:instrText xml:space="preserve"> PAGE   \* MERGEFORMAT </w:instrText>
    </w:r>
    <w:r w:rsidR="00896BD3" w:rsidRPr="002064D3">
      <w:rPr>
        <w:rStyle w:val="PageNumber"/>
        <w:b/>
        <w:color w:val="DA291C"/>
      </w:rPr>
      <w:fldChar w:fldCharType="separate"/>
    </w:r>
    <w:r w:rsidR="00E74F93">
      <w:rPr>
        <w:rStyle w:val="PageNumber"/>
        <w:b/>
        <w:noProof/>
        <w:color w:val="DA291C"/>
      </w:rPr>
      <w:t>i</w:t>
    </w:r>
    <w:r w:rsidR="00896BD3" w:rsidRPr="002064D3">
      <w:rPr>
        <w:rStyle w:val="PageNumber"/>
        <w:b/>
        <w:noProof/>
        <w:color w:val="DA291C"/>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6C" w:rsidRPr="0007338D" w:rsidRDefault="00D65E6C" w:rsidP="00F54966">
    <w:pPr>
      <w:pStyle w:val="Footer"/>
    </w:pPr>
    <w:r w:rsidRPr="00967D7C">
      <w:rPr>
        <w:color w:val="DA291C"/>
      </w:rPr>
      <w:t>Abt Associates Inc.</w:t>
    </w:r>
    <w:r w:rsidRPr="0066134E">
      <w:tab/>
    </w:r>
    <w:r w:rsidRPr="0066134E">
      <w:rPr>
        <w:rStyle w:val="PageNumber"/>
        <w:b/>
      </w:rPr>
      <w:tab/>
    </w:r>
    <w:r>
      <w:rPr>
        <w:rStyle w:val="PageNumber"/>
        <w:b/>
      </w:rPr>
      <w:t>Part A: Justification</w:t>
    </w:r>
    <w:r>
      <w:rPr>
        <w:rStyle w:val="PageNumber"/>
        <w:b/>
      </w:rPr>
      <w:t> </w:t>
    </w:r>
    <w:r>
      <w:rPr>
        <w:rStyle w:val="PageNumber"/>
        <w:rFonts w:cs="Arial"/>
        <w:b/>
      </w:rPr>
      <w:t>▌</w:t>
    </w:r>
    <w:r>
      <w:rPr>
        <w:rStyle w:val="PageNumber"/>
        <w:b/>
      </w:rPr>
      <w:t xml:space="preserve">pg. </w:t>
    </w:r>
    <w:r w:rsidR="00896BD3" w:rsidRPr="002064D3">
      <w:rPr>
        <w:rStyle w:val="PageNumber"/>
        <w:b/>
        <w:color w:val="DA291C"/>
      </w:rPr>
      <w:fldChar w:fldCharType="begin"/>
    </w:r>
    <w:r w:rsidRPr="002064D3">
      <w:rPr>
        <w:rStyle w:val="PageNumber"/>
        <w:b/>
        <w:color w:val="DA291C"/>
      </w:rPr>
      <w:instrText xml:space="preserve"> PAGE   \* MERGEFORMAT </w:instrText>
    </w:r>
    <w:r w:rsidR="00896BD3" w:rsidRPr="002064D3">
      <w:rPr>
        <w:rStyle w:val="PageNumber"/>
        <w:b/>
        <w:color w:val="DA291C"/>
      </w:rPr>
      <w:fldChar w:fldCharType="separate"/>
    </w:r>
    <w:r w:rsidR="00E74F93">
      <w:rPr>
        <w:rStyle w:val="PageNumber"/>
        <w:b/>
        <w:noProof/>
        <w:color w:val="DA291C"/>
      </w:rPr>
      <w:t>B-3</w:t>
    </w:r>
    <w:r w:rsidR="00896BD3" w:rsidRPr="002064D3">
      <w:rPr>
        <w:rStyle w:val="PageNumber"/>
        <w:b/>
        <w:noProof/>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6C" w:rsidRPr="0066134E" w:rsidRDefault="00D65E6C" w:rsidP="00882AE9">
    <w:pPr>
      <w:pStyle w:val="Footer"/>
      <w:tabs>
        <w:tab w:val="clear" w:pos="4507"/>
      </w:tabs>
    </w:pPr>
    <w:r w:rsidRPr="00967D7C">
      <w:rPr>
        <w:color w:val="DA291C"/>
      </w:rPr>
      <w:t>Abt Associates Inc.</w:t>
    </w:r>
    <w:r w:rsidRPr="0066134E">
      <w:tab/>
    </w:r>
    <w:r>
      <w:rPr>
        <w:rStyle w:val="PageNumber"/>
        <w:b/>
      </w:rPr>
      <w:t>Collection of Information Employing Statistical Methods</w:t>
    </w:r>
    <w:r>
      <w:rPr>
        <w:rStyle w:val="PageNumber"/>
        <w:b/>
      </w:rPr>
      <w:t> </w:t>
    </w:r>
    <w:r>
      <w:rPr>
        <w:rStyle w:val="PageNumber"/>
        <w:rFonts w:cs="Arial"/>
        <w:b/>
      </w:rPr>
      <w:t>▌</w:t>
    </w:r>
    <w:r>
      <w:rPr>
        <w:rStyle w:val="PageNumber"/>
        <w:b/>
      </w:rPr>
      <w:t xml:space="preserve">pg. </w:t>
    </w:r>
    <w:r w:rsidR="00896BD3" w:rsidRPr="002064D3">
      <w:rPr>
        <w:rStyle w:val="PageNumber"/>
        <w:b/>
        <w:color w:val="DA291C"/>
      </w:rPr>
      <w:fldChar w:fldCharType="begin"/>
    </w:r>
    <w:r w:rsidRPr="002064D3">
      <w:rPr>
        <w:rStyle w:val="PageNumber"/>
        <w:b/>
        <w:color w:val="DA291C"/>
      </w:rPr>
      <w:instrText xml:space="preserve"> PAGE   \* MERGEFORMAT </w:instrText>
    </w:r>
    <w:r w:rsidR="00896BD3" w:rsidRPr="002064D3">
      <w:rPr>
        <w:rStyle w:val="PageNumber"/>
        <w:b/>
        <w:color w:val="DA291C"/>
      </w:rPr>
      <w:fldChar w:fldCharType="separate"/>
    </w:r>
    <w:r w:rsidR="00E74F93">
      <w:rPr>
        <w:rStyle w:val="PageNumber"/>
        <w:b/>
        <w:noProof/>
        <w:color w:val="DA291C"/>
      </w:rPr>
      <w:t>B-14</w:t>
    </w:r>
    <w:r w:rsidR="00896BD3"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79E" w:rsidRDefault="00A0779E" w:rsidP="00D979EA">
      <w:r>
        <w:separator/>
      </w:r>
    </w:p>
  </w:footnote>
  <w:footnote w:type="continuationSeparator" w:id="0">
    <w:p w:rsidR="00A0779E" w:rsidRDefault="00A0779E" w:rsidP="00D979EA">
      <w:r>
        <w:continuationSeparator/>
      </w:r>
    </w:p>
  </w:footnote>
  <w:footnote w:id="1">
    <w:p w:rsidR="00D65E6C" w:rsidRDefault="00D65E6C" w:rsidP="00F54966">
      <w:pPr>
        <w:pStyle w:val="FootnoteText"/>
      </w:pPr>
      <w:r>
        <w:rPr>
          <w:rStyle w:val="FootnoteReference"/>
        </w:rPr>
        <w:footnoteRef/>
      </w:r>
      <w:r>
        <w:t xml:space="preserve"> </w:t>
      </w:r>
      <w:r>
        <w:tab/>
      </w:r>
      <w:r w:rsidRPr="002700A1">
        <w:t xml:space="preserve"> http://education.pearsonassessments.com/haiweb/cultures/en-us/productdetail.htm?pid=SAT10C&amp;Community=EA_PreK-12_API_Achievement</w:t>
      </w:r>
    </w:p>
  </w:footnote>
  <w:footnote w:id="2">
    <w:p w:rsidR="00D65E6C" w:rsidRDefault="00D65E6C" w:rsidP="00F54966">
      <w:pPr>
        <w:pStyle w:val="FootnoteText"/>
      </w:pPr>
      <w:r>
        <w:rPr>
          <w:rStyle w:val="FootnoteReference"/>
        </w:rPr>
        <w:footnoteRef/>
      </w:r>
      <w:r>
        <w:t xml:space="preserve"> </w:t>
      </w:r>
      <w:r>
        <w:tab/>
        <w:t>There may be some schools where upper elementary teachers are responsible for all the science or math instruction, for example, and students rotate through different teachers; random assignment in such schools is likely to be infeasible.</w:t>
      </w:r>
    </w:p>
  </w:footnote>
  <w:footnote w:id="3">
    <w:p w:rsidR="00D65E6C" w:rsidRDefault="00D65E6C">
      <w:pPr>
        <w:pStyle w:val="FootnoteText"/>
      </w:pPr>
      <w:r>
        <w:rPr>
          <w:rStyle w:val="FootnoteReference"/>
        </w:rPr>
        <w:footnoteRef/>
      </w:r>
      <w:r>
        <w:t xml:space="preserve"> </w:t>
      </w:r>
      <w:r>
        <w:tab/>
        <w:t>This assumption is based on experiences from two recent evaluations with methodological and contextual similarities to the proposed study: the national evaluation of the Teach for America program (Decker, Mayer, and Glazerman, 2004) and the recent IES-funded study of the alternative certification programs (Constantine et al., 2009).</w:t>
      </w:r>
    </w:p>
  </w:footnote>
  <w:footnote w:id="4">
    <w:p w:rsidR="00D65E6C" w:rsidRDefault="00D65E6C" w:rsidP="00AF2D12">
      <w:pPr>
        <w:pStyle w:val="FootnoteText"/>
      </w:pPr>
      <w:r>
        <w:rPr>
          <w:rStyle w:val="FootnoteReference"/>
        </w:rPr>
        <w:footnoteRef/>
      </w:r>
      <w:r>
        <w:t xml:space="preserve"> </w:t>
      </w:r>
      <w:r>
        <w:tab/>
      </w:r>
      <w:r w:rsidRPr="00AD2134">
        <w:rPr>
          <w:sz w:val="18"/>
          <w:szCs w:val="18"/>
        </w:rPr>
        <w:t xml:space="preserve">All recruiters will participate in a training to ensure </w:t>
      </w:r>
      <w:r>
        <w:rPr>
          <w:sz w:val="18"/>
          <w:szCs w:val="18"/>
        </w:rPr>
        <w:t xml:space="preserve">uniform understanding and </w:t>
      </w:r>
      <w:r w:rsidRPr="00AD2134">
        <w:rPr>
          <w:sz w:val="18"/>
          <w:szCs w:val="18"/>
        </w:rPr>
        <w:t xml:space="preserve">consistency across recruiters in the use of the </w:t>
      </w:r>
      <w:r>
        <w:rPr>
          <w:sz w:val="18"/>
          <w:szCs w:val="18"/>
        </w:rPr>
        <w:t>eligibility verification</w:t>
      </w:r>
      <w:r w:rsidRPr="00AD2134">
        <w:rPr>
          <w:sz w:val="18"/>
          <w:szCs w:val="18"/>
        </w:rPr>
        <w:t xml:space="preserve"> and site visit guides. </w:t>
      </w:r>
    </w:p>
  </w:footnote>
  <w:footnote w:id="5">
    <w:p w:rsidR="00D65E6C" w:rsidRDefault="00D65E6C" w:rsidP="00DE0060">
      <w:pPr>
        <w:pStyle w:val="FootnoteText"/>
      </w:pPr>
      <w:r>
        <w:rPr>
          <w:rStyle w:val="FootnoteReference"/>
        </w:rPr>
        <w:footnoteRef/>
      </w:r>
      <w:r>
        <w:t xml:space="preserve"> </w:t>
      </w:r>
      <w:r>
        <w:tab/>
        <w:t xml:space="preserve">This approach is consistent with two recent evaluations with methodological and contextual similarities to the proposed study: the national evaluation of the Teach for America program (Decker, Mayer, and Glazerman, 2004) and the recent IES-funded study of the alternative certification programs (Constantine et al., 2009). </w:t>
      </w:r>
    </w:p>
  </w:footnote>
  <w:footnote w:id="6">
    <w:p w:rsidR="00D65E6C" w:rsidRDefault="00D65E6C" w:rsidP="00DE0060">
      <w:pPr>
        <w:pStyle w:val="FootnoteText"/>
      </w:pPr>
      <w:r>
        <w:rPr>
          <w:rStyle w:val="FootnoteReference"/>
        </w:rPr>
        <w:footnoteRef/>
      </w:r>
      <w:r>
        <w:t xml:space="preserve"> </w:t>
      </w:r>
      <w:r>
        <w:tab/>
        <w:t xml:space="preserve">As mentioned above, the assumption is that each study school will have a T/C teacher pair. If there are any schools with more than one pair, fixed effects will be included and separate </w:t>
      </w:r>
      <w:r w:rsidRPr="000317B1">
        <w:t>impact</w:t>
      </w:r>
      <w:r>
        <w:t xml:space="preserve"> estimates will be calculated for each pair; essentially deeming each T/C teacher pair as a mini-experiment. </w:t>
      </w:r>
    </w:p>
  </w:footnote>
  <w:footnote w:id="7">
    <w:p w:rsidR="00D65E6C" w:rsidRDefault="00D65E6C">
      <w:pPr>
        <w:pStyle w:val="FootnoteText"/>
      </w:pPr>
      <w:r>
        <w:rPr>
          <w:rStyle w:val="FootnoteReference"/>
        </w:rPr>
        <w:footnoteRef/>
      </w:r>
      <w:r>
        <w:t xml:space="preserve"> </w:t>
      </w:r>
      <w:r>
        <w:tab/>
      </w:r>
      <w:r w:rsidRPr="003738B0">
        <w:t>See Constantine, Player, Silva, Hallgren, Grider, and Deke, 2009; the same survey has also been adapted for NCEE’s current Impact on Secondary Math Achievement of Highly Selective Routes to Alternative Certification.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6C" w:rsidRPr="00C2759C" w:rsidRDefault="00D65E6C" w:rsidP="00C2759C">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6C" w:rsidRDefault="00D65E6C" w:rsidP="00C2759C">
    <w:pPr>
      <w:pStyle w:val="Header"/>
      <w:tabs>
        <w:tab w:val="clear" w:pos="4507"/>
      </w:tabs>
    </w:pPr>
    <w:r>
      <w:t>DRAFT OMB Supporting Statement</w:t>
    </w:r>
    <w:r>
      <w:tab/>
    </w:r>
    <w:r w:rsidRPr="001A20EE">
      <w:t xml:space="preserve">Study of </w:t>
    </w:r>
    <w:r>
      <w:t>P</w:t>
    </w:r>
    <w:r w:rsidRPr="001A20EE">
      <w:t xml:space="preserve">romising </w:t>
    </w:r>
    <w:r>
      <w:t>F</w:t>
    </w:r>
    <w:r w:rsidRPr="001A20EE">
      <w:t xml:space="preserve">eatures of </w:t>
    </w:r>
    <w:r>
      <w:t>T</w:t>
    </w:r>
    <w:r w:rsidRPr="001A20EE">
      <w:t xml:space="preserve">eacher </w:t>
    </w:r>
    <w:r>
      <w:t>P</w:t>
    </w:r>
    <w:r w:rsidRPr="001A20EE">
      <w:t xml:space="preserve">reparation </w:t>
    </w:r>
    <w:r>
      <w:t>P</w:t>
    </w:r>
    <w:r w:rsidRPr="001A20EE">
      <w:t>rograms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6C" w:rsidRDefault="00D65E6C" w:rsidP="00F54966">
    <w:pPr>
      <w:pStyle w:val="Header"/>
      <w:tabs>
        <w:tab w:val="clear" w:pos="4507"/>
      </w:tabs>
    </w:pPr>
    <w:r>
      <w:t>OMB Supporting Statement</w:t>
    </w:r>
    <w:r>
      <w:tab/>
    </w:r>
    <w:r w:rsidRPr="007D376A">
      <w:t>Study of Promising Features of Teacher Preparation Programs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E84"/>
    <w:multiLevelType w:val="hybridMultilevel"/>
    <w:tmpl w:val="D4E045DE"/>
    <w:lvl w:ilvl="0" w:tplc="4EBE21F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C73C7F"/>
    <w:multiLevelType w:val="hybridMultilevel"/>
    <w:tmpl w:val="2D88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D6BA4"/>
    <w:multiLevelType w:val="hybridMultilevel"/>
    <w:tmpl w:val="959AE4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D005D87"/>
    <w:multiLevelType w:val="hybridMultilevel"/>
    <w:tmpl w:val="2116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E1F74"/>
    <w:multiLevelType w:val="hybridMultilevel"/>
    <w:tmpl w:val="9A12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25F7E"/>
    <w:multiLevelType w:val="singleLevel"/>
    <w:tmpl w:val="8A2067C4"/>
    <w:lvl w:ilvl="0">
      <w:start w:val="1"/>
      <w:numFmt w:val="bullet"/>
      <w:lvlText w:val=""/>
      <w:lvlJc w:val="left"/>
      <w:pPr>
        <w:tabs>
          <w:tab w:val="num" w:pos="1080"/>
        </w:tabs>
        <w:ind w:left="1080" w:hanging="360"/>
      </w:pPr>
      <w:rPr>
        <w:rFonts w:ascii="Symbol" w:hAnsi="Symbol" w:hint="default"/>
      </w:rPr>
    </w:lvl>
  </w:abstractNum>
  <w:abstractNum w:abstractNumId="6">
    <w:nsid w:val="1BF259DD"/>
    <w:multiLevelType w:val="hybridMultilevel"/>
    <w:tmpl w:val="98A0CF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78142A"/>
    <w:multiLevelType w:val="hybridMultilevel"/>
    <w:tmpl w:val="7D164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3EAD33C4"/>
    <w:multiLevelType w:val="multilevel"/>
    <w:tmpl w:val="8BB06E64"/>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0874054"/>
    <w:multiLevelType w:val="hybridMultilevel"/>
    <w:tmpl w:val="E0F2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07BB5"/>
    <w:multiLevelType w:val="hybridMultilevel"/>
    <w:tmpl w:val="5C14C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B049AA"/>
    <w:multiLevelType w:val="hybridMultilevel"/>
    <w:tmpl w:val="05EC6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867A7"/>
    <w:multiLevelType w:val="hybridMultilevel"/>
    <w:tmpl w:val="71068E8A"/>
    <w:lvl w:ilvl="0" w:tplc="AE7E90EE">
      <w:start w:val="1"/>
      <w:numFmt w:val="decimal"/>
      <w:lvlText w:val="%1."/>
      <w:lvlJc w:val="left"/>
      <w:pPr>
        <w:ind w:left="1800" w:hanging="360"/>
      </w:pPr>
      <w:rPr>
        <w:rFonts w:ascii="Times New Roman" w:hAnsi="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15">
    <w:nsid w:val="62226D9C"/>
    <w:multiLevelType w:val="hybridMultilevel"/>
    <w:tmpl w:val="9BF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3461190"/>
    <w:multiLevelType w:val="hybridMultilevel"/>
    <w:tmpl w:val="2C869C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3B131C"/>
    <w:multiLevelType w:val="hybridMultilevel"/>
    <w:tmpl w:val="A4F603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9"/>
  </w:num>
  <w:num w:numId="4">
    <w:abstractNumId w:val="9"/>
  </w:num>
  <w:num w:numId="5">
    <w:abstractNumId w:val="20"/>
  </w:num>
  <w:num w:numId="6">
    <w:abstractNumId w:val="14"/>
  </w:num>
  <w:num w:numId="7">
    <w:abstractNumId w:val="3"/>
  </w:num>
  <w:num w:numId="8">
    <w:abstractNumId w:val="18"/>
  </w:num>
  <w:num w:numId="9">
    <w:abstractNumId w:val="10"/>
  </w:num>
  <w:num w:numId="10">
    <w:abstractNumId w:val="6"/>
  </w:num>
  <w:num w:numId="11">
    <w:abstractNumId w:val="17"/>
  </w:num>
  <w:num w:numId="12">
    <w:abstractNumId w:val="15"/>
  </w:num>
  <w:num w:numId="13">
    <w:abstractNumId w:val="1"/>
  </w:num>
  <w:num w:numId="14">
    <w:abstractNumId w:val="0"/>
  </w:num>
  <w:num w:numId="15">
    <w:abstractNumId w:val="2"/>
  </w:num>
  <w:num w:numId="16">
    <w:abstractNumId w:val="12"/>
  </w:num>
  <w:num w:numId="17">
    <w:abstractNumId w:val="4"/>
  </w:num>
  <w:num w:numId="18">
    <w:abstractNumId w:val="13"/>
  </w:num>
  <w:num w:numId="19">
    <w:abstractNumId w:val="5"/>
  </w:num>
  <w:num w:numId="20">
    <w:abstractNumId w:val="11"/>
  </w:num>
  <w:num w:numId="21">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rsids>
    <w:rsidRoot w:val="00A226A4"/>
    <w:rsid w:val="0000003B"/>
    <w:rsid w:val="000004D7"/>
    <w:rsid w:val="00003A2C"/>
    <w:rsid w:val="00006B3A"/>
    <w:rsid w:val="00011EEA"/>
    <w:rsid w:val="000136F3"/>
    <w:rsid w:val="00016C78"/>
    <w:rsid w:val="00016E17"/>
    <w:rsid w:val="00021B5D"/>
    <w:rsid w:val="0002216E"/>
    <w:rsid w:val="00030264"/>
    <w:rsid w:val="000317B1"/>
    <w:rsid w:val="0004084F"/>
    <w:rsid w:val="00040E00"/>
    <w:rsid w:val="000413F6"/>
    <w:rsid w:val="00046728"/>
    <w:rsid w:val="000525E0"/>
    <w:rsid w:val="00053720"/>
    <w:rsid w:val="00053EEF"/>
    <w:rsid w:val="000543DC"/>
    <w:rsid w:val="00055022"/>
    <w:rsid w:val="0005750B"/>
    <w:rsid w:val="0006045E"/>
    <w:rsid w:val="00064A68"/>
    <w:rsid w:val="0006587B"/>
    <w:rsid w:val="00070322"/>
    <w:rsid w:val="0008079E"/>
    <w:rsid w:val="00082D01"/>
    <w:rsid w:val="00087856"/>
    <w:rsid w:val="00087D39"/>
    <w:rsid w:val="000902AA"/>
    <w:rsid w:val="00090931"/>
    <w:rsid w:val="00091864"/>
    <w:rsid w:val="00093617"/>
    <w:rsid w:val="00095A1D"/>
    <w:rsid w:val="00095D40"/>
    <w:rsid w:val="000A00A2"/>
    <w:rsid w:val="000A1C6D"/>
    <w:rsid w:val="000A7D69"/>
    <w:rsid w:val="000B33D1"/>
    <w:rsid w:val="000C0A39"/>
    <w:rsid w:val="000C3040"/>
    <w:rsid w:val="000C42E6"/>
    <w:rsid w:val="000C742C"/>
    <w:rsid w:val="000D137F"/>
    <w:rsid w:val="000D4731"/>
    <w:rsid w:val="000D53F1"/>
    <w:rsid w:val="000D5777"/>
    <w:rsid w:val="000E1779"/>
    <w:rsid w:val="000E42DC"/>
    <w:rsid w:val="000E6B75"/>
    <w:rsid w:val="000F53F4"/>
    <w:rsid w:val="001034D7"/>
    <w:rsid w:val="00104F2A"/>
    <w:rsid w:val="00105D6D"/>
    <w:rsid w:val="00106830"/>
    <w:rsid w:val="00107A04"/>
    <w:rsid w:val="0011170B"/>
    <w:rsid w:val="0011686D"/>
    <w:rsid w:val="001178CA"/>
    <w:rsid w:val="0012540A"/>
    <w:rsid w:val="001307A5"/>
    <w:rsid w:val="0013520E"/>
    <w:rsid w:val="00150D03"/>
    <w:rsid w:val="00152153"/>
    <w:rsid w:val="00156563"/>
    <w:rsid w:val="00157E04"/>
    <w:rsid w:val="00160657"/>
    <w:rsid w:val="00160B87"/>
    <w:rsid w:val="001677DC"/>
    <w:rsid w:val="00172119"/>
    <w:rsid w:val="001742D0"/>
    <w:rsid w:val="00183460"/>
    <w:rsid w:val="00185D65"/>
    <w:rsid w:val="001A04CE"/>
    <w:rsid w:val="001A0E0A"/>
    <w:rsid w:val="001A20EE"/>
    <w:rsid w:val="001A23B5"/>
    <w:rsid w:val="001A403F"/>
    <w:rsid w:val="001A4633"/>
    <w:rsid w:val="001B4509"/>
    <w:rsid w:val="001C0891"/>
    <w:rsid w:val="001C10AF"/>
    <w:rsid w:val="001C581F"/>
    <w:rsid w:val="001D3025"/>
    <w:rsid w:val="001D4FDD"/>
    <w:rsid w:val="001D706F"/>
    <w:rsid w:val="001E2882"/>
    <w:rsid w:val="001E2CF1"/>
    <w:rsid w:val="001E3AFB"/>
    <w:rsid w:val="001E5492"/>
    <w:rsid w:val="001F3E24"/>
    <w:rsid w:val="00200E58"/>
    <w:rsid w:val="002064D3"/>
    <w:rsid w:val="002106BF"/>
    <w:rsid w:val="00210FD1"/>
    <w:rsid w:val="00212AEA"/>
    <w:rsid w:val="002132CF"/>
    <w:rsid w:val="002158B2"/>
    <w:rsid w:val="00215D7F"/>
    <w:rsid w:val="002176B8"/>
    <w:rsid w:val="002216AD"/>
    <w:rsid w:val="00221D99"/>
    <w:rsid w:val="00223A9F"/>
    <w:rsid w:val="00225FF6"/>
    <w:rsid w:val="0022674D"/>
    <w:rsid w:val="00227977"/>
    <w:rsid w:val="0023449A"/>
    <w:rsid w:val="00235F88"/>
    <w:rsid w:val="002362A2"/>
    <w:rsid w:val="002455E2"/>
    <w:rsid w:val="00250772"/>
    <w:rsid w:val="002551C6"/>
    <w:rsid w:val="00255975"/>
    <w:rsid w:val="00263709"/>
    <w:rsid w:val="0026575F"/>
    <w:rsid w:val="002700A1"/>
    <w:rsid w:val="002702F7"/>
    <w:rsid w:val="00273EAA"/>
    <w:rsid w:val="00276702"/>
    <w:rsid w:val="00276AA9"/>
    <w:rsid w:val="0028328D"/>
    <w:rsid w:val="002838F5"/>
    <w:rsid w:val="00284E3C"/>
    <w:rsid w:val="00285BB6"/>
    <w:rsid w:val="0029491C"/>
    <w:rsid w:val="002A4078"/>
    <w:rsid w:val="002A5CE0"/>
    <w:rsid w:val="002B005F"/>
    <w:rsid w:val="002B2F3C"/>
    <w:rsid w:val="002C32AB"/>
    <w:rsid w:val="002C41F9"/>
    <w:rsid w:val="002C4495"/>
    <w:rsid w:val="002C5AC8"/>
    <w:rsid w:val="002C6533"/>
    <w:rsid w:val="002C76AB"/>
    <w:rsid w:val="002D08E1"/>
    <w:rsid w:val="002D4536"/>
    <w:rsid w:val="002E0B57"/>
    <w:rsid w:val="002F1135"/>
    <w:rsid w:val="002F48C8"/>
    <w:rsid w:val="002F55CE"/>
    <w:rsid w:val="002F76F5"/>
    <w:rsid w:val="002F7A93"/>
    <w:rsid w:val="00300D25"/>
    <w:rsid w:val="0030335A"/>
    <w:rsid w:val="00306020"/>
    <w:rsid w:val="00307531"/>
    <w:rsid w:val="00314A8A"/>
    <w:rsid w:val="003153F9"/>
    <w:rsid w:val="00316CCF"/>
    <w:rsid w:val="00320474"/>
    <w:rsid w:val="00324EC2"/>
    <w:rsid w:val="003279F2"/>
    <w:rsid w:val="00342BA9"/>
    <w:rsid w:val="00344AB5"/>
    <w:rsid w:val="003455BC"/>
    <w:rsid w:val="003473E0"/>
    <w:rsid w:val="00354503"/>
    <w:rsid w:val="00354A9C"/>
    <w:rsid w:val="00361F30"/>
    <w:rsid w:val="003623F0"/>
    <w:rsid w:val="00365B4E"/>
    <w:rsid w:val="00370164"/>
    <w:rsid w:val="003711CD"/>
    <w:rsid w:val="0037181B"/>
    <w:rsid w:val="003738B0"/>
    <w:rsid w:val="003776AA"/>
    <w:rsid w:val="00380DB1"/>
    <w:rsid w:val="00383BFC"/>
    <w:rsid w:val="00384611"/>
    <w:rsid w:val="00384CA0"/>
    <w:rsid w:val="003870BA"/>
    <w:rsid w:val="00393CBA"/>
    <w:rsid w:val="00394CA5"/>
    <w:rsid w:val="00395A89"/>
    <w:rsid w:val="00395E29"/>
    <w:rsid w:val="003971D4"/>
    <w:rsid w:val="0039795B"/>
    <w:rsid w:val="003A1F2E"/>
    <w:rsid w:val="003A2FA8"/>
    <w:rsid w:val="003A3403"/>
    <w:rsid w:val="003A3A27"/>
    <w:rsid w:val="003A5AEA"/>
    <w:rsid w:val="003B1B8C"/>
    <w:rsid w:val="003B3255"/>
    <w:rsid w:val="003B4770"/>
    <w:rsid w:val="003C20BF"/>
    <w:rsid w:val="003D2AF9"/>
    <w:rsid w:val="003D336B"/>
    <w:rsid w:val="003D46E6"/>
    <w:rsid w:val="003D5616"/>
    <w:rsid w:val="003E666B"/>
    <w:rsid w:val="003F3E19"/>
    <w:rsid w:val="00400727"/>
    <w:rsid w:val="004114C3"/>
    <w:rsid w:val="00421E15"/>
    <w:rsid w:val="00423092"/>
    <w:rsid w:val="0042491D"/>
    <w:rsid w:val="004253E8"/>
    <w:rsid w:val="00427EA9"/>
    <w:rsid w:val="00431537"/>
    <w:rsid w:val="004319BC"/>
    <w:rsid w:val="004350B0"/>
    <w:rsid w:val="00436CE5"/>
    <w:rsid w:val="00441231"/>
    <w:rsid w:val="004553FD"/>
    <w:rsid w:val="0046421D"/>
    <w:rsid w:val="00470AB4"/>
    <w:rsid w:val="00472B7B"/>
    <w:rsid w:val="00472E16"/>
    <w:rsid w:val="004734DF"/>
    <w:rsid w:val="0047375E"/>
    <w:rsid w:val="00476A59"/>
    <w:rsid w:val="00486943"/>
    <w:rsid w:val="004907CB"/>
    <w:rsid w:val="00494562"/>
    <w:rsid w:val="00495B91"/>
    <w:rsid w:val="004A130F"/>
    <w:rsid w:val="004A4B1E"/>
    <w:rsid w:val="004A5408"/>
    <w:rsid w:val="004B3D0D"/>
    <w:rsid w:val="004C18DF"/>
    <w:rsid w:val="004C29E5"/>
    <w:rsid w:val="004C2B46"/>
    <w:rsid w:val="004D0619"/>
    <w:rsid w:val="004D226B"/>
    <w:rsid w:val="004D4C6D"/>
    <w:rsid w:val="004D60A3"/>
    <w:rsid w:val="004D62DC"/>
    <w:rsid w:val="004E01A4"/>
    <w:rsid w:val="004F31F4"/>
    <w:rsid w:val="004F6742"/>
    <w:rsid w:val="004F709B"/>
    <w:rsid w:val="004F770D"/>
    <w:rsid w:val="00503049"/>
    <w:rsid w:val="00506BCE"/>
    <w:rsid w:val="005111DD"/>
    <w:rsid w:val="005114DF"/>
    <w:rsid w:val="005139F1"/>
    <w:rsid w:val="00516AF3"/>
    <w:rsid w:val="00521D86"/>
    <w:rsid w:val="0052424D"/>
    <w:rsid w:val="00524C1C"/>
    <w:rsid w:val="00534B03"/>
    <w:rsid w:val="00534C33"/>
    <w:rsid w:val="00536DB4"/>
    <w:rsid w:val="00536FC0"/>
    <w:rsid w:val="0054025D"/>
    <w:rsid w:val="00544774"/>
    <w:rsid w:val="0055123E"/>
    <w:rsid w:val="0055266E"/>
    <w:rsid w:val="00565BC0"/>
    <w:rsid w:val="00574572"/>
    <w:rsid w:val="00584D57"/>
    <w:rsid w:val="00585CA4"/>
    <w:rsid w:val="00590D41"/>
    <w:rsid w:val="00594362"/>
    <w:rsid w:val="00597948"/>
    <w:rsid w:val="005A03CD"/>
    <w:rsid w:val="005A24F3"/>
    <w:rsid w:val="005A610C"/>
    <w:rsid w:val="005B0BF1"/>
    <w:rsid w:val="005B1AC5"/>
    <w:rsid w:val="005B6A25"/>
    <w:rsid w:val="005C4647"/>
    <w:rsid w:val="005D750D"/>
    <w:rsid w:val="005E0CF2"/>
    <w:rsid w:val="005E2AEA"/>
    <w:rsid w:val="005E50F2"/>
    <w:rsid w:val="005E6167"/>
    <w:rsid w:val="005E6B70"/>
    <w:rsid w:val="006122D8"/>
    <w:rsid w:val="0061247A"/>
    <w:rsid w:val="00615938"/>
    <w:rsid w:val="00616E8B"/>
    <w:rsid w:val="00621FFC"/>
    <w:rsid w:val="0063014E"/>
    <w:rsid w:val="0065112D"/>
    <w:rsid w:val="006558CA"/>
    <w:rsid w:val="0066015B"/>
    <w:rsid w:val="0066134E"/>
    <w:rsid w:val="006665BD"/>
    <w:rsid w:val="006705AE"/>
    <w:rsid w:val="00677963"/>
    <w:rsid w:val="006814BB"/>
    <w:rsid w:val="006840EB"/>
    <w:rsid w:val="0069342C"/>
    <w:rsid w:val="0069551E"/>
    <w:rsid w:val="006A541C"/>
    <w:rsid w:val="006A5B3B"/>
    <w:rsid w:val="006B1DA6"/>
    <w:rsid w:val="006B5D24"/>
    <w:rsid w:val="006C6A5B"/>
    <w:rsid w:val="006C7A4C"/>
    <w:rsid w:val="006D406B"/>
    <w:rsid w:val="006E2B32"/>
    <w:rsid w:val="006F2B34"/>
    <w:rsid w:val="007057ED"/>
    <w:rsid w:val="0070672F"/>
    <w:rsid w:val="007105A6"/>
    <w:rsid w:val="00715417"/>
    <w:rsid w:val="00726DD4"/>
    <w:rsid w:val="00730F56"/>
    <w:rsid w:val="00733E68"/>
    <w:rsid w:val="00737CBE"/>
    <w:rsid w:val="00743025"/>
    <w:rsid w:val="00744E2C"/>
    <w:rsid w:val="00752119"/>
    <w:rsid w:val="00754408"/>
    <w:rsid w:val="007631C7"/>
    <w:rsid w:val="00763CCC"/>
    <w:rsid w:val="00776C72"/>
    <w:rsid w:val="00776D67"/>
    <w:rsid w:val="0078258F"/>
    <w:rsid w:val="007846BC"/>
    <w:rsid w:val="00790B1A"/>
    <w:rsid w:val="007942D6"/>
    <w:rsid w:val="00794B6E"/>
    <w:rsid w:val="007969A4"/>
    <w:rsid w:val="007A0114"/>
    <w:rsid w:val="007B08CE"/>
    <w:rsid w:val="007B1321"/>
    <w:rsid w:val="007B1904"/>
    <w:rsid w:val="007C641A"/>
    <w:rsid w:val="007C6B3A"/>
    <w:rsid w:val="007D4D5E"/>
    <w:rsid w:val="007D5205"/>
    <w:rsid w:val="007D6370"/>
    <w:rsid w:val="007E092F"/>
    <w:rsid w:val="007E1586"/>
    <w:rsid w:val="007E5EC0"/>
    <w:rsid w:val="007F55C1"/>
    <w:rsid w:val="007F67C8"/>
    <w:rsid w:val="0080098A"/>
    <w:rsid w:val="00801761"/>
    <w:rsid w:val="00802EDA"/>
    <w:rsid w:val="008042FA"/>
    <w:rsid w:val="008111EB"/>
    <w:rsid w:val="00812189"/>
    <w:rsid w:val="008130C9"/>
    <w:rsid w:val="00813D02"/>
    <w:rsid w:val="00814833"/>
    <w:rsid w:val="0082033D"/>
    <w:rsid w:val="008222AD"/>
    <w:rsid w:val="008265DD"/>
    <w:rsid w:val="0083104D"/>
    <w:rsid w:val="008349AE"/>
    <w:rsid w:val="00844079"/>
    <w:rsid w:val="0084415B"/>
    <w:rsid w:val="0084515B"/>
    <w:rsid w:val="00846D77"/>
    <w:rsid w:val="00852480"/>
    <w:rsid w:val="00856632"/>
    <w:rsid w:val="00863386"/>
    <w:rsid w:val="00865B4D"/>
    <w:rsid w:val="00867308"/>
    <w:rsid w:val="00876435"/>
    <w:rsid w:val="00882AE9"/>
    <w:rsid w:val="00896BD3"/>
    <w:rsid w:val="008978A4"/>
    <w:rsid w:val="008A40C8"/>
    <w:rsid w:val="008B0543"/>
    <w:rsid w:val="008B5E70"/>
    <w:rsid w:val="008C0888"/>
    <w:rsid w:val="008C3505"/>
    <w:rsid w:val="008D04CE"/>
    <w:rsid w:val="008D30EA"/>
    <w:rsid w:val="008D55C8"/>
    <w:rsid w:val="008E20DE"/>
    <w:rsid w:val="008F1770"/>
    <w:rsid w:val="008F7A66"/>
    <w:rsid w:val="009008F4"/>
    <w:rsid w:val="009013C5"/>
    <w:rsid w:val="00902456"/>
    <w:rsid w:val="009024F2"/>
    <w:rsid w:val="009061A4"/>
    <w:rsid w:val="00912E02"/>
    <w:rsid w:val="00934773"/>
    <w:rsid w:val="00942024"/>
    <w:rsid w:val="00944550"/>
    <w:rsid w:val="009550AD"/>
    <w:rsid w:val="009565D4"/>
    <w:rsid w:val="00956674"/>
    <w:rsid w:val="0095685B"/>
    <w:rsid w:val="00961EC0"/>
    <w:rsid w:val="00967D7C"/>
    <w:rsid w:val="00977D73"/>
    <w:rsid w:val="00980BD0"/>
    <w:rsid w:val="0098516F"/>
    <w:rsid w:val="00985306"/>
    <w:rsid w:val="00985A32"/>
    <w:rsid w:val="00985C4F"/>
    <w:rsid w:val="0099262A"/>
    <w:rsid w:val="009976C0"/>
    <w:rsid w:val="00997733"/>
    <w:rsid w:val="009A05F3"/>
    <w:rsid w:val="009B56DA"/>
    <w:rsid w:val="009B7F7B"/>
    <w:rsid w:val="009D13BB"/>
    <w:rsid w:val="009D50EB"/>
    <w:rsid w:val="009D5396"/>
    <w:rsid w:val="009D6958"/>
    <w:rsid w:val="009E32F5"/>
    <w:rsid w:val="009E6279"/>
    <w:rsid w:val="009F2649"/>
    <w:rsid w:val="009F6C6D"/>
    <w:rsid w:val="009F704C"/>
    <w:rsid w:val="00A0215D"/>
    <w:rsid w:val="00A02E63"/>
    <w:rsid w:val="00A032E1"/>
    <w:rsid w:val="00A06666"/>
    <w:rsid w:val="00A0779E"/>
    <w:rsid w:val="00A105E0"/>
    <w:rsid w:val="00A17045"/>
    <w:rsid w:val="00A226A4"/>
    <w:rsid w:val="00A24771"/>
    <w:rsid w:val="00A3018B"/>
    <w:rsid w:val="00A3128D"/>
    <w:rsid w:val="00A324EA"/>
    <w:rsid w:val="00A33A46"/>
    <w:rsid w:val="00A37B46"/>
    <w:rsid w:val="00A429E4"/>
    <w:rsid w:val="00A44F04"/>
    <w:rsid w:val="00A45B43"/>
    <w:rsid w:val="00A4794A"/>
    <w:rsid w:val="00A533DE"/>
    <w:rsid w:val="00A53AE2"/>
    <w:rsid w:val="00A53E2B"/>
    <w:rsid w:val="00A67AE1"/>
    <w:rsid w:val="00A72A29"/>
    <w:rsid w:val="00A75698"/>
    <w:rsid w:val="00A817CE"/>
    <w:rsid w:val="00A86ED9"/>
    <w:rsid w:val="00A92554"/>
    <w:rsid w:val="00A928FA"/>
    <w:rsid w:val="00AA3AF9"/>
    <w:rsid w:val="00AA6B8D"/>
    <w:rsid w:val="00AA7B0B"/>
    <w:rsid w:val="00AB1DD3"/>
    <w:rsid w:val="00AB32CF"/>
    <w:rsid w:val="00AC59EB"/>
    <w:rsid w:val="00AD2235"/>
    <w:rsid w:val="00AD44D0"/>
    <w:rsid w:val="00AD71D1"/>
    <w:rsid w:val="00AF2D12"/>
    <w:rsid w:val="00B02599"/>
    <w:rsid w:val="00B04ABB"/>
    <w:rsid w:val="00B11AC5"/>
    <w:rsid w:val="00B14060"/>
    <w:rsid w:val="00B15687"/>
    <w:rsid w:val="00B16B3C"/>
    <w:rsid w:val="00B170A2"/>
    <w:rsid w:val="00B176CC"/>
    <w:rsid w:val="00B25EE3"/>
    <w:rsid w:val="00B269D4"/>
    <w:rsid w:val="00B30A92"/>
    <w:rsid w:val="00B3357C"/>
    <w:rsid w:val="00B45E70"/>
    <w:rsid w:val="00B55E5C"/>
    <w:rsid w:val="00B562BC"/>
    <w:rsid w:val="00B5661C"/>
    <w:rsid w:val="00B61C4A"/>
    <w:rsid w:val="00B61EC9"/>
    <w:rsid w:val="00B6735D"/>
    <w:rsid w:val="00B679AD"/>
    <w:rsid w:val="00B72A45"/>
    <w:rsid w:val="00B7744A"/>
    <w:rsid w:val="00B811B7"/>
    <w:rsid w:val="00B8153B"/>
    <w:rsid w:val="00B82D4D"/>
    <w:rsid w:val="00B87EE6"/>
    <w:rsid w:val="00B9252F"/>
    <w:rsid w:val="00B9260A"/>
    <w:rsid w:val="00B94934"/>
    <w:rsid w:val="00B96ABD"/>
    <w:rsid w:val="00B97B81"/>
    <w:rsid w:val="00BA09DC"/>
    <w:rsid w:val="00BC2E28"/>
    <w:rsid w:val="00BC496B"/>
    <w:rsid w:val="00BD19A6"/>
    <w:rsid w:val="00BD6B0A"/>
    <w:rsid w:val="00BF18DC"/>
    <w:rsid w:val="00BF32F3"/>
    <w:rsid w:val="00C01954"/>
    <w:rsid w:val="00C01B47"/>
    <w:rsid w:val="00C04211"/>
    <w:rsid w:val="00C04B4F"/>
    <w:rsid w:val="00C13DE2"/>
    <w:rsid w:val="00C143F9"/>
    <w:rsid w:val="00C14408"/>
    <w:rsid w:val="00C14776"/>
    <w:rsid w:val="00C17F58"/>
    <w:rsid w:val="00C2759C"/>
    <w:rsid w:val="00C306F5"/>
    <w:rsid w:val="00C307E7"/>
    <w:rsid w:val="00C34A92"/>
    <w:rsid w:val="00C35829"/>
    <w:rsid w:val="00C370A7"/>
    <w:rsid w:val="00C54FC6"/>
    <w:rsid w:val="00C57E90"/>
    <w:rsid w:val="00C61633"/>
    <w:rsid w:val="00C62F1C"/>
    <w:rsid w:val="00C6380F"/>
    <w:rsid w:val="00C63C4C"/>
    <w:rsid w:val="00C651A4"/>
    <w:rsid w:val="00C67132"/>
    <w:rsid w:val="00C744A3"/>
    <w:rsid w:val="00C81DB5"/>
    <w:rsid w:val="00C900FF"/>
    <w:rsid w:val="00C94F5E"/>
    <w:rsid w:val="00CA375D"/>
    <w:rsid w:val="00CB2A01"/>
    <w:rsid w:val="00CB3FC8"/>
    <w:rsid w:val="00CB442A"/>
    <w:rsid w:val="00CB691B"/>
    <w:rsid w:val="00CC5780"/>
    <w:rsid w:val="00CD4B2E"/>
    <w:rsid w:val="00CD4DE4"/>
    <w:rsid w:val="00CD500C"/>
    <w:rsid w:val="00CD6527"/>
    <w:rsid w:val="00CD6B3F"/>
    <w:rsid w:val="00CE02F4"/>
    <w:rsid w:val="00CE658F"/>
    <w:rsid w:val="00CF3E63"/>
    <w:rsid w:val="00CF561E"/>
    <w:rsid w:val="00D06E8C"/>
    <w:rsid w:val="00D131DC"/>
    <w:rsid w:val="00D134F2"/>
    <w:rsid w:val="00D143BA"/>
    <w:rsid w:val="00D20DD2"/>
    <w:rsid w:val="00D24659"/>
    <w:rsid w:val="00D34EEE"/>
    <w:rsid w:val="00D35473"/>
    <w:rsid w:val="00D37BAF"/>
    <w:rsid w:val="00D43134"/>
    <w:rsid w:val="00D436FB"/>
    <w:rsid w:val="00D44FFC"/>
    <w:rsid w:val="00D51B1E"/>
    <w:rsid w:val="00D54E1C"/>
    <w:rsid w:val="00D61D0A"/>
    <w:rsid w:val="00D65E6C"/>
    <w:rsid w:val="00D77C19"/>
    <w:rsid w:val="00D8590C"/>
    <w:rsid w:val="00D87320"/>
    <w:rsid w:val="00D96598"/>
    <w:rsid w:val="00D973A2"/>
    <w:rsid w:val="00D979EA"/>
    <w:rsid w:val="00DA02B9"/>
    <w:rsid w:val="00DA3EFF"/>
    <w:rsid w:val="00DA42EA"/>
    <w:rsid w:val="00DA600F"/>
    <w:rsid w:val="00DA7FEA"/>
    <w:rsid w:val="00DB0392"/>
    <w:rsid w:val="00DB269B"/>
    <w:rsid w:val="00DC02B5"/>
    <w:rsid w:val="00DC17F2"/>
    <w:rsid w:val="00DD0AA8"/>
    <w:rsid w:val="00DD250D"/>
    <w:rsid w:val="00DD27D1"/>
    <w:rsid w:val="00DE0060"/>
    <w:rsid w:val="00DE221A"/>
    <w:rsid w:val="00DE2334"/>
    <w:rsid w:val="00DE5C1E"/>
    <w:rsid w:val="00DE7919"/>
    <w:rsid w:val="00DF27F6"/>
    <w:rsid w:val="00DF54C0"/>
    <w:rsid w:val="00DF68F0"/>
    <w:rsid w:val="00DF6CDE"/>
    <w:rsid w:val="00E0113D"/>
    <w:rsid w:val="00E039CB"/>
    <w:rsid w:val="00E04EAE"/>
    <w:rsid w:val="00E1423B"/>
    <w:rsid w:val="00E317E1"/>
    <w:rsid w:val="00E33231"/>
    <w:rsid w:val="00E375E6"/>
    <w:rsid w:val="00E41F77"/>
    <w:rsid w:val="00E433D6"/>
    <w:rsid w:val="00E53193"/>
    <w:rsid w:val="00E6186E"/>
    <w:rsid w:val="00E62E32"/>
    <w:rsid w:val="00E70E88"/>
    <w:rsid w:val="00E72F03"/>
    <w:rsid w:val="00E7429A"/>
    <w:rsid w:val="00E74F93"/>
    <w:rsid w:val="00E75D89"/>
    <w:rsid w:val="00E84434"/>
    <w:rsid w:val="00E970A8"/>
    <w:rsid w:val="00EA0512"/>
    <w:rsid w:val="00EB30F5"/>
    <w:rsid w:val="00EB5C8B"/>
    <w:rsid w:val="00EC3CC1"/>
    <w:rsid w:val="00EC414B"/>
    <w:rsid w:val="00EC47CA"/>
    <w:rsid w:val="00ED263C"/>
    <w:rsid w:val="00ED2A92"/>
    <w:rsid w:val="00ED503D"/>
    <w:rsid w:val="00EE11FD"/>
    <w:rsid w:val="00EE152F"/>
    <w:rsid w:val="00EE1D07"/>
    <w:rsid w:val="00EF583C"/>
    <w:rsid w:val="00F00CA9"/>
    <w:rsid w:val="00F01978"/>
    <w:rsid w:val="00F02602"/>
    <w:rsid w:val="00F055CB"/>
    <w:rsid w:val="00F07340"/>
    <w:rsid w:val="00F07521"/>
    <w:rsid w:val="00F07BB1"/>
    <w:rsid w:val="00F13235"/>
    <w:rsid w:val="00F1494E"/>
    <w:rsid w:val="00F22D9E"/>
    <w:rsid w:val="00F23798"/>
    <w:rsid w:val="00F260AC"/>
    <w:rsid w:val="00F26DFB"/>
    <w:rsid w:val="00F27043"/>
    <w:rsid w:val="00F32C54"/>
    <w:rsid w:val="00F32E6E"/>
    <w:rsid w:val="00F40C5E"/>
    <w:rsid w:val="00F4263A"/>
    <w:rsid w:val="00F46C46"/>
    <w:rsid w:val="00F478DF"/>
    <w:rsid w:val="00F47E96"/>
    <w:rsid w:val="00F50A3A"/>
    <w:rsid w:val="00F51C7E"/>
    <w:rsid w:val="00F54966"/>
    <w:rsid w:val="00F62A1E"/>
    <w:rsid w:val="00F62C1A"/>
    <w:rsid w:val="00F642AB"/>
    <w:rsid w:val="00F64DB9"/>
    <w:rsid w:val="00F65513"/>
    <w:rsid w:val="00F74A5D"/>
    <w:rsid w:val="00F8052E"/>
    <w:rsid w:val="00F80847"/>
    <w:rsid w:val="00F85399"/>
    <w:rsid w:val="00F86991"/>
    <w:rsid w:val="00F93183"/>
    <w:rsid w:val="00F94BAB"/>
    <w:rsid w:val="00FA035F"/>
    <w:rsid w:val="00FA686C"/>
    <w:rsid w:val="00FA6932"/>
    <w:rsid w:val="00FA7288"/>
    <w:rsid w:val="00FB1996"/>
    <w:rsid w:val="00FB3972"/>
    <w:rsid w:val="00FB70DE"/>
    <w:rsid w:val="00FC2BD1"/>
    <w:rsid w:val="00FC40CB"/>
    <w:rsid w:val="00FC4447"/>
    <w:rsid w:val="00FD17C2"/>
    <w:rsid w:val="00FD5D6C"/>
    <w:rsid w:val="00FD634F"/>
    <w:rsid w:val="00FD6D84"/>
    <w:rsid w:val="00FE0A7C"/>
    <w:rsid w:val="00FE2466"/>
    <w:rsid w:val="00FE2611"/>
    <w:rsid w:val="00FE4C32"/>
    <w:rsid w:val="00FF2067"/>
    <w:rsid w:val="00FF2444"/>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C2759C"/>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896BD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896BD3"/>
    <w:pPr>
      <w:spacing w:before="240"/>
    </w:pPr>
    <w:rPr>
      <w:b/>
    </w:rPr>
  </w:style>
  <w:style w:type="character" w:styleId="CommentReference">
    <w:name w:val="annotation reference"/>
    <w:basedOn w:val="DefaultParagraphFont"/>
    <w:semiHidden/>
    <w:rsid w:val="00896BD3"/>
    <w:rPr>
      <w:sz w:val="16"/>
    </w:rPr>
  </w:style>
  <w:style w:type="paragraph" w:styleId="TOC2">
    <w:name w:val="toc 2"/>
    <w:basedOn w:val="BodyText"/>
    <w:next w:val="BodyText"/>
    <w:uiPriority w:val="39"/>
    <w:rsid w:val="00896BD3"/>
    <w:pPr>
      <w:ind w:left="576"/>
    </w:pPr>
  </w:style>
  <w:style w:type="paragraph" w:styleId="TOC3">
    <w:name w:val="toc 3"/>
    <w:basedOn w:val="BodyText"/>
    <w:next w:val="BodyText"/>
    <w:uiPriority w:val="39"/>
    <w:rsid w:val="00896BD3"/>
    <w:pPr>
      <w:ind w:left="1152"/>
    </w:pPr>
  </w:style>
  <w:style w:type="paragraph" w:styleId="TOC4">
    <w:name w:val="toc 4"/>
    <w:basedOn w:val="BodyText"/>
    <w:next w:val="BodyText"/>
    <w:semiHidden/>
    <w:rsid w:val="00896BD3"/>
    <w:pPr>
      <w:ind w:left="1728"/>
    </w:pPr>
  </w:style>
  <w:style w:type="paragraph" w:styleId="TOC5">
    <w:name w:val="toc 5"/>
    <w:basedOn w:val="Normal"/>
    <w:next w:val="Normal"/>
    <w:autoRedefine/>
    <w:semiHidden/>
    <w:rsid w:val="00896BD3"/>
    <w:pPr>
      <w:ind w:left="960"/>
    </w:pPr>
  </w:style>
  <w:style w:type="paragraph" w:styleId="TOC6">
    <w:name w:val="toc 6"/>
    <w:basedOn w:val="Normal"/>
    <w:next w:val="Normal"/>
    <w:autoRedefine/>
    <w:semiHidden/>
    <w:rsid w:val="00896BD3"/>
    <w:pPr>
      <w:ind w:left="1200"/>
    </w:pPr>
  </w:style>
  <w:style w:type="paragraph" w:styleId="TOC7">
    <w:name w:val="toc 7"/>
    <w:basedOn w:val="Normal"/>
    <w:next w:val="Normal"/>
    <w:autoRedefine/>
    <w:semiHidden/>
    <w:rsid w:val="00896BD3"/>
    <w:pPr>
      <w:ind w:left="1440"/>
    </w:pPr>
  </w:style>
  <w:style w:type="paragraph" w:styleId="TOC8">
    <w:name w:val="toc 8"/>
    <w:basedOn w:val="Normal"/>
    <w:next w:val="Normal"/>
    <w:autoRedefine/>
    <w:semiHidden/>
    <w:rsid w:val="00896BD3"/>
    <w:pPr>
      <w:ind w:left="1680"/>
    </w:pPr>
  </w:style>
  <w:style w:type="paragraph" w:styleId="TOC9">
    <w:name w:val="toc 9"/>
    <w:basedOn w:val="Normal"/>
    <w:next w:val="Normal"/>
    <w:autoRedefine/>
    <w:semiHidden/>
    <w:rsid w:val="00896BD3"/>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896BD3"/>
    <w:pPr>
      <w:spacing w:after="120"/>
      <w:ind w:left="360" w:hanging="360"/>
    </w:pPr>
    <w:rPr>
      <w:sz w:val="20"/>
    </w:rPr>
  </w:style>
  <w:style w:type="paragraph" w:styleId="Index1">
    <w:name w:val="index 1"/>
    <w:basedOn w:val="Normal"/>
    <w:next w:val="Normal"/>
    <w:autoRedefine/>
    <w:semiHidden/>
    <w:rsid w:val="00896BD3"/>
    <w:pPr>
      <w:ind w:left="220" w:hanging="220"/>
    </w:pPr>
    <w:rPr>
      <w:sz w:val="20"/>
    </w:rPr>
  </w:style>
  <w:style w:type="paragraph" w:styleId="Index2">
    <w:name w:val="index 2"/>
    <w:basedOn w:val="Normal"/>
    <w:next w:val="Normal"/>
    <w:autoRedefine/>
    <w:semiHidden/>
    <w:rsid w:val="00896BD3"/>
    <w:pPr>
      <w:ind w:left="440" w:hanging="220"/>
    </w:pPr>
    <w:rPr>
      <w:sz w:val="20"/>
    </w:rPr>
  </w:style>
  <w:style w:type="paragraph" w:styleId="Index3">
    <w:name w:val="index 3"/>
    <w:basedOn w:val="Normal"/>
    <w:next w:val="Normal"/>
    <w:autoRedefine/>
    <w:semiHidden/>
    <w:rsid w:val="00896BD3"/>
    <w:pPr>
      <w:ind w:left="660" w:hanging="220"/>
    </w:pPr>
    <w:rPr>
      <w:sz w:val="20"/>
    </w:rPr>
  </w:style>
  <w:style w:type="paragraph" w:customStyle="1" w:styleId="Numbers">
    <w:name w:val="Numbers"/>
    <w:basedOn w:val="BodyText"/>
    <w:rsid w:val="00896BD3"/>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30A92"/>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105D6D"/>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CA375D"/>
    <w:pPr>
      <w:tabs>
        <w:tab w:val="clear" w:pos="1440"/>
      </w:tabs>
      <w:spacing w:after="40" w:line="240" w:lineRule="auto"/>
      <w:ind w:left="0" w:firstLine="0"/>
    </w:pPr>
    <w:rPr>
      <w:szCs w:val="24"/>
    </w:rPr>
  </w:style>
  <w:style w:type="character" w:customStyle="1" w:styleId="CommentTextChar">
    <w:name w:val="Comment Text Char"/>
    <w:basedOn w:val="DefaultParagraphFont"/>
    <w:link w:val="CommentText"/>
    <w:semiHidden/>
    <w:rsid w:val="001742D0"/>
  </w:style>
  <w:style w:type="paragraph" w:styleId="ListParagraph">
    <w:name w:val="List Paragraph"/>
    <w:basedOn w:val="Normal"/>
    <w:uiPriority w:val="34"/>
    <w:qFormat/>
    <w:rsid w:val="00215D7F"/>
    <w:pPr>
      <w:ind w:left="720"/>
      <w:contextualSpacing/>
    </w:pPr>
  </w:style>
  <w:style w:type="character" w:customStyle="1" w:styleId="apple-style-span">
    <w:name w:val="apple-style-span"/>
    <w:basedOn w:val="DefaultParagraphFont"/>
    <w:rsid w:val="00B15687"/>
  </w:style>
  <w:style w:type="paragraph" w:styleId="Revision">
    <w:name w:val="Revision"/>
    <w:hidden/>
    <w:uiPriority w:val="99"/>
    <w:semiHidden/>
    <w:rsid w:val="00F86991"/>
    <w:rPr>
      <w:sz w:val="22"/>
    </w:rPr>
  </w:style>
  <w:style w:type="character" w:customStyle="1" w:styleId="apple-converted-space">
    <w:name w:val="apple-converted-space"/>
    <w:basedOn w:val="DefaultParagraphFont"/>
    <w:rsid w:val="00DE0060"/>
  </w:style>
  <w:style w:type="character" w:customStyle="1" w:styleId="HeaderChar">
    <w:name w:val="Header Char"/>
    <w:basedOn w:val="DefaultParagraphFont"/>
    <w:link w:val="Header"/>
    <w:uiPriority w:val="99"/>
    <w:rsid w:val="00DE7919"/>
    <w:rPr>
      <w:rFonts w:ascii="Arial" w:hAnsi="Arial"/>
      <w:b/>
      <w:color w:val="595959" w:themeColor="text1" w:themeTint="A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C2759C"/>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30A92"/>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105D6D"/>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CA375D"/>
    <w:pPr>
      <w:tabs>
        <w:tab w:val="clear" w:pos="1440"/>
      </w:tabs>
      <w:spacing w:after="40" w:line="240" w:lineRule="auto"/>
      <w:ind w:left="0" w:firstLine="0"/>
    </w:pPr>
    <w:rPr>
      <w:szCs w:val="24"/>
    </w:rPr>
  </w:style>
  <w:style w:type="character" w:customStyle="1" w:styleId="CommentTextChar">
    <w:name w:val="Comment Text Char"/>
    <w:basedOn w:val="DefaultParagraphFont"/>
    <w:link w:val="CommentText"/>
    <w:semiHidden/>
    <w:rsid w:val="001742D0"/>
  </w:style>
  <w:style w:type="paragraph" w:styleId="ListParagraph">
    <w:name w:val="List Paragraph"/>
    <w:basedOn w:val="Normal"/>
    <w:uiPriority w:val="34"/>
    <w:qFormat/>
    <w:rsid w:val="00215D7F"/>
    <w:pPr>
      <w:ind w:left="720"/>
      <w:contextualSpacing/>
    </w:pPr>
  </w:style>
  <w:style w:type="character" w:customStyle="1" w:styleId="apple-style-span">
    <w:name w:val="apple-style-span"/>
    <w:basedOn w:val="DefaultParagraphFont"/>
    <w:rsid w:val="00B15687"/>
  </w:style>
  <w:style w:type="paragraph" w:styleId="Revision">
    <w:name w:val="Revision"/>
    <w:hidden/>
    <w:uiPriority w:val="99"/>
    <w:semiHidden/>
    <w:rsid w:val="00F86991"/>
    <w:rPr>
      <w:sz w:val="22"/>
    </w:rPr>
  </w:style>
  <w:style w:type="character" w:customStyle="1" w:styleId="apple-converted-space">
    <w:name w:val="apple-converted-space"/>
    <w:basedOn w:val="DefaultParagraphFont"/>
    <w:rsid w:val="00DE0060"/>
  </w:style>
  <w:style w:type="character" w:customStyle="1" w:styleId="HeaderChar">
    <w:name w:val="Header Char"/>
    <w:basedOn w:val="DefaultParagraphFont"/>
    <w:link w:val="Header"/>
    <w:uiPriority w:val="99"/>
    <w:rsid w:val="00DE7919"/>
    <w:rPr>
      <w:rFonts w:ascii="Arial" w:hAnsi="Arial"/>
      <w:b/>
      <w:color w:val="595959" w:themeColor="text1" w:themeTint="A6"/>
      <w:sz w:val="18"/>
    </w:rPr>
  </w:style>
</w:styles>
</file>

<file path=word/webSettings.xml><?xml version="1.0" encoding="utf-8"?>
<w:webSettings xmlns:r="http://schemas.openxmlformats.org/officeDocument/2006/relationships" xmlns:w="http://schemas.openxmlformats.org/wordprocessingml/2006/main">
  <w:divs>
    <w:div w:id="17319751">
      <w:bodyDiv w:val="1"/>
      <w:marLeft w:val="0"/>
      <w:marRight w:val="0"/>
      <w:marTop w:val="0"/>
      <w:marBottom w:val="0"/>
      <w:divBdr>
        <w:top w:val="none" w:sz="0" w:space="0" w:color="auto"/>
        <w:left w:val="none" w:sz="0" w:space="0" w:color="auto"/>
        <w:bottom w:val="none" w:sz="0" w:space="0" w:color="auto"/>
        <w:right w:val="none" w:sz="0" w:space="0" w:color="auto"/>
      </w:divBdr>
    </w:div>
    <w:div w:id="247886090">
      <w:bodyDiv w:val="1"/>
      <w:marLeft w:val="0"/>
      <w:marRight w:val="0"/>
      <w:marTop w:val="0"/>
      <w:marBottom w:val="0"/>
      <w:divBdr>
        <w:top w:val="none" w:sz="0" w:space="0" w:color="auto"/>
        <w:left w:val="none" w:sz="0" w:space="0" w:color="auto"/>
        <w:bottom w:val="none" w:sz="0" w:space="0" w:color="auto"/>
        <w:right w:val="none" w:sz="0" w:space="0" w:color="auto"/>
      </w:divBdr>
    </w:div>
    <w:div w:id="125875057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0E06-7775-4B5B-9796-8C3F9152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21</Pages>
  <Words>8196</Words>
  <Characters>47826</Characters>
  <Application>Microsoft Office Word</Application>
  <DocSecurity>4</DocSecurity>
  <Lines>398</Lines>
  <Paragraphs>111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55911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Katie Gan</dc:creator>
  <cp:keywords>Single-Sided body Templates</cp:keywords>
  <cp:lastModifiedBy>kathy.axt</cp:lastModifiedBy>
  <cp:revision>2</cp:revision>
  <cp:lastPrinted>2012-01-12T19:06:00Z</cp:lastPrinted>
  <dcterms:created xsi:type="dcterms:W3CDTF">2012-03-26T17:52:00Z</dcterms:created>
  <dcterms:modified xsi:type="dcterms:W3CDTF">2012-03-26T17:52:00Z</dcterms:modified>
  <cp:category>Templates</cp:category>
</cp:coreProperties>
</file>