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47" w:rsidRPr="00050847" w:rsidRDefault="00050847" w:rsidP="00B108D0">
      <w:pPr>
        <w:spacing w:after="0" w:line="240" w:lineRule="auto"/>
        <w:jc w:val="center"/>
        <w:rPr>
          <w:rFonts w:ascii="Times New Roman" w:hAnsi="Times New Roman" w:cs="Times New Roman"/>
          <w:b/>
          <w:sz w:val="24"/>
          <w:szCs w:val="24"/>
        </w:rPr>
      </w:pPr>
      <w:r w:rsidRPr="00050847">
        <w:rPr>
          <w:rFonts w:ascii="Times New Roman" w:hAnsi="Times New Roman" w:cs="Times New Roman"/>
          <w:b/>
          <w:sz w:val="24"/>
          <w:szCs w:val="24"/>
        </w:rPr>
        <w:t>Appendix D – Analysis of Changes</w:t>
      </w:r>
    </w:p>
    <w:p w:rsidR="00050847" w:rsidRDefault="00050847" w:rsidP="002933A1">
      <w:pPr>
        <w:spacing w:after="0" w:line="240" w:lineRule="auto"/>
        <w:rPr>
          <w:rFonts w:ascii="Times New Roman" w:hAnsi="Times New Roman" w:cs="Times New Roman"/>
          <w:sz w:val="24"/>
          <w:szCs w:val="24"/>
        </w:rPr>
      </w:pPr>
    </w:p>
    <w:p w:rsidR="00050847" w:rsidRDefault="00050847" w:rsidP="002933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table below presents </w:t>
      </w:r>
      <w:r w:rsidR="00BE7CE1">
        <w:rPr>
          <w:rFonts w:ascii="Times New Roman" w:hAnsi="Times New Roman" w:cs="Times New Roman"/>
          <w:sz w:val="24"/>
          <w:szCs w:val="24"/>
        </w:rPr>
        <w:t>all</w:t>
      </w:r>
      <w:r w:rsidRPr="00050847">
        <w:rPr>
          <w:rFonts w:ascii="Times New Roman" w:hAnsi="Times New Roman" w:cs="Times New Roman"/>
          <w:sz w:val="24"/>
          <w:szCs w:val="24"/>
        </w:rPr>
        <w:t xml:space="preserve"> line item</w:t>
      </w:r>
      <w:r w:rsidR="00BE7CE1">
        <w:rPr>
          <w:rFonts w:ascii="Times New Roman" w:hAnsi="Times New Roman" w:cs="Times New Roman"/>
          <w:sz w:val="24"/>
          <w:szCs w:val="24"/>
        </w:rPr>
        <w:t>s</w:t>
      </w:r>
      <w:r w:rsidRPr="00050847">
        <w:rPr>
          <w:rFonts w:ascii="Times New Roman" w:hAnsi="Times New Roman" w:cs="Times New Roman"/>
          <w:sz w:val="24"/>
          <w:szCs w:val="24"/>
        </w:rPr>
        <w:t xml:space="preserve"> </w:t>
      </w:r>
      <w:r>
        <w:rPr>
          <w:rFonts w:ascii="Times New Roman" w:hAnsi="Times New Roman" w:cs="Times New Roman"/>
          <w:sz w:val="24"/>
          <w:szCs w:val="24"/>
        </w:rPr>
        <w:t xml:space="preserve">from the ICR </w:t>
      </w:r>
      <w:r w:rsidRPr="00050847">
        <w:rPr>
          <w:rFonts w:ascii="Times New Roman" w:hAnsi="Times New Roman" w:cs="Times New Roman"/>
          <w:sz w:val="24"/>
          <w:szCs w:val="24"/>
        </w:rPr>
        <w:t>with a greater than 50</w:t>
      </w:r>
      <w:r>
        <w:rPr>
          <w:rFonts w:ascii="Times New Roman" w:hAnsi="Times New Roman" w:cs="Times New Roman"/>
          <w:sz w:val="24"/>
          <w:szCs w:val="24"/>
        </w:rPr>
        <w:t xml:space="preserve"> percent </w:t>
      </w:r>
      <w:r w:rsidRPr="00050847">
        <w:rPr>
          <w:rFonts w:ascii="Times New Roman" w:hAnsi="Times New Roman" w:cs="Times New Roman"/>
          <w:sz w:val="24"/>
          <w:szCs w:val="24"/>
        </w:rPr>
        <w:t xml:space="preserve">change (positive or negative) from the </w:t>
      </w:r>
      <w:r w:rsidR="00BE7CE1">
        <w:rPr>
          <w:rFonts w:ascii="Times New Roman" w:hAnsi="Times New Roman" w:cs="Times New Roman"/>
          <w:sz w:val="24"/>
          <w:szCs w:val="24"/>
        </w:rPr>
        <w:t>currently approved</w:t>
      </w:r>
      <w:r w:rsidRPr="00050847">
        <w:rPr>
          <w:rFonts w:ascii="Times New Roman" w:hAnsi="Times New Roman" w:cs="Times New Roman"/>
          <w:sz w:val="24"/>
          <w:szCs w:val="24"/>
        </w:rPr>
        <w:t xml:space="preserve"> ICR</w:t>
      </w:r>
      <w:r w:rsidR="00BE7CE1">
        <w:rPr>
          <w:rFonts w:ascii="Times New Roman" w:hAnsi="Times New Roman" w:cs="Times New Roman"/>
          <w:sz w:val="24"/>
          <w:szCs w:val="24"/>
        </w:rPr>
        <w:t xml:space="preserve"> (i.e., OMB’s inventory)</w:t>
      </w:r>
      <w:r>
        <w:rPr>
          <w:rFonts w:ascii="Times New Roman" w:hAnsi="Times New Roman" w:cs="Times New Roman"/>
          <w:sz w:val="24"/>
          <w:szCs w:val="24"/>
        </w:rPr>
        <w:t xml:space="preserve">. It also includes </w:t>
      </w:r>
      <w:r w:rsidRPr="00050847">
        <w:rPr>
          <w:rFonts w:ascii="Times New Roman" w:hAnsi="Times New Roman" w:cs="Times New Roman"/>
          <w:sz w:val="24"/>
          <w:szCs w:val="24"/>
        </w:rPr>
        <w:t>an explanation of the reason for the change</w:t>
      </w:r>
      <w:r>
        <w:rPr>
          <w:rFonts w:ascii="Times New Roman" w:hAnsi="Times New Roman" w:cs="Times New Roman"/>
          <w:sz w:val="24"/>
          <w:szCs w:val="24"/>
        </w:rPr>
        <w:t xml:space="preserve"> and the quality assurance actions to verify the validity of these changes. </w:t>
      </w:r>
    </w:p>
    <w:p w:rsidR="00050847" w:rsidRDefault="00050847" w:rsidP="002933A1">
      <w:pPr>
        <w:spacing w:after="0" w:line="240" w:lineRule="auto"/>
        <w:rPr>
          <w:rFonts w:ascii="Times New Roman" w:hAnsi="Times New Roman" w:cs="Times New Roman"/>
          <w:sz w:val="24"/>
          <w:szCs w:val="24"/>
        </w:rPr>
      </w:pPr>
    </w:p>
    <w:tbl>
      <w:tblPr>
        <w:tblW w:w="14505" w:type="dxa"/>
        <w:tblInd w:w="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5"/>
        <w:gridCol w:w="2520"/>
        <w:gridCol w:w="3240"/>
        <w:gridCol w:w="1260"/>
        <w:gridCol w:w="1260"/>
        <w:gridCol w:w="990"/>
        <w:gridCol w:w="3960"/>
      </w:tblGrid>
      <w:tr w:rsidR="00116000" w:rsidRPr="004D2800" w:rsidTr="00B108D0">
        <w:trPr>
          <w:cantSplit/>
          <w:trHeight w:val="20"/>
          <w:tblHeader/>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b/>
                <w:bCs/>
                <w:color w:val="000000"/>
                <w:sz w:val="20"/>
                <w:szCs w:val="20"/>
              </w:rPr>
            </w:pPr>
            <w:r w:rsidRPr="004D2800">
              <w:rPr>
                <w:rFonts w:ascii="Arial" w:eastAsia="Times New Roman" w:hAnsi="Arial" w:cs="Arial"/>
                <w:b/>
                <w:bCs/>
                <w:color w:val="000000"/>
                <w:sz w:val="20"/>
                <w:szCs w:val="20"/>
              </w:rPr>
              <w:t>Reference Code</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b/>
                <w:bCs/>
                <w:color w:val="000000"/>
                <w:sz w:val="20"/>
                <w:szCs w:val="20"/>
              </w:rPr>
            </w:pPr>
            <w:r w:rsidRPr="004D2800">
              <w:rPr>
                <w:rFonts w:ascii="Arial" w:eastAsia="Times New Roman" w:hAnsi="Arial" w:cs="Arial"/>
                <w:b/>
                <w:bCs/>
                <w:color w:val="000000"/>
                <w:sz w:val="20"/>
                <w:szCs w:val="20"/>
              </w:rPr>
              <w:t>Activity Description</w:t>
            </w:r>
          </w:p>
        </w:tc>
        <w:tc>
          <w:tcPr>
            <w:tcW w:w="3240" w:type="dxa"/>
            <w:tcBorders>
              <w:bottom w:val="single" w:sz="4" w:space="0" w:color="808080" w:themeColor="background1" w:themeShade="80"/>
            </w:tcBorders>
            <w:shd w:val="clear" w:color="auto" w:fill="auto"/>
            <w:noWrap/>
            <w:hideMark/>
          </w:tcPr>
          <w:p w:rsidR="00116000" w:rsidRPr="004D2800" w:rsidRDefault="00116000" w:rsidP="006E6700">
            <w:pPr>
              <w:spacing w:after="0" w:line="240" w:lineRule="auto"/>
              <w:rPr>
                <w:rFonts w:ascii="Arial" w:eastAsia="Times New Roman" w:hAnsi="Arial" w:cs="Arial"/>
                <w:b/>
                <w:bCs/>
                <w:color w:val="000000"/>
                <w:sz w:val="20"/>
                <w:szCs w:val="20"/>
              </w:rPr>
            </w:pPr>
            <w:r w:rsidRPr="004D2800">
              <w:rPr>
                <w:rFonts w:ascii="Arial" w:eastAsia="Times New Roman" w:hAnsi="Arial" w:cs="Arial"/>
                <w:b/>
                <w:bCs/>
                <w:color w:val="000000"/>
                <w:sz w:val="20"/>
                <w:szCs w:val="20"/>
              </w:rPr>
              <w:t>Respondent Type</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b/>
                <w:bCs/>
                <w:color w:val="000000"/>
                <w:sz w:val="20"/>
                <w:szCs w:val="20"/>
              </w:rPr>
            </w:pPr>
            <w:r w:rsidRPr="004D2800">
              <w:rPr>
                <w:rFonts w:ascii="Arial" w:eastAsia="Times New Roman" w:hAnsi="Arial" w:cs="Arial"/>
                <w:b/>
                <w:bCs/>
                <w:color w:val="000000"/>
                <w:sz w:val="20"/>
                <w:szCs w:val="20"/>
              </w:rPr>
              <w:t>Total Hours / Year</w:t>
            </w:r>
            <w:r>
              <w:rPr>
                <w:rFonts w:ascii="Arial" w:eastAsia="Times New Roman" w:hAnsi="Arial" w:cs="Arial"/>
                <w:b/>
                <w:bCs/>
                <w:color w:val="000000"/>
                <w:sz w:val="20"/>
                <w:szCs w:val="20"/>
              </w:rPr>
              <w:t xml:space="preserve"> (Renewal)</w:t>
            </w:r>
          </w:p>
        </w:tc>
        <w:tc>
          <w:tcPr>
            <w:tcW w:w="1260" w:type="dxa"/>
            <w:tcBorders>
              <w:bottom w:val="single" w:sz="4" w:space="0" w:color="808080" w:themeColor="background1" w:themeShade="80"/>
            </w:tcBorders>
            <w:shd w:val="clear" w:color="auto" w:fill="auto"/>
            <w:hideMark/>
          </w:tcPr>
          <w:p w:rsidR="00116000" w:rsidRPr="004D2800" w:rsidRDefault="00116000" w:rsidP="00116000">
            <w:pPr>
              <w:spacing w:after="0" w:line="240" w:lineRule="auto"/>
              <w:rPr>
                <w:rFonts w:ascii="Arial" w:eastAsia="Times New Roman" w:hAnsi="Arial" w:cs="Arial"/>
                <w:b/>
                <w:bCs/>
                <w:color w:val="000000"/>
                <w:sz w:val="20"/>
                <w:szCs w:val="20"/>
              </w:rPr>
            </w:pPr>
            <w:r w:rsidRPr="004D2800">
              <w:rPr>
                <w:rFonts w:ascii="Arial" w:eastAsia="Times New Roman" w:hAnsi="Arial" w:cs="Arial"/>
                <w:b/>
                <w:bCs/>
                <w:color w:val="000000"/>
                <w:sz w:val="20"/>
                <w:szCs w:val="20"/>
              </w:rPr>
              <w:t>Total Hours / Year (</w:t>
            </w:r>
            <w:r>
              <w:rPr>
                <w:rFonts w:ascii="Arial" w:eastAsia="Times New Roman" w:hAnsi="Arial" w:cs="Arial"/>
                <w:b/>
                <w:bCs/>
                <w:color w:val="000000"/>
                <w:sz w:val="20"/>
                <w:szCs w:val="20"/>
              </w:rPr>
              <w:t>OMB</w:t>
            </w:r>
            <w:r w:rsidRPr="004D2800">
              <w:rPr>
                <w:rFonts w:ascii="Arial" w:eastAsia="Times New Roman" w:hAnsi="Arial" w:cs="Arial"/>
                <w:b/>
                <w:bCs/>
                <w:color w:val="000000"/>
                <w:sz w:val="20"/>
                <w:szCs w:val="20"/>
              </w:rPr>
              <w:t>)</w:t>
            </w:r>
          </w:p>
        </w:tc>
        <w:tc>
          <w:tcPr>
            <w:tcW w:w="99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b/>
                <w:bCs/>
                <w:color w:val="000000"/>
                <w:sz w:val="20"/>
                <w:szCs w:val="20"/>
              </w:rPr>
            </w:pPr>
            <w:r w:rsidRPr="004D2800">
              <w:rPr>
                <w:rFonts w:ascii="Arial" w:eastAsia="Times New Roman" w:hAnsi="Arial" w:cs="Arial"/>
                <w:b/>
                <w:bCs/>
                <w:color w:val="000000"/>
                <w:sz w:val="20"/>
                <w:szCs w:val="20"/>
              </w:rPr>
              <w:t>% Change</w:t>
            </w:r>
          </w:p>
        </w:tc>
        <w:tc>
          <w:tcPr>
            <w:tcW w:w="39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b/>
                <w:bCs/>
                <w:color w:val="000000"/>
                <w:sz w:val="20"/>
                <w:szCs w:val="20"/>
              </w:rPr>
            </w:pPr>
            <w:r w:rsidRPr="004D2800">
              <w:rPr>
                <w:rFonts w:ascii="Arial" w:eastAsia="Times New Roman" w:hAnsi="Arial" w:cs="Arial"/>
                <w:b/>
                <w:bCs/>
                <w:color w:val="000000"/>
                <w:sz w:val="20"/>
                <w:szCs w:val="20"/>
              </w:rPr>
              <w:t>Reason for Change</w:t>
            </w: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2.16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Great Lakes Antidegradation Demonstration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 </w:t>
            </w:r>
            <w:proofErr w:type="spellStart"/>
            <w:r w:rsidRPr="004D2800">
              <w:rPr>
                <w:rFonts w:ascii="Arial" w:eastAsia="Times New Roman" w:hAnsi="Arial" w:cs="Arial"/>
                <w:color w:val="000000"/>
                <w:sz w:val="20"/>
                <w:szCs w:val="20"/>
              </w:rPr>
              <w:t>BCCs</w:t>
            </w:r>
            <w:proofErr w:type="spellEnd"/>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140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351</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-60%</w:t>
            </w:r>
          </w:p>
        </w:tc>
        <w:tc>
          <w:tcPr>
            <w:tcW w:w="3960" w:type="dxa"/>
            <w:vMerge w:val="restart"/>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Burden for the activity was divided by two because some of the burden is accounted for in the Water Quality Standards ICR.</w:t>
            </w: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2.17</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Great Lakes Antidegradation Demonstration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 non-</w:t>
            </w:r>
            <w:proofErr w:type="spellStart"/>
            <w:r w:rsidRPr="004D2800">
              <w:rPr>
                <w:rFonts w:ascii="Arial" w:eastAsia="Times New Roman" w:hAnsi="Arial" w:cs="Arial"/>
                <w:color w:val="000000"/>
                <w:sz w:val="20"/>
                <w:szCs w:val="20"/>
              </w:rPr>
              <w:t>BCCs</w:t>
            </w:r>
            <w:proofErr w:type="spellEnd"/>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93</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234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4.65</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Other Noncompliance Reports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CAFOs</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790</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val="restart"/>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Burden moved to the Animal Sector ICR</w:t>
            </w:r>
          </w:p>
        </w:tc>
      </w:tr>
      <w:tr w:rsidR="00116000" w:rsidRPr="004D2800" w:rsidTr="00B108D0">
        <w:trPr>
          <w:cantSplit/>
          <w:trHeight w:val="20"/>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4.66</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Other noncompliance Reports (</w:t>
            </w:r>
            <w:proofErr w:type="spellStart"/>
            <w:r w:rsidRPr="004D2800">
              <w:rPr>
                <w:rFonts w:ascii="Arial" w:eastAsia="Times New Roman" w:hAnsi="Arial" w:cs="Arial"/>
                <w:color w:val="000000"/>
                <w:sz w:val="20"/>
                <w:szCs w:val="20"/>
              </w:rPr>
              <w:t>CAFO</w:t>
            </w:r>
            <w:proofErr w:type="spellEnd"/>
            <w:r w:rsidRPr="004D2800">
              <w:rPr>
                <w:rFonts w:ascii="Arial" w:eastAsia="Times New Roman" w:hAnsi="Arial" w:cs="Arial"/>
                <w:color w:val="000000"/>
                <w:sz w:val="20"/>
                <w:szCs w:val="20"/>
              </w:rPr>
              <w:t xml:space="preserve"> Permittees)</w:t>
            </w:r>
          </w:p>
        </w:tc>
        <w:tc>
          <w:tcPr>
            <w:tcW w:w="3240" w:type="dxa"/>
            <w:tcBorders>
              <w:bottom w:val="single" w:sz="4" w:space="0" w:color="808080" w:themeColor="background1" w:themeShade="80"/>
            </w:tcBorders>
            <w:shd w:val="clear" w:color="auto" w:fill="auto"/>
            <w:noWrap/>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306</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tcBorders>
              <w:bottom w:val="single" w:sz="4" w:space="0" w:color="808080" w:themeColor="background1" w:themeShade="80"/>
            </w:tcBorders>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1.23</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 Consolidation</w:t>
            </w:r>
          </w:p>
        </w:tc>
        <w:tc>
          <w:tcPr>
            <w:tcW w:w="3240" w:type="dxa"/>
            <w:shd w:val="pct25" w:color="auto" w:fill="auto"/>
            <w:noWrap/>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Industry</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val="restart"/>
            <w:shd w:val="pct25" w:color="auto" w:fill="auto"/>
            <w:hideMark/>
          </w:tcPr>
          <w:p w:rsidR="00116000" w:rsidRPr="004D2800" w:rsidRDefault="00116000" w:rsidP="001160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EPA anticipates that 0 facilities will file Permit Consolidation Requests each year </w:t>
            </w: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1.24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 Consolidation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Facilities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7.2</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Request for NPDES Partial Program Approval</w:t>
            </w:r>
          </w:p>
        </w:tc>
        <w:tc>
          <w:tcPr>
            <w:tcW w:w="324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693</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EPA anticipates that no states that currently are not authorized to implement the NPDES program will seek partial program authorization during the life of this ICR.  </w:t>
            </w: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6.3</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Section 308(a) Letters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Stormwater Permittees Industrial</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3,208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1,712</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87%</w:t>
            </w:r>
          </w:p>
        </w:tc>
        <w:tc>
          <w:tcPr>
            <w:tcW w:w="3960" w:type="dxa"/>
            <w:vMerge w:val="restart"/>
            <w:shd w:val="pct25" w:color="auto" w:fill="auto"/>
            <w:hideMark/>
          </w:tcPr>
          <w:p w:rsidR="00116000" w:rsidRPr="004D2800" w:rsidRDefault="00116000" w:rsidP="001160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EPA estimates that 1,200 permittees will be required to respond to a section 308(a) letter. These are allocated based on the number of permits and the type of permits. The change in stormwater permittees affects the allocation of these letters.</w:t>
            </w: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Section 308(a) Letters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MS4s (Phase I and II)</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248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120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107%</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728"/>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7.1</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Request for NPDES Program Approval</w:t>
            </w:r>
          </w:p>
        </w:tc>
        <w:tc>
          <w:tcPr>
            <w:tcW w:w="324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693</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tcBorders>
              <w:bottom w:val="single" w:sz="4" w:space="0" w:color="808080" w:themeColor="background1" w:themeShade="80"/>
            </w:tcBorders>
            <w:shd w:val="clear" w:color="auto" w:fill="auto"/>
            <w:hideMark/>
          </w:tcPr>
          <w:p w:rsidR="00116000" w:rsidRPr="004D2800" w:rsidRDefault="00116000" w:rsidP="001160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EPA expects that no states will request full program authorization during the life of this ICR. </w:t>
            </w:r>
          </w:p>
        </w:tc>
      </w:tr>
      <w:tr w:rsidR="001D5D10" w:rsidRPr="004D2800" w:rsidTr="001D5D10">
        <w:trPr>
          <w:cantSplit/>
          <w:trHeight w:val="710"/>
        </w:trPr>
        <w:tc>
          <w:tcPr>
            <w:tcW w:w="1275" w:type="dxa"/>
            <w:tcBorders>
              <w:left w:val="nil"/>
              <w:bottom w:val="single" w:sz="4" w:space="0" w:color="FFFFFF" w:themeColor="background1"/>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2520" w:type="dxa"/>
            <w:tcBorders>
              <w:left w:val="nil"/>
              <w:bottom w:val="single" w:sz="4" w:space="0" w:color="FFFFFF" w:themeColor="background1"/>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3240" w:type="dxa"/>
            <w:tcBorders>
              <w:left w:val="nil"/>
              <w:bottom w:val="single" w:sz="4" w:space="0" w:color="FFFFFF" w:themeColor="background1"/>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1260" w:type="dxa"/>
            <w:tcBorders>
              <w:left w:val="nil"/>
              <w:bottom w:val="single" w:sz="4" w:space="0" w:color="FFFFFF" w:themeColor="background1"/>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1260" w:type="dxa"/>
            <w:tcBorders>
              <w:left w:val="nil"/>
              <w:bottom w:val="single" w:sz="4" w:space="0" w:color="FFFFFF" w:themeColor="background1"/>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990" w:type="dxa"/>
            <w:tcBorders>
              <w:left w:val="nil"/>
              <w:bottom w:val="single" w:sz="4" w:space="0" w:color="FFFFFF" w:themeColor="background1"/>
              <w:right w:val="nil"/>
            </w:tcBorders>
            <w:shd w:val="clear" w:color="auto" w:fill="auto"/>
            <w:hideMark/>
          </w:tcPr>
          <w:p w:rsidR="001D5D10" w:rsidRDefault="001D5D10" w:rsidP="006E6700">
            <w:pPr>
              <w:rPr>
                <w:rFonts w:ascii="Arial" w:hAnsi="Arial" w:cs="Arial"/>
                <w:color w:val="000000"/>
                <w:sz w:val="20"/>
                <w:szCs w:val="20"/>
              </w:rPr>
            </w:pPr>
          </w:p>
        </w:tc>
        <w:tc>
          <w:tcPr>
            <w:tcW w:w="3960" w:type="dxa"/>
            <w:tcBorders>
              <w:left w:val="nil"/>
              <w:bottom w:val="single" w:sz="4" w:space="0" w:color="FFFFFF" w:themeColor="background1"/>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tcBorders>
              <w:top w:val="single" w:sz="4" w:space="0" w:color="FFFFFF" w:themeColor="background1"/>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lastRenderedPageBreak/>
              <w:t>2.83</w:t>
            </w:r>
          </w:p>
        </w:tc>
        <w:tc>
          <w:tcPr>
            <w:tcW w:w="2520" w:type="dxa"/>
            <w:tcBorders>
              <w:top w:val="single" w:sz="4" w:space="0" w:color="FFFFFF" w:themeColor="background1"/>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Development of SWPPP</w:t>
            </w:r>
          </w:p>
        </w:tc>
        <w:tc>
          <w:tcPr>
            <w:tcW w:w="3240" w:type="dxa"/>
            <w:tcBorders>
              <w:top w:val="single" w:sz="4" w:space="0" w:color="FFFFFF" w:themeColor="background1"/>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in NPDES States</w:t>
            </w:r>
          </w:p>
        </w:tc>
        <w:tc>
          <w:tcPr>
            <w:tcW w:w="1260" w:type="dxa"/>
            <w:tcBorders>
              <w:top w:val="single" w:sz="4" w:space="0" w:color="FFFFFF" w:themeColor="background1"/>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1,260,277</w:t>
            </w:r>
          </w:p>
        </w:tc>
        <w:tc>
          <w:tcPr>
            <w:tcW w:w="1260" w:type="dxa"/>
            <w:tcBorders>
              <w:top w:val="single" w:sz="4" w:space="0" w:color="FFFFFF" w:themeColor="background1"/>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5,262,057</w:t>
            </w:r>
          </w:p>
        </w:tc>
        <w:tc>
          <w:tcPr>
            <w:tcW w:w="990" w:type="dxa"/>
            <w:tcBorders>
              <w:top w:val="single" w:sz="4" w:space="0" w:color="FFFFFF" w:themeColor="background1"/>
            </w:tcBorders>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val="restart"/>
            <w:tcBorders>
              <w:top w:val="single" w:sz="4" w:space="0" w:color="FFFFFF" w:themeColor="background1"/>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EPA generated a new estimate of construction sites based on data collected for the development of the final Construction Effluent Limitation Guidelines. The Agency revised its estimate of the number of large and small construction sites covered by this ICR downward from 243,076 to 84,472 sites annually</w:t>
            </w:r>
            <w:r w:rsidR="00B108D0">
              <w:rPr>
                <w:rFonts w:ascii="Arial" w:eastAsia="Times New Roman" w:hAnsi="Arial" w:cs="Arial"/>
                <w:color w:val="000000"/>
                <w:sz w:val="20"/>
                <w:szCs w:val="20"/>
              </w:rPr>
              <w:t xml:space="preserve"> (Continued through</w:t>
            </w: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2.84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Development of SWPPP</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no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41,059</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187,314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2.85</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Development of SWPPP</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informal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25,516</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116,444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2.86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Development of SWPPP</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formal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1,856</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8,445</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3.98</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Routine site inspection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in NPDES States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450,099</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1,879,306</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3.99</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Routine site inspection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no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14,664</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66,898</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Routine site inspection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informal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9,113</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41,587</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3.101</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Routine site inspection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formal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663</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3,016</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4.319</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Planned Facility Changes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1,640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4,772</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4.32</w:t>
            </w:r>
            <w:r>
              <w:rPr>
                <w:rFonts w:ascii="Arial" w:eastAsia="Times New Roman" w:hAnsi="Arial" w:cs="Arial"/>
                <w:color w:val="000000"/>
                <w:sz w:val="20"/>
                <w:szCs w:val="20"/>
              </w:rPr>
              <w:t>0</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Planned Facility Changes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8,200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23,860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4.321</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Anticipated Noncompliance</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1,195</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4.322</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Anticipated Noncompliance</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780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2,260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4.323</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Facility and Permit Transfer Report</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246</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717</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4.324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Facility and Permit Transfer Report</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904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4.325</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Inaccurate Previous Information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82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238</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4.326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Inaccurate Previous Information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156</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448</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-65%</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lastRenderedPageBreak/>
              <w:t>4.327</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Unanticipated Bypass / Upset Reports (Verbal Reports)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1,195</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4.328</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Unanticipated Bypass / Upset Report (Verbal Notification)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225</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-65%</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4.329</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Unanticipated Bypass / Upset Report (Immediate Action)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39</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113</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-65%</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w:t>
            </w:r>
            <w:r>
              <w:rPr>
                <w:rFonts w:ascii="Arial" w:eastAsia="Times New Roman" w:hAnsi="Arial" w:cs="Arial"/>
                <w:color w:val="000000"/>
                <w:sz w:val="20"/>
                <w:szCs w:val="20"/>
              </w:rPr>
              <w:t>0</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Unanticipated Bypass / Upset Reports (Written Reports)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124</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358</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-65%</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4.331</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Unanticipated Bypass / Upset Report (Written Report)</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338</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-65%</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4.332</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Maximum Daily Violation Reports (Verbal Reports)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234</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675</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-65%</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4.333</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Maximum Daily Violation Report (Verbal Notification)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225</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-65%</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Maximum Daily Violation Report (Immediate Action)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39</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113</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-65%</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4.335</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Maximum Daily Violation Reports (Written Reports)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226</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Maximum Daily Violation Report (Written Report)</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226</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4.337</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Other Noncompliance Reports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4,105</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11,930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4.338</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Other Noncompliance Reports (NPDES Permittee Reports)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Construction Stormwater General Permittees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1,556</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4,504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5.44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in NPDES States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13,849</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57,825</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5.45</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no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451</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2,058</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5.46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informal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280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1,280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5.47</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formal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93</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lastRenderedPageBreak/>
              <w:t>5.48</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 of Inspections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Stormwater General Permittees, Construction</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328,294</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954,316</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6.34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Inspection &amp; Investigation of NPDES permittees - Stormwater General (large Construction) - RI</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13,848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57,824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1.124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NOI preparation &amp; submittal</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in NPDES States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51,935</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216,843</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1.125</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NOI preparation &amp; submittal</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no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1,692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7,719</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1.126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NOI preparation &amp; submittal</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informal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4,206</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19,194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1.127</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NOI preparation &amp; submittal</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 EPA Perm Auth formal ESA</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1,020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4,640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1.128</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NOI Processing &amp; review</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NPDES States, Large construction sites (&gt;5 acres) </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34,623</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144,562</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1.133</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Prepare and submit a NOT</w:t>
            </w:r>
          </w:p>
        </w:tc>
        <w:tc>
          <w:tcPr>
            <w:tcW w:w="3240" w:type="dxa"/>
            <w:shd w:val="pct25" w:color="auto" w:fill="auto"/>
            <w:noWrap/>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Large construction sites (&gt;5 acres)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18,252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76,569</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1.134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NOT processing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Large Construction</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8,656</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36,141</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3.102</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Monitoring</w:t>
            </w:r>
          </w:p>
        </w:tc>
        <w:tc>
          <w:tcPr>
            <w:tcW w:w="3240" w:type="dxa"/>
            <w:tcBorders>
              <w:bottom w:val="single" w:sz="4" w:space="0" w:color="808080" w:themeColor="background1" w:themeShade="80"/>
            </w:tcBorders>
            <w:shd w:val="clear" w:color="auto" w:fill="auto"/>
            <w:hideMark/>
          </w:tcPr>
          <w:p w:rsidR="00116000" w:rsidRPr="004D2800" w:rsidRDefault="00116000" w:rsidP="00B108D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Construction Sites </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35,031</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10,135</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246%</w:t>
            </w:r>
          </w:p>
        </w:tc>
        <w:tc>
          <w:tcPr>
            <w:tcW w:w="3960" w:type="dxa"/>
            <w:tcBorders>
              <w:bottom w:val="single" w:sz="4" w:space="0" w:color="808080" w:themeColor="background1" w:themeShade="80"/>
            </w:tcBorders>
            <w:shd w:val="clear" w:color="auto" w:fill="auto"/>
            <w:hideMark/>
          </w:tcPr>
          <w:p w:rsidR="00116000" w:rsidRPr="004D2800" w:rsidRDefault="00116000" w:rsidP="00B108D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Formula correction from previous ICR. </w:t>
            </w: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4.137</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Inaccurate Previous Information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Minor Municipal</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378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208</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82%</w:t>
            </w:r>
          </w:p>
        </w:tc>
        <w:tc>
          <w:tcPr>
            <w:tcW w:w="3960" w:type="dxa"/>
            <w:vMerge w:val="restart"/>
            <w:shd w:val="pct25" w:color="auto" w:fill="auto"/>
            <w:hideMark/>
          </w:tcPr>
          <w:p w:rsidR="00116000" w:rsidRPr="004D2800" w:rsidRDefault="00116000" w:rsidP="00B108D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Formula correction from previous ICR. </w:t>
            </w: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4.138</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Inaccurate Previous Information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Minor Municipal</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744</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408</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82%</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6.2</w:t>
            </w:r>
            <w:r>
              <w:rPr>
                <w:rFonts w:ascii="Arial" w:eastAsia="Times New Roman" w:hAnsi="Arial" w:cs="Arial"/>
                <w:color w:val="000000"/>
                <w:sz w:val="20"/>
                <w:szCs w:val="20"/>
              </w:rPr>
              <w:t>0</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Inspection &amp; Investigation of NPDES permittees - PCI</w:t>
            </w:r>
          </w:p>
        </w:tc>
        <w:tc>
          <w:tcPr>
            <w:tcW w:w="324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21,408</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tcBorders>
              <w:bottom w:val="single" w:sz="4" w:space="0" w:color="808080" w:themeColor="background1" w:themeShade="80"/>
            </w:tcBorders>
            <w:shd w:val="clear" w:color="auto" w:fill="auto"/>
            <w:hideMark/>
          </w:tcPr>
          <w:p w:rsidR="00116000" w:rsidRPr="004D2800" w:rsidRDefault="00B108D0" w:rsidP="006E670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w:t>
            </w:r>
            <w:r w:rsidR="00116000" w:rsidRPr="004D2800">
              <w:rPr>
                <w:rFonts w:ascii="Arial" w:eastAsia="Times New Roman" w:hAnsi="Arial" w:cs="Arial"/>
                <w:color w:val="000000"/>
                <w:sz w:val="20"/>
                <w:szCs w:val="20"/>
              </w:rPr>
              <w:t>his burden has been transferred to the Pretreatment ICR (OMB Control No. 2040-0009).</w:t>
            </w: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1.104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Form 1</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Individual Stormwater Permits, New</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258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166</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55%</w:t>
            </w:r>
          </w:p>
        </w:tc>
        <w:tc>
          <w:tcPr>
            <w:tcW w:w="3960" w:type="dxa"/>
            <w:vMerge w:val="restart"/>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More new individual NPDES stormwater permits were issued in the last 3-years than in the 3 years prior to the last ICR Update. (86 vs. 55)</w:t>
            </w: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1.105</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Form 1</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New Facilities  Individual Stormwater Facilities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27</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56%</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5.38</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 (Develop recordkeeping system; enter data; train personnel; and file information)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Individual Stormwater Permits New</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129</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83</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55%</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lastRenderedPageBreak/>
              <w:t>1.5</w:t>
            </w:r>
            <w:r>
              <w:rPr>
                <w:rFonts w:ascii="Arial" w:eastAsia="Times New Roman" w:hAnsi="Arial" w:cs="Arial"/>
                <w:color w:val="000000"/>
                <w:sz w:val="20"/>
                <w:szCs w:val="20"/>
              </w:rPr>
              <w:t>0</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Form 2S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roofErr w:type="spellStart"/>
            <w:r w:rsidRPr="004D2800">
              <w:rPr>
                <w:rFonts w:ascii="Arial" w:eastAsia="Times New Roman" w:hAnsi="Arial" w:cs="Arial"/>
                <w:color w:val="000000"/>
                <w:sz w:val="20"/>
                <w:szCs w:val="20"/>
              </w:rPr>
              <w:t>PrOTWs</w:t>
            </w:r>
            <w:proofErr w:type="spellEnd"/>
            <w:r w:rsidRPr="004D2800">
              <w:rPr>
                <w:rFonts w:ascii="Arial" w:eastAsia="Times New Roman" w:hAnsi="Arial" w:cs="Arial"/>
                <w:color w:val="000000"/>
                <w:sz w:val="20"/>
                <w:szCs w:val="20"/>
              </w:rPr>
              <w:t>, Sludge Only</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572</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378</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52%</w:t>
            </w:r>
          </w:p>
        </w:tc>
        <w:tc>
          <w:tcPr>
            <w:tcW w:w="3960" w:type="dxa"/>
            <w:vMerge w:val="restart"/>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Number of Sludge Only </w:t>
            </w: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permits in </w:t>
            </w:r>
            <w:proofErr w:type="spellStart"/>
            <w:r w:rsidRPr="004D2800">
              <w:rPr>
                <w:rFonts w:ascii="Arial" w:eastAsia="Times New Roman" w:hAnsi="Arial" w:cs="Arial"/>
                <w:color w:val="000000"/>
                <w:sz w:val="20"/>
                <w:szCs w:val="20"/>
              </w:rPr>
              <w:t>ICIS</w:t>
            </w:r>
            <w:proofErr w:type="spellEnd"/>
            <w:r w:rsidRPr="004D2800">
              <w:rPr>
                <w:rFonts w:ascii="Arial" w:eastAsia="Times New Roman" w:hAnsi="Arial" w:cs="Arial"/>
                <w:color w:val="000000"/>
                <w:sz w:val="20"/>
                <w:szCs w:val="20"/>
              </w:rPr>
              <w:t xml:space="preserve"> is proportionally larger than the number of permits reported in PCS. More states are under ICIS now.</w:t>
            </w:r>
          </w:p>
        </w:tc>
      </w:tr>
      <w:tr w:rsidR="00116000" w:rsidRPr="004D2800" w:rsidTr="001D5D10">
        <w:trPr>
          <w:cantSplit/>
          <w:trHeight w:val="20"/>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5.13</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 (Develop recordkeeping system; enter data; train personnel; and file information)</w:t>
            </w:r>
          </w:p>
        </w:tc>
        <w:tc>
          <w:tcPr>
            <w:tcW w:w="324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Sludge Only</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99</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65</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52%</w:t>
            </w:r>
          </w:p>
        </w:tc>
        <w:tc>
          <w:tcPr>
            <w:tcW w:w="3960" w:type="dxa"/>
            <w:vMerge/>
            <w:tcBorders>
              <w:bottom w:val="single" w:sz="4" w:space="0" w:color="808080" w:themeColor="background1" w:themeShade="80"/>
            </w:tcBorders>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4.15</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Inaccurate Previous Information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Minor </w:t>
            </w:r>
            <w:proofErr w:type="spellStart"/>
            <w:r w:rsidRPr="004D2800">
              <w:rPr>
                <w:rFonts w:ascii="Arial" w:eastAsia="Times New Roman" w:hAnsi="Arial" w:cs="Arial"/>
                <w:color w:val="000000"/>
                <w:sz w:val="20"/>
                <w:szCs w:val="20"/>
              </w:rPr>
              <w:t>Nonmunicipal</w:t>
            </w:r>
            <w:proofErr w:type="spellEnd"/>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1,126</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710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59%</w:t>
            </w:r>
          </w:p>
        </w:tc>
        <w:tc>
          <w:tcPr>
            <w:tcW w:w="3960" w:type="dxa"/>
            <w:vMerge w:val="restart"/>
            <w:shd w:val="pct25" w:color="auto" w:fill="auto"/>
            <w:hideMark/>
          </w:tcPr>
          <w:p w:rsidR="00116000" w:rsidRPr="004D2800" w:rsidRDefault="00116000" w:rsidP="001160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Significant reduction in the number of Existing Minor NPDES Permits based on EPA's direction to account for data entry errors in ICIS. </w:t>
            </w: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Inaccurate Previous Information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NPDES States, Minor </w:t>
            </w:r>
            <w:proofErr w:type="spellStart"/>
            <w:r w:rsidRPr="004D2800">
              <w:rPr>
                <w:rFonts w:ascii="Arial" w:eastAsia="Times New Roman" w:hAnsi="Arial" w:cs="Arial"/>
                <w:color w:val="000000"/>
                <w:sz w:val="20"/>
                <w:szCs w:val="20"/>
              </w:rPr>
              <w:t>Nonmunicipal</w:t>
            </w:r>
            <w:proofErr w:type="spellEnd"/>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2,212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1,392</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59%</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7.5</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Request for NPDES Program Modification - Update Legal Authority in Other Areas</w:t>
            </w:r>
          </w:p>
        </w:tc>
        <w:tc>
          <w:tcPr>
            <w:tcW w:w="324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3,083</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333</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825%</w:t>
            </w:r>
          </w:p>
        </w:tc>
        <w:tc>
          <w:tcPr>
            <w:tcW w:w="39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The Agency anticipates that all authorized states will revise their programs to update their legal authorities in response to the multiple rulemakings anticipated in the NPDES program. </w:t>
            </w: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4.106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Anticipated Noncompliance</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NPDES States, </w:t>
            </w: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Sludge</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val="restart"/>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The previous ICR had one permittee responding to this activity. Mathematical restriction to prevent less than full permittees (i.e., rounding) to be counted and the combination of updating the number of permits and the allocation of permits to authorized vs. non-authorized states based on the number of permits and not population.</w:t>
            </w: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4.108</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Facility and Permit Transfer Report</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NPDES States, </w:t>
            </w: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Sludge</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4.11</w:t>
            </w:r>
            <w:r>
              <w:rPr>
                <w:rFonts w:ascii="Arial" w:eastAsia="Times New Roman" w:hAnsi="Arial" w:cs="Arial"/>
                <w:color w:val="000000"/>
                <w:sz w:val="20"/>
                <w:szCs w:val="20"/>
              </w:rPr>
              <w:t>0</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Permittee Report of Inaccurate Previous Information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NPDES States, </w:t>
            </w: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Sludge</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4.193</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Facility and Permit Transfer Report</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Municipal Sludge</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3.57</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Minor Municipal Dischargers, Bimonthly Reporting</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2,650</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580</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357%</w:t>
            </w:r>
          </w:p>
        </w:tc>
        <w:tc>
          <w:tcPr>
            <w:tcW w:w="3960" w:type="dxa"/>
            <w:vMerge w:val="restart"/>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The total number of Minor (Municipal) Dischargers that report Bimonthly has increased. Reporting frequency fields in ICIS are easier to interpret than those in PCS. More States are now under ICIS.</w:t>
            </w: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3.63</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 Analysis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Minor Municipal Dischargers, Bimonthly Reporting</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5,630</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1,232</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357%</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4.147</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Minor Municipal Dischargers, Bimonthly Reporting</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1,152</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252</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357%</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458"/>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4.148</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Administration</w:t>
            </w:r>
          </w:p>
        </w:tc>
        <w:tc>
          <w:tcPr>
            <w:tcW w:w="324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Minor Municipal Dischargers, Bimonthly Reporting</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149</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34</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343%</w:t>
            </w:r>
          </w:p>
        </w:tc>
        <w:tc>
          <w:tcPr>
            <w:tcW w:w="3960" w:type="dxa"/>
            <w:vMerge/>
            <w:tcBorders>
              <w:bottom w:val="single" w:sz="4" w:space="0" w:color="808080" w:themeColor="background1" w:themeShade="80"/>
            </w:tcBorders>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D5D10" w:rsidRPr="004D2800" w:rsidTr="001D5D10">
        <w:trPr>
          <w:cantSplit/>
          <w:trHeight w:val="962"/>
        </w:trPr>
        <w:tc>
          <w:tcPr>
            <w:tcW w:w="1275" w:type="dxa"/>
            <w:tcBorders>
              <w:left w:val="nil"/>
              <w:bottom w:val="single" w:sz="4" w:space="0" w:color="808080" w:themeColor="background1" w:themeShade="80"/>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2520" w:type="dxa"/>
            <w:tcBorders>
              <w:left w:val="nil"/>
              <w:bottom w:val="single" w:sz="4" w:space="0" w:color="808080" w:themeColor="background1" w:themeShade="80"/>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3240" w:type="dxa"/>
            <w:tcBorders>
              <w:left w:val="nil"/>
              <w:bottom w:val="single" w:sz="4" w:space="0" w:color="808080" w:themeColor="background1" w:themeShade="80"/>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1260" w:type="dxa"/>
            <w:tcBorders>
              <w:left w:val="nil"/>
              <w:bottom w:val="single" w:sz="4" w:space="0" w:color="808080" w:themeColor="background1" w:themeShade="80"/>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1260" w:type="dxa"/>
            <w:tcBorders>
              <w:left w:val="nil"/>
              <w:bottom w:val="single" w:sz="4" w:space="0" w:color="808080" w:themeColor="background1" w:themeShade="80"/>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c>
          <w:tcPr>
            <w:tcW w:w="990" w:type="dxa"/>
            <w:tcBorders>
              <w:left w:val="nil"/>
              <w:bottom w:val="single" w:sz="4" w:space="0" w:color="808080" w:themeColor="background1" w:themeShade="80"/>
              <w:right w:val="nil"/>
            </w:tcBorders>
            <w:shd w:val="clear" w:color="auto" w:fill="auto"/>
            <w:hideMark/>
          </w:tcPr>
          <w:p w:rsidR="001D5D10" w:rsidRDefault="001D5D10" w:rsidP="006E6700">
            <w:pPr>
              <w:rPr>
                <w:rFonts w:ascii="Arial" w:hAnsi="Arial" w:cs="Arial"/>
                <w:color w:val="000000"/>
                <w:sz w:val="20"/>
                <w:szCs w:val="20"/>
              </w:rPr>
            </w:pPr>
          </w:p>
        </w:tc>
        <w:tc>
          <w:tcPr>
            <w:tcW w:w="3960" w:type="dxa"/>
            <w:tcBorders>
              <w:left w:val="nil"/>
              <w:bottom w:val="single" w:sz="4" w:space="0" w:color="808080" w:themeColor="background1" w:themeShade="80"/>
              <w:right w:val="nil"/>
            </w:tcBorders>
            <w:shd w:val="clear" w:color="auto" w:fill="auto"/>
            <w:hideMark/>
          </w:tcPr>
          <w:p w:rsidR="001D5D10" w:rsidRPr="004D2800" w:rsidRDefault="001D5D1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tcBorders>
              <w:top w:val="single" w:sz="4" w:space="0" w:color="808080" w:themeColor="background1" w:themeShade="80"/>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lastRenderedPageBreak/>
              <w:t>3.3</w:t>
            </w:r>
          </w:p>
        </w:tc>
        <w:tc>
          <w:tcPr>
            <w:tcW w:w="2520" w:type="dxa"/>
            <w:tcBorders>
              <w:top w:val="single" w:sz="4" w:space="0" w:color="808080" w:themeColor="background1" w:themeShade="80"/>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w:t>
            </w:r>
          </w:p>
        </w:tc>
        <w:tc>
          <w:tcPr>
            <w:tcW w:w="3240" w:type="dxa"/>
            <w:tcBorders>
              <w:top w:val="single" w:sz="4" w:space="0" w:color="808080" w:themeColor="background1" w:themeShade="80"/>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Minor </w:t>
            </w: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Dischargers, Bimonthly Reporting</w:t>
            </w:r>
          </w:p>
        </w:tc>
        <w:tc>
          <w:tcPr>
            <w:tcW w:w="1260" w:type="dxa"/>
            <w:tcBorders>
              <w:top w:val="single" w:sz="4" w:space="0" w:color="808080" w:themeColor="background1" w:themeShade="80"/>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9,853</w:t>
            </w:r>
          </w:p>
        </w:tc>
        <w:tc>
          <w:tcPr>
            <w:tcW w:w="1260" w:type="dxa"/>
            <w:tcBorders>
              <w:top w:val="single" w:sz="4" w:space="0" w:color="808080" w:themeColor="background1" w:themeShade="80"/>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4,885</w:t>
            </w:r>
          </w:p>
        </w:tc>
        <w:tc>
          <w:tcPr>
            <w:tcW w:w="990" w:type="dxa"/>
            <w:tcBorders>
              <w:top w:val="single" w:sz="4" w:space="0" w:color="808080" w:themeColor="background1" w:themeShade="80"/>
            </w:tcBorders>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102%</w:t>
            </w:r>
          </w:p>
        </w:tc>
        <w:tc>
          <w:tcPr>
            <w:tcW w:w="3960" w:type="dxa"/>
            <w:vMerge w:val="restart"/>
            <w:tcBorders>
              <w:top w:val="single" w:sz="4" w:space="0" w:color="808080" w:themeColor="background1" w:themeShade="80"/>
            </w:tcBorders>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The total number of Minor (</w:t>
            </w: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Dischargers that report Bimonthly has increased. Reporting frequency fields in ICIS are easier to interpret than those in PCS. More States are now under ICIS.</w:t>
            </w: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 Analysis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Minor </w:t>
            </w: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Dischargers, Bimonthly Reporting</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20,938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10,381</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102%</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4.25</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Reporting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Minor </w:t>
            </w: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Dischargers, Bimonthly Reporting</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4,284</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2,124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102%</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4.26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Administration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NPDES States, Minor </w:t>
            </w:r>
            <w:proofErr w:type="spellStart"/>
            <w:r w:rsidRPr="004D2800">
              <w:rPr>
                <w:rFonts w:ascii="Arial" w:eastAsia="Times New Roman" w:hAnsi="Arial" w:cs="Arial"/>
                <w:color w:val="000000"/>
                <w:sz w:val="20"/>
                <w:szCs w:val="20"/>
              </w:rPr>
              <w:t>Nonmunicipal</w:t>
            </w:r>
            <w:proofErr w:type="spellEnd"/>
            <w:r w:rsidRPr="004D2800">
              <w:rPr>
                <w:rFonts w:ascii="Arial" w:eastAsia="Times New Roman" w:hAnsi="Arial" w:cs="Arial"/>
                <w:color w:val="000000"/>
                <w:sz w:val="20"/>
                <w:szCs w:val="20"/>
              </w:rPr>
              <w:t xml:space="preserve"> Dischargers, Bimonthly Reporting</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562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278</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102%</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3.81</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Non-stormwater Permittees (State) - Semi-Annually</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977</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N/A</w:t>
            </w:r>
          </w:p>
        </w:tc>
        <w:tc>
          <w:tcPr>
            <w:tcW w:w="3960" w:type="dxa"/>
            <w:vMerge w:val="restart"/>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Total Number of Non-Stormwater General Permittees decreased by EPA. (Jackie Clark) Additionally, the percent of Non-stormwater General Permittees not required to report has increased, and there is a move from monthly and quarterly sampling to semiannual and annual.</w:t>
            </w: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3.82</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Non-stormwater Permittees (State) - Quarterly</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47,538</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109,944</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-57%</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3.83</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Non-stormwater Permittees (State) - Bimonthly</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49,194</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23,720</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107%</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3.87</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 Analysis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Non-stormwater Permittees (State) - Semi-Annually</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651</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N/A</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3.88</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 Analysis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Non-stormwater Permittees (State) - Quarterly</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31,692</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73,296</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-57%</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3.89</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 Analysis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Non-stormwater Permittees (State) - Bimonthly</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32,796</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15,813</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107%</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4.225</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Non-stormwater Permittees (State) - Semi-Annually</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868</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N/A</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4.226</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Non-stormwater Permittees (State) - Quarterly</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42,256</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97,728</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-57%</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4.227</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Reporting</w:t>
            </w:r>
          </w:p>
        </w:tc>
        <w:tc>
          <w:tcPr>
            <w:tcW w:w="324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General Non-stormwater Permittees (State) - Bimonthly</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43,728</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21,084</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107%</w:t>
            </w:r>
          </w:p>
        </w:tc>
        <w:tc>
          <w:tcPr>
            <w:tcW w:w="3960" w:type="dxa"/>
            <w:vMerge/>
            <w:tcBorders>
              <w:bottom w:val="single" w:sz="4" w:space="0" w:color="808080" w:themeColor="background1" w:themeShade="80"/>
            </w:tcBorders>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3.47</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Sludge Only, Class I Mgmt Facilities (Industrial)</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2,440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536</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355%</w:t>
            </w:r>
          </w:p>
        </w:tc>
        <w:tc>
          <w:tcPr>
            <w:tcW w:w="3960" w:type="dxa"/>
            <w:vMerge w:val="restart"/>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Uncertainty attached to sludge permits (i.e., unknown sludge class) has decreased in the number reported in ICIS from the numbers reported in PCS. This increases the number of Class I facilities and reduces the number of Non-Class I facilities.</w:t>
            </w: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3.51</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 Analysis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Sludge Only, Class I Mgmt Facilities (Industrial)</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7,319</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1,607</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355%</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3.69</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Sludge Only, 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10,784</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1,927</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460%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3.7</w:t>
            </w:r>
            <w:r>
              <w:rPr>
                <w:rFonts w:ascii="Arial" w:eastAsia="Times New Roman" w:hAnsi="Arial" w:cs="Arial"/>
                <w:color w:val="000000"/>
                <w:sz w:val="20"/>
                <w:szCs w:val="20"/>
              </w:rPr>
              <w:t>0</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Sludge Only, Non-Class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5,916</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3.73</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 Analysis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Sludge Only, 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32,353</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5,780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460%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lastRenderedPageBreak/>
              <w:t>3.74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Sampling Analysis</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Sludge Only, Non-Class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9,861</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4.111</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Reporting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Sludge Only, Class I Mgmt Facilities (Industrial)</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1,626</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357</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355%</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4.112</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Administration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Sludge Only, Class I Mgmt Facilities (Industrial)</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82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25</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224%</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4.114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Administration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NPDES States Sludge Only, Non-Class I Mgmt Facilities (Industrial)</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15</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-51%</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4.196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Reporting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Sludge Only, 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7,190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1,284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460%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4.197</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Administration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NPDES States Sludge Only, 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364</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303%</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4.198</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Reporting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Sludge Only, Non-Class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394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4.199</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Administration</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NPDES States Sludge Only, Non-Class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277</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5.14</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Recordkeeping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Sludge Only, Class I Mgmt Facilities (Industrial)</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138</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30</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355%</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5.26</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Recordkeeping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Sludge Only, 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611</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109</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460%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5.27</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Recordkeeping</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Sludge Only, Non-Class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34</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5.31</w:t>
            </w:r>
          </w:p>
        </w:tc>
        <w:tc>
          <w:tcPr>
            <w:tcW w:w="252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DMR Recordkeeping Only</w:t>
            </w:r>
          </w:p>
        </w:tc>
        <w:tc>
          <w:tcPr>
            <w:tcW w:w="324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Sludge Only, Non-Class I </w:t>
            </w:r>
            <w:proofErr w:type="spellStart"/>
            <w:r w:rsidRPr="004D2800">
              <w:rPr>
                <w:rFonts w:ascii="Arial" w:eastAsia="Times New Roman" w:hAnsi="Arial" w:cs="Arial"/>
                <w:color w:val="000000"/>
                <w:sz w:val="20"/>
                <w:szCs w:val="20"/>
              </w:rPr>
              <w:t>Mgmt</w:t>
            </w:r>
            <w:proofErr w:type="spellEnd"/>
            <w:r w:rsidRPr="004D2800">
              <w:rPr>
                <w:rFonts w:ascii="Arial" w:eastAsia="Times New Roman" w:hAnsi="Arial" w:cs="Arial"/>
                <w:color w:val="000000"/>
                <w:sz w:val="20"/>
                <w:szCs w:val="20"/>
              </w:rPr>
              <w:t xml:space="preserve"> Facilities  (Municipal Biosolids)</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14</w:t>
            </w:r>
          </w:p>
        </w:tc>
        <w:tc>
          <w:tcPr>
            <w:tcW w:w="1260" w:type="dxa"/>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2,662</w:t>
            </w:r>
          </w:p>
        </w:tc>
        <w:tc>
          <w:tcPr>
            <w:tcW w:w="990" w:type="dxa"/>
            <w:shd w:val="pct25"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shd w:val="pct25" w:color="auto" w:fill="auto"/>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1.14</w:t>
            </w:r>
            <w:r>
              <w:rPr>
                <w:rFonts w:ascii="Arial" w:eastAsia="Times New Roman" w:hAnsi="Arial" w:cs="Arial"/>
                <w:color w:val="000000"/>
                <w:sz w:val="20"/>
                <w:szCs w:val="20"/>
              </w:rPr>
              <w:t>0</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NOI Filing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Tank Ships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731</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402</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82%</w:t>
            </w:r>
          </w:p>
        </w:tc>
        <w:tc>
          <w:tcPr>
            <w:tcW w:w="3960" w:type="dxa"/>
            <w:vMerge w:val="restart"/>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Vessels Universe updated based on information in the Economic and Benefits Analysis of the 2013 Vessel Gener</w:t>
            </w:r>
            <w:r>
              <w:rPr>
                <w:rFonts w:ascii="Arial" w:eastAsia="Times New Roman" w:hAnsi="Arial" w:cs="Arial"/>
                <w:color w:val="000000"/>
                <w:sz w:val="20"/>
                <w:szCs w:val="20"/>
              </w:rPr>
              <w:t xml:space="preserve">al Permit (VGP), September 2011. One time reporting activities already completed by most permitted vessels. NOI </w:t>
            </w: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1.143</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NOI Filing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Passenger Vessels</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66</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248</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-73%</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3.105</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Routine Inspections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Tank Ships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2,014</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1,011</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99%</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3.106</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Routine Inspections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Commercial Fishing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1,168</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4,813</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3.108</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Routine Inspections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Passenger Vessels</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918</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2,270</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-60%</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3.114</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Annual Inspections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Tank Ships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6,739</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3,661</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84%</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3.115</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Annual Inspections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Commercial Fishing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1,184</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4,813</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-75%</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lastRenderedPageBreak/>
              <w:t>3.117</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Annual Inspections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Passenger Vessels</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990</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2,321</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-57%</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4.339</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One Time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Cruise Ships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18</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-90%</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4.34</w:t>
            </w:r>
            <w:r>
              <w:rPr>
                <w:rFonts w:ascii="Arial" w:eastAsia="Times New Roman" w:hAnsi="Arial" w:cs="Arial"/>
                <w:color w:val="000000"/>
                <w:sz w:val="20"/>
                <w:szCs w:val="20"/>
              </w:rPr>
              <w:t>0</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One Time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Freight Ships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290</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613</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-53%</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4.342</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One Time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Commercial Fishing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963</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4.343</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One Time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Freight Barges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820</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3,171</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-74%</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4.344</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One Time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Passenger Vessels</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0</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466</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-100%</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4.346</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One Time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Utility Vessels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23</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642</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-96%</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4.347</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One Time Reporting</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Tank Barges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229</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488</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-53%</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B108D0">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5.51</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 Activities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Tank Ships </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2,020</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1,074</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88%</w:t>
            </w:r>
          </w:p>
        </w:tc>
        <w:tc>
          <w:tcPr>
            <w:tcW w:w="3960" w:type="dxa"/>
            <w:vMerge/>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1D5D10">
        <w:trPr>
          <w:cantSplit/>
          <w:trHeight w:val="20"/>
        </w:trPr>
        <w:tc>
          <w:tcPr>
            <w:tcW w:w="1275"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5.52</w:t>
            </w:r>
          </w:p>
        </w:tc>
        <w:tc>
          <w:tcPr>
            <w:tcW w:w="252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 Activities</w:t>
            </w:r>
          </w:p>
        </w:tc>
        <w:tc>
          <w:tcPr>
            <w:tcW w:w="324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 xml:space="preserve">Commercial Fishing </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1,175</w:t>
            </w:r>
          </w:p>
        </w:tc>
        <w:tc>
          <w:tcPr>
            <w:tcW w:w="1260" w:type="dxa"/>
            <w:tcBorders>
              <w:bottom w:val="single" w:sz="4" w:space="0" w:color="808080" w:themeColor="background1" w:themeShade="80"/>
            </w:tcBorders>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4,813</w:t>
            </w:r>
          </w:p>
        </w:tc>
        <w:tc>
          <w:tcPr>
            <w:tcW w:w="990" w:type="dxa"/>
            <w:tcBorders>
              <w:bottom w:val="single" w:sz="4" w:space="0" w:color="808080" w:themeColor="background1" w:themeShade="80"/>
            </w:tcBorders>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-76%</w:t>
            </w:r>
          </w:p>
        </w:tc>
        <w:tc>
          <w:tcPr>
            <w:tcW w:w="3960" w:type="dxa"/>
            <w:vMerge/>
            <w:tcBorders>
              <w:bottom w:val="single" w:sz="4" w:space="0" w:color="808080" w:themeColor="background1" w:themeShade="80"/>
            </w:tcBorders>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116000" w:rsidRPr="004D2800" w:rsidTr="00095692">
        <w:trPr>
          <w:cantSplit/>
          <w:trHeight w:val="20"/>
        </w:trPr>
        <w:tc>
          <w:tcPr>
            <w:tcW w:w="1275"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5.54</w:t>
            </w:r>
          </w:p>
        </w:tc>
        <w:tc>
          <w:tcPr>
            <w:tcW w:w="252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Recordkeeping Activities</w:t>
            </w:r>
          </w:p>
        </w:tc>
        <w:tc>
          <w:tcPr>
            <w:tcW w:w="324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Passenger Vessels</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949</w:t>
            </w:r>
          </w:p>
        </w:tc>
        <w:tc>
          <w:tcPr>
            <w:tcW w:w="1260" w:type="dxa"/>
            <w:shd w:val="clear" w:color="auto" w:fill="auto"/>
            <w:hideMark/>
          </w:tcPr>
          <w:p w:rsidR="00116000" w:rsidRPr="004D2800" w:rsidRDefault="00116000" w:rsidP="006E6700">
            <w:pPr>
              <w:spacing w:after="0" w:line="240" w:lineRule="auto"/>
              <w:rPr>
                <w:rFonts w:ascii="Arial" w:eastAsia="Times New Roman" w:hAnsi="Arial" w:cs="Arial"/>
                <w:color w:val="000000"/>
                <w:sz w:val="20"/>
                <w:szCs w:val="20"/>
              </w:rPr>
            </w:pPr>
            <w:r w:rsidRPr="004D2800">
              <w:rPr>
                <w:rFonts w:ascii="Arial" w:eastAsia="Times New Roman" w:hAnsi="Arial" w:cs="Arial"/>
                <w:color w:val="000000"/>
                <w:sz w:val="20"/>
                <w:szCs w:val="20"/>
              </w:rPr>
              <w:t>2,292</w:t>
            </w:r>
          </w:p>
        </w:tc>
        <w:tc>
          <w:tcPr>
            <w:tcW w:w="990" w:type="dxa"/>
            <w:shd w:val="clear" w:color="auto" w:fill="auto"/>
            <w:hideMark/>
          </w:tcPr>
          <w:p w:rsidR="00116000" w:rsidRDefault="00116000" w:rsidP="006E6700">
            <w:pPr>
              <w:rPr>
                <w:rFonts w:ascii="Arial" w:hAnsi="Arial" w:cs="Arial"/>
                <w:color w:val="000000"/>
                <w:sz w:val="20"/>
                <w:szCs w:val="20"/>
              </w:rPr>
            </w:pPr>
            <w:r>
              <w:rPr>
                <w:rFonts w:ascii="Arial" w:hAnsi="Arial" w:cs="Arial"/>
                <w:color w:val="000000"/>
                <w:sz w:val="20"/>
                <w:szCs w:val="20"/>
              </w:rPr>
              <w:t>-59%</w:t>
            </w:r>
          </w:p>
        </w:tc>
        <w:tc>
          <w:tcPr>
            <w:tcW w:w="3960" w:type="dxa"/>
            <w:vMerge/>
            <w:tcBorders>
              <w:bottom w:val="single" w:sz="4" w:space="0" w:color="808080" w:themeColor="background1" w:themeShade="80"/>
            </w:tcBorders>
            <w:hideMark/>
          </w:tcPr>
          <w:p w:rsidR="00116000" w:rsidRPr="004D2800" w:rsidRDefault="00116000"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2.30</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 xml:space="preserve">Documenting Nine Minimum Control Measures - </w:t>
            </w:r>
            <w:proofErr w:type="spellStart"/>
            <w:r>
              <w:rPr>
                <w:rFonts w:ascii="Arial" w:hAnsi="Arial" w:cs="Arial"/>
                <w:sz w:val="20"/>
                <w:szCs w:val="20"/>
              </w:rPr>
              <w:t>O&amp;M</w:t>
            </w:r>
            <w:proofErr w:type="spellEnd"/>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val="restart"/>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r w:rsidRPr="00095692">
              <w:rPr>
                <w:rFonts w:ascii="Arial" w:eastAsia="Times New Roman" w:hAnsi="Arial" w:cs="Arial"/>
                <w:color w:val="000000"/>
                <w:sz w:val="20"/>
                <w:szCs w:val="20"/>
              </w:rPr>
              <w:t xml:space="preserve">All </w:t>
            </w:r>
            <w:proofErr w:type="spellStart"/>
            <w:r w:rsidRPr="00095692">
              <w:rPr>
                <w:rFonts w:ascii="Arial" w:eastAsia="Times New Roman" w:hAnsi="Arial" w:cs="Arial"/>
                <w:color w:val="000000"/>
                <w:sz w:val="20"/>
                <w:szCs w:val="20"/>
              </w:rPr>
              <w:t>CSO</w:t>
            </w:r>
            <w:proofErr w:type="spellEnd"/>
            <w:r w:rsidRPr="00095692">
              <w:rPr>
                <w:rFonts w:ascii="Arial" w:eastAsia="Times New Roman" w:hAnsi="Arial" w:cs="Arial"/>
                <w:color w:val="000000"/>
                <w:sz w:val="20"/>
                <w:szCs w:val="20"/>
              </w:rPr>
              <w:t xml:space="preserve"> permits or enforcement orders have fulfill the obligation of Phase I technology-based </w:t>
            </w:r>
            <w:proofErr w:type="spellStart"/>
            <w:r w:rsidRPr="00095692">
              <w:rPr>
                <w:rFonts w:ascii="Arial" w:eastAsia="Times New Roman" w:hAnsi="Arial" w:cs="Arial"/>
                <w:color w:val="000000"/>
                <w:sz w:val="20"/>
                <w:szCs w:val="20"/>
              </w:rPr>
              <w:t>CSO</w:t>
            </w:r>
            <w:proofErr w:type="spellEnd"/>
            <w:r w:rsidRPr="00095692">
              <w:rPr>
                <w:rFonts w:ascii="Arial" w:eastAsia="Times New Roman" w:hAnsi="Arial" w:cs="Arial"/>
                <w:color w:val="000000"/>
                <w:sz w:val="20"/>
                <w:szCs w:val="20"/>
              </w:rPr>
              <w:t xml:space="preserve"> control requirements (Nine Minimum Controls)</w:t>
            </w: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2.31</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 xml:space="preserve">Documenting Nine Minimum Control Measures - </w:t>
            </w:r>
            <w:proofErr w:type="spellStart"/>
            <w:r>
              <w:rPr>
                <w:rFonts w:ascii="Arial" w:hAnsi="Arial" w:cs="Arial"/>
                <w:sz w:val="20"/>
                <w:szCs w:val="20"/>
              </w:rPr>
              <w:t>O&amp;M</w:t>
            </w:r>
            <w:proofErr w:type="spellEnd"/>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2.32</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 xml:space="preserve">Documenting Nine Minimum Control Measures - </w:t>
            </w:r>
            <w:proofErr w:type="spellStart"/>
            <w:r>
              <w:rPr>
                <w:rFonts w:ascii="Arial" w:hAnsi="Arial" w:cs="Arial"/>
                <w:sz w:val="20"/>
                <w:szCs w:val="20"/>
              </w:rPr>
              <w:t>O&amp;M</w:t>
            </w:r>
            <w:proofErr w:type="spellEnd"/>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2.33</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Max. Storage of System</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35</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lastRenderedPageBreak/>
              <w:t>2.34</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Max. Storage of System</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2.35</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Max. Storage of System</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53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2.36</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Pretreatment</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2.37</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Pretreatment</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2.38</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Pretreatment</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2.39</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Max. Flow</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35</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2.40</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Max. Flow</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2.41</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Max. Flow</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53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2.42</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Dry-weather Overflows</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78</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lastRenderedPageBreak/>
              <w:t>2.43</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Dry-weather Overflows</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2.44</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Dry-weather Overflows</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2.45</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Control Solids</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2.46</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Control Solids</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2.47</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Control Solids</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2.48</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Pollution Prevention</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2.49</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Pollution Prevention</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2.50</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Pollution Prevention</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lastRenderedPageBreak/>
              <w:t>2.51</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Public Notification</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2.52</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Public Notification</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2.53</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Public Notification</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2.54</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Monitor</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69</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2.55</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Monitor</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2.56</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Monitor</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2.57</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General Reporting</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35</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2.58</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General Reporting</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lastRenderedPageBreak/>
              <w:t>2.59</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General Reporting</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53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2.60</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Recordkeeping</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Small</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35</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2.61</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Recordkeeping</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Medium</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2.62</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Documenting Nine Minimum Control Measures - Recordkeeping</w:t>
            </w:r>
          </w:p>
        </w:tc>
        <w:tc>
          <w:tcPr>
            <w:tcW w:w="324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POTWs</w:t>
            </w:r>
            <w:proofErr w:type="spellEnd"/>
            <w:r>
              <w:rPr>
                <w:rFonts w:ascii="Arial" w:hAnsi="Arial" w:cs="Arial"/>
                <w:sz w:val="20"/>
                <w:szCs w:val="20"/>
              </w:rPr>
              <w:t xml:space="preserve"> - Large</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53</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2.63</w:t>
            </w:r>
          </w:p>
        </w:tc>
        <w:tc>
          <w:tcPr>
            <w:tcW w:w="252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 xml:space="preserve">Review </w:t>
            </w:r>
            <w:proofErr w:type="spellStart"/>
            <w:r>
              <w:rPr>
                <w:rFonts w:ascii="Arial" w:hAnsi="Arial" w:cs="Arial"/>
                <w:sz w:val="20"/>
                <w:szCs w:val="20"/>
              </w:rPr>
              <w:t>NMC</w:t>
            </w:r>
            <w:proofErr w:type="spellEnd"/>
            <w:r>
              <w:rPr>
                <w:rFonts w:ascii="Arial" w:hAnsi="Arial" w:cs="Arial"/>
                <w:sz w:val="20"/>
                <w:szCs w:val="20"/>
              </w:rPr>
              <w:t xml:space="preserve"> Documentation</w:t>
            </w:r>
          </w:p>
        </w:tc>
        <w:tc>
          <w:tcPr>
            <w:tcW w:w="324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NPDES States</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267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r w:rsidR="00095692" w:rsidRPr="004D2800" w:rsidTr="0055054A">
        <w:trPr>
          <w:cantSplit/>
          <w:trHeight w:val="20"/>
        </w:trPr>
        <w:tc>
          <w:tcPr>
            <w:tcW w:w="1275"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5.58</w:t>
            </w:r>
          </w:p>
        </w:tc>
        <w:tc>
          <w:tcPr>
            <w:tcW w:w="2520" w:type="dxa"/>
            <w:shd w:val="clear" w:color="auto" w:fill="BFBFBF" w:themeFill="background1" w:themeFillShade="BF"/>
            <w:vAlign w:val="bottom"/>
          </w:tcPr>
          <w:p w:rsidR="00095692" w:rsidRDefault="00095692">
            <w:pPr>
              <w:rPr>
                <w:rFonts w:ascii="Arial" w:hAnsi="Arial" w:cs="Arial"/>
                <w:sz w:val="20"/>
                <w:szCs w:val="20"/>
              </w:rPr>
            </w:pPr>
            <w:proofErr w:type="spellStart"/>
            <w:r>
              <w:rPr>
                <w:rFonts w:ascii="Arial" w:hAnsi="Arial" w:cs="Arial"/>
                <w:sz w:val="20"/>
                <w:szCs w:val="20"/>
              </w:rPr>
              <w:t>CSO</w:t>
            </w:r>
            <w:proofErr w:type="spellEnd"/>
            <w:r>
              <w:rPr>
                <w:rFonts w:ascii="Arial" w:hAnsi="Arial" w:cs="Arial"/>
                <w:sz w:val="20"/>
                <w:szCs w:val="20"/>
              </w:rPr>
              <w:t xml:space="preserve"> State Oversight - Recordkeeping</w:t>
            </w:r>
          </w:p>
        </w:tc>
        <w:tc>
          <w:tcPr>
            <w:tcW w:w="3240" w:type="dxa"/>
            <w:shd w:val="clear" w:color="auto" w:fill="BFBFBF" w:themeFill="background1" w:themeFillShade="BF"/>
            <w:vAlign w:val="bottom"/>
          </w:tcPr>
          <w:p w:rsidR="00095692" w:rsidRDefault="00095692">
            <w:pPr>
              <w:rPr>
                <w:rFonts w:ascii="Arial" w:hAnsi="Arial" w:cs="Arial"/>
                <w:sz w:val="20"/>
                <w:szCs w:val="20"/>
              </w:rPr>
            </w:pPr>
            <w:r>
              <w:rPr>
                <w:rFonts w:ascii="Arial" w:hAnsi="Arial" w:cs="Arial"/>
                <w:sz w:val="20"/>
                <w:szCs w:val="20"/>
              </w:rPr>
              <w:t>NPDES States</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0</w:t>
            </w:r>
          </w:p>
        </w:tc>
        <w:tc>
          <w:tcPr>
            <w:tcW w:w="126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7</w:t>
            </w:r>
          </w:p>
        </w:tc>
        <w:tc>
          <w:tcPr>
            <w:tcW w:w="990" w:type="dxa"/>
            <w:shd w:val="clear" w:color="auto" w:fill="BFBFBF" w:themeFill="background1" w:themeFillShade="BF"/>
            <w:vAlign w:val="bottom"/>
          </w:tcPr>
          <w:p w:rsidR="00095692" w:rsidRDefault="00095692">
            <w:pPr>
              <w:jc w:val="right"/>
              <w:rPr>
                <w:rFonts w:ascii="Arial" w:hAnsi="Arial" w:cs="Arial"/>
                <w:sz w:val="20"/>
                <w:szCs w:val="20"/>
              </w:rPr>
            </w:pPr>
            <w:r>
              <w:rPr>
                <w:rFonts w:ascii="Arial" w:hAnsi="Arial" w:cs="Arial"/>
                <w:sz w:val="20"/>
                <w:szCs w:val="20"/>
              </w:rPr>
              <w:t>-100.0%</w:t>
            </w:r>
          </w:p>
        </w:tc>
        <w:tc>
          <w:tcPr>
            <w:tcW w:w="3960" w:type="dxa"/>
            <w:vMerge/>
            <w:shd w:val="clear" w:color="auto" w:fill="BFBFBF" w:themeFill="background1" w:themeFillShade="BF"/>
          </w:tcPr>
          <w:p w:rsidR="00095692" w:rsidRPr="004D2800" w:rsidRDefault="00095692" w:rsidP="006E6700">
            <w:pPr>
              <w:spacing w:after="0" w:line="240" w:lineRule="auto"/>
              <w:rPr>
                <w:rFonts w:ascii="Arial" w:eastAsia="Times New Roman" w:hAnsi="Arial" w:cs="Arial"/>
                <w:color w:val="000000"/>
                <w:sz w:val="20"/>
                <w:szCs w:val="20"/>
              </w:rPr>
            </w:pPr>
          </w:p>
        </w:tc>
      </w:tr>
    </w:tbl>
    <w:p w:rsidR="00CA7710" w:rsidRPr="002933A1" w:rsidRDefault="00CA7710" w:rsidP="002933A1">
      <w:pPr>
        <w:spacing w:after="0" w:line="240" w:lineRule="auto"/>
        <w:rPr>
          <w:rFonts w:ascii="Times New Roman" w:hAnsi="Times New Roman" w:cs="Times New Roman"/>
          <w:sz w:val="24"/>
          <w:szCs w:val="24"/>
        </w:rPr>
      </w:pPr>
      <w:bookmarkStart w:id="0" w:name="_GoBack"/>
      <w:bookmarkEnd w:id="0"/>
    </w:p>
    <w:sectPr w:rsidR="00CA7710" w:rsidRPr="002933A1" w:rsidSect="00B108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96757"/>
    <w:rsid w:val="00050847"/>
    <w:rsid w:val="00095692"/>
    <w:rsid w:val="00116000"/>
    <w:rsid w:val="00193477"/>
    <w:rsid w:val="001D5D10"/>
    <w:rsid w:val="002933A1"/>
    <w:rsid w:val="004D2800"/>
    <w:rsid w:val="00613C4B"/>
    <w:rsid w:val="00660974"/>
    <w:rsid w:val="006E6700"/>
    <w:rsid w:val="00B108D0"/>
    <w:rsid w:val="00BC4A5B"/>
    <w:rsid w:val="00BE7CE1"/>
    <w:rsid w:val="00C96757"/>
    <w:rsid w:val="00CA7710"/>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4274">
      <w:bodyDiv w:val="1"/>
      <w:marLeft w:val="0"/>
      <w:marRight w:val="0"/>
      <w:marTop w:val="0"/>
      <w:marBottom w:val="0"/>
      <w:divBdr>
        <w:top w:val="none" w:sz="0" w:space="0" w:color="auto"/>
        <w:left w:val="none" w:sz="0" w:space="0" w:color="auto"/>
        <w:bottom w:val="none" w:sz="0" w:space="0" w:color="auto"/>
        <w:right w:val="none" w:sz="0" w:space="0" w:color="auto"/>
      </w:divBdr>
    </w:div>
    <w:div w:id="1687441139">
      <w:bodyDiv w:val="1"/>
      <w:marLeft w:val="0"/>
      <w:marRight w:val="0"/>
      <w:marTop w:val="0"/>
      <w:marBottom w:val="0"/>
      <w:divBdr>
        <w:top w:val="none" w:sz="0" w:space="0" w:color="auto"/>
        <w:left w:val="none" w:sz="0" w:space="0" w:color="auto"/>
        <w:bottom w:val="none" w:sz="0" w:space="0" w:color="auto"/>
        <w:right w:val="none" w:sz="0" w:space="0" w:color="auto"/>
      </w:divBdr>
    </w:div>
    <w:div w:id="1947540544">
      <w:bodyDiv w:val="1"/>
      <w:marLeft w:val="0"/>
      <w:marRight w:val="0"/>
      <w:marTop w:val="0"/>
      <w:marBottom w:val="0"/>
      <w:divBdr>
        <w:top w:val="none" w:sz="0" w:space="0" w:color="auto"/>
        <w:left w:val="none" w:sz="0" w:space="0" w:color="auto"/>
        <w:bottom w:val="none" w:sz="0" w:space="0" w:color="auto"/>
        <w:right w:val="none" w:sz="0" w:space="0" w:color="auto"/>
      </w:divBdr>
    </w:div>
    <w:div w:id="21026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6195-90D3-4CE4-A600-15751199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Escobar, Alejandro</dc:creator>
  <cp:keywords/>
  <dc:description/>
  <cp:lastModifiedBy>Escobar, Alejandro</cp:lastModifiedBy>
  <cp:revision>9</cp:revision>
  <dcterms:created xsi:type="dcterms:W3CDTF">2011-10-28T13:25:00Z</dcterms:created>
  <dcterms:modified xsi:type="dcterms:W3CDTF">2011-11-30T18:34:00Z</dcterms:modified>
</cp:coreProperties>
</file>