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1EA" w:rsidRDefault="00C531EA" w:rsidP="00C531EA">
      <w:pPr>
        <w:pStyle w:val="NormalWeb"/>
      </w:pPr>
      <w:r>
        <w:rPr>
          <w:rFonts w:ascii="Arial" w:hAnsi="Arial" w:cs="Arial"/>
          <w:sz w:val="20"/>
          <w:szCs w:val="20"/>
        </w:rPr>
        <w:t>Good Morning Jim</w:t>
      </w:r>
      <w:proofErr w:type="gramStart"/>
      <w:r>
        <w:rPr>
          <w:rFonts w:ascii="Arial" w:hAnsi="Arial" w:cs="Arial"/>
          <w:sz w:val="20"/>
          <w:szCs w:val="20"/>
        </w:rPr>
        <w:t>,</w:t>
      </w:r>
      <w:proofErr w:type="gramEnd"/>
      <w:r>
        <w:br/>
      </w:r>
      <w:r>
        <w:br/>
      </w:r>
      <w:r>
        <w:rPr>
          <w:rFonts w:ascii="Arial" w:hAnsi="Arial" w:cs="Arial"/>
          <w:sz w:val="20"/>
          <w:szCs w:val="20"/>
        </w:rPr>
        <w:t xml:space="preserve">The program quickly assembled a response to your questions on the NPDES ICR, which is found in the explanation and attached table </w:t>
      </w:r>
      <w:r>
        <w:rPr>
          <w:rFonts w:ascii="Arial" w:hAnsi="Arial" w:cs="Arial"/>
          <w:sz w:val="20"/>
          <w:szCs w:val="20"/>
        </w:rPr>
        <w:t xml:space="preserve">(see bottom of this document) </w:t>
      </w:r>
      <w:r>
        <w:rPr>
          <w:rFonts w:ascii="Arial" w:hAnsi="Arial" w:cs="Arial"/>
          <w:sz w:val="20"/>
          <w:szCs w:val="20"/>
        </w:rPr>
        <w:t>from Alejandro Escobar below. Please let me know if you have any further questions on this.</w:t>
      </w:r>
      <w:r>
        <w:br/>
      </w:r>
      <w:r>
        <w:rPr>
          <w:rFonts w:ascii="Arial" w:hAnsi="Arial" w:cs="Arial"/>
          <w:sz w:val="20"/>
          <w:szCs w:val="20"/>
        </w:rPr>
        <w:br/>
        <w:t>Spencer W. Clark</w:t>
      </w:r>
      <w:r>
        <w:rPr>
          <w:rFonts w:ascii="Arial" w:hAnsi="Arial" w:cs="Arial"/>
          <w:sz w:val="20"/>
          <w:szCs w:val="20"/>
        </w:rPr>
        <w:br/>
        <w:t>Office of Environmental Information</w:t>
      </w:r>
      <w:r>
        <w:rPr>
          <w:rFonts w:ascii="Arial" w:hAnsi="Arial" w:cs="Arial"/>
          <w:sz w:val="20"/>
          <w:szCs w:val="20"/>
        </w:rPr>
        <w:br/>
        <w:t>U.S. Environmental Protection Agency</w:t>
      </w:r>
      <w:r>
        <w:rPr>
          <w:rFonts w:ascii="Arial" w:hAnsi="Arial" w:cs="Arial"/>
          <w:sz w:val="20"/>
          <w:szCs w:val="20"/>
        </w:rPr>
        <w:br/>
        <w:t>EPA West 6416X, (202) 566-0729</w:t>
      </w:r>
      <w:r>
        <w:br/>
      </w:r>
      <w:r>
        <w:rPr>
          <w:rFonts w:ascii="Arial" w:hAnsi="Arial" w:cs="Arial"/>
          <w:color w:val="800080"/>
          <w:sz w:val="15"/>
          <w:szCs w:val="15"/>
        </w:rPr>
        <w:t>----- Forwarded by Spencer Clark/DC/USEPA/US on 12/11/2012 08:10 AM -----</w:t>
      </w:r>
      <w:r>
        <w:br/>
      </w:r>
      <w:r>
        <w:br/>
      </w:r>
      <w:r>
        <w:rPr>
          <w:rFonts w:ascii="Arial" w:hAnsi="Arial" w:cs="Arial"/>
          <w:color w:val="5F5F5F"/>
          <w:sz w:val="15"/>
          <w:szCs w:val="15"/>
        </w:rPr>
        <w:t xml:space="preserve">From: </w:t>
      </w:r>
      <w:r>
        <w:rPr>
          <w:rFonts w:ascii="Arial" w:hAnsi="Arial" w:cs="Arial"/>
          <w:sz w:val="15"/>
          <w:szCs w:val="15"/>
        </w:rPr>
        <w:t xml:space="preserve">Amelia </w:t>
      </w:r>
      <w:proofErr w:type="spellStart"/>
      <w:r>
        <w:rPr>
          <w:rFonts w:ascii="Arial" w:hAnsi="Arial" w:cs="Arial"/>
          <w:sz w:val="15"/>
          <w:szCs w:val="15"/>
        </w:rPr>
        <w:t>Letnes</w:t>
      </w:r>
      <w:proofErr w:type="spellEnd"/>
      <w:r>
        <w:rPr>
          <w:rFonts w:ascii="Arial" w:hAnsi="Arial" w:cs="Arial"/>
          <w:sz w:val="15"/>
          <w:szCs w:val="15"/>
        </w:rPr>
        <w:t>/DC/USEPA/US</w:t>
      </w:r>
      <w:r>
        <w:br/>
      </w:r>
      <w:r>
        <w:rPr>
          <w:rFonts w:ascii="Arial" w:hAnsi="Arial" w:cs="Arial"/>
          <w:color w:val="5F5F5F"/>
          <w:sz w:val="15"/>
          <w:szCs w:val="15"/>
        </w:rPr>
        <w:t xml:space="preserve">To: </w:t>
      </w:r>
      <w:r>
        <w:rPr>
          <w:rFonts w:ascii="Arial" w:hAnsi="Arial" w:cs="Arial"/>
          <w:sz w:val="15"/>
          <w:szCs w:val="15"/>
        </w:rPr>
        <w:t>Spencer Clark/DC/USEPA/US@EPA</w:t>
      </w:r>
      <w:r>
        <w:br/>
      </w:r>
      <w:r>
        <w:rPr>
          <w:rFonts w:ascii="Arial" w:hAnsi="Arial" w:cs="Arial"/>
          <w:color w:val="5F5F5F"/>
          <w:sz w:val="15"/>
          <w:szCs w:val="15"/>
        </w:rPr>
        <w:t xml:space="preserve">Date: </w:t>
      </w:r>
      <w:r>
        <w:rPr>
          <w:rFonts w:ascii="Arial" w:hAnsi="Arial" w:cs="Arial"/>
          <w:sz w:val="15"/>
          <w:szCs w:val="15"/>
        </w:rPr>
        <w:t>12/11/2012 08:05 AM</w:t>
      </w:r>
      <w:r>
        <w:br/>
      </w:r>
      <w:r>
        <w:rPr>
          <w:rFonts w:ascii="Arial" w:hAnsi="Arial" w:cs="Arial"/>
          <w:color w:val="5F5F5F"/>
          <w:sz w:val="15"/>
          <w:szCs w:val="15"/>
        </w:rPr>
        <w:t xml:space="preserve">Subject: </w:t>
      </w:r>
      <w:proofErr w:type="spellStart"/>
      <w:r>
        <w:rPr>
          <w:rFonts w:ascii="Arial" w:hAnsi="Arial" w:cs="Arial"/>
          <w:sz w:val="15"/>
          <w:szCs w:val="15"/>
        </w:rPr>
        <w:t>Fw</w:t>
      </w:r>
      <w:proofErr w:type="spellEnd"/>
      <w:r>
        <w:rPr>
          <w:rFonts w:ascii="Arial" w:hAnsi="Arial" w:cs="Arial"/>
          <w:sz w:val="15"/>
          <w:szCs w:val="15"/>
        </w:rPr>
        <w:t>: ICR 2040-0004 NPDES Program Renewal</w:t>
      </w:r>
    </w:p>
    <w:p w:rsidR="00C531EA" w:rsidRDefault="00C531EA" w:rsidP="00C531EA">
      <w:pPr>
        <w:rPr>
          <w:rFonts w:eastAsia="Times New Roman"/>
        </w:rPr>
      </w:pPr>
      <w:r>
        <w:rPr>
          <w:rFonts w:eastAsia="Times New Roman"/>
        </w:rPr>
        <w:pict>
          <v:rect id="_x0000_i1025" style="width:77.65pt;height:1.5pt" o:hrstd="t" o:hrnoshade="t" o:hr="t" fillcolor="#8091a5" stroked="f"/>
        </w:pict>
      </w:r>
    </w:p>
    <w:p w:rsidR="00C531EA" w:rsidRDefault="00C531EA" w:rsidP="00C531EA">
      <w:pPr>
        <w:rPr>
          <w:rFonts w:eastAsia="Times New Roman"/>
        </w:rPr>
      </w:pPr>
      <w:r>
        <w:rPr>
          <w:rFonts w:eastAsia="Times New Roman"/>
        </w:rPr>
        <w:br/>
      </w:r>
      <w:r>
        <w:rPr>
          <w:rFonts w:eastAsia="Times New Roman"/>
        </w:rPr>
        <w:br/>
      </w:r>
      <w:r>
        <w:rPr>
          <w:rFonts w:ascii="Arial" w:eastAsia="Times New Roman" w:hAnsi="Arial" w:cs="Arial"/>
          <w:sz w:val="20"/>
          <w:szCs w:val="20"/>
        </w:rPr>
        <w:t xml:space="preserve">Here is the response from our contractor on how the calculations were done. He also included the chart that Jim requested. </w:t>
      </w:r>
      <w:r>
        <w:rPr>
          <w:rFonts w:eastAsia="Times New Roman"/>
        </w:rPr>
        <w:br/>
      </w:r>
      <w:r>
        <w:rPr>
          <w:rFonts w:eastAsia="Times New Roman"/>
        </w:rPr>
        <w:br/>
      </w:r>
      <w:r>
        <w:rPr>
          <w:rFonts w:ascii="Arial" w:eastAsia="Times New Roman" w:hAnsi="Arial" w:cs="Arial"/>
          <w:sz w:val="20"/>
          <w:szCs w:val="20"/>
        </w:rPr>
        <w:t xml:space="preserve">Amelia </w:t>
      </w:r>
      <w:proofErr w:type="spellStart"/>
      <w:r>
        <w:rPr>
          <w:rFonts w:ascii="Arial" w:eastAsia="Times New Roman" w:hAnsi="Arial" w:cs="Arial"/>
          <w:sz w:val="20"/>
          <w:szCs w:val="20"/>
        </w:rPr>
        <w:t>Letnes</w:t>
      </w:r>
      <w:proofErr w:type="spellEnd"/>
      <w:r>
        <w:rPr>
          <w:rFonts w:ascii="Arial" w:eastAsia="Times New Roman" w:hAnsi="Arial" w:cs="Arial"/>
          <w:sz w:val="20"/>
          <w:szCs w:val="20"/>
        </w:rPr>
        <w:br/>
        <w:t>State and Regional Branch, Water Permits Division, OWM</w:t>
      </w:r>
      <w:r>
        <w:rPr>
          <w:rFonts w:ascii="Arial" w:eastAsia="Times New Roman" w:hAnsi="Arial" w:cs="Arial"/>
          <w:sz w:val="20"/>
          <w:szCs w:val="20"/>
        </w:rPr>
        <w:br/>
        <w:t xml:space="preserve">Mail Code: </w:t>
      </w:r>
      <w:proofErr w:type="gramStart"/>
      <w:r>
        <w:rPr>
          <w:rFonts w:ascii="Arial" w:eastAsia="Times New Roman" w:hAnsi="Arial" w:cs="Arial"/>
          <w:sz w:val="20"/>
          <w:szCs w:val="20"/>
        </w:rPr>
        <w:t>4203M</w:t>
      </w:r>
      <w:proofErr w:type="gramEnd"/>
      <w:r>
        <w:rPr>
          <w:rFonts w:ascii="Arial" w:eastAsia="Times New Roman" w:hAnsi="Arial" w:cs="Arial"/>
          <w:sz w:val="20"/>
          <w:szCs w:val="20"/>
        </w:rPr>
        <w:br/>
        <w:t>(202) 564-5627</w:t>
      </w:r>
      <w:r>
        <w:rPr>
          <w:rFonts w:eastAsia="Times New Roman"/>
        </w:rPr>
        <w:br/>
      </w:r>
      <w:r>
        <w:rPr>
          <w:rFonts w:ascii="Arial" w:eastAsia="Times New Roman" w:hAnsi="Arial" w:cs="Arial"/>
          <w:color w:val="800080"/>
          <w:sz w:val="15"/>
          <w:szCs w:val="15"/>
        </w:rPr>
        <w:t xml:space="preserve">----- Forwarded by Amelia </w:t>
      </w:r>
      <w:proofErr w:type="spellStart"/>
      <w:r>
        <w:rPr>
          <w:rFonts w:ascii="Arial" w:eastAsia="Times New Roman" w:hAnsi="Arial" w:cs="Arial"/>
          <w:color w:val="800080"/>
          <w:sz w:val="15"/>
          <w:szCs w:val="15"/>
        </w:rPr>
        <w:t>Letnes</w:t>
      </w:r>
      <w:proofErr w:type="spellEnd"/>
      <w:r>
        <w:rPr>
          <w:rFonts w:ascii="Arial" w:eastAsia="Times New Roman" w:hAnsi="Arial" w:cs="Arial"/>
          <w:color w:val="800080"/>
          <w:sz w:val="15"/>
          <w:szCs w:val="15"/>
        </w:rPr>
        <w:t>/DC/USEPA/US on 12/11/2012 08:04 AM -----</w:t>
      </w:r>
      <w:r>
        <w:rPr>
          <w:rFonts w:eastAsia="Times New Roman"/>
        </w:rPr>
        <w:br/>
      </w:r>
      <w:r>
        <w:rPr>
          <w:rFonts w:eastAsia="Times New Roman"/>
        </w:rPr>
        <w:br/>
      </w:r>
      <w:r>
        <w:rPr>
          <w:rFonts w:ascii="Arial" w:eastAsia="Times New Roman" w:hAnsi="Arial" w:cs="Arial"/>
          <w:color w:val="5F5F5F"/>
          <w:sz w:val="15"/>
          <w:szCs w:val="15"/>
        </w:rPr>
        <w:t xml:space="preserve">From: </w:t>
      </w:r>
      <w:r>
        <w:rPr>
          <w:rFonts w:ascii="Arial" w:eastAsia="Times New Roman" w:hAnsi="Arial" w:cs="Arial"/>
          <w:sz w:val="15"/>
          <w:szCs w:val="15"/>
        </w:rPr>
        <w:t>"Escobar, Alejandro" &lt;</w:t>
      </w:r>
      <w:hyperlink r:id="rId6" w:history="1">
        <w:r>
          <w:rPr>
            <w:rStyle w:val="Hyperlink"/>
            <w:rFonts w:ascii="Arial" w:eastAsia="Times New Roman" w:hAnsi="Arial" w:cs="Arial"/>
            <w:sz w:val="15"/>
            <w:szCs w:val="15"/>
          </w:rPr>
          <w:t>Alejandro.Escobar@tetratech.com</w:t>
        </w:r>
      </w:hyperlink>
      <w:r>
        <w:rPr>
          <w:rFonts w:ascii="Arial" w:eastAsia="Times New Roman" w:hAnsi="Arial" w:cs="Arial"/>
          <w:sz w:val="15"/>
          <w:szCs w:val="15"/>
        </w:rPr>
        <w:t>&gt;</w:t>
      </w:r>
      <w:r>
        <w:rPr>
          <w:rFonts w:eastAsia="Times New Roman"/>
        </w:rPr>
        <w:br/>
      </w:r>
      <w:r>
        <w:rPr>
          <w:rFonts w:ascii="Arial" w:eastAsia="Times New Roman" w:hAnsi="Arial" w:cs="Arial"/>
          <w:color w:val="5F5F5F"/>
          <w:sz w:val="15"/>
          <w:szCs w:val="15"/>
        </w:rPr>
        <w:t xml:space="preserve">To: </w:t>
      </w:r>
      <w:r>
        <w:rPr>
          <w:rFonts w:ascii="Arial" w:eastAsia="Times New Roman" w:hAnsi="Arial" w:cs="Arial"/>
          <w:sz w:val="15"/>
          <w:szCs w:val="15"/>
        </w:rPr>
        <w:t xml:space="preserve">Amelia </w:t>
      </w:r>
      <w:proofErr w:type="spellStart"/>
      <w:r>
        <w:rPr>
          <w:rFonts w:ascii="Arial" w:eastAsia="Times New Roman" w:hAnsi="Arial" w:cs="Arial"/>
          <w:sz w:val="15"/>
          <w:szCs w:val="15"/>
        </w:rPr>
        <w:t>Letnes</w:t>
      </w:r>
      <w:proofErr w:type="spellEnd"/>
      <w:r>
        <w:rPr>
          <w:rFonts w:ascii="Arial" w:eastAsia="Times New Roman" w:hAnsi="Arial" w:cs="Arial"/>
          <w:sz w:val="15"/>
          <w:szCs w:val="15"/>
        </w:rPr>
        <w:t>/DC/USEPA/US@EPA</w:t>
      </w:r>
      <w:r>
        <w:rPr>
          <w:rFonts w:eastAsia="Times New Roman"/>
        </w:rPr>
        <w:br/>
      </w:r>
      <w:r>
        <w:rPr>
          <w:rFonts w:ascii="Arial" w:eastAsia="Times New Roman" w:hAnsi="Arial" w:cs="Arial"/>
          <w:color w:val="5F5F5F"/>
          <w:sz w:val="15"/>
          <w:szCs w:val="15"/>
        </w:rPr>
        <w:t xml:space="preserve">Date: </w:t>
      </w:r>
      <w:r>
        <w:rPr>
          <w:rFonts w:ascii="Arial" w:eastAsia="Times New Roman" w:hAnsi="Arial" w:cs="Arial"/>
          <w:sz w:val="15"/>
          <w:szCs w:val="15"/>
        </w:rPr>
        <w:t>12/10/2012 09:45 PM</w:t>
      </w:r>
      <w:r>
        <w:rPr>
          <w:rFonts w:eastAsia="Times New Roman"/>
        </w:rPr>
        <w:br/>
      </w:r>
      <w:r>
        <w:rPr>
          <w:rFonts w:ascii="Arial" w:eastAsia="Times New Roman" w:hAnsi="Arial" w:cs="Arial"/>
          <w:color w:val="5F5F5F"/>
          <w:sz w:val="15"/>
          <w:szCs w:val="15"/>
        </w:rPr>
        <w:t xml:space="preserve">Subject: </w:t>
      </w:r>
      <w:r>
        <w:rPr>
          <w:rFonts w:ascii="Arial" w:eastAsia="Times New Roman" w:hAnsi="Arial" w:cs="Arial"/>
          <w:sz w:val="15"/>
          <w:szCs w:val="15"/>
        </w:rPr>
        <w:t>RE: ICR 2040-0004 NPDES Program Renewal</w:t>
      </w:r>
    </w:p>
    <w:p w:rsidR="00C531EA" w:rsidRDefault="00C531EA" w:rsidP="00C531EA">
      <w:pPr>
        <w:rPr>
          <w:rFonts w:eastAsia="Times New Roman"/>
        </w:rPr>
      </w:pPr>
      <w:r>
        <w:rPr>
          <w:rFonts w:eastAsia="Times New Roman"/>
        </w:rPr>
        <w:pict>
          <v:rect id="_x0000_i1026" style="width:77.65pt;height:1.5pt" o:hrstd="t" o:hrnoshade="t" o:hr="t" fillcolor="#8091a5" stroked="f"/>
        </w:pict>
      </w:r>
    </w:p>
    <w:p w:rsidR="00C531EA" w:rsidRDefault="00C531EA" w:rsidP="00C531EA">
      <w:pPr>
        <w:outlineLvl w:val="0"/>
        <w:rPr>
          <w:rFonts w:eastAsia="Times New Roman"/>
        </w:rPr>
      </w:pPr>
      <w:r>
        <w:rPr>
          <w:rFonts w:eastAsia="Times New Roman"/>
        </w:rPr>
        <w:br/>
      </w:r>
      <w:r>
        <w:rPr>
          <w:rFonts w:eastAsia="Times New Roman"/>
        </w:rPr>
        <w:br/>
      </w:r>
      <w:r>
        <w:rPr>
          <w:rFonts w:eastAsia="Times New Roman"/>
        </w:rPr>
        <w:br/>
      </w:r>
      <w:r>
        <w:rPr>
          <w:rStyle w:val="HTMLTypewriter"/>
        </w:rPr>
        <w:t>Amelia</w:t>
      </w:r>
      <w:proofErr w:type="gramStart"/>
      <w:r>
        <w:rPr>
          <w:rStyle w:val="HTMLTypewriter"/>
        </w:rPr>
        <w:t>,</w:t>
      </w:r>
      <w:proofErr w:type="gramEnd"/>
      <w:r>
        <w:rPr>
          <w:rFonts w:ascii="Courier New" w:hAnsi="Courier New" w:cs="Courier New"/>
          <w:sz w:val="20"/>
          <w:szCs w:val="20"/>
        </w:rPr>
        <w:br/>
      </w:r>
      <w:r>
        <w:rPr>
          <w:rFonts w:ascii="Courier New" w:hAnsi="Courier New" w:cs="Courier New"/>
          <w:sz w:val="20"/>
          <w:szCs w:val="20"/>
        </w:rPr>
        <w:br/>
      </w:r>
      <w:r>
        <w:rPr>
          <w:rStyle w:val="HTMLTypewriter"/>
        </w:rPr>
        <w:t xml:space="preserve">I can see how this is confusing. There are two key things that explain the issue with the construction numbers, and Jim is absolutely on the </w:t>
      </w:r>
      <w:proofErr w:type="gramStart"/>
      <w:r>
        <w:rPr>
          <w:rStyle w:val="HTMLTypewriter"/>
        </w:rPr>
        <w:t>right track :</w:t>
      </w:r>
      <w:proofErr w:type="gramEnd"/>
      <w:r>
        <w:rPr>
          <w:rFonts w:ascii="Courier New" w:hAnsi="Courier New" w:cs="Courier New"/>
          <w:sz w:val="20"/>
          <w:szCs w:val="20"/>
        </w:rPr>
        <w:br/>
      </w:r>
      <w:r>
        <w:rPr>
          <w:rFonts w:ascii="Courier New" w:hAnsi="Courier New" w:cs="Courier New"/>
          <w:sz w:val="20"/>
          <w:szCs w:val="20"/>
        </w:rPr>
        <w:br/>
      </w:r>
      <w:r>
        <w:rPr>
          <w:rStyle w:val="HTMLTypewriter"/>
        </w:rPr>
        <w:t>1. There is a 65% decrease in the number of construction starts as Jim identified.</w:t>
      </w:r>
      <w:r>
        <w:rPr>
          <w:rFonts w:ascii="Courier New" w:hAnsi="Courier New" w:cs="Courier New"/>
          <w:sz w:val="20"/>
          <w:szCs w:val="20"/>
        </w:rPr>
        <w:br/>
      </w:r>
      <w:r>
        <w:rPr>
          <w:rStyle w:val="HTMLTypewriter"/>
        </w:rPr>
        <w:lastRenderedPageBreak/>
        <w:t xml:space="preserve">2. For this ICR we have actual numbers for construction sites split between small and large based on updated data, whereas last time we used a basic assumption that 63% of sites were large and 37% of sites were small. </w:t>
      </w:r>
      <w:r>
        <w:rPr>
          <w:rFonts w:ascii="Courier New" w:hAnsi="Courier New" w:cs="Courier New"/>
          <w:sz w:val="20"/>
          <w:szCs w:val="20"/>
        </w:rPr>
        <w:br/>
      </w:r>
      <w:r>
        <w:rPr>
          <w:rFonts w:ascii="Courier New" w:hAnsi="Courier New" w:cs="Courier New"/>
          <w:sz w:val="20"/>
          <w:szCs w:val="20"/>
        </w:rPr>
        <w:br/>
      </w:r>
      <w:r>
        <w:rPr>
          <w:rStyle w:val="HTMLTypewriter"/>
        </w:rPr>
        <w:t>So for large sites Jim is right that the line items associated with this decrease category have gone down by 75-80%. But for small sites the burden has only decrease by 47%. These two combined would show an approximate 65% reduction across the construction sector. We did not call attention to the small construction sites change because in Appendix D we were concerned with showing any change &gt;50% (which in hindsight was probably not very smart)</w:t>
      </w:r>
      <w:r>
        <w:rPr>
          <w:rFonts w:ascii="Courier New" w:hAnsi="Courier New" w:cs="Courier New"/>
          <w:sz w:val="20"/>
          <w:szCs w:val="20"/>
        </w:rPr>
        <w:br/>
      </w:r>
      <w:r>
        <w:rPr>
          <w:rFonts w:ascii="Courier New" w:hAnsi="Courier New" w:cs="Courier New"/>
          <w:sz w:val="20"/>
          <w:szCs w:val="20"/>
        </w:rPr>
        <w:br/>
      </w:r>
      <w:r>
        <w:rPr>
          <w:rStyle w:val="HTMLTypewriter"/>
        </w:rPr>
        <w:t>I have attached a table that show any decrease &gt;50K hours. It is only 22 line items from the ICR but they account for almost 9 million hours (8,978,701 hours).</w:t>
      </w:r>
      <w:r>
        <w:rPr>
          <w:rFonts w:ascii="Courier New" w:hAnsi="Courier New" w:cs="Courier New"/>
          <w:sz w:val="20"/>
          <w:szCs w:val="20"/>
        </w:rPr>
        <w:br/>
      </w:r>
      <w:r>
        <w:rPr>
          <w:rFonts w:ascii="Courier New" w:hAnsi="Courier New" w:cs="Courier New"/>
          <w:sz w:val="20"/>
          <w:szCs w:val="20"/>
        </w:rPr>
        <w:br/>
      </w:r>
      <w:r>
        <w:rPr>
          <w:rStyle w:val="HTMLTypewriter"/>
        </w:rPr>
        <w:t xml:space="preserve">I hope this helps clarify the issue. Please let me know if you need the data diced or sliced in a different way. </w:t>
      </w:r>
      <w:r>
        <w:rPr>
          <w:rFonts w:ascii="Courier New" w:hAnsi="Courier New" w:cs="Courier New"/>
          <w:sz w:val="20"/>
          <w:szCs w:val="20"/>
        </w:rPr>
        <w:br/>
      </w:r>
      <w:r>
        <w:rPr>
          <w:rFonts w:ascii="Courier New" w:hAnsi="Courier New" w:cs="Courier New"/>
          <w:sz w:val="20"/>
          <w:szCs w:val="20"/>
        </w:rPr>
        <w:br/>
      </w:r>
      <w:r>
        <w:rPr>
          <w:rStyle w:val="HTMLTypewriter"/>
        </w:rPr>
        <w:t>Alejandro</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roofErr w:type="spellStart"/>
      <w:r>
        <w:rPr>
          <w:rStyle w:val="HTMLTypewriter"/>
        </w:rPr>
        <w:t>Alejandro</w:t>
      </w:r>
      <w:proofErr w:type="spellEnd"/>
      <w:r>
        <w:rPr>
          <w:rStyle w:val="HTMLTypewriter"/>
        </w:rPr>
        <w:t xml:space="preserve"> Escobar | Environmental Engineer</w:t>
      </w:r>
      <w:r>
        <w:rPr>
          <w:rFonts w:ascii="Courier New" w:hAnsi="Courier New" w:cs="Courier New"/>
          <w:sz w:val="20"/>
          <w:szCs w:val="20"/>
        </w:rPr>
        <w:br/>
      </w:r>
      <w:r>
        <w:rPr>
          <w:rStyle w:val="HTMLTypewriter"/>
        </w:rPr>
        <w:t xml:space="preserve">Direct: 703.385.6000 x461 | Fax: 703.385.6007 | Skype: </w:t>
      </w:r>
      <w:proofErr w:type="spellStart"/>
      <w:r>
        <w:rPr>
          <w:rStyle w:val="HTMLTypewriter"/>
        </w:rPr>
        <w:t>alejandro_escobar</w:t>
      </w:r>
      <w:proofErr w:type="spellEnd"/>
      <w:r>
        <w:rPr>
          <w:rStyle w:val="HTMLTypewriter"/>
        </w:rPr>
        <w:t xml:space="preserve"> | Mobile New Zealand: ++64 021 08366202</w:t>
      </w:r>
      <w:r>
        <w:rPr>
          <w:rFonts w:ascii="Courier New" w:hAnsi="Courier New" w:cs="Courier New"/>
          <w:sz w:val="20"/>
          <w:szCs w:val="20"/>
        </w:rPr>
        <w:br/>
      </w:r>
      <w:hyperlink r:id="rId7" w:history="1">
        <w:r>
          <w:rPr>
            <w:rStyle w:val="Hyperlink"/>
            <w:rFonts w:ascii="Courier New" w:hAnsi="Courier New" w:cs="Courier New"/>
            <w:sz w:val="20"/>
            <w:szCs w:val="20"/>
          </w:rPr>
          <w:t>alejandro.escobar@tetratech.com</w:t>
        </w:r>
      </w:hyperlink>
      <w:r>
        <w:rPr>
          <w:rFonts w:ascii="Courier New" w:hAnsi="Courier New" w:cs="Courier New"/>
          <w:sz w:val="20"/>
          <w:szCs w:val="20"/>
        </w:rPr>
        <w:br/>
      </w:r>
      <w:r>
        <w:rPr>
          <w:rFonts w:ascii="Courier New" w:hAnsi="Courier New" w:cs="Courier New"/>
          <w:sz w:val="20"/>
          <w:szCs w:val="20"/>
        </w:rPr>
        <w:br/>
      </w:r>
      <w:r>
        <w:rPr>
          <w:rStyle w:val="HTMLTypewriter"/>
        </w:rPr>
        <w:t>Tetra Tech  |  Complex World, Clear Solutions</w:t>
      </w:r>
      <w:r>
        <w:rPr>
          <w:rFonts w:ascii="Courier New" w:hAnsi="Courier New" w:cs="Courier New"/>
          <w:sz w:val="20"/>
          <w:szCs w:val="20"/>
        </w:rPr>
        <w:br/>
      </w:r>
      <w:r>
        <w:rPr>
          <w:rStyle w:val="HTMLTypewriter"/>
        </w:rPr>
        <w:t xml:space="preserve">10306 Eaton Place, Suite 340 | Fairfax, VA 22030-2201 | </w:t>
      </w:r>
      <w:hyperlink r:id="rId8" w:history="1">
        <w:r>
          <w:rPr>
            <w:rStyle w:val="Hyperlink"/>
            <w:rFonts w:ascii="Courier New" w:hAnsi="Courier New" w:cs="Courier New"/>
            <w:sz w:val="20"/>
            <w:szCs w:val="20"/>
          </w:rPr>
          <w:t>www.tetratech.com</w:t>
        </w:r>
      </w:hyperlink>
      <w:r>
        <w:rPr>
          <w:rFonts w:ascii="Courier New" w:hAnsi="Courier New" w:cs="Courier New"/>
          <w:sz w:val="20"/>
          <w:szCs w:val="20"/>
        </w:rPr>
        <w:br/>
      </w:r>
      <w:r>
        <w:rPr>
          <w:rFonts w:ascii="Courier New" w:hAnsi="Courier New" w:cs="Courier New"/>
          <w:sz w:val="20"/>
          <w:szCs w:val="20"/>
        </w:rPr>
        <w:br/>
      </w:r>
      <w:r>
        <w:rPr>
          <w:rStyle w:val="HTMLTypewriter"/>
        </w:rPr>
        <w:t>PLEASE NOTE:  This message, including any attachments, may include privileged, confidential and/or inside information. Any distribution or use of this communication by anyone other than the intended recipient is strictly prohibited and may be unlawful. If you are not the intended recipient, please notify the sender by replying to this message and then delete it from your system.</w:t>
      </w:r>
      <w:r>
        <w:rPr>
          <w:rFonts w:ascii="Courier New" w:hAnsi="Courier New" w:cs="Courier New"/>
          <w:sz w:val="20"/>
          <w:szCs w:val="20"/>
        </w:rPr>
        <w:br/>
      </w:r>
      <w:r>
        <w:rPr>
          <w:rStyle w:val="HTMLTypewriter"/>
        </w:rPr>
        <w:sym w:font="Symbol" w:char="F050"/>
      </w:r>
      <w:r>
        <w:rPr>
          <w:rStyle w:val="HTMLTypewriter"/>
        </w:rPr>
        <w:t xml:space="preserve"> !!Think green, keep it on the screen!!</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Style w:val="HTMLTypewriter"/>
        </w:rPr>
        <w:t>-----Original Message-----</w:t>
      </w:r>
      <w:r>
        <w:rPr>
          <w:rFonts w:ascii="Courier New" w:hAnsi="Courier New" w:cs="Courier New"/>
          <w:sz w:val="20"/>
          <w:szCs w:val="20"/>
        </w:rPr>
        <w:br/>
      </w:r>
      <w:r>
        <w:rPr>
          <w:rStyle w:val="HTMLTypewriter"/>
        </w:rPr>
        <w:t xml:space="preserve">From: </w:t>
      </w:r>
      <w:hyperlink r:id="rId9" w:history="1">
        <w:r>
          <w:rPr>
            <w:rStyle w:val="Hyperlink"/>
            <w:rFonts w:ascii="Courier New" w:hAnsi="Courier New" w:cs="Courier New"/>
            <w:sz w:val="20"/>
            <w:szCs w:val="20"/>
          </w:rPr>
          <w:t>Letnes.Amelia@epamail.epa.gov</w:t>
        </w:r>
      </w:hyperlink>
      <w:r>
        <w:rPr>
          <w:rStyle w:val="HTMLTypewriter"/>
        </w:rPr>
        <w:t xml:space="preserve"> [</w:t>
      </w:r>
      <w:hyperlink r:id="rId10" w:history="1">
        <w:r>
          <w:rPr>
            <w:rStyle w:val="Hyperlink"/>
            <w:rFonts w:ascii="Courier New" w:hAnsi="Courier New" w:cs="Courier New"/>
            <w:sz w:val="20"/>
            <w:szCs w:val="20"/>
          </w:rPr>
          <w:t>mailto:Letnes.Amelia@epamail.epa.gov</w:t>
        </w:r>
      </w:hyperlink>
      <w:r>
        <w:rPr>
          <w:rStyle w:val="HTMLTypewriter"/>
        </w:rPr>
        <w:t xml:space="preserve">] </w:t>
      </w:r>
      <w:r>
        <w:rPr>
          <w:rFonts w:ascii="Courier New" w:hAnsi="Courier New" w:cs="Courier New"/>
          <w:sz w:val="20"/>
          <w:szCs w:val="20"/>
        </w:rPr>
        <w:br/>
      </w:r>
      <w:r>
        <w:rPr>
          <w:rStyle w:val="HTMLTypewriter"/>
        </w:rPr>
        <w:t>Sent: Tuesday, December 11, 2012 11:54 AM</w:t>
      </w:r>
      <w:r>
        <w:rPr>
          <w:rFonts w:ascii="Courier New" w:hAnsi="Courier New" w:cs="Courier New"/>
          <w:sz w:val="20"/>
          <w:szCs w:val="20"/>
        </w:rPr>
        <w:br/>
      </w:r>
      <w:r>
        <w:rPr>
          <w:rStyle w:val="HTMLTypewriter"/>
        </w:rPr>
        <w:t>To: Escobar, Alejandro</w:t>
      </w:r>
      <w:r>
        <w:rPr>
          <w:rFonts w:ascii="Courier New" w:hAnsi="Courier New" w:cs="Courier New"/>
          <w:sz w:val="20"/>
          <w:szCs w:val="20"/>
        </w:rPr>
        <w:br/>
      </w:r>
      <w:r>
        <w:rPr>
          <w:rStyle w:val="HTMLTypewriter"/>
        </w:rPr>
        <w:t xml:space="preserve">Subject: </w:t>
      </w:r>
      <w:proofErr w:type="spellStart"/>
      <w:r>
        <w:rPr>
          <w:rStyle w:val="HTMLTypewriter"/>
        </w:rPr>
        <w:t>Fw</w:t>
      </w:r>
      <w:proofErr w:type="spellEnd"/>
      <w:r>
        <w:rPr>
          <w:rStyle w:val="HTMLTypewriter"/>
        </w:rPr>
        <w:t>: ICR 2040-0004 NPDES Program Renewal</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Style w:val="HTMLTypewriter"/>
        </w:rPr>
        <w:t>Apparently Jim is back. Can you take a look at this?</w:t>
      </w:r>
      <w:r>
        <w:rPr>
          <w:rFonts w:ascii="Courier New" w:hAnsi="Courier New" w:cs="Courier New"/>
          <w:sz w:val="20"/>
          <w:szCs w:val="20"/>
        </w:rPr>
        <w:br/>
      </w:r>
      <w:r>
        <w:rPr>
          <w:rFonts w:ascii="Courier New" w:hAnsi="Courier New" w:cs="Courier New"/>
          <w:sz w:val="20"/>
          <w:szCs w:val="20"/>
        </w:rPr>
        <w:br/>
      </w:r>
      <w:r>
        <w:rPr>
          <w:rStyle w:val="HTMLTypewriter"/>
        </w:rPr>
        <w:t xml:space="preserve">Amelia </w:t>
      </w:r>
      <w:proofErr w:type="spellStart"/>
      <w:r>
        <w:rPr>
          <w:rStyle w:val="HTMLTypewriter"/>
        </w:rPr>
        <w:t>Letnes</w:t>
      </w:r>
      <w:proofErr w:type="spellEnd"/>
      <w:r>
        <w:rPr>
          <w:rFonts w:ascii="Courier New" w:hAnsi="Courier New" w:cs="Courier New"/>
          <w:sz w:val="20"/>
          <w:szCs w:val="20"/>
        </w:rPr>
        <w:br/>
      </w:r>
      <w:r>
        <w:rPr>
          <w:rStyle w:val="HTMLTypewriter"/>
        </w:rPr>
        <w:lastRenderedPageBreak/>
        <w:t>State and Regional Branch, Water Permits Division, OWM Mail Code: 4203M</w:t>
      </w:r>
      <w:r>
        <w:rPr>
          <w:rFonts w:ascii="Courier New" w:hAnsi="Courier New" w:cs="Courier New"/>
          <w:sz w:val="20"/>
          <w:szCs w:val="20"/>
        </w:rPr>
        <w:br/>
      </w:r>
      <w:r>
        <w:rPr>
          <w:rStyle w:val="HTMLTypewriter"/>
        </w:rPr>
        <w:t xml:space="preserve">(202) 564-5627 </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Style w:val="HTMLTypewriter"/>
        </w:rPr>
        <w:t xml:space="preserve">-----Forwarded by Amelia </w:t>
      </w:r>
      <w:proofErr w:type="spellStart"/>
      <w:r>
        <w:rPr>
          <w:rStyle w:val="HTMLTypewriter"/>
        </w:rPr>
        <w:t>Letnes</w:t>
      </w:r>
      <w:proofErr w:type="spellEnd"/>
      <w:r>
        <w:rPr>
          <w:rStyle w:val="HTMLTypewriter"/>
        </w:rPr>
        <w:t>/DC/USEPA/US on 12/10/2012 05:52PM -----</w:t>
      </w:r>
      <w:r>
        <w:rPr>
          <w:rFonts w:ascii="Courier New" w:hAnsi="Courier New" w:cs="Courier New"/>
          <w:sz w:val="20"/>
          <w:szCs w:val="20"/>
        </w:rPr>
        <w:br/>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 xml:space="preserve">To: Amelia </w:t>
      </w:r>
      <w:proofErr w:type="spellStart"/>
      <w:r>
        <w:rPr>
          <w:rStyle w:val="HTMLTypewriter"/>
        </w:rPr>
        <w:t>Letnes</w:t>
      </w:r>
      <w:proofErr w:type="spellEnd"/>
      <w:r>
        <w:rPr>
          <w:rStyle w:val="HTMLTypewriter"/>
        </w:rPr>
        <w:t>/DC/USEPA/US@EPA</w:t>
      </w:r>
      <w:r>
        <w:rPr>
          <w:rFonts w:ascii="Courier New" w:hAnsi="Courier New" w:cs="Courier New"/>
          <w:sz w:val="20"/>
          <w:szCs w:val="20"/>
        </w:rPr>
        <w:br/>
      </w:r>
      <w:r>
        <w:rPr>
          <w:rStyle w:val="HTMLTypewriter"/>
        </w:rPr>
        <w:t>From: Spencer Clark/DC/USEPA/US@EPA</w:t>
      </w:r>
      <w:r>
        <w:rPr>
          <w:rFonts w:ascii="Courier New" w:hAnsi="Courier New" w:cs="Courier New"/>
          <w:sz w:val="20"/>
          <w:szCs w:val="20"/>
        </w:rPr>
        <w:br/>
      </w:r>
      <w:r>
        <w:rPr>
          <w:rStyle w:val="HTMLTypewriter"/>
        </w:rPr>
        <w:t>Date: 12/10/2012 04:42PM</w:t>
      </w:r>
      <w:r>
        <w:rPr>
          <w:rFonts w:ascii="Courier New" w:hAnsi="Courier New" w:cs="Courier New"/>
          <w:sz w:val="20"/>
          <w:szCs w:val="20"/>
        </w:rPr>
        <w:br/>
      </w:r>
      <w:r>
        <w:rPr>
          <w:rStyle w:val="HTMLTypewriter"/>
        </w:rPr>
        <w:t xml:space="preserve">Cc: Katherine </w:t>
      </w:r>
      <w:proofErr w:type="spellStart"/>
      <w:r>
        <w:rPr>
          <w:rStyle w:val="HTMLTypewriter"/>
        </w:rPr>
        <w:t>Telleen</w:t>
      </w:r>
      <w:proofErr w:type="spellEnd"/>
      <w:r>
        <w:rPr>
          <w:rStyle w:val="HTMLTypewriter"/>
        </w:rPr>
        <w:t>/DC/USEPA/US@EPA</w:t>
      </w:r>
      <w:r>
        <w:rPr>
          <w:rFonts w:ascii="Courier New" w:hAnsi="Courier New" w:cs="Courier New"/>
          <w:sz w:val="20"/>
          <w:szCs w:val="20"/>
        </w:rPr>
        <w:br/>
      </w:r>
      <w:r>
        <w:rPr>
          <w:rStyle w:val="HTMLTypewriter"/>
        </w:rPr>
        <w:t xml:space="preserve">Subject: </w:t>
      </w:r>
      <w:proofErr w:type="spellStart"/>
      <w:r>
        <w:rPr>
          <w:rStyle w:val="HTMLTypewriter"/>
        </w:rPr>
        <w:t>Fw</w:t>
      </w:r>
      <w:proofErr w:type="spellEnd"/>
      <w:r>
        <w:rPr>
          <w:rStyle w:val="HTMLTypewriter"/>
        </w:rPr>
        <w:t>: ICR 2040-0004 NPDES Program Renewal =======================</w:t>
      </w:r>
      <w:r>
        <w:rPr>
          <w:rFonts w:ascii="Courier New" w:hAnsi="Courier New" w:cs="Courier New"/>
          <w:sz w:val="20"/>
          <w:szCs w:val="20"/>
        </w:rPr>
        <w:br/>
      </w:r>
      <w:r>
        <w:rPr>
          <w:rStyle w:val="HTMLTypewriter"/>
        </w:rPr>
        <w:t>Hi Amelia,</w:t>
      </w:r>
      <w:r>
        <w:rPr>
          <w:rFonts w:ascii="Courier New" w:hAnsi="Courier New" w:cs="Courier New"/>
          <w:sz w:val="20"/>
          <w:szCs w:val="20"/>
        </w:rPr>
        <w:br/>
      </w:r>
      <w:r>
        <w:rPr>
          <w:rFonts w:ascii="Courier New" w:hAnsi="Courier New" w:cs="Courier New"/>
          <w:sz w:val="20"/>
          <w:szCs w:val="20"/>
        </w:rPr>
        <w:br/>
      </w:r>
      <w:r>
        <w:rPr>
          <w:rStyle w:val="HTMLTypewriter"/>
        </w:rPr>
        <w:t xml:space="preserve">I just got this question from Jim Laity, who's looking over ICR 229. Could you please look at this and provide a response in the next day or two? </w:t>
      </w:r>
      <w:r>
        <w:rPr>
          <w:rFonts w:ascii="Courier New" w:hAnsi="Courier New" w:cs="Courier New"/>
          <w:sz w:val="20"/>
          <w:szCs w:val="20"/>
        </w:rPr>
        <w:br/>
      </w:r>
      <w:r>
        <w:rPr>
          <w:rFonts w:ascii="Courier New" w:hAnsi="Courier New" w:cs="Courier New"/>
          <w:sz w:val="20"/>
          <w:szCs w:val="20"/>
        </w:rPr>
        <w:br/>
      </w:r>
      <w:r>
        <w:rPr>
          <w:rStyle w:val="HTMLTypewriter"/>
        </w:rPr>
        <w:t>Thanks,</w:t>
      </w:r>
      <w:r>
        <w:rPr>
          <w:rFonts w:ascii="Courier New" w:hAnsi="Courier New" w:cs="Courier New"/>
          <w:sz w:val="20"/>
          <w:szCs w:val="20"/>
        </w:rPr>
        <w:br/>
      </w:r>
      <w:r>
        <w:rPr>
          <w:rFonts w:ascii="Courier New" w:hAnsi="Courier New" w:cs="Courier New"/>
          <w:sz w:val="20"/>
          <w:szCs w:val="20"/>
        </w:rPr>
        <w:br/>
      </w:r>
      <w:r>
        <w:rPr>
          <w:rStyle w:val="HTMLTypewriter"/>
        </w:rPr>
        <w:t>Spencer W. Clark</w:t>
      </w:r>
      <w:r>
        <w:rPr>
          <w:rFonts w:ascii="Courier New" w:hAnsi="Courier New" w:cs="Courier New"/>
          <w:sz w:val="20"/>
          <w:szCs w:val="20"/>
        </w:rPr>
        <w:br/>
      </w:r>
      <w:r>
        <w:rPr>
          <w:rStyle w:val="HTMLTypewriter"/>
        </w:rPr>
        <w:t>Office of Environmental Information</w:t>
      </w:r>
      <w:r>
        <w:rPr>
          <w:rFonts w:ascii="Courier New" w:hAnsi="Courier New" w:cs="Courier New"/>
          <w:sz w:val="20"/>
          <w:szCs w:val="20"/>
        </w:rPr>
        <w:br/>
      </w:r>
      <w:r>
        <w:rPr>
          <w:rStyle w:val="HTMLTypewriter"/>
        </w:rPr>
        <w:t>U.S. Environmental Protection Ag</w:t>
      </w:r>
      <w:bookmarkStart w:id="0" w:name="_GoBack"/>
      <w:bookmarkEnd w:id="0"/>
      <w:r>
        <w:rPr>
          <w:rStyle w:val="HTMLTypewriter"/>
        </w:rPr>
        <w:t>ency</w:t>
      </w:r>
      <w:r>
        <w:rPr>
          <w:rFonts w:ascii="Courier New" w:hAnsi="Courier New" w:cs="Courier New"/>
          <w:sz w:val="20"/>
          <w:szCs w:val="20"/>
        </w:rPr>
        <w:br/>
      </w:r>
      <w:r>
        <w:rPr>
          <w:rStyle w:val="HTMLTypewriter"/>
        </w:rPr>
        <w:t>EPA West 6416X, (202) 566-0729</w:t>
      </w:r>
      <w:r>
        <w:rPr>
          <w:rFonts w:ascii="Courier New" w:hAnsi="Courier New" w:cs="Courier New"/>
          <w:sz w:val="20"/>
          <w:szCs w:val="20"/>
        </w:rPr>
        <w:br/>
      </w:r>
      <w:r>
        <w:rPr>
          <w:rFonts w:ascii="Courier New" w:hAnsi="Courier New" w:cs="Courier New"/>
          <w:sz w:val="20"/>
          <w:szCs w:val="20"/>
        </w:rPr>
        <w:br/>
      </w:r>
      <w:r>
        <w:rPr>
          <w:rStyle w:val="HTMLTypewriter"/>
        </w:rPr>
        <w:t>-----Forwarded by Spencer Clark/DC/USEPA/US on 12/10/2012 04:41PM -----</w:t>
      </w:r>
      <w:r>
        <w:rPr>
          <w:rFonts w:ascii="Courier New" w:hAnsi="Courier New" w:cs="Courier New"/>
          <w:sz w:val="20"/>
          <w:szCs w:val="20"/>
        </w:rPr>
        <w:br/>
      </w:r>
      <w:r>
        <w:rPr>
          <w:rStyle w:val="HTMLTypewriter"/>
        </w:rPr>
        <w:t>To: Spencer Clark/DC/USEPA/US@EPA</w:t>
      </w:r>
      <w:r>
        <w:rPr>
          <w:rFonts w:ascii="Courier New" w:hAnsi="Courier New" w:cs="Courier New"/>
          <w:sz w:val="20"/>
          <w:szCs w:val="20"/>
        </w:rPr>
        <w:br/>
      </w:r>
      <w:r>
        <w:rPr>
          <w:rStyle w:val="HTMLTypewriter"/>
        </w:rPr>
        <w:t>From: "Laity, Jim" &lt;</w:t>
      </w:r>
      <w:hyperlink r:id="rId11" w:history="1">
        <w:r>
          <w:rPr>
            <w:rStyle w:val="Hyperlink"/>
            <w:rFonts w:ascii="Courier New" w:hAnsi="Courier New" w:cs="Courier New"/>
            <w:sz w:val="20"/>
            <w:szCs w:val="20"/>
          </w:rPr>
          <w:t>James_A._Laity@omb.eop.gov</w:t>
        </w:r>
      </w:hyperlink>
      <w:r>
        <w:rPr>
          <w:rStyle w:val="HTMLTypewriter"/>
        </w:rPr>
        <w:t>&gt;</w:t>
      </w:r>
      <w:r>
        <w:rPr>
          <w:rFonts w:ascii="Courier New" w:hAnsi="Courier New" w:cs="Courier New"/>
          <w:sz w:val="20"/>
          <w:szCs w:val="20"/>
        </w:rPr>
        <w:br/>
      </w:r>
      <w:r>
        <w:rPr>
          <w:rStyle w:val="HTMLTypewriter"/>
        </w:rPr>
        <w:t>Date: 12/10/2012 04:25PM</w:t>
      </w:r>
      <w:r>
        <w:rPr>
          <w:rFonts w:ascii="Courier New" w:hAnsi="Courier New" w:cs="Courier New"/>
          <w:sz w:val="20"/>
          <w:szCs w:val="20"/>
        </w:rPr>
        <w:br/>
      </w:r>
      <w:r>
        <w:rPr>
          <w:rStyle w:val="HTMLTypewriter"/>
        </w:rPr>
        <w:t xml:space="preserve">Cc: Rick </w:t>
      </w:r>
      <w:proofErr w:type="spellStart"/>
      <w:r>
        <w:rPr>
          <w:rStyle w:val="HTMLTypewriter"/>
        </w:rPr>
        <w:t>Westlund</w:t>
      </w:r>
      <w:proofErr w:type="spellEnd"/>
      <w:r>
        <w:rPr>
          <w:rStyle w:val="HTMLTypewriter"/>
        </w:rPr>
        <w:t>/DC/USEPA/US@EPA</w:t>
      </w:r>
      <w:r>
        <w:rPr>
          <w:rFonts w:ascii="Courier New" w:hAnsi="Courier New" w:cs="Courier New"/>
          <w:sz w:val="20"/>
          <w:szCs w:val="20"/>
        </w:rPr>
        <w:br/>
      </w:r>
      <w:r>
        <w:rPr>
          <w:rStyle w:val="HTMLTypewriter"/>
        </w:rPr>
        <w:t>Subject: ICR 2040-0004 NPDES Program Renewal</w:t>
      </w:r>
      <w:r>
        <w:rPr>
          <w:rFonts w:ascii="Courier New" w:hAnsi="Courier New" w:cs="Courier New"/>
          <w:sz w:val="20"/>
          <w:szCs w:val="20"/>
        </w:rPr>
        <w:br/>
      </w:r>
      <w:r>
        <w:rPr>
          <w:rFonts w:ascii="Courier New" w:hAnsi="Courier New" w:cs="Courier New"/>
          <w:sz w:val="20"/>
          <w:szCs w:val="20"/>
        </w:rPr>
        <w:br/>
      </w:r>
      <w:r>
        <w:rPr>
          <w:rStyle w:val="HTMLTypewriter"/>
        </w:rPr>
        <w:t>Spencer: Projected burden decreases by 9.6 million hours, almost all of it for revised estimates. This is based primarily on a changed estimate of new construction starts each year, from 243,076 to 84,472 sites, which accounts for 8.0 million hours, or about 84% of the total burden change. This is a 65% decrease in this general category. However, the main burden line items associated with this decrease category have gone down by 75-80%. Please provide an explanation.&lt;?</w:t>
      </w:r>
      <w:proofErr w:type="spellStart"/>
      <w:r>
        <w:rPr>
          <w:rStyle w:val="HTMLTypewriter"/>
        </w:rPr>
        <w:t>xml:namespace</w:t>
      </w:r>
      <w:proofErr w:type="spellEnd"/>
      <w:r>
        <w:rPr>
          <w:rStyle w:val="HTMLTypewriter"/>
        </w:rPr>
        <w:t xml:space="preserve"> prefix = o ns = "</w:t>
      </w:r>
      <w:proofErr w:type="spellStart"/>
      <w:r>
        <w:rPr>
          <w:rStyle w:val="HTMLTypewriter"/>
        </w:rPr>
        <w:t>urn:schemas-microsoft-com:office:office</w:t>
      </w:r>
      <w:proofErr w:type="spellEnd"/>
      <w:r>
        <w:rPr>
          <w:rStyle w:val="HTMLTypewriter"/>
        </w:rPr>
        <w:t>" /&gt;</w:t>
      </w:r>
      <w:r>
        <w:rPr>
          <w:rFonts w:ascii="Courier New" w:hAnsi="Courier New" w:cs="Courier New"/>
          <w:sz w:val="20"/>
          <w:szCs w:val="20"/>
        </w:rPr>
        <w:br/>
      </w:r>
      <w:r>
        <w:rPr>
          <w:rFonts w:ascii="Courier New" w:hAnsi="Courier New" w:cs="Courier New"/>
          <w:sz w:val="20"/>
          <w:szCs w:val="20"/>
        </w:rPr>
        <w:br/>
      </w:r>
      <w:r>
        <w:rPr>
          <w:rStyle w:val="HTMLTypewriter"/>
        </w:rPr>
        <w:t xml:space="preserve">Appendix D provides a list of line items that have changed by more than 50%--most of these are very small in absolute numbers. It would be more helpful to see a list of the largest burden changes that collectively account for 95% plus of the total change (9 million hours +), regardless of the percentage change in the line item itself. I don’t want staff to go to a lot of trouble on this, but if they could whip up a simple table showing the big ticket items that would be </w:t>
      </w:r>
      <w:r>
        <w:rPr>
          <w:rStyle w:val="HTMLTypewriter"/>
        </w:rPr>
        <w:lastRenderedPageBreak/>
        <w:t xml:space="preserve">helpful. -- </w:t>
      </w:r>
      <w:proofErr w:type="gramStart"/>
      <w:r>
        <w:rPr>
          <w:rStyle w:val="HTMLTypewriter"/>
        </w:rPr>
        <w:t>jim</w:t>
      </w:r>
      <w:proofErr w:type="gramEnd"/>
      <w:r>
        <w:rPr>
          <w:rFonts w:ascii="Courier New" w:hAnsi="Courier New" w:cs="Courier New"/>
          <w:sz w:val="20"/>
          <w:szCs w:val="20"/>
        </w:rPr>
        <w:br/>
      </w:r>
      <w:r>
        <w:rPr>
          <w:rFonts w:ascii="Courier New" w:hAnsi="Courier New" w:cs="Courier New"/>
          <w:sz w:val="20"/>
          <w:szCs w:val="20"/>
        </w:rPr>
        <w:br/>
      </w:r>
      <w:r>
        <w:rPr>
          <w:rFonts w:eastAsia="Times New Roman"/>
          <w:i/>
          <w:iCs/>
        </w:rPr>
        <w:t>(See attached file: Extra Table for Jim (12112012).</w:t>
      </w:r>
      <w:proofErr w:type="spellStart"/>
      <w:r>
        <w:rPr>
          <w:rFonts w:eastAsia="Times New Roman"/>
          <w:i/>
          <w:iCs/>
        </w:rPr>
        <w:t>docx</w:t>
      </w:r>
      <w:proofErr w:type="spellEnd"/>
      <w:r>
        <w:rPr>
          <w:rFonts w:eastAsia="Times New Roman"/>
          <w:i/>
          <w:iCs/>
        </w:rPr>
        <w:t>)</w:t>
      </w:r>
      <w:r>
        <w:rPr>
          <w:rFonts w:eastAsia="Times New Roman"/>
          <w:i/>
          <w:iCs/>
        </w:rPr>
        <w:t xml:space="preserve"> </w:t>
      </w:r>
    </w:p>
    <w:p w:rsidR="00050847" w:rsidRPr="00050847" w:rsidRDefault="00813FF9" w:rsidP="00B108D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Extra Table</w:t>
      </w:r>
      <w:r w:rsidR="00050847" w:rsidRPr="00050847">
        <w:rPr>
          <w:rFonts w:ascii="Times New Roman" w:hAnsi="Times New Roman" w:cs="Times New Roman"/>
          <w:b/>
          <w:sz w:val="24"/>
          <w:szCs w:val="24"/>
        </w:rPr>
        <w:t xml:space="preserve"> – Analysis of Changes</w:t>
      </w:r>
    </w:p>
    <w:p w:rsidR="00050847" w:rsidRDefault="00050847" w:rsidP="002933A1">
      <w:pPr>
        <w:spacing w:after="0" w:line="240" w:lineRule="auto"/>
        <w:rPr>
          <w:rFonts w:ascii="Times New Roman" w:hAnsi="Times New Roman" w:cs="Times New Roman"/>
          <w:sz w:val="24"/>
          <w:szCs w:val="24"/>
        </w:rPr>
      </w:pPr>
    </w:p>
    <w:p w:rsidR="00050847" w:rsidRDefault="00050847" w:rsidP="002933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table below presents </w:t>
      </w:r>
      <w:r w:rsidR="00BE7CE1">
        <w:rPr>
          <w:rFonts w:ascii="Times New Roman" w:hAnsi="Times New Roman" w:cs="Times New Roman"/>
          <w:sz w:val="24"/>
          <w:szCs w:val="24"/>
        </w:rPr>
        <w:t>all</w:t>
      </w:r>
      <w:r w:rsidRPr="00050847">
        <w:rPr>
          <w:rFonts w:ascii="Times New Roman" w:hAnsi="Times New Roman" w:cs="Times New Roman"/>
          <w:sz w:val="24"/>
          <w:szCs w:val="24"/>
        </w:rPr>
        <w:t xml:space="preserve"> line item</w:t>
      </w:r>
      <w:r w:rsidR="00BE7CE1">
        <w:rPr>
          <w:rFonts w:ascii="Times New Roman" w:hAnsi="Times New Roman" w:cs="Times New Roman"/>
          <w:sz w:val="24"/>
          <w:szCs w:val="24"/>
        </w:rPr>
        <w:t>s</w:t>
      </w:r>
      <w:r w:rsidRPr="00050847">
        <w:rPr>
          <w:rFonts w:ascii="Times New Roman" w:hAnsi="Times New Roman" w:cs="Times New Roman"/>
          <w:sz w:val="24"/>
          <w:szCs w:val="24"/>
        </w:rPr>
        <w:t xml:space="preserve"> </w:t>
      </w:r>
      <w:r>
        <w:rPr>
          <w:rFonts w:ascii="Times New Roman" w:hAnsi="Times New Roman" w:cs="Times New Roman"/>
          <w:sz w:val="24"/>
          <w:szCs w:val="24"/>
        </w:rPr>
        <w:t xml:space="preserve">from the ICR </w:t>
      </w:r>
      <w:r w:rsidRPr="00050847">
        <w:rPr>
          <w:rFonts w:ascii="Times New Roman" w:hAnsi="Times New Roman" w:cs="Times New Roman"/>
          <w:sz w:val="24"/>
          <w:szCs w:val="24"/>
        </w:rPr>
        <w:t>with a greater than 5</w:t>
      </w:r>
      <w:r w:rsidR="00813FF9">
        <w:rPr>
          <w:rFonts w:ascii="Times New Roman" w:hAnsi="Times New Roman" w:cs="Times New Roman"/>
          <w:sz w:val="24"/>
          <w:szCs w:val="24"/>
        </w:rPr>
        <w:t xml:space="preserve">0,000 hours in reduction </w:t>
      </w:r>
      <w:r w:rsidRPr="00050847">
        <w:rPr>
          <w:rFonts w:ascii="Times New Roman" w:hAnsi="Times New Roman" w:cs="Times New Roman"/>
          <w:sz w:val="24"/>
          <w:szCs w:val="24"/>
        </w:rPr>
        <w:t xml:space="preserve">from the </w:t>
      </w:r>
      <w:r w:rsidR="00BE7CE1">
        <w:rPr>
          <w:rFonts w:ascii="Times New Roman" w:hAnsi="Times New Roman" w:cs="Times New Roman"/>
          <w:sz w:val="24"/>
          <w:szCs w:val="24"/>
        </w:rPr>
        <w:t>currently approved</w:t>
      </w:r>
      <w:r w:rsidRPr="00050847">
        <w:rPr>
          <w:rFonts w:ascii="Times New Roman" w:hAnsi="Times New Roman" w:cs="Times New Roman"/>
          <w:sz w:val="24"/>
          <w:szCs w:val="24"/>
        </w:rPr>
        <w:t xml:space="preserve"> ICR</w:t>
      </w:r>
      <w:r w:rsidR="00BE7CE1">
        <w:rPr>
          <w:rFonts w:ascii="Times New Roman" w:hAnsi="Times New Roman" w:cs="Times New Roman"/>
          <w:sz w:val="24"/>
          <w:szCs w:val="24"/>
        </w:rPr>
        <w:t xml:space="preserve"> (i.e., OMB’s inventory)</w:t>
      </w:r>
      <w:r>
        <w:rPr>
          <w:rFonts w:ascii="Times New Roman" w:hAnsi="Times New Roman" w:cs="Times New Roman"/>
          <w:sz w:val="24"/>
          <w:szCs w:val="24"/>
        </w:rPr>
        <w:t xml:space="preserve">. It also includes </w:t>
      </w:r>
      <w:r w:rsidRPr="00050847">
        <w:rPr>
          <w:rFonts w:ascii="Times New Roman" w:hAnsi="Times New Roman" w:cs="Times New Roman"/>
          <w:sz w:val="24"/>
          <w:szCs w:val="24"/>
        </w:rPr>
        <w:t>an explanation of the reason for the change</w:t>
      </w:r>
      <w:r w:rsidR="00813FF9">
        <w:rPr>
          <w:rFonts w:ascii="Times New Roman" w:hAnsi="Times New Roman" w:cs="Times New Roman"/>
          <w:sz w:val="24"/>
          <w:szCs w:val="24"/>
        </w:rPr>
        <w:t>.</w:t>
      </w:r>
    </w:p>
    <w:p w:rsidR="00813FF9" w:rsidRDefault="00813FF9" w:rsidP="002933A1">
      <w:pPr>
        <w:spacing w:after="0" w:line="240" w:lineRule="auto"/>
        <w:rPr>
          <w:rFonts w:ascii="Times New Roman" w:hAnsi="Times New Roman" w:cs="Times New Roman"/>
          <w:sz w:val="24"/>
          <w:szCs w:val="24"/>
        </w:rPr>
      </w:pPr>
    </w:p>
    <w:tbl>
      <w:tblPr>
        <w:tblStyle w:val="TableGrid"/>
        <w:tblW w:w="14536" w:type="dxa"/>
        <w:tblLook w:val="04A0" w:firstRow="1" w:lastRow="0" w:firstColumn="1" w:lastColumn="0" w:noHBand="0" w:noVBand="1"/>
      </w:tblPr>
      <w:tblGrid>
        <w:gridCol w:w="1367"/>
        <w:gridCol w:w="1562"/>
        <w:gridCol w:w="1769"/>
        <w:gridCol w:w="1161"/>
        <w:gridCol w:w="1106"/>
        <w:gridCol w:w="1333"/>
        <w:gridCol w:w="6238"/>
      </w:tblGrid>
      <w:tr w:rsidR="00813FF9" w:rsidRPr="00813FF9" w:rsidTr="00813FF9">
        <w:trPr>
          <w:trHeight w:val="20"/>
          <w:tblHeader/>
        </w:trPr>
        <w:tc>
          <w:tcPr>
            <w:tcW w:w="1367" w:type="dxa"/>
            <w:hideMark/>
          </w:tcPr>
          <w:p w:rsidR="00813FF9" w:rsidRPr="00813FF9" w:rsidRDefault="00813FF9" w:rsidP="00813FF9">
            <w:pPr>
              <w:rPr>
                <w:rFonts w:ascii="Arial" w:hAnsi="Arial" w:cs="Arial"/>
                <w:b/>
                <w:sz w:val="20"/>
                <w:szCs w:val="20"/>
              </w:rPr>
            </w:pPr>
            <w:r w:rsidRPr="00813FF9">
              <w:rPr>
                <w:rFonts w:ascii="Arial" w:hAnsi="Arial" w:cs="Arial"/>
                <w:b/>
                <w:sz w:val="20"/>
                <w:szCs w:val="20"/>
              </w:rPr>
              <w:t>Reference Code</w:t>
            </w:r>
          </w:p>
        </w:tc>
        <w:tc>
          <w:tcPr>
            <w:tcW w:w="1562" w:type="dxa"/>
            <w:hideMark/>
          </w:tcPr>
          <w:p w:rsidR="00813FF9" w:rsidRPr="00813FF9" w:rsidRDefault="00813FF9" w:rsidP="00813FF9">
            <w:pPr>
              <w:rPr>
                <w:rFonts w:ascii="Arial" w:hAnsi="Arial" w:cs="Arial"/>
                <w:b/>
                <w:sz w:val="20"/>
                <w:szCs w:val="20"/>
              </w:rPr>
            </w:pPr>
            <w:r w:rsidRPr="00813FF9">
              <w:rPr>
                <w:rFonts w:ascii="Arial" w:hAnsi="Arial" w:cs="Arial"/>
                <w:b/>
                <w:sz w:val="20"/>
                <w:szCs w:val="20"/>
              </w:rPr>
              <w:t>Activity Description</w:t>
            </w:r>
          </w:p>
        </w:tc>
        <w:tc>
          <w:tcPr>
            <w:tcW w:w="1769" w:type="dxa"/>
            <w:hideMark/>
          </w:tcPr>
          <w:p w:rsidR="00813FF9" w:rsidRPr="00813FF9" w:rsidRDefault="00813FF9" w:rsidP="00813FF9">
            <w:pPr>
              <w:rPr>
                <w:rFonts w:ascii="Arial" w:hAnsi="Arial" w:cs="Arial"/>
                <w:b/>
                <w:sz w:val="20"/>
                <w:szCs w:val="20"/>
              </w:rPr>
            </w:pPr>
            <w:r w:rsidRPr="00813FF9">
              <w:rPr>
                <w:rFonts w:ascii="Arial" w:hAnsi="Arial" w:cs="Arial"/>
                <w:b/>
                <w:sz w:val="20"/>
                <w:szCs w:val="20"/>
              </w:rPr>
              <w:t>Respondent Type</w:t>
            </w:r>
          </w:p>
        </w:tc>
        <w:tc>
          <w:tcPr>
            <w:tcW w:w="1161" w:type="dxa"/>
            <w:hideMark/>
          </w:tcPr>
          <w:p w:rsidR="00813FF9" w:rsidRPr="00813FF9" w:rsidRDefault="00813FF9" w:rsidP="00813FF9">
            <w:pPr>
              <w:rPr>
                <w:rFonts w:ascii="Arial" w:hAnsi="Arial" w:cs="Arial"/>
                <w:b/>
                <w:bCs/>
                <w:sz w:val="20"/>
                <w:szCs w:val="20"/>
              </w:rPr>
            </w:pPr>
            <w:r w:rsidRPr="00813FF9">
              <w:rPr>
                <w:rFonts w:ascii="Arial" w:hAnsi="Arial" w:cs="Arial"/>
                <w:b/>
                <w:bCs/>
                <w:sz w:val="20"/>
                <w:szCs w:val="20"/>
              </w:rPr>
              <w:t>Total Hours / Year (Renewal)</w:t>
            </w:r>
          </w:p>
        </w:tc>
        <w:tc>
          <w:tcPr>
            <w:tcW w:w="1106" w:type="dxa"/>
            <w:hideMark/>
          </w:tcPr>
          <w:p w:rsidR="00813FF9" w:rsidRPr="00813FF9" w:rsidRDefault="00813FF9" w:rsidP="00813FF9">
            <w:pPr>
              <w:rPr>
                <w:rFonts w:ascii="Arial" w:hAnsi="Arial" w:cs="Arial"/>
                <w:b/>
                <w:bCs/>
                <w:sz w:val="20"/>
                <w:szCs w:val="20"/>
              </w:rPr>
            </w:pPr>
            <w:r w:rsidRPr="00813FF9">
              <w:rPr>
                <w:rFonts w:ascii="Arial" w:hAnsi="Arial" w:cs="Arial"/>
                <w:b/>
                <w:bCs/>
                <w:sz w:val="20"/>
                <w:szCs w:val="20"/>
              </w:rPr>
              <w:t>Total Hours / Year (OMB)</w:t>
            </w:r>
          </w:p>
        </w:tc>
        <w:tc>
          <w:tcPr>
            <w:tcW w:w="1333" w:type="dxa"/>
            <w:hideMark/>
          </w:tcPr>
          <w:p w:rsidR="00813FF9" w:rsidRPr="00813FF9" w:rsidRDefault="00813FF9" w:rsidP="00813FF9">
            <w:pPr>
              <w:rPr>
                <w:rFonts w:ascii="Arial" w:hAnsi="Arial" w:cs="Arial"/>
                <w:b/>
                <w:bCs/>
                <w:sz w:val="20"/>
                <w:szCs w:val="20"/>
              </w:rPr>
            </w:pPr>
            <w:r w:rsidRPr="00813FF9">
              <w:rPr>
                <w:rFonts w:ascii="Arial" w:hAnsi="Arial" w:cs="Arial"/>
                <w:b/>
                <w:bCs/>
                <w:sz w:val="20"/>
                <w:szCs w:val="20"/>
              </w:rPr>
              <w:t>Change</w:t>
            </w:r>
          </w:p>
        </w:tc>
        <w:tc>
          <w:tcPr>
            <w:tcW w:w="6238" w:type="dxa"/>
            <w:noWrap/>
            <w:hideMark/>
          </w:tcPr>
          <w:p w:rsidR="00813FF9" w:rsidRPr="00813FF9" w:rsidRDefault="00813FF9" w:rsidP="00813FF9">
            <w:pPr>
              <w:rPr>
                <w:rFonts w:ascii="Arial" w:hAnsi="Arial" w:cs="Arial"/>
                <w:b/>
                <w:sz w:val="20"/>
                <w:szCs w:val="20"/>
              </w:rPr>
            </w:pPr>
            <w:r w:rsidRPr="00813FF9">
              <w:rPr>
                <w:rFonts w:ascii="Arial" w:hAnsi="Arial" w:cs="Arial"/>
                <w:b/>
                <w:sz w:val="20"/>
                <w:szCs w:val="20"/>
              </w:rPr>
              <w:t>Reason for Change</w:t>
            </w:r>
          </w:p>
        </w:tc>
      </w:tr>
      <w:tr w:rsidR="00813FF9" w:rsidRPr="00813FF9" w:rsidTr="00813FF9">
        <w:trPr>
          <w:trHeight w:val="20"/>
        </w:trPr>
        <w:tc>
          <w:tcPr>
            <w:tcW w:w="1367"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1.124</w:t>
            </w:r>
          </w:p>
        </w:tc>
        <w:tc>
          <w:tcPr>
            <w:tcW w:w="1562"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NOI preparation &amp; submittal</w:t>
            </w:r>
          </w:p>
        </w:tc>
        <w:tc>
          <w:tcPr>
            <w:tcW w:w="1769"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Large construction sites (&gt;5 acres) in NPDES States</w:t>
            </w:r>
          </w:p>
        </w:tc>
        <w:tc>
          <w:tcPr>
            <w:tcW w:w="1161"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51,935</w:t>
            </w:r>
          </w:p>
        </w:tc>
        <w:tc>
          <w:tcPr>
            <w:tcW w:w="1106"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216,843</w:t>
            </w:r>
          </w:p>
        </w:tc>
        <w:tc>
          <w:tcPr>
            <w:tcW w:w="1333"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-164,909</w:t>
            </w:r>
          </w:p>
        </w:tc>
        <w:tc>
          <w:tcPr>
            <w:tcW w:w="6238" w:type="dxa"/>
            <w:vMerge w:val="restart"/>
            <w:noWrap/>
            <w:hideMark/>
          </w:tcPr>
          <w:p w:rsidR="00813FF9" w:rsidRPr="00813FF9" w:rsidRDefault="00813FF9" w:rsidP="00813FF9">
            <w:pPr>
              <w:rPr>
                <w:rFonts w:ascii="Arial" w:hAnsi="Arial" w:cs="Arial"/>
                <w:sz w:val="20"/>
                <w:szCs w:val="20"/>
              </w:rPr>
            </w:pPr>
            <w:r w:rsidRPr="00813FF9">
              <w:rPr>
                <w:rFonts w:ascii="Arial" w:hAnsi="Arial" w:cs="Arial"/>
                <w:sz w:val="20"/>
                <w:szCs w:val="20"/>
              </w:rPr>
              <w:t>EPA generated a new estimate of construction sites based on data collected for the development of the final Construction Effluent Limitation Guidelines. The Agency revised its estimate of the number of large and small construction sites covered by this ICR downward from 243,076 to 84,472 sites annually</w:t>
            </w:r>
          </w:p>
        </w:tc>
      </w:tr>
      <w:tr w:rsidR="00813FF9" w:rsidRPr="00813FF9" w:rsidTr="00813FF9">
        <w:trPr>
          <w:trHeight w:val="20"/>
        </w:trPr>
        <w:tc>
          <w:tcPr>
            <w:tcW w:w="1367"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1.128</w:t>
            </w:r>
          </w:p>
        </w:tc>
        <w:tc>
          <w:tcPr>
            <w:tcW w:w="1562"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NOI Processing &amp; review</w:t>
            </w:r>
          </w:p>
        </w:tc>
        <w:tc>
          <w:tcPr>
            <w:tcW w:w="1769"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 xml:space="preserve">NPDES States, Large construction sites (&gt;5 acres) </w:t>
            </w:r>
          </w:p>
        </w:tc>
        <w:tc>
          <w:tcPr>
            <w:tcW w:w="1161"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34,623</w:t>
            </w:r>
          </w:p>
        </w:tc>
        <w:tc>
          <w:tcPr>
            <w:tcW w:w="1106"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144,562</w:t>
            </w:r>
          </w:p>
        </w:tc>
        <w:tc>
          <w:tcPr>
            <w:tcW w:w="1333"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-109,939</w:t>
            </w:r>
          </w:p>
        </w:tc>
        <w:tc>
          <w:tcPr>
            <w:tcW w:w="6238" w:type="dxa"/>
            <w:vMerge/>
            <w:noWrap/>
          </w:tcPr>
          <w:p w:rsidR="00813FF9" w:rsidRPr="00813FF9" w:rsidRDefault="00813FF9" w:rsidP="00813FF9">
            <w:pPr>
              <w:rPr>
                <w:rFonts w:ascii="Arial" w:hAnsi="Arial" w:cs="Arial"/>
                <w:sz w:val="20"/>
                <w:szCs w:val="20"/>
              </w:rPr>
            </w:pPr>
          </w:p>
        </w:tc>
      </w:tr>
      <w:tr w:rsidR="00813FF9" w:rsidRPr="00813FF9" w:rsidTr="00813FF9">
        <w:trPr>
          <w:trHeight w:val="20"/>
        </w:trPr>
        <w:tc>
          <w:tcPr>
            <w:tcW w:w="1367"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1.129</w:t>
            </w:r>
          </w:p>
        </w:tc>
        <w:tc>
          <w:tcPr>
            <w:tcW w:w="1562"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Prepare and submit a permit application or NOI</w:t>
            </w:r>
          </w:p>
        </w:tc>
        <w:tc>
          <w:tcPr>
            <w:tcW w:w="1769"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Small construction sites (1-5 acres)</w:t>
            </w:r>
          </w:p>
        </w:tc>
        <w:tc>
          <w:tcPr>
            <w:tcW w:w="1161"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168,613</w:t>
            </w:r>
          </w:p>
        </w:tc>
        <w:tc>
          <w:tcPr>
            <w:tcW w:w="1106"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316,132</w:t>
            </w:r>
          </w:p>
        </w:tc>
        <w:tc>
          <w:tcPr>
            <w:tcW w:w="1333"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-147,519</w:t>
            </w:r>
          </w:p>
        </w:tc>
        <w:tc>
          <w:tcPr>
            <w:tcW w:w="6238" w:type="dxa"/>
            <w:vMerge/>
            <w:noWrap/>
          </w:tcPr>
          <w:p w:rsidR="00813FF9" w:rsidRPr="00813FF9" w:rsidRDefault="00813FF9" w:rsidP="00813FF9">
            <w:pPr>
              <w:rPr>
                <w:rFonts w:ascii="Arial" w:hAnsi="Arial" w:cs="Arial"/>
                <w:sz w:val="20"/>
                <w:szCs w:val="20"/>
              </w:rPr>
            </w:pPr>
          </w:p>
        </w:tc>
      </w:tr>
      <w:tr w:rsidR="00813FF9" w:rsidRPr="00813FF9" w:rsidTr="00813FF9">
        <w:trPr>
          <w:trHeight w:val="20"/>
        </w:trPr>
        <w:tc>
          <w:tcPr>
            <w:tcW w:w="1367"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1.133</w:t>
            </w:r>
          </w:p>
        </w:tc>
        <w:tc>
          <w:tcPr>
            <w:tcW w:w="1562"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Prepare and submit a NOT</w:t>
            </w:r>
          </w:p>
        </w:tc>
        <w:tc>
          <w:tcPr>
            <w:tcW w:w="1769" w:type="dxa"/>
            <w:noWrap/>
            <w:hideMark/>
          </w:tcPr>
          <w:p w:rsidR="00813FF9" w:rsidRPr="00813FF9" w:rsidRDefault="00813FF9" w:rsidP="00813FF9">
            <w:pPr>
              <w:rPr>
                <w:rFonts w:ascii="Arial" w:hAnsi="Arial" w:cs="Arial"/>
                <w:sz w:val="20"/>
                <w:szCs w:val="20"/>
              </w:rPr>
            </w:pPr>
            <w:r w:rsidRPr="00813FF9">
              <w:rPr>
                <w:rFonts w:ascii="Arial" w:hAnsi="Arial" w:cs="Arial"/>
                <w:sz w:val="20"/>
                <w:szCs w:val="20"/>
              </w:rPr>
              <w:t>Large construction sites (&gt;5 acres)</w:t>
            </w:r>
          </w:p>
        </w:tc>
        <w:tc>
          <w:tcPr>
            <w:tcW w:w="1161"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18,252</w:t>
            </w:r>
          </w:p>
        </w:tc>
        <w:tc>
          <w:tcPr>
            <w:tcW w:w="1106"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76,569</w:t>
            </w:r>
          </w:p>
        </w:tc>
        <w:tc>
          <w:tcPr>
            <w:tcW w:w="1333"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-58,318</w:t>
            </w:r>
          </w:p>
        </w:tc>
        <w:tc>
          <w:tcPr>
            <w:tcW w:w="6238" w:type="dxa"/>
            <w:vMerge/>
            <w:noWrap/>
          </w:tcPr>
          <w:p w:rsidR="00813FF9" w:rsidRPr="00813FF9" w:rsidRDefault="00813FF9" w:rsidP="00813FF9">
            <w:pPr>
              <w:rPr>
                <w:rFonts w:ascii="Arial" w:hAnsi="Arial" w:cs="Arial"/>
                <w:sz w:val="20"/>
                <w:szCs w:val="20"/>
              </w:rPr>
            </w:pPr>
          </w:p>
        </w:tc>
      </w:tr>
      <w:tr w:rsidR="00813FF9" w:rsidRPr="00813FF9" w:rsidTr="00813FF9">
        <w:trPr>
          <w:trHeight w:val="20"/>
        </w:trPr>
        <w:tc>
          <w:tcPr>
            <w:tcW w:w="1367"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2.82</w:t>
            </w:r>
          </w:p>
        </w:tc>
        <w:tc>
          <w:tcPr>
            <w:tcW w:w="1562"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Development of SWPPP</w:t>
            </w:r>
          </w:p>
        </w:tc>
        <w:tc>
          <w:tcPr>
            <w:tcW w:w="1769"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Small construction sites (1-5 acres)</w:t>
            </w:r>
          </w:p>
        </w:tc>
        <w:tc>
          <w:tcPr>
            <w:tcW w:w="1161"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1,034,462</w:t>
            </w:r>
          </w:p>
        </w:tc>
        <w:tc>
          <w:tcPr>
            <w:tcW w:w="1106"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1,939,511</w:t>
            </w:r>
          </w:p>
        </w:tc>
        <w:tc>
          <w:tcPr>
            <w:tcW w:w="1333"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-905,049</w:t>
            </w:r>
          </w:p>
        </w:tc>
        <w:tc>
          <w:tcPr>
            <w:tcW w:w="6238" w:type="dxa"/>
            <w:vMerge/>
            <w:noWrap/>
          </w:tcPr>
          <w:p w:rsidR="00813FF9" w:rsidRPr="00813FF9" w:rsidRDefault="00813FF9" w:rsidP="00813FF9">
            <w:pPr>
              <w:rPr>
                <w:rFonts w:ascii="Arial" w:hAnsi="Arial" w:cs="Arial"/>
                <w:sz w:val="20"/>
                <w:szCs w:val="20"/>
              </w:rPr>
            </w:pPr>
          </w:p>
        </w:tc>
      </w:tr>
      <w:tr w:rsidR="00813FF9" w:rsidRPr="00813FF9" w:rsidTr="00813FF9">
        <w:trPr>
          <w:trHeight w:val="20"/>
        </w:trPr>
        <w:tc>
          <w:tcPr>
            <w:tcW w:w="1367"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2.83</w:t>
            </w:r>
          </w:p>
        </w:tc>
        <w:tc>
          <w:tcPr>
            <w:tcW w:w="1562"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Development of SWPPP</w:t>
            </w:r>
          </w:p>
        </w:tc>
        <w:tc>
          <w:tcPr>
            <w:tcW w:w="1769"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Large construction sites (&gt;5 acres) in NPDES States</w:t>
            </w:r>
          </w:p>
        </w:tc>
        <w:tc>
          <w:tcPr>
            <w:tcW w:w="1161"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1,260,277</w:t>
            </w:r>
          </w:p>
        </w:tc>
        <w:tc>
          <w:tcPr>
            <w:tcW w:w="1106"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5,262,057</w:t>
            </w:r>
          </w:p>
        </w:tc>
        <w:tc>
          <w:tcPr>
            <w:tcW w:w="1333"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-4,001,780</w:t>
            </w:r>
          </w:p>
        </w:tc>
        <w:tc>
          <w:tcPr>
            <w:tcW w:w="6238" w:type="dxa"/>
            <w:vMerge/>
            <w:noWrap/>
          </w:tcPr>
          <w:p w:rsidR="00813FF9" w:rsidRPr="00813FF9" w:rsidRDefault="00813FF9" w:rsidP="00813FF9">
            <w:pPr>
              <w:rPr>
                <w:rFonts w:ascii="Arial" w:hAnsi="Arial" w:cs="Arial"/>
                <w:sz w:val="20"/>
                <w:szCs w:val="20"/>
              </w:rPr>
            </w:pPr>
          </w:p>
        </w:tc>
      </w:tr>
      <w:tr w:rsidR="00813FF9" w:rsidRPr="00813FF9" w:rsidTr="00813FF9">
        <w:trPr>
          <w:trHeight w:val="20"/>
        </w:trPr>
        <w:tc>
          <w:tcPr>
            <w:tcW w:w="1367"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2.84</w:t>
            </w:r>
          </w:p>
        </w:tc>
        <w:tc>
          <w:tcPr>
            <w:tcW w:w="1562"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Development of SWPPP</w:t>
            </w:r>
          </w:p>
        </w:tc>
        <w:tc>
          <w:tcPr>
            <w:tcW w:w="1769"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 xml:space="preserve">Large construction sites (&gt;5 acres) EPA Perm </w:t>
            </w:r>
            <w:proofErr w:type="spellStart"/>
            <w:r w:rsidRPr="00813FF9">
              <w:rPr>
                <w:rFonts w:ascii="Arial" w:hAnsi="Arial" w:cs="Arial"/>
                <w:sz w:val="20"/>
                <w:szCs w:val="20"/>
              </w:rPr>
              <w:t>Auth</w:t>
            </w:r>
            <w:proofErr w:type="spellEnd"/>
            <w:r w:rsidRPr="00813FF9">
              <w:rPr>
                <w:rFonts w:ascii="Arial" w:hAnsi="Arial" w:cs="Arial"/>
                <w:sz w:val="20"/>
                <w:szCs w:val="20"/>
              </w:rPr>
              <w:t xml:space="preserve"> no ESA</w:t>
            </w:r>
          </w:p>
        </w:tc>
        <w:tc>
          <w:tcPr>
            <w:tcW w:w="1161"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41,059</w:t>
            </w:r>
          </w:p>
        </w:tc>
        <w:tc>
          <w:tcPr>
            <w:tcW w:w="1106"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187,314</w:t>
            </w:r>
          </w:p>
        </w:tc>
        <w:tc>
          <w:tcPr>
            <w:tcW w:w="1333"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-146,255</w:t>
            </w:r>
          </w:p>
        </w:tc>
        <w:tc>
          <w:tcPr>
            <w:tcW w:w="6238" w:type="dxa"/>
            <w:vMerge/>
            <w:noWrap/>
          </w:tcPr>
          <w:p w:rsidR="00813FF9" w:rsidRPr="00813FF9" w:rsidRDefault="00813FF9" w:rsidP="00813FF9">
            <w:pPr>
              <w:rPr>
                <w:rFonts w:ascii="Arial" w:hAnsi="Arial" w:cs="Arial"/>
                <w:sz w:val="20"/>
                <w:szCs w:val="20"/>
              </w:rPr>
            </w:pPr>
          </w:p>
        </w:tc>
      </w:tr>
      <w:tr w:rsidR="00813FF9" w:rsidRPr="00813FF9" w:rsidTr="00813FF9">
        <w:trPr>
          <w:trHeight w:val="20"/>
        </w:trPr>
        <w:tc>
          <w:tcPr>
            <w:tcW w:w="1367"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2.85</w:t>
            </w:r>
          </w:p>
        </w:tc>
        <w:tc>
          <w:tcPr>
            <w:tcW w:w="1562"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Development of SWPPP</w:t>
            </w:r>
          </w:p>
        </w:tc>
        <w:tc>
          <w:tcPr>
            <w:tcW w:w="1769"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 xml:space="preserve">Large construction sites (&gt;5 acres) EPA Perm </w:t>
            </w:r>
            <w:proofErr w:type="spellStart"/>
            <w:r w:rsidRPr="00813FF9">
              <w:rPr>
                <w:rFonts w:ascii="Arial" w:hAnsi="Arial" w:cs="Arial"/>
                <w:sz w:val="20"/>
                <w:szCs w:val="20"/>
              </w:rPr>
              <w:t>Auth</w:t>
            </w:r>
            <w:proofErr w:type="spellEnd"/>
            <w:r w:rsidRPr="00813FF9">
              <w:rPr>
                <w:rFonts w:ascii="Arial" w:hAnsi="Arial" w:cs="Arial"/>
                <w:sz w:val="20"/>
                <w:szCs w:val="20"/>
              </w:rPr>
              <w:t xml:space="preserve"> </w:t>
            </w:r>
            <w:r w:rsidRPr="00813FF9">
              <w:rPr>
                <w:rFonts w:ascii="Arial" w:hAnsi="Arial" w:cs="Arial"/>
                <w:sz w:val="20"/>
                <w:szCs w:val="20"/>
              </w:rPr>
              <w:lastRenderedPageBreak/>
              <w:t>informal ESA</w:t>
            </w:r>
          </w:p>
        </w:tc>
        <w:tc>
          <w:tcPr>
            <w:tcW w:w="1161" w:type="dxa"/>
            <w:hideMark/>
          </w:tcPr>
          <w:p w:rsidR="00813FF9" w:rsidRPr="00813FF9" w:rsidRDefault="00813FF9" w:rsidP="00813FF9">
            <w:pPr>
              <w:rPr>
                <w:rFonts w:ascii="Arial" w:hAnsi="Arial" w:cs="Arial"/>
                <w:sz w:val="20"/>
                <w:szCs w:val="20"/>
              </w:rPr>
            </w:pPr>
            <w:r w:rsidRPr="00813FF9">
              <w:rPr>
                <w:rFonts w:ascii="Arial" w:hAnsi="Arial" w:cs="Arial"/>
                <w:sz w:val="20"/>
                <w:szCs w:val="20"/>
              </w:rPr>
              <w:lastRenderedPageBreak/>
              <w:t>25,516</w:t>
            </w:r>
          </w:p>
        </w:tc>
        <w:tc>
          <w:tcPr>
            <w:tcW w:w="1106"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116,444</w:t>
            </w:r>
          </w:p>
        </w:tc>
        <w:tc>
          <w:tcPr>
            <w:tcW w:w="1333"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-90,927</w:t>
            </w:r>
          </w:p>
        </w:tc>
        <w:tc>
          <w:tcPr>
            <w:tcW w:w="6238" w:type="dxa"/>
            <w:vMerge/>
            <w:noWrap/>
          </w:tcPr>
          <w:p w:rsidR="00813FF9" w:rsidRPr="00813FF9" w:rsidRDefault="00813FF9" w:rsidP="00813FF9">
            <w:pPr>
              <w:rPr>
                <w:rFonts w:ascii="Arial" w:hAnsi="Arial" w:cs="Arial"/>
                <w:sz w:val="20"/>
                <w:szCs w:val="20"/>
              </w:rPr>
            </w:pPr>
          </w:p>
        </w:tc>
      </w:tr>
      <w:tr w:rsidR="00813FF9" w:rsidRPr="00813FF9" w:rsidTr="00813FF9">
        <w:trPr>
          <w:trHeight w:val="20"/>
        </w:trPr>
        <w:tc>
          <w:tcPr>
            <w:tcW w:w="1367" w:type="dxa"/>
            <w:hideMark/>
          </w:tcPr>
          <w:p w:rsidR="00813FF9" w:rsidRPr="00813FF9" w:rsidRDefault="00813FF9" w:rsidP="00813FF9">
            <w:pPr>
              <w:rPr>
                <w:rFonts w:ascii="Arial" w:hAnsi="Arial" w:cs="Arial"/>
                <w:sz w:val="20"/>
                <w:szCs w:val="20"/>
              </w:rPr>
            </w:pPr>
            <w:r w:rsidRPr="00813FF9">
              <w:rPr>
                <w:rFonts w:ascii="Arial" w:hAnsi="Arial" w:cs="Arial"/>
                <w:sz w:val="20"/>
                <w:szCs w:val="20"/>
              </w:rPr>
              <w:lastRenderedPageBreak/>
              <w:t>3.97</w:t>
            </w:r>
          </w:p>
        </w:tc>
        <w:tc>
          <w:tcPr>
            <w:tcW w:w="1562"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Routine site inspection</w:t>
            </w:r>
          </w:p>
        </w:tc>
        <w:tc>
          <w:tcPr>
            <w:tcW w:w="1769"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Small construction sites (1-5 acres)</w:t>
            </w:r>
          </w:p>
        </w:tc>
        <w:tc>
          <w:tcPr>
            <w:tcW w:w="1161"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91,142</w:t>
            </w:r>
          </w:p>
        </w:tc>
        <w:tc>
          <w:tcPr>
            <w:tcW w:w="1106"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170,882</w:t>
            </w:r>
          </w:p>
        </w:tc>
        <w:tc>
          <w:tcPr>
            <w:tcW w:w="1333"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-79,740</w:t>
            </w:r>
          </w:p>
        </w:tc>
        <w:tc>
          <w:tcPr>
            <w:tcW w:w="6238" w:type="dxa"/>
            <w:vMerge/>
            <w:noWrap/>
          </w:tcPr>
          <w:p w:rsidR="00813FF9" w:rsidRPr="00813FF9" w:rsidRDefault="00813FF9" w:rsidP="00813FF9">
            <w:pPr>
              <w:rPr>
                <w:rFonts w:ascii="Arial" w:hAnsi="Arial" w:cs="Arial"/>
                <w:sz w:val="20"/>
                <w:szCs w:val="20"/>
              </w:rPr>
            </w:pPr>
          </w:p>
        </w:tc>
      </w:tr>
      <w:tr w:rsidR="00813FF9" w:rsidRPr="00813FF9" w:rsidTr="00813FF9">
        <w:trPr>
          <w:trHeight w:val="20"/>
        </w:trPr>
        <w:tc>
          <w:tcPr>
            <w:tcW w:w="1367"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3.98</w:t>
            </w:r>
          </w:p>
        </w:tc>
        <w:tc>
          <w:tcPr>
            <w:tcW w:w="1562"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Routine site inspection</w:t>
            </w:r>
          </w:p>
        </w:tc>
        <w:tc>
          <w:tcPr>
            <w:tcW w:w="1769"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Large construction sites (&gt;5 acres) in NPDES States</w:t>
            </w:r>
          </w:p>
        </w:tc>
        <w:tc>
          <w:tcPr>
            <w:tcW w:w="1161"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450,099</w:t>
            </w:r>
          </w:p>
        </w:tc>
        <w:tc>
          <w:tcPr>
            <w:tcW w:w="1106"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1,879,306</w:t>
            </w:r>
          </w:p>
        </w:tc>
        <w:tc>
          <w:tcPr>
            <w:tcW w:w="1333"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-1,429,207</w:t>
            </w:r>
          </w:p>
        </w:tc>
        <w:tc>
          <w:tcPr>
            <w:tcW w:w="6238" w:type="dxa"/>
            <w:vMerge/>
            <w:noWrap/>
          </w:tcPr>
          <w:p w:rsidR="00813FF9" w:rsidRPr="00813FF9" w:rsidRDefault="00813FF9" w:rsidP="00813FF9">
            <w:pPr>
              <w:rPr>
                <w:rFonts w:ascii="Arial" w:hAnsi="Arial" w:cs="Arial"/>
                <w:sz w:val="20"/>
                <w:szCs w:val="20"/>
              </w:rPr>
            </w:pPr>
          </w:p>
        </w:tc>
      </w:tr>
      <w:tr w:rsidR="00813FF9" w:rsidRPr="00813FF9" w:rsidTr="00813FF9">
        <w:trPr>
          <w:trHeight w:val="20"/>
        </w:trPr>
        <w:tc>
          <w:tcPr>
            <w:tcW w:w="1367"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3.99</w:t>
            </w:r>
          </w:p>
        </w:tc>
        <w:tc>
          <w:tcPr>
            <w:tcW w:w="1562"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Routine site inspection</w:t>
            </w:r>
          </w:p>
        </w:tc>
        <w:tc>
          <w:tcPr>
            <w:tcW w:w="1769"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 xml:space="preserve">Large construction sites (&gt;5 acres) EPA Perm </w:t>
            </w:r>
            <w:proofErr w:type="spellStart"/>
            <w:r w:rsidRPr="00813FF9">
              <w:rPr>
                <w:rFonts w:ascii="Arial" w:hAnsi="Arial" w:cs="Arial"/>
                <w:sz w:val="20"/>
                <w:szCs w:val="20"/>
              </w:rPr>
              <w:t>Auth</w:t>
            </w:r>
            <w:proofErr w:type="spellEnd"/>
            <w:r w:rsidRPr="00813FF9">
              <w:rPr>
                <w:rFonts w:ascii="Arial" w:hAnsi="Arial" w:cs="Arial"/>
                <w:sz w:val="20"/>
                <w:szCs w:val="20"/>
              </w:rPr>
              <w:t xml:space="preserve"> no ESA</w:t>
            </w:r>
          </w:p>
        </w:tc>
        <w:tc>
          <w:tcPr>
            <w:tcW w:w="1161"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14,664</w:t>
            </w:r>
          </w:p>
        </w:tc>
        <w:tc>
          <w:tcPr>
            <w:tcW w:w="1106"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66,898</w:t>
            </w:r>
          </w:p>
        </w:tc>
        <w:tc>
          <w:tcPr>
            <w:tcW w:w="1333"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-52,234</w:t>
            </w:r>
          </w:p>
        </w:tc>
        <w:tc>
          <w:tcPr>
            <w:tcW w:w="6238" w:type="dxa"/>
            <w:vMerge/>
            <w:noWrap/>
          </w:tcPr>
          <w:p w:rsidR="00813FF9" w:rsidRPr="00813FF9" w:rsidRDefault="00813FF9" w:rsidP="00813FF9">
            <w:pPr>
              <w:rPr>
                <w:rFonts w:ascii="Arial" w:hAnsi="Arial" w:cs="Arial"/>
                <w:sz w:val="20"/>
                <w:szCs w:val="20"/>
              </w:rPr>
            </w:pPr>
          </w:p>
        </w:tc>
      </w:tr>
      <w:tr w:rsidR="00813FF9" w:rsidRPr="00813FF9" w:rsidTr="00813FF9">
        <w:trPr>
          <w:trHeight w:val="20"/>
        </w:trPr>
        <w:tc>
          <w:tcPr>
            <w:tcW w:w="1367"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5.48</w:t>
            </w:r>
          </w:p>
        </w:tc>
        <w:tc>
          <w:tcPr>
            <w:tcW w:w="1562"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Recordkeeping of Inspections</w:t>
            </w:r>
          </w:p>
        </w:tc>
        <w:tc>
          <w:tcPr>
            <w:tcW w:w="1769" w:type="dxa"/>
            <w:hideMark/>
          </w:tcPr>
          <w:p w:rsidR="00813FF9" w:rsidRPr="00813FF9" w:rsidRDefault="00813FF9" w:rsidP="00813FF9">
            <w:pPr>
              <w:rPr>
                <w:rFonts w:ascii="Arial" w:hAnsi="Arial" w:cs="Arial"/>
                <w:sz w:val="20"/>
                <w:szCs w:val="20"/>
              </w:rPr>
            </w:pPr>
            <w:proofErr w:type="spellStart"/>
            <w:r w:rsidRPr="00813FF9">
              <w:rPr>
                <w:rFonts w:ascii="Arial" w:hAnsi="Arial" w:cs="Arial"/>
                <w:sz w:val="20"/>
                <w:szCs w:val="20"/>
              </w:rPr>
              <w:t>Stormwater</w:t>
            </w:r>
            <w:proofErr w:type="spellEnd"/>
            <w:r w:rsidRPr="00813FF9">
              <w:rPr>
                <w:rFonts w:ascii="Arial" w:hAnsi="Arial" w:cs="Arial"/>
                <w:sz w:val="20"/>
                <w:szCs w:val="20"/>
              </w:rPr>
              <w:t xml:space="preserve"> General Permittees, Construction</w:t>
            </w:r>
          </w:p>
        </w:tc>
        <w:tc>
          <w:tcPr>
            <w:tcW w:w="1161"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328,294</w:t>
            </w:r>
          </w:p>
        </w:tc>
        <w:tc>
          <w:tcPr>
            <w:tcW w:w="1106"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954,316</w:t>
            </w:r>
          </w:p>
        </w:tc>
        <w:tc>
          <w:tcPr>
            <w:tcW w:w="1333"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-626,022</w:t>
            </w:r>
          </w:p>
        </w:tc>
        <w:tc>
          <w:tcPr>
            <w:tcW w:w="6238" w:type="dxa"/>
            <w:vMerge/>
            <w:noWrap/>
          </w:tcPr>
          <w:p w:rsidR="00813FF9" w:rsidRPr="00813FF9" w:rsidRDefault="00813FF9" w:rsidP="00813FF9">
            <w:pPr>
              <w:rPr>
                <w:rFonts w:ascii="Arial" w:hAnsi="Arial" w:cs="Arial"/>
                <w:sz w:val="20"/>
                <w:szCs w:val="20"/>
              </w:rPr>
            </w:pPr>
          </w:p>
        </w:tc>
      </w:tr>
      <w:tr w:rsidR="00813FF9" w:rsidRPr="00813FF9" w:rsidTr="00813FF9">
        <w:trPr>
          <w:trHeight w:val="20"/>
        </w:trPr>
        <w:tc>
          <w:tcPr>
            <w:tcW w:w="1367"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3.8</w:t>
            </w:r>
          </w:p>
        </w:tc>
        <w:tc>
          <w:tcPr>
            <w:tcW w:w="1562"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DMR Sampling Analysis</w:t>
            </w:r>
          </w:p>
        </w:tc>
        <w:tc>
          <w:tcPr>
            <w:tcW w:w="1769"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 xml:space="preserve">Major Dischargers, </w:t>
            </w:r>
            <w:proofErr w:type="spellStart"/>
            <w:r w:rsidRPr="00813FF9">
              <w:rPr>
                <w:rFonts w:ascii="Arial" w:hAnsi="Arial" w:cs="Arial"/>
                <w:sz w:val="20"/>
                <w:szCs w:val="20"/>
              </w:rPr>
              <w:t>Nonmunicipal</w:t>
            </w:r>
            <w:proofErr w:type="spellEnd"/>
          </w:p>
        </w:tc>
        <w:tc>
          <w:tcPr>
            <w:tcW w:w="1161"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1,710,240</w:t>
            </w:r>
          </w:p>
        </w:tc>
        <w:tc>
          <w:tcPr>
            <w:tcW w:w="1106"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1,825,320</w:t>
            </w:r>
          </w:p>
        </w:tc>
        <w:tc>
          <w:tcPr>
            <w:tcW w:w="1333"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-115,080</w:t>
            </w:r>
          </w:p>
        </w:tc>
        <w:tc>
          <w:tcPr>
            <w:tcW w:w="6238" w:type="dxa"/>
            <w:noWrap/>
            <w:hideMark/>
          </w:tcPr>
          <w:p w:rsidR="00813FF9" w:rsidRPr="00813FF9" w:rsidRDefault="00813FF9" w:rsidP="00813FF9">
            <w:pPr>
              <w:rPr>
                <w:rFonts w:ascii="Arial" w:hAnsi="Arial" w:cs="Arial"/>
                <w:sz w:val="20"/>
                <w:szCs w:val="20"/>
              </w:rPr>
            </w:pPr>
            <w:r w:rsidRPr="00813FF9">
              <w:rPr>
                <w:rFonts w:ascii="Arial" w:hAnsi="Arial" w:cs="Arial"/>
                <w:sz w:val="20"/>
                <w:szCs w:val="20"/>
              </w:rPr>
              <w:t>The total number of Major Dischargers has decrease.  This is most likely the results of data quality checks as states move their information from PCT to ICIS. More States are now under ICIS.</w:t>
            </w:r>
          </w:p>
        </w:tc>
      </w:tr>
      <w:tr w:rsidR="00813FF9" w:rsidRPr="00813FF9" w:rsidTr="00813FF9">
        <w:trPr>
          <w:trHeight w:val="20"/>
        </w:trPr>
        <w:tc>
          <w:tcPr>
            <w:tcW w:w="1367"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3.2</w:t>
            </w:r>
          </w:p>
        </w:tc>
        <w:tc>
          <w:tcPr>
            <w:tcW w:w="1562"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DMR Sampling</w:t>
            </w:r>
          </w:p>
        </w:tc>
        <w:tc>
          <w:tcPr>
            <w:tcW w:w="1769"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 xml:space="preserve">Minor </w:t>
            </w:r>
            <w:proofErr w:type="spellStart"/>
            <w:r w:rsidRPr="00813FF9">
              <w:rPr>
                <w:rFonts w:ascii="Arial" w:hAnsi="Arial" w:cs="Arial"/>
                <w:sz w:val="20"/>
                <w:szCs w:val="20"/>
              </w:rPr>
              <w:t>Nonmunicipal</w:t>
            </w:r>
            <w:proofErr w:type="spellEnd"/>
            <w:r w:rsidRPr="00813FF9">
              <w:rPr>
                <w:rFonts w:ascii="Arial" w:hAnsi="Arial" w:cs="Arial"/>
                <w:sz w:val="20"/>
                <w:szCs w:val="20"/>
              </w:rPr>
              <w:t xml:space="preserve"> Dischargers, Monthly Reporting</w:t>
            </w:r>
          </w:p>
        </w:tc>
        <w:tc>
          <w:tcPr>
            <w:tcW w:w="1161"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662,179</w:t>
            </w:r>
          </w:p>
        </w:tc>
        <w:tc>
          <w:tcPr>
            <w:tcW w:w="1106" w:type="dxa"/>
            <w:noWrap/>
            <w:hideMark/>
          </w:tcPr>
          <w:p w:rsidR="00813FF9" w:rsidRPr="00813FF9" w:rsidRDefault="00813FF9" w:rsidP="00813FF9">
            <w:pPr>
              <w:rPr>
                <w:rFonts w:ascii="Arial" w:hAnsi="Arial" w:cs="Arial"/>
                <w:sz w:val="20"/>
                <w:szCs w:val="20"/>
              </w:rPr>
            </w:pPr>
            <w:r w:rsidRPr="00813FF9">
              <w:rPr>
                <w:rFonts w:ascii="Arial" w:hAnsi="Arial" w:cs="Arial"/>
                <w:sz w:val="20"/>
                <w:szCs w:val="20"/>
              </w:rPr>
              <w:t>810,226</w:t>
            </w:r>
          </w:p>
        </w:tc>
        <w:tc>
          <w:tcPr>
            <w:tcW w:w="1333"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-148,046</w:t>
            </w:r>
          </w:p>
        </w:tc>
        <w:tc>
          <w:tcPr>
            <w:tcW w:w="6238" w:type="dxa"/>
            <w:vMerge w:val="restart"/>
            <w:noWrap/>
            <w:hideMark/>
          </w:tcPr>
          <w:p w:rsidR="00813FF9" w:rsidRPr="00813FF9" w:rsidRDefault="00813FF9" w:rsidP="00813FF9">
            <w:pPr>
              <w:rPr>
                <w:rFonts w:ascii="Arial" w:hAnsi="Arial" w:cs="Arial"/>
                <w:sz w:val="20"/>
                <w:szCs w:val="20"/>
              </w:rPr>
            </w:pPr>
            <w:r w:rsidRPr="00813FF9">
              <w:rPr>
                <w:rFonts w:ascii="Arial" w:hAnsi="Arial" w:cs="Arial"/>
                <w:sz w:val="20"/>
                <w:szCs w:val="20"/>
              </w:rPr>
              <w:t>The total number of Minor (</w:t>
            </w:r>
            <w:proofErr w:type="spellStart"/>
            <w:r w:rsidRPr="00813FF9">
              <w:rPr>
                <w:rFonts w:ascii="Arial" w:hAnsi="Arial" w:cs="Arial"/>
                <w:sz w:val="20"/>
                <w:szCs w:val="20"/>
              </w:rPr>
              <w:t>nonmunicipal</w:t>
            </w:r>
            <w:proofErr w:type="spellEnd"/>
            <w:r w:rsidRPr="00813FF9">
              <w:rPr>
                <w:rFonts w:ascii="Arial" w:hAnsi="Arial" w:cs="Arial"/>
                <w:sz w:val="20"/>
                <w:szCs w:val="20"/>
              </w:rPr>
              <w:t>) Dischargers that report monthly has decreased (Bimonthly has increased). Reporting frequency fields in ICIS are easier to interpret than those in PCS. More States are now under ICIS.</w:t>
            </w:r>
          </w:p>
        </w:tc>
      </w:tr>
      <w:tr w:rsidR="00813FF9" w:rsidRPr="00813FF9" w:rsidTr="00813FF9">
        <w:trPr>
          <w:trHeight w:val="20"/>
        </w:trPr>
        <w:tc>
          <w:tcPr>
            <w:tcW w:w="1367"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3.9</w:t>
            </w:r>
          </w:p>
        </w:tc>
        <w:tc>
          <w:tcPr>
            <w:tcW w:w="1562"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DMR Sampling Analysis</w:t>
            </w:r>
          </w:p>
        </w:tc>
        <w:tc>
          <w:tcPr>
            <w:tcW w:w="1769"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 xml:space="preserve">Minor </w:t>
            </w:r>
            <w:proofErr w:type="spellStart"/>
            <w:r w:rsidRPr="00813FF9">
              <w:rPr>
                <w:rFonts w:ascii="Arial" w:hAnsi="Arial" w:cs="Arial"/>
                <w:sz w:val="20"/>
                <w:szCs w:val="20"/>
              </w:rPr>
              <w:t>Nonmunicipal</w:t>
            </w:r>
            <w:proofErr w:type="spellEnd"/>
            <w:r w:rsidRPr="00813FF9">
              <w:rPr>
                <w:rFonts w:ascii="Arial" w:hAnsi="Arial" w:cs="Arial"/>
                <w:sz w:val="20"/>
                <w:szCs w:val="20"/>
              </w:rPr>
              <w:t xml:space="preserve"> Dischargers, Monthly Reporting</w:t>
            </w:r>
          </w:p>
        </w:tc>
        <w:tc>
          <w:tcPr>
            <w:tcW w:w="1161"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1,407,131</w:t>
            </w:r>
          </w:p>
        </w:tc>
        <w:tc>
          <w:tcPr>
            <w:tcW w:w="1106" w:type="dxa"/>
            <w:noWrap/>
            <w:hideMark/>
          </w:tcPr>
          <w:p w:rsidR="00813FF9" w:rsidRPr="00813FF9" w:rsidRDefault="00813FF9" w:rsidP="00813FF9">
            <w:pPr>
              <w:rPr>
                <w:rFonts w:ascii="Arial" w:hAnsi="Arial" w:cs="Arial"/>
                <w:sz w:val="20"/>
                <w:szCs w:val="20"/>
              </w:rPr>
            </w:pPr>
            <w:r w:rsidRPr="00813FF9">
              <w:rPr>
                <w:rFonts w:ascii="Arial" w:hAnsi="Arial" w:cs="Arial"/>
                <w:sz w:val="20"/>
                <w:szCs w:val="20"/>
              </w:rPr>
              <w:t>1,721,729</w:t>
            </w:r>
          </w:p>
        </w:tc>
        <w:tc>
          <w:tcPr>
            <w:tcW w:w="1333"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-314,599</w:t>
            </w:r>
          </w:p>
        </w:tc>
        <w:tc>
          <w:tcPr>
            <w:tcW w:w="6238" w:type="dxa"/>
            <w:vMerge/>
            <w:noWrap/>
          </w:tcPr>
          <w:p w:rsidR="00813FF9" w:rsidRPr="00813FF9" w:rsidRDefault="00813FF9" w:rsidP="00813FF9">
            <w:pPr>
              <w:rPr>
                <w:rFonts w:ascii="Arial" w:hAnsi="Arial" w:cs="Arial"/>
                <w:sz w:val="20"/>
                <w:szCs w:val="20"/>
              </w:rPr>
            </w:pPr>
          </w:p>
        </w:tc>
      </w:tr>
      <w:tr w:rsidR="00813FF9" w:rsidRPr="00813FF9" w:rsidTr="00813FF9">
        <w:trPr>
          <w:trHeight w:val="20"/>
        </w:trPr>
        <w:tc>
          <w:tcPr>
            <w:tcW w:w="1367"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3.62</w:t>
            </w:r>
          </w:p>
        </w:tc>
        <w:tc>
          <w:tcPr>
            <w:tcW w:w="1562"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DMR Sampling Analysis</w:t>
            </w:r>
          </w:p>
        </w:tc>
        <w:tc>
          <w:tcPr>
            <w:tcW w:w="1769"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Minor Municipal Dischargers, Monthly Reporting</w:t>
            </w:r>
          </w:p>
        </w:tc>
        <w:tc>
          <w:tcPr>
            <w:tcW w:w="1161"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770,544</w:t>
            </w:r>
          </w:p>
        </w:tc>
        <w:tc>
          <w:tcPr>
            <w:tcW w:w="1106" w:type="dxa"/>
            <w:noWrap/>
            <w:hideMark/>
          </w:tcPr>
          <w:p w:rsidR="00813FF9" w:rsidRPr="00813FF9" w:rsidRDefault="00813FF9" w:rsidP="00813FF9">
            <w:pPr>
              <w:rPr>
                <w:rFonts w:ascii="Arial" w:hAnsi="Arial" w:cs="Arial"/>
                <w:sz w:val="20"/>
                <w:szCs w:val="20"/>
              </w:rPr>
            </w:pPr>
            <w:r w:rsidRPr="00813FF9">
              <w:rPr>
                <w:rFonts w:ascii="Arial" w:hAnsi="Arial" w:cs="Arial"/>
                <w:sz w:val="20"/>
                <w:szCs w:val="20"/>
              </w:rPr>
              <w:t>872,595</w:t>
            </w:r>
          </w:p>
        </w:tc>
        <w:tc>
          <w:tcPr>
            <w:tcW w:w="1333"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-102,051</w:t>
            </w:r>
          </w:p>
        </w:tc>
        <w:tc>
          <w:tcPr>
            <w:tcW w:w="6238" w:type="dxa"/>
            <w:vMerge/>
            <w:noWrap/>
          </w:tcPr>
          <w:p w:rsidR="00813FF9" w:rsidRPr="00813FF9" w:rsidRDefault="00813FF9" w:rsidP="00813FF9">
            <w:pPr>
              <w:rPr>
                <w:rFonts w:ascii="Arial" w:hAnsi="Arial" w:cs="Arial"/>
                <w:sz w:val="20"/>
                <w:szCs w:val="20"/>
              </w:rPr>
            </w:pPr>
          </w:p>
        </w:tc>
      </w:tr>
      <w:tr w:rsidR="00813FF9" w:rsidRPr="00813FF9" w:rsidTr="00813FF9">
        <w:trPr>
          <w:trHeight w:val="20"/>
        </w:trPr>
        <w:tc>
          <w:tcPr>
            <w:tcW w:w="1367"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4.23</w:t>
            </w:r>
          </w:p>
        </w:tc>
        <w:tc>
          <w:tcPr>
            <w:tcW w:w="1562"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DMR Reporting</w:t>
            </w:r>
          </w:p>
        </w:tc>
        <w:tc>
          <w:tcPr>
            <w:tcW w:w="1769"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 xml:space="preserve">Minor </w:t>
            </w:r>
            <w:proofErr w:type="spellStart"/>
            <w:r w:rsidRPr="00813FF9">
              <w:rPr>
                <w:rFonts w:ascii="Arial" w:hAnsi="Arial" w:cs="Arial"/>
                <w:sz w:val="20"/>
                <w:szCs w:val="20"/>
              </w:rPr>
              <w:t>Nonmunicipal</w:t>
            </w:r>
            <w:proofErr w:type="spellEnd"/>
            <w:r w:rsidRPr="00813FF9">
              <w:rPr>
                <w:rFonts w:ascii="Arial" w:hAnsi="Arial" w:cs="Arial"/>
                <w:sz w:val="20"/>
                <w:szCs w:val="20"/>
              </w:rPr>
              <w:t xml:space="preserve"> Dischargers, Monthly Reporting</w:t>
            </w:r>
          </w:p>
        </w:tc>
        <w:tc>
          <w:tcPr>
            <w:tcW w:w="1161"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287,904</w:t>
            </w:r>
          </w:p>
        </w:tc>
        <w:tc>
          <w:tcPr>
            <w:tcW w:w="1106"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352,272</w:t>
            </w:r>
          </w:p>
        </w:tc>
        <w:tc>
          <w:tcPr>
            <w:tcW w:w="1333"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-64,368</w:t>
            </w:r>
          </w:p>
        </w:tc>
        <w:tc>
          <w:tcPr>
            <w:tcW w:w="6238" w:type="dxa"/>
            <w:vMerge/>
            <w:noWrap/>
          </w:tcPr>
          <w:p w:rsidR="00813FF9" w:rsidRPr="00813FF9" w:rsidRDefault="00813FF9" w:rsidP="00813FF9">
            <w:pPr>
              <w:rPr>
                <w:rFonts w:ascii="Arial" w:hAnsi="Arial" w:cs="Arial"/>
                <w:sz w:val="20"/>
                <w:szCs w:val="20"/>
              </w:rPr>
            </w:pPr>
          </w:p>
        </w:tc>
      </w:tr>
      <w:tr w:rsidR="00813FF9" w:rsidRPr="00813FF9" w:rsidTr="00813FF9">
        <w:trPr>
          <w:trHeight w:val="20"/>
        </w:trPr>
        <w:tc>
          <w:tcPr>
            <w:tcW w:w="1367"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3.11</w:t>
            </w:r>
          </w:p>
        </w:tc>
        <w:tc>
          <w:tcPr>
            <w:tcW w:w="1562"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DMR Sampling Analysis</w:t>
            </w:r>
          </w:p>
        </w:tc>
        <w:tc>
          <w:tcPr>
            <w:tcW w:w="1769"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 xml:space="preserve">Minor </w:t>
            </w:r>
            <w:proofErr w:type="spellStart"/>
            <w:r w:rsidRPr="00813FF9">
              <w:rPr>
                <w:rFonts w:ascii="Arial" w:hAnsi="Arial" w:cs="Arial"/>
                <w:sz w:val="20"/>
                <w:szCs w:val="20"/>
              </w:rPr>
              <w:t>Nonmunicipal</w:t>
            </w:r>
            <w:proofErr w:type="spellEnd"/>
            <w:r w:rsidRPr="00813FF9">
              <w:rPr>
                <w:rFonts w:ascii="Arial" w:hAnsi="Arial" w:cs="Arial"/>
                <w:sz w:val="20"/>
                <w:szCs w:val="20"/>
              </w:rPr>
              <w:t xml:space="preserve"> Dischargers, </w:t>
            </w:r>
            <w:r w:rsidRPr="00813FF9">
              <w:rPr>
                <w:rFonts w:ascii="Arial" w:hAnsi="Arial" w:cs="Arial"/>
                <w:sz w:val="20"/>
                <w:szCs w:val="20"/>
              </w:rPr>
              <w:lastRenderedPageBreak/>
              <w:t xml:space="preserve">Quarterly Reporting </w:t>
            </w:r>
          </w:p>
        </w:tc>
        <w:tc>
          <w:tcPr>
            <w:tcW w:w="1161" w:type="dxa"/>
            <w:hideMark/>
          </w:tcPr>
          <w:p w:rsidR="00813FF9" w:rsidRPr="00813FF9" w:rsidRDefault="00813FF9" w:rsidP="00813FF9">
            <w:pPr>
              <w:rPr>
                <w:rFonts w:ascii="Arial" w:hAnsi="Arial" w:cs="Arial"/>
                <w:sz w:val="20"/>
                <w:szCs w:val="20"/>
              </w:rPr>
            </w:pPr>
            <w:r w:rsidRPr="00813FF9">
              <w:rPr>
                <w:rFonts w:ascii="Arial" w:hAnsi="Arial" w:cs="Arial"/>
                <w:sz w:val="20"/>
                <w:szCs w:val="20"/>
              </w:rPr>
              <w:lastRenderedPageBreak/>
              <w:t>300,523</w:t>
            </w:r>
          </w:p>
        </w:tc>
        <w:tc>
          <w:tcPr>
            <w:tcW w:w="1106" w:type="dxa"/>
            <w:noWrap/>
            <w:hideMark/>
          </w:tcPr>
          <w:p w:rsidR="00813FF9" w:rsidRPr="00813FF9" w:rsidRDefault="00813FF9" w:rsidP="00813FF9">
            <w:pPr>
              <w:rPr>
                <w:rFonts w:ascii="Arial" w:hAnsi="Arial" w:cs="Arial"/>
                <w:sz w:val="20"/>
                <w:szCs w:val="20"/>
              </w:rPr>
            </w:pPr>
            <w:r w:rsidRPr="00813FF9">
              <w:rPr>
                <w:rFonts w:ascii="Arial" w:hAnsi="Arial" w:cs="Arial"/>
                <w:sz w:val="20"/>
                <w:szCs w:val="20"/>
              </w:rPr>
              <w:t>351,196</w:t>
            </w:r>
          </w:p>
        </w:tc>
        <w:tc>
          <w:tcPr>
            <w:tcW w:w="1333"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-50,674</w:t>
            </w:r>
          </w:p>
        </w:tc>
        <w:tc>
          <w:tcPr>
            <w:tcW w:w="6238" w:type="dxa"/>
            <w:noWrap/>
            <w:hideMark/>
          </w:tcPr>
          <w:p w:rsidR="00813FF9" w:rsidRPr="00813FF9" w:rsidRDefault="00813FF9" w:rsidP="00813FF9">
            <w:pPr>
              <w:rPr>
                <w:rFonts w:ascii="Arial" w:hAnsi="Arial" w:cs="Arial"/>
                <w:sz w:val="20"/>
                <w:szCs w:val="20"/>
              </w:rPr>
            </w:pPr>
            <w:r w:rsidRPr="00813FF9">
              <w:rPr>
                <w:rFonts w:ascii="Arial" w:hAnsi="Arial" w:cs="Arial"/>
                <w:sz w:val="20"/>
                <w:szCs w:val="20"/>
              </w:rPr>
              <w:t>The total number of Minor (</w:t>
            </w:r>
            <w:proofErr w:type="spellStart"/>
            <w:r w:rsidRPr="00813FF9">
              <w:rPr>
                <w:rFonts w:ascii="Arial" w:hAnsi="Arial" w:cs="Arial"/>
                <w:sz w:val="20"/>
                <w:szCs w:val="20"/>
              </w:rPr>
              <w:t>nonmunicipal</w:t>
            </w:r>
            <w:proofErr w:type="spellEnd"/>
            <w:r w:rsidRPr="00813FF9">
              <w:rPr>
                <w:rFonts w:ascii="Arial" w:hAnsi="Arial" w:cs="Arial"/>
                <w:sz w:val="20"/>
                <w:szCs w:val="20"/>
              </w:rPr>
              <w:t xml:space="preserve">) Dischargers that report quarterly has decreased (Bimonthly has increased). Reporting frequency fields in ICIS are easier to interpret than those in PCS. </w:t>
            </w:r>
            <w:r w:rsidRPr="00813FF9">
              <w:rPr>
                <w:rFonts w:ascii="Arial" w:hAnsi="Arial" w:cs="Arial"/>
                <w:sz w:val="20"/>
                <w:szCs w:val="20"/>
              </w:rPr>
              <w:lastRenderedPageBreak/>
              <w:t>More States are now under ICIS.</w:t>
            </w:r>
          </w:p>
        </w:tc>
      </w:tr>
      <w:tr w:rsidR="00813FF9" w:rsidRPr="00813FF9" w:rsidTr="00813FF9">
        <w:trPr>
          <w:cantSplit/>
          <w:trHeight w:val="20"/>
        </w:trPr>
        <w:tc>
          <w:tcPr>
            <w:tcW w:w="1367" w:type="dxa"/>
            <w:hideMark/>
          </w:tcPr>
          <w:p w:rsidR="00813FF9" w:rsidRPr="00813FF9" w:rsidRDefault="00813FF9" w:rsidP="00813FF9">
            <w:pPr>
              <w:rPr>
                <w:rFonts w:ascii="Arial" w:hAnsi="Arial" w:cs="Arial"/>
                <w:sz w:val="20"/>
                <w:szCs w:val="20"/>
              </w:rPr>
            </w:pPr>
            <w:r w:rsidRPr="00813FF9">
              <w:rPr>
                <w:rFonts w:ascii="Arial" w:hAnsi="Arial" w:cs="Arial"/>
                <w:sz w:val="20"/>
                <w:szCs w:val="20"/>
              </w:rPr>
              <w:lastRenderedPageBreak/>
              <w:t>3.82</w:t>
            </w:r>
          </w:p>
        </w:tc>
        <w:tc>
          <w:tcPr>
            <w:tcW w:w="1562"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DMR Sampling</w:t>
            </w:r>
          </w:p>
        </w:tc>
        <w:tc>
          <w:tcPr>
            <w:tcW w:w="1769"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General Non-</w:t>
            </w:r>
            <w:proofErr w:type="spellStart"/>
            <w:r w:rsidRPr="00813FF9">
              <w:rPr>
                <w:rFonts w:ascii="Arial" w:hAnsi="Arial" w:cs="Arial"/>
                <w:sz w:val="20"/>
                <w:szCs w:val="20"/>
              </w:rPr>
              <w:t>stormwater</w:t>
            </w:r>
            <w:proofErr w:type="spellEnd"/>
            <w:r w:rsidRPr="00813FF9">
              <w:rPr>
                <w:rFonts w:ascii="Arial" w:hAnsi="Arial" w:cs="Arial"/>
                <w:sz w:val="20"/>
                <w:szCs w:val="20"/>
              </w:rPr>
              <w:t xml:space="preserve"> Permittees (State) - Quarterly</w:t>
            </w:r>
          </w:p>
        </w:tc>
        <w:tc>
          <w:tcPr>
            <w:tcW w:w="1161"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47,538</w:t>
            </w:r>
          </w:p>
        </w:tc>
        <w:tc>
          <w:tcPr>
            <w:tcW w:w="1106"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109,944</w:t>
            </w:r>
          </w:p>
        </w:tc>
        <w:tc>
          <w:tcPr>
            <w:tcW w:w="1333"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-62,406</w:t>
            </w:r>
          </w:p>
        </w:tc>
        <w:tc>
          <w:tcPr>
            <w:tcW w:w="6238" w:type="dxa"/>
            <w:vMerge w:val="restart"/>
            <w:noWrap/>
            <w:hideMark/>
          </w:tcPr>
          <w:p w:rsidR="00813FF9" w:rsidRPr="00813FF9" w:rsidRDefault="00813FF9" w:rsidP="00813FF9">
            <w:pPr>
              <w:keepNext/>
              <w:keepLines/>
              <w:rPr>
                <w:rFonts w:ascii="Arial" w:hAnsi="Arial" w:cs="Arial"/>
                <w:sz w:val="20"/>
                <w:szCs w:val="20"/>
              </w:rPr>
            </w:pPr>
            <w:r w:rsidRPr="00813FF9">
              <w:rPr>
                <w:rFonts w:ascii="Arial" w:hAnsi="Arial" w:cs="Arial"/>
                <w:sz w:val="20"/>
                <w:szCs w:val="20"/>
              </w:rPr>
              <w:t>Total Number of Non-</w:t>
            </w:r>
            <w:proofErr w:type="spellStart"/>
            <w:r w:rsidRPr="00813FF9">
              <w:rPr>
                <w:rFonts w:ascii="Arial" w:hAnsi="Arial" w:cs="Arial"/>
                <w:sz w:val="20"/>
                <w:szCs w:val="20"/>
              </w:rPr>
              <w:t>Stormwater</w:t>
            </w:r>
            <w:proofErr w:type="spellEnd"/>
            <w:r w:rsidRPr="00813FF9">
              <w:rPr>
                <w:rFonts w:ascii="Arial" w:hAnsi="Arial" w:cs="Arial"/>
                <w:sz w:val="20"/>
                <w:szCs w:val="20"/>
              </w:rPr>
              <w:t xml:space="preserve"> General Permittees decreased by EPA. (Jackie Clark) Additionally, the percent of Non-</w:t>
            </w:r>
            <w:proofErr w:type="spellStart"/>
            <w:r w:rsidRPr="00813FF9">
              <w:rPr>
                <w:rFonts w:ascii="Arial" w:hAnsi="Arial" w:cs="Arial"/>
                <w:sz w:val="20"/>
                <w:szCs w:val="20"/>
              </w:rPr>
              <w:t>stormwater</w:t>
            </w:r>
            <w:proofErr w:type="spellEnd"/>
            <w:r w:rsidRPr="00813FF9">
              <w:rPr>
                <w:rFonts w:ascii="Arial" w:hAnsi="Arial" w:cs="Arial"/>
                <w:sz w:val="20"/>
                <w:szCs w:val="20"/>
              </w:rPr>
              <w:t xml:space="preserve"> General Permittees not required to report has increased, and there is a move from monthly and quarterly sampling to semiannual and annual.</w:t>
            </w:r>
          </w:p>
        </w:tc>
      </w:tr>
      <w:tr w:rsidR="00813FF9" w:rsidRPr="00813FF9" w:rsidTr="00813FF9">
        <w:trPr>
          <w:trHeight w:val="20"/>
        </w:trPr>
        <w:tc>
          <w:tcPr>
            <w:tcW w:w="1367"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4.226</w:t>
            </w:r>
          </w:p>
        </w:tc>
        <w:tc>
          <w:tcPr>
            <w:tcW w:w="1562"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DMR Reporting</w:t>
            </w:r>
          </w:p>
        </w:tc>
        <w:tc>
          <w:tcPr>
            <w:tcW w:w="1769"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General Non-</w:t>
            </w:r>
            <w:proofErr w:type="spellStart"/>
            <w:r w:rsidRPr="00813FF9">
              <w:rPr>
                <w:rFonts w:ascii="Arial" w:hAnsi="Arial" w:cs="Arial"/>
                <w:sz w:val="20"/>
                <w:szCs w:val="20"/>
              </w:rPr>
              <w:t>stormwater</w:t>
            </w:r>
            <w:proofErr w:type="spellEnd"/>
            <w:r w:rsidRPr="00813FF9">
              <w:rPr>
                <w:rFonts w:ascii="Arial" w:hAnsi="Arial" w:cs="Arial"/>
                <w:sz w:val="20"/>
                <w:szCs w:val="20"/>
              </w:rPr>
              <w:t xml:space="preserve"> Permittees (State) - Quarterly</w:t>
            </w:r>
          </w:p>
        </w:tc>
        <w:tc>
          <w:tcPr>
            <w:tcW w:w="1161"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42,256</w:t>
            </w:r>
          </w:p>
        </w:tc>
        <w:tc>
          <w:tcPr>
            <w:tcW w:w="1106"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97,728</w:t>
            </w:r>
          </w:p>
        </w:tc>
        <w:tc>
          <w:tcPr>
            <w:tcW w:w="1333"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-55,472</w:t>
            </w:r>
          </w:p>
        </w:tc>
        <w:tc>
          <w:tcPr>
            <w:tcW w:w="6238" w:type="dxa"/>
            <w:vMerge/>
            <w:noWrap/>
            <w:hideMark/>
          </w:tcPr>
          <w:p w:rsidR="00813FF9" w:rsidRPr="00813FF9" w:rsidRDefault="00813FF9" w:rsidP="00813FF9">
            <w:pPr>
              <w:rPr>
                <w:rFonts w:ascii="Arial" w:hAnsi="Arial" w:cs="Arial"/>
                <w:sz w:val="20"/>
                <w:szCs w:val="20"/>
              </w:rPr>
            </w:pPr>
          </w:p>
        </w:tc>
      </w:tr>
      <w:tr w:rsidR="00813FF9" w:rsidRPr="00813FF9" w:rsidTr="00813FF9">
        <w:trPr>
          <w:trHeight w:val="20"/>
        </w:trPr>
        <w:tc>
          <w:tcPr>
            <w:tcW w:w="1367"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3.95</w:t>
            </w:r>
          </w:p>
        </w:tc>
        <w:tc>
          <w:tcPr>
            <w:tcW w:w="1562"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DMR Sampling</w:t>
            </w:r>
          </w:p>
        </w:tc>
        <w:tc>
          <w:tcPr>
            <w:tcW w:w="1769"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MS4s, Phase I</w:t>
            </w:r>
          </w:p>
        </w:tc>
        <w:tc>
          <w:tcPr>
            <w:tcW w:w="1161"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257,520</w:t>
            </w:r>
          </w:p>
        </w:tc>
        <w:tc>
          <w:tcPr>
            <w:tcW w:w="1106"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419,933</w:t>
            </w:r>
          </w:p>
        </w:tc>
        <w:tc>
          <w:tcPr>
            <w:tcW w:w="1333"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-162,413</w:t>
            </w:r>
          </w:p>
        </w:tc>
        <w:tc>
          <w:tcPr>
            <w:tcW w:w="6238" w:type="dxa"/>
            <w:vMerge w:val="restart"/>
            <w:noWrap/>
            <w:hideMark/>
          </w:tcPr>
          <w:p w:rsidR="00813FF9" w:rsidRPr="00813FF9" w:rsidRDefault="00813FF9" w:rsidP="00813FF9">
            <w:pPr>
              <w:rPr>
                <w:rFonts w:ascii="Arial" w:hAnsi="Arial" w:cs="Arial"/>
                <w:sz w:val="20"/>
                <w:szCs w:val="20"/>
              </w:rPr>
            </w:pPr>
            <w:r w:rsidRPr="00813FF9">
              <w:rPr>
                <w:rFonts w:ascii="Arial" w:hAnsi="Arial" w:cs="Arial"/>
                <w:sz w:val="20"/>
                <w:szCs w:val="20"/>
              </w:rPr>
              <w:t>Updated sources of information show a decrease in the number of estimated Phase I MS4s permits.</w:t>
            </w:r>
          </w:p>
        </w:tc>
      </w:tr>
      <w:tr w:rsidR="00813FF9" w:rsidRPr="00813FF9" w:rsidTr="00813FF9">
        <w:trPr>
          <w:trHeight w:val="20"/>
        </w:trPr>
        <w:tc>
          <w:tcPr>
            <w:tcW w:w="1367"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3.96</w:t>
            </w:r>
          </w:p>
        </w:tc>
        <w:tc>
          <w:tcPr>
            <w:tcW w:w="1562"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DMR Sampling Analysis</w:t>
            </w:r>
          </w:p>
        </w:tc>
        <w:tc>
          <w:tcPr>
            <w:tcW w:w="1769"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MS4s, Phase I</w:t>
            </w:r>
          </w:p>
        </w:tc>
        <w:tc>
          <w:tcPr>
            <w:tcW w:w="1161"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145,389</w:t>
            </w:r>
          </w:p>
        </w:tc>
        <w:tc>
          <w:tcPr>
            <w:tcW w:w="1106"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 xml:space="preserve">  237,083 </w:t>
            </w:r>
          </w:p>
        </w:tc>
        <w:tc>
          <w:tcPr>
            <w:tcW w:w="1333" w:type="dxa"/>
            <w:hideMark/>
          </w:tcPr>
          <w:p w:rsidR="00813FF9" w:rsidRPr="00813FF9" w:rsidRDefault="00813FF9" w:rsidP="00813FF9">
            <w:pPr>
              <w:rPr>
                <w:rFonts w:ascii="Arial" w:hAnsi="Arial" w:cs="Arial"/>
                <w:sz w:val="20"/>
                <w:szCs w:val="20"/>
              </w:rPr>
            </w:pPr>
            <w:r w:rsidRPr="00813FF9">
              <w:rPr>
                <w:rFonts w:ascii="Arial" w:hAnsi="Arial" w:cs="Arial"/>
                <w:sz w:val="20"/>
                <w:szCs w:val="20"/>
              </w:rPr>
              <w:t>-91,694</w:t>
            </w:r>
          </w:p>
        </w:tc>
        <w:tc>
          <w:tcPr>
            <w:tcW w:w="6238" w:type="dxa"/>
            <w:vMerge/>
            <w:noWrap/>
            <w:hideMark/>
          </w:tcPr>
          <w:p w:rsidR="00813FF9" w:rsidRPr="00813FF9" w:rsidRDefault="00813FF9" w:rsidP="00813FF9">
            <w:pPr>
              <w:rPr>
                <w:rFonts w:ascii="Arial" w:hAnsi="Arial" w:cs="Arial"/>
                <w:sz w:val="20"/>
                <w:szCs w:val="20"/>
              </w:rPr>
            </w:pPr>
          </w:p>
        </w:tc>
      </w:tr>
    </w:tbl>
    <w:p w:rsidR="00813FF9" w:rsidRDefault="00813FF9" w:rsidP="002933A1">
      <w:pPr>
        <w:spacing w:after="0" w:line="240" w:lineRule="auto"/>
        <w:rPr>
          <w:rFonts w:ascii="Times New Roman" w:hAnsi="Times New Roman" w:cs="Times New Roman"/>
          <w:sz w:val="24"/>
          <w:szCs w:val="24"/>
        </w:rPr>
      </w:pPr>
    </w:p>
    <w:p w:rsidR="00813FF9" w:rsidRDefault="00813FF9" w:rsidP="002933A1">
      <w:pPr>
        <w:spacing w:after="0" w:line="240" w:lineRule="auto"/>
        <w:rPr>
          <w:rFonts w:ascii="Times New Roman" w:hAnsi="Times New Roman" w:cs="Times New Roman"/>
          <w:sz w:val="24"/>
          <w:szCs w:val="24"/>
        </w:rPr>
      </w:pPr>
    </w:p>
    <w:p w:rsidR="00050847" w:rsidRDefault="00050847" w:rsidP="002933A1">
      <w:pPr>
        <w:spacing w:after="0" w:line="240" w:lineRule="auto"/>
        <w:rPr>
          <w:rFonts w:ascii="Times New Roman" w:hAnsi="Times New Roman" w:cs="Times New Roman"/>
          <w:sz w:val="24"/>
          <w:szCs w:val="24"/>
        </w:rPr>
      </w:pPr>
    </w:p>
    <w:p w:rsidR="00CA7710" w:rsidRPr="002933A1" w:rsidRDefault="00CA7710" w:rsidP="002933A1">
      <w:pPr>
        <w:spacing w:after="0" w:line="240" w:lineRule="auto"/>
        <w:rPr>
          <w:rFonts w:ascii="Times New Roman" w:hAnsi="Times New Roman" w:cs="Times New Roman"/>
          <w:sz w:val="24"/>
          <w:szCs w:val="24"/>
        </w:rPr>
      </w:pPr>
    </w:p>
    <w:sectPr w:rsidR="00CA7710" w:rsidRPr="002933A1" w:rsidSect="00B108D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757"/>
    <w:rsid w:val="00050847"/>
    <w:rsid w:val="00095692"/>
    <w:rsid w:val="00116000"/>
    <w:rsid w:val="00193477"/>
    <w:rsid w:val="001D5D10"/>
    <w:rsid w:val="002933A1"/>
    <w:rsid w:val="003916D5"/>
    <w:rsid w:val="004D2800"/>
    <w:rsid w:val="00613C4B"/>
    <w:rsid w:val="00660974"/>
    <w:rsid w:val="006E6700"/>
    <w:rsid w:val="00813FF9"/>
    <w:rsid w:val="00B108D0"/>
    <w:rsid w:val="00BC4A5B"/>
    <w:rsid w:val="00BE7CE1"/>
    <w:rsid w:val="00C531EA"/>
    <w:rsid w:val="00C96757"/>
    <w:rsid w:val="00CA7710"/>
    <w:rsid w:val="00FF4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3F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531EA"/>
    <w:rPr>
      <w:color w:val="0000FF"/>
      <w:u w:val="single"/>
    </w:rPr>
  </w:style>
  <w:style w:type="character" w:styleId="HTMLTypewriter">
    <w:name w:val="HTML Typewriter"/>
    <w:basedOn w:val="DefaultParagraphFont"/>
    <w:uiPriority w:val="99"/>
    <w:semiHidden/>
    <w:unhideWhenUsed/>
    <w:rsid w:val="00C531EA"/>
    <w:rPr>
      <w:rFonts w:ascii="Courier New" w:eastAsiaTheme="minorHAnsi" w:hAnsi="Courier New" w:cs="Courier New" w:hint="default"/>
      <w:sz w:val="20"/>
      <w:szCs w:val="20"/>
    </w:rPr>
  </w:style>
  <w:style w:type="paragraph" w:styleId="NormalWeb">
    <w:name w:val="Normal (Web)"/>
    <w:basedOn w:val="Normal"/>
    <w:uiPriority w:val="99"/>
    <w:semiHidden/>
    <w:unhideWhenUsed/>
    <w:rsid w:val="00C531EA"/>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3F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531EA"/>
    <w:rPr>
      <w:color w:val="0000FF"/>
      <w:u w:val="single"/>
    </w:rPr>
  </w:style>
  <w:style w:type="character" w:styleId="HTMLTypewriter">
    <w:name w:val="HTML Typewriter"/>
    <w:basedOn w:val="DefaultParagraphFont"/>
    <w:uiPriority w:val="99"/>
    <w:semiHidden/>
    <w:unhideWhenUsed/>
    <w:rsid w:val="00C531EA"/>
    <w:rPr>
      <w:rFonts w:ascii="Courier New" w:eastAsiaTheme="minorHAnsi" w:hAnsi="Courier New" w:cs="Courier New" w:hint="default"/>
      <w:sz w:val="20"/>
      <w:szCs w:val="20"/>
    </w:rPr>
  </w:style>
  <w:style w:type="paragraph" w:styleId="NormalWeb">
    <w:name w:val="Normal (Web)"/>
    <w:basedOn w:val="Normal"/>
    <w:uiPriority w:val="99"/>
    <w:semiHidden/>
    <w:unhideWhenUsed/>
    <w:rsid w:val="00C531E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232695">
      <w:bodyDiv w:val="1"/>
      <w:marLeft w:val="0"/>
      <w:marRight w:val="0"/>
      <w:marTop w:val="0"/>
      <w:marBottom w:val="0"/>
      <w:divBdr>
        <w:top w:val="none" w:sz="0" w:space="0" w:color="auto"/>
        <w:left w:val="none" w:sz="0" w:space="0" w:color="auto"/>
        <w:bottom w:val="none" w:sz="0" w:space="0" w:color="auto"/>
        <w:right w:val="none" w:sz="0" w:space="0" w:color="auto"/>
      </w:divBdr>
    </w:div>
    <w:div w:id="1401634465">
      <w:bodyDiv w:val="1"/>
      <w:marLeft w:val="0"/>
      <w:marRight w:val="0"/>
      <w:marTop w:val="0"/>
      <w:marBottom w:val="0"/>
      <w:divBdr>
        <w:top w:val="none" w:sz="0" w:space="0" w:color="auto"/>
        <w:left w:val="none" w:sz="0" w:space="0" w:color="auto"/>
        <w:bottom w:val="none" w:sz="0" w:space="0" w:color="auto"/>
        <w:right w:val="none" w:sz="0" w:space="0" w:color="auto"/>
      </w:divBdr>
      <w:divsChild>
        <w:div w:id="2586412">
          <w:marLeft w:val="0"/>
          <w:marRight w:val="0"/>
          <w:marTop w:val="0"/>
          <w:marBottom w:val="0"/>
          <w:divBdr>
            <w:top w:val="none" w:sz="0" w:space="0" w:color="auto"/>
            <w:left w:val="none" w:sz="0" w:space="0" w:color="auto"/>
            <w:bottom w:val="none" w:sz="0" w:space="0" w:color="auto"/>
            <w:right w:val="none" w:sz="0" w:space="0" w:color="auto"/>
          </w:divBdr>
        </w:div>
        <w:div w:id="2094155092">
          <w:marLeft w:val="0"/>
          <w:marRight w:val="0"/>
          <w:marTop w:val="0"/>
          <w:marBottom w:val="0"/>
          <w:divBdr>
            <w:top w:val="none" w:sz="0" w:space="0" w:color="auto"/>
            <w:left w:val="none" w:sz="0" w:space="0" w:color="auto"/>
            <w:bottom w:val="none" w:sz="0" w:space="0" w:color="auto"/>
            <w:right w:val="none" w:sz="0" w:space="0" w:color="auto"/>
          </w:divBdr>
        </w:div>
      </w:divsChild>
    </w:div>
    <w:div w:id="1585604274">
      <w:bodyDiv w:val="1"/>
      <w:marLeft w:val="0"/>
      <w:marRight w:val="0"/>
      <w:marTop w:val="0"/>
      <w:marBottom w:val="0"/>
      <w:divBdr>
        <w:top w:val="none" w:sz="0" w:space="0" w:color="auto"/>
        <w:left w:val="none" w:sz="0" w:space="0" w:color="auto"/>
        <w:bottom w:val="none" w:sz="0" w:space="0" w:color="auto"/>
        <w:right w:val="none" w:sz="0" w:space="0" w:color="auto"/>
      </w:divBdr>
    </w:div>
    <w:div w:id="1687441139">
      <w:bodyDiv w:val="1"/>
      <w:marLeft w:val="0"/>
      <w:marRight w:val="0"/>
      <w:marTop w:val="0"/>
      <w:marBottom w:val="0"/>
      <w:divBdr>
        <w:top w:val="none" w:sz="0" w:space="0" w:color="auto"/>
        <w:left w:val="none" w:sz="0" w:space="0" w:color="auto"/>
        <w:bottom w:val="none" w:sz="0" w:space="0" w:color="auto"/>
        <w:right w:val="none" w:sz="0" w:space="0" w:color="auto"/>
      </w:divBdr>
    </w:div>
    <w:div w:id="1947540544">
      <w:bodyDiv w:val="1"/>
      <w:marLeft w:val="0"/>
      <w:marRight w:val="0"/>
      <w:marTop w:val="0"/>
      <w:marBottom w:val="0"/>
      <w:divBdr>
        <w:top w:val="none" w:sz="0" w:space="0" w:color="auto"/>
        <w:left w:val="none" w:sz="0" w:space="0" w:color="auto"/>
        <w:bottom w:val="none" w:sz="0" w:space="0" w:color="auto"/>
        <w:right w:val="none" w:sz="0" w:space="0" w:color="auto"/>
      </w:divBdr>
    </w:div>
    <w:div w:id="210260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tratech.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alejandro.escobar@tetratech.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lejandro.Escobar@tetratech.com" TargetMode="External"/><Relationship Id="rId11" Type="http://schemas.openxmlformats.org/officeDocument/2006/relationships/hyperlink" Target="mailto:James_A._Laity@omb.eop.gov" TargetMode="External"/><Relationship Id="rId5" Type="http://schemas.openxmlformats.org/officeDocument/2006/relationships/webSettings" Target="webSettings.xml"/><Relationship Id="rId10" Type="http://schemas.openxmlformats.org/officeDocument/2006/relationships/hyperlink" Target="mailto:Letnes.Amelia@epamail.epa.gov" TargetMode="External"/><Relationship Id="rId4" Type="http://schemas.openxmlformats.org/officeDocument/2006/relationships/settings" Target="settings.xml"/><Relationship Id="rId9" Type="http://schemas.openxmlformats.org/officeDocument/2006/relationships/hyperlink" Target="mailto:Letnes.Amelia@epamail.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973B0-72D7-4810-ABA6-211DE3166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1424</Words>
  <Characters>8122</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Tetra Tech Inc.</Company>
  <LinksUpToDate>false</LinksUpToDate>
  <CharactersWithSpaces>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Escobar, Alejandro</dc:creator>
  <cp:lastModifiedBy>Jim Laity</cp:lastModifiedBy>
  <cp:revision>2</cp:revision>
  <dcterms:created xsi:type="dcterms:W3CDTF">2012-12-11T22:12:00Z</dcterms:created>
  <dcterms:modified xsi:type="dcterms:W3CDTF">2012-12-11T22:12:00Z</dcterms:modified>
</cp:coreProperties>
</file>