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37" w:rsidRDefault="00D70083" w:rsidP="007540EA">
      <w:pPr>
        <w:widowControl/>
        <w:tabs>
          <w:tab w:val="center" w:pos="4680"/>
          <w:tab w:val="left" w:pos="5760"/>
          <w:tab w:val="left" w:pos="6120"/>
        </w:tabs>
        <w:spacing w:line="360" w:lineRule="auto"/>
        <w:jc w:val="center"/>
        <w:rPr>
          <w:b/>
          <w:bCs/>
        </w:rPr>
      </w:pPr>
      <w:r>
        <w:rPr>
          <w:b/>
          <w:bCs/>
        </w:rPr>
        <w:tab/>
      </w:r>
      <w:r w:rsidR="003E516A">
        <w:rPr>
          <w:b/>
          <w:bCs/>
        </w:rPr>
        <w:t xml:space="preserve">  </w:t>
      </w:r>
      <w:r w:rsidR="00BA3D32">
        <w:rPr>
          <w:b/>
          <w:bCs/>
        </w:rPr>
        <w:t xml:space="preserve">           </w:t>
      </w:r>
    </w:p>
    <w:p w:rsidR="00C64251" w:rsidRDefault="00C64251" w:rsidP="00C64251">
      <w:pPr>
        <w:widowControl/>
        <w:tabs>
          <w:tab w:val="center" w:pos="4680"/>
          <w:tab w:val="left" w:pos="5760"/>
          <w:tab w:val="left" w:pos="6120"/>
        </w:tabs>
        <w:spacing w:line="360" w:lineRule="auto"/>
        <w:jc w:val="center"/>
        <w:rPr>
          <w:b/>
          <w:bCs/>
        </w:rPr>
      </w:pPr>
      <w:r>
        <w:rPr>
          <w:b/>
          <w:bCs/>
        </w:rPr>
        <w:t>INFORMATION COLLECTION REQUEST</w:t>
      </w:r>
    </w:p>
    <w:p w:rsidR="00C64251" w:rsidRDefault="001B2823" w:rsidP="001B2823">
      <w:pPr>
        <w:widowControl/>
        <w:tabs>
          <w:tab w:val="center" w:pos="4680"/>
          <w:tab w:val="left" w:pos="5760"/>
          <w:tab w:val="left" w:pos="6120"/>
        </w:tabs>
        <w:spacing w:line="360" w:lineRule="auto"/>
        <w:rPr>
          <w:b/>
          <w:bCs/>
        </w:rPr>
      </w:pPr>
      <w:r>
        <w:rPr>
          <w:b/>
          <w:bCs/>
        </w:rPr>
        <w:tab/>
      </w:r>
      <w:r w:rsidR="000E4637">
        <w:rPr>
          <w:b/>
          <w:bCs/>
        </w:rPr>
        <w:t>SUPPORTING STATEMENT</w:t>
      </w:r>
    </w:p>
    <w:p w:rsidR="000E4637" w:rsidRDefault="000E4637" w:rsidP="007540EA">
      <w:pPr>
        <w:widowControl/>
        <w:tabs>
          <w:tab w:val="center" w:pos="4680"/>
          <w:tab w:val="left" w:pos="5760"/>
          <w:tab w:val="left" w:pos="6120"/>
        </w:tabs>
        <w:spacing w:line="360" w:lineRule="auto"/>
        <w:jc w:val="center"/>
        <w:rPr>
          <w:b/>
          <w:bCs/>
        </w:rPr>
      </w:pPr>
      <w:r>
        <w:rPr>
          <w:b/>
          <w:bCs/>
        </w:rPr>
        <w:t>ENVIRONMENTAL PROTECTION AGENCY</w:t>
      </w:r>
    </w:p>
    <w:p w:rsidR="000E4637" w:rsidRDefault="001939AB" w:rsidP="00C64251">
      <w:pPr>
        <w:widowControl/>
        <w:tabs>
          <w:tab w:val="center" w:pos="4680"/>
          <w:tab w:val="left" w:pos="5760"/>
          <w:tab w:val="left" w:pos="6120"/>
        </w:tabs>
        <w:spacing w:line="360" w:lineRule="auto"/>
        <w:jc w:val="center"/>
        <w:rPr>
          <w:b/>
          <w:bCs/>
        </w:rPr>
      </w:pPr>
      <w:bookmarkStart w:id="0" w:name="skip_nav"/>
      <w:r>
        <w:rPr>
          <w:b/>
          <w:bCs/>
        </w:rPr>
        <w:t>Federal Supplier (Small Business) Greenhouse Gas Inventory Pilot (Renewal)</w:t>
      </w:r>
      <w:bookmarkEnd w:id="0"/>
    </w:p>
    <w:p w:rsidR="00EF4642" w:rsidRDefault="00EF4642" w:rsidP="000E4637">
      <w:pPr>
        <w:widowControl/>
        <w:tabs>
          <w:tab w:val="center" w:pos="4680"/>
          <w:tab w:val="left" w:pos="5760"/>
          <w:tab w:val="left" w:pos="6120"/>
        </w:tabs>
        <w:spacing w:line="360" w:lineRule="auto"/>
        <w:rPr>
          <w:b/>
          <w:bCs/>
        </w:rPr>
      </w:pPr>
    </w:p>
    <w:p w:rsidR="008E6CCB" w:rsidRPr="007267FC" w:rsidRDefault="008E6CC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pPr>
      <w:r w:rsidRPr="007267FC">
        <w:rPr>
          <w:b/>
          <w:bCs/>
        </w:rPr>
        <w:t>1.</w:t>
      </w:r>
      <w:r w:rsidRPr="007267FC">
        <w:rPr>
          <w:b/>
          <w:bCs/>
        </w:rPr>
        <w:tab/>
      </w:r>
      <w:r w:rsidRPr="007267FC">
        <w:rPr>
          <w:b/>
        </w:rPr>
        <w:t>IDENTIFICATION OF THE INFORMATION COLLECTION REQUEST</w:t>
      </w:r>
    </w:p>
    <w:p w:rsidR="008E6CCB" w:rsidRPr="007267FC" w:rsidRDefault="008E6CCB" w:rsidP="007267FC">
      <w:pPr>
        <w:widowControl/>
        <w:tabs>
          <w:tab w:val="left" w:pos="-1080"/>
        </w:tabs>
        <w:spacing w:line="360" w:lineRule="auto"/>
        <w:ind w:left="1440" w:hanging="720"/>
      </w:pPr>
      <w:r w:rsidRPr="007267FC">
        <w:rPr>
          <w:b/>
          <w:bCs/>
        </w:rPr>
        <w:t>1(a)</w:t>
      </w:r>
      <w:r w:rsidRPr="007267FC">
        <w:rPr>
          <w:b/>
          <w:bCs/>
        </w:rPr>
        <w:tab/>
        <w:t>Title of the Information Collection</w:t>
      </w:r>
    </w:p>
    <w:p w:rsidR="0062519F" w:rsidRPr="007267FC" w:rsidRDefault="001939AB" w:rsidP="007267FC">
      <w:pPr>
        <w:spacing w:line="360" w:lineRule="auto"/>
        <w:ind w:firstLine="720"/>
        <w:rPr>
          <w:bCs/>
        </w:rPr>
      </w:pPr>
      <w:r w:rsidRPr="001939AB">
        <w:rPr>
          <w:bCs/>
        </w:rPr>
        <w:t>Federal Supplier (Small Business) Greenhouse Gas Inventory Pilot (Renewal)</w:t>
      </w:r>
      <w:r w:rsidR="003053C1" w:rsidRPr="007267FC">
        <w:rPr>
          <w:bCs/>
        </w:rPr>
        <w:t>, EPA ICR No. 2100.0</w:t>
      </w:r>
      <w:r w:rsidR="00E5265E">
        <w:rPr>
          <w:bCs/>
        </w:rPr>
        <w:t>5</w:t>
      </w:r>
      <w:r w:rsidR="003053C1" w:rsidRPr="007267FC">
        <w:rPr>
          <w:bCs/>
        </w:rPr>
        <w:t xml:space="preserve">, </w:t>
      </w:r>
      <w:r w:rsidR="003053C1" w:rsidRPr="007267FC">
        <w:t>OMB Control No. 2060-0532</w:t>
      </w:r>
      <w:r w:rsidR="00767E54">
        <w:t xml:space="preserve">. </w:t>
      </w:r>
    </w:p>
    <w:p w:rsidR="008E6CCB" w:rsidRPr="007267FC" w:rsidRDefault="008E6CCB" w:rsidP="007267FC">
      <w:pPr>
        <w:spacing w:line="360" w:lineRule="auto"/>
        <w:ind w:firstLine="720"/>
      </w:pPr>
      <w:r w:rsidRPr="007267FC">
        <w:rPr>
          <w:b/>
          <w:bCs/>
        </w:rPr>
        <w:t>1(b)</w:t>
      </w:r>
      <w:r w:rsidRPr="007267FC">
        <w:rPr>
          <w:b/>
          <w:bCs/>
        </w:rPr>
        <w:tab/>
        <w:t>Short Characterization</w:t>
      </w:r>
      <w:r w:rsidR="000E4637">
        <w:rPr>
          <w:b/>
          <w:bCs/>
        </w:rPr>
        <w:t>/Abstract</w:t>
      </w:r>
    </w:p>
    <w:p w:rsidR="003053C1" w:rsidRPr="007267FC" w:rsidRDefault="00E5265E" w:rsidP="007267FC">
      <w:pPr>
        <w:widowControl/>
        <w:spacing w:line="360" w:lineRule="auto"/>
        <w:ind w:firstLine="720"/>
      </w:pPr>
      <w:r>
        <w:t>On September 30, 2011, the U.S. Environmental Protection Agency officially ended its Climate Leaders program. One element of the Climate Leaders program was the Small Business Network (SBN) which offered small businesses tools and resources to assist them with managing and reducing their GHG emissions. In direct response to E.O. 13514, EPA and the U.S. General Services Administration (GSA) utilized the Climate Leaders SBN as the foundation to launch the Federal Supplier Greenhouse Gas Emissio</w:t>
      </w:r>
      <w:r w:rsidR="004A05D1">
        <w:t>ns Inventory Pilot (“the Pilot”</w:t>
      </w:r>
      <w:r>
        <w:t>) in August 2010 to assess the benefits and challenges experienced by small businesses in completing and reporting a GHG emissions inventory. The Pilot is a voluntary, three-year program in which small businesses are required to develop annual GHG emissions inventories through September 2013. The small businesses are also required to develop and implement GHG emissions reductions strategies and review their progress towards meeting their reduction goals and the associated benefits. Through this interagency agreement, EPA continues to support the Pilot with education and technical assistance. EPA has developed this renewal ICR to ensure that the Pilot remains credible by obtaining continued authorization to collect information from its participants to ensure that they are meeting their GHG goals. Companies that joined the Pilot voluntarily agree t</w:t>
      </w:r>
      <w:r w:rsidR="004B3287">
        <w:t>o the following: s</w:t>
      </w:r>
      <w:r>
        <w:t>etting a corporate GHG reduction goal; submitting a GHG inventory man</w:t>
      </w:r>
      <w:r w:rsidR="004B3287">
        <w:t>agement plan; reporting to the EPA on an annual basis</w:t>
      </w:r>
      <w:r>
        <w:t xml:space="preserve"> the company's GHG emissions inventory and progress toward their GHG reduction goal via the Annual GHG Inventory Summary and Goal Tracking Form. The information contained in the inventories of the companies that participate in the Pilot may be considered confidential business information and is maintained as such. EPA uses the data obtained from the companies to assess the success of the Pilot in achieving its goals and to identify the type of </w:t>
      </w:r>
      <w:r>
        <w:lastRenderedPageBreak/>
        <w:t>outreach, training, and other direct assistance and incentives that will help small business federal suppliers meet the objectives of E.O. 13514. Responses to the information collection are voluntary.</w:t>
      </w:r>
      <w:r w:rsidR="005F1BF0">
        <w:t xml:space="preserve"> </w:t>
      </w:r>
      <w:r w:rsidR="003053C1" w:rsidRPr="007267FC">
        <w:t>This ICR provides a comprehensive description of the information collections under</w:t>
      </w:r>
      <w:r>
        <w:t xml:space="preserve"> what</w:t>
      </w:r>
      <w:r w:rsidR="002F7D00">
        <w:t xml:space="preserve"> formerly</w:t>
      </w:r>
      <w:r>
        <w:t xml:space="preserve"> was </w:t>
      </w:r>
      <w:r w:rsidR="003053C1" w:rsidRPr="007267FC">
        <w:t>the</w:t>
      </w:r>
      <w:r w:rsidR="00B36865" w:rsidRPr="007267FC">
        <w:t xml:space="preserve"> </w:t>
      </w:r>
      <w:r w:rsidR="003053C1" w:rsidRPr="007267FC">
        <w:t>Climate Leaders program. Sections 1 through 5 of this ICR describe the specific information</w:t>
      </w:r>
      <w:r w:rsidR="00B36865" w:rsidRPr="007267FC">
        <w:t xml:space="preserve"> </w:t>
      </w:r>
      <w:r w:rsidR="003053C1" w:rsidRPr="007267FC">
        <w:t>collections (e.g., from the standpoint of need, use, and respondent activities). In Section 6,</w:t>
      </w:r>
      <w:r w:rsidR="00B36865" w:rsidRPr="007267FC">
        <w:t xml:space="preserve"> </w:t>
      </w:r>
      <w:r w:rsidR="003053C1" w:rsidRPr="007267FC">
        <w:t>EPA estimates the annual hour and cost burden to respondents and the Agency under these</w:t>
      </w:r>
      <w:r w:rsidR="00B36865" w:rsidRPr="007267FC">
        <w:t xml:space="preserve"> </w:t>
      </w:r>
      <w:r w:rsidR="003053C1" w:rsidRPr="007267FC">
        <w:t>collections.</w:t>
      </w:r>
    </w:p>
    <w:p w:rsidR="008E6CCB" w:rsidRPr="007267FC" w:rsidRDefault="008E6CCB" w:rsidP="007267FC">
      <w:pPr>
        <w:widowControl/>
        <w:tabs>
          <w:tab w:val="left" w:pos="-1080"/>
        </w:tabs>
        <w:spacing w:line="360" w:lineRule="auto"/>
      </w:pPr>
    </w:p>
    <w:p w:rsidR="008E6CCB" w:rsidRPr="007267FC" w:rsidRDefault="008E6CC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ind w:left="540" w:hanging="720"/>
      </w:pPr>
      <w:r w:rsidRPr="007267FC">
        <w:rPr>
          <w:b/>
          <w:bCs/>
        </w:rPr>
        <w:t>2.</w:t>
      </w:r>
      <w:r w:rsidRPr="007267FC">
        <w:rPr>
          <w:b/>
          <w:bCs/>
        </w:rPr>
        <w:tab/>
        <w:t xml:space="preserve">NEED FOR </w:t>
      </w:r>
      <w:smartTag w:uri="urn:schemas-microsoft-com:office:smarttags" w:element="stockticker">
        <w:r w:rsidRPr="007267FC">
          <w:rPr>
            <w:b/>
            <w:bCs/>
          </w:rPr>
          <w:t>AND</w:t>
        </w:r>
      </w:smartTag>
      <w:r w:rsidRPr="007267FC">
        <w:rPr>
          <w:b/>
          <w:bCs/>
        </w:rPr>
        <w:t xml:space="preserve"> USE OF THE COLLECTION</w:t>
      </w:r>
    </w:p>
    <w:p w:rsidR="008E6CCB" w:rsidRPr="007267FC" w:rsidRDefault="008E6CC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ind w:left="-180"/>
      </w:pPr>
    </w:p>
    <w:p w:rsidR="008E6CCB" w:rsidRPr="007267FC" w:rsidRDefault="008E6CC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ind w:left="1260" w:hanging="720"/>
      </w:pPr>
      <w:r w:rsidRPr="007267FC">
        <w:rPr>
          <w:b/>
          <w:bCs/>
        </w:rPr>
        <w:t>2(a)</w:t>
      </w:r>
      <w:r w:rsidRPr="007267FC">
        <w:rPr>
          <w:b/>
          <w:bCs/>
        </w:rPr>
        <w:tab/>
        <w:t>Need</w:t>
      </w:r>
      <w:r w:rsidR="00C33EA0">
        <w:rPr>
          <w:b/>
          <w:bCs/>
        </w:rPr>
        <w:t>/</w:t>
      </w:r>
      <w:r w:rsidRPr="007267FC">
        <w:rPr>
          <w:b/>
          <w:bCs/>
        </w:rPr>
        <w:t>Authority for the Collection</w:t>
      </w:r>
    </w:p>
    <w:p w:rsidR="005028B1" w:rsidRPr="007267FC" w:rsidRDefault="005028B1" w:rsidP="007267FC">
      <w:pPr>
        <w:widowControl/>
        <w:spacing w:line="360" w:lineRule="auto"/>
        <w:ind w:firstLine="540"/>
      </w:pPr>
      <w:r w:rsidRPr="007267FC">
        <w:t>In an effort to mitigate global climate change, the President announced a Climate</w:t>
      </w:r>
      <w:r w:rsidR="00B36865" w:rsidRPr="007267FC">
        <w:t xml:space="preserve"> </w:t>
      </w:r>
      <w:r w:rsidRPr="007267FC">
        <w:t xml:space="preserve">Change Strategy on </w:t>
      </w:r>
      <w:smartTag w:uri="urn:schemas-microsoft-com:office:smarttags" w:element="date">
        <w:smartTagPr>
          <w:attr w:name="Month" w:val="2"/>
          <w:attr w:name="Day" w:val="14"/>
          <w:attr w:name="Year" w:val="2002"/>
        </w:smartTagPr>
        <w:r w:rsidRPr="007267FC">
          <w:t>February 14, 2002</w:t>
        </w:r>
      </w:smartTag>
      <w:r w:rsidRPr="007267FC">
        <w:t>, wherein he set a national U.S. GHG intensity goal of</w:t>
      </w:r>
      <w:r w:rsidR="00B36865" w:rsidRPr="007267FC">
        <w:t xml:space="preserve"> </w:t>
      </w:r>
      <w:r w:rsidRPr="007267FC">
        <w:t>18 percent by 2012</w:t>
      </w:r>
      <w:r w:rsidR="00767E54">
        <w:t xml:space="preserve">. </w:t>
      </w:r>
      <w:r w:rsidRPr="007267FC">
        <w:t>Part of that strategy challenges companies to set GHG</w:t>
      </w:r>
      <w:r w:rsidR="00B36865" w:rsidRPr="007267FC">
        <w:t xml:space="preserve"> emissions </w:t>
      </w:r>
      <w:r w:rsidRPr="007267FC">
        <w:t>reduction goals</w:t>
      </w:r>
      <w:r w:rsidR="00B36865" w:rsidRPr="007267FC">
        <w:t xml:space="preserve"> </w:t>
      </w:r>
      <w:r w:rsidRPr="007267FC">
        <w:t>by working with EPA through the Climate Leaders program</w:t>
      </w:r>
      <w:r w:rsidR="00767E54">
        <w:t xml:space="preserve">. </w:t>
      </w:r>
      <w:r w:rsidR="008F53DF">
        <w:t>After the end of the Climate Leaders program in September 2011, EPA continues to support the Federal Supplier Greenhouse Gas Emissions Inventory Pilot</w:t>
      </w:r>
      <w:r w:rsidR="004A05D1">
        <w:t xml:space="preserve"> (“the Pilot”)</w:t>
      </w:r>
      <w:r w:rsidR="008F53DF">
        <w:t xml:space="preserve">. </w:t>
      </w:r>
      <w:r w:rsidRPr="007267FC">
        <w:t xml:space="preserve">EPA also provides technical assistance to </w:t>
      </w:r>
      <w:r w:rsidR="008F53DF">
        <w:t>companies participating in the Pilot</w:t>
      </w:r>
      <w:r w:rsidR="008F53DF" w:rsidRPr="007267FC">
        <w:t xml:space="preserve"> </w:t>
      </w:r>
      <w:r w:rsidRPr="007267FC">
        <w:t xml:space="preserve">to help them develop </w:t>
      </w:r>
      <w:r w:rsidR="009F2010">
        <w:t>a company-</w:t>
      </w:r>
      <w:r w:rsidRPr="007267FC">
        <w:t xml:space="preserve">specific </w:t>
      </w:r>
      <w:r w:rsidR="009F2010">
        <w:t xml:space="preserve">Inventory Management Plan, base year </w:t>
      </w:r>
      <w:r w:rsidRPr="007267FC">
        <w:t>GHG inventor</w:t>
      </w:r>
      <w:r w:rsidR="009F2010">
        <w:t xml:space="preserve">y, corporate-wide GHG reduction goal and subsequent year corporate GHG inventories </w:t>
      </w:r>
      <w:r w:rsidRPr="007267FC">
        <w:t xml:space="preserve">using the Annual GHG Inventory Summary and Goal Tracking Form. </w:t>
      </w:r>
      <w:r w:rsidR="008F53DF">
        <w:t xml:space="preserve">Participating companies </w:t>
      </w:r>
      <w:r w:rsidRPr="007267FC">
        <w:t xml:space="preserve">report their GHG inventory to EPA annually, </w:t>
      </w:r>
      <w:r w:rsidR="005B748D">
        <w:t>which</w:t>
      </w:r>
      <w:r w:rsidRPr="007267FC">
        <w:t xml:space="preserve"> allows EPA to evaluate </w:t>
      </w:r>
      <w:r w:rsidR="00C33EA0">
        <w:t xml:space="preserve">the Pilot participant’s </w:t>
      </w:r>
      <w:r w:rsidRPr="007267FC">
        <w:t>progress and performance and to assess overall program results.</w:t>
      </w:r>
      <w:r w:rsidR="009F2010">
        <w:t xml:space="preserve">  This GHG inventory data and supporting documentation collected through this Partnership p</w:t>
      </w:r>
      <w:r w:rsidR="00D54DE7">
        <w:t>rovides the necessary level of detail</w:t>
      </w:r>
      <w:r w:rsidR="009F2010">
        <w:t xml:space="preserve"> for accurately measuring each </w:t>
      </w:r>
      <w:r w:rsidR="008F53DF">
        <w:t xml:space="preserve">company’s </w:t>
      </w:r>
      <w:r w:rsidR="009F2010">
        <w:t xml:space="preserve">contribution towards reducing GHG emissions.  </w:t>
      </w:r>
    </w:p>
    <w:p w:rsidR="009E0FAB" w:rsidRDefault="009E0FA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ind w:left="1260" w:hanging="720"/>
        <w:rPr>
          <w:b/>
          <w:bCs/>
        </w:rPr>
      </w:pPr>
    </w:p>
    <w:p w:rsidR="008E6CCB" w:rsidRPr="007267FC" w:rsidRDefault="009E0FAB" w:rsidP="007267FC">
      <w:pPr>
        <w:widowControl/>
        <w:tabs>
          <w:tab w:val="left" w:pos="-126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pacing w:line="360" w:lineRule="auto"/>
        <w:ind w:left="1260" w:hanging="720"/>
      </w:pPr>
      <w:r>
        <w:rPr>
          <w:b/>
          <w:bCs/>
        </w:rPr>
        <w:t>2</w:t>
      </w:r>
      <w:r w:rsidR="008E6CCB" w:rsidRPr="007267FC">
        <w:rPr>
          <w:b/>
          <w:bCs/>
        </w:rPr>
        <w:t>(b)</w:t>
      </w:r>
      <w:r w:rsidR="008E6CCB" w:rsidRPr="007267FC">
        <w:rPr>
          <w:b/>
          <w:bCs/>
        </w:rPr>
        <w:tab/>
        <w:t>Practical Utility/Users of the Data</w:t>
      </w:r>
    </w:p>
    <w:p w:rsidR="005028B1" w:rsidRPr="007267FC" w:rsidRDefault="005028B1" w:rsidP="007267FC">
      <w:pPr>
        <w:widowControl/>
        <w:spacing w:line="360" w:lineRule="auto"/>
        <w:ind w:firstLine="540"/>
      </w:pPr>
      <w:r w:rsidRPr="007267FC">
        <w:t xml:space="preserve">EPA uses information submitted in the Inventory Management Plans to </w:t>
      </w:r>
      <w:r w:rsidR="00A57F07">
        <w:t xml:space="preserve">assure that the </w:t>
      </w:r>
      <w:r w:rsidR="008329C9">
        <w:t xml:space="preserve">Pilot participant’s </w:t>
      </w:r>
      <w:r w:rsidR="00A57F07">
        <w:t xml:space="preserve">GHG inventory is of sufficient quality for recognition in the </w:t>
      </w:r>
      <w:r w:rsidR="008329C9">
        <w:t>Pilot</w:t>
      </w:r>
      <w:r w:rsidR="00A57F07">
        <w:t xml:space="preserve"> and to </w:t>
      </w:r>
      <w:r w:rsidRPr="007267FC">
        <w:t>provide te</w:t>
      </w:r>
      <w:r w:rsidR="00B36865" w:rsidRPr="007267FC">
        <w:t xml:space="preserve">chnical assistance and example plans to other </w:t>
      </w:r>
      <w:r w:rsidR="008329C9">
        <w:t>participants</w:t>
      </w:r>
      <w:r w:rsidR="008329C9" w:rsidRPr="007267FC">
        <w:t xml:space="preserve"> </w:t>
      </w:r>
      <w:r w:rsidRPr="007267FC">
        <w:t>that are de</w:t>
      </w:r>
      <w:r w:rsidR="00F30264">
        <w:t>veloping their own GHG management</w:t>
      </w:r>
      <w:r w:rsidRPr="007267FC">
        <w:t xml:space="preserve"> strategies</w:t>
      </w:r>
      <w:r w:rsidR="00767E54">
        <w:t xml:space="preserve">. </w:t>
      </w:r>
      <w:r w:rsidRPr="007267FC">
        <w:t>EPA uses information</w:t>
      </w:r>
      <w:r w:rsidR="00B36865" w:rsidRPr="007267FC">
        <w:t xml:space="preserve"> </w:t>
      </w:r>
      <w:r w:rsidRPr="007267FC">
        <w:t xml:space="preserve">submitted in the Annual GHG Inventory Summary and Goal Tracking Form to </w:t>
      </w:r>
      <w:r w:rsidR="00D54DE7">
        <w:t xml:space="preserve">accurately </w:t>
      </w:r>
      <w:r w:rsidRPr="007267FC">
        <w:t xml:space="preserve">monitor the progress of </w:t>
      </w:r>
      <w:r w:rsidR="008329C9">
        <w:t xml:space="preserve">Pilot participants </w:t>
      </w:r>
      <w:r w:rsidRPr="007267FC">
        <w:t xml:space="preserve">in reducing GHG </w:t>
      </w:r>
      <w:r w:rsidRPr="007267FC">
        <w:lastRenderedPageBreak/>
        <w:t xml:space="preserve">emissions, in order to provide them with credible public recognition when they meet or exceed their goal. </w:t>
      </w:r>
    </w:p>
    <w:p w:rsidR="008E6CCB" w:rsidRPr="007267FC" w:rsidRDefault="008E6CCB" w:rsidP="007267FC">
      <w:pPr>
        <w:widowControl/>
        <w:tabs>
          <w:tab w:val="left" w:pos="-1080"/>
        </w:tabs>
        <w:spacing w:line="360" w:lineRule="auto"/>
      </w:pPr>
    </w:p>
    <w:p w:rsidR="007267FC" w:rsidRDefault="008E6CCB" w:rsidP="007267FC">
      <w:pPr>
        <w:keepNext/>
        <w:widowControl/>
        <w:tabs>
          <w:tab w:val="left" w:pos="-1080"/>
        </w:tabs>
        <w:spacing w:line="360" w:lineRule="auto"/>
        <w:ind w:left="720" w:hanging="720"/>
      </w:pPr>
      <w:r w:rsidRPr="007267FC">
        <w:rPr>
          <w:b/>
          <w:bCs/>
        </w:rPr>
        <w:t>3.</w:t>
      </w:r>
      <w:r w:rsidRPr="007267FC">
        <w:rPr>
          <w:b/>
          <w:bCs/>
        </w:rPr>
        <w:tab/>
        <w:t xml:space="preserve">NONDUPLICATION, CONSULTATIONS, </w:t>
      </w:r>
      <w:smartTag w:uri="urn:schemas-microsoft-com:office:smarttags" w:element="stockticker">
        <w:r w:rsidRPr="007267FC">
          <w:rPr>
            <w:b/>
            <w:bCs/>
          </w:rPr>
          <w:t>AND</w:t>
        </w:r>
      </w:smartTag>
      <w:r w:rsidRPr="007267FC">
        <w:rPr>
          <w:b/>
          <w:bCs/>
        </w:rPr>
        <w:t xml:space="preserve"> OTHER COLLECTION CRITERIA</w:t>
      </w:r>
    </w:p>
    <w:p w:rsidR="007267FC" w:rsidRDefault="007267FC" w:rsidP="007267FC">
      <w:pPr>
        <w:keepNext/>
        <w:widowControl/>
        <w:tabs>
          <w:tab w:val="left" w:pos="-1080"/>
        </w:tabs>
        <w:spacing w:line="360" w:lineRule="auto"/>
        <w:ind w:left="720" w:hanging="720"/>
      </w:pPr>
    </w:p>
    <w:p w:rsidR="007267FC" w:rsidRDefault="007267FC" w:rsidP="007267FC">
      <w:pPr>
        <w:keepNext/>
        <w:widowControl/>
        <w:tabs>
          <w:tab w:val="left" w:pos="-1080"/>
        </w:tabs>
        <w:spacing w:line="360" w:lineRule="auto"/>
        <w:ind w:left="720" w:hanging="720"/>
      </w:pPr>
      <w:r>
        <w:tab/>
      </w:r>
      <w:r w:rsidR="008E6CCB" w:rsidRPr="007267FC">
        <w:rPr>
          <w:b/>
          <w:bCs/>
        </w:rPr>
        <w:t>3(a)</w:t>
      </w:r>
      <w:r w:rsidR="008E6CCB" w:rsidRPr="007267FC">
        <w:rPr>
          <w:b/>
          <w:bCs/>
        </w:rPr>
        <w:tab/>
        <w:t>Nonduplication</w:t>
      </w:r>
    </w:p>
    <w:p w:rsidR="005028B1" w:rsidRPr="007267FC" w:rsidRDefault="00C472E8" w:rsidP="00A57F07">
      <w:pPr>
        <w:keepNext/>
        <w:widowControl/>
        <w:spacing w:line="360" w:lineRule="auto"/>
        <w:ind w:firstLine="720"/>
      </w:pPr>
      <w:r>
        <w:t xml:space="preserve">In order to maintain the reputable standing of the voluntary </w:t>
      </w:r>
      <w:r w:rsidR="008329C9">
        <w:t>Pilot</w:t>
      </w:r>
      <w:r>
        <w:t xml:space="preserve">, and credibly discuss </w:t>
      </w:r>
      <w:r w:rsidR="008329C9">
        <w:t>participating comp</w:t>
      </w:r>
      <w:r w:rsidR="004A05D1">
        <w:t>a</w:t>
      </w:r>
      <w:r w:rsidR="008329C9">
        <w:t>nies</w:t>
      </w:r>
      <w:r w:rsidR="004A05D1">
        <w:t xml:space="preserve"> </w:t>
      </w:r>
      <w:r>
        <w:t xml:space="preserve">as “leaders” in reducing emissions of GHGs, the data collected under this ICR is very specific to each </w:t>
      </w:r>
      <w:r w:rsidR="008329C9">
        <w:t xml:space="preserve">Pilot participant’s </w:t>
      </w:r>
      <w:r>
        <w:t xml:space="preserve">GHG inventory and is subject to a rigorous review process.  </w:t>
      </w:r>
      <w:r w:rsidRPr="007267FC">
        <w:t>The information to be obtained under this ICR has not been collected by EPA or any</w:t>
      </w:r>
      <w:r>
        <w:t xml:space="preserve"> </w:t>
      </w:r>
      <w:r w:rsidRPr="007267FC">
        <w:t>other Federal agency, nor is it available from any other source.</w:t>
      </w:r>
      <w:r>
        <w:t xml:space="preserve">  </w:t>
      </w:r>
    </w:p>
    <w:p w:rsidR="008E6CCB" w:rsidRPr="007267FC" w:rsidRDefault="008E6CCB" w:rsidP="007267FC">
      <w:pPr>
        <w:widowControl/>
        <w:tabs>
          <w:tab w:val="left" w:pos="-1080"/>
        </w:tabs>
        <w:spacing w:line="360" w:lineRule="auto"/>
        <w:ind w:firstLine="720"/>
      </w:pPr>
    </w:p>
    <w:p w:rsidR="008E6CCB" w:rsidRPr="007267FC" w:rsidRDefault="008E6CCB" w:rsidP="007267FC">
      <w:pPr>
        <w:widowControl/>
        <w:tabs>
          <w:tab w:val="left" w:pos="-1080"/>
        </w:tabs>
        <w:spacing w:line="360" w:lineRule="auto"/>
        <w:ind w:firstLine="720"/>
        <w:rPr>
          <w:b/>
          <w:bCs/>
        </w:rPr>
      </w:pPr>
      <w:r w:rsidRPr="007267FC">
        <w:rPr>
          <w:b/>
          <w:bCs/>
        </w:rPr>
        <w:t>3(b)</w:t>
      </w:r>
      <w:r w:rsidRPr="007267FC">
        <w:rPr>
          <w:b/>
          <w:bCs/>
        </w:rPr>
        <w:tab/>
        <w:t>Public Notice Required Prior to ICR Submission to OMB</w:t>
      </w:r>
    </w:p>
    <w:p w:rsidR="007267FC" w:rsidRDefault="00A60886" w:rsidP="00981568">
      <w:pPr>
        <w:widowControl/>
        <w:spacing w:line="360" w:lineRule="auto"/>
        <w:ind w:firstLine="720"/>
      </w:pPr>
      <w:r w:rsidRPr="007267FC">
        <w:t xml:space="preserve">In compliance with the Paperwork Reduction Act of 1995 (PRA), EPA issued a public notice in the </w:t>
      </w:r>
      <w:r w:rsidRPr="007267FC">
        <w:rPr>
          <w:iCs/>
          <w:u w:val="single"/>
        </w:rPr>
        <w:t>Federal Register</w:t>
      </w:r>
      <w:r w:rsidRPr="007267FC">
        <w:t xml:space="preserve"> on </w:t>
      </w:r>
      <w:r w:rsidR="004A05D1">
        <w:t xml:space="preserve">November </w:t>
      </w:r>
      <w:r w:rsidR="007B54FB">
        <w:t>30, 20</w:t>
      </w:r>
      <w:r w:rsidR="004A05D1">
        <w:t>1</w:t>
      </w:r>
      <w:r w:rsidR="00743F2A">
        <w:t>1</w:t>
      </w:r>
      <w:r w:rsidR="007B54FB">
        <w:t xml:space="preserve"> (7</w:t>
      </w:r>
      <w:r w:rsidR="004A05D1">
        <w:t xml:space="preserve">6 </w:t>
      </w:r>
      <w:r w:rsidR="007B54FB">
        <w:rPr>
          <w:u w:val="single"/>
        </w:rPr>
        <w:t>FR</w:t>
      </w:r>
      <w:r w:rsidR="00DC5F51">
        <w:t xml:space="preserve"> </w:t>
      </w:r>
      <w:r w:rsidR="004A05D1">
        <w:t>74053</w:t>
      </w:r>
      <w:r w:rsidR="00DC5F51">
        <w:t>)</w:t>
      </w:r>
      <w:r w:rsidR="0014054A">
        <w:t xml:space="preserve">. </w:t>
      </w:r>
      <w:r w:rsidR="003B03F8">
        <w:t xml:space="preserve">No comments </w:t>
      </w:r>
      <w:r w:rsidR="005B748D">
        <w:t>were</w:t>
      </w:r>
      <w:r w:rsidR="003B03F8">
        <w:t xml:space="preserve"> received</w:t>
      </w:r>
      <w:r w:rsidRPr="007267FC">
        <w:t xml:space="preserve">. </w:t>
      </w:r>
    </w:p>
    <w:p w:rsidR="00981568" w:rsidRPr="00981568" w:rsidRDefault="00981568" w:rsidP="00981568">
      <w:pPr>
        <w:widowControl/>
        <w:spacing w:line="360" w:lineRule="auto"/>
        <w:ind w:firstLine="720"/>
      </w:pPr>
    </w:p>
    <w:p w:rsidR="008E6CCB" w:rsidRPr="004A05D1" w:rsidRDefault="0088697A" w:rsidP="007267FC">
      <w:pPr>
        <w:widowControl/>
        <w:spacing w:line="360" w:lineRule="auto"/>
        <w:ind w:firstLine="720"/>
        <w:rPr>
          <w:color w:val="FF0000"/>
        </w:rPr>
      </w:pPr>
      <w:r w:rsidRPr="004A05D1">
        <w:rPr>
          <w:b/>
          <w:bCs/>
        </w:rPr>
        <w:t>3(c)</w:t>
      </w:r>
      <w:r w:rsidRPr="004A05D1">
        <w:rPr>
          <w:b/>
          <w:bCs/>
        </w:rPr>
        <w:tab/>
        <w:t xml:space="preserve">Consultations </w:t>
      </w:r>
    </w:p>
    <w:p w:rsidR="008946B5" w:rsidRDefault="0088697A" w:rsidP="00743F2A">
      <w:pPr>
        <w:widowControl/>
        <w:spacing w:line="360" w:lineRule="auto"/>
        <w:ind w:firstLine="720"/>
      </w:pPr>
      <w:r w:rsidRPr="004A05D1">
        <w:t xml:space="preserve">EPA followed the approved method of consultations with </w:t>
      </w:r>
      <w:r w:rsidR="00743F2A">
        <w:t>Pilot participants</w:t>
      </w:r>
      <w:r w:rsidRPr="004A05D1">
        <w:t xml:space="preserve"> to obtai</w:t>
      </w:r>
      <w:r w:rsidR="00743F2A">
        <w:t xml:space="preserve">n </w:t>
      </w:r>
      <w:r w:rsidRPr="004A05D1">
        <w:t xml:space="preserve">their views on this method of data collection and burden estimate.  Various </w:t>
      </w:r>
      <w:r w:rsidR="00743F2A">
        <w:t>participants provided their input</w:t>
      </w:r>
      <w:r w:rsidRPr="004A05D1">
        <w:t>, which, along with the previously obtained data from Climate Leaders Partners</w:t>
      </w:r>
      <w:r w:rsidR="006B3F12">
        <w:t>,</w:t>
      </w:r>
      <w:r w:rsidRPr="004A05D1">
        <w:t xml:space="preserve"> was used to estimate the burdens of this Information Collection Request.</w:t>
      </w:r>
      <w:r w:rsidR="00743F2A">
        <w:t xml:space="preserve">  </w:t>
      </w:r>
      <w:r w:rsidRPr="004A05D1">
        <w:t xml:space="preserve">EPA provided the </w:t>
      </w:r>
      <w:r w:rsidR="00743F2A">
        <w:t>participant</w:t>
      </w:r>
      <w:r w:rsidR="00743F2A" w:rsidRPr="004A05D1">
        <w:t xml:space="preserve">s </w:t>
      </w:r>
      <w:r w:rsidRPr="004A05D1">
        <w:t xml:space="preserve">with a list of reporting requirements </w:t>
      </w:r>
      <w:r w:rsidR="00743F2A">
        <w:t>for the Pilot</w:t>
      </w:r>
      <w:r w:rsidRPr="004A05D1">
        <w:t xml:space="preserve"> and asked them to estimate the associated hourly labor burden.  Labor wage rates from the previous Information Collection Request were provided for reference</w:t>
      </w:r>
      <w:r w:rsidR="00781049">
        <w:t>,</w:t>
      </w:r>
      <w:r w:rsidRPr="004A05D1">
        <w:t xml:space="preserve"> and EPA requested comments on whether these labor rates were appropriate.  The </w:t>
      </w:r>
      <w:r w:rsidR="00743F2A">
        <w:t>participants</w:t>
      </w:r>
      <w:r w:rsidR="00743F2A" w:rsidRPr="004A05D1">
        <w:t xml:space="preserve"> </w:t>
      </w:r>
      <w:r w:rsidRPr="004A05D1">
        <w:t>provided hour</w:t>
      </w:r>
      <w:r w:rsidR="00781049">
        <w:t xml:space="preserve">ly estimates for each activity </w:t>
      </w:r>
      <w:r w:rsidRPr="004A05D1">
        <w:t xml:space="preserve">and either provided labor rates or indicated that the labor rates from the initial ICR were representative.  Generally, the estimates provided by the </w:t>
      </w:r>
      <w:r w:rsidR="00743F2A">
        <w:t>participants</w:t>
      </w:r>
      <w:r w:rsidR="00743F2A" w:rsidRPr="004A05D1">
        <w:t xml:space="preserve"> </w:t>
      </w:r>
      <w:r w:rsidRPr="004A05D1">
        <w:t>were consistent with EPA expectations of the labor burden.</w:t>
      </w:r>
      <w:r w:rsidR="00D521B0">
        <w:t xml:space="preserve">  </w:t>
      </w:r>
    </w:p>
    <w:p w:rsidR="00EA748F" w:rsidRDefault="00EA748F" w:rsidP="007267FC">
      <w:pPr>
        <w:widowControl/>
        <w:spacing w:line="360" w:lineRule="auto"/>
        <w:ind w:firstLine="720"/>
        <w:rPr>
          <w:b/>
          <w:bCs/>
        </w:rPr>
      </w:pPr>
    </w:p>
    <w:p w:rsidR="008E6CCB" w:rsidRPr="007267FC" w:rsidRDefault="008E6CCB" w:rsidP="007267FC">
      <w:pPr>
        <w:widowControl/>
        <w:spacing w:line="360" w:lineRule="auto"/>
        <w:ind w:firstLine="720"/>
      </w:pPr>
      <w:r w:rsidRPr="007267FC">
        <w:rPr>
          <w:b/>
          <w:bCs/>
        </w:rPr>
        <w:t>3(d)</w:t>
      </w:r>
      <w:r w:rsidRPr="007267FC">
        <w:rPr>
          <w:b/>
          <w:bCs/>
        </w:rPr>
        <w:tab/>
        <w:t>Effects of Less Frequent Collection</w:t>
      </w:r>
      <w:r w:rsidRPr="007267FC">
        <w:rPr>
          <w:b/>
          <w:bCs/>
        </w:rPr>
        <w:tab/>
      </w:r>
      <w:r w:rsidRPr="007267FC">
        <w:rPr>
          <w:b/>
          <w:bCs/>
        </w:rPr>
        <w:tab/>
      </w:r>
    </w:p>
    <w:p w:rsidR="007267FC" w:rsidRDefault="00E179F9" w:rsidP="007267FC">
      <w:pPr>
        <w:widowControl/>
        <w:spacing w:line="360" w:lineRule="auto"/>
        <w:ind w:firstLine="720"/>
      </w:pPr>
      <w:r w:rsidRPr="007267FC">
        <w:t>The development of a</w:t>
      </w:r>
      <w:r w:rsidR="008329C9">
        <w:t>n</w:t>
      </w:r>
      <w:r w:rsidRPr="007267FC">
        <w:t xml:space="preserve"> </w:t>
      </w:r>
      <w:r w:rsidR="00B42E7D" w:rsidRPr="007267FC">
        <w:t xml:space="preserve">Inventory Management Plan </w:t>
      </w:r>
      <w:r w:rsidR="00656E12" w:rsidRPr="007267FC">
        <w:t xml:space="preserve">and GHG </w:t>
      </w:r>
      <w:r w:rsidR="00B36865" w:rsidRPr="007267FC">
        <w:t xml:space="preserve">emissions </w:t>
      </w:r>
      <w:r w:rsidR="00656E12" w:rsidRPr="007267FC">
        <w:t xml:space="preserve">reduction goal are one-time information submittals from companies that choose to become </w:t>
      </w:r>
      <w:r w:rsidR="004A05D1">
        <w:t>Pilot participants</w:t>
      </w:r>
      <w:r w:rsidR="00767E54">
        <w:t xml:space="preserve">. </w:t>
      </w:r>
      <w:r w:rsidR="00656E12" w:rsidRPr="007267FC">
        <w:t xml:space="preserve">EPA also </w:t>
      </w:r>
      <w:r w:rsidR="00656E12" w:rsidRPr="007267FC">
        <w:lastRenderedPageBreak/>
        <w:t xml:space="preserve">asks </w:t>
      </w:r>
      <w:r w:rsidR="004A05D1">
        <w:t>Pilot partic</w:t>
      </w:r>
      <w:r w:rsidR="00743F2A">
        <w:t>i</w:t>
      </w:r>
      <w:r w:rsidR="004A05D1">
        <w:t>pants</w:t>
      </w:r>
      <w:r w:rsidR="004A05D1" w:rsidRPr="007267FC">
        <w:t xml:space="preserve"> </w:t>
      </w:r>
      <w:r w:rsidR="00656E12" w:rsidRPr="007267FC">
        <w:t xml:space="preserve">to prepare and submit the </w:t>
      </w:r>
      <w:r w:rsidRPr="007267FC">
        <w:t>Annual GHG Inventory Summary and Goal Tracking Form</w:t>
      </w:r>
      <w:r w:rsidR="00767E54">
        <w:t xml:space="preserve">. </w:t>
      </w:r>
      <w:r w:rsidRPr="007267FC">
        <w:t>EPA believes that any reduction in the frequency of this information collection would impede efforts by EPA to evaluate results of the program and to provide credible public recognition. Further, since this is a voluntary program, ongoing evaluation of results is cr</w:t>
      </w:r>
      <w:r w:rsidR="007267FC">
        <w:t>itical to the program’s success.</w:t>
      </w:r>
    </w:p>
    <w:p w:rsidR="007267FC" w:rsidRDefault="007267FC" w:rsidP="007267FC">
      <w:pPr>
        <w:widowControl/>
        <w:spacing w:line="360" w:lineRule="auto"/>
        <w:ind w:firstLine="720"/>
      </w:pPr>
    </w:p>
    <w:p w:rsidR="008E6CCB" w:rsidRPr="007267FC" w:rsidRDefault="008E6CCB" w:rsidP="007267FC">
      <w:pPr>
        <w:widowControl/>
        <w:spacing w:line="360" w:lineRule="auto"/>
        <w:ind w:firstLine="720"/>
      </w:pPr>
      <w:r w:rsidRPr="007267FC">
        <w:rPr>
          <w:b/>
          <w:bCs/>
        </w:rPr>
        <w:t>3(e)</w:t>
      </w:r>
      <w:r w:rsidRPr="007267FC">
        <w:rPr>
          <w:b/>
          <w:bCs/>
        </w:rPr>
        <w:tab/>
        <w:t>General Guidelines</w:t>
      </w:r>
    </w:p>
    <w:p w:rsidR="007267FC" w:rsidRDefault="00E179F9" w:rsidP="007267FC">
      <w:pPr>
        <w:widowControl/>
        <w:spacing w:line="360" w:lineRule="auto"/>
        <w:ind w:firstLine="720"/>
      </w:pPr>
      <w:r w:rsidRPr="007267FC">
        <w:t>This information collection request was prepared in compliance with OMB’s</w:t>
      </w:r>
      <w:r w:rsidR="00656E12" w:rsidRPr="007267FC">
        <w:t xml:space="preserve"> </w:t>
      </w:r>
      <w:r w:rsidRPr="007267FC">
        <w:t>implementing regulations and EPA’s guidelines for ICR preparation.</w:t>
      </w:r>
    </w:p>
    <w:p w:rsidR="007267FC" w:rsidRDefault="007267FC" w:rsidP="007267FC">
      <w:pPr>
        <w:widowControl/>
        <w:spacing w:line="360" w:lineRule="auto"/>
        <w:ind w:firstLine="720"/>
      </w:pPr>
    </w:p>
    <w:p w:rsidR="008E6CCB" w:rsidRPr="007267FC" w:rsidRDefault="008E6CCB" w:rsidP="007267FC">
      <w:pPr>
        <w:widowControl/>
        <w:spacing w:line="360" w:lineRule="auto"/>
        <w:ind w:firstLine="720"/>
      </w:pPr>
      <w:r w:rsidRPr="007267FC">
        <w:rPr>
          <w:b/>
          <w:bCs/>
        </w:rPr>
        <w:t>3(f)</w:t>
      </w:r>
      <w:r w:rsidRPr="007267FC">
        <w:rPr>
          <w:b/>
          <w:bCs/>
        </w:rPr>
        <w:tab/>
        <w:t>Confidentiality</w:t>
      </w:r>
    </w:p>
    <w:p w:rsidR="00E179F9" w:rsidRPr="007267FC" w:rsidRDefault="00E179F9" w:rsidP="007267FC">
      <w:pPr>
        <w:widowControl/>
        <w:spacing w:line="360" w:lineRule="auto"/>
        <w:ind w:firstLine="720"/>
      </w:pPr>
      <w:r w:rsidRPr="007267FC">
        <w:t xml:space="preserve">Participation in </w:t>
      </w:r>
      <w:r w:rsidR="004A05D1">
        <w:t>the Pilot</w:t>
      </w:r>
      <w:r w:rsidRPr="007267FC">
        <w:t xml:space="preserve"> is voluntary. </w:t>
      </w:r>
      <w:r w:rsidR="004F4530">
        <w:t>Additionally</w:t>
      </w:r>
      <w:r w:rsidR="00B762F4">
        <w:t>,</w:t>
      </w:r>
      <w:r w:rsidR="004F4530">
        <w:t xml:space="preserve"> </w:t>
      </w:r>
      <w:r w:rsidR="004A05D1">
        <w:t>for this Pilot EPA</w:t>
      </w:r>
      <w:r w:rsidR="004F4530">
        <w:t xml:space="preserve"> focuses its information collection at the corporate level and does not retain records of facility specific data.  </w:t>
      </w:r>
      <w:r w:rsidRPr="007267FC">
        <w:t xml:space="preserve">For </w:t>
      </w:r>
      <w:r w:rsidR="004A05D1">
        <w:t>Pilot participants</w:t>
      </w:r>
      <w:r w:rsidR="004A05D1" w:rsidRPr="007267FC">
        <w:t xml:space="preserve"> </w:t>
      </w:r>
      <w:r w:rsidRPr="007267FC">
        <w:t>that are concerned about</w:t>
      </w:r>
      <w:r w:rsidR="00656E12" w:rsidRPr="007267FC">
        <w:t xml:space="preserve"> </w:t>
      </w:r>
      <w:r w:rsidRPr="007267FC">
        <w:t>data confidentiality, EPA will</w:t>
      </w:r>
      <w:r w:rsidR="00554647">
        <w:t xml:space="preserve"> consider proposals to</w:t>
      </w:r>
      <w:r w:rsidRPr="007267FC">
        <w:t xml:space="preserve"> </w:t>
      </w:r>
      <w:r w:rsidR="005F6F10">
        <w:t>review</w:t>
      </w:r>
      <w:r w:rsidRPr="007267FC">
        <w:t xml:space="preserve"> </w:t>
      </w:r>
      <w:r w:rsidR="00554647">
        <w:t xml:space="preserve">sensitive </w:t>
      </w:r>
      <w:r w:rsidRPr="007267FC">
        <w:t xml:space="preserve">data </w:t>
      </w:r>
      <w:r w:rsidR="00743F2A">
        <w:t>via a web-based data platform</w:t>
      </w:r>
      <w:r w:rsidRPr="007267FC">
        <w:t xml:space="preserve"> to ensure credibility. Another alternative</w:t>
      </w:r>
      <w:r w:rsidR="00656E12" w:rsidRPr="007267FC">
        <w:t xml:space="preserve"> </w:t>
      </w:r>
      <w:r w:rsidRPr="007267FC">
        <w:t xml:space="preserve">that EPA offers </w:t>
      </w:r>
      <w:r w:rsidR="004A05D1">
        <w:t>Pilot participants</w:t>
      </w:r>
      <w:r w:rsidR="004A05D1" w:rsidRPr="007267FC">
        <w:t xml:space="preserve"> </w:t>
      </w:r>
      <w:r w:rsidRPr="007267FC">
        <w:t>is to have a third party conduct a credible GHG inventory audit and</w:t>
      </w:r>
      <w:r w:rsidR="00656E12" w:rsidRPr="007267FC">
        <w:t xml:space="preserve"> </w:t>
      </w:r>
      <w:r w:rsidRPr="007267FC">
        <w:t>provide that audit to EPA for review. EPA will not make company- or agency-specific</w:t>
      </w:r>
      <w:r w:rsidR="006E2217" w:rsidRPr="007267FC">
        <w:t xml:space="preserve"> </w:t>
      </w:r>
      <w:r w:rsidRPr="007267FC">
        <w:t xml:space="preserve">information </w:t>
      </w:r>
      <w:r w:rsidR="00FE507F" w:rsidRPr="007267FC">
        <w:t xml:space="preserve">that is </w:t>
      </w:r>
      <w:r w:rsidRPr="007267FC">
        <w:t xml:space="preserve">collected under this ICR and </w:t>
      </w:r>
      <w:r w:rsidR="00FE507F" w:rsidRPr="007267FC">
        <w:t xml:space="preserve">that is </w:t>
      </w:r>
      <w:r w:rsidRPr="007267FC">
        <w:t>claimed as conf</w:t>
      </w:r>
      <w:r w:rsidR="009A1BFC">
        <w:t>idential business information (</w:t>
      </w:r>
      <w:r w:rsidRPr="007267FC">
        <w:t>CBI)</w:t>
      </w:r>
      <w:r w:rsidR="00656E12" w:rsidRPr="007267FC">
        <w:t xml:space="preserve"> </w:t>
      </w:r>
      <w:r w:rsidRPr="007267FC">
        <w:t xml:space="preserve">available to the general public without a </w:t>
      </w:r>
      <w:r w:rsidR="00C33EA0">
        <w:t xml:space="preserve">Pilot participant’s </w:t>
      </w:r>
      <w:r w:rsidRPr="007267FC">
        <w:t>permission, except in accordance with EPA’s</w:t>
      </w:r>
      <w:r w:rsidR="00656E12" w:rsidRPr="007267FC">
        <w:t xml:space="preserve"> </w:t>
      </w:r>
      <w:smartTag w:uri="urn:schemas-microsoft-com:office:smarttags" w:element="stockticker">
        <w:r w:rsidRPr="007267FC">
          <w:t>CBI</w:t>
        </w:r>
      </w:smartTag>
      <w:r w:rsidRPr="007267FC">
        <w:t xml:space="preserve"> regulations at 40 </w:t>
      </w:r>
      <w:smartTag w:uri="urn:schemas-microsoft-com:office:smarttags" w:element="stockticker">
        <w:r w:rsidRPr="007267FC">
          <w:t>CFR</w:t>
        </w:r>
      </w:smartTag>
      <w:r w:rsidRPr="007267FC">
        <w:t xml:space="preserve">, Part 2, subpart B. If a </w:t>
      </w:r>
      <w:r w:rsidR="00C33EA0">
        <w:t>Pilot participant</w:t>
      </w:r>
      <w:r w:rsidR="00C33EA0" w:rsidRPr="007267FC">
        <w:t xml:space="preserve"> </w:t>
      </w:r>
      <w:r w:rsidRPr="007267FC">
        <w:t>asserts a claim of confidentiality</w:t>
      </w:r>
      <w:r w:rsidR="00656E12" w:rsidRPr="007267FC">
        <w:t xml:space="preserve"> </w:t>
      </w:r>
      <w:r w:rsidRPr="007267FC">
        <w:t>covering all or part of the information collections covered in this ICR, EPA must and will treat</w:t>
      </w:r>
      <w:r w:rsidR="00656E12" w:rsidRPr="007267FC">
        <w:t xml:space="preserve"> </w:t>
      </w:r>
      <w:r w:rsidRPr="007267FC">
        <w:t>the information in accordance with these regulations. EPA will also ensure that the information</w:t>
      </w:r>
      <w:r w:rsidR="00656E12" w:rsidRPr="007267FC">
        <w:t xml:space="preserve"> </w:t>
      </w:r>
      <w:r w:rsidRPr="007267FC">
        <w:t>collections comply with the Privacy Act of 1974 and OMB Circular 108.</w:t>
      </w:r>
    </w:p>
    <w:p w:rsidR="008E6CCB" w:rsidRPr="007267FC" w:rsidRDefault="008E6CCB" w:rsidP="007267FC">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pPr>
    </w:p>
    <w:p w:rsidR="008E6CCB" w:rsidRPr="007267FC" w:rsidRDefault="008E6CCB" w:rsidP="007267FC">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720"/>
        <w:rPr>
          <w:b/>
        </w:rPr>
      </w:pPr>
      <w:r w:rsidRPr="007267FC">
        <w:rPr>
          <w:b/>
          <w:bCs/>
        </w:rPr>
        <w:t>3(g)</w:t>
      </w:r>
      <w:r w:rsidRPr="007267FC">
        <w:rPr>
          <w:b/>
          <w:bCs/>
        </w:rPr>
        <w:tab/>
        <w:t>Sensitive Questions</w:t>
      </w:r>
    </w:p>
    <w:p w:rsidR="00E179F9" w:rsidRPr="007267FC" w:rsidRDefault="00E179F9" w:rsidP="007267FC">
      <w:pPr>
        <w:widowControl/>
        <w:spacing w:line="360" w:lineRule="auto"/>
        <w:ind w:firstLine="720"/>
      </w:pPr>
      <w:r w:rsidRPr="007267FC">
        <w:t xml:space="preserve">No questions of a sensitive nature are asked in the Inventory Management Plan or </w:t>
      </w:r>
      <w:r w:rsidR="00344850" w:rsidRPr="007267FC">
        <w:t>Annual GHG Inventory Summary and Goal Tracking Form.</w:t>
      </w:r>
    </w:p>
    <w:p w:rsidR="008E6CCB" w:rsidRPr="007267FC" w:rsidRDefault="008E6CCB" w:rsidP="007267FC">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b/>
          <w:bCs/>
        </w:rPr>
      </w:pPr>
    </w:p>
    <w:p w:rsidR="008E6CCB" w:rsidRPr="007267FC" w:rsidRDefault="008E6CCB" w:rsidP="007267FC">
      <w:pPr>
        <w:keepNext/>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 w:hanging="720"/>
      </w:pPr>
      <w:r w:rsidRPr="007267FC">
        <w:rPr>
          <w:b/>
          <w:bCs/>
        </w:rPr>
        <w:lastRenderedPageBreak/>
        <w:t>4.</w:t>
      </w:r>
      <w:r w:rsidRPr="007267FC">
        <w:rPr>
          <w:b/>
          <w:bCs/>
        </w:rPr>
        <w:tab/>
        <w:t xml:space="preserve">THE RESPONDENTS </w:t>
      </w:r>
      <w:smartTag w:uri="urn:schemas-microsoft-com:office:smarttags" w:element="stockticker">
        <w:r w:rsidRPr="007267FC">
          <w:rPr>
            <w:b/>
            <w:bCs/>
          </w:rPr>
          <w:t>AND</w:t>
        </w:r>
      </w:smartTag>
      <w:r w:rsidRPr="007267FC">
        <w:rPr>
          <w:b/>
          <w:bCs/>
        </w:rPr>
        <w:t xml:space="preserve"> THE INFORMATION REQUESTED</w:t>
      </w:r>
    </w:p>
    <w:p w:rsidR="008E6CCB" w:rsidRPr="007267FC" w:rsidRDefault="008E6CCB" w:rsidP="007267FC">
      <w:pPr>
        <w:keepNext/>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720"/>
        <w:rPr>
          <w:b/>
          <w:bCs/>
        </w:rPr>
      </w:pPr>
    </w:p>
    <w:p w:rsidR="008E6CCB" w:rsidRPr="007267FC" w:rsidRDefault="008E6CCB" w:rsidP="007267FC">
      <w:pPr>
        <w:keepNext/>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left="1440" w:hanging="720"/>
      </w:pPr>
      <w:r w:rsidRPr="007267FC">
        <w:rPr>
          <w:b/>
          <w:bCs/>
        </w:rPr>
        <w:t>4(a)</w:t>
      </w:r>
      <w:r w:rsidRPr="007267FC">
        <w:rPr>
          <w:b/>
          <w:bCs/>
        </w:rPr>
        <w:tab/>
      </w:r>
      <w:r w:rsidRPr="007267FC">
        <w:rPr>
          <w:b/>
          <w:bCs/>
          <w:u w:val="single"/>
        </w:rPr>
        <w:t>Respondents</w:t>
      </w:r>
      <w:r w:rsidR="00C33EA0">
        <w:rPr>
          <w:b/>
          <w:bCs/>
          <w:u w:val="single"/>
        </w:rPr>
        <w:t>/SIC</w:t>
      </w:r>
      <w:r w:rsidR="00FE507F" w:rsidRPr="007267FC">
        <w:rPr>
          <w:b/>
          <w:bCs/>
          <w:u w:val="single"/>
        </w:rPr>
        <w:t xml:space="preserve"> </w:t>
      </w:r>
      <w:r w:rsidRPr="007267FC">
        <w:rPr>
          <w:b/>
          <w:bCs/>
          <w:u w:val="single"/>
        </w:rPr>
        <w:t>Codes</w:t>
      </w:r>
    </w:p>
    <w:p w:rsidR="008E6CCB" w:rsidRPr="007267FC" w:rsidRDefault="008E6CCB" w:rsidP="007267FC">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pPr>
      <w:r w:rsidRPr="007267FC">
        <w:t xml:space="preserve"> </w:t>
      </w:r>
      <w:r w:rsidRPr="007267FC">
        <w:tab/>
        <w:t xml:space="preserve">Following are the </w:t>
      </w:r>
      <w:r w:rsidR="00235F0A" w:rsidRPr="00235F0A">
        <w:t xml:space="preserve">Standard Industrial Classification </w:t>
      </w:r>
      <w:r w:rsidRPr="007267FC">
        <w:t>(</w:t>
      </w:r>
      <w:r w:rsidR="00235F0A">
        <w:t>SIC</w:t>
      </w:r>
      <w:r w:rsidRPr="007267FC">
        <w:t>) codes associated with</w:t>
      </w:r>
      <w:r w:rsidR="00A57F07">
        <w:t xml:space="preserve"> the majority of</w:t>
      </w:r>
      <w:r w:rsidRPr="007267FC">
        <w:t xml:space="preserve"> companies </w:t>
      </w:r>
      <w:r w:rsidR="00981568">
        <w:t xml:space="preserve">currently participating </w:t>
      </w:r>
      <w:r w:rsidRPr="007267FC">
        <w:t xml:space="preserve">in the </w:t>
      </w:r>
      <w:r w:rsidR="00235F0A">
        <w:t>Pilot</w:t>
      </w:r>
      <w:r w:rsidR="00981568">
        <w:t>.</w:t>
      </w:r>
      <w:r w:rsidR="00A57F07">
        <w:t xml:space="preserve">  </w:t>
      </w:r>
      <w:r w:rsidR="00235F0A">
        <w:t xml:space="preserve">No other </w:t>
      </w:r>
      <w:r w:rsidR="00A57F07">
        <w:t xml:space="preserve">companies may join </w:t>
      </w:r>
      <w:r w:rsidR="00235F0A">
        <w:t>the voluntary Pilot</w:t>
      </w:r>
      <w:r w:rsidR="00A57F07">
        <w:t xml:space="preserve"> in the future.</w:t>
      </w:r>
    </w:p>
    <w:p w:rsidR="008E6CCB" w:rsidRPr="007267FC" w:rsidRDefault="008E6CCB" w:rsidP="007267FC">
      <w:pPr>
        <w:widowControl/>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pPr>
    </w:p>
    <w:p w:rsidR="008E6CCB"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tbl>
      <w:tblPr>
        <w:tblStyle w:val="TableGrid"/>
        <w:tblW w:w="0" w:type="auto"/>
        <w:jc w:val="center"/>
        <w:tblInd w:w="597" w:type="dxa"/>
        <w:tblLook w:val="04A0"/>
      </w:tblPr>
      <w:tblGrid>
        <w:gridCol w:w="4409"/>
        <w:gridCol w:w="2878"/>
      </w:tblGrid>
      <w:tr w:rsidR="00235F0A" w:rsidTr="00235F0A">
        <w:trPr>
          <w:trHeight w:val="432"/>
          <w:jc w:val="center"/>
        </w:trPr>
        <w:tc>
          <w:tcPr>
            <w:tcW w:w="4409" w:type="dxa"/>
            <w:vAlign w:val="center"/>
          </w:tcPr>
          <w:p w:rsidR="00235F0A" w:rsidRPr="00235F0A" w:rsidRDefault="00235F0A" w:rsidP="00235F0A">
            <w:pPr>
              <w:jc w:val="center"/>
              <w:rPr>
                <w:rFonts w:ascii="Times New Roman" w:hAnsi="Times New Roman" w:cs="Times New Roman"/>
                <w:b/>
                <w:sz w:val="24"/>
                <w:szCs w:val="24"/>
                <w:u w:val="single"/>
              </w:rPr>
            </w:pPr>
            <w:r w:rsidRPr="00235F0A">
              <w:rPr>
                <w:rFonts w:ascii="Times New Roman" w:hAnsi="Times New Roman" w:cs="Times New Roman"/>
                <w:b/>
                <w:sz w:val="24"/>
                <w:szCs w:val="24"/>
                <w:u w:val="single"/>
              </w:rPr>
              <w:t>Industry Type</w:t>
            </w:r>
          </w:p>
        </w:tc>
        <w:tc>
          <w:tcPr>
            <w:tcW w:w="2878" w:type="dxa"/>
            <w:vAlign w:val="center"/>
          </w:tcPr>
          <w:p w:rsidR="00235F0A" w:rsidRPr="00235F0A" w:rsidRDefault="00235F0A" w:rsidP="00235F0A">
            <w:pPr>
              <w:jc w:val="center"/>
              <w:rPr>
                <w:rFonts w:ascii="Times New Roman" w:hAnsi="Times New Roman" w:cs="Times New Roman"/>
                <w:b/>
                <w:sz w:val="24"/>
                <w:szCs w:val="24"/>
                <w:u w:val="single"/>
              </w:rPr>
            </w:pPr>
            <w:r w:rsidRPr="00235F0A">
              <w:rPr>
                <w:rFonts w:ascii="Times New Roman" w:hAnsi="Times New Roman" w:cs="Times New Roman"/>
                <w:b/>
                <w:sz w:val="24"/>
                <w:szCs w:val="24"/>
                <w:u w:val="single"/>
              </w:rPr>
              <w:t>SIC Code</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Commercial &amp; Machinery Manuf.</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3590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Services – Mgmt Consulting</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8742</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Misc Electrical Machinery</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3690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Building Cleaning/Maintenance Serv. Supplies</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7349</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Construction</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1600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Consulting</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8742</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Consumer Goods</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5000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Consumer Goods Manufacturing</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5000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Engineering Professional Serv.</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8700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Furniture Manufacturing</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2510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Industrial Manufacturing</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3560</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Information Technology</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7373</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Retail</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2675</w:t>
            </w:r>
          </w:p>
        </w:tc>
      </w:tr>
      <w:tr w:rsidR="00235F0A" w:rsidTr="00235F0A">
        <w:trPr>
          <w:trHeight w:val="432"/>
          <w:jc w:val="center"/>
        </w:trPr>
        <w:tc>
          <w:tcPr>
            <w:tcW w:w="4409" w:type="dxa"/>
            <w:vAlign w:val="center"/>
          </w:tcPr>
          <w:p w:rsidR="00235F0A" w:rsidRPr="00235F0A" w:rsidRDefault="00235F0A" w:rsidP="00235F0A">
            <w:pPr>
              <w:rPr>
                <w:rFonts w:ascii="Times New Roman" w:hAnsi="Times New Roman" w:cs="Times New Roman"/>
              </w:rPr>
            </w:pPr>
            <w:r w:rsidRPr="00235F0A">
              <w:rPr>
                <w:rFonts w:ascii="Times New Roman" w:hAnsi="Times New Roman" w:cs="Times New Roman"/>
              </w:rPr>
              <w:t>Telecommunications</w:t>
            </w:r>
          </w:p>
        </w:tc>
        <w:tc>
          <w:tcPr>
            <w:tcW w:w="2878" w:type="dxa"/>
            <w:vAlign w:val="center"/>
          </w:tcPr>
          <w:p w:rsidR="00235F0A" w:rsidRPr="00235F0A" w:rsidRDefault="00235F0A" w:rsidP="00235F0A">
            <w:pPr>
              <w:jc w:val="center"/>
              <w:rPr>
                <w:rFonts w:ascii="Times New Roman" w:hAnsi="Times New Roman" w:cs="Times New Roman"/>
              </w:rPr>
            </w:pPr>
            <w:r w:rsidRPr="00235F0A">
              <w:rPr>
                <w:rFonts w:ascii="Times New Roman" w:hAnsi="Times New Roman" w:cs="Times New Roman"/>
              </w:rPr>
              <w:t>1731</w:t>
            </w:r>
          </w:p>
        </w:tc>
      </w:tr>
    </w:tbl>
    <w:p w:rsidR="00235F0A" w:rsidRDefault="00235F0A"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235F0A" w:rsidRPr="007267FC" w:rsidRDefault="00235F0A"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rPr>
      </w:pPr>
      <w:r w:rsidRPr="007267FC">
        <w:rPr>
          <w:b/>
          <w:bCs/>
        </w:rPr>
        <w:t>4(b)</w:t>
      </w:r>
      <w:r w:rsidRPr="007267FC">
        <w:rPr>
          <w:b/>
          <w:bCs/>
        </w:rPr>
        <w:tab/>
        <w:t>Information Requested</w:t>
      </w:r>
    </w:p>
    <w:p w:rsidR="006C676F" w:rsidRPr="007267FC" w:rsidRDefault="00DC13A8" w:rsidP="007267FC">
      <w:pPr>
        <w:widowControl/>
        <w:spacing w:line="360" w:lineRule="auto"/>
        <w:ind w:firstLine="720"/>
      </w:pPr>
      <w:r>
        <w:t>Pilot participants</w:t>
      </w:r>
      <w:r w:rsidR="00551BE6" w:rsidRPr="007267FC">
        <w:t xml:space="preserve"> </w:t>
      </w:r>
      <w:r>
        <w:t xml:space="preserve">are required to </w:t>
      </w:r>
      <w:r w:rsidR="00551BE6" w:rsidRPr="007267FC">
        <w:t xml:space="preserve">develop and </w:t>
      </w:r>
      <w:r w:rsidR="00EA128B" w:rsidRPr="007267FC">
        <w:t xml:space="preserve">submit </w:t>
      </w:r>
      <w:r w:rsidR="00656E12" w:rsidRPr="007267FC">
        <w:t xml:space="preserve">an </w:t>
      </w:r>
      <w:r w:rsidR="00551BE6" w:rsidRPr="007267FC">
        <w:t xml:space="preserve">Inventory Management Plan, </w:t>
      </w:r>
      <w:r w:rsidR="006E2217" w:rsidRPr="007267FC">
        <w:t xml:space="preserve">base year inventory, </w:t>
      </w:r>
      <w:r w:rsidR="00554647">
        <w:t>and work to develop a</w:t>
      </w:r>
      <w:r w:rsidR="00A57F07">
        <w:t xml:space="preserve"> </w:t>
      </w:r>
      <w:r w:rsidR="00656E12" w:rsidRPr="007267FC">
        <w:t xml:space="preserve">GHG </w:t>
      </w:r>
      <w:r w:rsidR="006E2217" w:rsidRPr="007267FC">
        <w:t xml:space="preserve">emissions </w:t>
      </w:r>
      <w:r w:rsidR="00656E12" w:rsidRPr="007267FC">
        <w:t>reduction goa</w:t>
      </w:r>
      <w:r w:rsidR="00A57F07">
        <w:t>l</w:t>
      </w:r>
      <w:r w:rsidR="00767E54">
        <w:t>.</w:t>
      </w:r>
      <w:r>
        <w:t xml:space="preserve"> </w:t>
      </w:r>
      <w:r w:rsidR="00551BE6" w:rsidRPr="007267FC">
        <w:t>In order to measure the progress toward meeting the GHG reduction goals,</w:t>
      </w:r>
      <w:r w:rsidR="00656E12" w:rsidRPr="007267FC">
        <w:t xml:space="preserve"> </w:t>
      </w:r>
      <w:r>
        <w:t xml:space="preserve">Pilot participants </w:t>
      </w:r>
      <w:r w:rsidR="003E1716">
        <w:t xml:space="preserve">also </w:t>
      </w:r>
      <w:r w:rsidR="00551BE6" w:rsidRPr="007267FC">
        <w:t>complete and submit the Annual GHG Inventory Summary and Goal Tracking Form. This form d</w:t>
      </w:r>
      <w:r w:rsidR="00EA128B" w:rsidRPr="007267FC">
        <w:t>ocument</w:t>
      </w:r>
      <w:r w:rsidR="00551BE6" w:rsidRPr="007267FC">
        <w:t>s</w:t>
      </w:r>
      <w:r w:rsidR="00EA128B" w:rsidRPr="007267FC">
        <w:t xml:space="preserve"> a </w:t>
      </w:r>
      <w:r>
        <w:t xml:space="preserve">Pilot participant’s </w:t>
      </w:r>
      <w:r w:rsidR="00EA128B" w:rsidRPr="007267FC">
        <w:t>GHG</w:t>
      </w:r>
      <w:r w:rsidR="00656E12" w:rsidRPr="007267FC">
        <w:t xml:space="preserve"> </w:t>
      </w:r>
      <w:r w:rsidR="00551BE6" w:rsidRPr="007267FC">
        <w:t>emissions during</w:t>
      </w:r>
      <w:r w:rsidR="00EA128B" w:rsidRPr="007267FC">
        <w:t xml:space="preserve"> the past year.</w:t>
      </w:r>
      <w:r w:rsidR="00FE507F" w:rsidRPr="007267FC">
        <w:t xml:space="preserve"> </w:t>
      </w:r>
      <w:r>
        <w:t xml:space="preserve"> </w:t>
      </w:r>
      <w:r w:rsidR="000F116B" w:rsidRPr="007267FC">
        <w:rPr>
          <w:lang w:val="en-CA"/>
        </w:rPr>
        <w:fldChar w:fldCharType="begin"/>
      </w:r>
      <w:r w:rsidR="00167F4D" w:rsidRPr="007267FC">
        <w:rPr>
          <w:lang w:val="en-CA"/>
        </w:rPr>
        <w:instrText xml:space="preserve"> SEQ CHAPTER \h \r 1</w:instrText>
      </w:r>
      <w:r w:rsidR="000F116B" w:rsidRPr="007267FC">
        <w:rPr>
          <w:lang w:val="en-CA"/>
        </w:rPr>
        <w:fldChar w:fldCharType="end"/>
      </w:r>
      <w:r w:rsidR="00167F4D" w:rsidRPr="007267FC">
        <w:t xml:space="preserve">Each information collection activity is described </w:t>
      </w:r>
      <w:r w:rsidR="00167F4D" w:rsidRPr="007267FC">
        <w:lastRenderedPageBreak/>
        <w:t>below</w:t>
      </w:r>
      <w:r w:rsidR="00767E54">
        <w:t xml:space="preserve">. </w:t>
      </w:r>
      <w:r w:rsidR="006C676F" w:rsidRPr="007267FC">
        <w:t>EPA provides a variety of forms of technical assistance to help Partners complete their Reporting Forms, including assistance filling out the forms and assistance using electronic tools such as spreadsheets.</w:t>
      </w:r>
    </w:p>
    <w:p w:rsidR="00EA748F" w:rsidRDefault="00EA748F" w:rsidP="007267FC">
      <w:pPr>
        <w:widowControl/>
        <w:spacing w:line="360" w:lineRule="auto"/>
      </w:pPr>
    </w:p>
    <w:p w:rsidR="00EA748F" w:rsidRDefault="00EA748F" w:rsidP="007267FC">
      <w:pPr>
        <w:widowControl/>
        <w:spacing w:line="360" w:lineRule="auto"/>
        <w:rPr>
          <w:rStyle w:val="CommentReference"/>
        </w:rPr>
      </w:pPr>
    </w:p>
    <w:p w:rsidR="00F81767" w:rsidRPr="0096376B" w:rsidRDefault="00396862" w:rsidP="007267FC">
      <w:pPr>
        <w:widowControl/>
        <w:spacing w:line="360" w:lineRule="auto"/>
        <w:rPr>
          <w:b/>
          <w:bCs/>
          <w:i/>
        </w:rPr>
      </w:pPr>
      <w:r>
        <w:rPr>
          <w:b/>
          <w:bCs/>
          <w:i/>
        </w:rPr>
        <w:tab/>
      </w:r>
      <w:r w:rsidR="0096376B" w:rsidRPr="0096376B">
        <w:rPr>
          <w:b/>
          <w:bCs/>
          <w:i/>
        </w:rPr>
        <w:t>(</w:t>
      </w:r>
      <w:r w:rsidR="00EA748F">
        <w:rPr>
          <w:b/>
          <w:bCs/>
          <w:i/>
        </w:rPr>
        <w:t>1</w:t>
      </w:r>
      <w:r w:rsidR="0096376B" w:rsidRPr="0096376B">
        <w:rPr>
          <w:b/>
          <w:bCs/>
          <w:i/>
        </w:rPr>
        <w:t>)</w:t>
      </w:r>
      <w:r w:rsidR="0096376B" w:rsidRPr="0096376B">
        <w:rPr>
          <w:b/>
          <w:bCs/>
          <w:i/>
        </w:rPr>
        <w:tab/>
      </w:r>
      <w:r w:rsidR="009D3006" w:rsidRPr="0096376B">
        <w:rPr>
          <w:b/>
          <w:bCs/>
          <w:i/>
        </w:rPr>
        <w:t xml:space="preserve">Annual GHG Inventory </w:t>
      </w:r>
      <w:r w:rsidR="00EA748F">
        <w:rPr>
          <w:b/>
          <w:bCs/>
          <w:i/>
        </w:rPr>
        <w:t xml:space="preserve">Summary and Goal Tracking Form </w:t>
      </w:r>
    </w:p>
    <w:p w:rsidR="00EA128B" w:rsidRPr="007267FC" w:rsidRDefault="00AF12C9" w:rsidP="007267FC">
      <w:pPr>
        <w:widowControl/>
        <w:spacing w:line="360" w:lineRule="auto"/>
      </w:pPr>
      <w:r w:rsidRPr="007267FC">
        <w:rPr>
          <w:b/>
          <w:bCs/>
        </w:rPr>
        <w:tab/>
      </w:r>
      <w:r w:rsidR="00EA128B" w:rsidRPr="007267FC">
        <w:t>In order to assist the Agency in evaluating whether Partners are on track to meet their</w:t>
      </w:r>
      <w:r w:rsidR="006C676F" w:rsidRPr="007267FC">
        <w:t xml:space="preserve"> </w:t>
      </w:r>
      <w:r w:rsidR="00EA128B" w:rsidRPr="007267FC">
        <w:t xml:space="preserve">GHG reduction targets, EPA asks </w:t>
      </w:r>
      <w:r w:rsidR="00B47AB6">
        <w:t>Pilot participants</w:t>
      </w:r>
      <w:r w:rsidR="00B47AB6" w:rsidRPr="007267FC">
        <w:t xml:space="preserve"> </w:t>
      </w:r>
      <w:r w:rsidR="00807A62" w:rsidRPr="007267FC">
        <w:t>to update the base year inventory each subsequent year with the Annual GHG Inventory Summary and Goal Tracking Form</w:t>
      </w:r>
      <w:r w:rsidR="00767E54">
        <w:t xml:space="preserve">. </w:t>
      </w:r>
    </w:p>
    <w:p w:rsidR="00CD58AB" w:rsidRPr="007267FC" w:rsidRDefault="0096376B" w:rsidP="007267FC">
      <w:pPr>
        <w:widowControl/>
        <w:spacing w:line="360" w:lineRule="auto"/>
      </w:pPr>
      <w:r>
        <w:tab/>
      </w:r>
      <w:r w:rsidR="00CD58AB" w:rsidRPr="007267FC">
        <w:t>(i)</w:t>
      </w:r>
      <w:r w:rsidR="007212F3" w:rsidRPr="007267FC">
        <w:tab/>
      </w:r>
      <w:r w:rsidR="00CD58AB" w:rsidRPr="007267FC">
        <w:rPr>
          <w:u w:val="single"/>
        </w:rPr>
        <w:t>Data items</w:t>
      </w:r>
      <w:r w:rsidR="00364382">
        <w:rPr>
          <w:u w:val="single"/>
        </w:rPr>
        <w:t>, including record keeping requirements</w:t>
      </w:r>
      <w:r w:rsidR="00767E54">
        <w:t xml:space="preserve">. </w:t>
      </w:r>
      <w:r w:rsidR="00CD58AB" w:rsidRPr="007267FC">
        <w:t>Partners provide t</w:t>
      </w:r>
      <w:r w:rsidR="00C64251">
        <w:t>he following information to EPA.</w:t>
      </w:r>
    </w:p>
    <w:p w:rsidR="00CD58AB" w:rsidRPr="007267FC" w:rsidRDefault="00CD58AB" w:rsidP="007872EB">
      <w:pPr>
        <w:widowControl/>
        <w:numPr>
          <w:ilvl w:val="0"/>
          <w:numId w:val="8"/>
        </w:numPr>
        <w:spacing w:after="120"/>
        <w:ind w:hanging="720"/>
      </w:pPr>
      <w:r w:rsidRPr="007267FC">
        <w:t>For all categories of base year data entered, input the annual emission values for the current year inventory</w:t>
      </w:r>
    </w:p>
    <w:p w:rsidR="00CD58AB" w:rsidRPr="007267FC" w:rsidRDefault="00CD58AB" w:rsidP="007872EB">
      <w:pPr>
        <w:widowControl/>
        <w:numPr>
          <w:ilvl w:val="0"/>
          <w:numId w:val="8"/>
        </w:numPr>
        <w:spacing w:after="120"/>
        <w:ind w:hanging="720"/>
      </w:pPr>
      <w:r w:rsidRPr="007267FC">
        <w:t>New source categories and corres</w:t>
      </w:r>
      <w:r w:rsidR="004C368C">
        <w:t>ponding emissions, as necessary</w:t>
      </w:r>
    </w:p>
    <w:p w:rsidR="00CD58AB" w:rsidRPr="007267FC" w:rsidRDefault="00CD58AB" w:rsidP="007872EB">
      <w:pPr>
        <w:widowControl/>
        <w:numPr>
          <w:ilvl w:val="0"/>
          <w:numId w:val="8"/>
        </w:numPr>
        <w:spacing w:after="120"/>
        <w:ind w:hanging="720"/>
      </w:pPr>
      <w:r w:rsidRPr="007267FC">
        <w:t>If the inventory is re-</w:t>
      </w:r>
      <w:r w:rsidR="00EA748F">
        <w:t>baselined</w:t>
      </w:r>
      <w:r w:rsidRPr="007267FC">
        <w:t>, the new base year estimat</w:t>
      </w:r>
      <w:r w:rsidR="004C368C">
        <w:t>e</w:t>
      </w:r>
    </w:p>
    <w:p w:rsidR="0000108C" w:rsidRPr="007267FC" w:rsidRDefault="0000108C" w:rsidP="007872EB">
      <w:pPr>
        <w:widowControl/>
        <w:numPr>
          <w:ilvl w:val="0"/>
          <w:numId w:val="8"/>
        </w:numPr>
        <w:spacing w:after="120"/>
        <w:ind w:hanging="720"/>
      </w:pPr>
      <w:r w:rsidRPr="007267FC">
        <w:t>Number of times the base year data has been adjusted since the first inventory submittal year with an</w:t>
      </w:r>
      <w:r w:rsidR="004C368C">
        <w:t xml:space="preserve"> explanation of each adjustment</w:t>
      </w:r>
    </w:p>
    <w:p w:rsidR="0000108C" w:rsidRPr="007267FC" w:rsidRDefault="0000108C" w:rsidP="007872EB">
      <w:pPr>
        <w:widowControl/>
        <w:numPr>
          <w:ilvl w:val="0"/>
          <w:numId w:val="8"/>
        </w:numPr>
        <w:spacing w:after="120"/>
        <w:ind w:hanging="720"/>
      </w:pPr>
      <w:r w:rsidRPr="007267FC">
        <w:t>Description of any changes in calculation methodologies or any other significant differences from the prev</w:t>
      </w:r>
      <w:r w:rsidR="004C368C">
        <w:t>ious year data submittal to EPA</w:t>
      </w:r>
    </w:p>
    <w:p w:rsidR="0000108C" w:rsidRPr="007267FC" w:rsidRDefault="0000108C" w:rsidP="007872EB">
      <w:pPr>
        <w:widowControl/>
        <w:numPr>
          <w:ilvl w:val="0"/>
          <w:numId w:val="8"/>
        </w:numPr>
        <w:spacing w:after="120"/>
        <w:ind w:hanging="720"/>
      </w:pPr>
      <w:r w:rsidRPr="007267FC">
        <w:t>Year of inventory represented and the date the form was completed</w:t>
      </w:r>
    </w:p>
    <w:p w:rsidR="00CD58AB" w:rsidRPr="007267FC" w:rsidRDefault="00CD58AB" w:rsidP="007267FC">
      <w:pPr>
        <w:widowControl/>
        <w:spacing w:line="360" w:lineRule="auto"/>
      </w:pPr>
    </w:p>
    <w:p w:rsidR="00CD58AB" w:rsidRPr="007267FC" w:rsidRDefault="00CD58AB" w:rsidP="0096376B">
      <w:pPr>
        <w:widowControl/>
        <w:spacing w:line="360" w:lineRule="auto"/>
        <w:ind w:left="720"/>
      </w:pPr>
      <w:r w:rsidRPr="007267FC">
        <w:t>(ii)</w:t>
      </w:r>
      <w:r w:rsidR="00AF12C9" w:rsidRPr="007267FC">
        <w:tab/>
      </w:r>
      <w:r w:rsidRPr="007267FC">
        <w:rPr>
          <w:u w:val="single"/>
        </w:rPr>
        <w:t>Respondent activities</w:t>
      </w:r>
      <w:r w:rsidR="00767E54">
        <w:t xml:space="preserve">. </w:t>
      </w:r>
      <w:r w:rsidRPr="007267FC">
        <w:t xml:space="preserve">In </w:t>
      </w:r>
      <w:r w:rsidR="00496741" w:rsidRPr="007267FC">
        <w:t>completing s</w:t>
      </w:r>
      <w:r w:rsidR="00486809" w:rsidRPr="007267FC">
        <w:t>ubsequent years of the Annual G</w:t>
      </w:r>
      <w:r w:rsidR="00496741" w:rsidRPr="007267FC">
        <w:t xml:space="preserve">HG Inventory Summary and Goal Tracking Form, </w:t>
      </w:r>
      <w:r w:rsidR="00EA748F">
        <w:t>Pilot participants</w:t>
      </w:r>
      <w:r w:rsidRPr="007267FC">
        <w:t xml:space="preserve"> p</w:t>
      </w:r>
      <w:r w:rsidR="00C64251">
        <w:t>erform the following activities.</w:t>
      </w:r>
    </w:p>
    <w:p w:rsidR="004C368C" w:rsidRDefault="00EA748F" w:rsidP="007872EB">
      <w:pPr>
        <w:widowControl/>
        <w:numPr>
          <w:ilvl w:val="0"/>
          <w:numId w:val="16"/>
        </w:numPr>
        <w:tabs>
          <w:tab w:val="clear" w:pos="1800"/>
        </w:tabs>
        <w:spacing w:line="360" w:lineRule="auto"/>
        <w:ind w:left="1980" w:hanging="540"/>
      </w:pPr>
      <w:r>
        <w:t>Collect and calc</w:t>
      </w:r>
      <w:r w:rsidR="004C368C">
        <w:t>ulate annual GHG emissions data</w:t>
      </w:r>
    </w:p>
    <w:p w:rsidR="009D3006" w:rsidRPr="007267FC" w:rsidRDefault="00EA748F" w:rsidP="007872EB">
      <w:pPr>
        <w:widowControl/>
        <w:numPr>
          <w:ilvl w:val="0"/>
          <w:numId w:val="16"/>
        </w:numPr>
        <w:tabs>
          <w:tab w:val="clear" w:pos="1800"/>
        </w:tabs>
        <w:spacing w:line="360" w:lineRule="auto"/>
        <w:ind w:left="1980" w:hanging="540"/>
      </w:pPr>
      <w:r>
        <w:t>S</w:t>
      </w:r>
      <w:r w:rsidR="00C64251">
        <w:t>ubmit to EPA for review</w:t>
      </w:r>
    </w:p>
    <w:p w:rsidR="00EA128B" w:rsidRPr="00F10E61" w:rsidRDefault="00F10E61" w:rsidP="00396862">
      <w:pPr>
        <w:widowControl/>
        <w:spacing w:line="360" w:lineRule="auto"/>
        <w:ind w:left="720"/>
        <w:rPr>
          <w:b/>
          <w:bCs/>
          <w:i/>
        </w:rPr>
      </w:pPr>
      <w:r w:rsidRPr="00F10E61">
        <w:rPr>
          <w:b/>
          <w:bCs/>
          <w:i/>
        </w:rPr>
        <w:t>(</w:t>
      </w:r>
      <w:r w:rsidR="00EA748F">
        <w:rPr>
          <w:b/>
          <w:bCs/>
          <w:i/>
        </w:rPr>
        <w:t>2</w:t>
      </w:r>
      <w:r w:rsidRPr="00F10E61">
        <w:rPr>
          <w:b/>
          <w:bCs/>
          <w:i/>
        </w:rPr>
        <w:t>)</w:t>
      </w:r>
      <w:r w:rsidRPr="00F10E61">
        <w:rPr>
          <w:b/>
          <w:bCs/>
          <w:i/>
        </w:rPr>
        <w:tab/>
      </w:r>
      <w:r w:rsidR="00EA128B" w:rsidRPr="00F10E61">
        <w:rPr>
          <w:b/>
          <w:bCs/>
          <w:i/>
        </w:rPr>
        <w:t>Additional Activities</w:t>
      </w:r>
      <w:r w:rsidR="00FB3943">
        <w:rPr>
          <w:b/>
          <w:bCs/>
          <w:i/>
        </w:rPr>
        <w:t xml:space="preserve"> </w:t>
      </w:r>
    </w:p>
    <w:p w:rsidR="00EA128B" w:rsidRPr="007267FC" w:rsidRDefault="00AF12C9" w:rsidP="007267FC">
      <w:pPr>
        <w:widowControl/>
        <w:spacing w:line="360" w:lineRule="auto"/>
      </w:pPr>
      <w:r w:rsidRPr="007267FC">
        <w:tab/>
      </w:r>
      <w:r w:rsidR="00EA128B" w:rsidRPr="007267FC">
        <w:t xml:space="preserve">During participation in the program, </w:t>
      </w:r>
      <w:r w:rsidR="00DC13A8">
        <w:t>Pilot participants</w:t>
      </w:r>
      <w:r w:rsidR="00DC13A8" w:rsidRPr="007267FC">
        <w:t xml:space="preserve"> </w:t>
      </w:r>
      <w:r w:rsidR="00EA128B" w:rsidRPr="007267FC">
        <w:t>may be requested to notify EPA of any</w:t>
      </w:r>
      <w:r w:rsidR="00DC13A8">
        <w:t xml:space="preserve"> </w:t>
      </w:r>
      <w:r w:rsidR="00EA128B" w:rsidRPr="007267FC">
        <w:t xml:space="preserve">change, such as a change in </w:t>
      </w:r>
      <w:r w:rsidR="006C676F" w:rsidRPr="007267FC">
        <w:t>Company Representative.</w:t>
      </w:r>
    </w:p>
    <w:p w:rsidR="00EA128B" w:rsidRPr="007267FC" w:rsidRDefault="00F10E61" w:rsidP="00FB3943">
      <w:pPr>
        <w:widowControl/>
        <w:spacing w:line="360" w:lineRule="auto"/>
        <w:ind w:left="720"/>
      </w:pPr>
      <w:r>
        <w:tab/>
      </w:r>
      <w:r w:rsidR="00EA128B" w:rsidRPr="007267FC">
        <w:t>(i)</w:t>
      </w:r>
      <w:r w:rsidR="00AF12C9" w:rsidRPr="007267FC">
        <w:tab/>
      </w:r>
      <w:r w:rsidR="00EA128B" w:rsidRPr="007267FC">
        <w:rPr>
          <w:u w:val="single"/>
        </w:rPr>
        <w:t>Data items</w:t>
      </w:r>
      <w:r w:rsidR="00364382">
        <w:rPr>
          <w:u w:val="single"/>
        </w:rPr>
        <w:t>, including record</w:t>
      </w:r>
      <w:r w:rsidR="00140F09">
        <w:rPr>
          <w:u w:val="single"/>
        </w:rPr>
        <w:t>-</w:t>
      </w:r>
      <w:r w:rsidR="00364382">
        <w:rPr>
          <w:u w:val="single"/>
        </w:rPr>
        <w:t>keeping requirements</w:t>
      </w:r>
      <w:r w:rsidR="00AF12C9" w:rsidRPr="007267FC">
        <w:t>.</w:t>
      </w:r>
      <w:r w:rsidR="00FB3943">
        <w:t xml:space="preserve"> </w:t>
      </w:r>
      <w:r w:rsidR="00364382">
        <w:t>Pilot participants</w:t>
      </w:r>
      <w:r w:rsidR="00FB3943">
        <w:t xml:space="preserve"> provide t</w:t>
      </w:r>
      <w:r w:rsidR="00C64251">
        <w:t>he following information to EPA.</w:t>
      </w:r>
    </w:p>
    <w:p w:rsidR="00EA128B" w:rsidRPr="007267FC" w:rsidRDefault="00EA128B" w:rsidP="007872EB">
      <w:pPr>
        <w:widowControl/>
        <w:numPr>
          <w:ilvl w:val="0"/>
          <w:numId w:val="10"/>
        </w:numPr>
        <w:spacing w:after="120"/>
        <w:ind w:hanging="720"/>
      </w:pPr>
      <w:r w:rsidRPr="007267FC">
        <w:t xml:space="preserve">Changes in information, such as the name of a new </w:t>
      </w:r>
      <w:r w:rsidR="006C676F" w:rsidRPr="007267FC">
        <w:t>company representative</w:t>
      </w:r>
      <w:r w:rsidR="00364382">
        <w:t xml:space="preserve"> or </w:t>
      </w:r>
      <w:r w:rsidRPr="007267FC">
        <w:t>change in</w:t>
      </w:r>
      <w:r w:rsidR="00AF12C9" w:rsidRPr="007267FC">
        <w:t xml:space="preserve"> </w:t>
      </w:r>
      <w:r w:rsidR="00C64251">
        <w:t>address</w:t>
      </w:r>
    </w:p>
    <w:p w:rsidR="00EA128B" w:rsidRPr="007267FC" w:rsidRDefault="00EA128B" w:rsidP="00EA748F">
      <w:pPr>
        <w:widowControl/>
        <w:spacing w:line="360" w:lineRule="auto"/>
        <w:ind w:left="1440"/>
      </w:pPr>
      <w:r w:rsidRPr="007267FC">
        <w:t>(ii)</w:t>
      </w:r>
      <w:r w:rsidR="00AF12C9" w:rsidRPr="007267FC">
        <w:tab/>
      </w:r>
      <w:r w:rsidRPr="007267FC">
        <w:rPr>
          <w:u w:val="single"/>
        </w:rPr>
        <w:t>Respondent activities</w:t>
      </w:r>
      <w:r w:rsidR="00AF12C9" w:rsidRPr="007267FC">
        <w:t>.</w:t>
      </w:r>
      <w:r w:rsidR="00FB3943">
        <w:t xml:space="preserve"> In </w:t>
      </w:r>
      <w:r w:rsidR="00A57F07">
        <w:t xml:space="preserve">updating information, </w:t>
      </w:r>
      <w:r w:rsidR="00B47AB6">
        <w:t xml:space="preserve">Pilot participants </w:t>
      </w:r>
      <w:r w:rsidR="00C64251">
        <w:t>perform the following activity</w:t>
      </w:r>
    </w:p>
    <w:p w:rsidR="00EA128B" w:rsidRPr="007267FC" w:rsidRDefault="00EA128B" w:rsidP="007872EB">
      <w:pPr>
        <w:widowControl/>
        <w:numPr>
          <w:ilvl w:val="0"/>
          <w:numId w:val="10"/>
        </w:numPr>
        <w:ind w:hanging="720"/>
      </w:pPr>
      <w:r w:rsidRPr="007267FC">
        <w:lastRenderedPageBreak/>
        <w:t>Provide EPA with new information, such as the name of a new liaison or change</w:t>
      </w:r>
      <w:r w:rsidR="006C676F" w:rsidRPr="007267FC">
        <w:t xml:space="preserve"> in address via </w:t>
      </w:r>
      <w:r w:rsidR="001D5921" w:rsidRPr="007267FC">
        <w:t>e-mail</w:t>
      </w:r>
      <w:r w:rsidR="00364382">
        <w:t xml:space="preserve"> or phone</w:t>
      </w:r>
    </w:p>
    <w:p w:rsidR="00EA748F" w:rsidRPr="007267FC" w:rsidRDefault="00EA748F" w:rsidP="007267FC">
      <w:pPr>
        <w:pStyle w:val="Level1"/>
        <w:widowControl/>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0" w:firstLine="0"/>
      </w:pPr>
    </w:p>
    <w:p w:rsidR="00C04F0C"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hanging="720"/>
      </w:pPr>
      <w:r w:rsidRPr="007267FC">
        <w:rPr>
          <w:b/>
          <w:bCs/>
        </w:rPr>
        <w:t>5.</w:t>
      </w:r>
      <w:r w:rsidRPr="007267FC">
        <w:rPr>
          <w:b/>
          <w:bCs/>
        </w:rPr>
        <w:tab/>
      </w:r>
      <w:r w:rsidR="00364382">
        <w:rPr>
          <w:b/>
          <w:bCs/>
        </w:rPr>
        <w:t xml:space="preserve">THE INFORMATION COLLECTED – AGENCY </w:t>
      </w:r>
      <w:r w:rsidRPr="007267FC">
        <w:rPr>
          <w:b/>
          <w:bCs/>
        </w:rPr>
        <w:t xml:space="preserve">ACTIVITIES, COLLECTION METHODOLOGY, </w:t>
      </w:r>
      <w:smartTag w:uri="urn:schemas-microsoft-com:office:smarttags" w:element="stockticker">
        <w:r w:rsidRPr="007267FC">
          <w:rPr>
            <w:b/>
            <w:bCs/>
          </w:rPr>
          <w:t>AND</w:t>
        </w:r>
      </w:smartTag>
      <w:r w:rsidRPr="007267FC">
        <w:rPr>
          <w:b/>
          <w:bCs/>
        </w:rPr>
        <w:t xml:space="preserve"> INFORMATION MANAGEMENT</w:t>
      </w:r>
    </w:p>
    <w:p w:rsidR="00C64251" w:rsidRDefault="00C64251" w:rsidP="00396862">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bCs/>
        </w:rPr>
      </w:pPr>
    </w:p>
    <w:p w:rsidR="008E6CCB" w:rsidRPr="007267FC" w:rsidRDefault="008E6CCB" w:rsidP="00396862">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5(a)</w:t>
      </w:r>
      <w:r w:rsidRPr="007267FC">
        <w:rPr>
          <w:b/>
          <w:bCs/>
        </w:rPr>
        <w:tab/>
      </w:r>
      <w:r w:rsidRPr="007267FC">
        <w:rPr>
          <w:b/>
          <w:bCs/>
          <w:u w:val="single"/>
        </w:rPr>
        <w:t>Agency Activities</w:t>
      </w:r>
    </w:p>
    <w:p w:rsidR="00F70C2C" w:rsidRDefault="008E6CCB" w:rsidP="00321625">
      <w:pPr>
        <w:widowControl/>
        <w:spacing w:line="360" w:lineRule="auto"/>
        <w:ind w:firstLine="720"/>
      </w:pPr>
      <w:r w:rsidRPr="007267FC">
        <w:t xml:space="preserve">This section discusses the forms and associated Agency activities under </w:t>
      </w:r>
      <w:r w:rsidR="00364382">
        <w:t>the Federal Supplier Greenhouse Gas Emissions Inventory Pilot</w:t>
      </w:r>
      <w:r w:rsidR="00AF12C9" w:rsidRPr="007267FC">
        <w:t>.</w:t>
      </w:r>
    </w:p>
    <w:p w:rsidR="00486809" w:rsidRPr="007267FC" w:rsidRDefault="00486809" w:rsidP="00F10E61">
      <w:pPr>
        <w:widowControl/>
        <w:spacing w:line="360" w:lineRule="auto"/>
        <w:ind w:left="720" w:hanging="720"/>
      </w:pPr>
    </w:p>
    <w:p w:rsidR="00486809" w:rsidRPr="00F10E61" w:rsidRDefault="00396862" w:rsidP="00321625">
      <w:pPr>
        <w:widowControl/>
        <w:spacing w:line="360" w:lineRule="auto"/>
        <w:rPr>
          <w:b/>
          <w:bCs/>
          <w:i/>
        </w:rPr>
      </w:pPr>
      <w:r>
        <w:rPr>
          <w:b/>
          <w:bCs/>
          <w:i/>
        </w:rPr>
        <w:tab/>
      </w:r>
      <w:r w:rsidR="00F10E61" w:rsidRPr="00F10E61">
        <w:rPr>
          <w:b/>
          <w:bCs/>
          <w:i/>
        </w:rPr>
        <w:t>(</w:t>
      </w:r>
      <w:r w:rsidR="00364382">
        <w:rPr>
          <w:b/>
          <w:bCs/>
          <w:i/>
        </w:rPr>
        <w:t>1</w:t>
      </w:r>
      <w:r w:rsidR="00F10E61" w:rsidRPr="00F10E61">
        <w:rPr>
          <w:b/>
          <w:bCs/>
          <w:i/>
        </w:rPr>
        <w:t>)</w:t>
      </w:r>
      <w:r w:rsidR="00F10E61" w:rsidRPr="00F10E61">
        <w:rPr>
          <w:b/>
          <w:bCs/>
          <w:i/>
        </w:rPr>
        <w:tab/>
      </w:r>
      <w:r w:rsidR="00486809" w:rsidRPr="00F10E61">
        <w:rPr>
          <w:b/>
          <w:bCs/>
          <w:i/>
        </w:rPr>
        <w:t>Annual GHG Inventory Summ</w:t>
      </w:r>
      <w:r w:rsidR="0032368B">
        <w:rPr>
          <w:b/>
          <w:bCs/>
          <w:i/>
        </w:rPr>
        <w:t>ary and Goal Tracking Form</w:t>
      </w:r>
    </w:p>
    <w:p w:rsidR="00486809" w:rsidRPr="007267FC" w:rsidRDefault="00486809" w:rsidP="0032368B">
      <w:pPr>
        <w:pStyle w:val="a"/>
        <w:widowControl/>
        <w:numPr>
          <w:ilvl w:val="0"/>
          <w:numId w:val="1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spacing w:after="120"/>
        <w:ind w:hanging="720"/>
      </w:pPr>
      <w:r w:rsidRPr="007267FC">
        <w:t xml:space="preserve">Receive, review, and enter </w:t>
      </w:r>
      <w:r w:rsidR="008B7A78" w:rsidRPr="007267FC">
        <w:t xml:space="preserve">updated </w:t>
      </w:r>
      <w:r w:rsidRPr="007267FC">
        <w:t>information from spreadsheet form into database</w:t>
      </w:r>
      <w:r w:rsidR="00205DAE" w:rsidRPr="007267FC">
        <w:t>.</w:t>
      </w:r>
    </w:p>
    <w:p w:rsidR="00205DAE" w:rsidRPr="007267FC" w:rsidRDefault="00205DAE" w:rsidP="007267FC">
      <w:pPr>
        <w:pStyle w:val="a"/>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firstLine="0"/>
      </w:pPr>
    </w:p>
    <w:p w:rsidR="00205DAE" w:rsidRPr="00F10E61" w:rsidRDefault="00F10E61" w:rsidP="00396862">
      <w:pPr>
        <w:widowControl/>
        <w:spacing w:line="360" w:lineRule="auto"/>
        <w:ind w:left="720"/>
        <w:rPr>
          <w:b/>
          <w:bCs/>
          <w:i/>
        </w:rPr>
      </w:pPr>
      <w:r w:rsidRPr="00F10E61">
        <w:rPr>
          <w:b/>
          <w:bCs/>
          <w:i/>
        </w:rPr>
        <w:t>(</w:t>
      </w:r>
      <w:r w:rsidR="0032368B">
        <w:rPr>
          <w:b/>
          <w:bCs/>
          <w:i/>
        </w:rPr>
        <w:t>2</w:t>
      </w:r>
      <w:r w:rsidRPr="00F10E61">
        <w:rPr>
          <w:b/>
          <w:bCs/>
          <w:i/>
        </w:rPr>
        <w:t>)</w:t>
      </w:r>
      <w:r w:rsidRPr="00F10E61">
        <w:rPr>
          <w:b/>
          <w:bCs/>
          <w:i/>
        </w:rPr>
        <w:tab/>
      </w:r>
      <w:r w:rsidR="00205DAE" w:rsidRPr="00F10E61">
        <w:rPr>
          <w:b/>
          <w:bCs/>
          <w:i/>
        </w:rPr>
        <w:t>Additional Activities</w:t>
      </w:r>
    </w:p>
    <w:p w:rsidR="00205DAE" w:rsidRPr="007267FC" w:rsidRDefault="00205DAE" w:rsidP="007872EB">
      <w:pPr>
        <w:pStyle w:val="a"/>
        <w:widowControl/>
        <w:numPr>
          <w:ilvl w:val="0"/>
          <w:numId w:val="1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ind w:hanging="720"/>
      </w:pPr>
      <w:r w:rsidRPr="007267FC">
        <w:t xml:space="preserve">Enter revised contact or profile information updates submitted by </w:t>
      </w:r>
      <w:r w:rsidR="00260A61">
        <w:t>Pilot participants</w:t>
      </w:r>
      <w:r w:rsidR="00260A61" w:rsidRPr="007267FC">
        <w:t xml:space="preserve"> </w:t>
      </w:r>
      <w:r w:rsidRPr="007267FC">
        <w:t xml:space="preserve">through </w:t>
      </w:r>
      <w:r w:rsidR="001D5921" w:rsidRPr="007267FC">
        <w:t>e-mail</w:t>
      </w:r>
      <w:r w:rsidRPr="007267FC">
        <w:t>.</w:t>
      </w:r>
    </w:p>
    <w:p w:rsidR="00486809" w:rsidRPr="007267FC" w:rsidRDefault="00486809" w:rsidP="007267FC">
      <w:pPr>
        <w:pStyle w:val="a"/>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firstLine="0"/>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5(b)</w:t>
      </w:r>
      <w:r w:rsidRPr="007267FC">
        <w:rPr>
          <w:b/>
          <w:bCs/>
        </w:rPr>
        <w:tab/>
      </w:r>
      <w:r w:rsidRPr="007267FC">
        <w:rPr>
          <w:b/>
          <w:bCs/>
          <w:u w:val="single"/>
        </w:rPr>
        <w:t>Collection Methodology and Management</w:t>
      </w:r>
    </w:p>
    <w:p w:rsidR="00FA047C" w:rsidRPr="007267FC" w:rsidRDefault="000F116B" w:rsidP="00F10E61">
      <w:pPr>
        <w:widowControl/>
        <w:spacing w:line="360" w:lineRule="auto"/>
        <w:ind w:firstLine="720"/>
      </w:pPr>
      <w:r w:rsidRPr="007267FC">
        <w:rPr>
          <w:lang w:val="en-CA"/>
        </w:rPr>
        <w:fldChar w:fldCharType="begin"/>
      </w:r>
      <w:r w:rsidR="00BB696D" w:rsidRPr="007267FC">
        <w:rPr>
          <w:lang w:val="en-CA"/>
        </w:rPr>
        <w:instrText xml:space="preserve"> SEQ CHAPTER \h \r 1</w:instrText>
      </w:r>
      <w:r w:rsidRPr="007267FC">
        <w:rPr>
          <w:lang w:val="en-CA"/>
        </w:rPr>
        <w:fldChar w:fldCharType="end"/>
      </w:r>
      <w:r w:rsidR="00BB696D" w:rsidRPr="007267FC">
        <w:t>The methods selected for this information collection are chosen based on efficiency and minimization of burden for respondents and EPA</w:t>
      </w:r>
      <w:r w:rsidR="00767E54">
        <w:t xml:space="preserve">. </w:t>
      </w:r>
      <w:r w:rsidR="00BB696D" w:rsidRPr="007267FC">
        <w:t xml:space="preserve">Resources for developing Inventory Management Plans, </w:t>
      </w:r>
      <w:r w:rsidR="00A726DD" w:rsidRPr="007267FC">
        <w:t xml:space="preserve">calculating a base year inventory, </w:t>
      </w:r>
      <w:r w:rsidR="00BB696D" w:rsidRPr="007267FC">
        <w:t xml:space="preserve">setting </w:t>
      </w:r>
      <w:r w:rsidR="00A726DD" w:rsidRPr="007267FC">
        <w:t xml:space="preserve">a </w:t>
      </w:r>
      <w:r w:rsidR="00BB696D" w:rsidRPr="007267FC">
        <w:t>GHG</w:t>
      </w:r>
      <w:r w:rsidR="00A726DD" w:rsidRPr="007267FC">
        <w:t xml:space="preserve"> emission</w:t>
      </w:r>
      <w:r w:rsidR="00B36865" w:rsidRPr="007267FC">
        <w:t>s</w:t>
      </w:r>
      <w:r w:rsidR="00A726DD" w:rsidRPr="007267FC">
        <w:t xml:space="preserve"> reduction goal</w:t>
      </w:r>
      <w:r w:rsidR="00BB696D" w:rsidRPr="007267FC">
        <w:t xml:space="preserve">, and completing the Annual GHG Inventory Summary and Goal Tracking Form can be downloaded from </w:t>
      </w:r>
      <w:r w:rsidR="00582E06">
        <w:t>EPA’s Corporate GHG Resources website</w:t>
      </w:r>
      <w:r w:rsidR="00B47AB6">
        <w:t xml:space="preserve"> (www.epa.gov/climateleaders)</w:t>
      </w:r>
      <w:r w:rsidR="00767E54">
        <w:t xml:space="preserve">. </w:t>
      </w:r>
      <w:r w:rsidR="00D7623F">
        <w:t>All o</w:t>
      </w:r>
      <w:r w:rsidR="00474437">
        <w:t xml:space="preserve">f these reporting requirements </w:t>
      </w:r>
      <w:r w:rsidR="00D7623F">
        <w:t>are submitted to EPA electronically.</w:t>
      </w:r>
    </w:p>
    <w:p w:rsidR="00FA047C" w:rsidRPr="00D7623F" w:rsidRDefault="00FA047C" w:rsidP="00D7623F">
      <w:pPr>
        <w:widowControl/>
        <w:spacing w:line="360" w:lineRule="auto"/>
        <w:ind w:firstLine="540"/>
      </w:pPr>
      <w:r w:rsidRPr="007267FC">
        <w:t xml:space="preserve">For the </w:t>
      </w:r>
      <w:r w:rsidR="00474437">
        <w:t>annual</w:t>
      </w:r>
      <w:r w:rsidRPr="007267FC">
        <w:t xml:space="preserve"> inventory</w:t>
      </w:r>
      <w:r w:rsidR="00474437">
        <w:t xml:space="preserve"> submission by the Pilot participants</w:t>
      </w:r>
      <w:r w:rsidRPr="007267FC">
        <w:t xml:space="preserve">, EPA has developed an electronic spreadsheet </w:t>
      </w:r>
      <w:r w:rsidR="00474437">
        <w:t>(</w:t>
      </w:r>
      <w:r w:rsidRPr="00474437">
        <w:rPr>
          <w:i/>
        </w:rPr>
        <w:t>Annual GHG Inventory Summary and Goal Tracking Form</w:t>
      </w:r>
      <w:r w:rsidR="00474437">
        <w:t>)</w:t>
      </w:r>
      <w:r w:rsidRPr="007267FC">
        <w:t xml:space="preserve">, with detailed instructions and embedded macros and calculations in order to reduce the amount of data a </w:t>
      </w:r>
      <w:r w:rsidR="00582E06">
        <w:t xml:space="preserve">Pilot participant </w:t>
      </w:r>
      <w:r w:rsidRPr="007267FC">
        <w:t xml:space="preserve">must </w:t>
      </w:r>
      <w:r w:rsidR="00474437">
        <w:t>enter</w:t>
      </w:r>
      <w:r w:rsidR="00767E54">
        <w:t>.</w:t>
      </w:r>
      <w:r w:rsidR="00D7623F">
        <w:t xml:space="preserve">  </w:t>
      </w:r>
      <w:r w:rsidRPr="007267FC">
        <w:t xml:space="preserve">The Annual GHG Inventory Summary and Goal Tracking Forms </w:t>
      </w:r>
      <w:r w:rsidR="00D7623F">
        <w:t xml:space="preserve">are submitted </w:t>
      </w:r>
      <w:r w:rsidRPr="007267FC">
        <w:t xml:space="preserve">to </w:t>
      </w:r>
      <w:r w:rsidR="00D7623F">
        <w:t xml:space="preserve">EPA </w:t>
      </w:r>
      <w:r w:rsidRPr="007267FC">
        <w:t>electronically</w:t>
      </w:r>
      <w:r w:rsidR="00767E54">
        <w:t xml:space="preserve">. </w:t>
      </w:r>
      <w:r w:rsidR="00BB696D" w:rsidRPr="007267FC">
        <w:t>All informat</w:t>
      </w:r>
      <w:r w:rsidR="00D7623F">
        <w:t xml:space="preserve">ion received through the forms </w:t>
      </w:r>
      <w:r w:rsidR="00BB696D" w:rsidRPr="007267FC">
        <w:t xml:space="preserve">will be reviewed by EPA </w:t>
      </w:r>
      <w:r w:rsidR="00A726DD" w:rsidRPr="007267FC">
        <w:t xml:space="preserve">for accuracy and completeness </w:t>
      </w:r>
      <w:r w:rsidR="00BB696D" w:rsidRPr="007267FC">
        <w:t xml:space="preserve">before </w:t>
      </w:r>
      <w:r w:rsidR="00A726DD" w:rsidRPr="007267FC">
        <w:t>being entered into the database</w:t>
      </w:r>
      <w:r w:rsidR="00582E06">
        <w:t>,</w:t>
      </w:r>
    </w:p>
    <w:p w:rsidR="008E6CCB" w:rsidRPr="007267FC" w:rsidRDefault="008E6CCB" w:rsidP="007267FC">
      <w:pPr>
        <w:widowControl/>
        <w:spacing w:line="360" w:lineRule="auto"/>
        <w:rPr>
          <w:b/>
          <w:bCs/>
        </w:rPr>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5(c)</w:t>
      </w:r>
      <w:r w:rsidRPr="007267FC">
        <w:rPr>
          <w:b/>
          <w:bCs/>
        </w:rPr>
        <w:tab/>
      </w:r>
      <w:r w:rsidRPr="007267FC">
        <w:rPr>
          <w:b/>
          <w:bCs/>
          <w:u w:val="single"/>
        </w:rPr>
        <w:t>Small Entity Flexibility</w:t>
      </w:r>
    </w:p>
    <w:p w:rsidR="003B77A9" w:rsidRPr="007267FC" w:rsidRDefault="00242B50" w:rsidP="00242B50">
      <w:pPr>
        <w:widowControl/>
        <w:spacing w:line="360" w:lineRule="auto"/>
        <w:ind w:firstLine="720"/>
      </w:pPr>
      <w:r>
        <w:t>The Pilot was</w:t>
      </w:r>
      <w:r w:rsidR="003B77A9" w:rsidRPr="007267FC">
        <w:t xml:space="preserve"> designed </w:t>
      </w:r>
      <w:r>
        <w:t xml:space="preserve">solely for smaller </w:t>
      </w:r>
      <w:r w:rsidR="003B77A9" w:rsidRPr="007267FC">
        <w:t>companies</w:t>
      </w:r>
      <w:r w:rsidR="00140F09">
        <w:t>,</w:t>
      </w:r>
      <w:r>
        <w:t xml:space="preserve"> and </w:t>
      </w:r>
      <w:r w:rsidR="003B77A9" w:rsidRPr="007267FC">
        <w:t xml:space="preserve">EPA has </w:t>
      </w:r>
      <w:r>
        <w:t>created</w:t>
      </w:r>
      <w:r w:rsidR="00BB696D" w:rsidRPr="007267FC">
        <w:t xml:space="preserve"> reporting forms</w:t>
      </w:r>
      <w:r w:rsidR="003B77A9" w:rsidRPr="007267FC">
        <w:t xml:space="preserve"> to minimize respondent</w:t>
      </w:r>
      <w:r w:rsidR="00BB696D" w:rsidRPr="007267FC">
        <w:t xml:space="preserve"> </w:t>
      </w:r>
      <w:r w:rsidR="003B77A9" w:rsidRPr="007267FC">
        <w:t xml:space="preserve">burden while obtaining sufficient and accurate information. </w:t>
      </w:r>
      <w:r w:rsidR="00BB696D" w:rsidRPr="007267FC">
        <w:t xml:space="preserve">The </w:t>
      </w:r>
      <w:r>
        <w:t xml:space="preserve">Pilot </w:t>
      </w:r>
      <w:r w:rsidR="00BB696D" w:rsidRPr="007267FC">
        <w:lastRenderedPageBreak/>
        <w:t>program was designed to be highly flexible</w:t>
      </w:r>
      <w:r w:rsidR="005416F3">
        <w:t>,</w:t>
      </w:r>
      <w:r w:rsidR="00FB3E80">
        <w:t xml:space="preserve"> and the hourly burden estimates for reporting requirements under the </w:t>
      </w:r>
      <w:r>
        <w:t>Pilot</w:t>
      </w:r>
      <w:r w:rsidR="00FB3E80">
        <w:t xml:space="preserve"> will be lessened due to the less complex structure of GHG emissions inventories at small entities</w:t>
      </w:r>
      <w:r w:rsidR="00767E54">
        <w:t xml:space="preserve">. </w:t>
      </w:r>
      <w:r w:rsidR="00A57F07">
        <w:t xml:space="preserve">As discussed above, </w:t>
      </w:r>
      <w:r>
        <w:t>EPA</w:t>
      </w:r>
      <w:r w:rsidR="00A57F07">
        <w:t xml:space="preserve"> provides technical assistance to </w:t>
      </w:r>
      <w:r>
        <w:t xml:space="preserve">participants </w:t>
      </w:r>
      <w:r w:rsidR="00A57F07">
        <w:t xml:space="preserve">and facilitates electronic submittal of information.  </w:t>
      </w:r>
      <w:r w:rsidR="00FB3E80">
        <w:t>In conclusion</w:t>
      </w:r>
      <w:r w:rsidR="003B77A9" w:rsidRPr="007267FC">
        <w:t>, the burden associated</w:t>
      </w:r>
      <w:r w:rsidR="00BB696D" w:rsidRPr="007267FC">
        <w:t xml:space="preserve"> </w:t>
      </w:r>
      <w:r w:rsidR="003B77A9" w:rsidRPr="007267FC">
        <w:t xml:space="preserve">with </w:t>
      </w:r>
      <w:r>
        <w:t>the Pilot</w:t>
      </w:r>
      <w:r w:rsidR="003B77A9" w:rsidRPr="007267FC">
        <w:t xml:space="preserve"> is inherently reduced</w:t>
      </w:r>
      <w:r w:rsidR="00265AEA">
        <w:t>,</w:t>
      </w:r>
      <w:r w:rsidR="003B77A9" w:rsidRPr="007267FC">
        <w:t xml:space="preserve"> since the agreement to participate is voluntary.</w:t>
      </w:r>
    </w:p>
    <w:p w:rsidR="003B77A9" w:rsidRPr="007267FC" w:rsidRDefault="003B77A9"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5(d)</w:t>
      </w:r>
      <w:r w:rsidRPr="007267FC">
        <w:rPr>
          <w:b/>
          <w:bCs/>
        </w:rPr>
        <w:tab/>
      </w:r>
      <w:r w:rsidRPr="007267FC">
        <w:rPr>
          <w:b/>
          <w:bCs/>
          <w:u w:val="single"/>
        </w:rPr>
        <w:t>Collection Schedule</w:t>
      </w:r>
    </w:p>
    <w:p w:rsidR="003B77A9" w:rsidRPr="007267FC" w:rsidRDefault="003B77A9" w:rsidP="007267FC">
      <w:pPr>
        <w:widowControl/>
        <w:spacing w:line="360" w:lineRule="auto"/>
        <w:ind w:firstLine="720"/>
      </w:pPr>
      <w:r w:rsidRPr="007267FC">
        <w:t>EPA collects information</w:t>
      </w:r>
      <w:r w:rsidR="00BB696D" w:rsidRPr="007267FC">
        <w:t xml:space="preserve"> </w:t>
      </w:r>
      <w:r w:rsidRPr="007267FC">
        <w:t xml:space="preserve">annually via the </w:t>
      </w:r>
      <w:r w:rsidR="00BB696D" w:rsidRPr="007267FC">
        <w:t xml:space="preserve">Annual GHG Inventory Summary and Goal Tracking Form </w:t>
      </w:r>
      <w:r w:rsidRPr="007267FC">
        <w:t>to monitor progress</w:t>
      </w:r>
      <w:r w:rsidR="00557D0F" w:rsidRPr="007267FC">
        <w:t xml:space="preserve"> towards the GHG emissions reduction goal</w:t>
      </w:r>
      <w:r w:rsidR="00767E54">
        <w:t xml:space="preserve">. </w:t>
      </w:r>
      <w:r w:rsidRPr="007267FC">
        <w:t>Finally, EPA may collect other program information on a periodic basis or as the information is</w:t>
      </w:r>
      <w:r w:rsidR="00BB696D" w:rsidRPr="007267FC">
        <w:t xml:space="preserve"> </w:t>
      </w:r>
      <w:r w:rsidRPr="007267FC">
        <w:t>submitted; these items in</w:t>
      </w:r>
      <w:r w:rsidR="008D69E8">
        <w:t>clude notification of changes such as</w:t>
      </w:r>
      <w:r w:rsidRPr="007267FC">
        <w:t xml:space="preserve"> </w:t>
      </w:r>
      <w:r w:rsidR="00BB696D" w:rsidRPr="007267FC">
        <w:t>company representative</w:t>
      </w:r>
      <w:r w:rsidR="00582E06">
        <w:t xml:space="preserve"> or</w:t>
      </w:r>
      <w:r w:rsidR="008D69E8">
        <w:t xml:space="preserve"> address</w:t>
      </w:r>
      <w:r w:rsidR="00A8199E">
        <w:t>.</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hanging="720"/>
        <w:rPr>
          <w:b/>
          <w:bCs/>
        </w:rPr>
      </w:pPr>
      <w:r w:rsidRPr="007267FC">
        <w:rPr>
          <w:b/>
          <w:bCs/>
        </w:rPr>
        <w:t>6.</w:t>
      </w:r>
      <w:r w:rsidRPr="007267FC">
        <w:rPr>
          <w:b/>
          <w:bCs/>
        </w:rPr>
        <w:tab/>
        <w:t xml:space="preserve">ESTIMATING THE BURDEN </w:t>
      </w:r>
      <w:smartTag w:uri="urn:schemas-microsoft-com:office:smarttags" w:element="stockticker">
        <w:r w:rsidRPr="007267FC">
          <w:rPr>
            <w:b/>
            <w:bCs/>
          </w:rPr>
          <w:t>AND</w:t>
        </w:r>
      </w:smartTag>
      <w:r w:rsidRPr="007267FC">
        <w:rPr>
          <w:b/>
          <w:bCs/>
        </w:rPr>
        <w:t xml:space="preserve"> </w:t>
      </w:r>
      <w:smartTag w:uri="urn:schemas-microsoft-com:office:smarttags" w:element="stockticker">
        <w:r w:rsidRPr="007267FC">
          <w:rPr>
            <w:b/>
            <w:bCs/>
          </w:rPr>
          <w:t>COST</w:t>
        </w:r>
      </w:smartTag>
      <w:r w:rsidRPr="007267FC">
        <w:rPr>
          <w:b/>
          <w:bCs/>
        </w:rPr>
        <w:t xml:space="preserve"> OF THE COLLECTION</w:t>
      </w:r>
    </w:p>
    <w:p w:rsidR="00265AEA" w:rsidRPr="007267FC" w:rsidRDefault="00265AEA"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hanging="720"/>
      </w:pPr>
    </w:p>
    <w:p w:rsidR="009A5B40" w:rsidRDefault="008E6CCB" w:rsidP="003A61AA">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bCs/>
        </w:rPr>
      </w:pPr>
      <w:r w:rsidRPr="007267FC">
        <w:rPr>
          <w:b/>
          <w:bCs/>
        </w:rPr>
        <w:t>6(a)</w:t>
      </w:r>
      <w:r w:rsidRPr="007267FC">
        <w:rPr>
          <w:b/>
          <w:bCs/>
        </w:rPr>
        <w:tab/>
        <w:t xml:space="preserve">Estimating Respondent </w:t>
      </w:r>
      <w:r w:rsidR="00582E06">
        <w:rPr>
          <w:b/>
          <w:bCs/>
        </w:rPr>
        <w:t>Burden</w:t>
      </w:r>
    </w:p>
    <w:p w:rsidR="009A5B40" w:rsidRDefault="009A5B40" w:rsidP="007625CC">
      <w:pPr>
        <w:widowControl/>
        <w:tabs>
          <w:tab w:val="left" w:pos="-1200"/>
          <w:tab w:val="left" w:pos="-720"/>
          <w:tab w:val="left" w:pos="0"/>
          <w:tab w:val="left" w:pos="72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rPr>
          <w:bCs/>
        </w:rPr>
      </w:pPr>
      <w:r>
        <w:rPr>
          <w:bCs/>
        </w:rPr>
        <w:t>In order to obtain an accurate cost estimate, EPA consulted with and obtained</w:t>
      </w:r>
    </w:p>
    <w:p w:rsidR="009A5B40" w:rsidRDefault="009A5B40" w:rsidP="007625CC">
      <w:pPr>
        <w:widowControl/>
        <w:tabs>
          <w:tab w:val="left" w:pos="-1200"/>
          <w:tab w:val="left" w:pos="-720"/>
          <w:tab w:val="left" w:pos="0"/>
          <w:tab w:val="left" w:pos="720"/>
          <w:tab w:val="left" w:pos="2850"/>
          <w:tab w:val="left" w:pos="3600"/>
          <w:tab w:val="left" w:pos="4320"/>
          <w:tab w:val="left" w:pos="5040"/>
          <w:tab w:val="left" w:pos="5760"/>
          <w:tab w:val="left" w:pos="6480"/>
          <w:tab w:val="left" w:pos="7200"/>
          <w:tab w:val="left" w:pos="7920"/>
          <w:tab w:val="left" w:pos="8640"/>
          <w:tab w:val="left" w:pos="9360"/>
        </w:tabs>
        <w:spacing w:line="360" w:lineRule="auto"/>
      </w:pPr>
      <w:proofErr w:type="gramStart"/>
      <w:r>
        <w:rPr>
          <w:bCs/>
        </w:rPr>
        <w:t>burden</w:t>
      </w:r>
      <w:proofErr w:type="gramEnd"/>
      <w:r>
        <w:rPr>
          <w:bCs/>
        </w:rPr>
        <w:t xml:space="preserve"> estimates </w:t>
      </w:r>
      <w:r w:rsidR="000F116B" w:rsidRPr="007267FC">
        <w:rPr>
          <w:lang w:val="en-CA"/>
        </w:rPr>
        <w:fldChar w:fldCharType="begin"/>
      </w:r>
      <w:r w:rsidR="0005636A" w:rsidRPr="007267FC">
        <w:rPr>
          <w:lang w:val="en-CA"/>
        </w:rPr>
        <w:instrText xml:space="preserve"> SEQ CHAPTER \h \r 1</w:instrText>
      </w:r>
      <w:r w:rsidR="000F116B" w:rsidRPr="007267FC">
        <w:rPr>
          <w:lang w:val="en-CA"/>
        </w:rPr>
        <w:fldChar w:fldCharType="end"/>
      </w:r>
      <w:r w:rsidR="008D69E8">
        <w:t>from</w:t>
      </w:r>
      <w:r w:rsidR="0005636A" w:rsidRPr="007267FC">
        <w:t xml:space="preserve"> </w:t>
      </w:r>
      <w:r w:rsidR="007625CC">
        <w:t>Pilot participants</w:t>
      </w:r>
      <w:r w:rsidR="0005636A" w:rsidRPr="007267FC">
        <w:t xml:space="preserve"> (respondents) </w:t>
      </w:r>
      <w:r w:rsidR="007625CC">
        <w:t xml:space="preserve">as well as using anecdotal data </w:t>
      </w:r>
      <w:r w:rsidR="0005636A" w:rsidRPr="007267FC">
        <w:t>from the Climate Leaders Partnership</w:t>
      </w:r>
      <w:r w:rsidR="00767E54">
        <w:t>.</w:t>
      </w:r>
    </w:p>
    <w:p w:rsidR="0005636A" w:rsidRPr="007267FC" w:rsidRDefault="0005636A" w:rsidP="007267FC">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8E6CCB" w:rsidRPr="007267FC" w:rsidRDefault="008E6CCB" w:rsidP="007267FC">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6(b)</w:t>
      </w:r>
      <w:r w:rsidRPr="007267FC">
        <w:rPr>
          <w:b/>
          <w:bCs/>
        </w:rPr>
        <w:tab/>
        <w:t>Estimating Respondent Costs</w:t>
      </w:r>
    </w:p>
    <w:p w:rsidR="0005636A" w:rsidRPr="007267FC" w:rsidRDefault="007E1D82" w:rsidP="007267FC">
      <w:pPr>
        <w:widowControl/>
        <w:spacing w:line="360" w:lineRule="auto"/>
        <w:ind w:firstLine="720"/>
      </w:pPr>
      <w:r w:rsidRPr="007267FC">
        <w:t>In order to obtain an accurate cost estimate, EPA consulted with P</w:t>
      </w:r>
      <w:r w:rsidR="007625CC">
        <w:t>ilot participants (</w:t>
      </w:r>
      <w:r w:rsidRPr="007267FC">
        <w:t xml:space="preserve">respondents) </w:t>
      </w:r>
      <w:r w:rsidR="007625CC">
        <w:t xml:space="preserve">as well as using anecdotal data </w:t>
      </w:r>
      <w:r w:rsidR="007625CC" w:rsidRPr="007267FC">
        <w:t xml:space="preserve">from the Climate Leaders Partnership </w:t>
      </w:r>
      <w:r w:rsidR="00521BC6" w:rsidRPr="007267FC">
        <w:t>on hourly wage rates for each type of labor</w:t>
      </w:r>
      <w:r w:rsidR="00767E54">
        <w:t xml:space="preserve">. </w:t>
      </w:r>
      <w:r w:rsidR="00396862">
        <w:t>EPA presented t</w:t>
      </w:r>
      <w:r w:rsidR="00521BC6" w:rsidRPr="007267FC">
        <w:t>he</w:t>
      </w:r>
      <w:r w:rsidR="00A32C6A">
        <w:t>se</w:t>
      </w:r>
      <w:r w:rsidR="00521BC6" w:rsidRPr="007267FC">
        <w:t xml:space="preserve"> </w:t>
      </w:r>
      <w:r w:rsidR="007625CC">
        <w:t>participants</w:t>
      </w:r>
      <w:r w:rsidR="00521BC6" w:rsidRPr="007267FC">
        <w:t xml:space="preserve"> with hourly wage rates from the </w:t>
      </w:r>
      <w:r w:rsidR="00A32C6A">
        <w:t>previous</w:t>
      </w:r>
      <w:r w:rsidR="00521BC6" w:rsidRPr="007267FC">
        <w:t xml:space="preserve"> ICR and asked </w:t>
      </w:r>
      <w:r w:rsidR="00C04F0C" w:rsidRPr="007267FC">
        <w:t xml:space="preserve">them </w:t>
      </w:r>
      <w:r w:rsidR="00521BC6" w:rsidRPr="007267FC">
        <w:t>if these rates were still appropriate, and if not, to include an estimate of a revised hourly rate</w:t>
      </w:r>
      <w:r w:rsidR="00767E54">
        <w:t xml:space="preserve">. </w:t>
      </w:r>
    </w:p>
    <w:p w:rsidR="00396862" w:rsidRDefault="00396862"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p>
    <w:p w:rsidR="008E6CCB" w:rsidRPr="00396862" w:rsidRDefault="00D7623F"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i/>
        </w:rPr>
      </w:pPr>
      <w:r>
        <w:rPr>
          <w:b/>
          <w:bCs/>
          <w:i/>
        </w:rPr>
        <w:t>(i</w:t>
      </w:r>
      <w:r w:rsidR="008E6CCB" w:rsidRPr="00396862">
        <w:rPr>
          <w:b/>
          <w:bCs/>
          <w:i/>
        </w:rPr>
        <w:t>)</w:t>
      </w:r>
      <w:r w:rsidR="008E6CCB" w:rsidRPr="00396862">
        <w:rPr>
          <w:b/>
          <w:bCs/>
          <w:i/>
        </w:rPr>
        <w:tab/>
      </w:r>
      <w:r w:rsidR="00954E20">
        <w:rPr>
          <w:b/>
          <w:bCs/>
          <w:i/>
        </w:rPr>
        <w:t xml:space="preserve">Estimating </w:t>
      </w:r>
      <w:r w:rsidR="008E6CCB" w:rsidRPr="00396862">
        <w:rPr>
          <w:b/>
          <w:bCs/>
          <w:i/>
        </w:rPr>
        <w:t>Labor Costs</w:t>
      </w:r>
    </w:p>
    <w:p w:rsidR="007E1D82" w:rsidRPr="007267FC" w:rsidRDefault="007E1D82" w:rsidP="007267FC">
      <w:pPr>
        <w:widowControl/>
        <w:spacing w:line="360" w:lineRule="auto"/>
        <w:ind w:firstLine="720"/>
      </w:pPr>
      <w:r w:rsidRPr="007267FC">
        <w:t>For purposes of this analysis, EPA estimates an average hourly respondent labor cost</w:t>
      </w:r>
    </w:p>
    <w:p w:rsidR="007E1D82" w:rsidRPr="007267FC" w:rsidRDefault="007E1D82" w:rsidP="007267FC">
      <w:pPr>
        <w:widowControl/>
        <w:spacing w:line="360" w:lineRule="auto"/>
      </w:pPr>
      <w:r w:rsidRPr="007267FC">
        <w:t>(including fringe and overhead) of $1</w:t>
      </w:r>
      <w:r w:rsidR="004A0EC5">
        <w:t>09</w:t>
      </w:r>
      <w:r w:rsidRPr="007267FC">
        <w:t xml:space="preserve"> for legal staff, $</w:t>
      </w:r>
      <w:r w:rsidR="004A0EC5">
        <w:t>98</w:t>
      </w:r>
      <w:r w:rsidRPr="007267FC">
        <w:t xml:space="preserve"> for managerial staff, $</w:t>
      </w:r>
      <w:r w:rsidR="004A0EC5">
        <w:t>94</w:t>
      </w:r>
      <w:r w:rsidRPr="007267FC">
        <w:t xml:space="preserve"> for</w:t>
      </w:r>
    </w:p>
    <w:p w:rsidR="008E6CCB" w:rsidRPr="007267FC" w:rsidRDefault="007E1D82"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r w:rsidRPr="007267FC">
        <w:t xml:space="preserve">technical </w:t>
      </w:r>
      <w:r w:rsidR="00A8199E" w:rsidRPr="007267FC">
        <w:t>staff</w:t>
      </w:r>
      <w:r w:rsidRPr="007267FC">
        <w:t xml:space="preserve"> and $47 for clerical staff. </w:t>
      </w:r>
    </w:p>
    <w:p w:rsidR="007E1D82" w:rsidRPr="007267FC" w:rsidRDefault="007E1D82"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rPr>
          <w:b/>
          <w:bCs/>
        </w:rPr>
      </w:pPr>
    </w:p>
    <w:p w:rsidR="008E6CCB" w:rsidRPr="00396862"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i/>
        </w:rPr>
      </w:pPr>
      <w:r w:rsidRPr="00396862">
        <w:rPr>
          <w:b/>
          <w:bCs/>
          <w:i/>
        </w:rPr>
        <w:t>(</w:t>
      </w:r>
      <w:r w:rsidR="00D7623F">
        <w:rPr>
          <w:b/>
          <w:bCs/>
          <w:i/>
        </w:rPr>
        <w:t>ii</w:t>
      </w:r>
      <w:r w:rsidRPr="00396862">
        <w:rPr>
          <w:b/>
          <w:bCs/>
          <w:i/>
        </w:rPr>
        <w:t>)</w:t>
      </w:r>
      <w:r w:rsidRPr="00396862">
        <w:rPr>
          <w:b/>
          <w:bCs/>
          <w:i/>
        </w:rPr>
        <w:tab/>
      </w:r>
      <w:r w:rsidR="00954E20">
        <w:rPr>
          <w:b/>
          <w:bCs/>
          <w:i/>
        </w:rPr>
        <w:t xml:space="preserve">Estimating </w:t>
      </w:r>
      <w:r w:rsidRPr="00396862">
        <w:rPr>
          <w:b/>
          <w:bCs/>
          <w:i/>
        </w:rPr>
        <w:t xml:space="preserve">Capital </w:t>
      </w:r>
      <w:r w:rsidR="00954E20">
        <w:rPr>
          <w:b/>
          <w:bCs/>
          <w:i/>
        </w:rPr>
        <w:t xml:space="preserve">and Operations and Maintenance </w:t>
      </w:r>
      <w:r w:rsidRPr="00396862">
        <w:rPr>
          <w:b/>
          <w:bCs/>
          <w:i/>
        </w:rPr>
        <w:t>Costs</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lastRenderedPageBreak/>
        <w:t>Capital costs usually include any produced physical good needed to provide the needed information, such as machinery, computers, and other equipment</w:t>
      </w:r>
      <w:r w:rsidR="00767E54">
        <w:t xml:space="preserve">. </w:t>
      </w:r>
      <w:r w:rsidRPr="007267FC">
        <w:t>EPA does not anticipate that respondents will incur capital costs in carrying out the information collection requirements covered in this ICR.</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Pr="00396862" w:rsidRDefault="00D7623F"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i/>
        </w:rPr>
      </w:pPr>
      <w:r>
        <w:rPr>
          <w:b/>
          <w:bCs/>
          <w:i/>
        </w:rPr>
        <w:t>(iii</w:t>
      </w:r>
      <w:r w:rsidR="008E6CCB" w:rsidRPr="00396862">
        <w:rPr>
          <w:b/>
          <w:bCs/>
          <w:i/>
        </w:rPr>
        <w:t>)</w:t>
      </w:r>
      <w:r w:rsidR="008E6CCB" w:rsidRPr="00396862">
        <w:rPr>
          <w:b/>
          <w:bCs/>
          <w:i/>
        </w:rPr>
        <w:tab/>
      </w:r>
      <w:r w:rsidR="00954E20">
        <w:rPr>
          <w:b/>
          <w:bCs/>
          <w:i/>
        </w:rPr>
        <w:t xml:space="preserve">Capital/Start-Up </w:t>
      </w:r>
      <w:r w:rsidR="008E6CCB" w:rsidRPr="00396862">
        <w:rPr>
          <w:b/>
          <w:bCs/>
          <w:i/>
        </w:rPr>
        <w:t>Operat</w:t>
      </w:r>
      <w:r w:rsidR="00954E20">
        <w:rPr>
          <w:b/>
          <w:bCs/>
          <w:i/>
        </w:rPr>
        <w:t>ing</w:t>
      </w:r>
      <w:r w:rsidR="008E6CCB" w:rsidRPr="00396862">
        <w:rPr>
          <w:b/>
          <w:bCs/>
          <w:i/>
        </w:rPr>
        <w:t xml:space="preserve"> and Maintenance (O&amp;M) Costs</w:t>
      </w:r>
    </w:p>
    <w:p w:rsidR="008E6CCB"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t>O&amp;M costs are those costs associated with a paperwork requirement incurred continually over the life of the ICR</w:t>
      </w:r>
      <w:r w:rsidR="00767E54">
        <w:t xml:space="preserve">. </w:t>
      </w:r>
      <w:r w:rsidRPr="007267FC">
        <w:t xml:space="preserve">They are defined by the Paperwork Reduction Act of 1995 as "the recurring dollar amount of cost associated with O&amp;M or purchasing services."  </w:t>
      </w:r>
      <w:r w:rsidR="007E1D82" w:rsidRPr="007267FC">
        <w:t xml:space="preserve">For this ICR, </w:t>
      </w:r>
      <w:r w:rsidR="00954E20">
        <w:t>EPA does not anticipate that respondents will incur any costs.</w:t>
      </w:r>
    </w:p>
    <w:p w:rsidR="00954E20" w:rsidRDefault="00954E20"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954E20" w:rsidRDefault="00954E20"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rPr>
          <w:b/>
          <w:i/>
        </w:rPr>
      </w:pPr>
      <w:r>
        <w:rPr>
          <w:b/>
          <w:i/>
        </w:rPr>
        <w:t>(iv)</w:t>
      </w:r>
      <w:r>
        <w:rPr>
          <w:b/>
          <w:i/>
        </w:rPr>
        <w:tab/>
        <w:t>Annualizing Capital Costs</w:t>
      </w:r>
    </w:p>
    <w:p w:rsidR="00954E20" w:rsidRPr="00954E20" w:rsidRDefault="00954E20"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t>There are no capital costs associated with this information collection.</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6(c)</w:t>
      </w:r>
      <w:r w:rsidRPr="007267FC">
        <w:rPr>
          <w:b/>
          <w:bCs/>
        </w:rPr>
        <w:tab/>
        <w:t xml:space="preserve">Estimating Agency </w:t>
      </w:r>
      <w:r w:rsidR="00954E20">
        <w:rPr>
          <w:b/>
          <w:bCs/>
        </w:rPr>
        <w:t>Burden</w:t>
      </w:r>
      <w:r w:rsidRPr="007267FC">
        <w:rPr>
          <w:b/>
          <w:bCs/>
        </w:rPr>
        <w:t xml:space="preserve"> and Cost</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t>EPA</w:t>
      </w:r>
      <w:r w:rsidR="00C04F0C" w:rsidRPr="007267FC">
        <w:t>'s</w:t>
      </w:r>
      <w:r w:rsidRPr="007267FC">
        <w:t xml:space="preserve"> estimate </w:t>
      </w:r>
      <w:r w:rsidR="00C04F0C" w:rsidRPr="007267FC">
        <w:t xml:space="preserve">of </w:t>
      </w:r>
      <w:r w:rsidRPr="007267FC">
        <w:t xml:space="preserve">the Agency hour and cost burden associated with all of the requirements covered in this ICR </w:t>
      </w:r>
      <w:r w:rsidR="00154F41">
        <w:t xml:space="preserve">is summarized </w:t>
      </w:r>
      <w:r w:rsidRPr="007267FC">
        <w:t>in Exhibit 2</w:t>
      </w:r>
      <w:r w:rsidR="00767E54">
        <w:t xml:space="preserve">. </w:t>
      </w:r>
      <w:r w:rsidR="00F475B7" w:rsidRPr="007267FC">
        <w:t>EPA estimates an average hourly labor cost (labor pl</w:t>
      </w:r>
      <w:r w:rsidR="00FB3E80">
        <w:t>us</w:t>
      </w:r>
      <w:r w:rsidR="00F475B7" w:rsidRPr="007267FC">
        <w:t xml:space="preserve"> 60% for overhead) of $</w:t>
      </w:r>
      <w:r w:rsidR="003A61AA">
        <w:t>8</w:t>
      </w:r>
      <w:r w:rsidR="003E6FC7">
        <w:t>6</w:t>
      </w:r>
      <w:r w:rsidR="003A61AA">
        <w:t>.</w:t>
      </w:r>
      <w:r w:rsidR="003E6FC7">
        <w:t>8</w:t>
      </w:r>
      <w:r w:rsidR="003A61AA">
        <w:t>6</w:t>
      </w:r>
      <w:r w:rsidR="00F475B7" w:rsidRPr="007267FC">
        <w:t xml:space="preserve"> for </w:t>
      </w:r>
      <w:r w:rsidR="00521BC6" w:rsidRPr="007267FC">
        <w:t>legal staff, $</w:t>
      </w:r>
      <w:r w:rsidR="003A61AA">
        <w:t>8</w:t>
      </w:r>
      <w:r w:rsidR="003E6FC7">
        <w:t>6</w:t>
      </w:r>
      <w:r w:rsidR="003A61AA">
        <w:t>.</w:t>
      </w:r>
      <w:r w:rsidR="003E6FC7">
        <w:t>8</w:t>
      </w:r>
      <w:r w:rsidR="003A61AA">
        <w:t>6</w:t>
      </w:r>
      <w:r w:rsidRPr="007267FC">
        <w:t xml:space="preserve"> for managerial staf</w:t>
      </w:r>
      <w:r w:rsidR="00F475B7" w:rsidRPr="007267FC">
        <w:t>f</w:t>
      </w:r>
      <w:r w:rsidRPr="007267FC">
        <w:t>, $</w:t>
      </w:r>
      <w:r w:rsidR="00521BC6" w:rsidRPr="007267FC">
        <w:t>4</w:t>
      </w:r>
      <w:r w:rsidR="003E6FC7">
        <w:t>6</w:t>
      </w:r>
      <w:r w:rsidRPr="007267FC">
        <w:t>.</w:t>
      </w:r>
      <w:r w:rsidR="003A61AA">
        <w:t>3</w:t>
      </w:r>
      <w:r w:rsidR="003E6FC7">
        <w:t>6</w:t>
      </w:r>
      <w:r w:rsidR="00F475B7" w:rsidRPr="007267FC">
        <w:t xml:space="preserve"> for technical staff</w:t>
      </w:r>
      <w:r w:rsidR="00521BC6" w:rsidRPr="007267FC">
        <w:t>, and $</w:t>
      </w:r>
      <w:r w:rsidR="003A61AA">
        <w:t>2</w:t>
      </w:r>
      <w:r w:rsidR="003E6FC7">
        <w:t>1</w:t>
      </w:r>
      <w:r w:rsidR="003A61AA">
        <w:t>.</w:t>
      </w:r>
      <w:r w:rsidR="003E6FC7">
        <w:t>1</w:t>
      </w:r>
      <w:r w:rsidR="003A61AA">
        <w:t>0</w:t>
      </w:r>
      <w:r w:rsidR="00F475B7" w:rsidRPr="007267FC">
        <w:t xml:space="preserve"> for clerical staff</w:t>
      </w:r>
      <w:r w:rsidR="00767E54">
        <w:t xml:space="preserve">. </w:t>
      </w:r>
      <w:r w:rsidRPr="007267FC">
        <w:t xml:space="preserve">To derive these hourly estimates, EPA </w:t>
      </w:r>
      <w:r w:rsidR="00F475B7" w:rsidRPr="007267FC">
        <w:t>used the “20</w:t>
      </w:r>
      <w:r w:rsidR="003E6FC7">
        <w:t>11</w:t>
      </w:r>
      <w:r w:rsidR="00F475B7" w:rsidRPr="007267FC">
        <w:t xml:space="preserve"> GS Salary Table of Annual Rates by Grade and Step,” from the Department of Personnel Management</w:t>
      </w:r>
      <w:r w:rsidR="00767E54">
        <w:t xml:space="preserve">. </w:t>
      </w:r>
      <w:r w:rsidR="00F475B7" w:rsidRPr="007267FC">
        <w:t>For purposes of this ICR, EPA assigned staff the follo</w:t>
      </w:r>
      <w:r w:rsidR="00C64251">
        <w:t>wing government service levels.</w:t>
      </w:r>
      <w:r w:rsidR="00F475B7" w:rsidRPr="007267FC">
        <w:t xml:space="preserve"> </w:t>
      </w:r>
    </w:p>
    <w:p w:rsidR="00F475B7" w:rsidRPr="007267FC" w:rsidRDefault="00F475B7"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F475B7" w:rsidRPr="007267FC" w:rsidRDefault="00395DC2"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Legal Staff </w:t>
      </w:r>
      <w:r w:rsidRPr="007267FC">
        <w:t>-</w:t>
      </w:r>
      <w:r>
        <w:t xml:space="preserve"> </w:t>
      </w:r>
      <w:r w:rsidRPr="007267FC">
        <w:t>GS-15, Step 5</w:t>
      </w:r>
    </w:p>
    <w:p w:rsidR="00F475B7" w:rsidRPr="007267FC" w:rsidRDefault="00395DC2" w:rsidP="007267FC">
      <w:pPr>
        <w:spacing w:line="360" w:lineRule="auto"/>
        <w:ind w:firstLine="720"/>
      </w:pPr>
      <w:r>
        <w:t xml:space="preserve">Managerial Staff - </w:t>
      </w:r>
      <w:r w:rsidR="00F475B7" w:rsidRPr="007267FC">
        <w:t>GS-15, Step 5</w:t>
      </w:r>
    </w:p>
    <w:p w:rsidR="00F475B7" w:rsidRPr="007267FC" w:rsidRDefault="00395DC2" w:rsidP="007267FC">
      <w:pPr>
        <w:spacing w:line="360" w:lineRule="auto"/>
        <w:ind w:firstLine="720"/>
        <w:rPr>
          <w:lang w:val="en-CA"/>
        </w:rPr>
      </w:pPr>
      <w:r>
        <w:t xml:space="preserve">Technical Staff - </w:t>
      </w:r>
      <w:r w:rsidR="00F475B7" w:rsidRPr="007267FC">
        <w:t>GS-12, Step 1</w:t>
      </w:r>
    </w:p>
    <w:p w:rsidR="00F475B7" w:rsidRPr="007267FC" w:rsidRDefault="00395DC2"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t xml:space="preserve">Clerical Staff - </w:t>
      </w:r>
      <w:r w:rsidR="00F475B7" w:rsidRPr="007267FC">
        <w:t>GS-5, Step 1</w:t>
      </w:r>
    </w:p>
    <w:p w:rsidR="00521BC6" w:rsidRPr="007267FC" w:rsidRDefault="00521BC6"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DF311F" w:rsidRDefault="00DF311F" w:rsidP="005B748D">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r>
        <w:t>EPA then divided annual compensation estimates by 2,080, which is the number of hours in the Federal work-year.  EPA then multiplied hourly rates by the standard Federal government overhead factor of 1.6.</w:t>
      </w:r>
    </w:p>
    <w:p w:rsidR="00521BC6" w:rsidRPr="007267FC" w:rsidRDefault="00521BC6"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t>EPA a</w:t>
      </w:r>
      <w:r w:rsidR="00DF311F">
        <w:t>lso estimated</w:t>
      </w:r>
      <w:r w:rsidRPr="007267FC">
        <w:t xml:space="preserve"> an average hourly labor rate of $147.00</w:t>
      </w:r>
      <w:r w:rsidR="008D69E8">
        <w:t xml:space="preserve"> (including overhead)</w:t>
      </w:r>
      <w:r w:rsidRPr="007267FC">
        <w:t xml:space="preserve"> for technical labor from EPA contractor staff</w:t>
      </w:r>
      <w:r w:rsidR="00767E54">
        <w:t xml:space="preserve">. </w:t>
      </w:r>
      <w:r w:rsidR="00F475B7" w:rsidRPr="007267FC">
        <w:t>To derive t</w:t>
      </w:r>
      <w:r w:rsidR="00395DC2">
        <w:t xml:space="preserve">hese hourly estimates, EPA examined the </w:t>
      </w:r>
      <w:r w:rsidR="00395DC2">
        <w:lastRenderedPageBreak/>
        <w:t xml:space="preserve">technical work performed </w:t>
      </w:r>
      <w:r w:rsidR="00FB3E80">
        <w:t>by contractors and estimated an</w:t>
      </w:r>
      <w:r w:rsidR="00395DC2">
        <w:t xml:space="preserve"> hourly rate </w:t>
      </w:r>
      <w:r w:rsidR="008D69E8">
        <w:t xml:space="preserve">for GHG inventory assistance activities </w:t>
      </w:r>
      <w:r w:rsidR="00395DC2">
        <w:t xml:space="preserve">based on </w:t>
      </w:r>
      <w:r w:rsidR="00DF311F">
        <w:t>an average</w:t>
      </w:r>
      <w:r w:rsidR="008D69E8">
        <w:t xml:space="preserve"> of the fully</w:t>
      </w:r>
      <w:r w:rsidR="00134AB2">
        <w:t>-</w:t>
      </w:r>
      <w:r w:rsidR="008D69E8">
        <w:t>loaded labor rates</w:t>
      </w:r>
      <w:r w:rsidR="00DF311F">
        <w:t xml:space="preserve"> </w:t>
      </w:r>
      <w:r w:rsidR="00FB3E80">
        <w:t xml:space="preserve">from the </w:t>
      </w:r>
      <w:r w:rsidR="008D69E8">
        <w:t xml:space="preserve">contractor </w:t>
      </w:r>
      <w:r w:rsidR="00FB3E80">
        <w:t xml:space="preserve">invoices on the </w:t>
      </w:r>
      <w:r w:rsidR="00DF311F">
        <w:t>current contract</w:t>
      </w:r>
      <w:r w:rsidR="008D69E8">
        <w:t>.</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Pr="007267FC" w:rsidRDefault="008E6CCB" w:rsidP="00154F41">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pPr>
      <w:r w:rsidRPr="007267FC">
        <w:rPr>
          <w:b/>
          <w:bCs/>
        </w:rPr>
        <w:t xml:space="preserve">6(d) </w:t>
      </w:r>
      <w:r w:rsidRPr="007267FC">
        <w:rPr>
          <w:b/>
          <w:bCs/>
        </w:rPr>
        <w:tab/>
        <w:t xml:space="preserve">Estimating the Respondent Universe and Total </w:t>
      </w:r>
      <w:r w:rsidR="00954E20">
        <w:rPr>
          <w:b/>
          <w:bCs/>
        </w:rPr>
        <w:t>Burden and Costs</w:t>
      </w:r>
    </w:p>
    <w:p w:rsidR="008E6CCB" w:rsidRPr="00154F41" w:rsidRDefault="008E6CCB" w:rsidP="00154F41">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i/>
        </w:rPr>
      </w:pPr>
      <w:r w:rsidRPr="00154F41">
        <w:rPr>
          <w:b/>
          <w:bCs/>
          <w:i/>
        </w:rPr>
        <w:t>(1)</w:t>
      </w:r>
      <w:r w:rsidRPr="00154F41">
        <w:rPr>
          <w:b/>
          <w:bCs/>
          <w:i/>
        </w:rPr>
        <w:tab/>
        <w:t>Respondent Universe</w:t>
      </w:r>
    </w:p>
    <w:p w:rsidR="008E6CCB" w:rsidRPr="007267FC" w:rsidRDefault="000F116B" w:rsidP="00154F41">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rPr>
          <w:lang w:val="en-CA"/>
        </w:rPr>
        <w:fldChar w:fldCharType="begin"/>
      </w:r>
      <w:r w:rsidR="008E6CCB" w:rsidRPr="007267FC">
        <w:rPr>
          <w:lang w:val="en-CA"/>
        </w:rPr>
        <w:instrText xml:space="preserve"> SEQ CHAPTER \h \r 1</w:instrText>
      </w:r>
      <w:r w:rsidRPr="007267FC">
        <w:rPr>
          <w:lang w:val="en-CA"/>
        </w:rPr>
        <w:fldChar w:fldCharType="end"/>
      </w:r>
      <w:r w:rsidR="008E6CCB" w:rsidRPr="007267FC">
        <w:t>Table 1 presents the number of companies expected to participate in the program over the three-year period of this ICR</w:t>
      </w:r>
      <w:r w:rsidR="00767E54">
        <w:t xml:space="preserve">. </w:t>
      </w:r>
      <w:r w:rsidR="00702AEC">
        <w:t>At the beginning of 20</w:t>
      </w:r>
      <w:r w:rsidR="009E7006">
        <w:t>12</w:t>
      </w:r>
      <w:r w:rsidR="00702AEC">
        <w:t xml:space="preserve">, EPA had </w:t>
      </w:r>
      <w:r w:rsidR="009E7006">
        <w:t xml:space="preserve">46 </w:t>
      </w:r>
      <w:r w:rsidR="00702AEC">
        <w:t xml:space="preserve">enrolled </w:t>
      </w:r>
      <w:r w:rsidR="009E7006">
        <w:t>Pilot participants</w:t>
      </w:r>
      <w:r w:rsidR="00702AEC">
        <w:t xml:space="preserve">.  </w:t>
      </w:r>
    </w:p>
    <w:p w:rsidR="00E76581" w:rsidRDefault="00E76581"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bCs/>
        </w:rPr>
      </w:pPr>
    </w:p>
    <w:p w:rsidR="008E6CCB" w:rsidRPr="007267FC"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7267FC">
        <w:rPr>
          <w:b/>
          <w:bCs/>
        </w:rPr>
        <w:t>Table 1</w:t>
      </w:r>
      <w:r w:rsidR="00F475B7" w:rsidRPr="007267FC">
        <w:rPr>
          <w:b/>
          <w:bCs/>
        </w:rPr>
        <w:t>:</w:t>
      </w:r>
      <w:r w:rsidR="00154F41">
        <w:rPr>
          <w:b/>
          <w:bCs/>
        </w:rPr>
        <w:t xml:space="preserve"> </w:t>
      </w:r>
      <w:r w:rsidR="00F475B7" w:rsidRPr="007267FC">
        <w:rPr>
          <w:b/>
          <w:bCs/>
        </w:rPr>
        <w:t xml:space="preserve"> </w:t>
      </w:r>
      <w:r w:rsidRPr="007267FC">
        <w:rPr>
          <w:b/>
          <w:bCs/>
        </w:rPr>
        <w:t xml:space="preserve">Number of Respondents Expected to Participate in the </w:t>
      </w:r>
      <w:r w:rsidR="00753AA4">
        <w:rPr>
          <w:b/>
          <w:bCs/>
        </w:rPr>
        <w:t>Pilot</w:t>
      </w:r>
      <w:r w:rsidRPr="007267FC">
        <w:rPr>
          <w:b/>
          <w:bCs/>
        </w:rPr>
        <w:t xml:space="preserve"> </w:t>
      </w:r>
      <w:r w:rsidR="00CC2238" w:rsidRPr="007267FC">
        <w:rPr>
          <w:b/>
          <w:bCs/>
        </w:rPr>
        <w:t>O</w:t>
      </w:r>
      <w:r w:rsidRPr="007267FC">
        <w:rPr>
          <w:b/>
          <w:bCs/>
        </w:rPr>
        <w:t>ver the Three-Year Period of the ICR</w:t>
      </w:r>
    </w:p>
    <w:p w:rsidR="008E6CCB" w:rsidRPr="007267FC"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tblInd w:w="1401" w:type="dxa"/>
        <w:tblLayout w:type="fixed"/>
        <w:tblCellMar>
          <w:left w:w="120" w:type="dxa"/>
          <w:right w:w="120" w:type="dxa"/>
        </w:tblCellMar>
        <w:tblLook w:val="0000"/>
      </w:tblPr>
      <w:tblGrid>
        <w:gridCol w:w="3210"/>
        <w:gridCol w:w="1020"/>
        <w:gridCol w:w="1170"/>
        <w:gridCol w:w="1170"/>
        <w:gridCol w:w="1689"/>
      </w:tblGrid>
      <w:tr w:rsidR="008E6CCB" w:rsidRPr="007267FC" w:rsidTr="00753AA4">
        <w:trPr>
          <w:trHeight w:hRule="exact" w:val="656"/>
        </w:trPr>
        <w:tc>
          <w:tcPr>
            <w:tcW w:w="321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Type of Respondent</w:t>
            </w:r>
          </w:p>
        </w:tc>
        <w:tc>
          <w:tcPr>
            <w:tcW w:w="102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Year 1</w:t>
            </w:r>
          </w:p>
          <w:p w:rsidR="00CC2238" w:rsidRPr="00154F41" w:rsidRDefault="00CC2238" w:rsidP="009E7006">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(20</w:t>
            </w:r>
            <w:r w:rsidR="009E7006">
              <w:rPr>
                <w:b/>
                <w:bCs/>
                <w:sz w:val="22"/>
                <w:szCs w:val="22"/>
              </w:rPr>
              <w:t>12</w:t>
            </w:r>
            <w:r w:rsidRPr="00154F41">
              <w:rPr>
                <w:b/>
                <w:bCs/>
                <w:sz w:val="22"/>
                <w:szCs w:val="22"/>
              </w:rPr>
              <w:t>)</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Year 2</w:t>
            </w:r>
          </w:p>
          <w:p w:rsidR="00CC2238" w:rsidRPr="00154F41" w:rsidRDefault="00CC2238" w:rsidP="009E7006">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(20</w:t>
            </w:r>
            <w:r w:rsidR="009E7006">
              <w:rPr>
                <w:b/>
                <w:bCs/>
                <w:sz w:val="22"/>
                <w:szCs w:val="22"/>
              </w:rPr>
              <w:t>13</w:t>
            </w:r>
            <w:r w:rsidRPr="00154F41">
              <w:rPr>
                <w:b/>
                <w:bCs/>
                <w:sz w:val="22"/>
                <w:szCs w:val="22"/>
              </w:rPr>
              <w:t>)</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Year 3</w:t>
            </w:r>
          </w:p>
          <w:p w:rsidR="00CC2238" w:rsidRPr="00154F41" w:rsidRDefault="00CC2238" w:rsidP="00753AA4">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(20</w:t>
            </w:r>
            <w:r w:rsidR="009E7006">
              <w:rPr>
                <w:b/>
                <w:bCs/>
                <w:sz w:val="22"/>
                <w:szCs w:val="22"/>
              </w:rPr>
              <w:t>14</w:t>
            </w:r>
            <w:r w:rsidRPr="00154F41">
              <w:rPr>
                <w:b/>
                <w:bCs/>
                <w:sz w:val="22"/>
                <w:szCs w:val="22"/>
              </w:rPr>
              <w:t>)</w:t>
            </w:r>
          </w:p>
        </w:tc>
        <w:tc>
          <w:tcPr>
            <w:tcW w:w="1689" w:type="dxa"/>
            <w:tcBorders>
              <w:top w:val="single" w:sz="7" w:space="0" w:color="000000"/>
              <w:left w:val="single" w:sz="7" w:space="0" w:color="000000"/>
              <w:bottom w:val="single" w:sz="7" w:space="0" w:color="000000"/>
              <w:right w:val="single" w:sz="7" w:space="0" w:color="000000"/>
            </w:tcBorders>
            <w:vAlign w:val="bottom"/>
          </w:tcPr>
          <w:p w:rsidR="00753AA4"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154F41">
              <w:rPr>
                <w:b/>
                <w:bCs/>
                <w:sz w:val="22"/>
                <w:szCs w:val="22"/>
              </w:rPr>
              <w:t>Average</w:t>
            </w:r>
            <w:r w:rsidR="00753AA4">
              <w:rPr>
                <w:b/>
                <w:bCs/>
                <w:sz w:val="22"/>
                <w:szCs w:val="22"/>
              </w:rPr>
              <w:t xml:space="preserve"> </w:t>
            </w:r>
          </w:p>
          <w:p w:rsidR="008E6CCB" w:rsidRPr="00154F41" w:rsidRDefault="00753AA4"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(over 3 years)</w:t>
            </w:r>
          </w:p>
        </w:tc>
      </w:tr>
      <w:tr w:rsidR="008E6CCB" w:rsidRPr="007267FC" w:rsidTr="00753AA4">
        <w:trPr>
          <w:trHeight w:hRule="exact" w:val="342"/>
        </w:trPr>
        <w:tc>
          <w:tcPr>
            <w:tcW w:w="321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154F41">
              <w:rPr>
                <w:sz w:val="22"/>
                <w:szCs w:val="22"/>
              </w:rPr>
              <w:t>Existing (at beginning of year)</w:t>
            </w:r>
          </w:p>
        </w:tc>
        <w:tc>
          <w:tcPr>
            <w:tcW w:w="102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46</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46</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689"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31</w:t>
            </w:r>
          </w:p>
        </w:tc>
      </w:tr>
      <w:tr w:rsidR="008E6CCB" w:rsidRPr="007267FC" w:rsidTr="00753AA4">
        <w:trPr>
          <w:trHeight w:hRule="exact" w:val="360"/>
        </w:trPr>
        <w:tc>
          <w:tcPr>
            <w:tcW w:w="321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154F41">
              <w:rPr>
                <w:sz w:val="22"/>
                <w:szCs w:val="22"/>
              </w:rPr>
              <w:t>New (during year)</w:t>
            </w:r>
          </w:p>
        </w:tc>
        <w:tc>
          <w:tcPr>
            <w:tcW w:w="102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689"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r>
      <w:tr w:rsidR="008E6CCB" w:rsidRPr="007267FC" w:rsidTr="00753AA4">
        <w:trPr>
          <w:trHeight w:hRule="exact" w:val="360"/>
        </w:trPr>
        <w:tc>
          <w:tcPr>
            <w:tcW w:w="321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154F41">
              <w:rPr>
                <w:sz w:val="22"/>
                <w:szCs w:val="22"/>
              </w:rPr>
              <w:t>Existing (at end of year)</w:t>
            </w:r>
          </w:p>
        </w:tc>
        <w:tc>
          <w:tcPr>
            <w:tcW w:w="102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9E7006">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46</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46</w:t>
            </w:r>
          </w:p>
        </w:tc>
        <w:tc>
          <w:tcPr>
            <w:tcW w:w="1170"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689" w:type="dxa"/>
            <w:tcBorders>
              <w:top w:val="single" w:sz="7" w:space="0" w:color="000000"/>
              <w:left w:val="single" w:sz="7" w:space="0" w:color="000000"/>
              <w:bottom w:val="single" w:sz="7" w:space="0" w:color="000000"/>
              <w:right w:val="single" w:sz="7" w:space="0" w:color="000000"/>
            </w:tcBorders>
            <w:vAlign w:val="bottom"/>
          </w:tcPr>
          <w:p w:rsidR="008E6CCB" w:rsidRPr="00154F41" w:rsidRDefault="009E7006"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31</w:t>
            </w:r>
          </w:p>
        </w:tc>
      </w:tr>
    </w:tbl>
    <w:p w:rsidR="008E6CCB" w:rsidRPr="007267FC" w:rsidRDefault="00242959"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r>
        <w:tab/>
      </w:r>
    </w:p>
    <w:p w:rsidR="008E6CCB"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t xml:space="preserve">In the following paragraphs, EPA uses these </w:t>
      </w:r>
      <w:r w:rsidR="00C04F0C" w:rsidRPr="007267FC">
        <w:t xml:space="preserve">respondent </w:t>
      </w:r>
      <w:r w:rsidRPr="007267FC">
        <w:t>universe estimates in its respondent hour and cost burden calculations.</w:t>
      </w:r>
    </w:p>
    <w:p w:rsidR="00154F41" w:rsidRDefault="00154F41"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b/>
          <w:bCs/>
          <w:i/>
        </w:rPr>
      </w:pPr>
    </w:p>
    <w:p w:rsidR="008E6CCB" w:rsidRPr="00154F41" w:rsidRDefault="008E6CCB" w:rsidP="00154F41">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1440" w:hanging="720"/>
        <w:rPr>
          <w:i/>
        </w:rPr>
      </w:pPr>
      <w:r w:rsidRPr="00154F41">
        <w:rPr>
          <w:b/>
          <w:bCs/>
          <w:i/>
        </w:rPr>
        <w:t>(2)</w:t>
      </w:r>
      <w:r w:rsidRPr="00154F41">
        <w:rPr>
          <w:b/>
          <w:bCs/>
          <w:i/>
        </w:rPr>
        <w:tab/>
        <w:t>Annual Respondent Hour and Cost Burden</w:t>
      </w:r>
    </w:p>
    <w:p w:rsidR="008E6CCB" w:rsidRPr="007267FC" w:rsidRDefault="008E6CCB" w:rsidP="00242959">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t xml:space="preserve">Based on the </w:t>
      </w:r>
      <w:r w:rsidR="00C04F0C" w:rsidRPr="007267FC">
        <w:t xml:space="preserve">respondent </w:t>
      </w:r>
      <w:r w:rsidRPr="007267FC">
        <w:t>universe data presented in Table 1, EPA estimates respondent burden associated with all of the requirements covered in this ICR in Exhibit</w:t>
      </w:r>
      <w:r w:rsidR="00D33FBB" w:rsidRPr="007267FC">
        <w:t xml:space="preserve"> 1</w:t>
      </w:r>
      <w:r w:rsidR="00767E54">
        <w:t xml:space="preserve">. </w:t>
      </w:r>
      <w:r w:rsidRPr="007267FC">
        <w:t xml:space="preserve">A discussion of the assumptions used in developing these burden estimates </w:t>
      </w:r>
      <w:r w:rsidR="00D33FBB" w:rsidRPr="007267FC">
        <w:t xml:space="preserve">are detailed </w:t>
      </w:r>
      <w:r w:rsidR="006005B2" w:rsidRPr="007267FC">
        <w:t xml:space="preserve">below and </w:t>
      </w:r>
      <w:r w:rsidR="00D33FBB" w:rsidRPr="007267FC">
        <w:t>in the footnotes of Exhibit 1.</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D706A2" w:rsidRDefault="00CA744E" w:rsidP="00CA744E">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r>
        <w:rPr>
          <w:b/>
          <w:bCs/>
          <w:i/>
        </w:rPr>
        <w:tab/>
      </w:r>
      <w:r w:rsidR="00DA6BAA" w:rsidRPr="00D706A2">
        <w:rPr>
          <w:bCs/>
        </w:rPr>
        <w:t>(</w:t>
      </w:r>
      <w:r w:rsidR="007279B2">
        <w:rPr>
          <w:bCs/>
        </w:rPr>
        <w:t>i</w:t>
      </w:r>
      <w:r w:rsidR="00DA6BAA" w:rsidRPr="00D706A2">
        <w:rPr>
          <w:bCs/>
        </w:rPr>
        <w:t>)</w:t>
      </w:r>
      <w:r w:rsidR="00D706A2">
        <w:rPr>
          <w:bCs/>
        </w:rPr>
        <w:tab/>
      </w:r>
      <w:r w:rsidR="00DA6BAA" w:rsidRPr="00D706A2">
        <w:rPr>
          <w:bCs/>
          <w:u w:val="single"/>
        </w:rPr>
        <w:t>Annual GHG Inventory and Goal Tracking Form</w:t>
      </w:r>
      <w:r w:rsidR="00242959">
        <w:rPr>
          <w:bCs/>
          <w:u w:val="single"/>
        </w:rPr>
        <w:t>.</w:t>
      </w:r>
      <w:r w:rsidR="00242959" w:rsidRPr="00242959">
        <w:rPr>
          <w:bCs/>
        </w:rPr>
        <w:t xml:space="preserve"> </w:t>
      </w:r>
      <w:r w:rsidR="00242959">
        <w:rPr>
          <w:bCs/>
        </w:rPr>
        <w:t xml:space="preserve"> </w:t>
      </w:r>
      <w:r w:rsidR="00DA6BAA" w:rsidRPr="007267FC">
        <w:t>For each subsequent</w:t>
      </w:r>
      <w:r w:rsidR="00242959">
        <w:t xml:space="preserve"> year of reporting to the base year inventory</w:t>
      </w:r>
      <w:r w:rsidR="00DA6BAA" w:rsidRPr="007267FC">
        <w:t xml:space="preserve">, </w:t>
      </w:r>
      <w:r w:rsidR="00242959">
        <w:t>Pilot participants</w:t>
      </w:r>
      <w:r w:rsidR="00DA6BAA" w:rsidRPr="007267FC">
        <w:t xml:space="preserve"> must update this form with the</w:t>
      </w:r>
      <w:r w:rsidR="00242959">
        <w:t>ir</w:t>
      </w:r>
      <w:r w:rsidR="00DA6BAA" w:rsidRPr="007267FC">
        <w:t xml:space="preserve"> current year </w:t>
      </w:r>
      <w:r w:rsidR="00242959">
        <w:t xml:space="preserve">GHG </w:t>
      </w:r>
      <w:r w:rsidR="00DA6BAA" w:rsidRPr="007267FC">
        <w:t xml:space="preserve">inventory </w:t>
      </w:r>
      <w:r w:rsidR="00242959">
        <w:t>data</w:t>
      </w:r>
      <w:r w:rsidR="00DA6BAA" w:rsidRPr="007267FC">
        <w:t xml:space="preserve"> and make any corrections to the contact information or revised goal or base year information</w:t>
      </w:r>
      <w:r w:rsidR="00767E54">
        <w:t xml:space="preserve">. </w:t>
      </w:r>
      <w:r w:rsidR="00DA6BAA" w:rsidRPr="007267FC">
        <w:t xml:space="preserve">Based on the projected number </w:t>
      </w:r>
      <w:r w:rsidR="00391BDD">
        <w:t>Pilot participants</w:t>
      </w:r>
      <w:r w:rsidR="00DA6BAA" w:rsidRPr="007267FC">
        <w:t>, EPA estimates that</w:t>
      </w:r>
      <w:r w:rsidR="00242959">
        <w:t xml:space="preserve"> all 46 </w:t>
      </w:r>
      <w:r w:rsidR="00B36865" w:rsidRPr="007267FC">
        <w:t>Partner</w:t>
      </w:r>
      <w:r w:rsidR="00DA6BAA" w:rsidRPr="007267FC">
        <w:t>s will make updates to their subsequent year inventories each year.</w:t>
      </w:r>
    </w:p>
    <w:p w:rsidR="00D706A2" w:rsidRDefault="00D706A2" w:rsidP="00CA744E">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rPr>
          <w:b/>
          <w:bCs/>
        </w:rPr>
      </w:pPr>
    </w:p>
    <w:p w:rsidR="00DA6BAA" w:rsidRPr="007267FC" w:rsidRDefault="00DA6BAA" w:rsidP="00D706A2">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106985">
        <w:rPr>
          <w:bCs/>
        </w:rPr>
        <w:lastRenderedPageBreak/>
        <w:t>(</w:t>
      </w:r>
      <w:r w:rsidR="00CA744E">
        <w:rPr>
          <w:bCs/>
        </w:rPr>
        <w:t>ii</w:t>
      </w:r>
      <w:r w:rsidR="00106985">
        <w:rPr>
          <w:bCs/>
        </w:rPr>
        <w:t>)</w:t>
      </w:r>
      <w:r w:rsidRPr="00106985">
        <w:rPr>
          <w:bCs/>
        </w:rPr>
        <w:tab/>
      </w:r>
      <w:r w:rsidRPr="00106985">
        <w:rPr>
          <w:bCs/>
          <w:u w:val="single"/>
        </w:rPr>
        <w:t>Miscellaneous Activities</w:t>
      </w:r>
      <w:r w:rsidR="00767E54">
        <w:rPr>
          <w:bCs/>
        </w:rPr>
        <w:t xml:space="preserve">. </w:t>
      </w:r>
      <w:r w:rsidRPr="007267FC">
        <w:t xml:space="preserve">As needed, </w:t>
      </w:r>
      <w:r w:rsidR="00CA744E">
        <w:t>participants</w:t>
      </w:r>
      <w:r w:rsidRPr="007267FC">
        <w:t xml:space="preserve"> </w:t>
      </w:r>
      <w:r w:rsidR="00CA744E">
        <w:t xml:space="preserve">should </w:t>
      </w:r>
      <w:r w:rsidRPr="007267FC">
        <w:t>submit updated contact information</w:t>
      </w:r>
      <w:r w:rsidR="00391BDD">
        <w:t>.</w:t>
      </w:r>
      <w:r w:rsidRPr="007267FC">
        <w:t xml:space="preserve"> These updates would </w:t>
      </w:r>
      <w:r w:rsidR="00B91D74" w:rsidRPr="007267FC">
        <w:t xml:space="preserve">notify EPA of a change </w:t>
      </w:r>
      <w:r w:rsidR="008D69E8">
        <w:t>such as a new</w:t>
      </w:r>
      <w:r w:rsidR="00B91D74" w:rsidRPr="007267FC">
        <w:t xml:space="preserve"> Partner representative</w:t>
      </w:r>
      <w:r w:rsidR="00391BDD">
        <w:t xml:space="preserve"> or </w:t>
      </w:r>
      <w:r w:rsidR="008D69E8">
        <w:t>address change</w:t>
      </w:r>
      <w:r w:rsidR="00767E54">
        <w:t xml:space="preserve">. </w:t>
      </w:r>
      <w:r w:rsidR="00B91D74" w:rsidRPr="007267FC">
        <w:t>EPA estimates that approx</w:t>
      </w:r>
      <w:r w:rsidR="008D69E8">
        <w:t xml:space="preserve">imately 10 percent of </w:t>
      </w:r>
      <w:r w:rsidR="00CA744E">
        <w:t>participants</w:t>
      </w:r>
      <w:r w:rsidR="008D69E8">
        <w:t xml:space="preserve">, or on average </w:t>
      </w:r>
      <w:r w:rsidR="00CA744E">
        <w:t>5</w:t>
      </w:r>
      <w:r w:rsidR="00391BDD">
        <w:t xml:space="preserve"> Pilot participants</w:t>
      </w:r>
      <w:r w:rsidR="008D69E8">
        <w:t>,</w:t>
      </w:r>
      <w:r w:rsidR="00B91D74" w:rsidRPr="007267FC">
        <w:t xml:space="preserve"> will submit this update each year.</w:t>
      </w: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p>
    <w:p w:rsidR="008E6CCB" w:rsidRPr="007267FC" w:rsidRDefault="000F116B" w:rsidP="007267FC">
      <w:pPr>
        <w:tabs>
          <w:tab w:val="left" w:pos="720"/>
        </w:tabs>
        <w:spacing w:line="360" w:lineRule="auto"/>
        <w:ind w:left="1260" w:hanging="540"/>
      </w:pPr>
      <w:r w:rsidRPr="007267FC">
        <w:rPr>
          <w:lang w:val="en-CA"/>
        </w:rPr>
        <w:fldChar w:fldCharType="begin"/>
      </w:r>
      <w:r w:rsidR="008E6CCB" w:rsidRPr="007267FC">
        <w:rPr>
          <w:lang w:val="en-CA"/>
        </w:rPr>
        <w:instrText xml:space="preserve"> SEQ CHAPTER \h \r 1</w:instrText>
      </w:r>
      <w:r w:rsidRPr="007267FC">
        <w:rPr>
          <w:lang w:val="en-CA"/>
        </w:rPr>
        <w:fldChar w:fldCharType="end"/>
      </w:r>
      <w:r w:rsidR="008E6CCB" w:rsidRPr="007267FC">
        <w:rPr>
          <w:b/>
          <w:bCs/>
        </w:rPr>
        <w:t>6(e)</w:t>
      </w:r>
      <w:r w:rsidR="008E6CCB" w:rsidRPr="007267FC">
        <w:rPr>
          <w:b/>
          <w:bCs/>
        </w:rPr>
        <w:tab/>
        <w:t xml:space="preserve">Bottom Line </w:t>
      </w:r>
      <w:r w:rsidR="00753AA4">
        <w:rPr>
          <w:b/>
          <w:bCs/>
        </w:rPr>
        <w:t xml:space="preserve">Burden </w:t>
      </w:r>
      <w:r w:rsidR="008E6CCB" w:rsidRPr="007267FC">
        <w:rPr>
          <w:b/>
          <w:bCs/>
        </w:rPr>
        <w:t>Hour</w:t>
      </w:r>
      <w:r w:rsidR="00753AA4">
        <w:rPr>
          <w:b/>
          <w:bCs/>
        </w:rPr>
        <w:t>s</w:t>
      </w:r>
      <w:r w:rsidR="008E6CCB" w:rsidRPr="007267FC">
        <w:rPr>
          <w:b/>
          <w:bCs/>
        </w:rPr>
        <w:t xml:space="preserve"> and Cost </w:t>
      </w:r>
      <w:r w:rsidR="00753AA4">
        <w:rPr>
          <w:b/>
          <w:bCs/>
        </w:rPr>
        <w:t>Tables</w:t>
      </w:r>
      <w:r w:rsidR="008E6CCB" w:rsidRPr="007267FC">
        <w:t xml:space="preserve"> </w:t>
      </w:r>
    </w:p>
    <w:p w:rsidR="008E6CCB" w:rsidRPr="00106985" w:rsidRDefault="008E6CCB" w:rsidP="007267FC">
      <w:pPr>
        <w:tabs>
          <w:tab w:val="left" w:pos="720"/>
        </w:tabs>
        <w:spacing w:line="360" w:lineRule="auto"/>
        <w:ind w:left="1260" w:hanging="540"/>
        <w:rPr>
          <w:i/>
        </w:rPr>
      </w:pPr>
      <w:r w:rsidRPr="00106985">
        <w:rPr>
          <w:b/>
          <w:bCs/>
          <w:i/>
        </w:rPr>
        <w:t>(</w:t>
      </w:r>
      <w:r w:rsidR="00753AA4">
        <w:rPr>
          <w:b/>
          <w:bCs/>
          <w:i/>
        </w:rPr>
        <w:t>i</w:t>
      </w:r>
      <w:r w:rsidRPr="00106985">
        <w:rPr>
          <w:b/>
          <w:bCs/>
          <w:i/>
        </w:rPr>
        <w:t>)</w:t>
      </w:r>
      <w:r w:rsidRPr="00106985">
        <w:rPr>
          <w:b/>
          <w:bCs/>
          <w:i/>
        </w:rPr>
        <w:tab/>
        <w:t>Respondent Tally</w:t>
      </w:r>
    </w:p>
    <w:p w:rsidR="008E6CCB" w:rsidRPr="007267FC" w:rsidRDefault="00934EBD" w:rsidP="00DF311F">
      <w:pPr>
        <w:spacing w:line="360" w:lineRule="auto"/>
        <w:ind w:firstLine="720"/>
      </w:pPr>
      <w:r w:rsidRPr="007267FC">
        <w:t>Exhibit 1</w:t>
      </w:r>
      <w:r w:rsidR="008E6CCB" w:rsidRPr="007267FC">
        <w:t xml:space="preserve"> shows the aggregate annual hour and cost burden to respondents</w:t>
      </w:r>
      <w:r w:rsidR="00767E54">
        <w:t xml:space="preserve">. </w:t>
      </w:r>
      <w:r w:rsidR="008E6CCB" w:rsidRPr="007267FC">
        <w:t xml:space="preserve">As shown in the exhibit, EPA estimates the annual respondent burden to be </w:t>
      </w:r>
      <w:r w:rsidR="00CA744E">
        <w:t>966</w:t>
      </w:r>
      <w:r w:rsidRPr="007267FC">
        <w:t xml:space="preserve"> </w:t>
      </w:r>
      <w:r w:rsidR="008E6CCB" w:rsidRPr="007267FC">
        <w:t>hours and $</w:t>
      </w:r>
      <w:r w:rsidR="00CA744E">
        <w:t>90,804</w:t>
      </w:r>
      <w:r w:rsidR="008E6CCB" w:rsidRPr="007267FC">
        <w:t>.</w:t>
      </w:r>
    </w:p>
    <w:p w:rsidR="00CA744E" w:rsidRDefault="00CA744E" w:rsidP="007267FC">
      <w:pPr>
        <w:tabs>
          <w:tab w:val="left" w:pos="720"/>
        </w:tabs>
        <w:spacing w:line="360" w:lineRule="auto"/>
        <w:ind w:left="1260" w:hanging="540"/>
        <w:rPr>
          <w:b/>
          <w:bCs/>
          <w:i/>
        </w:rPr>
      </w:pPr>
    </w:p>
    <w:p w:rsidR="008E6CCB" w:rsidRPr="00106985" w:rsidRDefault="008E6CCB" w:rsidP="007267FC">
      <w:pPr>
        <w:tabs>
          <w:tab w:val="left" w:pos="720"/>
        </w:tabs>
        <w:spacing w:line="360" w:lineRule="auto"/>
        <w:ind w:left="1260" w:hanging="540"/>
        <w:rPr>
          <w:i/>
        </w:rPr>
      </w:pPr>
      <w:r w:rsidRPr="00106985">
        <w:rPr>
          <w:b/>
          <w:bCs/>
          <w:i/>
        </w:rPr>
        <w:t>(</w:t>
      </w:r>
      <w:r w:rsidR="00753AA4">
        <w:rPr>
          <w:b/>
          <w:bCs/>
          <w:i/>
        </w:rPr>
        <w:t>ii</w:t>
      </w:r>
      <w:r w:rsidRPr="00106985">
        <w:rPr>
          <w:b/>
          <w:bCs/>
          <w:i/>
        </w:rPr>
        <w:t>)</w:t>
      </w:r>
      <w:r w:rsidRPr="00106985">
        <w:rPr>
          <w:b/>
          <w:bCs/>
          <w:i/>
        </w:rPr>
        <w:tab/>
        <w:t>Agency Tally</w:t>
      </w:r>
    </w:p>
    <w:p w:rsidR="00C514EF" w:rsidRDefault="008E6CCB"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rPr>
          <w:color w:val="FF0000"/>
        </w:rPr>
      </w:pPr>
      <w:r w:rsidRPr="007267FC">
        <w:t>As is shown in Exhibit 2, the annual Agency hour and cost burden associated with all the requirements covered in this ICR is estimated to be</w:t>
      </w:r>
      <w:r w:rsidRPr="007267FC">
        <w:rPr>
          <w:color w:val="FF0000"/>
        </w:rPr>
        <w:t xml:space="preserve"> </w:t>
      </w:r>
      <w:r w:rsidR="00CA744E">
        <w:t>690</w:t>
      </w:r>
      <w:r w:rsidR="00DF311F" w:rsidRPr="00DF311F">
        <w:t xml:space="preserve"> </w:t>
      </w:r>
      <w:r w:rsidR="00934EBD" w:rsidRPr="00DF311F">
        <w:t>hours and $</w:t>
      </w:r>
      <w:r w:rsidR="00CA744E">
        <w:t>92,184</w:t>
      </w:r>
      <w:r w:rsidRPr="00DF311F">
        <w:t>.</w:t>
      </w:r>
      <w:r w:rsidR="004B7E28" w:rsidRPr="007267FC">
        <w:rPr>
          <w:color w:val="FF0000"/>
        </w:rPr>
        <w:t xml:space="preserve"> </w:t>
      </w:r>
    </w:p>
    <w:p w:rsidR="00CA744E" w:rsidRDefault="00CA744E"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rPr>
          <w:b/>
          <w:i/>
          <w:color w:val="FF0000"/>
        </w:rPr>
      </w:pPr>
    </w:p>
    <w:p w:rsidR="00753AA4" w:rsidRPr="00CA744E" w:rsidRDefault="00753AA4"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rPr>
          <w:b/>
          <w:i/>
        </w:rPr>
      </w:pPr>
      <w:r w:rsidRPr="00CA744E">
        <w:rPr>
          <w:b/>
          <w:i/>
        </w:rPr>
        <w:t>(iii)</w:t>
      </w:r>
      <w:r w:rsidRPr="00CA744E">
        <w:rPr>
          <w:b/>
          <w:i/>
        </w:rPr>
        <w:tab/>
        <w:t>Variations in the Annual Bottom Line</w:t>
      </w:r>
    </w:p>
    <w:p w:rsidR="00753AA4" w:rsidRPr="00CA744E" w:rsidRDefault="00753AA4"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CA744E">
        <w:t>EPA anticipates minimal variation in the annual respondent reporting/recordkeeping burden over the three-year period covered by this ICR.</w:t>
      </w:r>
    </w:p>
    <w:p w:rsidR="00DF311F" w:rsidRPr="007267FC" w:rsidRDefault="00DF311F"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p>
    <w:p w:rsidR="008E6CCB" w:rsidRPr="007267FC" w:rsidRDefault="008E6CCB" w:rsidP="007267FC">
      <w:pPr>
        <w:widowControl/>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firstLine="720"/>
      </w:pPr>
      <w:r w:rsidRPr="007267FC">
        <w:rPr>
          <w:b/>
          <w:bCs/>
        </w:rPr>
        <w:t>6(f)</w:t>
      </w:r>
      <w:r w:rsidRPr="007267FC">
        <w:rPr>
          <w:b/>
          <w:bCs/>
        </w:rPr>
        <w:tab/>
        <w:t>Reasons for Change in Burden</w:t>
      </w:r>
    </w:p>
    <w:p w:rsidR="00F70C2C" w:rsidRDefault="008E6CCB">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pPr>
      <w:r w:rsidRPr="007267FC">
        <w:tab/>
        <w:t>The previousl</w:t>
      </w:r>
      <w:r w:rsidR="00C64251">
        <w:t xml:space="preserve">y approved ICR </w:t>
      </w:r>
      <w:r w:rsidRPr="007267FC">
        <w:t xml:space="preserve">estimated the annual hourly burden for respondents to be </w:t>
      </w:r>
      <w:r w:rsidR="00DE45E9">
        <w:t>1</w:t>
      </w:r>
      <w:r w:rsidR="00175BAA">
        <w:t>9</w:t>
      </w:r>
      <w:r w:rsidR="00DE45E9">
        <w:t>,</w:t>
      </w:r>
      <w:r w:rsidR="00175BAA">
        <w:t>636</w:t>
      </w:r>
      <w:r w:rsidR="00767E54">
        <w:t xml:space="preserve">. </w:t>
      </w:r>
      <w:r w:rsidR="00CA744E">
        <w:t xml:space="preserve"> </w:t>
      </w:r>
      <w:r w:rsidRPr="007267FC">
        <w:t xml:space="preserve">This renewal estimates the annual hourly burden for respondents to be </w:t>
      </w:r>
      <w:r w:rsidR="00CA744E">
        <w:t>966</w:t>
      </w:r>
      <w:r w:rsidRPr="007267FC">
        <w:t xml:space="preserve"> hours</w:t>
      </w:r>
      <w:r w:rsidR="00862AAE">
        <w:t>.</w:t>
      </w:r>
      <w:r w:rsidRPr="007267FC">
        <w:t xml:space="preserve"> </w:t>
      </w:r>
      <w:r w:rsidR="00CA744E">
        <w:t xml:space="preserve"> </w:t>
      </w:r>
      <w:r w:rsidRPr="007267FC">
        <w:t xml:space="preserve">This is a difference of </w:t>
      </w:r>
      <w:r w:rsidR="00CA744E">
        <w:t>18,670</w:t>
      </w:r>
      <w:r w:rsidR="00B94D1F">
        <w:t xml:space="preserve"> hours</w:t>
      </w:r>
      <w:r w:rsidR="00862AAE">
        <w:t>.</w:t>
      </w:r>
      <w:r w:rsidR="00767E54">
        <w:t xml:space="preserve"> </w:t>
      </w:r>
      <w:r w:rsidR="00CA744E">
        <w:t xml:space="preserve"> </w:t>
      </w:r>
      <w:r w:rsidR="00175BAA">
        <w:t xml:space="preserve">This decrease reflects EPA’s phase down of the Climate Leaders program on September 30, 2011. </w:t>
      </w:r>
      <w:r w:rsidR="00CA744E">
        <w:t xml:space="preserve"> </w:t>
      </w:r>
      <w:r w:rsidR="00175BAA">
        <w:t>As a result, the number of respondents included in this ICR decreased to include only those 46 small businesses participating in the join</w:t>
      </w:r>
      <w:r w:rsidR="00CA744E">
        <w:t>t</w:t>
      </w:r>
      <w:r w:rsidR="00175BAA">
        <w:t xml:space="preserve"> EPA-GSA Federal Supplier Greenhouse Gas Emissions Inventory Pilot. </w:t>
      </w:r>
    </w:p>
    <w:p w:rsidR="00CA744E" w:rsidRDefault="00CA744E" w:rsidP="007267FC">
      <w:pPr>
        <w:widowControl/>
        <w:spacing w:line="360" w:lineRule="auto"/>
        <w:ind w:firstLine="720"/>
      </w:pPr>
    </w:p>
    <w:p w:rsidR="008E6CCB" w:rsidRPr="007267FC" w:rsidRDefault="00A35E09" w:rsidP="007267FC">
      <w:pPr>
        <w:widowControl/>
        <w:spacing w:line="360" w:lineRule="auto"/>
        <w:ind w:firstLine="720"/>
        <w:rPr>
          <w:color w:val="0F0F0F"/>
        </w:rPr>
      </w:pPr>
      <w:r w:rsidRPr="007267FC">
        <w:t xml:space="preserve">The burden outlined below for the information collection envisioned under this ICR is necessary to help </w:t>
      </w:r>
      <w:r w:rsidR="00106985">
        <w:t xml:space="preserve">EPA </w:t>
      </w:r>
      <w:r w:rsidRPr="007267FC">
        <w:t xml:space="preserve">determine </w:t>
      </w:r>
      <w:r w:rsidR="008D69E8">
        <w:t xml:space="preserve">that the </w:t>
      </w:r>
      <w:r w:rsidR="00175BAA">
        <w:t xml:space="preserve">Pilot participants </w:t>
      </w:r>
      <w:r w:rsidR="008D69E8">
        <w:t xml:space="preserve">merit recognition as corporate leaders in GHG reduction and to determine </w:t>
      </w:r>
      <w:r w:rsidRPr="007267FC">
        <w:t xml:space="preserve">whether </w:t>
      </w:r>
      <w:r w:rsidR="00175BAA">
        <w:t>the Pilot</w:t>
      </w:r>
      <w:r w:rsidRPr="007267FC">
        <w:t xml:space="preserve"> is achieving its goals. The activities undertaken by </w:t>
      </w:r>
      <w:r w:rsidR="00175BAA">
        <w:t>Pilot participants</w:t>
      </w:r>
      <w:r w:rsidRPr="007267FC">
        <w:t xml:space="preserve"> are anticipated to offset some of this burden as </w:t>
      </w:r>
      <w:r w:rsidR="00175BAA">
        <w:t>they</w:t>
      </w:r>
      <w:r w:rsidR="00175BAA" w:rsidRPr="007267FC">
        <w:t xml:space="preserve"> </w:t>
      </w:r>
      <w:r w:rsidRPr="007267FC">
        <w:t xml:space="preserve">identify new emission reduction </w:t>
      </w:r>
      <w:r w:rsidR="00106985">
        <w:t>o</w:t>
      </w:r>
      <w:r w:rsidRPr="007267FC">
        <w:t>pportunities that result in savings to the company through, for example, enhanced energy efficiency.</w:t>
      </w:r>
    </w:p>
    <w:p w:rsidR="008E6CCB" w:rsidRPr="007267FC" w:rsidRDefault="008E6CCB" w:rsidP="007267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F0F0F"/>
        </w:rPr>
      </w:pPr>
    </w:p>
    <w:p w:rsidR="008E6CCB" w:rsidRPr="007267FC" w:rsidRDefault="008E6CCB" w:rsidP="007267FC">
      <w:pPr>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line="360" w:lineRule="auto"/>
        <w:ind w:left="720"/>
      </w:pPr>
      <w:r w:rsidRPr="007267FC">
        <w:rPr>
          <w:b/>
          <w:bCs/>
        </w:rPr>
        <w:t>6(g)</w:t>
      </w:r>
      <w:r w:rsidRPr="007267FC">
        <w:rPr>
          <w:b/>
          <w:bCs/>
        </w:rPr>
        <w:tab/>
        <w:t>Burden Statement</w:t>
      </w:r>
    </w:p>
    <w:p w:rsidR="00B91D74" w:rsidRPr="007267FC" w:rsidRDefault="008E6CCB" w:rsidP="00726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rPr>
      </w:pPr>
      <w:r w:rsidRPr="007267FC">
        <w:rPr>
          <w:b/>
        </w:rPr>
        <w:tab/>
      </w:r>
      <w:r w:rsidR="00B81DEC" w:rsidRPr="007267FC">
        <w:rPr>
          <w:u w:val="single"/>
        </w:rPr>
        <w:t>Burden Statement</w:t>
      </w:r>
      <w:r w:rsidR="00B81DEC" w:rsidRPr="007267FC">
        <w:t xml:space="preserve">:  The annual public reporting and recordkeeping burden for this collection of information is estimated to </w:t>
      </w:r>
      <w:r w:rsidR="00B81DEC">
        <w:t xml:space="preserve">be </w:t>
      </w:r>
      <w:r w:rsidR="00C64251">
        <w:t>3</w:t>
      </w:r>
      <w:r w:rsidR="00235F0A">
        <w:t>1</w:t>
      </w:r>
      <w:r w:rsidR="00C64251">
        <w:t xml:space="preserve"> hours per year per response</w:t>
      </w:r>
      <w:r w:rsidR="00B81DEC">
        <w:t>.</w:t>
      </w:r>
      <w:r w:rsidR="005B748D">
        <w:t xml:space="preserve"> </w:t>
      </w:r>
      <w:r w:rsidR="00235F0A">
        <w:t xml:space="preserve"> </w:t>
      </w:r>
      <w:r w:rsidR="00B91D74" w:rsidRPr="007267FC">
        <w:t>Burden means the total time, effort, or financial resources expended by persons to generate, maintain, retain, or disclose or provide information to or for a Federal agency</w:t>
      </w:r>
      <w:r w:rsidR="00767E54">
        <w:t xml:space="preserve">. </w:t>
      </w:r>
      <w:r w:rsidR="00B91D74" w:rsidRPr="007267FC">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sidR="00B91D74" w:rsidRPr="007267FC">
        <w:rPr>
          <w:color w:val="000000"/>
        </w:rPr>
        <w:t>An agency may not conduct or sponsor, and a person is not required to respond to, a collection of information unless it displays a currently valid OMB control number</w:t>
      </w:r>
      <w:r w:rsidR="00767E54">
        <w:rPr>
          <w:color w:val="000000"/>
        </w:rPr>
        <w:t xml:space="preserve">. </w:t>
      </w:r>
      <w:r w:rsidR="00B91D74" w:rsidRPr="007267FC">
        <w:rPr>
          <w:color w:val="000000"/>
        </w:rPr>
        <w:t xml:space="preserve">The OMB control numbers for EPA's regulations are listed in 40 </w:t>
      </w:r>
      <w:smartTag w:uri="urn:schemas-microsoft-com:office:smarttags" w:element="stockticker">
        <w:r w:rsidR="00B91D74" w:rsidRPr="007267FC">
          <w:rPr>
            <w:color w:val="000000"/>
          </w:rPr>
          <w:t>CFR</w:t>
        </w:r>
      </w:smartTag>
      <w:r w:rsidR="00B91D74" w:rsidRPr="007267FC">
        <w:rPr>
          <w:color w:val="000000"/>
        </w:rPr>
        <w:t xml:space="preserve"> part 9 and 48 </w:t>
      </w:r>
      <w:smartTag w:uri="urn:schemas-microsoft-com:office:smarttags" w:element="stockticker">
        <w:r w:rsidR="00B91D74" w:rsidRPr="007267FC">
          <w:rPr>
            <w:color w:val="000000"/>
          </w:rPr>
          <w:t>CFR</w:t>
        </w:r>
      </w:smartTag>
      <w:r w:rsidR="00B91D74" w:rsidRPr="007267FC">
        <w:rPr>
          <w:color w:val="000000"/>
        </w:rPr>
        <w:t xml:space="preserve"> chapter 15</w:t>
      </w:r>
      <w:r w:rsidR="00767E54">
        <w:rPr>
          <w:color w:val="000000"/>
        </w:rPr>
        <w:t xml:space="preserve">. </w:t>
      </w:r>
      <w:r w:rsidR="00B91D74" w:rsidRPr="007267FC">
        <w:rPr>
          <w:color w:val="000000"/>
        </w:rPr>
        <w:t xml:space="preserve">   </w:t>
      </w:r>
    </w:p>
    <w:p w:rsidR="00861295" w:rsidRPr="007267FC" w:rsidRDefault="00861295" w:rsidP="007267FC">
      <w:pPr>
        <w:spacing w:line="360" w:lineRule="auto"/>
        <w:ind w:firstLine="720"/>
      </w:pPr>
      <w:r w:rsidRPr="007267FC">
        <w:rPr>
          <w:color w:val="000000"/>
        </w:rPr>
        <w:t>To comment on the Agency’s need for this information, the accuracy of the provided burden estimates, and any suggested methods for minimizing respondent burden, including the us</w:t>
      </w:r>
      <w:r w:rsidR="004F4530">
        <w:rPr>
          <w:color w:val="000000"/>
        </w:rPr>
        <w:t>e</w:t>
      </w:r>
      <w:r w:rsidRPr="007267FC">
        <w:rPr>
          <w:color w:val="000000"/>
        </w:rPr>
        <w:t xml:space="preserve"> of automated collection techniques, </w:t>
      </w:r>
      <w:r w:rsidRPr="007267FC">
        <w:t>EPA has established a docket for this ICR under Docket ID No. EPA-HQ-</w:t>
      </w:r>
      <w:smartTag w:uri="urn:schemas-microsoft-com:office:smarttags" w:element="stockticker">
        <w:r w:rsidRPr="007267FC">
          <w:t>OAR</w:t>
        </w:r>
      </w:smartTag>
      <w:r w:rsidRPr="007267FC">
        <w:t>-20</w:t>
      </w:r>
      <w:r w:rsidR="00175BAA">
        <w:t>11</w:t>
      </w:r>
      <w:r w:rsidRPr="007267FC">
        <w:t>-094</w:t>
      </w:r>
      <w:r w:rsidR="00175BAA">
        <w:t>0</w:t>
      </w:r>
      <w:r w:rsidRPr="007267FC">
        <w:t xml:space="preserve">, which is available for online viewing at www.regulations.gov, or in person viewing at the Air and Radiation Docket in the EPA Docket Center (EPA/DC), EPA West Building, Room </w:t>
      </w:r>
      <w:r w:rsidR="00155641">
        <w:t>3334</w:t>
      </w:r>
      <w:r w:rsidRPr="007267FC">
        <w:t>, 1301 Constitution Ave., NW, Washington, DC</w:t>
      </w:r>
      <w:r w:rsidR="00767E54">
        <w:t xml:space="preserve">. </w:t>
      </w:r>
      <w:r w:rsidRPr="007267FC">
        <w:t>The EPA/DC Public Reading Room is open from 8</w:t>
      </w:r>
      <w:r w:rsidR="00C64251">
        <w:t>:30</w:t>
      </w:r>
      <w:r w:rsidRPr="007267FC">
        <w:t xml:space="preserve"> a.m. to </w:t>
      </w:r>
      <w:smartTag w:uri="urn:schemas-microsoft-com:office:smarttags" w:element="time">
        <w:smartTagPr>
          <w:attr w:name="Hour" w:val="16"/>
          <w:attr w:name="Minute" w:val="30"/>
        </w:smartTagPr>
        <w:r w:rsidRPr="007267FC">
          <w:t>4:30 p.m.</w:t>
        </w:r>
      </w:smartTag>
      <w:r w:rsidRPr="007267FC">
        <w:t>, Monday through Friday, excluding legal holidays</w:t>
      </w:r>
      <w:r w:rsidR="00767E54">
        <w:t xml:space="preserve">. </w:t>
      </w:r>
      <w:r w:rsidRPr="007267FC">
        <w:t>The telephone number for the Reading Room is 202-566-1744, and t</w:t>
      </w:r>
      <w:r w:rsidR="004F4530">
        <w:t xml:space="preserve">he telephone number for the Air and </w:t>
      </w:r>
      <w:smartTag w:uri="urn:schemas-microsoft-com:office:smarttags" w:element="place">
        <w:smartTag w:uri="urn:schemas-microsoft-com:office:smarttags" w:element="PlaceName">
          <w:r w:rsidR="004F4530">
            <w:t>Radiation</w:t>
          </w:r>
        </w:smartTag>
        <w:r w:rsidR="004F4530">
          <w:t xml:space="preserve"> </w:t>
        </w:r>
        <w:smartTag w:uri="urn:schemas-microsoft-com:office:smarttags" w:element="PlaceName">
          <w:r w:rsidRPr="007267FC">
            <w:t>Docket</w:t>
          </w:r>
        </w:smartTag>
        <w:r w:rsidRPr="007267FC">
          <w:t xml:space="preserve"> </w:t>
        </w:r>
        <w:smartTag w:uri="urn:schemas-microsoft-com:office:smarttags" w:element="PlaceType">
          <w:r w:rsidRPr="007267FC">
            <w:t>Center</w:t>
          </w:r>
        </w:smartTag>
      </w:smartTag>
      <w:r w:rsidRPr="007267FC">
        <w:t xml:space="preserve"> is 202-566-1742.</w:t>
      </w:r>
    </w:p>
    <w:p w:rsidR="00995001" w:rsidRDefault="00861295" w:rsidP="007540EA">
      <w:pPr>
        <w:widowControl/>
        <w:spacing w:line="360" w:lineRule="auto"/>
      </w:pPr>
      <w:r w:rsidRPr="007267FC">
        <w:tab/>
      </w:r>
      <w:r w:rsidR="005E5420" w:rsidRPr="007267FC">
        <w:rPr>
          <w:color w:val="0F0F0F"/>
        </w:rPr>
        <w:t>An electronic version of the public docket is available at www.regulations.gov</w:t>
      </w:r>
      <w:r w:rsidR="005E5420">
        <w:rPr>
          <w:color w:val="0F0F0F"/>
        </w:rPr>
        <w:t xml:space="preserve">. </w:t>
      </w:r>
      <w:r w:rsidR="005E5420" w:rsidRPr="007267FC">
        <w:rPr>
          <w:color w:val="0F0F0F"/>
        </w:rPr>
        <w:t>This site can be used to submit or view public comments, access the index listing of the contents of the public docket, and to access those documents in the public docket that are available electronically</w:t>
      </w:r>
      <w:r w:rsidR="005E5420">
        <w:rPr>
          <w:color w:val="0F0F0F"/>
        </w:rPr>
        <w:t xml:space="preserve">. </w:t>
      </w:r>
      <w:r w:rsidR="005E5420" w:rsidRPr="007267FC">
        <w:rPr>
          <w:color w:val="0F0F0F"/>
        </w:rPr>
        <w:t>When in the system, select “search,” then key in the Docket ID Number identified above</w:t>
      </w:r>
      <w:r w:rsidR="005E5420">
        <w:rPr>
          <w:color w:val="0F0F0F"/>
        </w:rPr>
        <w:t xml:space="preserve">. </w:t>
      </w:r>
      <w:r w:rsidR="005E5420" w:rsidRPr="007267FC">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5E5420" w:rsidRPr="007267FC">
            <w:t>725 17th Street, NW</w:t>
          </w:r>
        </w:smartTag>
        <w:r w:rsidR="005E5420" w:rsidRPr="007267FC">
          <w:t xml:space="preserve">, </w:t>
        </w:r>
        <w:smartTag w:uri="urn:schemas-microsoft-com:office:smarttags" w:element="City">
          <w:r w:rsidR="005E5420" w:rsidRPr="007267FC">
            <w:t>Washington</w:t>
          </w:r>
        </w:smartTag>
        <w:r w:rsidR="005E5420" w:rsidRPr="007267FC">
          <w:t xml:space="preserve">, </w:t>
        </w:r>
        <w:smartTag w:uri="urn:schemas-microsoft-com:office:smarttags" w:element="State">
          <w:r w:rsidR="005E5420" w:rsidRPr="007267FC">
            <w:t>DC</w:t>
          </w:r>
        </w:smartTag>
        <w:r w:rsidR="005E5420" w:rsidRPr="007267FC">
          <w:t xml:space="preserve"> </w:t>
        </w:r>
        <w:smartTag w:uri="urn:schemas-microsoft-com:office:smarttags" w:element="PostalCode">
          <w:r w:rsidR="005E5420" w:rsidRPr="007267FC">
            <w:t>20503</w:t>
          </w:r>
        </w:smartTag>
      </w:smartTag>
      <w:r w:rsidR="005E5420" w:rsidRPr="007267FC">
        <w:t xml:space="preserve">, Attention: Desk Office for EPA. Please include the EPA Docket ID No. </w:t>
      </w:r>
      <w:r w:rsidR="00921711">
        <w:t>EPA-HQ-</w:t>
      </w:r>
      <w:r w:rsidR="005E5420" w:rsidRPr="007267FC">
        <w:t>OAR-20</w:t>
      </w:r>
      <w:r w:rsidR="00175BAA">
        <w:t>11</w:t>
      </w:r>
      <w:r w:rsidR="005E5420" w:rsidRPr="007267FC">
        <w:t>-094</w:t>
      </w:r>
      <w:r w:rsidR="00175BAA">
        <w:t>0</w:t>
      </w:r>
      <w:r w:rsidR="005E5420" w:rsidRPr="007267FC">
        <w:t xml:space="preserve"> and OMB Control Number </w:t>
      </w:r>
      <w:r w:rsidR="00995001">
        <w:t>2060-0532 in any correspondence.</w:t>
      </w:r>
      <w:r w:rsidR="004A0EC5">
        <w:t xml:space="preserve">  </w:t>
      </w:r>
    </w:p>
    <w:sectPr w:rsidR="00995001" w:rsidSect="00995001">
      <w:footerReference w:type="default" r:id="rId8"/>
      <w:pgSz w:w="12240" w:h="15840" w:code="1"/>
      <w:pgMar w:top="1170" w:right="1170" w:bottom="126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1CE" w:rsidRDefault="003A41CE">
      <w:r>
        <w:separator/>
      </w:r>
    </w:p>
  </w:endnote>
  <w:endnote w:type="continuationSeparator" w:id="0">
    <w:p w:rsidR="003A41CE" w:rsidRDefault="003A41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68C" w:rsidRDefault="000F116B" w:rsidP="00B3229F">
    <w:pPr>
      <w:pStyle w:val="Footer"/>
      <w:framePr w:wrap="around" w:vAnchor="text" w:hAnchor="margin" w:xAlign="center" w:y="1"/>
      <w:rPr>
        <w:rStyle w:val="PageNumber"/>
      </w:rPr>
    </w:pPr>
    <w:r>
      <w:rPr>
        <w:rStyle w:val="PageNumber"/>
      </w:rPr>
      <w:fldChar w:fldCharType="begin"/>
    </w:r>
    <w:r w:rsidR="004C368C">
      <w:rPr>
        <w:rStyle w:val="PageNumber"/>
      </w:rPr>
      <w:instrText xml:space="preserve">PAGE  </w:instrText>
    </w:r>
    <w:r>
      <w:rPr>
        <w:rStyle w:val="PageNumber"/>
      </w:rPr>
      <w:fldChar w:fldCharType="separate"/>
    </w:r>
    <w:r w:rsidR="001939AB">
      <w:rPr>
        <w:rStyle w:val="PageNumber"/>
        <w:noProof/>
      </w:rPr>
      <w:t>12</w:t>
    </w:r>
    <w:r>
      <w:rPr>
        <w:rStyle w:val="PageNumber"/>
      </w:rPr>
      <w:fldChar w:fldCharType="end"/>
    </w:r>
  </w:p>
  <w:p w:rsidR="004C368C" w:rsidRDefault="004C368C" w:rsidP="009815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1CE" w:rsidRDefault="003A41CE">
      <w:r>
        <w:separator/>
      </w:r>
    </w:p>
  </w:footnote>
  <w:footnote w:type="continuationSeparator" w:id="0">
    <w:p w:rsidR="003A41CE" w:rsidRDefault="003A4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AutoList2"/>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3">
    <w:nsid w:val="00000004"/>
    <w:multiLevelType w:val="multilevel"/>
    <w:tmpl w:val="00000000"/>
    <w:name w:val="AutoList3"/>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4">
    <w:nsid w:val="00000005"/>
    <w:multiLevelType w:val="multilevel"/>
    <w:tmpl w:val="00000000"/>
    <w:name w:val="AutoList4"/>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5">
    <w:nsid w:val="00000006"/>
    <w:multiLevelType w:val="multilevel"/>
    <w:tmpl w:val="00000000"/>
    <w:name w:val="AutoList5"/>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6">
    <w:nsid w:val="00000007"/>
    <w:multiLevelType w:val="multilevel"/>
    <w:tmpl w:val="00000000"/>
    <w:name w:val="AutoList6"/>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7">
    <w:nsid w:val="00000008"/>
    <w:multiLevelType w:val="multilevel"/>
    <w:tmpl w:val="00000000"/>
    <w:name w:val="AutoList7"/>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8">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AutoList9"/>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0">
    <w:nsid w:val="0000000B"/>
    <w:multiLevelType w:val="multilevel"/>
    <w:tmpl w:val="00000000"/>
    <w:name w:val="AutoList8"/>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1">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D"/>
    <w:multiLevelType w:val="multilevel"/>
    <w:tmpl w:val="00000000"/>
    <w:name w:val="AutoList10"/>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3">
    <w:nsid w:val="0000000E"/>
    <w:multiLevelType w:val="multilevel"/>
    <w:tmpl w:val="00000000"/>
    <w:name w:val="AutoList12"/>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4">
    <w:nsid w:val="0000000F"/>
    <w:multiLevelType w:val="multilevel"/>
    <w:tmpl w:val="00000000"/>
    <w:name w:val="AutoList13"/>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5">
    <w:nsid w:val="00000010"/>
    <w:multiLevelType w:val="multilevel"/>
    <w:tmpl w:val="00000000"/>
    <w:name w:val="AutoList15"/>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6">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09B77247"/>
    <w:multiLevelType w:val="hybridMultilevel"/>
    <w:tmpl w:val="9E141096"/>
    <w:lvl w:ilvl="0" w:tplc="A9EC6FC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0BAA1977"/>
    <w:multiLevelType w:val="multilevel"/>
    <w:tmpl w:val="098827C8"/>
    <w:lvl w:ilvl="0">
      <w:start w:val="1"/>
      <w:numFmt w:val="bullet"/>
      <w:lvlText w:val="o"/>
      <w:lvlJc w:val="left"/>
      <w:pPr>
        <w:tabs>
          <w:tab w:val="num" w:pos="1512"/>
        </w:tabs>
        <w:ind w:left="1800" w:hanging="288"/>
      </w:pPr>
      <w:rPr>
        <w:rFonts w:ascii="Courier New" w:hAnsi="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19FB6208"/>
    <w:multiLevelType w:val="hybridMultilevel"/>
    <w:tmpl w:val="3A2643AA"/>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1D964291"/>
    <w:multiLevelType w:val="hybridMultilevel"/>
    <w:tmpl w:val="10CCAFF0"/>
    <w:lvl w:ilvl="0" w:tplc="A9EC6FC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1F4E2B95"/>
    <w:multiLevelType w:val="hybridMultilevel"/>
    <w:tmpl w:val="45A05BBC"/>
    <w:lvl w:ilvl="0" w:tplc="A9EC6FC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200A5DE2"/>
    <w:multiLevelType w:val="hybridMultilevel"/>
    <w:tmpl w:val="5284104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3">
    <w:nsid w:val="2F0D3F4B"/>
    <w:multiLevelType w:val="hybridMultilevel"/>
    <w:tmpl w:val="D31C7552"/>
    <w:lvl w:ilvl="0" w:tplc="729A1A6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36C42D21"/>
    <w:multiLevelType w:val="hybridMultilevel"/>
    <w:tmpl w:val="F9D4FA66"/>
    <w:lvl w:ilvl="0" w:tplc="00E48A5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3D6A407E"/>
    <w:multiLevelType w:val="hybridMultilevel"/>
    <w:tmpl w:val="A9500428"/>
    <w:lvl w:ilvl="0" w:tplc="A9EC6FC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411619C6"/>
    <w:multiLevelType w:val="hybridMultilevel"/>
    <w:tmpl w:val="0F56ADBC"/>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9520D8E"/>
    <w:multiLevelType w:val="hybridMultilevel"/>
    <w:tmpl w:val="8626F110"/>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26838EA"/>
    <w:multiLevelType w:val="hybridMultilevel"/>
    <w:tmpl w:val="61A2F1FE"/>
    <w:lvl w:ilvl="0" w:tplc="A9EC6FC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52F14120"/>
    <w:multiLevelType w:val="hybridMultilevel"/>
    <w:tmpl w:val="6BFAF496"/>
    <w:lvl w:ilvl="0" w:tplc="A9EC6FCE">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55822ED1"/>
    <w:multiLevelType w:val="hybridMultilevel"/>
    <w:tmpl w:val="7B3073A8"/>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5DC2581"/>
    <w:multiLevelType w:val="hybridMultilevel"/>
    <w:tmpl w:val="554E1B32"/>
    <w:lvl w:ilvl="0" w:tplc="A9EC6FC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56C3437B"/>
    <w:multiLevelType w:val="hybridMultilevel"/>
    <w:tmpl w:val="098827C8"/>
    <w:lvl w:ilvl="0" w:tplc="28A0D21C">
      <w:start w:val="1"/>
      <w:numFmt w:val="bullet"/>
      <w:lvlText w:val="o"/>
      <w:lvlJc w:val="left"/>
      <w:pPr>
        <w:tabs>
          <w:tab w:val="num" w:pos="1512"/>
        </w:tabs>
        <w:ind w:left="1800" w:hanging="288"/>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57B3452D"/>
    <w:multiLevelType w:val="hybridMultilevel"/>
    <w:tmpl w:val="30104ECC"/>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BEE10B6"/>
    <w:multiLevelType w:val="hybridMultilevel"/>
    <w:tmpl w:val="AF025E4A"/>
    <w:lvl w:ilvl="0" w:tplc="A9EC6FC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63212F3C"/>
    <w:multiLevelType w:val="hybridMultilevel"/>
    <w:tmpl w:val="A4B688F8"/>
    <w:lvl w:ilvl="0" w:tplc="A9EC6F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3EA467A"/>
    <w:multiLevelType w:val="hybridMultilevel"/>
    <w:tmpl w:val="FC22354A"/>
    <w:lvl w:ilvl="0" w:tplc="A9EC6FC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68FD1028"/>
    <w:multiLevelType w:val="hybridMultilevel"/>
    <w:tmpl w:val="E578EBD6"/>
    <w:lvl w:ilvl="0" w:tplc="A9EC6FCE">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AB5676C"/>
    <w:multiLevelType w:val="hybridMultilevel"/>
    <w:tmpl w:val="7592D848"/>
    <w:lvl w:ilvl="0" w:tplc="A9EC6FCE">
      <w:start w:val="1"/>
      <w:numFmt w:val="bullet"/>
      <w:lvlText w:val=""/>
      <w:lvlJc w:val="left"/>
      <w:pPr>
        <w:tabs>
          <w:tab w:val="num" w:pos="1800"/>
        </w:tabs>
        <w:ind w:left="1800" w:hanging="360"/>
      </w:pPr>
      <w:rPr>
        <w:rFonts w:ascii="Wingdings" w:hAnsi="Wingdings" w:hint="default"/>
      </w:rPr>
    </w:lvl>
    <w:lvl w:ilvl="1" w:tplc="76949B58">
      <w:start w:val="1"/>
      <w:numFmt w:val="bullet"/>
      <w:lvlText w:val="-"/>
      <w:lvlJc w:val="left"/>
      <w:pPr>
        <w:tabs>
          <w:tab w:val="num" w:pos="2520"/>
        </w:tabs>
        <w:ind w:left="2520" w:hanging="360"/>
      </w:pPr>
      <w:rPr>
        <w:rFonts w:ascii="Times New Roman" w:hAnsi="Times New Roman"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3"/>
  </w:num>
  <w:num w:numId="2">
    <w:abstractNumId w:val="46"/>
  </w:num>
  <w:num w:numId="3">
    <w:abstractNumId w:val="45"/>
  </w:num>
  <w:num w:numId="4">
    <w:abstractNumId w:val="43"/>
  </w:num>
  <w:num w:numId="5">
    <w:abstractNumId w:val="48"/>
  </w:num>
  <w:num w:numId="6">
    <w:abstractNumId w:val="29"/>
  </w:num>
  <w:num w:numId="7">
    <w:abstractNumId w:val="30"/>
  </w:num>
  <w:num w:numId="8">
    <w:abstractNumId w:val="38"/>
  </w:num>
  <w:num w:numId="9">
    <w:abstractNumId w:val="31"/>
  </w:num>
  <w:num w:numId="10">
    <w:abstractNumId w:val="39"/>
  </w:num>
  <w:num w:numId="11">
    <w:abstractNumId w:val="37"/>
  </w:num>
  <w:num w:numId="12">
    <w:abstractNumId w:val="36"/>
  </w:num>
  <w:num w:numId="13">
    <w:abstractNumId w:val="40"/>
  </w:num>
  <w:num w:numId="14">
    <w:abstractNumId w:val="47"/>
  </w:num>
  <w:num w:numId="15">
    <w:abstractNumId w:val="27"/>
  </w:num>
  <w:num w:numId="16">
    <w:abstractNumId w:val="35"/>
  </w:num>
  <w:num w:numId="17">
    <w:abstractNumId w:val="44"/>
  </w:num>
  <w:num w:numId="18">
    <w:abstractNumId w:val="41"/>
  </w:num>
  <w:num w:numId="19">
    <w:abstractNumId w:val="34"/>
  </w:num>
  <w:num w:numId="20">
    <w:abstractNumId w:val="42"/>
  </w:num>
  <w:num w:numId="21">
    <w:abstractNumId w:val="28"/>
  </w:num>
  <w:num w:numId="2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72"/>
  <w:drawingGridVerticalSpacing w:val="72"/>
  <w:displayHorizontalDrawingGridEvery w:val="0"/>
  <w:displayVerticalDrawingGridEvery w:val="3"/>
  <w:doNotUseMarginsForDrawingGridOrigin/>
  <w:drawingGridHorizontalOrigin w:val="1699"/>
  <w:drawingGridVerticalOrigin w:val="1987"/>
  <w:doNotShadeFormData/>
  <w:characterSpacingControl w:val="compressPunctuation"/>
  <w:footnotePr>
    <w:footnote w:id="-1"/>
    <w:footnote w:id="0"/>
  </w:footnotePr>
  <w:endnotePr>
    <w:endnote w:id="-1"/>
    <w:endnote w:id="0"/>
  </w:endnotePr>
  <w:compat/>
  <w:rsids>
    <w:rsidRoot w:val="001C1E9A"/>
    <w:rsid w:val="0000108C"/>
    <w:rsid w:val="000120CB"/>
    <w:rsid w:val="0005636A"/>
    <w:rsid w:val="0008163A"/>
    <w:rsid w:val="0009071D"/>
    <w:rsid w:val="000A38A5"/>
    <w:rsid w:val="000B683D"/>
    <w:rsid w:val="000C2F38"/>
    <w:rsid w:val="000C6628"/>
    <w:rsid w:val="000D1716"/>
    <w:rsid w:val="000E4637"/>
    <w:rsid w:val="000F116B"/>
    <w:rsid w:val="000F7341"/>
    <w:rsid w:val="00106985"/>
    <w:rsid w:val="00134AB2"/>
    <w:rsid w:val="0014054A"/>
    <w:rsid w:val="00140F09"/>
    <w:rsid w:val="00154F41"/>
    <w:rsid w:val="00155641"/>
    <w:rsid w:val="00155BC9"/>
    <w:rsid w:val="00160424"/>
    <w:rsid w:val="00166248"/>
    <w:rsid w:val="00167F4D"/>
    <w:rsid w:val="001720DF"/>
    <w:rsid w:val="00175BAA"/>
    <w:rsid w:val="00184538"/>
    <w:rsid w:val="001939AB"/>
    <w:rsid w:val="001A510F"/>
    <w:rsid w:val="001B2823"/>
    <w:rsid w:val="001C1E9A"/>
    <w:rsid w:val="001C1F0E"/>
    <w:rsid w:val="001D32A1"/>
    <w:rsid w:val="001D4578"/>
    <w:rsid w:val="001D5921"/>
    <w:rsid w:val="001E24D9"/>
    <w:rsid w:val="001E751B"/>
    <w:rsid w:val="001F08FD"/>
    <w:rsid w:val="001F22CA"/>
    <w:rsid w:val="00205DAE"/>
    <w:rsid w:val="00227850"/>
    <w:rsid w:val="00235F0A"/>
    <w:rsid w:val="00242959"/>
    <w:rsid w:val="00242B50"/>
    <w:rsid w:val="00260A61"/>
    <w:rsid w:val="00261F1F"/>
    <w:rsid w:val="00265AEA"/>
    <w:rsid w:val="002667B2"/>
    <w:rsid w:val="00274237"/>
    <w:rsid w:val="00284D0D"/>
    <w:rsid w:val="002A61C9"/>
    <w:rsid w:val="002B1582"/>
    <w:rsid w:val="002F7D00"/>
    <w:rsid w:val="003053C1"/>
    <w:rsid w:val="00311F2A"/>
    <w:rsid w:val="00321625"/>
    <w:rsid w:val="0032368B"/>
    <w:rsid w:val="00333B13"/>
    <w:rsid w:val="00344729"/>
    <w:rsid w:val="00344850"/>
    <w:rsid w:val="00355037"/>
    <w:rsid w:val="0036089B"/>
    <w:rsid w:val="00364382"/>
    <w:rsid w:val="00374511"/>
    <w:rsid w:val="00391BDD"/>
    <w:rsid w:val="00395DC2"/>
    <w:rsid w:val="00396862"/>
    <w:rsid w:val="003A1F55"/>
    <w:rsid w:val="003A216A"/>
    <w:rsid w:val="003A41CE"/>
    <w:rsid w:val="003A61AA"/>
    <w:rsid w:val="003B03F8"/>
    <w:rsid w:val="003B77A9"/>
    <w:rsid w:val="003C13C7"/>
    <w:rsid w:val="003E0A1D"/>
    <w:rsid w:val="003E1716"/>
    <w:rsid w:val="003E516A"/>
    <w:rsid w:val="003E6232"/>
    <w:rsid w:val="003E6FC7"/>
    <w:rsid w:val="003F3C00"/>
    <w:rsid w:val="003F4D07"/>
    <w:rsid w:val="004017A8"/>
    <w:rsid w:val="00406A85"/>
    <w:rsid w:val="00416D8A"/>
    <w:rsid w:val="00430268"/>
    <w:rsid w:val="00433D8C"/>
    <w:rsid w:val="00445013"/>
    <w:rsid w:val="00464BCD"/>
    <w:rsid w:val="00472B1F"/>
    <w:rsid w:val="00474437"/>
    <w:rsid w:val="00474471"/>
    <w:rsid w:val="00476541"/>
    <w:rsid w:val="004829E0"/>
    <w:rsid w:val="00483872"/>
    <w:rsid w:val="00485F99"/>
    <w:rsid w:val="00486809"/>
    <w:rsid w:val="00496741"/>
    <w:rsid w:val="004A05D1"/>
    <w:rsid w:val="004A0EC5"/>
    <w:rsid w:val="004A5AFB"/>
    <w:rsid w:val="004B3287"/>
    <w:rsid w:val="004B44B3"/>
    <w:rsid w:val="004B4D72"/>
    <w:rsid w:val="004B7E28"/>
    <w:rsid w:val="004C368C"/>
    <w:rsid w:val="004C36C0"/>
    <w:rsid w:val="004D17FA"/>
    <w:rsid w:val="004D34FA"/>
    <w:rsid w:val="004F4530"/>
    <w:rsid w:val="004F5C9B"/>
    <w:rsid w:val="005028B1"/>
    <w:rsid w:val="00506973"/>
    <w:rsid w:val="0051022E"/>
    <w:rsid w:val="00521BC6"/>
    <w:rsid w:val="00527A7D"/>
    <w:rsid w:val="005409AE"/>
    <w:rsid w:val="005416F3"/>
    <w:rsid w:val="00551BE6"/>
    <w:rsid w:val="005520A5"/>
    <w:rsid w:val="00553BD5"/>
    <w:rsid w:val="00554647"/>
    <w:rsid w:val="00556AD6"/>
    <w:rsid w:val="00557D0F"/>
    <w:rsid w:val="00567F90"/>
    <w:rsid w:val="00575C06"/>
    <w:rsid w:val="00575C43"/>
    <w:rsid w:val="00582E06"/>
    <w:rsid w:val="00586A57"/>
    <w:rsid w:val="005B748D"/>
    <w:rsid w:val="005E2237"/>
    <w:rsid w:val="005E5420"/>
    <w:rsid w:val="005F1BF0"/>
    <w:rsid w:val="005F5C61"/>
    <w:rsid w:val="005F6F10"/>
    <w:rsid w:val="006005B2"/>
    <w:rsid w:val="00602E69"/>
    <w:rsid w:val="00610EF7"/>
    <w:rsid w:val="0062519F"/>
    <w:rsid w:val="00643F50"/>
    <w:rsid w:val="00656E12"/>
    <w:rsid w:val="0068340A"/>
    <w:rsid w:val="006903F9"/>
    <w:rsid w:val="006A4D18"/>
    <w:rsid w:val="006B3F12"/>
    <w:rsid w:val="006C5CED"/>
    <w:rsid w:val="006C676F"/>
    <w:rsid w:val="006D0455"/>
    <w:rsid w:val="006D175D"/>
    <w:rsid w:val="006D17DB"/>
    <w:rsid w:val="006D2ABF"/>
    <w:rsid w:val="006E2217"/>
    <w:rsid w:val="006F1EBC"/>
    <w:rsid w:val="006F5AA5"/>
    <w:rsid w:val="00702AEC"/>
    <w:rsid w:val="00706763"/>
    <w:rsid w:val="007212F3"/>
    <w:rsid w:val="0072402A"/>
    <w:rsid w:val="0072552D"/>
    <w:rsid w:val="007267FC"/>
    <w:rsid w:val="00727928"/>
    <w:rsid w:val="007279B2"/>
    <w:rsid w:val="00730ADE"/>
    <w:rsid w:val="00743F2A"/>
    <w:rsid w:val="00753AA4"/>
    <w:rsid w:val="007540EA"/>
    <w:rsid w:val="00757F4C"/>
    <w:rsid w:val="00761670"/>
    <w:rsid w:val="007625CC"/>
    <w:rsid w:val="00767E54"/>
    <w:rsid w:val="007739FA"/>
    <w:rsid w:val="007747E1"/>
    <w:rsid w:val="00781049"/>
    <w:rsid w:val="007872EB"/>
    <w:rsid w:val="007915F5"/>
    <w:rsid w:val="00794E3F"/>
    <w:rsid w:val="007A63D9"/>
    <w:rsid w:val="007B54FB"/>
    <w:rsid w:val="007B6273"/>
    <w:rsid w:val="007C3138"/>
    <w:rsid w:val="007E1D82"/>
    <w:rsid w:val="00807A62"/>
    <w:rsid w:val="00821BAA"/>
    <w:rsid w:val="00823986"/>
    <w:rsid w:val="00825BD3"/>
    <w:rsid w:val="008305E5"/>
    <w:rsid w:val="008329C9"/>
    <w:rsid w:val="00835A40"/>
    <w:rsid w:val="00842E83"/>
    <w:rsid w:val="00861295"/>
    <w:rsid w:val="008619C2"/>
    <w:rsid w:val="00862AAE"/>
    <w:rsid w:val="00871A73"/>
    <w:rsid w:val="0088697A"/>
    <w:rsid w:val="008946B5"/>
    <w:rsid w:val="008A02E5"/>
    <w:rsid w:val="008B7A78"/>
    <w:rsid w:val="008D69E8"/>
    <w:rsid w:val="008E6CCB"/>
    <w:rsid w:val="008F53DF"/>
    <w:rsid w:val="00905AA1"/>
    <w:rsid w:val="00913E86"/>
    <w:rsid w:val="00921711"/>
    <w:rsid w:val="009229A2"/>
    <w:rsid w:val="00934EBD"/>
    <w:rsid w:val="00954688"/>
    <w:rsid w:val="00954E20"/>
    <w:rsid w:val="0096376B"/>
    <w:rsid w:val="00981568"/>
    <w:rsid w:val="00995001"/>
    <w:rsid w:val="009A1BFC"/>
    <w:rsid w:val="009A5B40"/>
    <w:rsid w:val="009A63B1"/>
    <w:rsid w:val="009A779F"/>
    <w:rsid w:val="009C6749"/>
    <w:rsid w:val="009D1B02"/>
    <w:rsid w:val="009D3006"/>
    <w:rsid w:val="009E0FAB"/>
    <w:rsid w:val="009E7006"/>
    <w:rsid w:val="009F0BBD"/>
    <w:rsid w:val="009F2010"/>
    <w:rsid w:val="009F3647"/>
    <w:rsid w:val="009F5628"/>
    <w:rsid w:val="00A14D17"/>
    <w:rsid w:val="00A17001"/>
    <w:rsid w:val="00A32C6A"/>
    <w:rsid w:val="00A35E09"/>
    <w:rsid w:val="00A50E37"/>
    <w:rsid w:val="00A57F07"/>
    <w:rsid w:val="00A60886"/>
    <w:rsid w:val="00A6313B"/>
    <w:rsid w:val="00A726DD"/>
    <w:rsid w:val="00A8199E"/>
    <w:rsid w:val="00A92EAD"/>
    <w:rsid w:val="00A93750"/>
    <w:rsid w:val="00AD3CA0"/>
    <w:rsid w:val="00AF12C9"/>
    <w:rsid w:val="00AF1FC3"/>
    <w:rsid w:val="00AF7600"/>
    <w:rsid w:val="00B10FF6"/>
    <w:rsid w:val="00B3150E"/>
    <w:rsid w:val="00B3229F"/>
    <w:rsid w:val="00B36865"/>
    <w:rsid w:val="00B37480"/>
    <w:rsid w:val="00B42E7D"/>
    <w:rsid w:val="00B47AB6"/>
    <w:rsid w:val="00B528FA"/>
    <w:rsid w:val="00B762F4"/>
    <w:rsid w:val="00B81DEC"/>
    <w:rsid w:val="00B91D74"/>
    <w:rsid w:val="00B93718"/>
    <w:rsid w:val="00B94D1F"/>
    <w:rsid w:val="00B96626"/>
    <w:rsid w:val="00BA3D32"/>
    <w:rsid w:val="00BB41EA"/>
    <w:rsid w:val="00BB696D"/>
    <w:rsid w:val="00BC7691"/>
    <w:rsid w:val="00BD47FD"/>
    <w:rsid w:val="00BE346D"/>
    <w:rsid w:val="00C0432A"/>
    <w:rsid w:val="00C04F0C"/>
    <w:rsid w:val="00C105A1"/>
    <w:rsid w:val="00C33EA0"/>
    <w:rsid w:val="00C36655"/>
    <w:rsid w:val="00C40EAB"/>
    <w:rsid w:val="00C41829"/>
    <w:rsid w:val="00C472E8"/>
    <w:rsid w:val="00C514EF"/>
    <w:rsid w:val="00C64251"/>
    <w:rsid w:val="00C738BA"/>
    <w:rsid w:val="00C77A97"/>
    <w:rsid w:val="00C82946"/>
    <w:rsid w:val="00C84F55"/>
    <w:rsid w:val="00C87615"/>
    <w:rsid w:val="00CA744E"/>
    <w:rsid w:val="00CB366E"/>
    <w:rsid w:val="00CC2238"/>
    <w:rsid w:val="00CC5FCA"/>
    <w:rsid w:val="00CD24D4"/>
    <w:rsid w:val="00CD58AB"/>
    <w:rsid w:val="00D1387D"/>
    <w:rsid w:val="00D169A7"/>
    <w:rsid w:val="00D303EF"/>
    <w:rsid w:val="00D33FBB"/>
    <w:rsid w:val="00D34017"/>
    <w:rsid w:val="00D51A14"/>
    <w:rsid w:val="00D521B0"/>
    <w:rsid w:val="00D5373E"/>
    <w:rsid w:val="00D54DE7"/>
    <w:rsid w:val="00D66554"/>
    <w:rsid w:val="00D70083"/>
    <w:rsid w:val="00D706A2"/>
    <w:rsid w:val="00D71BA0"/>
    <w:rsid w:val="00D7623F"/>
    <w:rsid w:val="00D807C5"/>
    <w:rsid w:val="00D81F04"/>
    <w:rsid w:val="00D90A52"/>
    <w:rsid w:val="00D950B5"/>
    <w:rsid w:val="00DA6BAA"/>
    <w:rsid w:val="00DB63D0"/>
    <w:rsid w:val="00DC13A8"/>
    <w:rsid w:val="00DC1A53"/>
    <w:rsid w:val="00DC49AB"/>
    <w:rsid w:val="00DC5F51"/>
    <w:rsid w:val="00DD0211"/>
    <w:rsid w:val="00DE1020"/>
    <w:rsid w:val="00DE45E9"/>
    <w:rsid w:val="00DF311F"/>
    <w:rsid w:val="00DF63A1"/>
    <w:rsid w:val="00DF6491"/>
    <w:rsid w:val="00E025C1"/>
    <w:rsid w:val="00E064BC"/>
    <w:rsid w:val="00E179F9"/>
    <w:rsid w:val="00E414CF"/>
    <w:rsid w:val="00E5265E"/>
    <w:rsid w:val="00E57773"/>
    <w:rsid w:val="00E76581"/>
    <w:rsid w:val="00E87D65"/>
    <w:rsid w:val="00EA128B"/>
    <w:rsid w:val="00EA57DB"/>
    <w:rsid w:val="00EA748F"/>
    <w:rsid w:val="00EA7C5A"/>
    <w:rsid w:val="00EB2E5C"/>
    <w:rsid w:val="00EC4AF2"/>
    <w:rsid w:val="00EC4FE3"/>
    <w:rsid w:val="00ED1892"/>
    <w:rsid w:val="00EF4584"/>
    <w:rsid w:val="00EF4642"/>
    <w:rsid w:val="00F0510B"/>
    <w:rsid w:val="00F10E61"/>
    <w:rsid w:val="00F1199A"/>
    <w:rsid w:val="00F175EA"/>
    <w:rsid w:val="00F30264"/>
    <w:rsid w:val="00F419BE"/>
    <w:rsid w:val="00F4317B"/>
    <w:rsid w:val="00F432C9"/>
    <w:rsid w:val="00F475B7"/>
    <w:rsid w:val="00F55CB0"/>
    <w:rsid w:val="00F70C2C"/>
    <w:rsid w:val="00F81767"/>
    <w:rsid w:val="00FA047C"/>
    <w:rsid w:val="00FA66E1"/>
    <w:rsid w:val="00FB01C9"/>
    <w:rsid w:val="00FB3943"/>
    <w:rsid w:val="00FB3E80"/>
    <w:rsid w:val="00FD6F05"/>
    <w:rsid w:val="00FE5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5037"/>
    <w:pPr>
      <w:widowControl w:val="0"/>
      <w:autoSpaceDE w:val="0"/>
      <w:autoSpaceDN w:val="0"/>
      <w:adjustRightInd w:val="0"/>
    </w:pPr>
    <w:rPr>
      <w:sz w:val="24"/>
      <w:szCs w:val="24"/>
    </w:rPr>
  </w:style>
  <w:style w:type="paragraph" w:styleId="Heading2">
    <w:name w:val="heading 2"/>
    <w:basedOn w:val="Normal"/>
    <w:next w:val="Normal"/>
    <w:qFormat/>
    <w:rsid w:val="00C40EAB"/>
    <w:pPr>
      <w:outlineLvl w:val="1"/>
    </w:pPr>
    <w:rPr>
      <w:rFonts w:ascii="Courier New" w:hAnsi="Courier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5037"/>
  </w:style>
  <w:style w:type="paragraph" w:customStyle="1" w:styleId="Level1">
    <w:name w:val="Level 1"/>
    <w:basedOn w:val="Normal"/>
    <w:rsid w:val="00355037"/>
    <w:pPr>
      <w:ind w:left="1440" w:hanging="720"/>
    </w:pPr>
  </w:style>
  <w:style w:type="paragraph" w:customStyle="1" w:styleId="a">
    <w:name w:val="_"/>
    <w:basedOn w:val="Normal"/>
    <w:rsid w:val="00355037"/>
    <w:pPr>
      <w:ind w:left="1440" w:hanging="720"/>
    </w:pPr>
  </w:style>
  <w:style w:type="character" w:styleId="Hyperlink">
    <w:name w:val="Hyperlink"/>
    <w:basedOn w:val="DefaultParagraphFont"/>
    <w:rsid w:val="00355037"/>
    <w:rPr>
      <w:color w:val="0000FF"/>
      <w:u w:val="single"/>
    </w:rPr>
  </w:style>
  <w:style w:type="paragraph" w:styleId="BodyTextIndent">
    <w:name w:val="Body Text Indent"/>
    <w:basedOn w:val="Normal"/>
    <w:rsid w:val="00355037"/>
    <w:pPr>
      <w:widowControl/>
      <w:tabs>
        <w:tab w:val="left" w:pos="-1080"/>
      </w:tabs>
      <w:ind w:firstLine="720"/>
    </w:pPr>
  </w:style>
  <w:style w:type="paragraph" w:styleId="Header">
    <w:name w:val="header"/>
    <w:basedOn w:val="Normal"/>
    <w:rsid w:val="00355037"/>
    <w:pPr>
      <w:tabs>
        <w:tab w:val="center" w:pos="4320"/>
        <w:tab w:val="right" w:pos="8640"/>
      </w:tabs>
    </w:pPr>
  </w:style>
  <w:style w:type="character" w:styleId="PageNumber">
    <w:name w:val="page number"/>
    <w:basedOn w:val="DefaultParagraphFont"/>
    <w:rsid w:val="00355037"/>
  </w:style>
  <w:style w:type="paragraph" w:styleId="Footer">
    <w:name w:val="footer"/>
    <w:basedOn w:val="Normal"/>
    <w:rsid w:val="00355037"/>
    <w:pPr>
      <w:tabs>
        <w:tab w:val="center" w:pos="4320"/>
        <w:tab w:val="right" w:pos="8640"/>
      </w:tabs>
    </w:pPr>
  </w:style>
  <w:style w:type="paragraph" w:styleId="BalloonText">
    <w:name w:val="Balloon Text"/>
    <w:basedOn w:val="Normal"/>
    <w:semiHidden/>
    <w:rsid w:val="00355037"/>
    <w:rPr>
      <w:rFonts w:ascii="Tahoma" w:hAnsi="Tahoma" w:cs="Tahoma"/>
      <w:sz w:val="16"/>
      <w:szCs w:val="16"/>
    </w:rPr>
  </w:style>
  <w:style w:type="paragraph" w:styleId="NormalWeb">
    <w:name w:val="Normal (Web)"/>
    <w:basedOn w:val="Normal"/>
    <w:rsid w:val="00355037"/>
    <w:pPr>
      <w:widowControl/>
      <w:autoSpaceDE/>
      <w:autoSpaceDN/>
      <w:adjustRightInd/>
      <w:spacing w:before="100" w:beforeAutospacing="1" w:after="100" w:afterAutospacing="1"/>
    </w:pPr>
  </w:style>
  <w:style w:type="paragraph" w:customStyle="1" w:styleId="Default">
    <w:name w:val="Default"/>
    <w:rsid w:val="0034485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861295"/>
    <w:rPr>
      <w:sz w:val="16"/>
      <w:szCs w:val="16"/>
    </w:rPr>
  </w:style>
  <w:style w:type="paragraph" w:styleId="CommentText">
    <w:name w:val="annotation text"/>
    <w:basedOn w:val="Normal"/>
    <w:semiHidden/>
    <w:rsid w:val="00861295"/>
    <w:rPr>
      <w:sz w:val="20"/>
      <w:szCs w:val="20"/>
    </w:rPr>
  </w:style>
  <w:style w:type="paragraph" w:styleId="CommentSubject">
    <w:name w:val="annotation subject"/>
    <w:basedOn w:val="CommentText"/>
    <w:next w:val="CommentText"/>
    <w:semiHidden/>
    <w:rsid w:val="00861295"/>
    <w:rPr>
      <w:b/>
      <w:bCs/>
    </w:rPr>
  </w:style>
  <w:style w:type="table" w:styleId="TableGrid">
    <w:name w:val="Table Grid"/>
    <w:basedOn w:val="TableNormal"/>
    <w:uiPriority w:val="59"/>
    <w:rsid w:val="00235F0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4921153">
      <w:bodyDiv w:val="1"/>
      <w:marLeft w:val="0"/>
      <w:marRight w:val="0"/>
      <w:marTop w:val="0"/>
      <w:marBottom w:val="0"/>
      <w:divBdr>
        <w:top w:val="none" w:sz="0" w:space="0" w:color="auto"/>
        <w:left w:val="none" w:sz="0" w:space="0" w:color="auto"/>
        <w:bottom w:val="none" w:sz="0" w:space="0" w:color="auto"/>
        <w:right w:val="none" w:sz="0" w:space="0" w:color="auto"/>
      </w:divBdr>
    </w:div>
    <w:div w:id="1436051343">
      <w:bodyDiv w:val="1"/>
      <w:marLeft w:val="0"/>
      <w:marRight w:val="0"/>
      <w:marTop w:val="0"/>
      <w:marBottom w:val="0"/>
      <w:divBdr>
        <w:top w:val="none" w:sz="0" w:space="0" w:color="auto"/>
        <w:left w:val="none" w:sz="0" w:space="0" w:color="auto"/>
        <w:bottom w:val="none" w:sz="0" w:space="0" w:color="auto"/>
        <w:right w:val="none" w:sz="0" w:space="0" w:color="auto"/>
      </w:divBdr>
    </w:div>
    <w:div w:id="1589733261">
      <w:bodyDiv w:val="1"/>
      <w:marLeft w:val="0"/>
      <w:marRight w:val="0"/>
      <w:marTop w:val="0"/>
      <w:marBottom w:val="0"/>
      <w:divBdr>
        <w:top w:val="none" w:sz="0" w:space="0" w:color="auto"/>
        <w:left w:val="none" w:sz="0" w:space="0" w:color="auto"/>
        <w:bottom w:val="none" w:sz="0" w:space="0" w:color="auto"/>
        <w:right w:val="none" w:sz="0" w:space="0" w:color="auto"/>
      </w:divBdr>
    </w:div>
    <w:div w:id="1640453648">
      <w:bodyDiv w:val="1"/>
      <w:marLeft w:val="0"/>
      <w:marRight w:val="0"/>
      <w:marTop w:val="0"/>
      <w:marBottom w:val="0"/>
      <w:divBdr>
        <w:top w:val="none" w:sz="0" w:space="0" w:color="auto"/>
        <w:left w:val="none" w:sz="0" w:space="0" w:color="auto"/>
        <w:bottom w:val="none" w:sz="0" w:space="0" w:color="auto"/>
        <w:right w:val="none" w:sz="0" w:space="0" w:color="auto"/>
      </w:divBdr>
    </w:div>
    <w:div w:id="1765105910">
      <w:bodyDiv w:val="1"/>
      <w:marLeft w:val="0"/>
      <w:marRight w:val="0"/>
      <w:marTop w:val="0"/>
      <w:marBottom w:val="0"/>
      <w:divBdr>
        <w:top w:val="none" w:sz="0" w:space="0" w:color="auto"/>
        <w:left w:val="none" w:sz="0" w:space="0" w:color="auto"/>
        <w:bottom w:val="none" w:sz="0" w:space="0" w:color="auto"/>
        <w:right w:val="none" w:sz="0" w:space="0" w:color="auto"/>
      </w:divBdr>
    </w:div>
    <w:div w:id="20997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B174F-1132-49F6-831F-92486A95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ckerwin</cp:lastModifiedBy>
  <cp:revision>2</cp:revision>
  <cp:lastPrinted>2008-08-22T13:59:00Z</cp:lastPrinted>
  <dcterms:created xsi:type="dcterms:W3CDTF">2012-03-13T14:10:00Z</dcterms:created>
  <dcterms:modified xsi:type="dcterms:W3CDTF">2012-03-13T14:10:00Z</dcterms:modified>
</cp:coreProperties>
</file>