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3F" w:rsidRDefault="00C05C3F" w:rsidP="00965DB8">
      <w:pPr>
        <w:suppressAutoHyphens/>
        <w:jc w:val="center"/>
        <w:rPr>
          <w:rFonts w:ascii="Times New Roman" w:hAnsi="Times New Roman"/>
        </w:rPr>
      </w:pPr>
      <w:r>
        <w:rPr>
          <w:rFonts w:ascii="Times New Roman" w:hAnsi="Times New Roman"/>
        </w:rPr>
        <w:t>SUPPORTING STATEMENT FOR NEW AND REVISED INFORMATION COLLECTIONS</w:t>
      </w:r>
      <w:r w:rsidR="00190283">
        <w:rPr>
          <w:rFonts w:ascii="Times New Roman" w:hAnsi="Times New Roman"/>
        </w:rPr>
        <w:fldChar w:fldCharType="begin"/>
      </w:r>
      <w:r>
        <w:rPr>
          <w:rFonts w:ascii="Times New Roman" w:hAnsi="Times New Roman"/>
        </w:rPr>
        <w:instrText xml:space="preserve">PRIVATE </w:instrText>
      </w:r>
      <w:r w:rsidR="00190283">
        <w:rPr>
          <w:rFonts w:ascii="Times New Roman" w:hAnsi="Times New Roman"/>
        </w:rPr>
        <w:fldChar w:fldCharType="end"/>
      </w:r>
    </w:p>
    <w:p w:rsidR="00C05C3F" w:rsidRDefault="00C05C3F" w:rsidP="00C05C3F">
      <w:pPr>
        <w:suppressAutoHyphens/>
        <w:rPr>
          <w:rFonts w:ascii="Times New Roman" w:hAnsi="Times New Roman"/>
        </w:rPr>
      </w:pPr>
    </w:p>
    <w:p w:rsidR="00C05C3F" w:rsidRDefault="00C05C3F" w:rsidP="00C05C3F">
      <w:pPr>
        <w:tabs>
          <w:tab w:val="center" w:pos="4680"/>
        </w:tabs>
        <w:suppressAutoHyphens/>
        <w:rPr>
          <w:rFonts w:ascii="Times New Roman" w:hAnsi="Times New Roman"/>
        </w:rPr>
      </w:pPr>
      <w:r>
        <w:rPr>
          <w:rFonts w:ascii="Times New Roman" w:hAnsi="Times New Roman"/>
        </w:rPr>
        <w:tab/>
        <w:t>OMB CONTROL NUMBER 3038-</w:t>
      </w:r>
      <w:r w:rsidR="002F6957">
        <w:rPr>
          <w:rFonts w:ascii="Times New Roman" w:hAnsi="Times New Roman"/>
        </w:rPr>
        <w:t>0093</w:t>
      </w:r>
      <w:bookmarkStart w:id="0" w:name="_GoBack"/>
      <w:bookmarkEnd w:id="0"/>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u w:val="single"/>
        </w:rPr>
        <w:t>Justification</w:t>
      </w:r>
    </w:p>
    <w:p w:rsidR="00C05C3F" w:rsidRDefault="00C05C3F" w:rsidP="00C05C3F">
      <w:pPr>
        <w:tabs>
          <w:tab w:val="left" w:pos="-720"/>
        </w:tabs>
        <w:suppressAutoHyphens/>
        <w:rPr>
          <w:rFonts w:ascii="Times New Roman" w:hAnsi="Times New Roman"/>
        </w:rPr>
      </w:pPr>
    </w:p>
    <w:p w:rsidR="00C05C3F" w:rsidRDefault="00C05C3F" w:rsidP="00C05C3F">
      <w:pPr>
        <w:numPr>
          <w:ilvl w:val="0"/>
          <w:numId w:val="1"/>
        </w:numPr>
        <w:tabs>
          <w:tab w:val="left" w:pos="-720"/>
          <w:tab w:val="left" w:pos="0"/>
        </w:tabs>
        <w:suppressAutoHyphens/>
        <w:rPr>
          <w:rFonts w:ascii="Times New Roman" w:hAnsi="Times New Roman"/>
        </w:rPr>
      </w:pPr>
      <w:r>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5C3F" w:rsidRDefault="00C05C3F" w:rsidP="00C05C3F">
      <w:pPr>
        <w:tabs>
          <w:tab w:val="left" w:pos="-720"/>
          <w:tab w:val="left" w:pos="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r>
      <w:r w:rsidRPr="005A77F3">
        <w:rPr>
          <w:rFonts w:ascii="Times New Roman" w:hAnsi="Times New Roman"/>
        </w:rPr>
        <w:t>On July 21, 2010, the Dodd-Frank Wall Street Reform and Consumer Protection Act (</w:t>
      </w:r>
      <w:r>
        <w:rPr>
          <w:rFonts w:ascii="Times New Roman" w:hAnsi="Times New Roman"/>
        </w:rPr>
        <w:t>“</w:t>
      </w:r>
      <w:r w:rsidRPr="005A77F3">
        <w:rPr>
          <w:rFonts w:ascii="Times New Roman" w:hAnsi="Times New Roman"/>
        </w:rPr>
        <w:t>Dodd-Frank Act</w:t>
      </w:r>
      <w:r>
        <w:rPr>
          <w:rFonts w:ascii="Times New Roman" w:hAnsi="Times New Roman"/>
        </w:rPr>
        <w:t>”</w:t>
      </w:r>
      <w:r w:rsidRPr="005A77F3">
        <w:rPr>
          <w:rFonts w:ascii="Times New Roman" w:hAnsi="Times New Roman"/>
        </w:rPr>
        <w:t>)</w:t>
      </w:r>
      <w:r>
        <w:rPr>
          <w:rFonts w:ascii="Times New Roman" w:hAnsi="Times New Roman"/>
        </w:rPr>
        <w:t xml:space="preserve"> was enacted.</w:t>
      </w:r>
      <w:r>
        <w:rPr>
          <w:rStyle w:val="FootnoteReference"/>
          <w:rFonts w:ascii="Times New Roman" w:hAnsi="Times New Roman"/>
        </w:rPr>
        <w:footnoteReference w:id="1"/>
      </w:r>
      <w:r>
        <w:rPr>
          <w:rFonts w:ascii="Times New Roman" w:hAnsi="Times New Roman"/>
        </w:rPr>
        <w:t xml:space="preserve"> Title VII of the Dodd-Frank Act amends the Commodity Exchange Act (“CEA”).</w:t>
      </w:r>
      <w:r>
        <w:rPr>
          <w:rStyle w:val="FootnoteReference"/>
          <w:rFonts w:ascii="Times New Roman" w:hAnsi="Times New Roman"/>
        </w:rPr>
        <w:footnoteReference w:id="2"/>
      </w:r>
      <w:r>
        <w:rPr>
          <w:rFonts w:ascii="Times New Roman" w:hAnsi="Times New Roman"/>
        </w:rPr>
        <w:t xml:space="preserve">  Section 745 of the Dodd-Frank Act allows registered entities to list new contracts and approve and implement new rules or rule amendments by prov</w:t>
      </w:r>
      <w:r w:rsidR="00375F0C">
        <w:rPr>
          <w:rFonts w:ascii="Times New Roman" w:hAnsi="Times New Roman"/>
        </w:rPr>
        <w:t xml:space="preserve">iding </w:t>
      </w:r>
      <w:r>
        <w:rPr>
          <w:rFonts w:ascii="Times New Roman" w:hAnsi="Times New Roman"/>
        </w:rPr>
        <w:t>to the Commodity Futures Trading Commission (“CFTC” or “Commission”) a written certification that the new contract, rule, or rule amendment complies with the CEA.</w:t>
      </w:r>
      <w:r w:rsidR="00375F0C">
        <w:rPr>
          <w:rFonts w:ascii="Times New Roman" w:hAnsi="Times New Roman"/>
        </w:rPr>
        <w:t xml:space="preserve">  Section 745 grants the Commission the authority to stay the certification for up to 90 days when it determines that there exists novel or complex issues that require additional time to analyze, an inadequate explanation by the submitting registered entity, or a potential inconsistency with the CEA or its regulations.</w:t>
      </w:r>
    </w:p>
    <w:p w:rsidR="00375F0C" w:rsidRDefault="00375F0C" w:rsidP="00C05C3F">
      <w:pPr>
        <w:tabs>
          <w:tab w:val="left" w:pos="-720"/>
        </w:tabs>
        <w:suppressAutoHyphens/>
        <w:rPr>
          <w:rFonts w:ascii="Times New Roman" w:hAnsi="Times New Roman"/>
        </w:rPr>
      </w:pPr>
    </w:p>
    <w:p w:rsidR="00C05C3F" w:rsidRDefault="00375F0C" w:rsidP="00C05C3F">
      <w:pPr>
        <w:tabs>
          <w:tab w:val="left" w:pos="-720"/>
        </w:tabs>
        <w:suppressAutoHyphens/>
        <w:rPr>
          <w:rFonts w:ascii="Times New Roman" w:hAnsi="Times New Roman"/>
        </w:rPr>
      </w:pPr>
      <w:r>
        <w:rPr>
          <w:rFonts w:ascii="Times New Roman" w:hAnsi="Times New Roman"/>
        </w:rPr>
        <w:tab/>
        <w:t>When the Commission stays a rule under the procedure described above, it must provide no less than a 30-day public comment period within the 90-day period</w:t>
      </w:r>
      <w:r w:rsidR="00CA05F2">
        <w:rPr>
          <w:rFonts w:ascii="Times New Roman" w:hAnsi="Times New Roman"/>
        </w:rPr>
        <w:t xml:space="preserve"> in which the stay is in effect.  The Commission intends to request that public comments under this section be collected through its website.  The collection of public comments in this manner is a new collection of information for which the Commission is now seeking an OMB control number.</w:t>
      </w:r>
    </w:p>
    <w:p w:rsidR="00CA05F2" w:rsidRDefault="00CA05F2" w:rsidP="00C05C3F">
      <w:pPr>
        <w:tabs>
          <w:tab w:val="left" w:pos="-720"/>
        </w:tabs>
        <w:suppressAutoHyphens/>
        <w:rPr>
          <w:rFonts w:ascii="Times New Roman" w:hAnsi="Times New Roman"/>
        </w:rPr>
      </w:pPr>
    </w:p>
    <w:p w:rsidR="00CA05F2" w:rsidRDefault="00CA05F2" w:rsidP="00C05C3F">
      <w:pPr>
        <w:tabs>
          <w:tab w:val="left" w:pos="-720"/>
        </w:tabs>
        <w:suppressAutoHyphens/>
        <w:rPr>
          <w:rFonts w:ascii="Times New Roman" w:hAnsi="Times New Roman"/>
        </w:rPr>
      </w:pPr>
      <w:r>
        <w:rPr>
          <w:rFonts w:ascii="Times New Roman" w:hAnsi="Times New Roman"/>
        </w:rPr>
        <w:tab/>
        <w:t>The estimated numbers of respondents and projected total annual responses and average number of hours per response are provided in Attachment A.</w:t>
      </w:r>
    </w:p>
    <w:p w:rsidR="00C05C3F" w:rsidRDefault="00C05C3F" w:rsidP="00C05C3F">
      <w:pPr>
        <w:tabs>
          <w:tab w:val="left" w:pos="-720"/>
        </w:tabs>
        <w:suppressAutoHyphens/>
        <w:rPr>
          <w:rFonts w:ascii="Times New Roman" w:hAnsi="Times New Roman"/>
        </w:rPr>
      </w:pPr>
    </w:p>
    <w:p w:rsidR="00C05C3F" w:rsidRDefault="00C05C3F" w:rsidP="00C05C3F">
      <w:pPr>
        <w:numPr>
          <w:ilvl w:val="0"/>
          <w:numId w:val="1"/>
        </w:numPr>
        <w:tabs>
          <w:tab w:val="left" w:pos="-720"/>
        </w:tabs>
        <w:suppressAutoHyphens/>
        <w:rPr>
          <w:rFonts w:ascii="Times New Roman" w:hAnsi="Times New Roman"/>
        </w:rPr>
      </w:pPr>
      <w:r w:rsidRPr="00E93E1C">
        <w:rPr>
          <w:rFonts w:ascii="Times New Roman" w:hAnsi="Times New Roman"/>
          <w:szCs w:val="24"/>
          <w:u w:val="single"/>
        </w:rPr>
        <w:t>Indicate how, by whom, and for what purpose the data would be used.  Except for a new collection, indicate the actual us</w:t>
      </w:r>
      <w:r w:rsidRPr="00E93E1C">
        <w:rPr>
          <w:rFonts w:ascii="Times New Roman" w:hAnsi="Times New Roman"/>
          <w:u w:val="single"/>
        </w:rPr>
        <w:t>e</w:t>
      </w:r>
      <w:r>
        <w:rPr>
          <w:rFonts w:ascii="Times New Roman" w:hAnsi="Times New Roman"/>
          <w:u w:val="single"/>
        </w:rPr>
        <w:t xml:space="preserve"> the agency has made of the information received from the current collection</w:t>
      </w:r>
      <w:r>
        <w:rPr>
          <w:rFonts w:ascii="Times New Roman" w:hAnsi="Times New Roman"/>
        </w:rPr>
        <w:t>.</w:t>
      </w:r>
    </w:p>
    <w:p w:rsidR="00C05C3F" w:rsidRDefault="00C05C3F" w:rsidP="00C05C3F">
      <w:pPr>
        <w:tabs>
          <w:tab w:val="left" w:pos="-720"/>
        </w:tabs>
        <w:suppressAutoHyphens/>
        <w:rPr>
          <w:rFonts w:ascii="Times New Roman" w:hAnsi="Times New Roman"/>
        </w:rPr>
      </w:pPr>
    </w:p>
    <w:p w:rsidR="00127E98" w:rsidRDefault="00C05C3F" w:rsidP="00C05C3F">
      <w:pPr>
        <w:tabs>
          <w:tab w:val="left" w:pos="-720"/>
        </w:tabs>
        <w:suppressAutoHyphens/>
        <w:rPr>
          <w:rFonts w:ascii="Times New Roman" w:hAnsi="Times New Roman"/>
        </w:rPr>
      </w:pPr>
      <w:r>
        <w:rPr>
          <w:rFonts w:ascii="Times New Roman" w:hAnsi="Times New Roman"/>
        </w:rPr>
        <w:tab/>
      </w:r>
      <w:r w:rsidR="00CA05F2">
        <w:rPr>
          <w:rFonts w:ascii="Times New Roman" w:hAnsi="Times New Roman"/>
        </w:rPr>
        <w:t>Section 745</w:t>
      </w:r>
      <w:r>
        <w:rPr>
          <w:rFonts w:ascii="Times New Roman" w:hAnsi="Times New Roman"/>
        </w:rPr>
        <w:t xml:space="preserve"> of the Dodd-Frank Act </w:t>
      </w:r>
      <w:r w:rsidR="00127E98">
        <w:rPr>
          <w:rFonts w:ascii="Times New Roman" w:hAnsi="Times New Roman"/>
        </w:rPr>
        <w:t>requires the Commission to allow a 30-day public comment when it stays a rule or rule amendment because it has determined that the rule or rule amendment presents a novel or complex issue that requires additional time to analyze, an inadequate explanation by the submitting registered entity, or there is a potential inconsistency with the CEA.  The Commission will use the information submitted though the public comments to aid it in determining whether the rule certification complies with the CEA.</w:t>
      </w:r>
    </w:p>
    <w:p w:rsidR="00127E98" w:rsidRDefault="00127E98" w:rsidP="00C05C3F">
      <w:pPr>
        <w:tabs>
          <w:tab w:val="left" w:pos="-720"/>
        </w:tabs>
        <w:suppressAutoHyphens/>
        <w:rPr>
          <w:rFonts w:ascii="Times New Roman" w:hAnsi="Times New Roman"/>
        </w:rPr>
      </w:pPr>
    </w:p>
    <w:p w:rsidR="00C05C3F" w:rsidRDefault="00C05C3F" w:rsidP="00C05C3F">
      <w:pPr>
        <w:numPr>
          <w:ilvl w:val="0"/>
          <w:numId w:val="1"/>
        </w:numPr>
        <w:tabs>
          <w:tab w:val="left" w:pos="-720"/>
          <w:tab w:val="left" w:pos="0"/>
        </w:tabs>
        <w:suppressAutoHyphens/>
        <w:rPr>
          <w:rFonts w:ascii="Times New Roman" w:hAnsi="Times New Roman"/>
          <w:u w:val="single"/>
        </w:rPr>
      </w:pPr>
      <w:r>
        <w:rPr>
          <w:rFonts w:ascii="Times New Roman" w:hAnsi="Times New Roman"/>
          <w:u w:val="single"/>
        </w:rPr>
        <w:lastRenderedPageBreak/>
        <w:t xml:space="preserve">Describe whether, and to what extent, the collection of information involves the use of automated, electronic, mechanical, or other technological collection techniques or other forms of information technology, </w:t>
      </w:r>
      <w:r w:rsidRPr="00ED3A7E">
        <w:rPr>
          <w:rFonts w:ascii="Times New Roman" w:hAnsi="Times New Roman"/>
          <w:i/>
          <w:u w:val="single"/>
        </w:rPr>
        <w:t>e.g.</w:t>
      </w:r>
      <w:r>
        <w:rPr>
          <w:rFonts w:ascii="Times New Roman" w:hAnsi="Times New Roman"/>
          <w:u w:val="single"/>
        </w:rPr>
        <w:t>, permitting electronic submission of responses, and the basis for the decision for adopting this means of collection.  Also describe any consideration of using information technology to reduce burden.</w:t>
      </w:r>
    </w:p>
    <w:p w:rsidR="00C05C3F" w:rsidRDefault="00C05C3F" w:rsidP="00C05C3F">
      <w:pPr>
        <w:tabs>
          <w:tab w:val="left" w:pos="-720"/>
          <w:tab w:val="left" w:pos="0"/>
        </w:tabs>
        <w:suppressAutoHyphens/>
        <w:rPr>
          <w:rFonts w:ascii="Times New Roman" w:hAnsi="Times New Roman"/>
          <w:u w:val="single"/>
        </w:rPr>
      </w:pPr>
    </w:p>
    <w:p w:rsidR="00C05C3F" w:rsidRPr="00032D9E" w:rsidRDefault="00C05C3F" w:rsidP="007750CE">
      <w:pPr>
        <w:tabs>
          <w:tab w:val="left" w:pos="-720"/>
          <w:tab w:val="left" w:pos="0"/>
        </w:tabs>
        <w:suppressAutoHyphens/>
        <w:ind w:left="720"/>
        <w:rPr>
          <w:rFonts w:ascii="Times New Roman" w:hAnsi="Times New Roman"/>
        </w:rPr>
      </w:pPr>
      <w:r>
        <w:rPr>
          <w:rFonts w:ascii="Times New Roman" w:hAnsi="Times New Roman"/>
        </w:rPr>
        <w:t xml:space="preserve">The </w:t>
      </w:r>
      <w:r w:rsidR="007750CE">
        <w:rPr>
          <w:rFonts w:ascii="Times New Roman" w:hAnsi="Times New Roman"/>
        </w:rPr>
        <w:t>collection of public comments through the Commission’s website</w:t>
      </w:r>
      <w:r>
        <w:rPr>
          <w:rFonts w:ascii="Times New Roman" w:hAnsi="Times New Roman"/>
        </w:rPr>
        <w:t xml:space="preserve"> contemplates the use of certain electronic collection protocols such</w:t>
      </w:r>
      <w:r w:rsidR="007750CE">
        <w:rPr>
          <w:rFonts w:ascii="Times New Roman" w:hAnsi="Times New Roman"/>
        </w:rPr>
        <w:t xml:space="preserve"> </w:t>
      </w:r>
      <w:r>
        <w:rPr>
          <w:rFonts w:ascii="Times New Roman" w:hAnsi="Times New Roman"/>
        </w:rPr>
        <w:t>as e-mail</w:t>
      </w:r>
      <w:r w:rsidR="007750CE">
        <w:rPr>
          <w:rFonts w:ascii="Times New Roman" w:hAnsi="Times New Roman"/>
        </w:rPr>
        <w:t>.  Members of the public who wish to comment on a stay may also submit those comments through a hard copy.</w:t>
      </w:r>
    </w:p>
    <w:p w:rsidR="00C05C3F" w:rsidRDefault="00C05C3F" w:rsidP="00C05C3F">
      <w:pPr>
        <w:tabs>
          <w:tab w:val="left" w:pos="-720"/>
        </w:tabs>
        <w:suppressAutoHyphens/>
        <w:rPr>
          <w:rFonts w:ascii="Times New Roman" w:hAnsi="Times New Roman"/>
        </w:rPr>
      </w:pPr>
    </w:p>
    <w:p w:rsidR="00C05C3F" w:rsidRDefault="00C05C3F" w:rsidP="00C05C3F">
      <w:pPr>
        <w:numPr>
          <w:ilvl w:val="0"/>
          <w:numId w:val="1"/>
        </w:numPr>
        <w:tabs>
          <w:tab w:val="left" w:pos="-720"/>
          <w:tab w:val="left" w:pos="0"/>
        </w:tabs>
        <w:suppressAutoHyphens/>
        <w:rPr>
          <w:rFonts w:ascii="Times New Roman" w:hAnsi="Times New Roman"/>
        </w:rPr>
      </w:pP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C05C3F" w:rsidRDefault="00C05C3F" w:rsidP="00C05C3F">
      <w:pPr>
        <w:tabs>
          <w:tab w:val="left" w:pos="-720"/>
          <w:tab w:val="left" w:pos="0"/>
        </w:tabs>
        <w:suppressAutoHyphens/>
        <w:rPr>
          <w:rFonts w:ascii="Times New Roman" w:hAnsi="Times New Roman"/>
        </w:rPr>
      </w:pPr>
    </w:p>
    <w:p w:rsidR="007750CE" w:rsidRDefault="007750CE" w:rsidP="007750CE">
      <w:pPr>
        <w:tabs>
          <w:tab w:val="left" w:pos="-720"/>
        </w:tabs>
        <w:suppressAutoHyphens/>
        <w:rPr>
          <w:rFonts w:ascii="Times New Roman" w:hAnsi="Times New Roman"/>
        </w:rPr>
      </w:pPr>
      <w:r>
        <w:rPr>
          <w:rFonts w:ascii="Times New Roman" w:hAnsi="Times New Roman"/>
        </w:rPr>
        <w:tab/>
        <w:t>The current regulations of the Commission do not require a 30-day public comment period for rules that are stayed.  The Dodd-Frank Act amends the CEA to add this requirement.  Accordingly, there are no existing regulations that could be modified to serve a similar purpose.</w:t>
      </w:r>
    </w:p>
    <w:p w:rsidR="00C05C3F" w:rsidRDefault="00C05C3F" w:rsidP="00C05C3F">
      <w:pPr>
        <w:tabs>
          <w:tab w:val="left" w:pos="-720"/>
        </w:tabs>
        <w:suppressAutoHyphens/>
        <w:rPr>
          <w:rFonts w:ascii="Times New Roman" w:hAnsi="Times New Roman"/>
        </w:rPr>
      </w:pPr>
    </w:p>
    <w:p w:rsidR="00C05C3F" w:rsidRDefault="00C05C3F" w:rsidP="00C05C3F">
      <w:pPr>
        <w:numPr>
          <w:ilvl w:val="0"/>
          <w:numId w:val="1"/>
        </w:numPr>
        <w:tabs>
          <w:tab w:val="left" w:pos="-720"/>
          <w:tab w:val="left" w:pos="0"/>
        </w:tabs>
        <w:suppressAutoHyphens/>
        <w:rPr>
          <w:rFonts w:ascii="Times New Roman" w:hAnsi="Times New Roman"/>
        </w:rPr>
      </w:pP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 xml:space="preserve">.  </w:t>
      </w:r>
    </w:p>
    <w:p w:rsidR="00C05C3F" w:rsidRDefault="00C05C3F" w:rsidP="00C05C3F">
      <w:pPr>
        <w:tabs>
          <w:tab w:val="left" w:pos="-720"/>
          <w:tab w:val="left" w:pos="0"/>
        </w:tabs>
        <w:suppressAutoHyphens/>
        <w:rPr>
          <w:rFonts w:ascii="Times New Roman" w:hAnsi="Times New Roman"/>
        </w:rPr>
      </w:pPr>
    </w:p>
    <w:p w:rsidR="00C05C3F" w:rsidRDefault="00482A98" w:rsidP="00482A98">
      <w:pPr>
        <w:autoSpaceDE w:val="0"/>
        <w:autoSpaceDN w:val="0"/>
        <w:adjustRightInd w:val="0"/>
        <w:ind w:firstLine="720"/>
        <w:rPr>
          <w:rFonts w:ascii="Times New Roman" w:eastAsiaTheme="minorHAnsi" w:hAnsi="Times New Roman"/>
          <w:szCs w:val="24"/>
        </w:rPr>
      </w:pPr>
      <w:r w:rsidRPr="00482A98">
        <w:rPr>
          <w:rFonts w:ascii="Times New Roman" w:eastAsiaTheme="minorHAnsi" w:hAnsi="Times New Roman"/>
          <w:szCs w:val="24"/>
        </w:rPr>
        <w:t>The requirements for the self</w:t>
      </w:r>
      <w:r>
        <w:rPr>
          <w:rFonts w:ascii="Times New Roman" w:eastAsiaTheme="minorHAnsi" w:hAnsi="Times New Roman"/>
          <w:szCs w:val="24"/>
        </w:rPr>
        <w:t xml:space="preserve"> </w:t>
      </w:r>
      <w:r w:rsidRPr="00482A98">
        <w:rPr>
          <w:rFonts w:ascii="Times New Roman" w:eastAsiaTheme="minorHAnsi" w:hAnsi="Times New Roman"/>
          <w:szCs w:val="24"/>
        </w:rPr>
        <w:t>certification</w:t>
      </w:r>
      <w:r>
        <w:rPr>
          <w:rFonts w:ascii="Times New Roman" w:eastAsiaTheme="minorHAnsi" w:hAnsi="Times New Roman"/>
          <w:szCs w:val="24"/>
        </w:rPr>
        <w:t xml:space="preserve"> </w:t>
      </w:r>
      <w:r w:rsidRPr="00482A98">
        <w:rPr>
          <w:rFonts w:ascii="Times New Roman" w:eastAsiaTheme="minorHAnsi" w:hAnsi="Times New Roman"/>
          <w:szCs w:val="24"/>
        </w:rPr>
        <w:t>are not complex, and may</w:t>
      </w:r>
      <w:r>
        <w:rPr>
          <w:rFonts w:ascii="Times New Roman" w:eastAsiaTheme="minorHAnsi" w:hAnsi="Times New Roman"/>
          <w:szCs w:val="24"/>
        </w:rPr>
        <w:t xml:space="preserve"> </w:t>
      </w:r>
      <w:r w:rsidRPr="00482A98">
        <w:rPr>
          <w:rFonts w:ascii="Times New Roman" w:eastAsiaTheme="minorHAnsi" w:hAnsi="Times New Roman"/>
          <w:szCs w:val="24"/>
        </w:rPr>
        <w:t xml:space="preserve">be satisfied by the </w:t>
      </w:r>
      <w:r>
        <w:rPr>
          <w:rFonts w:ascii="Times New Roman" w:eastAsiaTheme="minorHAnsi" w:hAnsi="Times New Roman"/>
          <w:szCs w:val="24"/>
        </w:rPr>
        <w:t>c</w:t>
      </w:r>
      <w:r w:rsidRPr="00482A98">
        <w:rPr>
          <w:rFonts w:ascii="Times New Roman" w:eastAsiaTheme="minorHAnsi" w:hAnsi="Times New Roman"/>
          <w:szCs w:val="24"/>
        </w:rPr>
        <w:t>ompletion of a cover</w:t>
      </w:r>
      <w:r>
        <w:rPr>
          <w:rFonts w:ascii="Times New Roman" w:eastAsiaTheme="minorHAnsi" w:hAnsi="Times New Roman"/>
          <w:szCs w:val="24"/>
        </w:rPr>
        <w:t xml:space="preserve"> </w:t>
      </w:r>
      <w:r w:rsidRPr="00482A98">
        <w:rPr>
          <w:rFonts w:ascii="Times New Roman" w:eastAsiaTheme="minorHAnsi" w:hAnsi="Times New Roman"/>
          <w:szCs w:val="24"/>
        </w:rPr>
        <w:t>sheet with a detailed explanation of the</w:t>
      </w:r>
      <w:r>
        <w:rPr>
          <w:rFonts w:ascii="Times New Roman" w:eastAsiaTheme="minorHAnsi" w:hAnsi="Times New Roman"/>
          <w:szCs w:val="24"/>
        </w:rPr>
        <w:t xml:space="preserve"> </w:t>
      </w:r>
      <w:r w:rsidRPr="00482A98">
        <w:rPr>
          <w:rFonts w:ascii="Times New Roman" w:eastAsiaTheme="minorHAnsi" w:hAnsi="Times New Roman"/>
          <w:szCs w:val="24"/>
        </w:rPr>
        <w:t>filing. These self-certification rules will</w:t>
      </w:r>
      <w:r>
        <w:rPr>
          <w:rFonts w:ascii="Times New Roman" w:eastAsiaTheme="minorHAnsi" w:hAnsi="Times New Roman"/>
          <w:szCs w:val="24"/>
        </w:rPr>
        <w:t xml:space="preserve"> </w:t>
      </w:r>
      <w:r w:rsidRPr="00482A98">
        <w:rPr>
          <w:rFonts w:ascii="Times New Roman" w:eastAsiaTheme="minorHAnsi" w:hAnsi="Times New Roman"/>
          <w:szCs w:val="24"/>
        </w:rPr>
        <w:t>not impose a significant economic</w:t>
      </w:r>
      <w:r>
        <w:rPr>
          <w:rFonts w:ascii="Times New Roman" w:eastAsiaTheme="minorHAnsi" w:hAnsi="Times New Roman"/>
          <w:szCs w:val="24"/>
        </w:rPr>
        <w:t xml:space="preserve"> </w:t>
      </w:r>
      <w:r w:rsidRPr="00482A98">
        <w:rPr>
          <w:rFonts w:ascii="Times New Roman" w:eastAsiaTheme="minorHAnsi" w:hAnsi="Times New Roman"/>
          <w:szCs w:val="24"/>
        </w:rPr>
        <w:t>impact on any entity.</w:t>
      </w:r>
    </w:p>
    <w:p w:rsidR="00482A98" w:rsidRPr="00482A98" w:rsidRDefault="00482A98" w:rsidP="00482A98">
      <w:pPr>
        <w:autoSpaceDE w:val="0"/>
        <w:autoSpaceDN w:val="0"/>
        <w:adjustRightInd w:val="0"/>
        <w:rPr>
          <w:rFonts w:ascii="Times New Roman" w:hAnsi="Times New Roman"/>
          <w:szCs w:val="24"/>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C05C3F">
      <w:pPr>
        <w:tabs>
          <w:tab w:val="left" w:pos="-720"/>
          <w:tab w:val="left" w:pos="0"/>
        </w:tabs>
        <w:suppressAutoHyphens/>
        <w:rPr>
          <w:rFonts w:ascii="Times New Roman" w:hAnsi="Times New Roman"/>
        </w:rPr>
      </w:pPr>
      <w:r>
        <w:rPr>
          <w:rFonts w:ascii="Times New Roman" w:hAnsi="Times New Roman"/>
        </w:rPr>
        <w:tab/>
      </w:r>
      <w:r w:rsidR="00482A98">
        <w:rPr>
          <w:rFonts w:ascii="Times New Roman" w:hAnsi="Times New Roman"/>
        </w:rPr>
        <w:t xml:space="preserve">The purpose of the collection is allow the Commission to quickly place the rule or rule amendment on its website and  to provide the public with an opportunity to easily submit comments regarding the stay of a rule or rule amendment.  Without the collection through the Commission’s website, the Commission would publish the rule in the </w:t>
      </w:r>
      <w:r w:rsidR="00482A98">
        <w:rPr>
          <w:rFonts w:ascii="Times New Roman" w:hAnsi="Times New Roman"/>
          <w:i/>
        </w:rPr>
        <w:t xml:space="preserve">Federal </w:t>
      </w:r>
      <w:r w:rsidR="00482A98" w:rsidRPr="00482A98">
        <w:rPr>
          <w:rFonts w:ascii="Times New Roman" w:hAnsi="Times New Roman"/>
        </w:rPr>
        <w:t>Register</w:t>
      </w:r>
      <w:r w:rsidR="00482A98">
        <w:rPr>
          <w:rFonts w:ascii="Times New Roman" w:hAnsi="Times New Roman"/>
        </w:rPr>
        <w:t xml:space="preserve">, increasing the delay and costs of compliance under the rules.  </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p>
    <w:p w:rsidR="00C05C3F" w:rsidRDefault="00C05C3F" w:rsidP="00C05C3F">
      <w:pPr>
        <w:tabs>
          <w:tab w:val="left" w:pos="-720"/>
          <w:tab w:val="left" w:pos="0"/>
          <w:tab w:val="left" w:pos="720"/>
        </w:tabs>
        <w:suppressAutoHyphens/>
        <w:ind w:left="1440" w:hanging="1440"/>
        <w:rPr>
          <w:rFonts w:ascii="Times New Roman" w:hAnsi="Times New Roman"/>
          <w:u w:val="single"/>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This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C05C3F" w:rsidRDefault="00C05C3F" w:rsidP="00C05C3F">
      <w:pPr>
        <w:tabs>
          <w:tab w:val="left" w:pos="-720"/>
          <w:tab w:val="left" w:pos="0"/>
          <w:tab w:val="left" w:pos="720"/>
        </w:tabs>
        <w:suppressAutoHyphens/>
        <w:ind w:left="1440" w:hanging="1440"/>
        <w:rPr>
          <w:rFonts w:ascii="Times New Roman" w:hAnsi="Times New Roman"/>
          <w:u w:val="single"/>
        </w:rPr>
      </w:pPr>
    </w:p>
    <w:p w:rsidR="00C05C3F" w:rsidRPr="00FA0BB4" w:rsidRDefault="00C05C3F" w:rsidP="00C05C3F">
      <w:pPr>
        <w:tabs>
          <w:tab w:val="left" w:pos="-720"/>
        </w:tabs>
        <w:suppressAutoHyphens/>
        <w:rPr>
          <w:rFonts w:ascii="Times New Roman" w:hAnsi="Times New Roman"/>
        </w:rPr>
      </w:pPr>
      <w:r>
        <w:rPr>
          <w:rFonts w:ascii="Times New Roman" w:hAnsi="Times New Roman"/>
        </w:rPr>
        <w:tab/>
      </w:r>
      <w:r w:rsidR="00482A98">
        <w:rPr>
          <w:rFonts w:ascii="Times New Roman" w:hAnsi="Times New Roman"/>
        </w:rPr>
        <w:t>This does not apply.</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than an original and two copies of any document</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This does not apply.</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C05C3F" w:rsidRDefault="00C05C3F" w:rsidP="00C05C3F">
      <w:pPr>
        <w:tabs>
          <w:tab w:val="left" w:pos="-720"/>
          <w:tab w:val="left" w:pos="0"/>
          <w:tab w:val="left" w:pos="720"/>
        </w:tabs>
        <w:suppressAutoHyphens/>
        <w:ind w:left="1440" w:hanging="1440"/>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This does not apply.</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ind w:firstLine="720"/>
        <w:rPr>
          <w:rFonts w:ascii="Times New Roman" w:hAnsi="Times New Roman"/>
        </w:rPr>
      </w:pPr>
      <w:r>
        <w:rPr>
          <w:rFonts w:ascii="Times New Roman" w:hAnsi="Times New Roman"/>
        </w:rPr>
        <w:t>This does not apply.</w:t>
      </w:r>
    </w:p>
    <w:p w:rsidR="00C05C3F" w:rsidRDefault="00C05C3F" w:rsidP="00C05C3F">
      <w:pPr>
        <w:tabs>
          <w:tab w:val="left" w:pos="-720"/>
        </w:tabs>
        <w:suppressAutoHyphens/>
        <w:rPr>
          <w:rFonts w:ascii="Times New Roman" w:hAnsi="Times New Roman"/>
        </w:rPr>
      </w:pPr>
      <w:r>
        <w:rPr>
          <w:rFonts w:ascii="Times New Roman" w:hAnsi="Times New Roman"/>
        </w:rPr>
        <w:tab/>
      </w:r>
    </w:p>
    <w:p w:rsidR="00C05C3F" w:rsidRDefault="00C05C3F" w:rsidP="00C05C3F">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05C3F" w:rsidRDefault="00C05C3F" w:rsidP="00C05C3F">
      <w:pPr>
        <w:tabs>
          <w:tab w:val="left" w:pos="-720"/>
          <w:tab w:val="left" w:pos="0"/>
          <w:tab w:val="left" w:pos="720"/>
        </w:tabs>
        <w:suppressAutoHyphens/>
        <w:ind w:left="1440" w:hanging="1440"/>
        <w:rPr>
          <w:rFonts w:ascii="Times New Roman" w:hAnsi="Times New Roman"/>
          <w:u w:val="single"/>
        </w:rPr>
      </w:pPr>
    </w:p>
    <w:p w:rsidR="00482A98" w:rsidRPr="00EB0D2C" w:rsidRDefault="00C05C3F" w:rsidP="00482A98">
      <w:pPr>
        <w:tabs>
          <w:tab w:val="left" w:pos="-720"/>
          <w:tab w:val="left" w:pos="0"/>
          <w:tab w:val="left" w:pos="720"/>
        </w:tabs>
        <w:suppressAutoHyphens/>
        <w:ind w:left="1440" w:hanging="1440"/>
        <w:rPr>
          <w:rFonts w:ascii="Times New Roman" w:hAnsi="Times New Roman"/>
        </w:rPr>
      </w:pPr>
      <w:r>
        <w:rPr>
          <w:rFonts w:ascii="Times New Roman" w:hAnsi="Times New Roman"/>
        </w:rPr>
        <w:tab/>
      </w:r>
    </w:p>
    <w:p w:rsidR="00C05C3F" w:rsidRDefault="00482A98" w:rsidP="00482A98">
      <w:pPr>
        <w:tabs>
          <w:tab w:val="left" w:pos="-720"/>
          <w:tab w:val="left" w:pos="0"/>
          <w:tab w:val="left" w:pos="720"/>
        </w:tabs>
        <w:suppressAutoHyphens/>
        <w:rPr>
          <w:rFonts w:ascii="Times New Roman" w:hAnsi="Times New Roman"/>
          <w:u w:val="single"/>
        </w:rPr>
      </w:pPr>
      <w:r>
        <w:rPr>
          <w:rFonts w:ascii="Times New Roman" w:hAnsi="Times New Roman"/>
        </w:rPr>
        <w:tab/>
        <w:t xml:space="preserve">The Commission </w:t>
      </w:r>
      <w:r w:rsidR="00C05C3F">
        <w:rPr>
          <w:rFonts w:ascii="Times New Roman" w:hAnsi="Times New Roman"/>
        </w:rPr>
        <w:t xml:space="preserve">has adopted Freedom of Information Act regulations, 17 C.F.R. Part 145, which implement the federal statute set forth in 5 U.S.C. §552.  Both the Freedom of Information Act and the Commission’s Part 145 regulations make nonpublic information exempt from disclosure by another federal statute, including Section 8(a) of the CEA.  </w:t>
      </w:r>
      <w:r w:rsidR="00C05C3F" w:rsidRPr="00B05A72">
        <w:rPr>
          <w:rFonts w:ascii="Times New Roman" w:hAnsi="Times New Roman"/>
          <w:szCs w:val="24"/>
        </w:rPr>
        <w:t>See</w:t>
      </w:r>
      <w:r w:rsidR="00C05C3F" w:rsidRPr="00D9422C">
        <w:rPr>
          <w:rFonts w:ascii="Times New Roman" w:hAnsi="Times New Roman"/>
          <w:szCs w:val="24"/>
        </w:rPr>
        <w:t xml:space="preserve"> 5 U.S.C. § 552(b</w:t>
      </w:r>
      <w:proofErr w:type="gramStart"/>
      <w:r w:rsidR="00C05C3F" w:rsidRPr="00D9422C">
        <w:rPr>
          <w:rFonts w:ascii="Times New Roman" w:hAnsi="Times New Roman"/>
          <w:szCs w:val="24"/>
        </w:rPr>
        <w:t>)(</w:t>
      </w:r>
      <w:proofErr w:type="gramEnd"/>
      <w:r w:rsidR="00C05C3F" w:rsidRPr="00D9422C">
        <w:rPr>
          <w:rFonts w:ascii="Times New Roman" w:hAnsi="Times New Roman"/>
          <w:szCs w:val="24"/>
        </w:rPr>
        <w:t>3) and 17 C.F.R. §</w:t>
      </w:r>
      <w:r w:rsidR="00C05C3F">
        <w:rPr>
          <w:rFonts w:ascii="Times New Roman" w:hAnsi="Times New Roman"/>
          <w:szCs w:val="24"/>
        </w:rPr>
        <w:t xml:space="preserve"> </w:t>
      </w:r>
      <w:r w:rsidR="00C05C3F" w:rsidRPr="00D9422C">
        <w:rPr>
          <w:rFonts w:ascii="Times New Roman" w:hAnsi="Times New Roman"/>
          <w:szCs w:val="24"/>
        </w:rPr>
        <w:t>145</w:t>
      </w:r>
      <w:r w:rsidR="00C05C3F">
        <w:rPr>
          <w:rFonts w:ascii="Times New Roman" w:hAnsi="Times New Roman"/>
          <w:szCs w:val="24"/>
        </w:rPr>
        <w:t>.5</w:t>
      </w:r>
      <w:r w:rsidR="00C05C3F" w:rsidRPr="00D9422C">
        <w:rPr>
          <w:rFonts w:ascii="Times New Roman" w:hAnsi="Times New Roman"/>
          <w:szCs w:val="24"/>
        </w:rPr>
        <w:t xml:space="preserve">(c).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C05C3F" w:rsidRDefault="00C05C3F" w:rsidP="00C05C3F">
      <w:pPr>
        <w:tabs>
          <w:tab w:val="left" w:pos="-720"/>
          <w:tab w:val="left" w:pos="0"/>
          <w:tab w:val="left" w:pos="720"/>
        </w:tabs>
        <w:suppressAutoHyphens/>
        <w:ind w:left="1440" w:hanging="1440"/>
        <w:rPr>
          <w:rFonts w:ascii="Times New Roman" w:hAnsi="Times New Roman"/>
        </w:rPr>
      </w:pPr>
    </w:p>
    <w:p w:rsidR="00C05C3F" w:rsidRDefault="00C05C3F" w:rsidP="00C05C3F">
      <w:pPr>
        <w:rPr>
          <w:rFonts w:ascii="Times New Roman" w:hAnsi="Times New Roman"/>
        </w:rPr>
      </w:pPr>
      <w:r>
        <w:rPr>
          <w:rFonts w:ascii="Times New Roman" w:hAnsi="Times New Roman"/>
        </w:rPr>
        <w:tab/>
      </w:r>
      <w:r w:rsidR="00482A98">
        <w:rPr>
          <w:rFonts w:ascii="Times New Roman" w:hAnsi="Times New Roman"/>
        </w:rPr>
        <w:t>This does not apply.</w:t>
      </w:r>
    </w:p>
    <w:p w:rsidR="00482A98" w:rsidRDefault="00482A98" w:rsidP="00C05C3F">
      <w:pPr>
        <w:rPr>
          <w:rFonts w:ascii="Times New Roman" w:hAnsi="Times New Roman"/>
        </w:rPr>
      </w:pPr>
    </w:p>
    <w:p w:rsidR="00482A98" w:rsidRDefault="00482A98" w:rsidP="00C05C3F">
      <w:pPr>
        <w:rPr>
          <w:rFonts w:ascii="Times New Roman" w:hAnsi="Times New Roman"/>
        </w:rPr>
      </w:pPr>
    </w:p>
    <w:p w:rsidR="00C05C3F" w:rsidRDefault="00C05C3F" w:rsidP="00C05C3F">
      <w:pPr>
        <w:tabs>
          <w:tab w:val="left" w:pos="8409"/>
        </w:tabs>
      </w:pPr>
      <w:r w:rsidRPr="00D9422C">
        <w:rPr>
          <w:rFonts w:ascii="Times New Roman" w:hAnsi="Times New Roman"/>
        </w:rPr>
        <w:tab/>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lastRenderedPageBreak/>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05C3F" w:rsidRDefault="00C05C3F" w:rsidP="00C05C3F">
      <w:pPr>
        <w:tabs>
          <w:tab w:val="left" w:pos="-720"/>
        </w:tabs>
        <w:suppressAutoHyphens/>
        <w:rPr>
          <w:rFonts w:ascii="Times New Roman" w:hAnsi="Times New Roman"/>
        </w:rPr>
      </w:pPr>
    </w:p>
    <w:p w:rsidR="00C05C3F" w:rsidRPr="006C31EC" w:rsidRDefault="00C05C3F" w:rsidP="00C05C3F">
      <w:pPr>
        <w:tabs>
          <w:tab w:val="left" w:pos="-720"/>
        </w:tabs>
        <w:suppressAutoHyphens/>
        <w:rPr>
          <w:rFonts w:ascii="Times New Roman" w:hAnsi="Times New Roman"/>
        </w:rPr>
      </w:pPr>
      <w:r>
        <w:rPr>
          <w:rFonts w:ascii="Times New Roman" w:hAnsi="Times New Roman"/>
        </w:rPr>
        <w:tab/>
      </w:r>
      <w:r w:rsidR="006C31EC">
        <w:rPr>
          <w:rFonts w:ascii="Times New Roman" w:hAnsi="Times New Roman"/>
        </w:rPr>
        <w:t xml:space="preserve">The Commission previously requested comment on the information collection in its Notice of Proposed Rulemaking in the </w:t>
      </w:r>
      <w:r w:rsidR="006C31EC">
        <w:rPr>
          <w:rFonts w:ascii="Times New Roman" w:hAnsi="Times New Roman"/>
          <w:i/>
        </w:rPr>
        <w:t>Federal Register</w:t>
      </w:r>
      <w:r w:rsidR="006C31EC">
        <w:rPr>
          <w:rFonts w:ascii="Times New Roman" w:hAnsi="Times New Roman"/>
        </w:rPr>
        <w:t>, Provisions Common to Registered Entities at 75 FR 67282, 67290-91 (Nov. 2, 2010).</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5C3F" w:rsidRDefault="00C05C3F" w:rsidP="00C05C3F">
      <w:pPr>
        <w:tabs>
          <w:tab w:val="left" w:pos="-720"/>
        </w:tabs>
        <w:suppressAutoHyphens/>
        <w:rPr>
          <w:rFonts w:ascii="Times New Roman" w:hAnsi="Times New Roman"/>
          <w:u w:val="single"/>
        </w:rPr>
      </w:pPr>
    </w:p>
    <w:p w:rsidR="00C05C3F" w:rsidRDefault="00C05C3F" w:rsidP="00C05C3F">
      <w:pPr>
        <w:tabs>
          <w:tab w:val="left" w:pos="-720"/>
        </w:tabs>
        <w:suppressAutoHyphens/>
        <w:rPr>
          <w:rFonts w:ascii="Times New Roman" w:hAnsi="Times New Roman"/>
          <w:u w:val="single"/>
        </w:rPr>
      </w:pPr>
    </w:p>
    <w:p w:rsidR="00C05C3F" w:rsidRDefault="00C05C3F" w:rsidP="00C05C3F">
      <w:pPr>
        <w:tabs>
          <w:tab w:val="left" w:pos="-720"/>
        </w:tabs>
        <w:suppressAutoHyphens/>
        <w:rPr>
          <w:rFonts w:ascii="Times New Roman" w:hAnsi="Times New Roman"/>
        </w:rPr>
      </w:pPr>
      <w:r>
        <w:rPr>
          <w:rFonts w:ascii="Times New Roman" w:hAnsi="Times New Roman"/>
        </w:rPr>
        <w:tab/>
      </w:r>
      <w:r w:rsidRPr="003E3D5B">
        <w:rPr>
          <w:rFonts w:ascii="Times New Roman" w:hAnsi="Times New Roman"/>
        </w:rPr>
        <w:t xml:space="preserve">The Commission </w:t>
      </w:r>
      <w:r w:rsidR="006C31EC">
        <w:rPr>
          <w:rFonts w:ascii="Times New Roman" w:hAnsi="Times New Roman"/>
        </w:rPr>
        <w:t>sought public comment</w:t>
      </w:r>
      <w:r w:rsidRPr="003E3D5B">
        <w:rPr>
          <w:rFonts w:ascii="Times New Roman" w:hAnsi="Times New Roman"/>
        </w:rPr>
        <w:t xml:space="preserve"> in the recent publication of the 60-day Federal Register Notice – </w:t>
      </w:r>
      <w:r w:rsidR="006C31EC">
        <w:rPr>
          <w:rFonts w:ascii="Times New Roman" w:hAnsi="Times New Roman"/>
        </w:rPr>
        <w:t>Provisions Common to Registered Entities, 75 FR 67282 (Nov. 2, 2010)</w:t>
      </w:r>
      <w:r w:rsidRPr="003E3D5B">
        <w:rPr>
          <w:rFonts w:ascii="Times New Roman" w:hAnsi="Times New Roman"/>
        </w:rPr>
        <w:t xml:space="preserve">.  </w:t>
      </w:r>
    </w:p>
    <w:p w:rsidR="00C05C3F" w:rsidRPr="007B55D0"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does not apply.  </w:t>
      </w:r>
    </w:p>
    <w:p w:rsidR="006C31EC" w:rsidRDefault="006C31EC"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r>
        <w:rPr>
          <w:rFonts w:ascii="Times New Roman" w:hAnsi="Times New Roman"/>
        </w:rPr>
        <w:t xml:space="preserve">  </w:t>
      </w: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3E2E56" w:rsidRDefault="00C05C3F" w:rsidP="003E2E56">
      <w:pPr>
        <w:tabs>
          <w:tab w:val="left" w:pos="-720"/>
          <w:tab w:val="left" w:pos="0"/>
          <w:tab w:val="left" w:pos="720"/>
        </w:tabs>
        <w:suppressAutoHyphens/>
        <w:ind w:left="1440" w:hanging="1440"/>
        <w:rPr>
          <w:rFonts w:ascii="Times New Roman" w:hAnsi="Times New Roman"/>
          <w:szCs w:val="24"/>
        </w:rPr>
      </w:pPr>
      <w:r>
        <w:rPr>
          <w:rFonts w:ascii="Times New Roman" w:hAnsi="Times New Roman"/>
        </w:rPr>
        <w:tab/>
      </w:r>
      <w:r w:rsidR="003E2E56">
        <w:rPr>
          <w:rFonts w:ascii="Times New Roman" w:hAnsi="Times New Roman"/>
        </w:rPr>
        <w:t xml:space="preserve">The Commission has adopted Freedom of Information Act regulations, 17 C.F.R. Part 145, which implement the federal statute set forth in 5 U.S.C. §552.  Both the Freedom of Information Act and the Commission’s Part 145 regulations make nonpublic information exempt from disclosure by another federal statute, including Section 8(a) of the CEA.  </w:t>
      </w:r>
      <w:r w:rsidR="003E2E56" w:rsidRPr="00B05A72">
        <w:rPr>
          <w:rFonts w:ascii="Times New Roman" w:hAnsi="Times New Roman"/>
          <w:szCs w:val="24"/>
        </w:rPr>
        <w:t>See</w:t>
      </w:r>
      <w:r w:rsidR="003E2E56" w:rsidRPr="00D9422C">
        <w:rPr>
          <w:rFonts w:ascii="Times New Roman" w:hAnsi="Times New Roman"/>
          <w:szCs w:val="24"/>
        </w:rPr>
        <w:t xml:space="preserve"> 5 U.S.C. § 552(b</w:t>
      </w:r>
      <w:proofErr w:type="gramStart"/>
      <w:r w:rsidR="003E2E56" w:rsidRPr="00D9422C">
        <w:rPr>
          <w:rFonts w:ascii="Times New Roman" w:hAnsi="Times New Roman"/>
          <w:szCs w:val="24"/>
        </w:rPr>
        <w:t>)(</w:t>
      </w:r>
      <w:proofErr w:type="gramEnd"/>
      <w:r w:rsidR="003E2E56" w:rsidRPr="00D9422C">
        <w:rPr>
          <w:rFonts w:ascii="Times New Roman" w:hAnsi="Times New Roman"/>
          <w:szCs w:val="24"/>
        </w:rPr>
        <w:t>3) and 17 C.F.R. §</w:t>
      </w:r>
      <w:r w:rsidR="003E2E56">
        <w:rPr>
          <w:rFonts w:ascii="Times New Roman" w:hAnsi="Times New Roman"/>
          <w:szCs w:val="24"/>
        </w:rPr>
        <w:t xml:space="preserve"> </w:t>
      </w:r>
      <w:r w:rsidR="003E2E56" w:rsidRPr="00D9422C">
        <w:rPr>
          <w:rFonts w:ascii="Times New Roman" w:hAnsi="Times New Roman"/>
          <w:szCs w:val="24"/>
        </w:rPr>
        <w:t>145</w:t>
      </w:r>
      <w:r w:rsidR="003E2E56">
        <w:rPr>
          <w:rFonts w:ascii="Times New Roman" w:hAnsi="Times New Roman"/>
          <w:szCs w:val="24"/>
        </w:rPr>
        <w:t>.5</w:t>
      </w:r>
      <w:r w:rsidR="003E2E56" w:rsidRPr="00D9422C">
        <w:rPr>
          <w:rFonts w:ascii="Times New Roman" w:hAnsi="Times New Roman"/>
          <w:szCs w:val="24"/>
        </w:rPr>
        <w:t xml:space="preserve">(c).  </w:t>
      </w:r>
    </w:p>
    <w:p w:rsidR="00C05C3F" w:rsidRDefault="00C05C3F" w:rsidP="003E2E56">
      <w:pPr>
        <w:tabs>
          <w:tab w:val="left" w:pos="-720"/>
          <w:tab w:val="left" w:pos="0"/>
          <w:tab w:val="left" w:pos="720"/>
        </w:tabs>
        <w:suppressAutoHyphens/>
        <w:ind w:left="1440" w:hanging="1440"/>
        <w:rPr>
          <w:rFonts w:ascii="Times New Roman" w:hAnsi="Times New Roman"/>
          <w:szCs w:val="24"/>
        </w:rPr>
      </w:pPr>
      <w:r w:rsidRPr="00D9422C">
        <w:rPr>
          <w:rFonts w:ascii="Times New Roman" w:hAnsi="Times New Roman"/>
          <w:szCs w:val="24"/>
        </w:rPr>
        <w:t xml:space="preserve"> </w:t>
      </w:r>
    </w:p>
    <w:p w:rsidR="00C05C3F" w:rsidRDefault="00C05C3F" w:rsidP="00C05C3F">
      <w:pPr>
        <w:tabs>
          <w:tab w:val="left" w:pos="-720"/>
        </w:tabs>
        <w:suppressAutoHyphens/>
        <w:rPr>
          <w:rFonts w:ascii="Times New Roman" w:hAnsi="Times New Roman"/>
        </w:rPr>
      </w:pPr>
      <w:r>
        <w:rPr>
          <w:rFonts w:ascii="Times New Roman" w:hAnsi="Times New Roman"/>
        </w:rPr>
        <w:t xml:space="preserve"> </w:t>
      </w:r>
    </w:p>
    <w:p w:rsidR="00C05C3F" w:rsidRDefault="00C05C3F" w:rsidP="00C05C3F">
      <w:pPr>
        <w:tabs>
          <w:tab w:val="left" w:pos="-720"/>
        </w:tabs>
        <w:suppressAutoHyphens/>
        <w:ind w:left="720" w:hanging="720"/>
        <w:rPr>
          <w:rFonts w:ascii="Times New Roman" w:hAnsi="Times New Roman"/>
        </w:rPr>
      </w:pPr>
      <w:r>
        <w:rPr>
          <w:rFonts w:ascii="Times New Roman" w:hAnsi="Times New Roman"/>
        </w:rPr>
        <w:lastRenderedPageBreak/>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C05C3F" w:rsidRDefault="00C05C3F" w:rsidP="00C05C3F">
      <w:pPr>
        <w:tabs>
          <w:tab w:val="left" w:pos="-720"/>
        </w:tabs>
        <w:suppressAutoHyphens/>
        <w:ind w:left="720" w:hanging="720"/>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The regulations covered by the collections do not require the giving of such sensitive information, as that term is used in Question 11.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See Attachment A.  </w:t>
      </w:r>
      <w:r>
        <w:rPr>
          <w:rFonts w:ascii="Times New Roman" w:hAnsi="Times New Roman"/>
        </w:rPr>
        <w:tab/>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w:t>
      </w:r>
      <w:proofErr w:type="spellStart"/>
      <w:r>
        <w:rPr>
          <w:rFonts w:ascii="Times New Roman" w:hAnsi="Times New Roman"/>
          <w:u w:val="single"/>
        </w:rPr>
        <w:t>recordkeepers</w:t>
      </w:r>
      <w:proofErr w:type="spellEnd"/>
      <w:r>
        <w:rPr>
          <w:rFonts w:ascii="Times New Roman" w:hAnsi="Times New Roman"/>
          <w:u w:val="single"/>
        </w:rPr>
        <w:t xml:space="preserve"> resulting from the collection of information.  (Do not include the cost of any hour burden shown in Items 12 and 14)</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w:t>
      </w:r>
      <w:r>
        <w:rPr>
          <w:rFonts w:ascii="Times New Roman" w:hAnsi="Times New Roman"/>
        </w:rPr>
        <w:lastRenderedPageBreak/>
        <w:t>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rPr>
        <w:t>government,</w:t>
      </w:r>
      <w:proofErr w:type="gramEnd"/>
      <w:r>
        <w:rPr>
          <w:rFonts w:ascii="Times New Roman" w:hAnsi="Times New Roman"/>
        </w:rPr>
        <w:t xml:space="preserve"> or (4) as part of customary and usual business or private practices.</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See Attachment A.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ind w:left="720" w:hanging="720"/>
        <w:rPr>
          <w:rFonts w:ascii="Times New Roman" w:hAnsi="Times New Roman"/>
        </w:rPr>
      </w:pPr>
      <w:r>
        <w:rPr>
          <w:rFonts w:ascii="Times New Roman" w:hAnsi="Times New Roman"/>
        </w:rPr>
        <w:tab/>
        <w:t xml:space="preserve">The Federal Government will expend no additional costs as a result of this collection of </w:t>
      </w:r>
    </w:p>
    <w:p w:rsidR="00C05C3F" w:rsidRDefault="00C05C3F" w:rsidP="00C05C3F">
      <w:pPr>
        <w:tabs>
          <w:tab w:val="left" w:pos="-720"/>
        </w:tabs>
        <w:suppressAutoHyphens/>
        <w:rPr>
          <w:rFonts w:ascii="Times New Roman" w:hAnsi="Times New Roman"/>
        </w:rPr>
      </w:pPr>
      <w:proofErr w:type="gramStart"/>
      <w:r>
        <w:rPr>
          <w:rFonts w:ascii="Times New Roman" w:hAnsi="Times New Roman"/>
        </w:rPr>
        <w:t>information</w:t>
      </w:r>
      <w:proofErr w:type="gramEnd"/>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C05C3F" w:rsidRDefault="00C05C3F" w:rsidP="00C05C3F">
      <w:pPr>
        <w:tabs>
          <w:tab w:val="left" w:pos="-720"/>
          <w:tab w:val="left" w:pos="0"/>
        </w:tabs>
        <w:suppressAutoHyphens/>
        <w:ind w:left="720" w:hanging="720"/>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lastRenderedPageBreak/>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This question does not apply.  </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r>
        <w:rPr>
          <w:rFonts w:ascii="Times New Roman" w:hAnsi="Times New Roman"/>
        </w:rPr>
        <w:tab/>
        <w:t xml:space="preserve">No exceptions exist.  </w:t>
      </w:r>
    </w:p>
    <w:p w:rsidR="00C05C3F" w:rsidRDefault="00C05C3F" w:rsidP="00C05C3F">
      <w:pPr>
        <w:tabs>
          <w:tab w:val="left" w:pos="-720"/>
        </w:tabs>
        <w:suppressAutoHyphens/>
        <w:rPr>
          <w:rFonts w:ascii="Times New Roman" w:hAnsi="Times New Roman"/>
        </w:rPr>
      </w:pPr>
      <w:r>
        <w:rPr>
          <w:rFonts w:ascii="Times New Roman" w:hAnsi="Times New Roman"/>
        </w:rPr>
        <w:tab/>
      </w:r>
    </w:p>
    <w:p w:rsidR="00C05C3F" w:rsidRPr="0085755E" w:rsidRDefault="00C05C3F" w:rsidP="00C05C3F">
      <w:pPr>
        <w:tabs>
          <w:tab w:val="left" w:pos="-720"/>
        </w:tabs>
        <w:suppressAutoHyphens/>
        <w:jc w:val="center"/>
        <w:rPr>
          <w:rFonts w:ascii="Times New Roman" w:hAnsi="Times New Roman"/>
          <w:b/>
          <w:u w:val="single"/>
        </w:rPr>
      </w:pPr>
      <w:r>
        <w:rPr>
          <w:rFonts w:ascii="Times New Roman" w:hAnsi="Times New Roman"/>
        </w:rPr>
        <w:br w:type="page"/>
      </w:r>
      <w:r w:rsidRPr="0085755E">
        <w:rPr>
          <w:rFonts w:ascii="Times New Roman" w:hAnsi="Times New Roman"/>
          <w:b/>
          <w:u w:val="single"/>
        </w:rPr>
        <w:lastRenderedPageBreak/>
        <w:t>Attachment A</w:t>
      </w:r>
    </w:p>
    <w:p w:rsidR="00C05C3F" w:rsidRDefault="00C05C3F" w:rsidP="00C05C3F">
      <w:pPr>
        <w:tabs>
          <w:tab w:val="left" w:pos="-720"/>
        </w:tabs>
        <w:suppressAutoHyphens/>
        <w:rPr>
          <w:rFonts w:ascii="Times New Roman" w:hAnsi="Times New Roman"/>
        </w:rPr>
      </w:pPr>
    </w:p>
    <w:p w:rsidR="00C05C3F" w:rsidRDefault="00C05C3F" w:rsidP="00C05C3F">
      <w:pPr>
        <w:tabs>
          <w:tab w:val="left" w:pos="-720"/>
        </w:tabs>
        <w:suppressAutoHyphens/>
        <w:rPr>
          <w:rFonts w:ascii="Times New Roman" w:hAnsi="Times New Roman"/>
        </w:rPr>
      </w:pPr>
    </w:p>
    <w:p w:rsidR="00C05C3F" w:rsidRDefault="003E2E56" w:rsidP="00C05C3F">
      <w:pPr>
        <w:pStyle w:val="BodyTextIndent"/>
        <w:jc w:val="center"/>
        <w:rPr>
          <w:b/>
        </w:rPr>
      </w:pPr>
      <w:r>
        <w:rPr>
          <w:b/>
        </w:rPr>
        <w:t xml:space="preserve">Provisions Common to Registered Entities </w:t>
      </w:r>
      <w:proofErr w:type="gramStart"/>
      <w:r>
        <w:rPr>
          <w:b/>
        </w:rPr>
        <w:t>Under</w:t>
      </w:r>
      <w:proofErr w:type="gramEnd"/>
      <w:r>
        <w:rPr>
          <w:b/>
        </w:rPr>
        <w:t xml:space="preserve"> 745</w:t>
      </w:r>
      <w:r w:rsidR="00C05C3F">
        <w:rPr>
          <w:b/>
        </w:rPr>
        <w:t xml:space="preserve"> of the Dodd-Frank Act</w:t>
      </w:r>
    </w:p>
    <w:p w:rsidR="00C05C3F" w:rsidRPr="0085755E" w:rsidRDefault="00C05C3F" w:rsidP="00C05C3F">
      <w:pPr>
        <w:pStyle w:val="BodyTextIndent"/>
        <w:jc w:val="center"/>
        <w:rPr>
          <w:b/>
        </w:rPr>
      </w:pPr>
      <w:r w:rsidRPr="0085755E">
        <w:rPr>
          <w:b/>
          <w:u w:val="single"/>
        </w:rPr>
        <w:t xml:space="preserve">Estimated </w:t>
      </w:r>
      <w:r>
        <w:rPr>
          <w:b/>
          <w:u w:val="single"/>
        </w:rPr>
        <w:t xml:space="preserve">Annual </w:t>
      </w:r>
      <w:r w:rsidRPr="0085755E">
        <w:rPr>
          <w:b/>
          <w:u w:val="single"/>
        </w:rPr>
        <w:t>Hour</w:t>
      </w:r>
      <w:r>
        <w:rPr>
          <w:b/>
          <w:u w:val="single"/>
        </w:rPr>
        <w:t xml:space="preserve"> and Cost</w:t>
      </w:r>
      <w:r w:rsidRPr="0085755E">
        <w:rPr>
          <w:b/>
          <w:u w:val="single"/>
        </w:rPr>
        <w:t xml:space="preserve"> Burden of the Collection of Information</w:t>
      </w:r>
    </w:p>
    <w:p w:rsidR="00C05C3F" w:rsidRDefault="00C05C3F" w:rsidP="00C05C3F">
      <w:pPr>
        <w:pStyle w:val="BodyTextIndent"/>
      </w:pPr>
    </w:p>
    <w:tbl>
      <w:tblPr>
        <w:tblW w:w="0" w:type="auto"/>
        <w:jc w:val="center"/>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44"/>
        <w:gridCol w:w="1297"/>
        <w:gridCol w:w="1585"/>
        <w:gridCol w:w="1585"/>
      </w:tblGrid>
      <w:tr w:rsidR="00B3385A" w:rsidRPr="006E504E" w:rsidTr="006E504E">
        <w:trPr>
          <w:jc w:val="center"/>
        </w:trPr>
        <w:tc>
          <w:tcPr>
            <w:tcW w:w="1044" w:type="dxa"/>
          </w:tcPr>
          <w:p w:rsidR="00B3385A" w:rsidRPr="006E504E" w:rsidRDefault="00B3385A" w:rsidP="00B3385A">
            <w:pPr>
              <w:pStyle w:val="BodyTextIndent"/>
              <w:ind w:left="0" w:firstLine="0"/>
              <w:jc w:val="center"/>
            </w:pPr>
            <w:proofErr w:type="spellStart"/>
            <w:r w:rsidRPr="006E504E">
              <w:t>Est’d</w:t>
            </w:r>
            <w:proofErr w:type="spellEnd"/>
            <w:r w:rsidRPr="006E504E">
              <w:t xml:space="preserve"> # of Covered Entities</w:t>
            </w:r>
          </w:p>
          <w:p w:rsidR="00B3385A" w:rsidRPr="006E504E" w:rsidRDefault="00B3385A" w:rsidP="00B3385A">
            <w:pPr>
              <w:pStyle w:val="BodyTextIndent"/>
              <w:ind w:left="0" w:firstLine="0"/>
              <w:jc w:val="center"/>
            </w:pPr>
            <w:r w:rsidRPr="006E504E">
              <w:t>(a)</w:t>
            </w:r>
          </w:p>
        </w:tc>
        <w:tc>
          <w:tcPr>
            <w:tcW w:w="1297" w:type="dxa"/>
          </w:tcPr>
          <w:p w:rsidR="00B3385A" w:rsidRPr="006E504E" w:rsidRDefault="00B3385A" w:rsidP="00B3385A">
            <w:pPr>
              <w:pStyle w:val="BodyTextIndent"/>
              <w:ind w:left="0" w:firstLine="0"/>
              <w:jc w:val="center"/>
            </w:pPr>
            <w:proofErr w:type="spellStart"/>
            <w:r w:rsidRPr="006E504E">
              <w:t>Est’d</w:t>
            </w:r>
            <w:proofErr w:type="spellEnd"/>
            <w:r w:rsidRPr="006E504E">
              <w:t xml:space="preserve"> Avg. # of Hrs. to Burden Hours Report </w:t>
            </w:r>
          </w:p>
        </w:tc>
        <w:tc>
          <w:tcPr>
            <w:tcW w:w="1585" w:type="dxa"/>
          </w:tcPr>
          <w:p w:rsidR="00B3385A" w:rsidRPr="006E504E" w:rsidRDefault="00B3385A" w:rsidP="00B3385A">
            <w:pPr>
              <w:pStyle w:val="BodyTextIndent"/>
              <w:ind w:left="0" w:firstLine="0"/>
              <w:jc w:val="center"/>
            </w:pPr>
            <w:proofErr w:type="spellStart"/>
            <w:r w:rsidRPr="006E504E">
              <w:t>Est’d</w:t>
            </w:r>
            <w:proofErr w:type="spellEnd"/>
            <w:r w:rsidRPr="006E504E">
              <w:t xml:space="preserve"> Total</w:t>
            </w:r>
          </w:p>
          <w:p w:rsidR="006E504E" w:rsidRPr="006E504E" w:rsidRDefault="00B3385A" w:rsidP="00B3385A">
            <w:pPr>
              <w:pStyle w:val="BodyTextIndent"/>
              <w:ind w:left="0" w:firstLine="0"/>
              <w:jc w:val="center"/>
            </w:pPr>
            <w:r w:rsidRPr="006E504E">
              <w:t xml:space="preserve">Annual </w:t>
            </w:r>
          </w:p>
          <w:p w:rsidR="00B3385A" w:rsidRPr="006E504E" w:rsidRDefault="00B3385A" w:rsidP="00B3385A">
            <w:pPr>
              <w:pStyle w:val="BodyTextIndent"/>
              <w:ind w:left="0" w:firstLine="0"/>
              <w:jc w:val="center"/>
            </w:pPr>
            <w:r w:rsidRPr="006E504E">
              <w:t xml:space="preserve">Burden Hrs. </w:t>
            </w:r>
          </w:p>
          <w:p w:rsidR="00B3385A" w:rsidRPr="006E504E" w:rsidRDefault="00B3385A" w:rsidP="00B3385A">
            <w:pPr>
              <w:pStyle w:val="BodyTextIndent"/>
              <w:ind w:left="0" w:firstLine="0"/>
              <w:jc w:val="center"/>
            </w:pPr>
          </w:p>
          <w:p w:rsidR="00B3385A" w:rsidRPr="006E504E" w:rsidRDefault="00B3385A" w:rsidP="00B3385A">
            <w:pPr>
              <w:pStyle w:val="BodyTextIndent"/>
              <w:ind w:left="0" w:firstLine="0"/>
              <w:jc w:val="center"/>
            </w:pPr>
          </w:p>
        </w:tc>
        <w:tc>
          <w:tcPr>
            <w:tcW w:w="1585" w:type="dxa"/>
          </w:tcPr>
          <w:p w:rsidR="00B3385A" w:rsidRPr="006E504E" w:rsidRDefault="00B3385A" w:rsidP="00B3385A">
            <w:pPr>
              <w:pStyle w:val="BodyTextIndent"/>
              <w:ind w:left="0" w:firstLine="0"/>
              <w:jc w:val="center"/>
            </w:pPr>
            <w:proofErr w:type="spellStart"/>
            <w:r w:rsidRPr="006E504E">
              <w:t>Est’d</w:t>
            </w:r>
            <w:proofErr w:type="spellEnd"/>
            <w:r w:rsidRPr="006E504E">
              <w:t xml:space="preserve"> Annual Total</w:t>
            </w:r>
          </w:p>
          <w:p w:rsidR="00B3385A" w:rsidRPr="006E504E" w:rsidRDefault="00B3385A" w:rsidP="00B3385A">
            <w:pPr>
              <w:pStyle w:val="BodyTextIndent"/>
              <w:ind w:left="0" w:firstLine="0"/>
              <w:jc w:val="center"/>
            </w:pPr>
            <w:r w:rsidRPr="006E504E">
              <w:t>Costs</w:t>
            </w:r>
          </w:p>
          <w:p w:rsidR="00B3385A" w:rsidRPr="006E504E" w:rsidRDefault="00B3385A" w:rsidP="00B3385A">
            <w:pPr>
              <w:pStyle w:val="BodyTextIndent"/>
              <w:ind w:left="0" w:firstLine="0"/>
              <w:jc w:val="center"/>
            </w:pPr>
            <w:r w:rsidRPr="006E504E">
              <w:t>($)</w:t>
            </w:r>
          </w:p>
        </w:tc>
      </w:tr>
      <w:tr w:rsidR="00B3385A" w:rsidRPr="006E504E" w:rsidTr="006E504E">
        <w:trPr>
          <w:jc w:val="center"/>
        </w:trPr>
        <w:tc>
          <w:tcPr>
            <w:tcW w:w="1044" w:type="dxa"/>
          </w:tcPr>
          <w:p w:rsidR="00B3385A" w:rsidRPr="006E504E" w:rsidRDefault="00B3385A" w:rsidP="00B3385A">
            <w:pPr>
              <w:pStyle w:val="BodyTextIndent"/>
              <w:ind w:left="0" w:firstLine="0"/>
              <w:jc w:val="center"/>
            </w:pPr>
            <w:r w:rsidRPr="006E504E">
              <w:t>70</w:t>
            </w:r>
          </w:p>
        </w:tc>
        <w:tc>
          <w:tcPr>
            <w:tcW w:w="1297" w:type="dxa"/>
          </w:tcPr>
          <w:p w:rsidR="00B3385A" w:rsidRPr="006E504E" w:rsidRDefault="00B3385A" w:rsidP="003E2E56">
            <w:pPr>
              <w:pStyle w:val="BodyTextIndent"/>
              <w:ind w:left="0" w:firstLine="0"/>
              <w:jc w:val="center"/>
            </w:pPr>
            <w:r w:rsidRPr="006E504E">
              <w:t>2</w:t>
            </w:r>
          </w:p>
        </w:tc>
        <w:tc>
          <w:tcPr>
            <w:tcW w:w="1585" w:type="dxa"/>
          </w:tcPr>
          <w:p w:rsidR="00B3385A" w:rsidRPr="006E504E" w:rsidRDefault="00B3385A" w:rsidP="006E504E">
            <w:pPr>
              <w:pStyle w:val="BodyTextIndent"/>
              <w:ind w:left="0" w:firstLine="0"/>
              <w:jc w:val="center"/>
            </w:pPr>
            <w:r w:rsidRPr="006E504E">
              <w:t>14,000</w:t>
            </w:r>
          </w:p>
        </w:tc>
        <w:tc>
          <w:tcPr>
            <w:tcW w:w="1585" w:type="dxa"/>
          </w:tcPr>
          <w:p w:rsidR="00B3385A" w:rsidRPr="006E504E" w:rsidRDefault="00B3385A" w:rsidP="003E2E56">
            <w:pPr>
              <w:pStyle w:val="BodyTextIndent"/>
              <w:ind w:left="0" w:firstLine="0"/>
              <w:jc w:val="center"/>
            </w:pPr>
            <w:r w:rsidRPr="006E504E">
              <w:t>$ 980,000</w:t>
            </w:r>
          </w:p>
        </w:tc>
      </w:tr>
    </w:tbl>
    <w:p w:rsidR="00C05C3F" w:rsidRPr="006E504E" w:rsidRDefault="00C05C3F" w:rsidP="00C05C3F">
      <w:pPr>
        <w:pStyle w:val="BodyTextIndent"/>
      </w:pPr>
    </w:p>
    <w:p w:rsidR="00C05C3F" w:rsidRDefault="00C05C3F" w:rsidP="00C05C3F">
      <w:pPr>
        <w:pStyle w:val="BodyTextIndent"/>
        <w:jc w:val="center"/>
      </w:pPr>
    </w:p>
    <w:p w:rsidR="00C05C3F" w:rsidRDefault="00C05C3F" w:rsidP="00C05C3F">
      <w:pPr>
        <w:pStyle w:val="BodyTextIndent"/>
        <w:jc w:val="center"/>
      </w:pPr>
      <w:r w:rsidRPr="00C23B70">
        <w:rPr>
          <w:u w:val="single"/>
        </w:rPr>
        <w:t>Estimated Total Annual Burden Hours</w:t>
      </w:r>
      <w:r w:rsidR="003E2E56">
        <w:t xml:space="preserve">:  </w:t>
      </w:r>
      <w:r>
        <w:t xml:space="preserve"> </w:t>
      </w:r>
      <w:r w:rsidR="003E2E56">
        <w:t xml:space="preserve">14,000 </w:t>
      </w:r>
      <w:r>
        <w:t>Annual Burden Hours</w:t>
      </w:r>
    </w:p>
    <w:p w:rsidR="00C05C3F" w:rsidRDefault="00C05C3F" w:rsidP="00C05C3F">
      <w:pPr>
        <w:pStyle w:val="BodyTextIndent"/>
        <w:jc w:val="center"/>
      </w:pPr>
    </w:p>
    <w:p w:rsidR="00C05C3F" w:rsidRDefault="00C05C3F" w:rsidP="00C05C3F">
      <w:pPr>
        <w:pStyle w:val="BodyTextIndent"/>
      </w:pPr>
      <w:r>
        <w:tab/>
        <w:t xml:space="preserve">  </w:t>
      </w:r>
    </w:p>
    <w:p w:rsidR="00C05C3F" w:rsidRDefault="00C05C3F" w:rsidP="00C05C3F">
      <w:pPr>
        <w:tabs>
          <w:tab w:val="left" w:pos="-720"/>
        </w:tabs>
        <w:suppressAutoHyphens/>
        <w:rPr>
          <w:rFonts w:ascii="Times New Roman" w:hAnsi="Times New Roman"/>
        </w:rPr>
      </w:pPr>
    </w:p>
    <w:p w:rsidR="00585718" w:rsidRDefault="00585718"/>
    <w:sectPr w:rsidR="00585718" w:rsidSect="00B3385A">
      <w:head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85A" w:rsidRDefault="00B3385A" w:rsidP="00C05C3F">
      <w:r>
        <w:separator/>
      </w:r>
    </w:p>
  </w:endnote>
  <w:endnote w:type="continuationSeparator" w:id="0">
    <w:p w:rsidR="00B3385A" w:rsidRDefault="00B3385A" w:rsidP="00C0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85A" w:rsidRDefault="00B3385A" w:rsidP="00C05C3F">
      <w:r>
        <w:separator/>
      </w:r>
    </w:p>
  </w:footnote>
  <w:footnote w:type="continuationSeparator" w:id="0">
    <w:p w:rsidR="00B3385A" w:rsidRDefault="00B3385A" w:rsidP="00C05C3F">
      <w:r>
        <w:continuationSeparator/>
      </w:r>
    </w:p>
  </w:footnote>
  <w:footnote w:id="1">
    <w:p w:rsidR="00B3385A" w:rsidRDefault="00B3385A" w:rsidP="00C05C3F">
      <w:pPr>
        <w:pStyle w:val="PlainText"/>
        <w:rPr>
          <w:rFonts w:ascii="Times New Roman" w:hAnsi="Times New Roman"/>
          <w:color w:val="auto"/>
          <w:sz w:val="20"/>
          <w:szCs w:val="20"/>
        </w:rPr>
      </w:pPr>
      <w:r w:rsidRPr="00614BEF">
        <w:rPr>
          <w:rStyle w:val="FootnoteReference"/>
          <w:color w:val="auto"/>
        </w:rPr>
        <w:footnoteRef/>
      </w:r>
      <w:r w:rsidRPr="00614BEF">
        <w:rPr>
          <w:color w:val="auto"/>
        </w:rPr>
        <w:t xml:space="preserve"> </w:t>
      </w:r>
      <w:r w:rsidRPr="00FF519D">
        <w:rPr>
          <w:rFonts w:ascii="Times New Roman" w:hAnsi="Times New Roman"/>
          <w:i/>
          <w:color w:val="auto"/>
          <w:sz w:val="20"/>
          <w:szCs w:val="20"/>
        </w:rPr>
        <w:t>See</w:t>
      </w:r>
      <w:r w:rsidRPr="00614BEF">
        <w:rPr>
          <w:rFonts w:ascii="Times New Roman" w:hAnsi="Times New Roman"/>
          <w:color w:val="auto"/>
          <w:sz w:val="20"/>
          <w:szCs w:val="20"/>
        </w:rPr>
        <w:t xml:space="preserve"> Dodd-Frank Wall Street Reform and Consumer Protection Act, Pub. </w:t>
      </w:r>
      <w:proofErr w:type="gramStart"/>
      <w:r w:rsidRPr="00614BEF">
        <w:rPr>
          <w:rFonts w:ascii="Times New Roman" w:hAnsi="Times New Roman"/>
          <w:color w:val="auto"/>
          <w:sz w:val="20"/>
          <w:szCs w:val="20"/>
        </w:rPr>
        <w:t>L. No. 111-203, 124 Stat. 1376 (2010).</w:t>
      </w:r>
      <w:proofErr w:type="gramEnd"/>
      <w:r>
        <w:rPr>
          <w:rFonts w:ascii="Times New Roman" w:hAnsi="Times New Roman"/>
          <w:color w:val="auto"/>
          <w:sz w:val="20"/>
          <w:szCs w:val="20"/>
        </w:rPr>
        <w:t xml:space="preserve">  </w:t>
      </w:r>
    </w:p>
    <w:p w:rsidR="00B3385A" w:rsidRDefault="00B3385A" w:rsidP="00C05C3F">
      <w:pPr>
        <w:pStyle w:val="FootnoteText"/>
      </w:pPr>
    </w:p>
  </w:footnote>
  <w:footnote w:id="2">
    <w:p w:rsidR="00B3385A" w:rsidRPr="00AF5E22" w:rsidRDefault="00B3385A" w:rsidP="00C05C3F">
      <w:pPr>
        <w:pStyle w:val="FootnoteText"/>
        <w:rPr>
          <w:i/>
        </w:rPr>
      </w:pPr>
      <w:r w:rsidRPr="00AF5E22">
        <w:rPr>
          <w:rStyle w:val="FootnoteReference"/>
        </w:rPr>
        <w:footnoteRef/>
      </w:r>
      <w:r w:rsidRPr="00AF5E22">
        <w:t xml:space="preserve"> </w:t>
      </w:r>
      <w:proofErr w:type="gramStart"/>
      <w:r w:rsidRPr="00AF5E22">
        <w:t xml:space="preserve">7 U.S.C. 1 </w:t>
      </w:r>
      <w:r w:rsidRPr="00AF5E22">
        <w:rPr>
          <w:i/>
        </w:rPr>
        <w:t>et seq.</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5A" w:rsidRDefault="00B338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7B"/>
    <w:multiLevelType w:val="hybridMultilevel"/>
    <w:tmpl w:val="DDCA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3F"/>
    <w:rsid w:val="000576BF"/>
    <w:rsid w:val="00072761"/>
    <w:rsid w:val="000803D6"/>
    <w:rsid w:val="00115369"/>
    <w:rsid w:val="00127E98"/>
    <w:rsid w:val="00190283"/>
    <w:rsid w:val="002F6957"/>
    <w:rsid w:val="00307E70"/>
    <w:rsid w:val="00375F0C"/>
    <w:rsid w:val="003E2E56"/>
    <w:rsid w:val="00482A98"/>
    <w:rsid w:val="004D5495"/>
    <w:rsid w:val="00585718"/>
    <w:rsid w:val="00607D38"/>
    <w:rsid w:val="006243BC"/>
    <w:rsid w:val="00625AA1"/>
    <w:rsid w:val="0063622E"/>
    <w:rsid w:val="00667CD6"/>
    <w:rsid w:val="006C31EC"/>
    <w:rsid w:val="006E504E"/>
    <w:rsid w:val="007029A9"/>
    <w:rsid w:val="007750CE"/>
    <w:rsid w:val="009309EC"/>
    <w:rsid w:val="00965DB8"/>
    <w:rsid w:val="00B3385A"/>
    <w:rsid w:val="00B91704"/>
    <w:rsid w:val="00BE6AC8"/>
    <w:rsid w:val="00C05C3F"/>
    <w:rsid w:val="00C23A3C"/>
    <w:rsid w:val="00CA05F2"/>
    <w:rsid w:val="00D27AE8"/>
    <w:rsid w:val="00D63FF6"/>
    <w:rsid w:val="00DB1AD1"/>
    <w:rsid w:val="00DB7297"/>
    <w:rsid w:val="00E87F90"/>
    <w:rsid w:val="00F378A6"/>
    <w:rsid w:val="00F5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05C3F"/>
    <w:rPr>
      <w:rFonts w:ascii="Times New Roman" w:hAnsi="Times New Roman"/>
      <w:sz w:val="20"/>
    </w:rPr>
  </w:style>
  <w:style w:type="character" w:customStyle="1" w:styleId="FootnoteTextChar">
    <w:name w:val="Footnote Text Char"/>
    <w:basedOn w:val="DefaultParagraphFont"/>
    <w:link w:val="FootnoteText"/>
    <w:semiHidden/>
    <w:rsid w:val="00C05C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05C3F"/>
    <w:rPr>
      <w:rFonts w:ascii="Times New Roman" w:hAnsi="Times New Roman"/>
      <w:sz w:val="20"/>
    </w:rPr>
  </w:style>
  <w:style w:type="character" w:customStyle="1" w:styleId="FootnoteTextChar">
    <w:name w:val="Footnote Text Char"/>
    <w:basedOn w:val="DefaultParagraphFont"/>
    <w:link w:val="FootnoteText"/>
    <w:semiHidden/>
    <w:rsid w:val="00C05C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MHargrow</dc:creator>
  <cp:lastModifiedBy>VHill</cp:lastModifiedBy>
  <cp:revision>4</cp:revision>
  <cp:lastPrinted>2011-04-18T19:58:00Z</cp:lastPrinted>
  <dcterms:created xsi:type="dcterms:W3CDTF">2012-03-12T19:26:00Z</dcterms:created>
  <dcterms:modified xsi:type="dcterms:W3CDTF">2012-03-13T16:28:00Z</dcterms:modified>
</cp:coreProperties>
</file>