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1B" w:rsidRPr="00AE76D4" w:rsidRDefault="00515EDB" w:rsidP="00836A1B">
      <w:pPr>
        <w:jc w:val="center"/>
      </w:pPr>
      <w:r>
        <w:t>FINAL</w:t>
      </w:r>
      <w:r w:rsidRPr="00AE76D4">
        <w:t xml:space="preserve"> </w:t>
      </w:r>
      <w:r w:rsidR="00836A1B" w:rsidRPr="00AE76D4">
        <w:t>OMB SUPPORTING STATEMENT</w:t>
      </w:r>
    </w:p>
    <w:p w:rsidR="00836A1B" w:rsidRPr="00AE76D4" w:rsidRDefault="00252401" w:rsidP="00836A1B">
      <w:pPr>
        <w:jc w:val="center"/>
      </w:pPr>
      <w:r w:rsidRPr="00AE76D4">
        <w:t>FOR</w:t>
      </w:r>
    </w:p>
    <w:p w:rsidR="00836A1B" w:rsidRPr="00AE76D4" w:rsidRDefault="00836A1B" w:rsidP="00836A1B">
      <w:pPr>
        <w:jc w:val="center"/>
      </w:pPr>
      <w:r w:rsidRPr="00AE76D4">
        <w:t>10 CFR PART 20</w:t>
      </w:r>
    </w:p>
    <w:p w:rsidR="00836A1B" w:rsidRPr="00AE76D4" w:rsidRDefault="00836A1B" w:rsidP="00836A1B">
      <w:pPr>
        <w:jc w:val="center"/>
      </w:pPr>
      <w:r w:rsidRPr="00AE76D4">
        <w:t>"STANDARDS FOR PROTECTION AGAINST RADIATION”</w:t>
      </w:r>
    </w:p>
    <w:p w:rsidR="00836A1B" w:rsidRPr="00AE76D4" w:rsidRDefault="00836A1B" w:rsidP="00836A1B">
      <w:pPr>
        <w:jc w:val="center"/>
      </w:pPr>
      <w:r w:rsidRPr="00AE76D4">
        <w:t xml:space="preserve">(3150-0014) </w:t>
      </w:r>
    </w:p>
    <w:p w:rsidR="00836A1B" w:rsidRPr="00AE76D4" w:rsidRDefault="00836A1B" w:rsidP="00836A1B">
      <w:pPr>
        <w:jc w:val="center"/>
      </w:pPr>
    </w:p>
    <w:p w:rsidR="00836A1B" w:rsidRPr="00AE76D4" w:rsidRDefault="00705048" w:rsidP="00836A1B">
      <w:pPr>
        <w:jc w:val="center"/>
      </w:pPr>
      <w:r>
        <w:t>REVI</w:t>
      </w:r>
      <w:r w:rsidR="00836A1B" w:rsidRPr="00AE76D4">
        <w:t>SION</w:t>
      </w:r>
    </w:p>
    <w:p w:rsidR="00836A1B" w:rsidRPr="00AE76D4" w:rsidRDefault="00836A1B" w:rsidP="00836A1B">
      <w:pPr>
        <w:jc w:val="center"/>
      </w:pPr>
    </w:p>
    <w:p w:rsidR="00836A1B" w:rsidRPr="00AE76D4" w:rsidRDefault="00836A1B" w:rsidP="00836A1B">
      <w:pPr>
        <w:jc w:val="center"/>
      </w:pPr>
    </w:p>
    <w:p w:rsidR="00836A1B" w:rsidRPr="00AE76D4" w:rsidRDefault="00836A1B" w:rsidP="00836A1B">
      <w:r w:rsidRPr="00AE76D4">
        <w:rPr>
          <w:u w:val="single"/>
        </w:rPr>
        <w:t>Description of the Information Collection</w:t>
      </w:r>
    </w:p>
    <w:p w:rsidR="00836A1B" w:rsidRPr="00AE76D4" w:rsidRDefault="00836A1B" w:rsidP="00836A1B">
      <w:pPr>
        <w:rPr>
          <w:sz w:val="24"/>
          <w:szCs w:val="24"/>
        </w:rPr>
      </w:pPr>
    </w:p>
    <w:p w:rsidR="00836A1B" w:rsidRPr="00AE76D4" w:rsidRDefault="00F418E7" w:rsidP="007E09F9">
      <w:r>
        <w:t>The g</w:t>
      </w:r>
      <w:r w:rsidR="00836A1B" w:rsidRPr="00AE76D4">
        <w:t xml:space="preserve">eneral requirements for radiation protection, that are applicable to all NRC licensees, are contained in 10 CFR Part 20, “Standards for Protection Against Radiation.” </w:t>
      </w:r>
      <w:r w:rsidR="00515EDB">
        <w:t xml:space="preserve"> </w:t>
      </w:r>
      <w:r w:rsidR="00836A1B" w:rsidRPr="00AE76D4">
        <w:t xml:space="preserve">These standards are based, in part, upon the recommendations of the International Commission on Radiological Protection (ICRP), the National Council on Radiation Protection and Measurements (NCRP), and incorporate Federal Guidance issued by the former Federal Radiation Council and the Environmental Protection Agency.  </w:t>
      </w:r>
      <w:r>
        <w:t>The p</w:t>
      </w:r>
      <w:r w:rsidR="00836A1B" w:rsidRPr="00AE76D4">
        <w:t>rovisions of Part 20 apply to individuals licensed by the NRC to possess byproduct, source, or special nuclear material.  Part 20 also contains criteria for decommissioning of facilities and termination of the facility license.  Part 20 is intended to ensure that occupationally exposed individuals and members of the public are adequately protected from the potential hazards of exposure to radiation and/or radioactive materials.</w:t>
      </w:r>
    </w:p>
    <w:p w:rsidR="00836A1B" w:rsidRPr="00AE76D4" w:rsidRDefault="00836A1B" w:rsidP="00836A1B">
      <w:pPr>
        <w:tabs>
          <w:tab w:val="left" w:pos="-1022"/>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36A1B" w:rsidRPr="00AE76D4" w:rsidRDefault="00836A1B" w:rsidP="00836A1B">
      <w:pPr>
        <w:tabs>
          <w:tab w:val="left" w:pos="-1022"/>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E76D4">
        <w:t>This clearance package covers the requirements for all sections of 10 CFR Part 20.  The recordkeeping and reporting requirements for possession of material have been centralized into two Subparts:  Subpart L -- Records (20.2102 - 2110) and Su</w:t>
      </w:r>
      <w:r w:rsidR="00991489">
        <w:t>bpart M -- Reports (20.2201-2207</w:t>
      </w:r>
      <w:r w:rsidRPr="00AE76D4">
        <w:t xml:space="preserve">).  Cross references to the recordkeeping requirements appear in other related portions of the Part 20 rule, but these cross references </w:t>
      </w:r>
      <w:r w:rsidRPr="00F418E7">
        <w:t>do not</w:t>
      </w:r>
      <w:r w:rsidRPr="00AE76D4">
        <w:t xml:space="preserve"> constitute separate recordkeeping requirements.  Recordkeeping and reporting requirements for license termination are contained in Subpart E.</w:t>
      </w:r>
    </w:p>
    <w:p w:rsidR="00836A1B" w:rsidRPr="00AE76D4" w:rsidRDefault="00836A1B" w:rsidP="00836A1B">
      <w:pPr>
        <w:tabs>
          <w:tab w:val="left" w:pos="-1022"/>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36A1B" w:rsidRPr="00AE76D4" w:rsidRDefault="00836A1B" w:rsidP="00836A1B">
      <w:pPr>
        <w:tabs>
          <w:tab w:val="left" w:pos="-1022"/>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E76D4">
        <w:t>Two record retention periods appear in Part 20:  3 year retention for most survey records</w:t>
      </w:r>
      <w:r w:rsidR="00515EDB">
        <w:t>,</w:t>
      </w:r>
      <w:r w:rsidRPr="00AE76D4">
        <w:t xml:space="preserve"> and retention for the lifetime of an active NRC license for those records of doses (or records that provide a basis for dose estimates) received by individual workers or members of the public.</w:t>
      </w:r>
    </w:p>
    <w:p w:rsidR="00BE336A" w:rsidRPr="00AE76D4" w:rsidRDefault="00BE336A" w:rsidP="00836A1B">
      <w:pPr>
        <w:tabs>
          <w:tab w:val="left" w:pos="-1022"/>
          <w:tab w:val="left" w:pos="-720"/>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36A1B" w:rsidRPr="00AE76D4" w:rsidRDefault="00836A1B" w:rsidP="001B44CC">
      <w:r w:rsidRPr="00AE76D4">
        <w:t>A.</w:t>
      </w:r>
      <w:r w:rsidRPr="00AE76D4">
        <w:tab/>
      </w:r>
      <w:r w:rsidRPr="00AE76D4">
        <w:rPr>
          <w:u w:val="single"/>
        </w:rPr>
        <w:t>JUSTIFICATION</w:t>
      </w:r>
    </w:p>
    <w:p w:rsidR="00836A1B" w:rsidRPr="00AE76D4" w:rsidRDefault="00836A1B" w:rsidP="00836A1B"/>
    <w:p w:rsidR="00836A1B" w:rsidRPr="00AE76D4" w:rsidRDefault="00836A1B" w:rsidP="001B44CC">
      <w:pPr>
        <w:ind w:left="720"/>
      </w:pPr>
      <w:r w:rsidRPr="00AE76D4">
        <w:t>The statutory authority of the NRC derives from the Atomic Energy Act of 1954 (AEA), as amended, the Energy Reorganization Act of 1974, as amended, the Uranium Mill Tailings Radiation Control Act of 1978 (UMTRCA), as amended, Low-Level Radioactive Waste Policy Act of 1980 (LLRWPA), Nuclear Waste Policy Act of 1982, and the National Environmental Policy Act of 1969 (NEPA).  The basic authorities from the Atomic Energy Act include licensing and regulation of production, use, ownership, and distribution of special nuclear materials, source material, and byproduct materials, and licensing and control over the manufacture, production, possession, use, importation, or exportation of production and utilization facilities.</w:t>
      </w:r>
    </w:p>
    <w:p w:rsidR="00067897" w:rsidRPr="00AE76D4" w:rsidRDefault="00067897" w:rsidP="00836A1B">
      <w:pPr>
        <w:ind w:left="1440" w:hanging="1440"/>
      </w:pPr>
    </w:p>
    <w:p w:rsidR="00836A1B" w:rsidRPr="00AE76D4" w:rsidRDefault="00836A1B" w:rsidP="001B44CC">
      <w:pPr>
        <w:keepNext/>
        <w:keepLines/>
        <w:ind w:left="720"/>
      </w:pPr>
      <w:r w:rsidRPr="00AE76D4">
        <w:lastRenderedPageBreak/>
        <w:t xml:space="preserve">Section 161b of the AEA provides that the Commission may establish such standards as the Commission deems necessary to protect public health and safety.  Section 161o gives the Commission authority to require by rule, regulation, or order, such reports, and </w:t>
      </w:r>
      <w:r w:rsidR="00F418E7">
        <w:t xml:space="preserve">the </w:t>
      </w:r>
      <w:r w:rsidRPr="00AE76D4">
        <w:t>keeping of such records as may be necessary to carry out the purposes of the Act.</w:t>
      </w:r>
    </w:p>
    <w:p w:rsidR="00BE336A" w:rsidRPr="00AE76D4" w:rsidRDefault="00BE336A" w:rsidP="00836A1B">
      <w:pPr>
        <w:ind w:left="1440" w:hanging="1440"/>
      </w:pPr>
    </w:p>
    <w:p w:rsidR="00836A1B" w:rsidRPr="00AE76D4" w:rsidRDefault="00836A1B" w:rsidP="003175AB">
      <w:pPr>
        <w:ind w:left="720"/>
      </w:pPr>
      <w:r w:rsidRPr="00AE76D4">
        <w:t>1.</w:t>
      </w:r>
      <w:r w:rsidRPr="00AE76D4">
        <w:tab/>
      </w:r>
      <w:r w:rsidRPr="00AE76D4">
        <w:rPr>
          <w:u w:val="single"/>
        </w:rPr>
        <w:t>Need for and Practical Utility of the Collection of Information</w:t>
      </w:r>
    </w:p>
    <w:p w:rsidR="00836A1B" w:rsidRPr="00AE76D4" w:rsidRDefault="00836A1B" w:rsidP="00836A1B"/>
    <w:p w:rsidR="00836A1B" w:rsidRPr="00AE76D4" w:rsidRDefault="00836A1B" w:rsidP="003175AB">
      <w:pPr>
        <w:ind w:left="1440"/>
        <w:rPr>
          <w:u w:val="single"/>
        </w:rPr>
      </w:pPr>
      <w:r w:rsidRPr="00AE76D4">
        <w:t xml:space="preserve">The information collected is used to evaluate the effectiveness of NRC regulations and to discern any trends, problems, or special situations requiring additional controls.  The NRC uses information on worker exposures and effluents from </w:t>
      </w:r>
      <w:r w:rsidR="00F7215E">
        <w:t xml:space="preserve">facilities such as </w:t>
      </w:r>
      <w:r w:rsidRPr="00AE76D4">
        <w:t>nuclear power plants to analyze trends and compare licensee performance.  This information is also published in annual reports for use by industry and other interested organizations.  The NRC also uses the information to assess applications for decommissioning and license termination.</w:t>
      </w:r>
    </w:p>
    <w:p w:rsidR="00836A1B" w:rsidRPr="00AE76D4" w:rsidRDefault="00836A1B" w:rsidP="00836A1B">
      <w:pPr>
        <w:rPr>
          <w:u w:val="single"/>
        </w:rPr>
      </w:pPr>
    </w:p>
    <w:p w:rsidR="00836A1B" w:rsidRPr="00AE76D4" w:rsidRDefault="00705048" w:rsidP="003175AB">
      <w:pPr>
        <w:ind w:left="1440"/>
      </w:pPr>
      <w:r>
        <w:rPr>
          <w:u w:val="single"/>
        </w:rPr>
        <w:t>10 CFR</w:t>
      </w:r>
      <w:r w:rsidR="00836A1B" w:rsidRPr="00AE76D4">
        <w:rPr>
          <w:u w:val="single"/>
        </w:rPr>
        <w:t xml:space="preserve"> 20.1003</w:t>
      </w:r>
      <w:r w:rsidR="00836A1B" w:rsidRPr="00AE76D4">
        <w:t xml:space="preserve"> defines a declared pregnant woman as </w:t>
      </w:r>
      <w:r w:rsidR="00F418E7">
        <w:t xml:space="preserve">a woman </w:t>
      </w:r>
      <w:r w:rsidR="00836A1B" w:rsidRPr="00AE76D4">
        <w:t xml:space="preserve">who has </w:t>
      </w:r>
      <w:r w:rsidR="00F418E7">
        <w:t>voluntarily informed the licensee</w:t>
      </w:r>
      <w:r w:rsidR="00836A1B" w:rsidRPr="00AE76D4">
        <w:t xml:space="preserve"> in writing that she is pregnant.  Licensees are required to maintain records of doses to the embryo/fetus </w:t>
      </w:r>
      <w:r w:rsidR="00F418E7">
        <w:t>and</w:t>
      </w:r>
      <w:r w:rsidR="00836A1B" w:rsidRPr="00AE76D4">
        <w:t xml:space="preserve"> the declared pregnant woman in </w:t>
      </w:r>
      <w:r>
        <w:t>10 CFR</w:t>
      </w:r>
      <w:r w:rsidR="00836A1B" w:rsidRPr="00AE76D4">
        <w:t xml:space="preserve"> 20.2106.  Licensees are not required to maintain the declaration itself; therefore, this does not constitute a separate recordkeeping requirement.</w:t>
      </w:r>
      <w:r w:rsidR="00DB1628" w:rsidRPr="00AE76D4">
        <w:t xml:space="preserve">  </w:t>
      </w:r>
    </w:p>
    <w:p w:rsidR="00DB1628" w:rsidRPr="00AE76D4" w:rsidRDefault="00DB1628" w:rsidP="003175AB">
      <w:pPr>
        <w:ind w:left="1440"/>
      </w:pPr>
    </w:p>
    <w:p w:rsidR="00836A1B" w:rsidRPr="00AE76D4" w:rsidRDefault="00836A1B" w:rsidP="003175AB">
      <w:pPr>
        <w:ind w:left="1440" w:hanging="2160"/>
      </w:pPr>
      <w:r w:rsidRPr="00AE76D4">
        <w:tab/>
      </w:r>
      <w:r w:rsidR="00705048">
        <w:rPr>
          <w:u w:val="single"/>
        </w:rPr>
        <w:t>10 CFR</w:t>
      </w:r>
      <w:r w:rsidRPr="00AE76D4">
        <w:rPr>
          <w:u w:val="single"/>
        </w:rPr>
        <w:t xml:space="preserve"> 20.1101</w:t>
      </w:r>
      <w:r w:rsidRPr="00AE76D4">
        <w:t xml:space="preserve"> requires licensees to develop, document and implement radiation protection programs; establish radiation protection procedures; and perform program reviews periodically.  This is necessary to ensure the health and safety of the workers and the general public.  The burden for recordkeeping requirements is contained in </w:t>
      </w:r>
      <w:r w:rsidR="00705048" w:rsidRPr="00F418E7">
        <w:t>10</w:t>
      </w:r>
      <w:r w:rsidR="00515EDB">
        <w:t> </w:t>
      </w:r>
      <w:r w:rsidR="00705048" w:rsidRPr="00F418E7">
        <w:t>CFR</w:t>
      </w:r>
      <w:r w:rsidRPr="00F418E7">
        <w:t xml:space="preserve"> 20.2102</w:t>
      </w:r>
      <w:r w:rsidRPr="00AE76D4">
        <w:t>.</w:t>
      </w:r>
    </w:p>
    <w:p w:rsidR="00836A1B" w:rsidRPr="00AE76D4" w:rsidRDefault="00836A1B" w:rsidP="003175AB">
      <w:pPr>
        <w:ind w:left="1440"/>
      </w:pPr>
    </w:p>
    <w:p w:rsidR="00836A1B" w:rsidRPr="00AE76D4" w:rsidRDefault="00836A1B" w:rsidP="003175AB">
      <w:pPr>
        <w:ind w:left="1440" w:hanging="2160"/>
      </w:pPr>
      <w:r w:rsidRPr="00AE76D4">
        <w:tab/>
      </w:r>
      <w:r w:rsidR="00705048" w:rsidRPr="00705048">
        <w:rPr>
          <w:u w:val="single"/>
        </w:rPr>
        <w:t>10 CFR</w:t>
      </w:r>
      <w:r w:rsidR="001D09C1" w:rsidRPr="00705048">
        <w:rPr>
          <w:u w:val="single"/>
        </w:rPr>
        <w:t xml:space="preserve"> </w:t>
      </w:r>
      <w:r w:rsidR="001D09C1" w:rsidRPr="00705048">
        <w:rPr>
          <w:color w:val="000000" w:themeColor="text1"/>
          <w:u w:val="single"/>
        </w:rPr>
        <w:t>2</w:t>
      </w:r>
      <w:r w:rsidR="001D09C1" w:rsidRPr="00705048">
        <w:rPr>
          <w:u w:val="single"/>
        </w:rPr>
        <w:t>0.1201 and</w:t>
      </w:r>
      <w:r w:rsidR="00C560FC" w:rsidRPr="00705048">
        <w:rPr>
          <w:u w:val="single"/>
        </w:rPr>
        <w:t xml:space="preserve"> 20.1202</w:t>
      </w:r>
      <w:r w:rsidRPr="00AE76D4">
        <w:t xml:space="preserve"> set limits for occupational exposures.  The recordkeeping requirements for this section are contained in </w:t>
      </w:r>
      <w:r w:rsidR="00705048" w:rsidRPr="00F418E7">
        <w:t>10 CFR</w:t>
      </w:r>
      <w:r w:rsidR="003175AB" w:rsidRPr="003175AB">
        <w:t xml:space="preserve"> </w:t>
      </w:r>
      <w:r w:rsidRPr="00F418E7">
        <w:t>20.2106</w:t>
      </w:r>
      <w:r w:rsidRPr="00AE76D4">
        <w:t>.  Dose limits are necessary to ensure the health and safety of the w</w:t>
      </w:r>
      <w:r w:rsidR="00F7215E">
        <w:t>orkers</w:t>
      </w:r>
      <w:r w:rsidRPr="00AE76D4">
        <w:t xml:space="preserve">.  The reporting requirements for this section are contained in </w:t>
      </w:r>
      <w:r w:rsidR="00705048" w:rsidRPr="00F418E7">
        <w:t>10 CFR</w:t>
      </w:r>
      <w:r w:rsidRPr="00F418E7">
        <w:t xml:space="preserve"> 20.2206</w:t>
      </w:r>
      <w:r w:rsidRPr="005D3230">
        <w:t xml:space="preserve">.  </w:t>
      </w:r>
      <w:r w:rsidR="00C560FC" w:rsidRPr="005D3230">
        <w:t>Both r</w:t>
      </w:r>
      <w:r w:rsidR="007E36DC">
        <w:t xml:space="preserve">equirements are covered under the </w:t>
      </w:r>
      <w:r w:rsidR="00C560FC" w:rsidRPr="005D3230">
        <w:t>OMB clearance for NRC Forms 4 and 5</w:t>
      </w:r>
      <w:r w:rsidR="007E36DC">
        <w:t xml:space="preserve"> (3150-0005 and 3150-0006, respectively).</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20.1203</w:t>
      </w:r>
      <w:r w:rsidR="00836A1B" w:rsidRPr="00AE76D4">
        <w:t xml:space="preserve"> requires licensees to determine dose from airborne radioactive material.  This is necessary to ensure compliance with dose limits.  The recordkeeping and reporting requirements for this section are contained in </w:t>
      </w:r>
      <w:r w:rsidRPr="00F418E7">
        <w:t>10 CFR</w:t>
      </w:r>
      <w:r w:rsidR="00836A1B" w:rsidRPr="00F418E7">
        <w:t xml:space="preserve"> 20.2106 and 20.2206</w:t>
      </w:r>
      <w:r w:rsidR="00836A1B" w:rsidRPr="00AE76D4">
        <w:t xml:space="preserve"> respectively </w:t>
      </w:r>
      <w:r w:rsidR="00836A1B" w:rsidRPr="005D3230">
        <w:t xml:space="preserve">and </w:t>
      </w:r>
      <w:r w:rsidR="00C560FC" w:rsidRPr="005D3230">
        <w:t xml:space="preserve">are covered under a separate OMB </w:t>
      </w:r>
      <w:r w:rsidR="007E36DC">
        <w:t>clearance for NRC Forms 4 and 5 (OMB 3150-0005 and 3150-0006).</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20.1204</w:t>
      </w:r>
      <w:r w:rsidR="00836A1B" w:rsidRPr="00AE76D4">
        <w:t xml:space="preserve"> requires licensees to make measurements as needed to </w:t>
      </w:r>
      <w:r w:rsidR="00836A1B" w:rsidRPr="00705048">
        <w:rPr>
          <w:color w:val="000000" w:themeColor="text1"/>
        </w:rPr>
        <w:t xml:space="preserve">assess </w:t>
      </w:r>
      <w:r w:rsidR="00E21245" w:rsidRPr="00705048">
        <w:rPr>
          <w:color w:val="000000" w:themeColor="text1"/>
        </w:rPr>
        <w:t xml:space="preserve">internal exposures </w:t>
      </w:r>
      <w:r w:rsidR="00836A1B" w:rsidRPr="00705048">
        <w:rPr>
          <w:color w:val="000000" w:themeColor="text1"/>
        </w:rPr>
        <w:t>of</w:t>
      </w:r>
      <w:r w:rsidR="00836A1B" w:rsidRPr="00AE76D4">
        <w:t xml:space="preserve"> occupationally exposed individuals.  The recordkeeping and reporting requirements for this section are contained in </w:t>
      </w:r>
      <w:r w:rsidRPr="00F418E7">
        <w:t>10 CFR</w:t>
      </w:r>
      <w:r w:rsidR="00836A1B" w:rsidRPr="00F418E7">
        <w:t xml:space="preserve"> 20.2106 and 20.2206</w:t>
      </w:r>
      <w:r w:rsidR="00836A1B" w:rsidRPr="00AE76D4">
        <w:t xml:space="preserve"> respectively and </w:t>
      </w:r>
      <w:r w:rsidR="00C560FC" w:rsidRPr="005D3230">
        <w:t xml:space="preserve">are covered under a separate OMB </w:t>
      </w:r>
      <w:r w:rsidR="007E36DC">
        <w:t>clearance for NRC Forms 4 and 5 (OMB 3150-0005 and 3150-0006).</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20.1206</w:t>
      </w:r>
      <w:r w:rsidR="00836A1B" w:rsidRPr="00AE76D4">
        <w:t xml:space="preserve"> sets limits for planned special exposures.  This is necessary to ensure the health and safety of workers.  The recordkeeping and reporting </w:t>
      </w:r>
      <w:r w:rsidR="00836A1B" w:rsidRPr="00AE76D4">
        <w:lastRenderedPageBreak/>
        <w:t xml:space="preserve">requirements for this section are contained in </w:t>
      </w:r>
      <w:r w:rsidRPr="00F418E7">
        <w:t>10 CFR</w:t>
      </w:r>
      <w:r w:rsidR="00836A1B" w:rsidRPr="008971D8">
        <w:t xml:space="preserve"> </w:t>
      </w:r>
      <w:r w:rsidR="00836A1B" w:rsidRPr="00F418E7">
        <w:t>20.2105 and 20.2204</w:t>
      </w:r>
      <w:r w:rsidR="00836A1B" w:rsidRPr="00AE76D4">
        <w:t xml:space="preserve"> respectively.</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20.1208</w:t>
      </w:r>
      <w:r w:rsidR="00836A1B" w:rsidRPr="00AE76D4">
        <w:t xml:space="preserve"> sets limits for doses to an embryo/fetus of a declared pregnant worker.  This is necessary to protect the health and safety of the unborn.  The recordkeeping requirement for this section is contained in </w:t>
      </w:r>
      <w:r w:rsidRPr="00F418E7">
        <w:t>10</w:t>
      </w:r>
      <w:r w:rsidR="00573E22" w:rsidRPr="00F418E7">
        <w:t> </w:t>
      </w:r>
      <w:r w:rsidRPr="00F418E7">
        <w:t>CFR</w:t>
      </w:r>
      <w:r w:rsidR="00836A1B" w:rsidRPr="00F418E7">
        <w:t xml:space="preserve"> 20.2106(e).</w:t>
      </w:r>
    </w:p>
    <w:p w:rsidR="00836A1B" w:rsidRPr="00AE76D4" w:rsidRDefault="00836A1B" w:rsidP="003175AB">
      <w:pPr>
        <w:ind w:left="1440"/>
      </w:pPr>
    </w:p>
    <w:p w:rsidR="00836A1B" w:rsidRPr="00AE76D4" w:rsidRDefault="00705048" w:rsidP="003175AB">
      <w:pPr>
        <w:ind w:left="1440"/>
      </w:pPr>
      <w:r w:rsidRPr="00DF6F31">
        <w:rPr>
          <w:u w:val="single"/>
        </w:rPr>
        <w:t>10 CFR</w:t>
      </w:r>
      <w:r w:rsidR="00836A1B" w:rsidRPr="00DF6F31">
        <w:rPr>
          <w:u w:val="single"/>
        </w:rPr>
        <w:t xml:space="preserve"> 20.1301(</w:t>
      </w:r>
      <w:r w:rsidR="001868B0" w:rsidRPr="00DF6F31">
        <w:rPr>
          <w:u w:val="single"/>
        </w:rPr>
        <w:t>d</w:t>
      </w:r>
      <w:r w:rsidR="00836A1B" w:rsidRPr="00DF6F31">
        <w:rPr>
          <w:u w:val="single"/>
        </w:rPr>
        <w:t>)</w:t>
      </w:r>
      <w:r w:rsidR="00836A1B" w:rsidRPr="00AE76D4">
        <w:t xml:space="preserve"> allows licensees to apply to the Commission to increase the dose limit for the general public from 0.1 rem/y</w:t>
      </w:r>
      <w:r w:rsidR="00F418E7">
        <w:t>ea</w:t>
      </w:r>
      <w:r w:rsidR="00836A1B" w:rsidRPr="00AE76D4">
        <w:t>r to up to 0.5 rem/y</w:t>
      </w:r>
      <w:r w:rsidR="00F418E7">
        <w:t>ea</w:t>
      </w:r>
      <w:r w:rsidR="00836A1B" w:rsidRPr="00AE76D4">
        <w:t>r.  This is needed to ensure that a temporary deviation from the established dose limits adequately protects the health and safety of workers and the public.</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20.1302(c)</w:t>
      </w:r>
      <w:r w:rsidR="00836A1B" w:rsidRPr="00AE76D4">
        <w:t xml:space="preserve"> allows licensees to apply to the Commission for permission to use alternate effluent release concentration limits based on actual physical and chemical characteristics of the effluent released.  This is needed to ensure that if alternate va</w:t>
      </w:r>
      <w:r w:rsidR="00F418E7">
        <w:t>lues are used by licensees, then</w:t>
      </w:r>
      <w:r w:rsidR="00836A1B" w:rsidRPr="00AE76D4">
        <w:t xml:space="preserve"> the</w:t>
      </w:r>
      <w:r w:rsidR="00F418E7">
        <w:t xml:space="preserve"> values</w:t>
      </w:r>
      <w:r w:rsidR="00836A1B" w:rsidRPr="00AE76D4">
        <w:t xml:space="preserve"> are adequate to protect the health and safety of the public.</w:t>
      </w:r>
    </w:p>
    <w:p w:rsidR="00836A1B" w:rsidRPr="00AE76D4" w:rsidRDefault="00836A1B" w:rsidP="003175AB">
      <w:pPr>
        <w:ind w:left="1440"/>
      </w:pPr>
    </w:p>
    <w:p w:rsidR="007E36DC" w:rsidRDefault="00705048" w:rsidP="003175AB">
      <w:pPr>
        <w:ind w:left="1440"/>
      </w:pPr>
      <w:r>
        <w:rPr>
          <w:u w:val="single"/>
        </w:rPr>
        <w:t>10 CFR</w:t>
      </w:r>
      <w:r w:rsidR="00836A1B" w:rsidRPr="00AE76D4">
        <w:rPr>
          <w:u w:val="single"/>
        </w:rPr>
        <w:t xml:space="preserve"> 20.1403(a)-(c) and (e)(1)</w:t>
      </w:r>
      <w:r w:rsidR="00836A1B" w:rsidRPr="00AE76D4">
        <w:t xml:space="preserve"> require that, if restrictions on future use of the site are proposed, the information </w:t>
      </w:r>
      <w:r w:rsidR="00F418E7">
        <w:t xml:space="preserve">that </w:t>
      </w:r>
      <w:r w:rsidR="00836A1B" w:rsidRPr="00AE76D4">
        <w:t xml:space="preserve">the </w:t>
      </w:r>
      <w:r w:rsidR="00836A1B" w:rsidRPr="008E5B07">
        <w:t>license</w:t>
      </w:r>
      <w:r>
        <w:t>e</w:t>
      </w:r>
      <w:r w:rsidR="00836A1B" w:rsidRPr="00AE76D4">
        <w:t xml:space="preserve"> must provide is as follows:  (1) further reductions in residual radioactivity necessary to release the site for unrestricted use would result in net public or environmental harm or were not being made because the residual levels associated with restricted conditions are ALARA; (2) adequate provisions for legally enforceable institutional controls </w:t>
      </w:r>
      <w:r w:rsidR="00F418E7">
        <w:t xml:space="preserve">that </w:t>
      </w:r>
      <w:r w:rsidR="00836A1B" w:rsidRPr="00AE76D4">
        <w:t>provide reasonable assurance that the total effective dose equivalent (TEDE) from residual radioactivity distinguishable from background to the average member of the critical group will not exceed 25 mrem per year; (3) provisions have been made for sufficient financial assurance to enable an independent third party to ass</w:t>
      </w:r>
      <w:r w:rsidR="00F418E7">
        <w:t>ume and carry out responsibilities</w:t>
      </w:r>
      <w:r w:rsidR="00836A1B" w:rsidRPr="00AE76D4">
        <w:t xml:space="preserve"> for any necessary control and maintenance of the site; and (4) residual radioactivity at the site has been reduced so that if the institutional controls were no longer in effect, there is reasonable assurance that the TEDE </w:t>
      </w:r>
      <w:r w:rsidR="00F418E7">
        <w:t xml:space="preserve">from residual radioactivity distinguishable </w:t>
      </w:r>
      <w:r w:rsidR="00836A1B" w:rsidRPr="00AE76D4">
        <w:t>from background to the average member of the critical group is as low as reasonably achievable and would</w:t>
      </w:r>
      <w:r w:rsidR="007E36DC">
        <w:t xml:space="preserve"> not exceed 100 mrem per year.</w:t>
      </w:r>
    </w:p>
    <w:p w:rsidR="007E36DC" w:rsidRDefault="007E36DC" w:rsidP="003175AB">
      <w:pPr>
        <w:ind w:left="1440"/>
        <w:rPr>
          <w:u w:val="single"/>
        </w:rPr>
      </w:pPr>
    </w:p>
    <w:p w:rsidR="00650616" w:rsidRPr="00AE76D4" w:rsidRDefault="00650616" w:rsidP="003175AB">
      <w:pPr>
        <w:ind w:left="1440"/>
      </w:pPr>
      <w:r>
        <w:rPr>
          <w:u w:val="single"/>
        </w:rPr>
        <w:t>10 CFR</w:t>
      </w:r>
      <w:r w:rsidRPr="00AE76D4">
        <w:rPr>
          <w:u w:val="single"/>
        </w:rPr>
        <w:t xml:space="preserve"> 20.1403(d)</w:t>
      </w:r>
      <w:r w:rsidRPr="00AE76D4">
        <w:t xml:space="preserve"> requires that a decommissioning plan or License Termination Plan (LTP) be submitted </w:t>
      </w:r>
      <w:r>
        <w:t xml:space="preserve">to the Commission </w:t>
      </w:r>
      <w:r w:rsidRPr="00AE76D4">
        <w:t xml:space="preserve">by the licensee indicating the licensee’s intent to decommission in accordance with 10 CFR Parts 30.36(d), 40.42(d), 50.82(a) and (b), 70.38(d), or 72.54, and specifying that the licensee intends to decommission by restricting use of the site, and that the decommissioning plan or LTP document how the advice of individuals or institutions in the community who may be affected by the decommissioning has been sought and incorporated, as appropriate, following analysis of that advice.  In seeking advice on issues associated with restricted use, licensees are required to provide for participation by a broad cross section of community interests who may be affected by the decommissioning, provide an opportunity for comprehensive, collective discussion on the issues by the participants represented, and prepare a publicly available summary of the results of all such discussions, including a description of the individual viewpoints of the participants </w:t>
      </w:r>
      <w:r w:rsidRPr="00AE76D4">
        <w:lastRenderedPageBreak/>
        <w:t>on the issues and the extent of agreement and disagreement among the participants on the issues.</w:t>
      </w:r>
    </w:p>
    <w:p w:rsidR="00650616" w:rsidRDefault="00650616" w:rsidP="00650616">
      <w:pPr>
        <w:rPr>
          <w:u w:val="single"/>
        </w:rPr>
      </w:pPr>
    </w:p>
    <w:p w:rsidR="00836A1B" w:rsidRPr="00AE76D4" w:rsidRDefault="00705048" w:rsidP="003175AB">
      <w:pPr>
        <w:ind w:left="1440"/>
      </w:pPr>
      <w:r w:rsidRPr="007E36DC">
        <w:rPr>
          <w:u w:val="single"/>
        </w:rPr>
        <w:t>10 CFR</w:t>
      </w:r>
      <w:r w:rsidR="00836A1B" w:rsidRPr="007E36DC">
        <w:rPr>
          <w:u w:val="single"/>
        </w:rPr>
        <w:t xml:space="preserve"> </w:t>
      </w:r>
      <w:r w:rsidR="00650616">
        <w:rPr>
          <w:u w:val="single"/>
        </w:rPr>
        <w:t>20.</w:t>
      </w:r>
      <w:r w:rsidR="00836A1B" w:rsidRPr="007E36DC">
        <w:rPr>
          <w:u w:val="single"/>
        </w:rPr>
        <w:t>1403(e)(2)</w:t>
      </w:r>
      <w:r w:rsidR="00836A1B" w:rsidRPr="00AE76D4">
        <w:t xml:space="preserve"> requires that, as an option to the 100 mrem per year level, a level of 500 mrem/year may be allowed if the licensee demonstrates that further reductions in residual radioactivity necessary to comply with the 100 mrem/year value are not technically achievable, would be prohibitively expensive, or would result in net public or environmental harm, that provisions exist for durable institutional controls, and that there is sufficient financial assurance to enable a responsible government entity, or independent third party, both to carry out periodic rechecks of the site no less frequently than every 5 years and to assume and carry out responsibilities for any necessary control and maintenance of those controls.</w:t>
      </w:r>
    </w:p>
    <w:p w:rsidR="00836A1B" w:rsidRPr="00AE76D4" w:rsidRDefault="00836A1B" w:rsidP="003175AB">
      <w:pPr>
        <w:ind w:left="1440"/>
      </w:pPr>
    </w:p>
    <w:p w:rsidR="008971D8" w:rsidRDefault="00705048" w:rsidP="003175AB">
      <w:pPr>
        <w:ind w:left="1440"/>
      </w:pPr>
      <w:r>
        <w:rPr>
          <w:u w:val="single"/>
        </w:rPr>
        <w:t>10 CFR</w:t>
      </w:r>
      <w:r w:rsidR="00836A1B" w:rsidRPr="00AE76D4">
        <w:rPr>
          <w:u w:val="single"/>
        </w:rPr>
        <w:t xml:space="preserve"> 20.1404</w:t>
      </w:r>
      <w:r w:rsidR="00836A1B" w:rsidRPr="00AE76D4">
        <w:t xml:space="preserve"> requires that, if the licensee proposes to use alternate criteria, the information the license must provide is as follows:  (1) an analysis of possible sources of exposure which provides assurance that public health and safety would continue to be protected, and that it is unlikely that the dose from all man-made sources combined, other than medical, would be more than the 1 </w:t>
      </w:r>
      <w:proofErr w:type="spellStart"/>
      <w:r w:rsidR="00836A1B" w:rsidRPr="00AE76D4">
        <w:t>mSv</w:t>
      </w:r>
      <w:proofErr w:type="spellEnd"/>
      <w:r w:rsidR="00836A1B" w:rsidRPr="00AE76D4">
        <w:t>/y</w:t>
      </w:r>
      <w:r w:rsidR="0087592C">
        <w:t>ear</w:t>
      </w:r>
      <w:r w:rsidR="00836A1B" w:rsidRPr="00AE76D4">
        <w:t xml:space="preserve"> (100 </w:t>
      </w:r>
      <w:proofErr w:type="spellStart"/>
      <w:r w:rsidR="00836A1B" w:rsidRPr="00AE76D4">
        <w:t>mrem</w:t>
      </w:r>
      <w:proofErr w:type="spellEnd"/>
      <w:r w:rsidR="00836A1B" w:rsidRPr="00AE76D4">
        <w:t>/</w:t>
      </w:r>
      <w:r w:rsidR="0087592C" w:rsidRPr="00AE76D4">
        <w:t>y</w:t>
      </w:r>
      <w:r w:rsidR="0087592C">
        <w:t>ear</w:t>
      </w:r>
      <w:r w:rsidR="00836A1B" w:rsidRPr="00AE76D4">
        <w:t xml:space="preserve">) limit of </w:t>
      </w:r>
      <w:r w:rsidR="003175AB">
        <w:t>S</w:t>
      </w:r>
      <w:r w:rsidR="00836A1B" w:rsidRPr="00AE76D4">
        <w:t xml:space="preserve">ubpart D of 10 CFR Part 20; (2) an indication that restrictions on site use according to the provisions of </w:t>
      </w:r>
    </w:p>
    <w:p w:rsidR="00836A1B" w:rsidRPr="00AE76D4" w:rsidRDefault="00705048" w:rsidP="003175AB">
      <w:pPr>
        <w:ind w:left="1440"/>
      </w:pPr>
      <w:r>
        <w:t>10 CFR</w:t>
      </w:r>
      <w:r w:rsidR="00836A1B" w:rsidRPr="00AE76D4">
        <w:t xml:space="preserve"> 20.1403 have been employed to the extent practical to minimize exposures at the site; (3) doses have been reduced to ALARA levels; and (4) a decommissioning plan or LTP has been submitted indicating the licensee's intent to decommission in accordance with 10 CFR Parts 30.36(d), 40.42(d), 50.82(a) and (b), 70.38(d), or 72.54, and specifying that the licensee proposes to decommission by use of alternate criteria, and documenting in the decommissioning plan or LTP how the advice of individuals and institutions in the community who may be affected by the decommissioning has been sought and incorporated, as appropriate, following analysis of that advice. </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20.1406</w:t>
      </w:r>
      <w:r w:rsidR="00836A1B" w:rsidRPr="00AE76D4">
        <w:t xml:space="preserve"> requires applicants for licenses to describe in the application how facility design and procedures for operation will minimize contamination of the facility and the environment, facilitate eventual decommissioning, and minimize the generation of radioactive waste.</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20.1501</w:t>
      </w:r>
      <w:r w:rsidR="00836A1B" w:rsidRPr="00AE76D4">
        <w:t xml:space="preserve"> requires licensees to conduct surveys and to monitor radiological conditions.  These are necessary to ensure that the licensee is aware of all the radiological conditions that could contribute to dose in order to comply with dose limits.  The recordkeeping requirements for this section are contained in </w:t>
      </w:r>
      <w:r w:rsidRPr="0087592C">
        <w:t>10 CFR</w:t>
      </w:r>
      <w:r w:rsidR="00836A1B" w:rsidRPr="0087592C">
        <w:t xml:space="preserve"> 20.2103</w:t>
      </w:r>
      <w:r w:rsidR="00836A1B" w:rsidRPr="00AE76D4">
        <w:t>.</w:t>
      </w:r>
    </w:p>
    <w:p w:rsidR="00C242E5" w:rsidRDefault="00C242E5" w:rsidP="003175AB">
      <w:pPr>
        <w:autoSpaceDE/>
        <w:autoSpaceDN/>
        <w:adjustRightInd/>
        <w:ind w:left="1440"/>
        <w:rPr>
          <w:u w:val="single"/>
        </w:rPr>
      </w:pPr>
    </w:p>
    <w:p w:rsidR="00836A1B" w:rsidRPr="00AE76D4" w:rsidRDefault="00705048" w:rsidP="003175AB">
      <w:pPr>
        <w:ind w:left="1440"/>
      </w:pPr>
      <w:r>
        <w:rPr>
          <w:u w:val="single"/>
        </w:rPr>
        <w:t>10 CFR</w:t>
      </w:r>
      <w:r w:rsidR="00836A1B" w:rsidRPr="00AE76D4">
        <w:rPr>
          <w:u w:val="single"/>
        </w:rPr>
        <w:t xml:space="preserve"> 20.1601(c)</w:t>
      </w:r>
      <w:r w:rsidR="00836A1B" w:rsidRPr="00AE76D4">
        <w:t xml:space="preserve"> allows licensees to apply to the Commission for approval of alternate methods for contro</w:t>
      </w:r>
      <w:r w:rsidR="00C0235C">
        <w:t>l</w:t>
      </w:r>
      <w:r w:rsidR="00836A1B" w:rsidRPr="00AE76D4">
        <w:t>l</w:t>
      </w:r>
      <w:r w:rsidR="0087592C">
        <w:t>ing</w:t>
      </w:r>
      <w:r w:rsidR="00836A1B" w:rsidRPr="00AE76D4">
        <w:t xml:space="preserve"> access to high radiation areas.  This is needed to ensure that any proposed deviation from established mechanisms adequately protects the health and safety of workers and the public.</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20.1703(b)</w:t>
      </w:r>
      <w:r w:rsidR="00836A1B" w:rsidRPr="00AE76D4">
        <w:t xml:space="preserve"> allows licensees to </w:t>
      </w:r>
      <w:r w:rsidR="0087592C">
        <w:t>submit an application</w:t>
      </w:r>
      <w:r w:rsidR="00836A1B" w:rsidRPr="00AE76D4">
        <w:t xml:space="preserve"> to the Commission for permission to use respiratory protection equipment that has not been </w:t>
      </w:r>
      <w:r w:rsidR="00C6007A">
        <w:t xml:space="preserve">tested </w:t>
      </w:r>
      <w:r w:rsidR="00C6007A">
        <w:lastRenderedPageBreak/>
        <w:t>or certified</w:t>
      </w:r>
      <w:r w:rsidR="00836A1B" w:rsidRPr="00AE76D4">
        <w:t xml:space="preserve"> for use by NIOSH.  Records of this application and its approval are required to ensure that licensee practices are in compliance with regulations.</w:t>
      </w:r>
    </w:p>
    <w:p w:rsidR="00836A1B" w:rsidRPr="00AE76D4" w:rsidRDefault="00836A1B" w:rsidP="001B44CC">
      <w:pPr>
        <w:ind w:left="720"/>
      </w:pPr>
    </w:p>
    <w:p w:rsidR="00836A1B" w:rsidRPr="00AE76D4" w:rsidRDefault="00705048" w:rsidP="003175AB">
      <w:pPr>
        <w:ind w:left="1440"/>
      </w:pPr>
      <w:r>
        <w:rPr>
          <w:u w:val="single"/>
        </w:rPr>
        <w:t>10 CFR</w:t>
      </w:r>
      <w:r w:rsidR="00836A1B" w:rsidRPr="00AE76D4">
        <w:rPr>
          <w:u w:val="single"/>
        </w:rPr>
        <w:t xml:space="preserve"> 20.1703(c)(2)</w:t>
      </w:r>
      <w:r w:rsidR="00836A1B" w:rsidRPr="00AE76D4">
        <w:t xml:space="preserve"> requires licensees to perform surveys and bioassay as needed to evaluate actual intakes.  The recordkeeping requirement for this </w:t>
      </w:r>
      <w:r w:rsidR="00836A1B" w:rsidRPr="00CF430F">
        <w:t>paragraph</w:t>
      </w:r>
      <w:r w:rsidR="00836A1B" w:rsidRPr="00AE76D4">
        <w:t xml:space="preserve"> is contained in </w:t>
      </w:r>
      <w:r w:rsidRPr="00C6007A">
        <w:t>10 CFR</w:t>
      </w:r>
      <w:r w:rsidR="00836A1B" w:rsidRPr="00C6007A">
        <w:t xml:space="preserve"> 20.2103</w:t>
      </w:r>
      <w:r w:rsidR="00836A1B" w:rsidRPr="00AE76D4">
        <w:t>.  These records are needed so that NRC can ensure, through inspection, that the licensee is adequately protecting the health and safety of workers.</w:t>
      </w:r>
    </w:p>
    <w:p w:rsidR="00836A1B" w:rsidRPr="00AE76D4" w:rsidRDefault="00836A1B" w:rsidP="003175AB">
      <w:pPr>
        <w:ind w:left="1440"/>
        <w:rPr>
          <w:u w:val="single"/>
        </w:rPr>
      </w:pPr>
    </w:p>
    <w:p w:rsidR="00836A1B" w:rsidRPr="00AE76D4" w:rsidRDefault="00705048" w:rsidP="003175AB">
      <w:pPr>
        <w:ind w:left="1440"/>
      </w:pPr>
      <w:r>
        <w:rPr>
          <w:u w:val="single"/>
        </w:rPr>
        <w:t>10 CFR</w:t>
      </w:r>
      <w:r w:rsidR="00836A1B" w:rsidRPr="00AE76D4">
        <w:rPr>
          <w:u w:val="single"/>
        </w:rPr>
        <w:t xml:space="preserve"> 20.1703(c)(4)</w:t>
      </w:r>
      <w:r w:rsidR="00836A1B" w:rsidRPr="00AE76D4">
        <w:t xml:space="preserve"> requires licensees to have written procedures regarding the proper issue and use of respiratory protection equipment.  This is needed to ensure, through inspection, that these devices are used consistent with the goal to maintain occupational doses ALARA and in a safe manner.</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20.1705(a)</w:t>
      </w:r>
      <w:r w:rsidR="00C6007A">
        <w:rPr>
          <w:u w:val="single"/>
        </w:rPr>
        <w:t xml:space="preserve"> and </w:t>
      </w:r>
      <w:r w:rsidR="00836A1B" w:rsidRPr="00AE76D4">
        <w:rPr>
          <w:u w:val="single"/>
        </w:rPr>
        <w:t>(b)</w:t>
      </w:r>
      <w:r w:rsidR="00836A1B" w:rsidRPr="00AE76D4">
        <w:t xml:space="preserve"> </w:t>
      </w:r>
      <w:r w:rsidR="00C6007A">
        <w:t xml:space="preserve">required </w:t>
      </w:r>
      <w:r w:rsidR="00836A1B" w:rsidRPr="00AE76D4">
        <w:t xml:space="preserve">licensees to </w:t>
      </w:r>
      <w:r w:rsidR="00C6007A">
        <w:t xml:space="preserve">submit an application </w:t>
      </w:r>
      <w:r w:rsidR="00836A1B" w:rsidRPr="00AE76D4">
        <w:t xml:space="preserve">to the Commission </w:t>
      </w:r>
      <w:r w:rsidR="00C6007A">
        <w:t xml:space="preserve">before using assigned </w:t>
      </w:r>
      <w:r w:rsidR="00836A1B" w:rsidRPr="00AE76D4">
        <w:t>protection factors higher than those in Appendix A for the purpose of calculating exposures.  Records of this application and its approval are required to ensure that respiratory protective equipment is being used in a manner that will protect the health and safety of workers.</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20.1901(b)</w:t>
      </w:r>
      <w:r w:rsidR="00771990">
        <w:rPr>
          <w:u w:val="single"/>
        </w:rPr>
        <w:t xml:space="preserve"> and </w:t>
      </w:r>
      <w:r w:rsidR="00836A1B" w:rsidRPr="00AE76D4">
        <w:rPr>
          <w:u w:val="single"/>
        </w:rPr>
        <w:t xml:space="preserve">(c) </w:t>
      </w:r>
      <w:r w:rsidR="00836A1B" w:rsidRPr="00AE76D4">
        <w:t xml:space="preserve">allows licensees to label sources, source holders, or device components containing sources of licensed materials and to provide additional information, as appropriate, to make individuals aware of potential radiation exposures </w:t>
      </w:r>
      <w:r w:rsidR="00771990">
        <w:t xml:space="preserve">and </w:t>
      </w:r>
      <w:r w:rsidR="00836A1B" w:rsidRPr="00AE76D4">
        <w:t>to minimize exposure</w:t>
      </w:r>
      <w:r w:rsidR="00771990">
        <w:t>s</w:t>
      </w:r>
      <w:r w:rsidR="00836A1B" w:rsidRPr="00AE76D4">
        <w:t>.</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20.1904</w:t>
      </w:r>
      <w:r w:rsidR="00836A1B" w:rsidRPr="00AE76D4">
        <w:t xml:space="preserve"> requires that labels used to identify radioactive material containers use specified formats and wording.  This is needed to minimize potential doses or releases of radioactive material due to worker confusion.</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20.1905(e)</w:t>
      </w:r>
      <w:r w:rsidR="00836A1B" w:rsidRPr="00AE76D4">
        <w:t xml:space="preserve"> requires that licensees maintain records of radioactive material containers that cannot be labeled in accordance with this Part due to special circumstances for the life of the container.  This is necessary to ensure that radioactive material is properly monitored at all times.</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20.1906(d)</w:t>
      </w:r>
      <w:r w:rsidR="00836A1B" w:rsidRPr="00AE76D4">
        <w:t xml:space="preserve"> requires licensees to notify the carrier and the NRC regional office upon receipt of a radioactive material package which is damaged, contaminated, or where radiation levels exceed limits.  This is needed so that NRC can, through inspection, ensure that shipment procedures and practices are adequate to protect the health and safety of workers and the public.</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20.1906(e)</w:t>
      </w:r>
      <w:r w:rsidR="00836A1B" w:rsidRPr="00AE76D4">
        <w:t xml:space="preserve"> requires licensees to develop</w:t>
      </w:r>
      <w:r w:rsidR="00FF3EE0">
        <w:t>,</w:t>
      </w:r>
      <w:r w:rsidR="00836A1B" w:rsidRPr="00AE76D4">
        <w:t xml:space="preserve"> maintain</w:t>
      </w:r>
      <w:r w:rsidR="00FF3EE0">
        <w:t xml:space="preserve"> and retain written</w:t>
      </w:r>
      <w:r w:rsidR="00836A1B" w:rsidRPr="00AE76D4">
        <w:t xml:space="preserve"> procedures regarding radioactive material shipment.  This is needed to ensure that the packages containing radioactive material will be opened in a manner consistent with the protection of the health and safety of the public and workers.</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20.2002</w:t>
      </w:r>
      <w:r w:rsidR="00836A1B" w:rsidRPr="00AE76D4">
        <w:t xml:space="preserve"> allows licensees to apply to the Commission for approval of procedures not otherwise allowed in this Part regarding the disposal of licensed material.  The application must include:</w:t>
      </w:r>
      <w:r w:rsidR="003175AB">
        <w:t xml:space="preserve">  </w:t>
      </w:r>
      <w:r w:rsidR="00836A1B" w:rsidRPr="00AE76D4">
        <w:t xml:space="preserve">(a) a description of the waste, (b) an environmental analysis, (c) the </w:t>
      </w:r>
      <w:r w:rsidR="00FF3EE0">
        <w:t xml:space="preserve">nature and </w:t>
      </w:r>
      <w:r w:rsidR="00836A1B" w:rsidRPr="00AE76D4">
        <w:t>location(s) of other potentially affected facilities</w:t>
      </w:r>
      <w:r w:rsidR="003175AB">
        <w:t>,</w:t>
      </w:r>
      <w:r w:rsidR="00836A1B" w:rsidRPr="00AE76D4">
        <w:t xml:space="preserve"> and (d) analyses and procedures to ensure that doses are ALARA.</w:t>
      </w:r>
      <w:r w:rsidR="00FF3EE0">
        <w:t xml:space="preserve">  </w:t>
      </w:r>
      <w:r w:rsidR="00836A1B" w:rsidRPr="00AE76D4">
        <w:lastRenderedPageBreak/>
        <w:t>This is needed to ensure that licensed material is handled in a manner that will adequately protect the health and safety of the public and workers.</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20.2004</w:t>
      </w:r>
      <w:r w:rsidR="00836A1B" w:rsidRPr="00AE76D4">
        <w:t xml:space="preserve"> requires Part 50 licensees who incinerate waste oils onsite to report any changes or additions to the information supplied under </w:t>
      </w:r>
      <w:r>
        <w:t>10 CFR</w:t>
      </w:r>
      <w:r w:rsidR="00836A1B" w:rsidRPr="00AE76D4">
        <w:t xml:space="preserve"> 50.34 and 50.34a, and to follow the procedures of </w:t>
      </w:r>
      <w:r>
        <w:t>10</w:t>
      </w:r>
      <w:r w:rsidR="00FF3EE0">
        <w:t> </w:t>
      </w:r>
      <w:r>
        <w:t>CFR</w:t>
      </w:r>
      <w:r w:rsidR="00FF3EE0">
        <w:t> </w:t>
      </w:r>
      <w:r w:rsidR="00836A1B" w:rsidRPr="00AE76D4">
        <w:t>50.59 with respect to such changes.  This is needed so that NRC can assure that radioactive effluents associated with incineration of waste oils conform to the requirements of Appendix I to 10 CFR Part 50.</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20.2005(c)</w:t>
      </w:r>
      <w:r w:rsidR="00836A1B" w:rsidRPr="00AE76D4">
        <w:t xml:space="preserve"> requires licensees to maintain records of waste disposal.  The recordkeeping requirement for this section is contained in </w:t>
      </w:r>
      <w:r>
        <w:rPr>
          <w:u w:val="single"/>
        </w:rPr>
        <w:t>10 CFR</w:t>
      </w:r>
      <w:r w:rsidR="00836A1B" w:rsidRPr="00AE76D4">
        <w:rPr>
          <w:u w:val="single"/>
        </w:rPr>
        <w:t xml:space="preserve"> 20.2108</w:t>
      </w:r>
      <w:r w:rsidR="00836A1B" w:rsidRPr="00AE76D4">
        <w:t>.  This is needed to allow NRC to ensure, through inspection, that waste disposal is in accordance with NRC regulations.</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20.2006(a)</w:t>
      </w:r>
      <w:r w:rsidR="00836A1B" w:rsidRPr="00AE76D4">
        <w:t xml:space="preserve"> requires that licensees establish a manifest tracking system to control transfers of low-level radioactive waste intended for disposal at a land disposal facility so that NRC can inspect to ensure that adequate control of this material exists as specified in Appendix G to §§</w:t>
      </w:r>
      <w:r w:rsidR="00573E22">
        <w:t> </w:t>
      </w:r>
      <w:r w:rsidR="00836A1B" w:rsidRPr="00AE76D4">
        <w:t xml:space="preserve">20.1001-20.2402.  </w:t>
      </w:r>
      <w:r w:rsidRPr="00FF3EE0">
        <w:t>10 CFR</w:t>
      </w:r>
      <w:r w:rsidR="00836A1B" w:rsidRPr="00FF3EE0">
        <w:t xml:space="preserve"> 20.2006(b)</w:t>
      </w:r>
      <w:r w:rsidR="00836A1B" w:rsidRPr="00AE76D4">
        <w:t xml:space="preserve"> requires that licensees use NRC's Uniform Low-level Radioactive Waste Manifest and transfer this information to the intended consignee, as specified in Section I of Appendix G to §§ 20.1001</w:t>
      </w:r>
      <w:r w:rsidR="00836A1B" w:rsidRPr="00AE76D4">
        <w:softHyphen/>
        <w:t xml:space="preserve">-20.2402.  </w:t>
      </w:r>
      <w:r w:rsidRPr="00FF3EE0">
        <w:t>10 CFR</w:t>
      </w:r>
      <w:r w:rsidR="00836A1B" w:rsidRPr="00FF3EE0">
        <w:t xml:space="preserve"> 20.2006 (c)</w:t>
      </w:r>
      <w:r w:rsidR="00836A1B" w:rsidRPr="00AE76D4">
        <w:t xml:space="preserve"> requires a certification by the waste generator, processor, or collector as specified in Section II of Appendix G to §§ 20.1001-20.2402.</w:t>
      </w:r>
    </w:p>
    <w:p w:rsidR="00836A1B" w:rsidRPr="00AE76D4" w:rsidRDefault="00836A1B" w:rsidP="003175AB">
      <w:pPr>
        <w:ind w:left="1440"/>
      </w:pPr>
    </w:p>
    <w:p w:rsidR="00836A1B" w:rsidRDefault="00836A1B" w:rsidP="003175AB">
      <w:pPr>
        <w:ind w:left="1440"/>
      </w:pPr>
      <w:r w:rsidRPr="00AE76D4">
        <w:t xml:space="preserve">The information in </w:t>
      </w:r>
      <w:r w:rsidR="00705048">
        <w:t>10 CFR</w:t>
      </w:r>
      <w:r w:rsidRPr="00AE76D4">
        <w:t xml:space="preserve"> 20.2006 (a)-(c) is needed to control shipments and disposal of Low Level Waste (LLW) to insure public health and safety and to protect the environment.  The specific requirements are discussed in more detail in Appendix G. </w:t>
      </w:r>
    </w:p>
    <w:p w:rsidR="00D83A14" w:rsidRDefault="00D83A14" w:rsidP="003175AB">
      <w:pPr>
        <w:ind w:left="1440"/>
      </w:pPr>
    </w:p>
    <w:p w:rsidR="00D83A14" w:rsidRPr="00D83A14" w:rsidRDefault="00D83A14" w:rsidP="003175AB">
      <w:pPr>
        <w:ind w:left="1440"/>
      </w:pPr>
      <w:r w:rsidRPr="00DF6F31">
        <w:t>These reporting requirements are covered under the clearances for NRC Forms 540, 541, and 542 (OMB Clearance numbers 3150-0164, 3150-0166, and 3150-0165).</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20.2102(a)</w:t>
      </w:r>
      <w:r w:rsidR="00836A1B" w:rsidRPr="00AE76D4">
        <w:t xml:space="preserve"> requires licensees to maintain records of the radiation protection program, including ALARA provisions and program reviews.  This is needed so that NRC can ensure, through inspection, that the health and safety of workers and the public is adequately protected.</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20.2102(b)</w:t>
      </w:r>
      <w:r w:rsidR="00836A1B" w:rsidRPr="00AE76D4">
        <w:t xml:space="preserve"> requires licensees to retain records of radiation protection programs until the Commission terminates the license.  This is needed so that workers will have ready access to radiation protection programs and procedures as long as the facility is in operation.  This paragraph further requires that licensees retain records of radiation protection program reviews for 3 years.  This is needed so that adequate records will exist at the time of inspection to determine if the radiation protection program adequately protects the health and safety of workers and the public.</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20.2103(a)</w:t>
      </w:r>
      <w:r w:rsidR="00836A1B" w:rsidRPr="00AE76D4">
        <w:t xml:space="preserve"> requires licensees to maintain records showing the results of surveys and calibrations required by this Part.</w:t>
      </w:r>
      <w:r w:rsidR="00FF3EE0">
        <w:t xml:space="preserve">  These records will be maintained </w:t>
      </w:r>
      <w:r w:rsidR="00FF3EE0">
        <w:lastRenderedPageBreak/>
        <w:t>for 3 years after the records are created.</w:t>
      </w:r>
      <w:r w:rsidR="00836A1B" w:rsidRPr="00AE76D4">
        <w:t xml:space="preserve">  This is needed to ensure, through inspection, that surveys required for adequate radiation protection have been made.</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20.2103(b)</w:t>
      </w:r>
      <w:r w:rsidR="00836A1B" w:rsidRPr="00AE76D4">
        <w:t xml:space="preserve"> requires licensees to maintain records </w:t>
      </w:r>
      <w:r w:rsidR="00FF3EE0">
        <w:t>that</w:t>
      </w:r>
      <w:r w:rsidR="00836A1B" w:rsidRPr="00AE76D4">
        <w:t xml:space="preserve"> form the basis of dose estimates</w:t>
      </w:r>
      <w:r w:rsidR="00FF3EE0">
        <w:t>, results of air sampling surveys, and bioassays required under the Radiation Protection Standard and results of measurements and calculations used to evaluate radioactive effluents released to the environment be</w:t>
      </w:r>
      <w:r w:rsidR="00836A1B" w:rsidRPr="00AE76D4">
        <w:t xml:space="preserve"> maintained for as long as the facility is licensed by NRC.  This is needed to ensure that adequate records exist at the time of routine inspection to support an assertion that adequate radiation surveys have been performed and to ensure that adequate records exist to reconstruct a worker’s dose estimate at any time during the period in which the facility is licensed by NRC.</w:t>
      </w:r>
    </w:p>
    <w:p w:rsidR="00836A1B" w:rsidRPr="00AE76D4" w:rsidRDefault="00836A1B" w:rsidP="001B44CC">
      <w:pPr>
        <w:ind w:left="720"/>
      </w:pPr>
    </w:p>
    <w:p w:rsidR="00836A1B" w:rsidRPr="00AE76D4" w:rsidRDefault="00705048" w:rsidP="003175AB">
      <w:pPr>
        <w:ind w:left="1440"/>
      </w:pPr>
      <w:r>
        <w:rPr>
          <w:u w:val="single"/>
        </w:rPr>
        <w:t>10 CFR</w:t>
      </w:r>
      <w:r w:rsidR="00836A1B" w:rsidRPr="00AE76D4">
        <w:rPr>
          <w:u w:val="single"/>
        </w:rPr>
        <w:t xml:space="preserve"> 20.2104</w:t>
      </w:r>
      <w:r w:rsidR="00836A1B" w:rsidRPr="00AE76D4">
        <w:t xml:space="preserve"> requires licensees to attempt to obtain records of prior occupational exposures prior to authorizing entry into restricted or controlled areas by individuals for whom personnel radiation monitoring is required.  This recordkeeping requirement is </w:t>
      </w:r>
      <w:r w:rsidR="00C560FC" w:rsidRPr="005D3230">
        <w:t>covered in a separate OMB clearance for NRC Form 4 (OMB clearance number 3150-0005).</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20.2105</w:t>
      </w:r>
      <w:r w:rsidR="00836A1B" w:rsidRPr="00AE76D4">
        <w:t xml:space="preserve"> requires </w:t>
      </w:r>
      <w:r w:rsidR="00FF3EE0">
        <w:t>licensees to maintain</w:t>
      </w:r>
      <w:r w:rsidR="00836A1B" w:rsidRPr="00AE76D4">
        <w:t xml:space="preserve"> records of planned special exposures be maintained until the Commission terminates the license since they form the basis for assessing dose to an individual.</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20.2106</w:t>
      </w:r>
      <w:r w:rsidR="00836A1B" w:rsidRPr="00AE76D4">
        <w:t xml:space="preserve"> requires </w:t>
      </w:r>
      <w:r w:rsidR="00EC7897">
        <w:t xml:space="preserve">licensees to record and maintain the </w:t>
      </w:r>
      <w:r w:rsidR="00836A1B" w:rsidRPr="00AE76D4">
        <w:t xml:space="preserve">results of individual monitoring until the Commission terminates the license.  This recordkeeping requirement is </w:t>
      </w:r>
      <w:r w:rsidR="00C560FC" w:rsidRPr="005D3230">
        <w:t>covered in a separate OMB clearance for NRC Form 5 (OMB clearance number 3150-0006)</w:t>
      </w:r>
      <w:r w:rsidR="00836A1B" w:rsidRPr="005D3230">
        <w:t>.</w:t>
      </w:r>
    </w:p>
    <w:p w:rsidR="002861CC" w:rsidRDefault="002861CC" w:rsidP="003175AB">
      <w:pPr>
        <w:autoSpaceDE/>
        <w:autoSpaceDN/>
        <w:adjustRightInd/>
        <w:ind w:left="1440"/>
      </w:pPr>
    </w:p>
    <w:p w:rsidR="00EC7897" w:rsidRDefault="00705048" w:rsidP="003175AB">
      <w:pPr>
        <w:ind w:left="1440"/>
      </w:pPr>
      <w:r>
        <w:rPr>
          <w:u w:val="single"/>
        </w:rPr>
        <w:t>10 CFR</w:t>
      </w:r>
      <w:r w:rsidR="00836A1B" w:rsidRPr="00AE76D4">
        <w:rPr>
          <w:u w:val="single"/>
        </w:rPr>
        <w:t xml:space="preserve"> 20.2107(a)</w:t>
      </w:r>
      <w:r w:rsidR="00836A1B" w:rsidRPr="00AE76D4">
        <w:t xml:space="preserve"> requires </w:t>
      </w:r>
      <w:r w:rsidR="00EC7897">
        <w:t xml:space="preserve">licensees to maintain records of compliance with does limit for individuals of the public.  </w:t>
      </w:r>
      <w:r w:rsidR="00836A1B" w:rsidRPr="00AE76D4">
        <w:t xml:space="preserve">This is needed to permit assessment of the dose to the public that might result from these radionuclide releases in order to confirm compliance with dose limits.  </w:t>
      </w:r>
    </w:p>
    <w:p w:rsidR="00EC7897" w:rsidRDefault="00EC7897" w:rsidP="003175AB">
      <w:pPr>
        <w:ind w:left="1440"/>
      </w:pPr>
    </w:p>
    <w:p w:rsidR="00836A1B" w:rsidRPr="00AE76D4" w:rsidRDefault="00705048" w:rsidP="003175AB">
      <w:pPr>
        <w:ind w:left="1440"/>
      </w:pPr>
      <w:r>
        <w:rPr>
          <w:u w:val="single"/>
        </w:rPr>
        <w:t>10 CFR</w:t>
      </w:r>
      <w:r w:rsidR="00836A1B" w:rsidRPr="00AE76D4">
        <w:rPr>
          <w:u w:val="single"/>
        </w:rPr>
        <w:t xml:space="preserve"> 20.2107(b)</w:t>
      </w:r>
      <w:r w:rsidR="00836A1B" w:rsidRPr="00AE76D4">
        <w:t xml:space="preserve"> requires that the records</w:t>
      </w:r>
      <w:r w:rsidR="00EC7897">
        <w:t xml:space="preserve"> required in 10 CFR 20.210(a)</w:t>
      </w:r>
      <w:r w:rsidR="00836A1B" w:rsidRPr="00AE76D4">
        <w:t xml:space="preserve"> be maintained until the license is terminated by the Commission as they form the basis for estimating dose.</w:t>
      </w:r>
    </w:p>
    <w:p w:rsidR="00836A1B" w:rsidRPr="00AE76D4" w:rsidRDefault="00836A1B" w:rsidP="003175AB">
      <w:pPr>
        <w:ind w:left="1440"/>
      </w:pPr>
    </w:p>
    <w:p w:rsidR="00EC7897" w:rsidRDefault="00705048" w:rsidP="003175AB">
      <w:pPr>
        <w:ind w:left="1440"/>
      </w:pPr>
      <w:r>
        <w:rPr>
          <w:u w:val="single"/>
        </w:rPr>
        <w:t>10 CFR</w:t>
      </w:r>
      <w:r w:rsidR="00836A1B" w:rsidRPr="00AE76D4">
        <w:rPr>
          <w:u w:val="single"/>
        </w:rPr>
        <w:t xml:space="preserve"> 20.2108(a)</w:t>
      </w:r>
      <w:r w:rsidR="00836A1B" w:rsidRPr="00AE76D4">
        <w:t xml:space="preserve"> requires </w:t>
      </w:r>
      <w:r w:rsidR="00EC7897">
        <w:t xml:space="preserve">licensee to maintain </w:t>
      </w:r>
      <w:r w:rsidR="00836A1B" w:rsidRPr="00AE76D4">
        <w:t xml:space="preserve">records of waste disposal to permit (1) routine inspection for compliance with the provisions of the sections in Part 20 related to waste disposal, (2) inspection against constraints on the kinds and quantities of licensed material in the possession of the licensee at any given time, and (3) assessment of the kinds and quantities of radioactive material disposed of by various methods and the potential dose to the public.  </w:t>
      </w:r>
    </w:p>
    <w:p w:rsidR="00EC7897" w:rsidRDefault="00EC7897" w:rsidP="003175AB">
      <w:pPr>
        <w:ind w:left="1440"/>
      </w:pPr>
    </w:p>
    <w:p w:rsidR="00836A1B" w:rsidRPr="00AE76D4" w:rsidRDefault="00705048" w:rsidP="003175AB">
      <w:pPr>
        <w:ind w:left="1440"/>
      </w:pPr>
      <w:r>
        <w:rPr>
          <w:u w:val="single"/>
        </w:rPr>
        <w:t>10 CFR</w:t>
      </w:r>
      <w:r w:rsidR="00836A1B" w:rsidRPr="00AE76D4">
        <w:rPr>
          <w:u w:val="single"/>
        </w:rPr>
        <w:t xml:space="preserve"> 20.2108(b)</w:t>
      </w:r>
      <w:r w:rsidR="00836A1B" w:rsidRPr="00AE76D4">
        <w:t xml:space="preserve"> requires that the</w:t>
      </w:r>
      <w:r w:rsidR="00EC7897">
        <w:t xml:space="preserve"> waste disposal</w:t>
      </w:r>
      <w:r w:rsidR="00836A1B" w:rsidRPr="00AE76D4">
        <w:t xml:space="preserve"> records be retained until the termination of the license by the Commission.</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20.2110</w:t>
      </w:r>
      <w:r w:rsidR="00836A1B" w:rsidRPr="00AE76D4">
        <w:t xml:space="preserve"> establishes the quality, format and retention of records required by this Part.  There are no additional recordkeeping or reporting requirements </w:t>
      </w:r>
      <w:r w:rsidR="00836A1B" w:rsidRPr="00AE76D4">
        <w:lastRenderedPageBreak/>
        <w:t>associated with this section.  This only establishes a common format to minimize confusion for workers moving from licensee to licensee in the course of their employment and to facilitate inspection.</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20.2201(a)</w:t>
      </w:r>
      <w:r w:rsidR="00836A1B" w:rsidRPr="00AE76D4">
        <w:t xml:space="preserve"> requires licensees to report any theft or loss of licensed material by telephone immediately or in writing within 30 days, dependent upon the potential risk to the health and safety of the public associated with the missing radioactive material.  This is needed so that prompt corrective action can be taken.</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20.2201(b)</w:t>
      </w:r>
      <w:r w:rsidR="00836A1B" w:rsidRPr="00AE76D4">
        <w:t xml:space="preserve"> requires licensees to follow up telephone reports with written reports of the incident within 30 days of the telephone report.  This is needed to ensure that </w:t>
      </w:r>
      <w:r w:rsidR="00EC7897">
        <w:t xml:space="preserve">the </w:t>
      </w:r>
      <w:r w:rsidR="00836A1B" w:rsidRPr="00AE76D4">
        <w:t>proper follow-up actions were taken by the licensee.</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20.2201(d)</w:t>
      </w:r>
      <w:r w:rsidR="00836A1B" w:rsidRPr="00AE76D4">
        <w:t xml:space="preserve"> requires </w:t>
      </w:r>
      <w:r w:rsidR="00EC7897">
        <w:t xml:space="preserve">the licensees to report </w:t>
      </w:r>
      <w:r w:rsidR="00836A1B" w:rsidRPr="00AE76D4">
        <w:t>any additional information relevant to the loss of radioactive material, discovered subsequent to the written report, be submitted within 30 days of discovery.  This is needed to ensure that</w:t>
      </w:r>
      <w:r w:rsidR="00EC7897">
        <w:t xml:space="preserve"> the</w:t>
      </w:r>
      <w:r w:rsidR="00836A1B" w:rsidRPr="00AE76D4">
        <w:t xml:space="preserve"> actions</w:t>
      </w:r>
      <w:r w:rsidR="00EC7897">
        <w:t xml:space="preserve"> were</w:t>
      </w:r>
      <w:r w:rsidR="00836A1B" w:rsidRPr="00AE76D4">
        <w:t xml:space="preserve"> taken to protect the health and safety of workers and the public are based on complete information regarding the event.</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20.2202(a)</w:t>
      </w:r>
      <w:r w:rsidR="001271D7">
        <w:t xml:space="preserve"> require</w:t>
      </w:r>
      <w:r w:rsidR="00836A1B" w:rsidRPr="00AE76D4">
        <w:t xml:space="preserve"> that the licensee </w:t>
      </w:r>
      <w:r w:rsidR="00836A1B" w:rsidRPr="00EC7897">
        <w:t xml:space="preserve">immediately notify </w:t>
      </w:r>
      <w:r w:rsidR="00EC7897" w:rsidRPr="00EC7897">
        <w:t xml:space="preserve">the </w:t>
      </w:r>
      <w:r w:rsidR="00836A1B" w:rsidRPr="00EC7897">
        <w:t>NRC</w:t>
      </w:r>
      <w:r w:rsidR="00836A1B" w:rsidRPr="00AE76D4">
        <w:t xml:space="preserve"> upon becoming aware of specific incidents causing substantial exposures to or release of licensed material.  This is needed so that </w:t>
      </w:r>
      <w:r w:rsidR="00EC7897">
        <w:t xml:space="preserve">the </w:t>
      </w:r>
      <w:r w:rsidR="00836A1B" w:rsidRPr="00AE76D4">
        <w:t>NRC can identify possible generic problems and notify other licensees.</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20.2202(b)</w:t>
      </w:r>
      <w:r w:rsidR="00836A1B" w:rsidRPr="00AE76D4">
        <w:t xml:space="preserve"> requires that the licensee </w:t>
      </w:r>
      <w:r w:rsidR="00836A1B" w:rsidRPr="00EC7897">
        <w:t xml:space="preserve">notify </w:t>
      </w:r>
      <w:r w:rsidR="00EC7897" w:rsidRPr="00EC7897">
        <w:t xml:space="preserve">the </w:t>
      </w:r>
      <w:r w:rsidR="00836A1B" w:rsidRPr="00EC7897">
        <w:t>NRC within 24</w:t>
      </w:r>
      <w:r w:rsidR="00836A1B" w:rsidRPr="00AE76D4">
        <w:rPr>
          <w:u w:val="single"/>
        </w:rPr>
        <w:t xml:space="preserve"> </w:t>
      </w:r>
      <w:r w:rsidR="00836A1B" w:rsidRPr="002861CC">
        <w:t>hours</w:t>
      </w:r>
      <w:r w:rsidR="00836A1B" w:rsidRPr="00AE76D4">
        <w:t xml:space="preserve"> upon becoming aware of specific incidents involving licensed material.  This is needed to allow early evaluation of the incident by NRC to ensure that appropriate action can be taken to protect against further hazard to life or property.</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20.2203(a)</w:t>
      </w:r>
      <w:r w:rsidR="00836A1B" w:rsidRPr="00AE76D4">
        <w:t xml:space="preserve"> establishes that, in addition to the notification required by </w:t>
      </w:r>
      <w:r w:rsidRPr="00EC7897">
        <w:t>10 CFR</w:t>
      </w:r>
      <w:r w:rsidR="00836A1B" w:rsidRPr="00EC7897">
        <w:t xml:space="preserve"> 20.2202</w:t>
      </w:r>
      <w:r w:rsidR="00836A1B" w:rsidRPr="00AE76D4">
        <w:t xml:space="preserve">, each licensee </w:t>
      </w:r>
      <w:r w:rsidR="00EC7897">
        <w:t>is required to</w:t>
      </w:r>
      <w:r w:rsidR="00836A1B" w:rsidRPr="00AE76D4">
        <w:t xml:space="preserve"> submit a written report within 30 days after learning of specific incidents involving doses or concentrations of radioactive materials in excess of limits.  This is needed to ensure that there are appropriate follow-up actions to avoid a recurrence.  </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20.2203(b)</w:t>
      </w:r>
      <w:r w:rsidR="00836A1B" w:rsidRPr="00AE76D4">
        <w:t xml:space="preserve"> contains the requirements for the content of reports required by </w:t>
      </w:r>
      <w:r w:rsidRPr="00EC7897">
        <w:t>10 CFR</w:t>
      </w:r>
      <w:r w:rsidR="00836A1B" w:rsidRPr="00EC7897">
        <w:t xml:space="preserve"> 20.2203(a)</w:t>
      </w:r>
      <w:r w:rsidR="00836A1B" w:rsidRPr="00AE76D4">
        <w:t>.</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20.2204</w:t>
      </w:r>
      <w:r w:rsidR="00836A1B" w:rsidRPr="00AE76D4">
        <w:t xml:space="preserve"> requires </w:t>
      </w:r>
      <w:r w:rsidR="00EC7897">
        <w:t>licensees to submit a written</w:t>
      </w:r>
      <w:r w:rsidR="00836A1B" w:rsidRPr="00AE76D4">
        <w:t xml:space="preserve"> report to the NRC within 30 days after a planned special exposure.  This is needed to ensure that the use of planned special exposures is in accordance with requirements.</w:t>
      </w:r>
    </w:p>
    <w:p w:rsidR="00836A1B" w:rsidRPr="00AE76D4" w:rsidRDefault="00836A1B" w:rsidP="003175AB">
      <w:pPr>
        <w:ind w:left="1440"/>
      </w:pPr>
    </w:p>
    <w:p w:rsidR="00836A1B" w:rsidRPr="00AE76D4" w:rsidRDefault="00705048" w:rsidP="003175AB">
      <w:pPr>
        <w:ind w:left="1440"/>
      </w:pPr>
      <w:r>
        <w:rPr>
          <w:u w:val="single"/>
        </w:rPr>
        <w:t>10 CFR</w:t>
      </w:r>
      <w:r w:rsidR="00836A1B" w:rsidRPr="00AE76D4">
        <w:rPr>
          <w:u w:val="single"/>
        </w:rPr>
        <w:t xml:space="preserve"> 20.2205 </w:t>
      </w:r>
      <w:r w:rsidR="00836A1B" w:rsidRPr="00AE76D4">
        <w:t xml:space="preserve">establishes that when a licensee is required, pursuant to </w:t>
      </w:r>
      <w:r w:rsidRPr="00EC7897">
        <w:t>10 CFR</w:t>
      </w:r>
      <w:r w:rsidR="00836A1B" w:rsidRPr="00EC7897">
        <w:t xml:space="preserve"> 20.2203</w:t>
      </w:r>
      <w:r w:rsidRPr="00EC7897">
        <w:t xml:space="preserve"> or</w:t>
      </w:r>
      <w:r w:rsidR="00836A1B" w:rsidRPr="00EC7897">
        <w:t xml:space="preserve"> 20.2204</w:t>
      </w:r>
      <w:r w:rsidRPr="00705048">
        <w:t xml:space="preserve"> </w:t>
      </w:r>
      <w:r w:rsidR="00836A1B" w:rsidRPr="00AE76D4">
        <w:t xml:space="preserve">to report to the Commission any exposure of an identified occupational exposed individual, the licensee must also provide a copy of the report submitted to the Commission to the individual at the same time. </w:t>
      </w:r>
    </w:p>
    <w:p w:rsidR="00836A1B" w:rsidRPr="00AE76D4" w:rsidRDefault="00836A1B" w:rsidP="003175AB">
      <w:pPr>
        <w:ind w:left="1440"/>
      </w:pPr>
    </w:p>
    <w:p w:rsidR="00750333" w:rsidRPr="005D3230" w:rsidRDefault="00705048" w:rsidP="003175AB">
      <w:pPr>
        <w:ind w:left="1440"/>
      </w:pPr>
      <w:r>
        <w:rPr>
          <w:u w:val="single"/>
        </w:rPr>
        <w:lastRenderedPageBreak/>
        <w:t>10 CFR</w:t>
      </w:r>
      <w:r w:rsidR="00836A1B" w:rsidRPr="00AE76D4">
        <w:rPr>
          <w:u w:val="single"/>
        </w:rPr>
        <w:t xml:space="preserve"> 20.2206(b)</w:t>
      </w:r>
      <w:r w:rsidR="00B56A52">
        <w:rPr>
          <w:u w:val="single"/>
        </w:rPr>
        <w:t xml:space="preserve"> and </w:t>
      </w:r>
      <w:r w:rsidR="00836A1B" w:rsidRPr="00AE76D4">
        <w:rPr>
          <w:u w:val="single"/>
        </w:rPr>
        <w:t>(c)</w:t>
      </w:r>
      <w:r w:rsidR="00836A1B" w:rsidRPr="00AE76D4">
        <w:t xml:space="preserve"> require licensees to report the results of individual monitoring annually to NRC on NRC Form 5 or equivalent electronic media.  These requirements </w:t>
      </w:r>
      <w:r w:rsidR="00836A1B" w:rsidRPr="005D3230">
        <w:t xml:space="preserve">are </w:t>
      </w:r>
      <w:r w:rsidR="00C560FC" w:rsidRPr="005D3230">
        <w:t>covered under a separate OMB clearance for NRC Form 5 (OMB clearance number 3150-0006).</w:t>
      </w:r>
    </w:p>
    <w:p w:rsidR="00750333" w:rsidRPr="005D3230" w:rsidRDefault="00750333" w:rsidP="001B44CC">
      <w:pPr>
        <w:ind w:left="720"/>
      </w:pPr>
    </w:p>
    <w:p w:rsidR="007313EE" w:rsidRPr="00AE76D4" w:rsidRDefault="00705048" w:rsidP="003175AB">
      <w:pPr>
        <w:ind w:left="1440"/>
      </w:pPr>
      <w:r w:rsidRPr="005D3230">
        <w:rPr>
          <w:u w:val="single"/>
        </w:rPr>
        <w:t>10 CFR</w:t>
      </w:r>
      <w:r w:rsidR="00750333" w:rsidRPr="005D3230">
        <w:rPr>
          <w:u w:val="single"/>
        </w:rPr>
        <w:t xml:space="preserve"> 20.2207</w:t>
      </w:r>
      <w:r w:rsidR="00750333" w:rsidRPr="005D3230">
        <w:t xml:space="preserve"> requires licensees who manufacture, transfer, receive, disassemble, or dispose of a nationally tracked source complete and submit a National Source Tracking Transition Report as specified in paragraphs (a) through (e)</w:t>
      </w:r>
      <w:r w:rsidR="00B56A52">
        <w:t xml:space="preserve"> of this section</w:t>
      </w:r>
      <w:r w:rsidR="00750333" w:rsidRPr="005D3230">
        <w:t>.  Paragraph (f)</w:t>
      </w:r>
      <w:r w:rsidR="00B56A52">
        <w:t xml:space="preserve"> of this section</w:t>
      </w:r>
      <w:r w:rsidR="00750333" w:rsidRPr="005D3230">
        <w:t xml:space="preserve"> specifies the timing requirements for the report, and the methods of submitting the report.</w:t>
      </w:r>
      <w:r w:rsidR="009A1CA3" w:rsidRPr="005D3230">
        <w:t xml:space="preserve">  </w:t>
      </w:r>
      <w:r w:rsidR="00C560FC" w:rsidRPr="005D3230">
        <w:t>These requirements are included in the clearance package for NRC Form 748, clearance number 3150-0202</w:t>
      </w:r>
      <w:r w:rsidR="00FA2A9D" w:rsidRPr="005D3230">
        <w:t>.</w:t>
      </w:r>
    </w:p>
    <w:p w:rsidR="00C54D1F" w:rsidRPr="00AE76D4" w:rsidRDefault="00C54D1F" w:rsidP="003175AB">
      <w:pPr>
        <w:ind w:left="1440"/>
      </w:pPr>
    </w:p>
    <w:p w:rsidR="00750333" w:rsidRPr="00AE76D4" w:rsidRDefault="00705048" w:rsidP="003175AB">
      <w:pPr>
        <w:ind w:left="1440"/>
      </w:pPr>
      <w:r>
        <w:rPr>
          <w:u w:val="single"/>
        </w:rPr>
        <w:t>10 CFR</w:t>
      </w:r>
      <w:r w:rsidR="00750333" w:rsidRPr="00AE76D4">
        <w:rPr>
          <w:u w:val="single"/>
        </w:rPr>
        <w:t xml:space="preserve"> </w:t>
      </w:r>
      <w:r w:rsidR="007313EE" w:rsidRPr="00AE76D4">
        <w:rPr>
          <w:u w:val="single"/>
        </w:rPr>
        <w:t>20.2207</w:t>
      </w:r>
      <w:r w:rsidR="00750333" w:rsidRPr="00AE76D4">
        <w:rPr>
          <w:u w:val="single"/>
        </w:rPr>
        <w:t>(</w:t>
      </w:r>
      <w:r w:rsidR="00E53F2F" w:rsidRPr="00AE76D4">
        <w:rPr>
          <w:u w:val="single"/>
        </w:rPr>
        <w:t>g</w:t>
      </w:r>
      <w:r w:rsidR="00750333" w:rsidRPr="00AE76D4">
        <w:rPr>
          <w:u w:val="single"/>
        </w:rPr>
        <w:t>)</w:t>
      </w:r>
      <w:r w:rsidR="00750333" w:rsidRPr="00AE76D4">
        <w:t xml:space="preserve"> </w:t>
      </w:r>
      <w:r w:rsidR="00217B9F">
        <w:rPr>
          <w:rFonts w:ascii="Shruti" w:hAnsi="Shruti" w:cs="Shruti"/>
        </w:rPr>
        <w:t>requires licensees to correct errors in previously filed reports or file any missed transaction reports within 5 business days of the discovery.  The section also requires licenses to reconcile and verify the inventory of nationally tracked sources possessed by the licensee against the licensee</w:t>
      </w:r>
      <w:r w:rsidR="00217B9F">
        <w:rPr>
          <w:rFonts w:ascii="Shruti" w:hAnsi="Shruti" w:cs="Shruti"/>
        </w:rPr>
        <w:sym w:font="WP TypographicSymbols" w:char="003D"/>
      </w:r>
      <w:r w:rsidR="00217B9F">
        <w:rPr>
          <w:rFonts w:ascii="Shruti" w:hAnsi="Shruti" w:cs="Shruti"/>
        </w:rPr>
        <w:t>s data in the National Source Tracking System on an annual basis.  This verification is necessary to maintain the accuracy and reliability of the system over time.  The burden to correct errors and file missed transaction reports is included in the clearance package for NRC Form 748, clearance number 3150-0202.  The burden to conduct an annual reconciliation with the NSTS database is included in this clearance package for 10 CFR Part 20.</w:t>
      </w:r>
    </w:p>
    <w:p w:rsidR="00E53F2F" w:rsidRPr="00AE76D4" w:rsidRDefault="00E53F2F" w:rsidP="003175AB">
      <w:pPr>
        <w:ind w:left="1440"/>
        <w:rPr>
          <w:rFonts w:ascii="Shruti" w:hAnsi="Shruti" w:cs="Shruti"/>
        </w:rPr>
      </w:pPr>
    </w:p>
    <w:p w:rsidR="00E53F2F" w:rsidRPr="00AE76D4" w:rsidRDefault="00705048" w:rsidP="003175AB">
      <w:pPr>
        <w:ind w:left="1440"/>
        <w:rPr>
          <w:rFonts w:ascii="Shruti" w:hAnsi="Shruti" w:cs="Shruti"/>
        </w:rPr>
      </w:pPr>
      <w:r>
        <w:rPr>
          <w:rFonts w:ascii="Shruti" w:hAnsi="Shruti" w:cs="Shruti"/>
          <w:u w:val="single"/>
        </w:rPr>
        <w:t>10 CFR</w:t>
      </w:r>
      <w:r w:rsidR="00E53F2F" w:rsidRPr="00AE76D4">
        <w:rPr>
          <w:rFonts w:ascii="Shruti" w:hAnsi="Shruti" w:cs="Shruti"/>
          <w:u w:val="single"/>
        </w:rPr>
        <w:t xml:space="preserve"> 20.2207(h)</w:t>
      </w:r>
      <w:r w:rsidR="001271D7">
        <w:rPr>
          <w:rFonts w:ascii="Shruti" w:hAnsi="Shruti" w:cs="Shruti"/>
        </w:rPr>
        <w:t xml:space="preserve"> required</w:t>
      </w:r>
      <w:r w:rsidR="00E53F2F" w:rsidRPr="00AE76D4">
        <w:rPr>
          <w:rFonts w:ascii="Shruti" w:hAnsi="Shruti" w:cs="Shruti"/>
        </w:rPr>
        <w:t xml:space="preserve"> licensees to report their initial inventory of </w:t>
      </w:r>
      <w:r w:rsidR="002861CC">
        <w:rPr>
          <w:rFonts w:ascii="Shruti" w:hAnsi="Shruti" w:cs="Shruti"/>
        </w:rPr>
        <w:t>C</w:t>
      </w:r>
      <w:r w:rsidR="00B56A52">
        <w:rPr>
          <w:rFonts w:ascii="Shruti" w:hAnsi="Shruti" w:cs="Shruti"/>
        </w:rPr>
        <w:t xml:space="preserve">ategory 1 and </w:t>
      </w:r>
      <w:r w:rsidR="002861CC">
        <w:rPr>
          <w:rFonts w:ascii="Shruti" w:hAnsi="Shruti" w:cs="Shruti"/>
        </w:rPr>
        <w:t>C</w:t>
      </w:r>
      <w:r w:rsidR="00B56A52">
        <w:rPr>
          <w:rFonts w:ascii="Shruti" w:hAnsi="Shruti" w:cs="Shruti"/>
        </w:rPr>
        <w:t xml:space="preserve">ategory 2 </w:t>
      </w:r>
      <w:r w:rsidR="00E53F2F" w:rsidRPr="00AE76D4">
        <w:rPr>
          <w:rFonts w:ascii="Shruti" w:hAnsi="Shruti" w:cs="Shruti"/>
        </w:rPr>
        <w:t>nationally tracked sources to the National Source Tracking System</w:t>
      </w:r>
      <w:r w:rsidR="00B56A52">
        <w:rPr>
          <w:rFonts w:ascii="Shruti" w:hAnsi="Shruti" w:cs="Shruti"/>
        </w:rPr>
        <w:t xml:space="preserve"> by January 31, 2009</w:t>
      </w:r>
      <w:r w:rsidR="00E53F2F" w:rsidRPr="00AE76D4">
        <w:rPr>
          <w:rFonts w:ascii="Shruti" w:hAnsi="Shruti" w:cs="Shruti"/>
        </w:rPr>
        <w:t xml:space="preserve">.  The initial </w:t>
      </w:r>
      <w:r w:rsidR="00B56A52">
        <w:rPr>
          <w:rFonts w:ascii="Shruti" w:hAnsi="Shruti" w:cs="Shruti"/>
        </w:rPr>
        <w:t xml:space="preserve">inventory </w:t>
      </w:r>
      <w:r w:rsidR="00E53F2F" w:rsidRPr="00AE76D4">
        <w:rPr>
          <w:rFonts w:ascii="Shruti" w:hAnsi="Shruti" w:cs="Shruti"/>
        </w:rPr>
        <w:t>report include</w:t>
      </w:r>
      <w:r w:rsidR="00D81296">
        <w:rPr>
          <w:rFonts w:ascii="Shruti" w:hAnsi="Shruti" w:cs="Shruti"/>
        </w:rPr>
        <w:t>d</w:t>
      </w:r>
      <w:r w:rsidR="00E53F2F" w:rsidRPr="00AE76D4">
        <w:rPr>
          <w:rFonts w:ascii="Shruti" w:hAnsi="Shruti" w:cs="Shruti"/>
        </w:rPr>
        <w:t xml:space="preserve"> the source information such as make, model, serial number, radionuclides, source strength, and date for which the source strength is reported.  </w:t>
      </w:r>
      <w:r w:rsidR="00E53F2F" w:rsidRPr="00AE76D4">
        <w:t xml:space="preserve">The report </w:t>
      </w:r>
      <w:r w:rsidR="00D81296">
        <w:t xml:space="preserve">also </w:t>
      </w:r>
      <w:r w:rsidR="001271D7">
        <w:t>include</w:t>
      </w:r>
      <w:r w:rsidR="00D81296">
        <w:t>d</w:t>
      </w:r>
      <w:r w:rsidR="00E53F2F" w:rsidRPr="00AE76D4">
        <w:t xml:space="preserve"> the licensee name, address, and </w:t>
      </w:r>
      <w:r w:rsidR="00B56A52">
        <w:t xml:space="preserve">license </w:t>
      </w:r>
      <w:r w:rsidR="00E53F2F" w:rsidRPr="00AE76D4">
        <w:t xml:space="preserve">number </w:t>
      </w:r>
      <w:r w:rsidR="00B56A52">
        <w:t xml:space="preserve">along with </w:t>
      </w:r>
      <w:r w:rsidR="00E53F2F" w:rsidRPr="00AE76D4">
        <w:t xml:space="preserve">the name of the individual that prepares the report. </w:t>
      </w:r>
      <w:r w:rsidR="00E53F2F" w:rsidRPr="00AE76D4">
        <w:rPr>
          <w:rFonts w:ascii="Shruti" w:hAnsi="Shruti" w:cs="Shruti"/>
        </w:rPr>
        <w:t xml:space="preserve"> This information </w:t>
      </w:r>
      <w:r w:rsidR="001271D7">
        <w:rPr>
          <w:rFonts w:ascii="Shruti" w:hAnsi="Shruti" w:cs="Shruti"/>
        </w:rPr>
        <w:t>is</w:t>
      </w:r>
      <w:r w:rsidR="00B56A52">
        <w:rPr>
          <w:rFonts w:ascii="Shruti" w:hAnsi="Shruti" w:cs="Shruti"/>
        </w:rPr>
        <w:t xml:space="preserve"> needed to ensure accountability of nationally tracked sources</w:t>
      </w:r>
      <w:r w:rsidR="00E53F2F" w:rsidRPr="00AE76D4">
        <w:rPr>
          <w:rFonts w:ascii="Shruti" w:hAnsi="Shruti" w:cs="Shruti"/>
        </w:rPr>
        <w:t>.</w:t>
      </w:r>
      <w:r w:rsidR="00B4383C">
        <w:rPr>
          <w:rFonts w:ascii="Shruti" w:hAnsi="Shruti" w:cs="Shruti"/>
        </w:rPr>
        <w:t xml:space="preserve">  This is a one-time collection that has been completed.</w:t>
      </w:r>
    </w:p>
    <w:p w:rsidR="00E53F2F" w:rsidRPr="00AE76D4" w:rsidRDefault="00E53F2F" w:rsidP="003175AB">
      <w:pPr>
        <w:ind w:left="1440"/>
      </w:pPr>
    </w:p>
    <w:p w:rsidR="00836A1B" w:rsidRPr="00AE76D4" w:rsidRDefault="00705048" w:rsidP="003175AB">
      <w:pPr>
        <w:ind w:left="1440"/>
      </w:pPr>
      <w:r>
        <w:rPr>
          <w:u w:val="single"/>
        </w:rPr>
        <w:t>10 CFR</w:t>
      </w:r>
      <w:r w:rsidR="00836A1B" w:rsidRPr="00AE76D4">
        <w:rPr>
          <w:u w:val="single"/>
        </w:rPr>
        <w:t xml:space="preserve"> 20.2301</w:t>
      </w:r>
      <w:r w:rsidR="00836A1B" w:rsidRPr="00AE76D4">
        <w:t xml:space="preserve"> allows licensees to apply to the Commission for exemption from this rule.</w:t>
      </w:r>
    </w:p>
    <w:p w:rsidR="00836A1B" w:rsidRPr="00AE76D4" w:rsidRDefault="00836A1B" w:rsidP="003175AB">
      <w:pPr>
        <w:ind w:left="1440"/>
      </w:pPr>
    </w:p>
    <w:p w:rsidR="00836A1B" w:rsidRPr="00AE76D4" w:rsidRDefault="00836A1B" w:rsidP="003175AB">
      <w:pPr>
        <w:ind w:left="1440"/>
      </w:pPr>
      <w:r w:rsidRPr="00AE76D4">
        <w:rPr>
          <w:u w:val="single"/>
        </w:rPr>
        <w:t>Appendix G, Section I</w:t>
      </w:r>
      <w:r w:rsidRPr="00AE76D4">
        <w:t xml:space="preserve"> requires that waste generators, collectors, and processors of </w:t>
      </w:r>
      <w:r w:rsidR="00B56A52">
        <w:t>low level waste (</w:t>
      </w:r>
      <w:r w:rsidRPr="00AE76D4">
        <w:t>LLW</w:t>
      </w:r>
      <w:r w:rsidR="00B56A52">
        <w:t>)</w:t>
      </w:r>
      <w:r w:rsidRPr="00AE76D4">
        <w:t xml:space="preserve"> intended for ultimate disposal at a licensed low-level radioactive waste facility </w:t>
      </w:r>
      <w:r w:rsidR="00B56A52">
        <w:t>to</w:t>
      </w:r>
      <w:r w:rsidRPr="00AE76D4">
        <w:t xml:space="preserve"> prepare a manifest on NRC Forms 540, 541, and 542 as appropriate.  The justification for the information collection requirements in these forms </w:t>
      </w:r>
      <w:r w:rsidRPr="005D3230">
        <w:t xml:space="preserve">are </w:t>
      </w:r>
      <w:r w:rsidR="00B56A52">
        <w:t xml:space="preserve">covered in </w:t>
      </w:r>
      <w:r w:rsidR="00C560FC" w:rsidRPr="005D3230">
        <w:t>separate OMB clearance</w:t>
      </w:r>
      <w:r w:rsidR="00B56A52">
        <w:t>s</w:t>
      </w:r>
      <w:r w:rsidR="00C560FC" w:rsidRPr="005D3230">
        <w:t xml:space="preserve"> for NRC Forms 540, 541, and 542 (OMB clearance numbers 3150-0164, 3150-0166, 3150-0165).</w:t>
      </w:r>
    </w:p>
    <w:p w:rsidR="00836A1B" w:rsidRPr="00AE76D4" w:rsidRDefault="00836A1B" w:rsidP="003175AB">
      <w:pPr>
        <w:ind w:left="1440"/>
      </w:pPr>
    </w:p>
    <w:p w:rsidR="00836A1B" w:rsidRPr="00AE76D4" w:rsidRDefault="00836A1B" w:rsidP="003175AB">
      <w:pPr>
        <w:ind w:left="1440"/>
      </w:pPr>
      <w:r w:rsidRPr="00AE76D4">
        <w:t>This section specifies the specific data to meet NRC manifest requirements (i.e., shipper, date, total radioactivity, container identification and description, physical and chemical description of the waste, chelating agents, classification of the waste, radiation levels, etc).  This information</w:t>
      </w:r>
      <w:r w:rsidR="00B56A52">
        <w:t xml:space="preserve"> is</w:t>
      </w:r>
      <w:r w:rsidRPr="00AE76D4">
        <w:t xml:space="preserve"> electronic</w:t>
      </w:r>
      <w:r w:rsidR="00A06A01">
        <w:t>ally</w:t>
      </w:r>
      <w:r w:rsidRPr="00AE76D4">
        <w:t xml:space="preserve"> submitt</w:t>
      </w:r>
      <w:r w:rsidR="00A06A01">
        <w:t>ed</w:t>
      </w:r>
      <w:r w:rsidRPr="00AE76D4">
        <w:t xml:space="preserve"> to the NRC (discussed in </w:t>
      </w:r>
      <w:r w:rsidR="00705048">
        <w:t>10 CFR</w:t>
      </w:r>
      <w:r w:rsidR="00A06A01">
        <w:t xml:space="preserve"> 61.80(l)), to </w:t>
      </w:r>
      <w:r w:rsidRPr="00AE76D4">
        <w:t>enhance the ability of</w:t>
      </w:r>
      <w:r w:rsidR="00A06A01">
        <w:t xml:space="preserve"> the</w:t>
      </w:r>
      <w:r w:rsidRPr="00AE76D4">
        <w:t xml:space="preserve"> NRC and State regulatory agencies to control and safely regulate disposal of LLW.  Without this </w:t>
      </w:r>
      <w:r w:rsidRPr="00AE76D4">
        <w:lastRenderedPageBreak/>
        <w:t>information the ability for the licensee and the regulatory agencies to assess the site's performance would be severely impacted and thus our responsibility to protect public health and safety and the environment could not be adequately accomplished.</w:t>
      </w:r>
    </w:p>
    <w:p w:rsidR="00836A1B" w:rsidRPr="00AE76D4" w:rsidRDefault="00836A1B" w:rsidP="003175AB">
      <w:pPr>
        <w:ind w:left="1440"/>
      </w:pPr>
    </w:p>
    <w:p w:rsidR="00836A1B" w:rsidRPr="00AE76D4" w:rsidRDefault="00836A1B" w:rsidP="003175AB">
      <w:pPr>
        <w:ind w:left="1440"/>
      </w:pPr>
      <w:r w:rsidRPr="00AE76D4">
        <w:rPr>
          <w:u w:val="single"/>
        </w:rPr>
        <w:t>Appendix G, Section II</w:t>
      </w:r>
      <w:r w:rsidRPr="00AE76D4">
        <w:t xml:space="preserve"> requires that all generators, processors, and collectors certify by signing and dating the shipment manifest, that the shipment is properly classified, described, packaged, marked and labeled to meet Department of Transportation, NRC, and State requirements.  This is necessary to </w:t>
      </w:r>
      <w:r w:rsidR="00A06A01">
        <w:t>e</w:t>
      </w:r>
      <w:r w:rsidRPr="00AE76D4">
        <w:t>nsure that the proper company official verifies that appropriate requirements have been met prior to shipment.</w:t>
      </w:r>
    </w:p>
    <w:p w:rsidR="00836A1B" w:rsidRPr="00AE76D4" w:rsidRDefault="00836A1B" w:rsidP="003175AB">
      <w:pPr>
        <w:ind w:left="1440"/>
      </w:pPr>
    </w:p>
    <w:p w:rsidR="00836A1B" w:rsidRPr="00AE76D4" w:rsidRDefault="00836A1B" w:rsidP="003175AB">
      <w:pPr>
        <w:ind w:left="1440"/>
      </w:pPr>
      <w:r w:rsidRPr="00AE76D4">
        <w:rPr>
          <w:u w:val="single"/>
        </w:rPr>
        <w:t>Appendix G, Section III, Paragraphs (A)-(D)</w:t>
      </w:r>
      <w:r w:rsidRPr="00AE76D4">
        <w:t xml:space="preserve"> provides the specific manifesting procedures for generators, processors, collectors, and the land disposal facility operators during shipment and receipt of the LLW.  This includes classification of and labeling</w:t>
      </w:r>
      <w:r w:rsidR="00A06A01">
        <w:t xml:space="preserve"> of </w:t>
      </w:r>
      <w:r w:rsidRPr="00AE76D4">
        <w:t xml:space="preserve">the LLW, conducting a quality assurance program to assure compliance with §§ 61.55 and 61.56, requirement to use the NRC Uniform Low-Level Radioactive Waste Manifest, requirements to provide the intended consignee the manifest information and acknowledgment of its receipt and procedures in the event acknowledgment is not received, and storage of manifest data.  These procedures are necessary to insure that LLW is tracked from generator shipment to ultimate disposal and that no LLW is unaccounted for.  A quality assurance program is necessary to ensure companies are properly following the procedures.  </w:t>
      </w:r>
      <w:r w:rsidR="00A06A01">
        <w:t>The receipt a</w:t>
      </w:r>
      <w:r w:rsidRPr="00AE76D4">
        <w:t xml:space="preserve">cknowledgment is necessary to ensure investigations are undertaken when LLW is not where it is supposed to be.  </w:t>
      </w:r>
      <w:r w:rsidR="00A06A01">
        <w:t>The s</w:t>
      </w:r>
      <w:r w:rsidRPr="00AE76D4">
        <w:t>torage of</w:t>
      </w:r>
      <w:r w:rsidR="00A06A01">
        <w:t xml:space="preserve"> the</w:t>
      </w:r>
      <w:r w:rsidRPr="00AE76D4">
        <w:t xml:space="preserve"> manifest information is necessary to conduct audits and in the event that any discrepancies or other problems needed to be investigated.</w:t>
      </w:r>
    </w:p>
    <w:p w:rsidR="00836A1B" w:rsidRPr="00AE76D4" w:rsidRDefault="00836A1B" w:rsidP="003175AB">
      <w:pPr>
        <w:ind w:left="1440"/>
      </w:pPr>
    </w:p>
    <w:p w:rsidR="00836A1B" w:rsidRPr="00AE76D4" w:rsidRDefault="00836A1B" w:rsidP="003175AB">
      <w:pPr>
        <w:ind w:left="1440"/>
      </w:pPr>
      <w:r w:rsidRPr="00AE76D4">
        <w:t xml:space="preserve">Sections A.5 (generators), B.3 (collectors), and C.6 (processors) authorize that </w:t>
      </w:r>
      <w:r w:rsidR="00A06A01">
        <w:t xml:space="preserve">the </w:t>
      </w:r>
      <w:r w:rsidRPr="00AE76D4">
        <w:t>manifest data may be transmitted electronically instead of by hard copy.  This is a voluntary option designed to allow the manifest system to work more effectively and efficiently.</w:t>
      </w:r>
    </w:p>
    <w:p w:rsidR="00836A1B" w:rsidRPr="00AE76D4" w:rsidRDefault="00836A1B" w:rsidP="003175AB">
      <w:pPr>
        <w:ind w:left="1440"/>
      </w:pPr>
    </w:p>
    <w:p w:rsidR="00836A1B" w:rsidRPr="00AE76D4" w:rsidRDefault="001B44CC" w:rsidP="003175AB">
      <w:pPr>
        <w:ind w:left="1440"/>
      </w:pPr>
      <w:r>
        <w:rPr>
          <w:u w:val="single"/>
        </w:rPr>
        <w:t>A</w:t>
      </w:r>
      <w:r w:rsidR="00836A1B" w:rsidRPr="00AE76D4">
        <w:rPr>
          <w:u w:val="single"/>
        </w:rPr>
        <w:t>ppendix G, Section III, Paragraph (E)</w:t>
      </w:r>
      <w:r w:rsidR="00836A1B" w:rsidRPr="00AE76D4">
        <w:t xml:space="preserve"> requires investigations and reporting to NRC when LLW has not been accounted for.  This information is needed to identify and locate missing LLW and to identify improper procedures.</w:t>
      </w:r>
    </w:p>
    <w:p w:rsidR="00836A1B" w:rsidRPr="00AE76D4" w:rsidRDefault="00836A1B" w:rsidP="00836A1B"/>
    <w:p w:rsidR="00836A1B" w:rsidRPr="00AE76D4" w:rsidRDefault="00836A1B" w:rsidP="003175AB">
      <w:pPr>
        <w:ind w:left="720"/>
      </w:pPr>
      <w:r w:rsidRPr="00AE76D4">
        <w:t>2.</w:t>
      </w:r>
      <w:r w:rsidRPr="00AE76D4">
        <w:tab/>
      </w:r>
      <w:r w:rsidRPr="00AE76D4">
        <w:rPr>
          <w:u w:val="single"/>
        </w:rPr>
        <w:t>Agency Use of Information</w:t>
      </w:r>
    </w:p>
    <w:p w:rsidR="00836A1B" w:rsidRPr="00AE76D4" w:rsidRDefault="00836A1B" w:rsidP="003175AB">
      <w:pPr>
        <w:ind w:left="720"/>
      </w:pPr>
    </w:p>
    <w:p w:rsidR="00836A1B" w:rsidRDefault="00A06A01" w:rsidP="00F721AF">
      <w:pPr>
        <w:ind w:left="1440"/>
      </w:pPr>
      <w:r>
        <w:t xml:space="preserve">The </w:t>
      </w:r>
      <w:r w:rsidR="00836A1B" w:rsidRPr="00AE76D4">
        <w:t>NRC uses the required information collection and reports to ensure that doses to workers and members of the public do not exceed limits, are as low as is reasonably achievable, that radioactive materials are stored and handled, and that facilities are decommissioned in a way that will adequately protect the health and safety of workers and the public</w:t>
      </w:r>
      <w:r w:rsidR="00845AAB" w:rsidRPr="00AE76D4">
        <w:t>.</w:t>
      </w:r>
    </w:p>
    <w:p w:rsidR="00836A1B" w:rsidRPr="00AE76D4" w:rsidRDefault="00836A1B" w:rsidP="003175AB">
      <w:pPr>
        <w:autoSpaceDE/>
        <w:autoSpaceDN/>
        <w:adjustRightInd/>
        <w:ind w:left="720"/>
      </w:pPr>
    </w:p>
    <w:p w:rsidR="00836A1B" w:rsidRPr="00AE76D4" w:rsidRDefault="00836A1B" w:rsidP="003175AB">
      <w:pPr>
        <w:ind w:left="720"/>
      </w:pPr>
      <w:r w:rsidRPr="00AE76D4">
        <w:t>3.</w:t>
      </w:r>
      <w:r w:rsidRPr="00AE76D4">
        <w:tab/>
      </w:r>
      <w:r w:rsidRPr="00AE76D4">
        <w:rPr>
          <w:u w:val="single"/>
        </w:rPr>
        <w:t>Reduction of Burden Through Information Technology</w:t>
      </w:r>
    </w:p>
    <w:p w:rsidR="00CF430F" w:rsidRDefault="00CF430F" w:rsidP="003175AB">
      <w:pPr>
        <w:ind w:left="720"/>
      </w:pPr>
    </w:p>
    <w:p w:rsidR="00836A1B" w:rsidRPr="00AE76D4" w:rsidRDefault="00836A1B" w:rsidP="00F721AF">
      <w:pPr>
        <w:ind w:left="1440"/>
      </w:pPr>
      <w:r w:rsidRPr="00AE76D4">
        <w:t xml:space="preserve">There are no legal obstacles to reducing the burden associated with this information collection. The NRC encourages licensees to use new automated information technology when it would be beneficial to them.  NRC issued a </w:t>
      </w:r>
      <w:r w:rsidRPr="00AE76D4">
        <w:lastRenderedPageBreak/>
        <w:t xml:space="preserve">regulation on October 10, 2003 (68 FR 58792), consistent with the Government Paperwork Elimination Act, which allows its licensees, vendors, applicants, and members of the public the option to make submissions electronically via CD-ROM, e-mail, special Web-based interface, or other means.  It is estimated that approximately 100% of the potential responses were filed electronically.  </w:t>
      </w:r>
    </w:p>
    <w:p w:rsidR="001B44CC" w:rsidRDefault="001B44CC" w:rsidP="003175AB">
      <w:pPr>
        <w:keepNext/>
        <w:keepLines/>
        <w:ind w:left="720"/>
      </w:pPr>
    </w:p>
    <w:p w:rsidR="00836A1B" w:rsidRPr="00AE76D4" w:rsidRDefault="00836A1B" w:rsidP="003175AB">
      <w:pPr>
        <w:keepNext/>
        <w:keepLines/>
        <w:ind w:left="720"/>
      </w:pPr>
      <w:r w:rsidRPr="00AE76D4">
        <w:t>4.</w:t>
      </w:r>
      <w:r w:rsidRPr="00AE76D4">
        <w:tab/>
      </w:r>
      <w:r w:rsidRPr="00AE76D4">
        <w:rPr>
          <w:u w:val="single"/>
        </w:rPr>
        <w:t>Effort to Identify Duplication and Use Similar Information</w:t>
      </w:r>
    </w:p>
    <w:p w:rsidR="00836A1B" w:rsidRPr="00AE76D4" w:rsidRDefault="00836A1B" w:rsidP="003175AB">
      <w:pPr>
        <w:keepNext/>
        <w:keepLines/>
        <w:ind w:left="720"/>
      </w:pPr>
    </w:p>
    <w:p w:rsidR="00C96948" w:rsidRPr="00AE76D4" w:rsidRDefault="00C96948" w:rsidP="00F721AF">
      <w:pPr>
        <w:keepNext/>
        <w:keepLines/>
        <w:ind w:left="1440"/>
      </w:pPr>
      <w:r w:rsidRPr="00AE76D4">
        <w:t xml:space="preserve">No sources of similar information are available.  There is no duplication of requirements.  </w:t>
      </w:r>
      <w:r w:rsidR="00A06A01">
        <w:t xml:space="preserve">The </w:t>
      </w:r>
      <w:r w:rsidRPr="00AE76D4">
        <w:t>NRC has in place an ongoing program to examine all information collections with the goal of eliminating all duplication and/or unnecessary information collections.</w:t>
      </w:r>
    </w:p>
    <w:p w:rsidR="00836A1B" w:rsidRPr="00AE76D4" w:rsidRDefault="00836A1B" w:rsidP="003175AB">
      <w:pPr>
        <w:ind w:left="720"/>
        <w:rPr>
          <w:u w:val="single"/>
        </w:rPr>
      </w:pPr>
    </w:p>
    <w:p w:rsidR="00836A1B" w:rsidRPr="00AE76D4" w:rsidRDefault="00836A1B" w:rsidP="003175AB">
      <w:pPr>
        <w:ind w:left="720"/>
      </w:pPr>
      <w:r w:rsidRPr="00AE76D4">
        <w:t>5.</w:t>
      </w:r>
      <w:r w:rsidRPr="00AE76D4">
        <w:tab/>
      </w:r>
      <w:r w:rsidRPr="00AE76D4">
        <w:rPr>
          <w:u w:val="single"/>
        </w:rPr>
        <w:t>Effort to Reduce Small Business Burden</w:t>
      </w:r>
    </w:p>
    <w:p w:rsidR="00836A1B" w:rsidRPr="00AE76D4" w:rsidRDefault="00836A1B" w:rsidP="003175AB">
      <w:pPr>
        <w:ind w:left="720"/>
      </w:pPr>
    </w:p>
    <w:p w:rsidR="00FB4C45" w:rsidRPr="00FB4C45" w:rsidRDefault="00836A1B" w:rsidP="00F721AF">
      <w:pPr>
        <w:ind w:left="1440"/>
      </w:pPr>
      <w:r w:rsidRPr="00AE76D4">
        <w:t>Some of the licensees who use byproduct, source, and special nuclear materials are small businesses.  However, since the health and safety consequences of improper handling or use of these materials are the same for large and small entities, it is not possible to reduce the burden on small businesses by less frequent or less complete reporting, recordkeeping, or accounting and control procedures.</w:t>
      </w:r>
      <w:r w:rsidR="00FB4C45">
        <w:t xml:space="preserve"> </w:t>
      </w:r>
      <w:r w:rsidR="002861CC">
        <w:t xml:space="preserve"> </w:t>
      </w:r>
      <w:r w:rsidR="00FB4C45" w:rsidRPr="00FB4C45">
        <w:t>Approximately 25 percent of NRC licensees are small businesses.</w:t>
      </w:r>
    </w:p>
    <w:p w:rsidR="00836A1B" w:rsidRPr="00AE76D4" w:rsidRDefault="00FB4C45" w:rsidP="000555FA">
      <w:pPr>
        <w:ind w:left="2160" w:hanging="2160"/>
      </w:pPr>
      <w:r>
        <w:t xml:space="preserve"> </w:t>
      </w:r>
    </w:p>
    <w:p w:rsidR="00836A1B" w:rsidRPr="00AE76D4" w:rsidRDefault="00836A1B" w:rsidP="00F721AF">
      <w:pPr>
        <w:ind w:left="1440" w:hanging="720"/>
      </w:pPr>
      <w:r w:rsidRPr="00AE76D4">
        <w:t>6.</w:t>
      </w:r>
      <w:r w:rsidRPr="00AE76D4">
        <w:tab/>
      </w:r>
      <w:r w:rsidRPr="00AE76D4">
        <w:rPr>
          <w:u w:val="single"/>
        </w:rPr>
        <w:t>Consequences To Federal Program or Policy Activities if the Collection is Not Conducted or is Conducted Less Frequently</w:t>
      </w:r>
    </w:p>
    <w:p w:rsidR="00836A1B" w:rsidRPr="00AE76D4" w:rsidRDefault="00836A1B" w:rsidP="00F721AF">
      <w:pPr>
        <w:ind w:left="720"/>
      </w:pPr>
    </w:p>
    <w:p w:rsidR="00836A1B" w:rsidRPr="00AE76D4" w:rsidRDefault="00C560FC" w:rsidP="00F721AF">
      <w:pPr>
        <w:ind w:left="1440"/>
      </w:pPr>
      <w:r w:rsidRPr="00705048">
        <w:t>Required</w:t>
      </w:r>
      <w:r w:rsidR="00836A1B" w:rsidRPr="00AE76D4">
        <w:t xml:space="preserve"> reports are collected and evaluated on a continuing basis as events occur.  Applications for new licenses and amendments are submitted only once.  Information submitted in previous applications may be referenced without being resubmitted.  The schedule for collecting the information is the minimum frequency necessary to assure that licensees will continue to conduct programs in a manner that will adequately protect the health and safety of the public.  If the information were not collected, it would not be possible for NRC to intervene if safety were to decline at a licensed facility in order to ensure the continued health and safety of the public and workers.</w:t>
      </w:r>
    </w:p>
    <w:p w:rsidR="00836A1B" w:rsidRPr="00AE76D4" w:rsidRDefault="00836A1B" w:rsidP="00F721AF">
      <w:pPr>
        <w:ind w:left="720"/>
      </w:pPr>
    </w:p>
    <w:p w:rsidR="00836A1B" w:rsidRPr="00AE76D4" w:rsidRDefault="00836A1B" w:rsidP="00F721AF">
      <w:pPr>
        <w:ind w:left="720"/>
      </w:pPr>
      <w:r w:rsidRPr="00AE76D4">
        <w:t>7.</w:t>
      </w:r>
      <w:r w:rsidRPr="00AE76D4">
        <w:tab/>
      </w:r>
      <w:r w:rsidRPr="00AE76D4">
        <w:rPr>
          <w:u w:val="single"/>
        </w:rPr>
        <w:t>Circumstances That Justify Variation From OMB Guidelines</w:t>
      </w:r>
    </w:p>
    <w:p w:rsidR="00836A1B" w:rsidRPr="00AE76D4" w:rsidRDefault="00836A1B" w:rsidP="00F721AF">
      <w:pPr>
        <w:ind w:left="720"/>
      </w:pPr>
    </w:p>
    <w:p w:rsidR="00836A1B" w:rsidRPr="00AE76D4" w:rsidRDefault="00705048" w:rsidP="00F721AF">
      <w:pPr>
        <w:ind w:left="1440"/>
      </w:pPr>
      <w:r>
        <w:rPr>
          <w:u w:val="single"/>
        </w:rPr>
        <w:t>10 CFR</w:t>
      </w:r>
      <w:r w:rsidR="00836A1B" w:rsidRPr="00AE76D4">
        <w:rPr>
          <w:u w:val="single"/>
        </w:rPr>
        <w:t xml:space="preserve"> 20.1906, 20.2201, and 20.2202</w:t>
      </w:r>
      <w:r w:rsidR="00836A1B" w:rsidRPr="00AE76D4">
        <w:t xml:space="preserve"> require </w:t>
      </w:r>
      <w:r w:rsidR="000555FA">
        <w:t xml:space="preserve">licensees to </w:t>
      </w:r>
      <w:r w:rsidR="00836A1B" w:rsidRPr="00AE76D4">
        <w:t>report</w:t>
      </w:r>
      <w:r w:rsidR="000555FA">
        <w:t xml:space="preserve"> information</w:t>
      </w:r>
      <w:r w:rsidR="00836A1B" w:rsidRPr="00AE76D4">
        <w:t xml:space="preserve"> in less than 30 days.  These immediate and 24-hour reporting requirements are necessary for NRC to provide rapid response to incidents and to assure public health and safety.</w:t>
      </w:r>
    </w:p>
    <w:p w:rsidR="00E956C2" w:rsidRPr="00AE76D4" w:rsidRDefault="00E956C2" w:rsidP="00F721AF">
      <w:pPr>
        <w:ind w:left="1440"/>
      </w:pPr>
    </w:p>
    <w:p w:rsidR="00836A1B" w:rsidRPr="00AE76D4" w:rsidRDefault="00836A1B" w:rsidP="00F721AF">
      <w:pPr>
        <w:ind w:left="1440"/>
      </w:pPr>
      <w:r w:rsidRPr="00AE76D4">
        <w:rPr>
          <w:u w:val="single"/>
        </w:rPr>
        <w:t>Appendix G, Section III, Paragraph (E)</w:t>
      </w:r>
      <w:r w:rsidRPr="00AE76D4">
        <w:t xml:space="preserve"> requires </w:t>
      </w:r>
      <w:r w:rsidR="000555FA">
        <w:t xml:space="preserve">licensees to </w:t>
      </w:r>
      <w:r w:rsidR="000555FA" w:rsidRPr="00AE76D4">
        <w:t>report</w:t>
      </w:r>
      <w:r w:rsidR="000555FA">
        <w:t xml:space="preserve"> information</w:t>
      </w:r>
      <w:r w:rsidRPr="00AE76D4">
        <w:t xml:space="preserve"> in less than 30 days.  This notification time period is needed so that state and local authorities can be mobilized to assist in locating lost radioactive material</w:t>
      </w:r>
      <w:r w:rsidR="000555FA">
        <w:t>s</w:t>
      </w:r>
      <w:r w:rsidRPr="00AE76D4">
        <w:t xml:space="preserve"> as quickly as possible to minimize the potential hazard to members of the public.</w:t>
      </w:r>
    </w:p>
    <w:p w:rsidR="00836A1B" w:rsidRPr="00AE76D4" w:rsidRDefault="00836A1B" w:rsidP="00F721AF">
      <w:pPr>
        <w:ind w:left="1440"/>
      </w:pPr>
    </w:p>
    <w:p w:rsidR="00836A1B" w:rsidRPr="00AE76D4" w:rsidRDefault="00836A1B" w:rsidP="00F721AF">
      <w:pPr>
        <w:ind w:left="1440"/>
      </w:pPr>
      <w:r w:rsidRPr="00AE76D4">
        <w:t xml:space="preserve">Records pertaining to the radiation doses and radionuclide intakes by individual workers and to effluents released to air and water and the resultant radiation exposure of members of the public must be retained for the life of the license and </w:t>
      </w:r>
      <w:r w:rsidRPr="00AE76D4">
        <w:lastRenderedPageBreak/>
        <w:t>transferred to the NRC upon termination of the license.  This retention is required so that the past exposure history of any worker can be reconstructed to allow the worker to move from licensed facility to licensed facility and to permit the identification of trends, so that declining licensee performance can be detected and corrected.</w:t>
      </w:r>
    </w:p>
    <w:p w:rsidR="00836A1B" w:rsidRPr="00AE76D4" w:rsidRDefault="00836A1B" w:rsidP="00836A1B"/>
    <w:p w:rsidR="00836A1B" w:rsidRPr="00AE76D4" w:rsidRDefault="00836A1B" w:rsidP="00F721AF">
      <w:pPr>
        <w:ind w:left="720"/>
      </w:pPr>
      <w:r w:rsidRPr="00AE76D4">
        <w:t>8.</w:t>
      </w:r>
      <w:r w:rsidRPr="00AE76D4">
        <w:tab/>
      </w:r>
      <w:r w:rsidR="003369F1">
        <w:rPr>
          <w:u w:val="single"/>
        </w:rPr>
        <w:t xml:space="preserve">Consultations </w:t>
      </w:r>
      <w:r w:rsidRPr="00AE76D4">
        <w:rPr>
          <w:u w:val="single"/>
        </w:rPr>
        <w:t>Outside the NRC</w:t>
      </w:r>
    </w:p>
    <w:p w:rsidR="00836A1B" w:rsidRPr="00AE76D4" w:rsidRDefault="00836A1B" w:rsidP="00F721AF">
      <w:pPr>
        <w:ind w:left="720"/>
      </w:pPr>
    </w:p>
    <w:p w:rsidR="005F7258" w:rsidRDefault="003369F1" w:rsidP="00F721AF">
      <w:pPr>
        <w:ind w:left="1440"/>
      </w:pPr>
      <w:r>
        <w:t xml:space="preserve">The opportunity for public comment on the information collection requirements was published in the </w:t>
      </w:r>
      <w:r w:rsidRPr="003369F1">
        <w:rPr>
          <w:u w:val="single"/>
        </w:rPr>
        <w:t>Federal Register</w:t>
      </w:r>
      <w:r>
        <w:t xml:space="preserve"> on November 28, 2011 (76 FR 72982).  No comments were received.</w:t>
      </w:r>
    </w:p>
    <w:p w:rsidR="003369F1" w:rsidRPr="00AE76D4" w:rsidRDefault="003369F1" w:rsidP="00F721AF">
      <w:pPr>
        <w:ind w:left="720"/>
      </w:pPr>
    </w:p>
    <w:p w:rsidR="00836A1B" w:rsidRPr="00AE76D4" w:rsidRDefault="00836A1B" w:rsidP="00F721AF">
      <w:pPr>
        <w:ind w:left="720"/>
      </w:pPr>
      <w:r w:rsidRPr="00AE76D4">
        <w:t>9.</w:t>
      </w:r>
      <w:r w:rsidRPr="00AE76D4">
        <w:tab/>
      </w:r>
      <w:r w:rsidRPr="00AE76D4">
        <w:rPr>
          <w:u w:val="single"/>
        </w:rPr>
        <w:t>Payment or Gift to Respondents</w:t>
      </w:r>
    </w:p>
    <w:p w:rsidR="00836A1B" w:rsidRPr="00AE76D4" w:rsidRDefault="00836A1B" w:rsidP="00F721AF">
      <w:pPr>
        <w:ind w:left="720"/>
      </w:pPr>
    </w:p>
    <w:p w:rsidR="00836A1B" w:rsidRPr="00AE76D4" w:rsidRDefault="00836A1B" w:rsidP="00F721AF">
      <w:pPr>
        <w:ind w:left="1440"/>
        <w:rPr>
          <w:u w:val="single"/>
        </w:rPr>
      </w:pPr>
      <w:r w:rsidRPr="00AE76D4">
        <w:t>Not applicable.</w:t>
      </w:r>
    </w:p>
    <w:p w:rsidR="00836A1B" w:rsidRPr="00AE76D4" w:rsidRDefault="00836A1B" w:rsidP="00F721AF">
      <w:pPr>
        <w:ind w:left="720"/>
        <w:rPr>
          <w:u w:val="single"/>
        </w:rPr>
      </w:pPr>
    </w:p>
    <w:p w:rsidR="00836A1B" w:rsidRDefault="00836A1B" w:rsidP="00F721AF">
      <w:pPr>
        <w:ind w:left="720"/>
        <w:rPr>
          <w:u w:val="single"/>
        </w:rPr>
      </w:pPr>
      <w:r w:rsidRPr="00AE76D4">
        <w:t>10.</w:t>
      </w:r>
      <w:r w:rsidRPr="00AE76D4">
        <w:tab/>
      </w:r>
      <w:r w:rsidRPr="00AE76D4">
        <w:rPr>
          <w:u w:val="single"/>
        </w:rPr>
        <w:t>Confidentiality of Information</w:t>
      </w:r>
    </w:p>
    <w:p w:rsidR="00E92A2D" w:rsidRDefault="00E92A2D" w:rsidP="00F721AF">
      <w:pPr>
        <w:ind w:left="720"/>
      </w:pPr>
    </w:p>
    <w:p w:rsidR="008971D8" w:rsidRDefault="00C560FC" w:rsidP="00F721AF">
      <w:pPr>
        <w:ind w:left="1440"/>
      </w:pPr>
      <w:r w:rsidRPr="00705048">
        <w:t xml:space="preserve">Confidential and proprietary information is protected in accordance with NRC regulations at 10 CFR 9.17(a) and 10 CFR 2.390(b).  In addition, </w:t>
      </w:r>
      <w:r w:rsidR="00E92A2D" w:rsidRPr="00705048">
        <w:t>i</w:t>
      </w:r>
      <w:r w:rsidR="00836A1B" w:rsidRPr="00705048">
        <w:t>nformation</w:t>
      </w:r>
      <w:r w:rsidR="00836A1B" w:rsidRPr="00AE76D4">
        <w:t xml:space="preserve"> on doses to named individuals will be protected under the Privacy Act.  </w:t>
      </w:r>
    </w:p>
    <w:p w:rsidR="00836A1B" w:rsidRDefault="00705048" w:rsidP="00F721AF">
      <w:pPr>
        <w:ind w:left="1440"/>
      </w:pPr>
      <w:r w:rsidRPr="000555FA">
        <w:t>10 CFR</w:t>
      </w:r>
      <w:r w:rsidR="00836A1B" w:rsidRPr="000555FA">
        <w:t xml:space="preserve"> 20.2106(d)</w:t>
      </w:r>
      <w:r w:rsidR="00836A1B" w:rsidRPr="00AE76D4">
        <w:t xml:space="preserve"> states that these records are covered under the Privacy Act.</w:t>
      </w:r>
      <w:r>
        <w:t xml:space="preserve"> </w:t>
      </w:r>
    </w:p>
    <w:p w:rsidR="00F721AF" w:rsidRPr="00AE76D4" w:rsidRDefault="00F721AF" w:rsidP="00F721AF">
      <w:pPr>
        <w:ind w:left="1440"/>
      </w:pPr>
    </w:p>
    <w:p w:rsidR="00836A1B" w:rsidRPr="00AE76D4" w:rsidRDefault="00836A1B" w:rsidP="00F721AF">
      <w:pPr>
        <w:autoSpaceDE/>
        <w:autoSpaceDN/>
        <w:adjustRightInd/>
        <w:ind w:left="720"/>
      </w:pPr>
      <w:r w:rsidRPr="00AE76D4">
        <w:t>11.</w:t>
      </w:r>
      <w:r w:rsidRPr="00AE76D4">
        <w:tab/>
      </w:r>
      <w:r w:rsidRPr="00AE76D4">
        <w:rPr>
          <w:u w:val="single"/>
        </w:rPr>
        <w:t>Justification for Sensitive Questions</w:t>
      </w:r>
    </w:p>
    <w:p w:rsidR="00836A1B" w:rsidRPr="00AE76D4" w:rsidRDefault="00836A1B" w:rsidP="00F721AF">
      <w:pPr>
        <w:ind w:left="720"/>
      </w:pPr>
    </w:p>
    <w:p w:rsidR="00836A1B" w:rsidRPr="00AE76D4" w:rsidRDefault="00836A1B" w:rsidP="00F721AF">
      <w:pPr>
        <w:ind w:left="1440"/>
      </w:pPr>
      <w:r w:rsidRPr="00AE76D4">
        <w:t>No sensitive information is requested under these regulations.</w:t>
      </w:r>
    </w:p>
    <w:p w:rsidR="00836A1B" w:rsidRPr="00AE76D4" w:rsidRDefault="00836A1B" w:rsidP="00F721AF">
      <w:pPr>
        <w:ind w:left="720"/>
      </w:pPr>
    </w:p>
    <w:p w:rsidR="00836A1B" w:rsidRPr="00AE76D4" w:rsidRDefault="00836A1B" w:rsidP="00F721AF">
      <w:pPr>
        <w:ind w:left="720"/>
      </w:pPr>
      <w:r w:rsidRPr="00AE76D4">
        <w:t>12.</w:t>
      </w:r>
      <w:r w:rsidRPr="00AE76D4">
        <w:tab/>
      </w:r>
      <w:r w:rsidRPr="00AE76D4">
        <w:rPr>
          <w:u w:val="single"/>
        </w:rPr>
        <w:t>Estimated Burden and Burden Hour Cost</w:t>
      </w:r>
      <w:r w:rsidRPr="00AE76D4">
        <w:t xml:space="preserve"> </w:t>
      </w:r>
    </w:p>
    <w:p w:rsidR="00836A1B" w:rsidRPr="00AE76D4" w:rsidRDefault="00836A1B" w:rsidP="00F721AF">
      <w:pPr>
        <w:ind w:left="720"/>
      </w:pPr>
    </w:p>
    <w:p w:rsidR="00CE672B" w:rsidRPr="00CE672B" w:rsidRDefault="00CE672B" w:rsidP="00F721AF">
      <w:pPr>
        <w:ind w:left="1440"/>
        <w:rPr>
          <w:i/>
          <w:u w:val="single"/>
        </w:rPr>
      </w:pPr>
      <w:r w:rsidRPr="00CE672B">
        <w:rPr>
          <w:i/>
          <w:u w:val="single"/>
        </w:rPr>
        <w:t>NRC Licensees</w:t>
      </w:r>
    </w:p>
    <w:p w:rsidR="00B52266" w:rsidRDefault="00B52266" w:rsidP="00F721AF">
      <w:pPr>
        <w:ind w:left="1440"/>
      </w:pPr>
      <w:r>
        <w:t>The burden for NRC licensees to respond to the collection is shown in Tables 1, 3, and 5.  The total burden for NRC licensees is 91,503 hours (5,476 hours reporting + 342 hours 3</w:t>
      </w:r>
      <w:r w:rsidRPr="00B52266">
        <w:rPr>
          <w:vertAlign w:val="superscript"/>
        </w:rPr>
        <w:t>rd</w:t>
      </w:r>
      <w:r>
        <w:t xml:space="preserve"> party disclosure + 85,685 hours recordkeeping) at a cost of $24,980,319 (91,503 hours x $273/h</w:t>
      </w:r>
      <w:r w:rsidR="003175AB">
        <w:t>ou</w:t>
      </w:r>
      <w:r>
        <w:t>r).</w:t>
      </w:r>
    </w:p>
    <w:p w:rsidR="006422A4" w:rsidRDefault="006422A4" w:rsidP="00F721AF">
      <w:pPr>
        <w:ind w:left="1440"/>
      </w:pPr>
    </w:p>
    <w:p w:rsidR="006422A4" w:rsidRDefault="006422A4" w:rsidP="00F721AF">
      <w:pPr>
        <w:ind w:left="1440"/>
      </w:pPr>
      <w:r>
        <w:t xml:space="preserve">A total of 3,000 NRC licensees respond to the Part 20 information collections.  These are licensees in states who are directly regulated by the NRC.  </w:t>
      </w:r>
      <w:r w:rsidR="00934F76">
        <w:t xml:space="preserve">Data on </w:t>
      </w:r>
      <w:r w:rsidR="00650616">
        <w:t xml:space="preserve">the </w:t>
      </w:r>
      <w:r>
        <w:t xml:space="preserve">number of </w:t>
      </w:r>
      <w:r w:rsidR="00934F76">
        <w:t xml:space="preserve">NRC </w:t>
      </w:r>
      <w:r>
        <w:t xml:space="preserve">licensees </w:t>
      </w:r>
      <w:r w:rsidR="00650616">
        <w:t xml:space="preserve">is </w:t>
      </w:r>
      <w:r>
        <w:t xml:space="preserve">based on data from </w:t>
      </w:r>
      <w:r w:rsidR="00CE672B">
        <w:t>the agency’s License Tracking System.  Data from the system show the current number of materials licensees (dockets 30, 40, 70, and 72) plus the number of reactor licensees is approximately 3,000 licensees.</w:t>
      </w:r>
    </w:p>
    <w:p w:rsidR="00B52266" w:rsidRDefault="00B52266" w:rsidP="00F721AF">
      <w:pPr>
        <w:ind w:left="1440"/>
      </w:pPr>
    </w:p>
    <w:p w:rsidR="00CE672B" w:rsidRPr="00CE672B" w:rsidRDefault="00CE672B" w:rsidP="00F721AF">
      <w:pPr>
        <w:ind w:left="1440"/>
        <w:rPr>
          <w:i/>
          <w:u w:val="single"/>
        </w:rPr>
      </w:pPr>
      <w:r w:rsidRPr="00CE672B">
        <w:rPr>
          <w:i/>
          <w:u w:val="single"/>
        </w:rPr>
        <w:t>Agreement State Licensees</w:t>
      </w:r>
    </w:p>
    <w:p w:rsidR="00CE672B" w:rsidRPr="00CE672B" w:rsidRDefault="00CE672B" w:rsidP="00F721AF">
      <w:pPr>
        <w:ind w:left="1440"/>
      </w:pPr>
      <w:r w:rsidRPr="00CE672B">
        <w:t xml:space="preserve">Section 274 of the </w:t>
      </w:r>
      <w:r w:rsidR="00EB747E" w:rsidRPr="00CE672B">
        <w:t>Atomic Energy Act of 1954</w:t>
      </w:r>
      <w:r w:rsidRPr="00CE672B">
        <w:t xml:space="preserve"> provides a statutory basis under which NRC relinquishes to the States portions of its regulatory authority to license and regulate byproduct materials (radioisotopes); source materials (uranium and thorium); and certain quantities of special nuclear materials.</w:t>
      </w:r>
      <w:r w:rsidR="00E639AF">
        <w:t xml:space="preserve"> </w:t>
      </w:r>
      <w:r w:rsidRPr="00CE672B">
        <w:t xml:space="preserve"> The mechanism for the transfer of NRC’s authority to a State is an agreement signed by the Governor of the State and the Chairman of the Commission, in accordance with section 274b of the Act. </w:t>
      </w:r>
      <w:r>
        <w:t xml:space="preserve"> Licensees operating in these </w:t>
      </w:r>
      <w:r>
        <w:lastRenderedPageBreak/>
        <w:t>“Agreement States” are referred to in this supporting statement as “Agreement State Licensees.”</w:t>
      </w:r>
    </w:p>
    <w:p w:rsidR="00CE672B" w:rsidRDefault="00CE672B" w:rsidP="001B44CC">
      <w:pPr>
        <w:ind w:left="720"/>
      </w:pPr>
    </w:p>
    <w:p w:rsidR="00CE672B" w:rsidRDefault="00EB747E" w:rsidP="00F721AF">
      <w:pPr>
        <w:ind w:left="1440"/>
      </w:pPr>
      <w:r>
        <w:t xml:space="preserve">The NRC has established compatibility requirements for Agreement states to implement their own regulations in a manner consistent with NRC regulations.  </w:t>
      </w:r>
      <w:r w:rsidR="003A2702" w:rsidRPr="003A2702">
        <w:t xml:space="preserve">The number of NRC licensees is known, whereas the total number of Agreement State licensees is an estimate based on NRC’s best information available from the Agreement States.  NRC uses the ratio of the total of NRC licensees (subject to Part </w:t>
      </w:r>
      <w:r w:rsidR="003A2702">
        <w:t>2</w:t>
      </w:r>
      <w:r w:rsidR="003A2702" w:rsidRPr="003A2702">
        <w:t xml:space="preserve">0) to the total number Agreement State licensees to estimate the number of Agreement State respondents for each section.  NRC uses this ratio approach as the total number of Agreement State licensees subject to various Part </w:t>
      </w:r>
      <w:r w:rsidR="003A2702">
        <w:t>2</w:t>
      </w:r>
      <w:r w:rsidR="003A2702" w:rsidRPr="003A2702">
        <w:t>0 Sections is not known exactly and, therefore, must be estimated</w:t>
      </w:r>
      <w:r w:rsidR="003A2702">
        <w:t>.  The current ratio, based on the number and size of NRC regulated states to Agreement states, is 1:6 (NRC licensees: Agreement state licensees).</w:t>
      </w:r>
    </w:p>
    <w:p w:rsidR="00CE672B" w:rsidRDefault="00CE672B" w:rsidP="00F721AF">
      <w:pPr>
        <w:ind w:left="1440"/>
      </w:pPr>
    </w:p>
    <w:p w:rsidR="00CE672B" w:rsidRDefault="00CE672B" w:rsidP="00F721AF">
      <w:pPr>
        <w:ind w:left="1440"/>
      </w:pPr>
      <w:r>
        <w:t>The burden for Agreement State licensees to respond to the collection is shown in Tables 2, 4, and 6.  The total burden for Agreement State licensees is 549,018 hours (32,856 hours reporting + 2,052 hours 3</w:t>
      </w:r>
      <w:r w:rsidRPr="006422A4">
        <w:rPr>
          <w:vertAlign w:val="superscript"/>
        </w:rPr>
        <w:t>rd</w:t>
      </w:r>
      <w:r>
        <w:t xml:space="preserve"> party disclosure + 514,110 hours recordkeeping) at a cost of $149,881,914 (549,018 </w:t>
      </w:r>
      <w:r w:rsidR="008971D8">
        <w:t>x</w:t>
      </w:r>
      <w:r>
        <w:t xml:space="preserve"> $273/h</w:t>
      </w:r>
      <w:r w:rsidR="003175AB">
        <w:t>ou</w:t>
      </w:r>
      <w:r>
        <w:t>r).</w:t>
      </w:r>
    </w:p>
    <w:p w:rsidR="00CE672B" w:rsidRDefault="00CE672B" w:rsidP="00F721AF">
      <w:pPr>
        <w:ind w:left="1440"/>
      </w:pPr>
    </w:p>
    <w:p w:rsidR="00EA74CD" w:rsidRPr="00EA74CD" w:rsidRDefault="00EA74CD" w:rsidP="00F721AF">
      <w:pPr>
        <w:ind w:left="1440"/>
        <w:rPr>
          <w:i/>
          <w:u w:val="single"/>
        </w:rPr>
      </w:pPr>
      <w:r w:rsidRPr="00EA74CD">
        <w:rPr>
          <w:i/>
          <w:u w:val="single"/>
        </w:rPr>
        <w:t>Total</w:t>
      </w:r>
    </w:p>
    <w:p w:rsidR="00CE672B" w:rsidRDefault="00CE672B" w:rsidP="00F721AF">
      <w:pPr>
        <w:ind w:left="1440"/>
      </w:pPr>
      <w:r>
        <w:t>The total burden for the collection is 640,521 hours (91,503 hours for NRC licensee respondents and 549,018 hours for Agreement State licensee respondents), at a total cost of $174,862,233 (640,521 hours x $273/hr).</w:t>
      </w:r>
      <w:r w:rsidR="00EA74CD">
        <w:t xml:space="preserve">  See Tables 7 and 8.</w:t>
      </w:r>
    </w:p>
    <w:p w:rsidR="00836A1B" w:rsidRPr="00AE76D4" w:rsidRDefault="00836A1B" w:rsidP="00836A1B"/>
    <w:p w:rsidR="00836A1B" w:rsidRPr="00AE76D4" w:rsidRDefault="00836A1B" w:rsidP="00F721AF">
      <w:pPr>
        <w:ind w:left="720"/>
      </w:pPr>
      <w:r w:rsidRPr="00AE76D4">
        <w:t>13.</w:t>
      </w:r>
      <w:r w:rsidRPr="00AE76D4">
        <w:tab/>
      </w:r>
      <w:r w:rsidRPr="00AE76D4">
        <w:rPr>
          <w:u w:val="single"/>
        </w:rPr>
        <w:t>Estimate of Other Additional Costs</w:t>
      </w:r>
      <w:r w:rsidRPr="00AE76D4">
        <w:rPr>
          <w:b/>
          <w:bCs/>
        </w:rPr>
        <w:t xml:space="preserve"> </w:t>
      </w:r>
    </w:p>
    <w:p w:rsidR="00836A1B" w:rsidRPr="00AE76D4" w:rsidRDefault="00836A1B" w:rsidP="00F721AF">
      <w:pPr>
        <w:ind w:left="720"/>
      </w:pPr>
    </w:p>
    <w:p w:rsidR="00836A1B" w:rsidRPr="00271D19" w:rsidRDefault="00A4535A" w:rsidP="00F721AF">
      <w:pPr>
        <w:ind w:left="1440"/>
      </w:pPr>
      <w:r>
        <w:t xml:space="preserve">The </w:t>
      </w:r>
      <w:r w:rsidR="00836A1B" w:rsidRPr="00AE76D4">
        <w:t xml:space="preserve">NRC has determined that the records storage cost is roughly proportional to the recordkeeping burden cost.  Based on a typical clearance, the records storage cost has been determined to be equal to </w:t>
      </w:r>
      <w:r w:rsidR="00836A1B" w:rsidRPr="00271D19">
        <w:t>0.0</w:t>
      </w:r>
      <w:r w:rsidR="001F3993">
        <w:t>00</w:t>
      </w:r>
      <w:r w:rsidR="00836A1B" w:rsidRPr="00271D19">
        <w:t>4 percent of the recordkeeping burden cost.  Therefore, the records storage cost is estimated to be $</w:t>
      </w:r>
      <w:r w:rsidR="003D3981">
        <w:t>65,498</w:t>
      </w:r>
      <w:r w:rsidR="001F3993">
        <w:t xml:space="preserve"> (</w:t>
      </w:r>
      <w:r w:rsidR="003D3981">
        <w:t>599,79</w:t>
      </w:r>
      <w:r w:rsidR="00EC2851">
        <w:t>5</w:t>
      </w:r>
      <w:r w:rsidR="00504A0E">
        <w:t xml:space="preserve"> </w:t>
      </w:r>
      <w:r w:rsidR="00836A1B" w:rsidRPr="00271D19">
        <w:t>recordkeeping hours x 0.0004</w:t>
      </w:r>
      <w:r w:rsidR="001F3993">
        <w:t xml:space="preserve"> x $273/hr = </w:t>
      </w:r>
      <w:r w:rsidR="00504A0E">
        <w:t>$6</w:t>
      </w:r>
      <w:r w:rsidR="005A060D">
        <w:t>5</w:t>
      </w:r>
      <w:r w:rsidR="00504A0E">
        <w:t>,</w:t>
      </w:r>
      <w:r w:rsidR="003D3981">
        <w:t>498</w:t>
      </w:r>
      <w:r w:rsidR="001F3993">
        <w:t>).</w:t>
      </w:r>
    </w:p>
    <w:p w:rsidR="00836A1B" w:rsidRPr="00AE76D4" w:rsidRDefault="00836A1B" w:rsidP="00F721AF">
      <w:pPr>
        <w:numPr>
          <w:ilvl w:val="12"/>
          <w:numId w:val="0"/>
        </w:numPr>
        <w:ind w:left="720"/>
      </w:pPr>
    </w:p>
    <w:p w:rsidR="00E956C2" w:rsidRPr="00AE76D4" w:rsidRDefault="00836A1B" w:rsidP="00F721AF">
      <w:pPr>
        <w:numPr>
          <w:ilvl w:val="0"/>
          <w:numId w:val="2"/>
        </w:numPr>
        <w:ind w:firstLine="0"/>
      </w:pPr>
      <w:r w:rsidRPr="00AE76D4">
        <w:rPr>
          <w:u w:val="single"/>
        </w:rPr>
        <w:t>Estimated Annualized Cost to the Federal Government</w:t>
      </w:r>
      <w:r w:rsidRPr="00AE76D4">
        <w:t xml:space="preserve"> </w:t>
      </w:r>
    </w:p>
    <w:p w:rsidR="00836A1B" w:rsidRPr="00AE76D4" w:rsidRDefault="00836A1B" w:rsidP="00F721AF">
      <w:pPr>
        <w:ind w:left="720"/>
      </w:pPr>
    </w:p>
    <w:p w:rsidR="00934F76" w:rsidRDefault="00836A1B" w:rsidP="00F721AF">
      <w:pPr>
        <w:numPr>
          <w:ilvl w:val="12"/>
          <w:numId w:val="0"/>
        </w:numPr>
        <w:ind w:left="1440"/>
      </w:pPr>
      <w:r w:rsidRPr="00AE76D4">
        <w:t xml:space="preserve">The estimated annualized cost to the Federal Government is </w:t>
      </w:r>
      <w:r w:rsidRPr="00271D19">
        <w:t>$</w:t>
      </w:r>
      <w:r w:rsidR="005F7258" w:rsidRPr="00271D19">
        <w:t>2</w:t>
      </w:r>
      <w:r w:rsidRPr="00271D19">
        <w:t>,</w:t>
      </w:r>
      <w:r w:rsidR="00271D19" w:rsidRPr="00271D19">
        <w:t>1</w:t>
      </w:r>
      <w:r w:rsidR="001F5BD2" w:rsidRPr="00271D19">
        <w:t>70</w:t>
      </w:r>
      <w:r w:rsidRPr="00271D19">
        <w:t>,</w:t>
      </w:r>
      <w:r w:rsidR="00271D19" w:rsidRPr="00271D19">
        <w:t>623</w:t>
      </w:r>
      <w:r w:rsidRPr="00AE76D4">
        <w:t xml:space="preserve"> </w:t>
      </w:r>
      <w:r w:rsidRPr="00DF6F31">
        <w:t xml:space="preserve">(see Table </w:t>
      </w:r>
      <w:r w:rsidR="00DB3865" w:rsidRPr="00DF6F31">
        <w:t>9</w:t>
      </w:r>
      <w:r w:rsidRPr="00DF6F31">
        <w:t>).  Th</w:t>
      </w:r>
      <w:r w:rsidR="00A4535A" w:rsidRPr="00DF6F31">
        <w:t>i</w:t>
      </w:r>
      <w:r w:rsidRPr="00DF6F31">
        <w:t xml:space="preserve">s cost </w:t>
      </w:r>
      <w:r w:rsidR="00A4535A" w:rsidRPr="00DF6F31">
        <w:t>is</w:t>
      </w:r>
      <w:r w:rsidRPr="00DF6F31">
        <w:t xml:space="preserve"> calculated using</w:t>
      </w:r>
      <w:r w:rsidR="00A4535A" w:rsidRPr="00DF6F31">
        <w:t xml:space="preserve"> 7,951 total annual hours at</w:t>
      </w:r>
      <w:r w:rsidRPr="00DF6F31">
        <w:t xml:space="preserve"> a</w:t>
      </w:r>
      <w:r w:rsidR="00A4535A" w:rsidRPr="00DF6F31">
        <w:t xml:space="preserve"> labor</w:t>
      </w:r>
      <w:r w:rsidRPr="00DF6F31">
        <w:t xml:space="preserve"> rate of </w:t>
      </w:r>
      <w:r w:rsidR="00271D19" w:rsidRPr="00DF6F31">
        <w:t>$273/h</w:t>
      </w:r>
      <w:r w:rsidR="00A4535A" w:rsidRPr="00DF6F31">
        <w:t>ou</w:t>
      </w:r>
      <w:r w:rsidR="00271D19" w:rsidRPr="00DF6F31">
        <w:t>r</w:t>
      </w:r>
      <w:r w:rsidR="00934F76" w:rsidRPr="00DF6F31">
        <w:t xml:space="preserve"> to review reports submitted by NRC licensees</w:t>
      </w:r>
      <w:r w:rsidR="00A4535A" w:rsidRPr="00DF6F31">
        <w:t>.</w:t>
      </w:r>
      <w:r w:rsidR="00A4535A">
        <w:t xml:space="preserve">  </w:t>
      </w:r>
      <w:r w:rsidR="00934F76">
        <w:t>Note that costs do not include costs to review Agreement state licensee actions, as this is a responsibility that has been relinquished to the Agreement states.</w:t>
      </w:r>
    </w:p>
    <w:p w:rsidR="00934F76" w:rsidRDefault="00934F76" w:rsidP="00F721AF">
      <w:pPr>
        <w:numPr>
          <w:ilvl w:val="12"/>
          <w:numId w:val="0"/>
        </w:numPr>
        <w:ind w:left="1440"/>
      </w:pPr>
    </w:p>
    <w:p w:rsidR="00836A1B" w:rsidRPr="00AE76D4" w:rsidRDefault="00934F76" w:rsidP="00F721AF">
      <w:pPr>
        <w:numPr>
          <w:ilvl w:val="12"/>
          <w:numId w:val="0"/>
        </w:numPr>
        <w:ind w:left="1440"/>
      </w:pPr>
      <w:r>
        <w:t>NRC costs associated with this collection are</w:t>
      </w:r>
      <w:r w:rsidR="00A4535A">
        <w:t xml:space="preserve"> </w:t>
      </w:r>
      <w:r w:rsidR="00836A1B" w:rsidRPr="00AE76D4">
        <w:t>fully recovered through license fees assessed to NRC licensees pursuant to 10 CFR Parts 170 and/or 171.</w:t>
      </w:r>
    </w:p>
    <w:p w:rsidR="00F721AF" w:rsidRDefault="00F721AF">
      <w:pPr>
        <w:autoSpaceDE/>
        <w:autoSpaceDN/>
        <w:adjustRightInd/>
      </w:pPr>
      <w:r>
        <w:br w:type="page"/>
      </w:r>
    </w:p>
    <w:p w:rsidR="00836A1B" w:rsidRPr="00AE76D4" w:rsidRDefault="00836A1B" w:rsidP="00F721AF">
      <w:pPr>
        <w:keepNext/>
        <w:keepLines/>
        <w:numPr>
          <w:ilvl w:val="12"/>
          <w:numId w:val="0"/>
        </w:numPr>
        <w:ind w:left="720"/>
      </w:pPr>
      <w:r w:rsidRPr="00AE76D4">
        <w:lastRenderedPageBreak/>
        <w:t>15.</w:t>
      </w:r>
      <w:r w:rsidRPr="00AE76D4">
        <w:tab/>
      </w:r>
      <w:r w:rsidRPr="00AE76D4">
        <w:rPr>
          <w:u w:val="single"/>
        </w:rPr>
        <w:t>Reasons for Change in Burden or Cost</w:t>
      </w:r>
      <w:r w:rsidRPr="00AE76D4">
        <w:t xml:space="preserve"> </w:t>
      </w:r>
    </w:p>
    <w:p w:rsidR="00E1016B" w:rsidRDefault="00E1016B" w:rsidP="00E1016B">
      <w:pPr>
        <w:ind w:left="1440"/>
        <w:rPr>
          <w:i/>
          <w:u w:val="single"/>
        </w:rPr>
      </w:pPr>
    </w:p>
    <w:p w:rsidR="00E1016B" w:rsidRPr="001A7D99" w:rsidRDefault="00E1016B" w:rsidP="00E1016B">
      <w:pPr>
        <w:ind w:left="1440"/>
        <w:rPr>
          <w:i/>
          <w:u w:val="single"/>
        </w:rPr>
      </w:pPr>
      <w:r w:rsidRPr="001A7D99">
        <w:rPr>
          <w:i/>
          <w:u w:val="single"/>
        </w:rPr>
        <w:t>Total</w:t>
      </w:r>
    </w:p>
    <w:p w:rsidR="00E1016B" w:rsidRDefault="00E1016B" w:rsidP="00E1016B">
      <w:pPr>
        <w:ind w:left="1440"/>
      </w:pPr>
      <w:r>
        <w:t>The total burden estimate increased from 1</w:t>
      </w:r>
      <w:r w:rsidRPr="00271D19">
        <w:t>10,244</w:t>
      </w:r>
      <w:r>
        <w:t xml:space="preserve"> hours to 640,521 hours, and the respondents increased from 3,740 to 21,000.  The increase in the burden is due to the inclusion of burden for Agreement State licensees, which was not included in previous submissions of this collection.  The NRC is seeking to correct this omi</w:t>
      </w:r>
      <w:r w:rsidR="00A43BCE">
        <w:t>ssion in the current submission.</w:t>
      </w:r>
    </w:p>
    <w:p w:rsidR="00E1016B" w:rsidRDefault="00E1016B" w:rsidP="00E1016B">
      <w:pPr>
        <w:ind w:left="1440"/>
      </w:pPr>
    </w:p>
    <w:p w:rsidR="00E1016B" w:rsidRDefault="00E1016B" w:rsidP="00E1016B">
      <w:pPr>
        <w:ind w:left="1440"/>
      </w:pPr>
      <w:r>
        <w:t>Responses increased from 5,502 responses to 43,505 responses, primarily due to the addition of Agreement State licensee responses.  In addition, the responses increased due to the separation of 3</w:t>
      </w:r>
      <w:r w:rsidRPr="001249B4">
        <w:rPr>
          <w:vertAlign w:val="superscript"/>
        </w:rPr>
        <w:t>rd</w:t>
      </w:r>
      <w:r>
        <w:t xml:space="preserve"> party reporting requirements, which were previously included in recordkeeping totals.</w:t>
      </w:r>
    </w:p>
    <w:p w:rsidR="00E1016B" w:rsidRPr="00AE76D4" w:rsidRDefault="00E1016B" w:rsidP="00F721AF">
      <w:pPr>
        <w:keepNext/>
        <w:keepLines/>
        <w:numPr>
          <w:ilvl w:val="12"/>
          <w:numId w:val="0"/>
        </w:numPr>
        <w:ind w:left="720"/>
      </w:pPr>
    </w:p>
    <w:p w:rsidR="00504A0E" w:rsidRPr="00504A0E" w:rsidRDefault="00504A0E" w:rsidP="00F721AF">
      <w:pPr>
        <w:ind w:left="1440"/>
        <w:rPr>
          <w:i/>
          <w:u w:val="single"/>
        </w:rPr>
      </w:pPr>
      <w:r w:rsidRPr="00504A0E">
        <w:rPr>
          <w:i/>
          <w:u w:val="single"/>
        </w:rPr>
        <w:t>NRC Licensees</w:t>
      </w:r>
    </w:p>
    <w:p w:rsidR="00FA2A9D" w:rsidRDefault="00593C81" w:rsidP="00F721AF">
      <w:pPr>
        <w:ind w:left="1440"/>
      </w:pPr>
      <w:r>
        <w:t xml:space="preserve">The burden estimate </w:t>
      </w:r>
      <w:r w:rsidR="00504A0E">
        <w:t xml:space="preserve">for NRC licensees </w:t>
      </w:r>
      <w:r>
        <w:t>changed from 1</w:t>
      </w:r>
      <w:r w:rsidR="00271D19" w:rsidRPr="00271D19">
        <w:t xml:space="preserve">10,244 </w:t>
      </w:r>
      <w:r w:rsidR="00917177" w:rsidRPr="00271D19">
        <w:t xml:space="preserve">to </w:t>
      </w:r>
      <w:r w:rsidR="00271D19" w:rsidRPr="00271D19">
        <w:t>91,503</w:t>
      </w:r>
      <w:r w:rsidR="00D30EC0">
        <w:t xml:space="preserve"> </w:t>
      </w:r>
      <w:r w:rsidR="00A4535A">
        <w:t>hours</w:t>
      </w:r>
      <w:r>
        <w:t>, a decrease of 18,741 hours.</w:t>
      </w:r>
      <w:r w:rsidR="00917177" w:rsidRPr="00271D19">
        <w:t xml:space="preserve">  This decrease </w:t>
      </w:r>
      <w:r w:rsidR="00A4535A">
        <w:t>of 18</w:t>
      </w:r>
      <w:r w:rsidR="002861CC">
        <w:t>,741</w:t>
      </w:r>
      <w:r w:rsidR="00A4535A">
        <w:t xml:space="preserve"> hours </w:t>
      </w:r>
      <w:r w:rsidR="00917177" w:rsidRPr="00271D19">
        <w:t xml:space="preserve">is </w:t>
      </w:r>
      <w:r>
        <w:t xml:space="preserve">attributed to a decrease in the number of </w:t>
      </w:r>
      <w:r w:rsidR="00934F76">
        <w:t xml:space="preserve">NRC </w:t>
      </w:r>
      <w:r>
        <w:t>licensees subject to Part 20 requirements.  The previous burden estimates were based on 3,740 licensees, the current request is based on 3,000 licensees</w:t>
      </w:r>
      <w:r w:rsidR="00A4535A">
        <w:t xml:space="preserve"> </w:t>
      </w:r>
      <w:r w:rsidR="00FA2A9D" w:rsidRPr="00271D19">
        <w:t xml:space="preserve">required to report </w:t>
      </w:r>
      <w:r w:rsidR="0095075A" w:rsidRPr="00271D19">
        <w:t>and keep records</w:t>
      </w:r>
      <w:r w:rsidR="00A4535A">
        <w:t>.</w:t>
      </w:r>
      <w:r w:rsidR="00504A0E">
        <w:t xml:space="preserve">  Data on the number of NRC licensees is taken from th</w:t>
      </w:r>
      <w:r w:rsidR="00934F76">
        <w:t>e NRC’s License Tracking System, which shows the actual number of NRC licensees at any given time.</w:t>
      </w:r>
    </w:p>
    <w:p w:rsidR="00593C81" w:rsidRDefault="00593C81" w:rsidP="00F721AF">
      <w:pPr>
        <w:ind w:left="1440"/>
      </w:pPr>
    </w:p>
    <w:p w:rsidR="00536525" w:rsidRDefault="00536525" w:rsidP="00F721AF">
      <w:pPr>
        <w:ind w:left="1440"/>
      </w:pPr>
      <w:r>
        <w:t xml:space="preserve">The estimated number of </w:t>
      </w:r>
      <w:r w:rsidR="00504A0E">
        <w:t xml:space="preserve">NRC licensee </w:t>
      </w:r>
      <w:r>
        <w:t>responses changed from 5,502 responses (1,762 reporting responses plus 3,740 recordkeepers) to 6,</w:t>
      </w:r>
      <w:r w:rsidR="003175AB">
        <w:t>21</w:t>
      </w:r>
      <w:r>
        <w:t>5 responses (</w:t>
      </w:r>
      <w:r w:rsidR="009E5658">
        <w:t>1,676 reporting responses plus 1,539 third party disclosure responses plus 3,000 recordkeepers)</w:t>
      </w:r>
      <w:r>
        <w:t xml:space="preserve">, an increase of </w:t>
      </w:r>
      <w:r w:rsidR="003175AB">
        <w:t>713</w:t>
      </w:r>
      <w:r>
        <w:t xml:space="preserve"> responses.  The </w:t>
      </w:r>
      <w:r w:rsidR="005374A2">
        <w:t xml:space="preserve">primary </w:t>
      </w:r>
      <w:r>
        <w:t xml:space="preserve">reason for the increase in the number of responses is that the third party disclosure requirements have been broken out into a separate table; </w:t>
      </w:r>
      <w:r w:rsidR="005374A2">
        <w:t xml:space="preserve">whereas </w:t>
      </w:r>
      <w:r>
        <w:t>in the previous submission they were included on the recordkeeping table.  As a result, 1,539 third-party disclosure responses were added to the total.</w:t>
      </w:r>
    </w:p>
    <w:p w:rsidR="00536525" w:rsidRDefault="00536525" w:rsidP="00F721AF">
      <w:pPr>
        <w:ind w:left="1440"/>
      </w:pPr>
    </w:p>
    <w:p w:rsidR="00504A0E" w:rsidRPr="00504A0E" w:rsidRDefault="00504A0E" w:rsidP="00F721AF">
      <w:pPr>
        <w:ind w:left="1440"/>
        <w:rPr>
          <w:i/>
          <w:u w:val="single"/>
        </w:rPr>
      </w:pPr>
      <w:r w:rsidRPr="00504A0E">
        <w:rPr>
          <w:i/>
          <w:u w:val="single"/>
        </w:rPr>
        <w:t>Agreement State Licensees</w:t>
      </w:r>
    </w:p>
    <w:p w:rsidR="00504A0E" w:rsidRDefault="00504A0E" w:rsidP="00F721AF">
      <w:pPr>
        <w:ind w:left="1440"/>
      </w:pPr>
      <w:r>
        <w:t>The current submission corrects an omission in the previous submissions of the Part 20 in</w:t>
      </w:r>
      <w:r w:rsidR="00017BEA">
        <w:t>formation collection.  Previous submissions of Part 20 did not include estimates of Agreement state licensees’ burden and responses.  As a result, all Agreement state licensee burden (549,018 hours and 37,290 responses) is new burden</w:t>
      </w:r>
      <w:r w:rsidR="001A7D99">
        <w:t>.</w:t>
      </w:r>
      <w:r w:rsidR="00017BEA">
        <w:t xml:space="preserve">  In addition, the inclusion of Agreement state licensees in the totals adds 18,000 additional respondents.</w:t>
      </w:r>
    </w:p>
    <w:p w:rsidR="00017BEA" w:rsidRDefault="00017BEA" w:rsidP="00F721AF">
      <w:pPr>
        <w:ind w:left="1440"/>
      </w:pPr>
    </w:p>
    <w:p w:rsidR="00504A0E" w:rsidRDefault="00017BEA" w:rsidP="00F721AF">
      <w:pPr>
        <w:ind w:left="1440"/>
      </w:pPr>
      <w:r>
        <w:t>O</w:t>
      </w:r>
      <w:r w:rsidR="00504A0E">
        <w:t>ther NRC information collecti</w:t>
      </w:r>
      <w:r>
        <w:t>ons for which the NRC can relinq</w:t>
      </w:r>
      <w:r w:rsidR="00504A0E">
        <w:t>uish r</w:t>
      </w:r>
      <w:r>
        <w:t>egulatory authority to a state have historically included estimates for Agreement State licensee burden</w:t>
      </w:r>
      <w:r w:rsidR="001A7D99">
        <w:t xml:space="preserve"> (for example, 10 CFR Parts 32, 32, and 35)</w:t>
      </w:r>
      <w:r>
        <w:t>.  The NRC believes it is appropriate to include this burden in Part 20</w:t>
      </w:r>
      <w:r w:rsidR="001A7D99">
        <w:t xml:space="preserve"> because of the compatibility requirements for this Part (Agreement State licensees must fulfill the same requirements as NRC licensees).</w:t>
      </w:r>
      <w:r w:rsidR="00A43BCE">
        <w:t xml:space="preserve">  </w:t>
      </w:r>
      <w:r w:rsidR="00A43BCE" w:rsidRPr="00A43BCE">
        <w:t>Note that this change does not expand the universe of respondents for this collection; rather, it corrects the methodology used to estimate the number of respondents for the collection.</w:t>
      </w:r>
    </w:p>
    <w:p w:rsidR="001A7D99" w:rsidRDefault="001A7D99" w:rsidP="00E1016B"/>
    <w:p w:rsidR="00536525" w:rsidRDefault="00536525" w:rsidP="00F721AF">
      <w:pPr>
        <w:keepNext/>
        <w:keepLines/>
        <w:numPr>
          <w:ilvl w:val="12"/>
          <w:numId w:val="0"/>
        </w:numPr>
        <w:ind w:left="1440"/>
      </w:pPr>
      <w:r w:rsidRPr="00AE76D4">
        <w:lastRenderedPageBreak/>
        <w:t xml:space="preserve">In addition, there is an </w:t>
      </w:r>
      <w:r w:rsidRPr="00271D19">
        <w:t xml:space="preserve">increase in </w:t>
      </w:r>
      <w:r w:rsidR="005374A2">
        <w:t xml:space="preserve">the hourly rate </w:t>
      </w:r>
      <w:r>
        <w:t xml:space="preserve">from $238 </w:t>
      </w:r>
      <w:r w:rsidRPr="00271D19">
        <w:t>to $273.</w:t>
      </w:r>
    </w:p>
    <w:p w:rsidR="00F721AF" w:rsidRDefault="00F721AF">
      <w:pPr>
        <w:autoSpaceDE/>
        <w:autoSpaceDN/>
        <w:adjustRightInd/>
      </w:pPr>
    </w:p>
    <w:p w:rsidR="00836A1B" w:rsidRPr="00AE76D4" w:rsidRDefault="00836A1B" w:rsidP="00F721AF">
      <w:pPr>
        <w:numPr>
          <w:ilvl w:val="12"/>
          <w:numId w:val="0"/>
        </w:numPr>
        <w:ind w:left="720"/>
      </w:pPr>
      <w:r w:rsidRPr="00AE76D4">
        <w:t>16.</w:t>
      </w:r>
      <w:r w:rsidRPr="00AE76D4">
        <w:tab/>
      </w:r>
      <w:r w:rsidRPr="00AE76D4">
        <w:rPr>
          <w:u w:val="single"/>
        </w:rPr>
        <w:t>Publication for Statistical Use</w:t>
      </w:r>
    </w:p>
    <w:p w:rsidR="00836A1B" w:rsidRPr="00AE76D4" w:rsidRDefault="00836A1B" w:rsidP="00F721AF">
      <w:pPr>
        <w:numPr>
          <w:ilvl w:val="12"/>
          <w:numId w:val="0"/>
        </w:numPr>
        <w:ind w:left="720"/>
      </w:pPr>
    </w:p>
    <w:p w:rsidR="00836A1B" w:rsidRPr="00AE76D4" w:rsidRDefault="00836A1B" w:rsidP="00F721AF">
      <w:pPr>
        <w:numPr>
          <w:ilvl w:val="12"/>
          <w:numId w:val="0"/>
        </w:numPr>
        <w:ind w:left="1440"/>
      </w:pPr>
      <w:r w:rsidRPr="00AE76D4">
        <w:t>None.</w:t>
      </w:r>
    </w:p>
    <w:p w:rsidR="00836A1B" w:rsidRPr="00AE76D4" w:rsidRDefault="00836A1B" w:rsidP="00F721AF">
      <w:pPr>
        <w:numPr>
          <w:ilvl w:val="12"/>
          <w:numId w:val="0"/>
        </w:numPr>
        <w:ind w:left="720"/>
      </w:pPr>
    </w:p>
    <w:p w:rsidR="00836A1B" w:rsidRPr="00AE76D4" w:rsidRDefault="00836A1B" w:rsidP="00F721AF">
      <w:pPr>
        <w:numPr>
          <w:ilvl w:val="12"/>
          <w:numId w:val="0"/>
        </w:numPr>
        <w:ind w:left="720"/>
      </w:pPr>
      <w:r w:rsidRPr="00AE76D4">
        <w:t xml:space="preserve">17. </w:t>
      </w:r>
      <w:r w:rsidRPr="00AE76D4">
        <w:tab/>
      </w:r>
      <w:r w:rsidRPr="00AE76D4">
        <w:rPr>
          <w:u w:val="single"/>
        </w:rPr>
        <w:t>Reason for Not Displaying the Expiration Date</w:t>
      </w:r>
    </w:p>
    <w:p w:rsidR="00836A1B" w:rsidRPr="00AE76D4" w:rsidRDefault="00836A1B" w:rsidP="00F721AF">
      <w:pPr>
        <w:numPr>
          <w:ilvl w:val="12"/>
          <w:numId w:val="0"/>
        </w:numPr>
        <w:ind w:left="720"/>
      </w:pPr>
    </w:p>
    <w:p w:rsidR="00836A1B" w:rsidRPr="00AE76D4" w:rsidRDefault="00836A1B" w:rsidP="00F721AF">
      <w:pPr>
        <w:numPr>
          <w:ilvl w:val="12"/>
          <w:numId w:val="0"/>
        </w:numPr>
        <w:ind w:left="1440"/>
      </w:pPr>
      <w:r w:rsidRPr="00AE76D4">
        <w:t>The requirement is contained in a regulation.  Amending the Code of Federal Regulations to display information that, in an annual publication, could become obsolete would be unduly burdensome and too difficult to keep current.</w:t>
      </w:r>
    </w:p>
    <w:p w:rsidR="00836A1B" w:rsidRPr="00AE76D4" w:rsidRDefault="00836A1B" w:rsidP="00F721AF">
      <w:pPr>
        <w:numPr>
          <w:ilvl w:val="12"/>
          <w:numId w:val="0"/>
        </w:numPr>
        <w:ind w:left="1440"/>
      </w:pPr>
    </w:p>
    <w:p w:rsidR="00836A1B" w:rsidRPr="00AE76D4" w:rsidRDefault="00836A1B" w:rsidP="00F721AF">
      <w:pPr>
        <w:numPr>
          <w:ilvl w:val="12"/>
          <w:numId w:val="0"/>
        </w:numPr>
        <w:ind w:left="720"/>
        <w:rPr>
          <w:u w:val="single"/>
        </w:rPr>
      </w:pPr>
      <w:r w:rsidRPr="00AE76D4">
        <w:t>18.</w:t>
      </w:r>
      <w:r w:rsidRPr="00AE76D4">
        <w:tab/>
      </w:r>
      <w:r w:rsidRPr="00AE76D4">
        <w:rPr>
          <w:u w:val="single"/>
        </w:rPr>
        <w:t>Exceptions to the Certification Statement</w:t>
      </w:r>
    </w:p>
    <w:p w:rsidR="00A858B2" w:rsidRDefault="00A858B2" w:rsidP="00F721AF">
      <w:pPr>
        <w:keepLines/>
        <w:tabs>
          <w:tab w:val="left" w:pos="0"/>
          <w:tab w:val="left" w:pos="2160"/>
          <w:tab w:val="left" w:pos="2880"/>
          <w:tab w:val="left" w:pos="3600"/>
          <w:tab w:val="left" w:pos="4320"/>
          <w:tab w:val="left" w:pos="5040"/>
          <w:tab w:val="left" w:pos="5760"/>
          <w:tab w:val="left" w:pos="6480"/>
          <w:tab w:val="left" w:pos="7200"/>
          <w:tab w:val="left" w:pos="7920"/>
          <w:tab w:val="left" w:pos="8640"/>
        </w:tabs>
        <w:ind w:left="720"/>
      </w:pPr>
    </w:p>
    <w:p w:rsidR="004B79C4" w:rsidRPr="00AE76D4" w:rsidRDefault="00E92A2D" w:rsidP="00F721AF">
      <w:pPr>
        <w:keepLines/>
        <w:tabs>
          <w:tab w:val="left" w:pos="0"/>
          <w:tab w:val="left" w:pos="2160"/>
          <w:tab w:val="left" w:pos="2880"/>
          <w:tab w:val="left" w:pos="3600"/>
          <w:tab w:val="left" w:pos="4320"/>
          <w:tab w:val="left" w:pos="5040"/>
          <w:tab w:val="left" w:pos="5760"/>
          <w:tab w:val="left" w:pos="6480"/>
          <w:tab w:val="left" w:pos="7200"/>
          <w:tab w:val="left" w:pos="7920"/>
          <w:tab w:val="left" w:pos="8640"/>
        </w:tabs>
        <w:ind w:left="1440"/>
      </w:pPr>
      <w:r>
        <w:t>None.</w:t>
      </w:r>
    </w:p>
    <w:p w:rsidR="00836A1B" w:rsidRDefault="00836A1B" w:rsidP="00F721AF">
      <w:pPr>
        <w:numPr>
          <w:ilvl w:val="12"/>
          <w:numId w:val="0"/>
        </w:numPr>
        <w:ind w:left="720"/>
      </w:pPr>
    </w:p>
    <w:p w:rsidR="00836A1B" w:rsidRPr="00AE76D4" w:rsidRDefault="00836A1B" w:rsidP="00F721AF">
      <w:pPr>
        <w:numPr>
          <w:ilvl w:val="12"/>
          <w:numId w:val="0"/>
        </w:numPr>
      </w:pPr>
      <w:r w:rsidRPr="00AE76D4">
        <w:t>B.</w:t>
      </w:r>
      <w:r w:rsidRPr="00AE76D4">
        <w:tab/>
      </w:r>
      <w:r w:rsidRPr="00AE76D4">
        <w:rPr>
          <w:u w:val="single"/>
        </w:rPr>
        <w:t>Collections of Information Employing Statistical Methods</w:t>
      </w:r>
    </w:p>
    <w:p w:rsidR="00836A1B" w:rsidRPr="00AE76D4" w:rsidRDefault="00836A1B" w:rsidP="00F721AF">
      <w:pPr>
        <w:numPr>
          <w:ilvl w:val="12"/>
          <w:numId w:val="0"/>
        </w:numPr>
      </w:pPr>
    </w:p>
    <w:p w:rsidR="00836A1B" w:rsidRPr="00AE76D4" w:rsidRDefault="00836A1B" w:rsidP="00F721AF">
      <w:pPr>
        <w:numPr>
          <w:ilvl w:val="12"/>
          <w:numId w:val="0"/>
        </w:numPr>
        <w:ind w:left="720"/>
      </w:pPr>
      <w:r w:rsidRPr="00AE76D4">
        <w:t>Statistical methods are not used in this collection of information.</w:t>
      </w:r>
    </w:p>
    <w:p w:rsidR="00A66559" w:rsidRDefault="00836A1B" w:rsidP="00836A1B">
      <w:pPr>
        <w:numPr>
          <w:ilvl w:val="12"/>
          <w:numId w:val="0"/>
        </w:numPr>
        <w:jc w:val="center"/>
        <w:sectPr w:rsidR="00A66559" w:rsidSect="00515EDB">
          <w:footerReference w:type="default" r:id="rId8"/>
          <w:type w:val="continuous"/>
          <w:pgSz w:w="12240" w:h="15840"/>
          <w:pgMar w:top="1440" w:right="1440" w:bottom="1440" w:left="1440" w:header="1440" w:footer="1440" w:gutter="0"/>
          <w:cols w:space="720"/>
          <w:noEndnote/>
        </w:sectPr>
      </w:pPr>
      <w:r w:rsidRPr="00AE76D4">
        <w:br w:type="page"/>
      </w:r>
    </w:p>
    <w:p w:rsidR="00836A1B" w:rsidRPr="00DF6F31" w:rsidRDefault="00836A1B" w:rsidP="00836A1B">
      <w:pPr>
        <w:numPr>
          <w:ilvl w:val="12"/>
          <w:numId w:val="0"/>
        </w:numPr>
        <w:jc w:val="center"/>
      </w:pPr>
      <w:r w:rsidRPr="00DF6F31">
        <w:lastRenderedPageBreak/>
        <w:t>TABLE 1</w:t>
      </w:r>
    </w:p>
    <w:p w:rsidR="0081081F" w:rsidRPr="00DF6F31" w:rsidRDefault="0081081F" w:rsidP="00836A1B">
      <w:pPr>
        <w:numPr>
          <w:ilvl w:val="12"/>
          <w:numId w:val="0"/>
        </w:numPr>
        <w:jc w:val="center"/>
      </w:pPr>
      <w:r w:rsidRPr="00DF6F31">
        <w:t>REPORTING BURDEN FOR NRC LICENSEES</w:t>
      </w:r>
    </w:p>
    <w:p w:rsidR="007C199D" w:rsidRPr="00DF6F31" w:rsidRDefault="007C199D" w:rsidP="00836A1B">
      <w:pPr>
        <w:numPr>
          <w:ilvl w:val="12"/>
          <w:numId w:val="0"/>
        </w:numPr>
        <w:jc w:val="center"/>
      </w:pPr>
    </w:p>
    <w:tbl>
      <w:tblPr>
        <w:tblW w:w="9900" w:type="dxa"/>
        <w:jc w:val="center"/>
        <w:tblInd w:w="93" w:type="dxa"/>
        <w:tblLook w:val="04A0"/>
      </w:tblPr>
      <w:tblGrid>
        <w:gridCol w:w="2405"/>
        <w:gridCol w:w="1434"/>
        <w:gridCol w:w="1328"/>
        <w:gridCol w:w="1212"/>
        <w:gridCol w:w="1328"/>
        <w:gridCol w:w="957"/>
        <w:gridCol w:w="1236"/>
      </w:tblGrid>
      <w:tr w:rsidR="0081081F" w:rsidRPr="00DF6F31" w:rsidTr="001249B4">
        <w:trPr>
          <w:trHeight w:val="825"/>
          <w:jc w:val="center"/>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6"/>
                <w:szCs w:val="16"/>
              </w:rPr>
            </w:pPr>
            <w:r w:rsidRPr="00DF6F31">
              <w:rPr>
                <w:b/>
                <w:bCs/>
                <w:color w:val="000000"/>
                <w:sz w:val="16"/>
                <w:szCs w:val="16"/>
              </w:rPr>
              <w:t>SECTION</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6"/>
                <w:szCs w:val="16"/>
              </w:rPr>
            </w:pPr>
            <w:r w:rsidRPr="00DF6F31">
              <w:rPr>
                <w:b/>
                <w:bCs/>
                <w:color w:val="000000"/>
                <w:sz w:val="16"/>
                <w:szCs w:val="16"/>
              </w:rPr>
              <w:t>NO. OF RESPONDENTS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6"/>
                <w:szCs w:val="16"/>
              </w:rPr>
            </w:pPr>
            <w:r w:rsidRPr="00DF6F31">
              <w:rPr>
                <w:b/>
                <w:bCs/>
                <w:color w:val="000000"/>
                <w:sz w:val="16"/>
                <w:szCs w:val="16"/>
              </w:rPr>
              <w:t>RESPONSES PER RESPONDENT</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6"/>
                <w:szCs w:val="16"/>
              </w:rPr>
            </w:pPr>
            <w:r w:rsidRPr="00DF6F31">
              <w:rPr>
                <w:b/>
                <w:bCs/>
                <w:color w:val="000000"/>
                <w:sz w:val="16"/>
                <w:szCs w:val="16"/>
              </w:rPr>
              <w:t>TOTAL RESPONSES</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6"/>
                <w:szCs w:val="16"/>
              </w:rPr>
            </w:pPr>
            <w:r w:rsidRPr="00DF6F31">
              <w:rPr>
                <w:b/>
                <w:bCs/>
                <w:color w:val="000000"/>
                <w:sz w:val="16"/>
                <w:szCs w:val="16"/>
              </w:rPr>
              <w:t>ANNUAL BURDEN PER RESPONDENT</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6"/>
                <w:szCs w:val="16"/>
              </w:rPr>
            </w:pPr>
            <w:r w:rsidRPr="00DF6F31">
              <w:rPr>
                <w:b/>
                <w:bCs/>
                <w:color w:val="000000"/>
                <w:sz w:val="16"/>
                <w:szCs w:val="16"/>
              </w:rPr>
              <w:t>TOTAL ANNUAL BURDEN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6"/>
                <w:szCs w:val="16"/>
              </w:rPr>
            </w:pPr>
            <w:r w:rsidRPr="00DF6F31">
              <w:rPr>
                <w:b/>
                <w:bCs/>
                <w:color w:val="000000"/>
                <w:sz w:val="16"/>
                <w:szCs w:val="16"/>
              </w:rPr>
              <w:t>NOTES</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20.1101(d)</w:t>
            </w:r>
          </w:p>
        </w:tc>
        <w:tc>
          <w:tcPr>
            <w:tcW w:w="7167" w:type="dxa"/>
            <w:gridSpan w:val="6"/>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20.2203</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20.1202</w:t>
            </w:r>
          </w:p>
        </w:tc>
        <w:tc>
          <w:tcPr>
            <w:tcW w:w="7167" w:type="dxa"/>
            <w:gridSpan w:val="6"/>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20.2206</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20.1203</w:t>
            </w:r>
          </w:p>
        </w:tc>
        <w:tc>
          <w:tcPr>
            <w:tcW w:w="7167" w:type="dxa"/>
            <w:gridSpan w:val="6"/>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20.2206</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20.1204</w:t>
            </w:r>
          </w:p>
        </w:tc>
        <w:tc>
          <w:tcPr>
            <w:tcW w:w="7167" w:type="dxa"/>
            <w:gridSpan w:val="6"/>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20.2206</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20.1206</w:t>
            </w:r>
          </w:p>
        </w:tc>
        <w:tc>
          <w:tcPr>
            <w:tcW w:w="7167" w:type="dxa"/>
            <w:gridSpan w:val="6"/>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20.2204</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20.1208</w:t>
            </w:r>
          </w:p>
        </w:tc>
        <w:tc>
          <w:tcPr>
            <w:tcW w:w="7167" w:type="dxa"/>
            <w:gridSpan w:val="6"/>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20.2206</w:t>
            </w:r>
          </w:p>
        </w:tc>
      </w:tr>
      <w:tr w:rsidR="0081081F" w:rsidRPr="00DF6F31" w:rsidTr="001249B4">
        <w:trPr>
          <w:trHeight w:val="480"/>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1868B0">
            <w:pPr>
              <w:autoSpaceDE/>
              <w:autoSpaceDN/>
              <w:adjustRightInd/>
              <w:rPr>
                <w:color w:val="000000"/>
                <w:sz w:val="18"/>
                <w:szCs w:val="18"/>
              </w:rPr>
            </w:pPr>
            <w:r w:rsidRPr="00DF6F31">
              <w:rPr>
                <w:color w:val="000000"/>
                <w:sz w:val="18"/>
                <w:szCs w:val="18"/>
              </w:rPr>
              <w:t>20.1301(</w:t>
            </w:r>
            <w:r w:rsidR="001868B0" w:rsidRPr="00DF6F31">
              <w:rPr>
                <w:color w:val="000000"/>
                <w:sz w:val="18"/>
                <w:szCs w:val="18"/>
              </w:rPr>
              <w:t>d</w:t>
            </w:r>
            <w:r w:rsidRPr="00DF6F31">
              <w:rPr>
                <w:color w:val="000000"/>
                <w:sz w:val="18"/>
                <w:szCs w:val="18"/>
              </w:rPr>
              <w:t>)</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0</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0</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0</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1868B0" w:rsidP="0081081F">
            <w:pPr>
              <w:autoSpaceDE/>
              <w:autoSpaceDN/>
              <w:adjustRightInd/>
              <w:jc w:val="right"/>
              <w:rPr>
                <w:color w:val="000000"/>
                <w:sz w:val="18"/>
                <w:szCs w:val="18"/>
              </w:rPr>
            </w:pPr>
            <w:r w:rsidRPr="00DF6F31">
              <w:rPr>
                <w:color w:val="000000"/>
                <w:sz w:val="18"/>
                <w:szCs w:val="18"/>
              </w:rPr>
              <w:t>4</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0</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None expected</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20.1302(c)</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10</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20</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20.1403(a),(c),(d),(e)(1)</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23</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69</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20.1403(e)(2)</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10</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10</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20.1404</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0</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0</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0</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1868B0" w:rsidP="0081081F">
            <w:pPr>
              <w:autoSpaceDE/>
              <w:autoSpaceDN/>
              <w:adjustRightInd/>
              <w:jc w:val="right"/>
              <w:rPr>
                <w:color w:val="000000"/>
                <w:sz w:val="18"/>
                <w:szCs w:val="18"/>
              </w:rPr>
            </w:pPr>
            <w:r w:rsidRPr="00DF6F31">
              <w:rPr>
                <w:color w:val="000000"/>
                <w:sz w:val="18"/>
                <w:szCs w:val="18"/>
              </w:rPr>
              <w:t>2</w:t>
            </w:r>
            <w:r w:rsidR="0081081F" w:rsidRPr="00DF6F31">
              <w:rPr>
                <w:color w:val="000000"/>
                <w:sz w:val="18"/>
                <w:szCs w:val="18"/>
              </w:rPr>
              <w:t>0</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0</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20.1406</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10</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10</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20</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200</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20.1601(c)</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10</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10</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8</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80</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20.1703(b)</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15</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15</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40</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600</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20.1705(a)&amp;(b)</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15</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15</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40</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600</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20.1906(d)</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14</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14</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42</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20.2002</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20</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20</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20</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400</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w:t>
            </w:r>
          </w:p>
        </w:tc>
      </w:tr>
      <w:tr w:rsidR="0081081F" w:rsidRPr="00DF6F31" w:rsidTr="001868B0">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20.2004</w:t>
            </w:r>
          </w:p>
        </w:tc>
        <w:tc>
          <w:tcPr>
            <w:tcW w:w="7167" w:type="dxa"/>
            <w:gridSpan w:val="6"/>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Burden included under 10 CFR 50 (OMB clearance no. 3150-0011)</w:t>
            </w:r>
          </w:p>
        </w:tc>
      </w:tr>
      <w:tr w:rsidR="0081081F" w:rsidRPr="00DF6F31" w:rsidTr="001868B0">
        <w:trPr>
          <w:trHeight w:val="480"/>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20.2006</w:t>
            </w:r>
          </w:p>
        </w:tc>
        <w:tc>
          <w:tcPr>
            <w:tcW w:w="7167" w:type="dxa"/>
            <w:gridSpan w:val="6"/>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Burden included under NRC Forms 540-542 (OMB clearance nos. 3150-0164, 3150-0166, 3150-0165)</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20.2201(a)</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30</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30</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90</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20.2201(b)</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30</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30</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90</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20.2201(d)</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5</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5</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15</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20.2202(a)</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10</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10</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10</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20.2202(b)</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38</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38</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40</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1,520</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20.2203(a)&amp;(b)</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20</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20</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6</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120</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249B4">
        <w:trPr>
          <w:trHeight w:val="255"/>
          <w:jc w:val="center"/>
        </w:trPr>
        <w:tc>
          <w:tcPr>
            <w:tcW w:w="273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20.2204</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5</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5</w:t>
            </w:r>
          </w:p>
        </w:tc>
        <w:tc>
          <w:tcPr>
            <w:tcW w:w="114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5</w:t>
            </w:r>
          </w:p>
        </w:tc>
        <w:tc>
          <w:tcPr>
            <w:tcW w:w="10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25</w:t>
            </w:r>
          </w:p>
        </w:tc>
        <w:tc>
          <w:tcPr>
            <w:tcW w:w="1553"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b/>
                <w:bCs/>
                <w:color w:val="FF0000"/>
                <w:sz w:val="18"/>
                <w:szCs w:val="18"/>
              </w:rPr>
            </w:pPr>
            <w:r w:rsidRPr="00DF6F31">
              <w:rPr>
                <w:b/>
                <w:bCs/>
                <w:color w:val="FF0000"/>
                <w:sz w:val="18"/>
                <w:szCs w:val="18"/>
              </w:rPr>
              <w:t> </w:t>
            </w:r>
          </w:p>
        </w:tc>
      </w:tr>
      <w:tr w:rsidR="0081081F" w:rsidRPr="00DF6F31" w:rsidTr="001868B0">
        <w:trPr>
          <w:trHeight w:val="480"/>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20.2205</w:t>
            </w:r>
          </w:p>
        </w:tc>
        <w:tc>
          <w:tcPr>
            <w:tcW w:w="7167" w:type="dxa"/>
            <w:gridSpan w:val="6"/>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DB3865">
            <w:pPr>
              <w:autoSpaceDE/>
              <w:autoSpaceDN/>
              <w:adjustRightInd/>
              <w:rPr>
                <w:color w:val="000000"/>
                <w:sz w:val="18"/>
                <w:szCs w:val="18"/>
              </w:rPr>
            </w:pPr>
            <w:r w:rsidRPr="00DF6F31">
              <w:rPr>
                <w:color w:val="000000"/>
                <w:sz w:val="18"/>
                <w:szCs w:val="18"/>
              </w:rPr>
              <w:t xml:space="preserve">Burden included in 20.2203(a) except for doses to individuals (see Table </w:t>
            </w:r>
            <w:r w:rsidR="00DB3865" w:rsidRPr="00DF6F31">
              <w:rPr>
                <w:color w:val="000000"/>
                <w:sz w:val="18"/>
                <w:szCs w:val="18"/>
              </w:rPr>
              <w:t>3</w:t>
            </w:r>
            <w:r w:rsidRPr="00DF6F31">
              <w:rPr>
                <w:color w:val="000000"/>
                <w:sz w:val="18"/>
                <w:szCs w:val="18"/>
              </w:rPr>
              <w:t>)</w:t>
            </w:r>
          </w:p>
        </w:tc>
      </w:tr>
      <w:tr w:rsidR="0081081F" w:rsidRPr="00DF6F31" w:rsidTr="001868B0">
        <w:trPr>
          <w:trHeight w:val="480"/>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20.2206</w:t>
            </w:r>
          </w:p>
        </w:tc>
        <w:tc>
          <w:tcPr>
            <w:tcW w:w="7167" w:type="dxa"/>
            <w:gridSpan w:val="6"/>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Burden included under NRC Forms 4 and 5 (OMB clearance 3150-0005 &amp; 3150-0006)</w:t>
            </w:r>
          </w:p>
        </w:tc>
      </w:tr>
      <w:tr w:rsidR="0081081F" w:rsidRPr="00DF6F31" w:rsidTr="001868B0">
        <w:trPr>
          <w:trHeight w:val="255"/>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20.2207(a), (b), (c), (d), (e), (f)</w:t>
            </w:r>
          </w:p>
        </w:tc>
        <w:tc>
          <w:tcPr>
            <w:tcW w:w="7167" w:type="dxa"/>
            <w:gridSpan w:val="6"/>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Burden included in OMB clearance for NRC Form 748 )OMB clearance 3150-0202</w:t>
            </w:r>
          </w:p>
        </w:tc>
      </w:tr>
      <w:tr w:rsidR="0081081F" w:rsidRPr="00DF6F31" w:rsidTr="001868B0">
        <w:trPr>
          <w:trHeight w:val="255"/>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20.2207 (g)</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 xml:space="preserve">              1,425 </w:t>
            </w:r>
          </w:p>
        </w:tc>
        <w:tc>
          <w:tcPr>
            <w:tcW w:w="1180"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 xml:space="preserve">                    1 </w:t>
            </w:r>
          </w:p>
        </w:tc>
        <w:tc>
          <w:tcPr>
            <w:tcW w:w="1026"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 xml:space="preserve">         1,425 </w:t>
            </w:r>
          </w:p>
        </w:tc>
        <w:tc>
          <w:tcPr>
            <w:tcW w:w="1142"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 xml:space="preserve">                    1 </w:t>
            </w:r>
          </w:p>
        </w:tc>
        <w:tc>
          <w:tcPr>
            <w:tcW w:w="1018" w:type="dxa"/>
            <w:tcBorders>
              <w:top w:val="nil"/>
              <w:left w:val="nil"/>
              <w:bottom w:val="single" w:sz="4" w:space="0" w:color="auto"/>
              <w:right w:val="single" w:sz="4" w:space="0" w:color="auto"/>
            </w:tcBorders>
            <w:shd w:val="clear" w:color="auto" w:fill="auto"/>
            <w:vAlign w:val="center"/>
            <w:hideMark/>
          </w:tcPr>
          <w:p w:rsidR="0081081F" w:rsidRPr="00DF6F31" w:rsidRDefault="001868B0" w:rsidP="001868B0">
            <w:pPr>
              <w:autoSpaceDE/>
              <w:autoSpaceDN/>
              <w:adjustRightInd/>
              <w:rPr>
                <w:color w:val="000000"/>
                <w:sz w:val="18"/>
                <w:szCs w:val="18"/>
              </w:rPr>
            </w:pPr>
            <w:r w:rsidRPr="00DF6F31">
              <w:rPr>
                <w:color w:val="000000"/>
                <w:sz w:val="18"/>
                <w:szCs w:val="18"/>
              </w:rPr>
              <w:t xml:space="preserve">     </w:t>
            </w:r>
            <w:r w:rsidR="0081081F" w:rsidRPr="00DF6F31">
              <w:rPr>
                <w:color w:val="000000"/>
                <w:sz w:val="18"/>
                <w:szCs w:val="18"/>
              </w:rPr>
              <w:t xml:space="preserve">1,425 </w:t>
            </w:r>
          </w:p>
        </w:tc>
        <w:tc>
          <w:tcPr>
            <w:tcW w:w="1553"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 </w:t>
            </w:r>
          </w:p>
        </w:tc>
      </w:tr>
      <w:tr w:rsidR="0081081F" w:rsidRPr="00DF6F31" w:rsidTr="001868B0">
        <w:trPr>
          <w:trHeight w:val="255"/>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20.2207(h)</w:t>
            </w:r>
          </w:p>
        </w:tc>
        <w:tc>
          <w:tcPr>
            <w:tcW w:w="7167" w:type="dxa"/>
            <w:gridSpan w:val="6"/>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One time report completed</w:t>
            </w:r>
          </w:p>
        </w:tc>
      </w:tr>
      <w:tr w:rsidR="0081081F" w:rsidRPr="00DF6F31" w:rsidTr="001868B0">
        <w:trPr>
          <w:trHeight w:val="255"/>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20.2301</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20</w:t>
            </w:r>
          </w:p>
        </w:tc>
        <w:tc>
          <w:tcPr>
            <w:tcW w:w="1180"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1</w:t>
            </w:r>
          </w:p>
        </w:tc>
        <w:tc>
          <w:tcPr>
            <w:tcW w:w="1026"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20</w:t>
            </w:r>
          </w:p>
        </w:tc>
        <w:tc>
          <w:tcPr>
            <w:tcW w:w="1142"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5</w:t>
            </w:r>
          </w:p>
        </w:tc>
        <w:tc>
          <w:tcPr>
            <w:tcW w:w="101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100</w:t>
            </w:r>
          </w:p>
        </w:tc>
        <w:tc>
          <w:tcPr>
            <w:tcW w:w="1553"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p>
        </w:tc>
      </w:tr>
      <w:tr w:rsidR="0081081F" w:rsidRPr="00DF6F31" w:rsidTr="001868B0">
        <w:trPr>
          <w:trHeight w:val="255"/>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App G</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3 </w:t>
            </w:r>
          </w:p>
        </w:tc>
        <w:tc>
          <w:tcPr>
            <w:tcW w:w="1180" w:type="dxa"/>
            <w:tcBorders>
              <w:top w:val="nil"/>
              <w:left w:val="nil"/>
              <w:bottom w:val="single" w:sz="4" w:space="0" w:color="auto"/>
              <w:right w:val="single" w:sz="4" w:space="0" w:color="auto"/>
            </w:tcBorders>
            <w:shd w:val="clear" w:color="auto" w:fill="auto"/>
            <w:vAlign w:val="center"/>
            <w:hideMark/>
          </w:tcPr>
          <w:p w:rsidR="0081081F" w:rsidRPr="00DF6F31" w:rsidRDefault="001868B0" w:rsidP="001868B0">
            <w:pPr>
              <w:autoSpaceDE/>
              <w:autoSpaceDN/>
              <w:adjustRightInd/>
              <w:jc w:val="right"/>
              <w:rPr>
                <w:color w:val="000000"/>
                <w:sz w:val="18"/>
                <w:szCs w:val="18"/>
              </w:rPr>
            </w:pPr>
            <w:r w:rsidRPr="00DF6F31">
              <w:rPr>
                <w:color w:val="000000"/>
                <w:sz w:val="18"/>
                <w:szCs w:val="18"/>
              </w:rPr>
              <w:t xml:space="preserve">                    </w:t>
            </w:r>
            <w:r w:rsidR="0081081F" w:rsidRPr="00DF6F31">
              <w:rPr>
                <w:color w:val="000000"/>
                <w:sz w:val="18"/>
                <w:szCs w:val="18"/>
              </w:rPr>
              <w:t xml:space="preserve">1 </w:t>
            </w:r>
          </w:p>
        </w:tc>
        <w:tc>
          <w:tcPr>
            <w:tcW w:w="1026"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3 </w:t>
            </w:r>
          </w:p>
        </w:tc>
        <w:tc>
          <w:tcPr>
            <w:tcW w:w="1142"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20 </w:t>
            </w:r>
          </w:p>
        </w:tc>
        <w:tc>
          <w:tcPr>
            <w:tcW w:w="1018" w:type="dxa"/>
            <w:tcBorders>
              <w:top w:val="nil"/>
              <w:left w:val="nil"/>
              <w:bottom w:val="single" w:sz="4" w:space="0" w:color="auto"/>
              <w:right w:val="single" w:sz="4" w:space="0" w:color="auto"/>
            </w:tcBorders>
            <w:shd w:val="clear" w:color="auto" w:fill="auto"/>
            <w:vAlign w:val="center"/>
            <w:hideMark/>
          </w:tcPr>
          <w:p w:rsidR="0081081F" w:rsidRPr="00DF6F31" w:rsidRDefault="001868B0" w:rsidP="001868B0">
            <w:pPr>
              <w:autoSpaceDE/>
              <w:autoSpaceDN/>
              <w:adjustRightInd/>
              <w:jc w:val="right"/>
              <w:rPr>
                <w:color w:val="000000"/>
                <w:sz w:val="18"/>
                <w:szCs w:val="18"/>
              </w:rPr>
            </w:pPr>
            <w:r w:rsidRPr="00DF6F31">
              <w:rPr>
                <w:color w:val="000000"/>
                <w:sz w:val="18"/>
                <w:szCs w:val="18"/>
              </w:rPr>
              <w:t xml:space="preserve">          </w:t>
            </w:r>
            <w:r w:rsidR="0081081F" w:rsidRPr="00DF6F31">
              <w:rPr>
                <w:color w:val="000000"/>
                <w:sz w:val="18"/>
                <w:szCs w:val="18"/>
              </w:rPr>
              <w:t xml:space="preserve">60 </w:t>
            </w:r>
          </w:p>
        </w:tc>
        <w:tc>
          <w:tcPr>
            <w:tcW w:w="1553"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2733"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b/>
                <w:bCs/>
                <w:color w:val="000000"/>
                <w:sz w:val="18"/>
                <w:szCs w:val="18"/>
              </w:rPr>
            </w:pPr>
            <w:r w:rsidRPr="00DF6F31">
              <w:rPr>
                <w:b/>
                <w:bCs/>
                <w:color w:val="000000"/>
                <w:sz w:val="18"/>
                <w:szCs w:val="18"/>
              </w:rPr>
              <w:t>TOTAL</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b/>
                <w:bCs/>
                <w:color w:val="000000"/>
                <w:sz w:val="18"/>
                <w:szCs w:val="18"/>
              </w:rPr>
            </w:pPr>
            <w:r w:rsidRPr="00DF6F31">
              <w:rPr>
                <w:b/>
                <w:bCs/>
                <w:color w:val="000000"/>
                <w:sz w:val="18"/>
                <w:szCs w:val="18"/>
              </w:rPr>
              <w:t xml:space="preserve">              1,425 </w:t>
            </w:r>
          </w:p>
        </w:tc>
        <w:tc>
          <w:tcPr>
            <w:tcW w:w="1180"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b/>
                <w:bCs/>
                <w:color w:val="000000"/>
                <w:sz w:val="18"/>
                <w:szCs w:val="18"/>
              </w:rPr>
            </w:pPr>
            <w:r w:rsidRPr="00DF6F31">
              <w:rPr>
                <w:b/>
                <w:bCs/>
                <w:color w:val="000000"/>
                <w:sz w:val="18"/>
                <w:szCs w:val="18"/>
              </w:rPr>
              <w:t> </w:t>
            </w:r>
          </w:p>
        </w:tc>
        <w:tc>
          <w:tcPr>
            <w:tcW w:w="1026"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b/>
                <w:bCs/>
                <w:color w:val="000000"/>
                <w:sz w:val="18"/>
                <w:szCs w:val="18"/>
              </w:rPr>
            </w:pPr>
            <w:r w:rsidRPr="00DF6F31">
              <w:rPr>
                <w:b/>
                <w:bCs/>
                <w:color w:val="000000"/>
                <w:sz w:val="18"/>
                <w:szCs w:val="18"/>
              </w:rPr>
              <w:t xml:space="preserve">         1,676 </w:t>
            </w:r>
          </w:p>
        </w:tc>
        <w:tc>
          <w:tcPr>
            <w:tcW w:w="1142"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b/>
                <w:bCs/>
                <w:color w:val="000000"/>
                <w:sz w:val="18"/>
                <w:szCs w:val="18"/>
              </w:rPr>
            </w:pPr>
            <w:r w:rsidRPr="00DF6F31">
              <w:rPr>
                <w:b/>
                <w:bCs/>
                <w:color w:val="000000"/>
                <w:sz w:val="18"/>
                <w:szCs w:val="18"/>
              </w:rPr>
              <w:t> </w:t>
            </w:r>
          </w:p>
        </w:tc>
        <w:tc>
          <w:tcPr>
            <w:tcW w:w="101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b/>
                <w:bCs/>
                <w:color w:val="000000"/>
                <w:sz w:val="18"/>
                <w:szCs w:val="18"/>
              </w:rPr>
            </w:pPr>
            <w:r w:rsidRPr="00DF6F31">
              <w:rPr>
                <w:b/>
                <w:bCs/>
                <w:color w:val="000000"/>
                <w:sz w:val="18"/>
                <w:szCs w:val="18"/>
              </w:rPr>
              <w:t xml:space="preserve">     5,476 </w:t>
            </w:r>
          </w:p>
        </w:tc>
        <w:tc>
          <w:tcPr>
            <w:tcW w:w="1553"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w:t>
            </w:r>
          </w:p>
        </w:tc>
      </w:tr>
    </w:tbl>
    <w:p w:rsidR="001868B0" w:rsidRPr="00DF6F31" w:rsidRDefault="001868B0" w:rsidP="00836A1B">
      <w:pPr>
        <w:numPr>
          <w:ilvl w:val="12"/>
          <w:numId w:val="0"/>
        </w:numPr>
        <w:ind w:left="4320" w:hanging="4320"/>
      </w:pPr>
    </w:p>
    <w:p w:rsidR="001868B0" w:rsidRPr="00DF6F31" w:rsidRDefault="001868B0">
      <w:pPr>
        <w:autoSpaceDE/>
        <w:autoSpaceDN/>
        <w:adjustRightInd/>
      </w:pPr>
      <w:r w:rsidRPr="00DF6F31">
        <w:br w:type="page"/>
      </w:r>
    </w:p>
    <w:p w:rsidR="00836A1B" w:rsidRPr="00DF6F31" w:rsidRDefault="00836A1B" w:rsidP="00836A1B">
      <w:pPr>
        <w:numPr>
          <w:ilvl w:val="12"/>
          <w:numId w:val="0"/>
        </w:numPr>
        <w:ind w:left="4320" w:hanging="4320"/>
      </w:pPr>
    </w:p>
    <w:p w:rsidR="00836A1B" w:rsidRPr="00DF6F31" w:rsidRDefault="0081081F" w:rsidP="0081081F">
      <w:pPr>
        <w:numPr>
          <w:ilvl w:val="12"/>
          <w:numId w:val="0"/>
        </w:numPr>
        <w:jc w:val="center"/>
      </w:pPr>
      <w:r w:rsidRPr="00DF6F31">
        <w:t>TABLE 2</w:t>
      </w:r>
    </w:p>
    <w:p w:rsidR="0081081F" w:rsidRPr="00DF6F31" w:rsidRDefault="0081081F" w:rsidP="0081081F">
      <w:pPr>
        <w:numPr>
          <w:ilvl w:val="12"/>
          <w:numId w:val="0"/>
        </w:numPr>
        <w:jc w:val="center"/>
      </w:pPr>
      <w:r w:rsidRPr="00DF6F31">
        <w:t>REPORTING BURDEN FOR AGREEMENT STATE LICENSEES</w:t>
      </w:r>
    </w:p>
    <w:p w:rsidR="0081081F" w:rsidRPr="00DF6F31" w:rsidRDefault="0081081F" w:rsidP="00836A1B">
      <w:pPr>
        <w:numPr>
          <w:ilvl w:val="12"/>
          <w:numId w:val="0"/>
        </w:numPr>
      </w:pPr>
    </w:p>
    <w:tbl>
      <w:tblPr>
        <w:tblW w:w="9260" w:type="dxa"/>
        <w:jc w:val="center"/>
        <w:tblInd w:w="93" w:type="dxa"/>
        <w:tblLook w:val="04A0"/>
      </w:tblPr>
      <w:tblGrid>
        <w:gridCol w:w="2107"/>
        <w:gridCol w:w="1434"/>
        <w:gridCol w:w="1328"/>
        <w:gridCol w:w="1212"/>
        <w:gridCol w:w="1328"/>
        <w:gridCol w:w="901"/>
        <w:gridCol w:w="950"/>
      </w:tblGrid>
      <w:tr w:rsidR="0081081F" w:rsidRPr="00DF6F31" w:rsidTr="001249B4">
        <w:trPr>
          <w:trHeight w:val="885"/>
          <w:tblHeader/>
          <w:jc w:val="center"/>
        </w:trPr>
        <w:tc>
          <w:tcPr>
            <w:tcW w:w="1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6"/>
                <w:szCs w:val="16"/>
              </w:rPr>
            </w:pPr>
            <w:r w:rsidRPr="00DF6F31">
              <w:rPr>
                <w:b/>
                <w:bCs/>
                <w:color w:val="000000"/>
                <w:sz w:val="16"/>
                <w:szCs w:val="16"/>
              </w:rPr>
              <w:t>SECTION</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6"/>
                <w:szCs w:val="16"/>
              </w:rPr>
            </w:pPr>
            <w:r w:rsidRPr="00DF6F31">
              <w:rPr>
                <w:b/>
                <w:bCs/>
                <w:color w:val="000000"/>
                <w:sz w:val="16"/>
                <w:szCs w:val="16"/>
              </w:rPr>
              <w:t>NO. OF RESPONDENTS</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6"/>
                <w:szCs w:val="16"/>
              </w:rPr>
            </w:pPr>
            <w:r w:rsidRPr="00DF6F31">
              <w:rPr>
                <w:b/>
                <w:bCs/>
                <w:color w:val="000000"/>
                <w:sz w:val="16"/>
                <w:szCs w:val="16"/>
              </w:rPr>
              <w:t>RESPONSES PER RESPONDENT</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6"/>
                <w:szCs w:val="16"/>
              </w:rPr>
            </w:pPr>
            <w:r w:rsidRPr="00DF6F31">
              <w:rPr>
                <w:b/>
                <w:bCs/>
                <w:color w:val="000000"/>
                <w:sz w:val="16"/>
                <w:szCs w:val="16"/>
              </w:rPr>
              <w:t>TOTAL RESPONSES</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6"/>
                <w:szCs w:val="16"/>
              </w:rPr>
            </w:pPr>
            <w:r w:rsidRPr="00DF6F31">
              <w:rPr>
                <w:b/>
                <w:bCs/>
                <w:color w:val="000000"/>
                <w:sz w:val="16"/>
                <w:szCs w:val="16"/>
              </w:rPr>
              <w:t>ANNUAL BURDEN PER RESPONDENT</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6"/>
                <w:szCs w:val="16"/>
              </w:rPr>
            </w:pPr>
            <w:r w:rsidRPr="00DF6F31">
              <w:rPr>
                <w:b/>
                <w:bCs/>
                <w:color w:val="000000"/>
                <w:sz w:val="16"/>
                <w:szCs w:val="16"/>
              </w:rPr>
              <w:t>TOTAL ANNUAL BURDEN</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6"/>
                <w:szCs w:val="16"/>
              </w:rPr>
            </w:pPr>
            <w:r w:rsidRPr="00DF6F31">
              <w:rPr>
                <w:b/>
                <w:bCs/>
                <w:color w:val="000000"/>
                <w:sz w:val="16"/>
                <w:szCs w:val="16"/>
              </w:rPr>
              <w:t>NOTES</w:t>
            </w:r>
          </w:p>
        </w:tc>
      </w:tr>
      <w:tr w:rsidR="0081081F" w:rsidRPr="00DF6F31" w:rsidTr="001249B4">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20.1101(d)</w:t>
            </w:r>
          </w:p>
        </w:tc>
        <w:tc>
          <w:tcPr>
            <w:tcW w:w="7339" w:type="dxa"/>
            <w:gridSpan w:val="6"/>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xml:space="preserve"> see § 20.2203 </w:t>
            </w:r>
          </w:p>
        </w:tc>
      </w:tr>
      <w:tr w:rsidR="0081081F" w:rsidRPr="00DF6F31" w:rsidTr="001249B4">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20.1202</w:t>
            </w:r>
          </w:p>
        </w:tc>
        <w:tc>
          <w:tcPr>
            <w:tcW w:w="7339" w:type="dxa"/>
            <w:gridSpan w:val="6"/>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xml:space="preserve"> see § 20.2206 </w:t>
            </w:r>
          </w:p>
        </w:tc>
      </w:tr>
      <w:tr w:rsidR="0081081F" w:rsidRPr="00DF6F31" w:rsidTr="001249B4">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20.1203</w:t>
            </w:r>
          </w:p>
        </w:tc>
        <w:tc>
          <w:tcPr>
            <w:tcW w:w="7339" w:type="dxa"/>
            <w:gridSpan w:val="6"/>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xml:space="preserve"> see § 20.2206 </w:t>
            </w:r>
          </w:p>
        </w:tc>
      </w:tr>
      <w:tr w:rsidR="0081081F" w:rsidRPr="00DF6F31" w:rsidTr="001249B4">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20.1204</w:t>
            </w:r>
          </w:p>
        </w:tc>
        <w:tc>
          <w:tcPr>
            <w:tcW w:w="7339" w:type="dxa"/>
            <w:gridSpan w:val="6"/>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xml:space="preserve"> see § 20.2206 </w:t>
            </w:r>
          </w:p>
        </w:tc>
      </w:tr>
      <w:tr w:rsidR="0081081F" w:rsidRPr="00DF6F31" w:rsidTr="001249B4">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20.1206</w:t>
            </w:r>
          </w:p>
        </w:tc>
        <w:tc>
          <w:tcPr>
            <w:tcW w:w="7339" w:type="dxa"/>
            <w:gridSpan w:val="6"/>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xml:space="preserve"> see § 20.2204 </w:t>
            </w:r>
          </w:p>
        </w:tc>
      </w:tr>
      <w:tr w:rsidR="0081081F" w:rsidRPr="00DF6F31" w:rsidTr="001249B4">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20.1208</w:t>
            </w:r>
          </w:p>
        </w:tc>
        <w:tc>
          <w:tcPr>
            <w:tcW w:w="7339" w:type="dxa"/>
            <w:gridSpan w:val="6"/>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xml:space="preserve"> see § 20.2206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20.1301(</w:t>
            </w:r>
            <w:r w:rsidR="001868B0" w:rsidRPr="00DF6F31">
              <w:rPr>
                <w:color w:val="000000"/>
                <w:sz w:val="18"/>
                <w:szCs w:val="18"/>
              </w:rPr>
              <w:t>d</w:t>
            </w:r>
            <w:r w:rsidRPr="00DF6F31">
              <w:rPr>
                <w:color w:val="000000"/>
                <w:sz w:val="18"/>
                <w:szCs w:val="18"/>
              </w:rPr>
              <w:t>)</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0</w:t>
            </w:r>
          </w:p>
        </w:tc>
        <w:tc>
          <w:tcPr>
            <w:tcW w:w="1157"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0</w:t>
            </w:r>
          </w:p>
        </w:tc>
        <w:tc>
          <w:tcPr>
            <w:tcW w:w="111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81081F" w:rsidRPr="00DF6F31" w:rsidRDefault="001868B0" w:rsidP="001868B0">
            <w:pPr>
              <w:autoSpaceDE/>
              <w:autoSpaceDN/>
              <w:adjustRightInd/>
              <w:jc w:val="right"/>
              <w:rPr>
                <w:color w:val="000000"/>
                <w:sz w:val="18"/>
                <w:szCs w:val="18"/>
              </w:rPr>
            </w:pPr>
            <w:r w:rsidRPr="00DF6F31">
              <w:rPr>
                <w:color w:val="000000"/>
                <w:sz w:val="18"/>
                <w:szCs w:val="18"/>
              </w:rPr>
              <w:t>4</w:t>
            </w:r>
          </w:p>
        </w:tc>
        <w:tc>
          <w:tcPr>
            <w:tcW w:w="965"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0</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 None expected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20.1302(c)</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12 </w:t>
            </w:r>
          </w:p>
        </w:tc>
        <w:tc>
          <w:tcPr>
            <w:tcW w:w="1157"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111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12 </w:t>
            </w:r>
          </w:p>
        </w:tc>
        <w:tc>
          <w:tcPr>
            <w:tcW w:w="1271"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10 </w:t>
            </w:r>
          </w:p>
        </w:tc>
        <w:tc>
          <w:tcPr>
            <w:tcW w:w="965"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120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480"/>
          <w:jc w:val="center"/>
        </w:trPr>
        <w:tc>
          <w:tcPr>
            <w:tcW w:w="1921"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20.1403(a),(c),(d),(e)(1)</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18 </w:t>
            </w:r>
          </w:p>
        </w:tc>
        <w:tc>
          <w:tcPr>
            <w:tcW w:w="1157"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1 </w:t>
            </w:r>
          </w:p>
        </w:tc>
        <w:tc>
          <w:tcPr>
            <w:tcW w:w="111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18 </w:t>
            </w:r>
          </w:p>
        </w:tc>
        <w:tc>
          <w:tcPr>
            <w:tcW w:w="1271"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23 </w:t>
            </w:r>
          </w:p>
        </w:tc>
        <w:tc>
          <w:tcPr>
            <w:tcW w:w="965"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414 </w:t>
            </w:r>
          </w:p>
        </w:tc>
        <w:tc>
          <w:tcPr>
            <w:tcW w:w="157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20.1403(e)(2)</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6 </w:t>
            </w:r>
          </w:p>
        </w:tc>
        <w:tc>
          <w:tcPr>
            <w:tcW w:w="1157"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111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6 </w:t>
            </w:r>
          </w:p>
        </w:tc>
        <w:tc>
          <w:tcPr>
            <w:tcW w:w="1271"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10 </w:t>
            </w:r>
          </w:p>
        </w:tc>
        <w:tc>
          <w:tcPr>
            <w:tcW w:w="965"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60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20.1404</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0</w:t>
            </w:r>
          </w:p>
        </w:tc>
        <w:tc>
          <w:tcPr>
            <w:tcW w:w="1157"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0</w:t>
            </w:r>
          </w:p>
        </w:tc>
        <w:tc>
          <w:tcPr>
            <w:tcW w:w="111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0</w:t>
            </w:r>
          </w:p>
        </w:tc>
        <w:tc>
          <w:tcPr>
            <w:tcW w:w="1271" w:type="dxa"/>
            <w:tcBorders>
              <w:top w:val="nil"/>
              <w:left w:val="nil"/>
              <w:bottom w:val="single" w:sz="4" w:space="0" w:color="auto"/>
              <w:right w:val="single" w:sz="4" w:space="0" w:color="auto"/>
            </w:tcBorders>
            <w:shd w:val="clear" w:color="auto" w:fill="auto"/>
            <w:vAlign w:val="center"/>
            <w:hideMark/>
          </w:tcPr>
          <w:p w:rsidR="0081081F" w:rsidRPr="00DF6F31" w:rsidRDefault="001868B0" w:rsidP="001868B0">
            <w:pPr>
              <w:autoSpaceDE/>
              <w:autoSpaceDN/>
              <w:adjustRightInd/>
              <w:jc w:val="right"/>
              <w:rPr>
                <w:color w:val="000000"/>
                <w:sz w:val="18"/>
                <w:szCs w:val="18"/>
              </w:rPr>
            </w:pPr>
            <w:r w:rsidRPr="00DF6F31">
              <w:rPr>
                <w:color w:val="000000"/>
                <w:sz w:val="18"/>
                <w:szCs w:val="18"/>
              </w:rPr>
              <w:t>2</w:t>
            </w:r>
            <w:r w:rsidR="0081081F" w:rsidRPr="00DF6F31">
              <w:rPr>
                <w:color w:val="000000"/>
                <w:sz w:val="18"/>
                <w:szCs w:val="18"/>
              </w:rPr>
              <w:t>0</w:t>
            </w:r>
          </w:p>
        </w:tc>
        <w:tc>
          <w:tcPr>
            <w:tcW w:w="965"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0</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20.1406</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60 </w:t>
            </w:r>
          </w:p>
        </w:tc>
        <w:tc>
          <w:tcPr>
            <w:tcW w:w="1157"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111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60 </w:t>
            </w:r>
          </w:p>
        </w:tc>
        <w:tc>
          <w:tcPr>
            <w:tcW w:w="1271"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20 </w:t>
            </w:r>
          </w:p>
        </w:tc>
        <w:tc>
          <w:tcPr>
            <w:tcW w:w="965"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1,200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20.1601(c)</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60 </w:t>
            </w:r>
          </w:p>
        </w:tc>
        <w:tc>
          <w:tcPr>
            <w:tcW w:w="1157"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111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60 </w:t>
            </w:r>
          </w:p>
        </w:tc>
        <w:tc>
          <w:tcPr>
            <w:tcW w:w="1271"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8 </w:t>
            </w:r>
          </w:p>
        </w:tc>
        <w:tc>
          <w:tcPr>
            <w:tcW w:w="965"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480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20.1703(b)</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90 </w:t>
            </w:r>
          </w:p>
        </w:tc>
        <w:tc>
          <w:tcPr>
            <w:tcW w:w="1157"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111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90 </w:t>
            </w:r>
          </w:p>
        </w:tc>
        <w:tc>
          <w:tcPr>
            <w:tcW w:w="1271"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40 </w:t>
            </w:r>
          </w:p>
        </w:tc>
        <w:tc>
          <w:tcPr>
            <w:tcW w:w="965"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3,600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20.1705(a)&amp;(b)</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90 </w:t>
            </w:r>
          </w:p>
        </w:tc>
        <w:tc>
          <w:tcPr>
            <w:tcW w:w="1157"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111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90 </w:t>
            </w:r>
          </w:p>
        </w:tc>
        <w:tc>
          <w:tcPr>
            <w:tcW w:w="1271"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40 </w:t>
            </w:r>
          </w:p>
        </w:tc>
        <w:tc>
          <w:tcPr>
            <w:tcW w:w="965"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3,600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20.1906(d)</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84 </w:t>
            </w:r>
          </w:p>
        </w:tc>
        <w:tc>
          <w:tcPr>
            <w:tcW w:w="1157"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111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84 </w:t>
            </w:r>
          </w:p>
        </w:tc>
        <w:tc>
          <w:tcPr>
            <w:tcW w:w="1271"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3 </w:t>
            </w:r>
          </w:p>
        </w:tc>
        <w:tc>
          <w:tcPr>
            <w:tcW w:w="965"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252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20.2002</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120 </w:t>
            </w:r>
          </w:p>
        </w:tc>
        <w:tc>
          <w:tcPr>
            <w:tcW w:w="1157"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111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120 </w:t>
            </w:r>
          </w:p>
        </w:tc>
        <w:tc>
          <w:tcPr>
            <w:tcW w:w="1271"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20 </w:t>
            </w:r>
          </w:p>
        </w:tc>
        <w:tc>
          <w:tcPr>
            <w:tcW w:w="965"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2,400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20.2004</w:t>
            </w:r>
          </w:p>
        </w:tc>
        <w:tc>
          <w:tcPr>
            <w:tcW w:w="7339" w:type="dxa"/>
            <w:gridSpan w:val="6"/>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 xml:space="preserve"> Burden included under 10 CFR 50 (OMB clearance no. 3150-0011) </w:t>
            </w:r>
          </w:p>
        </w:tc>
      </w:tr>
      <w:tr w:rsidR="0081081F" w:rsidRPr="00DF6F31" w:rsidTr="001868B0">
        <w:trPr>
          <w:trHeight w:val="480"/>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20.2006</w:t>
            </w:r>
          </w:p>
        </w:tc>
        <w:tc>
          <w:tcPr>
            <w:tcW w:w="7339" w:type="dxa"/>
            <w:gridSpan w:val="6"/>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 xml:space="preserve"> Burden included under NRC Forms 540-542 (OMB clearance nos. 3150-0164, 3150-0166, 3150-0165)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20.2201(a)</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180 </w:t>
            </w:r>
          </w:p>
        </w:tc>
        <w:tc>
          <w:tcPr>
            <w:tcW w:w="1157"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1119"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180 </w:t>
            </w:r>
          </w:p>
        </w:tc>
        <w:tc>
          <w:tcPr>
            <w:tcW w:w="1271"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3 </w:t>
            </w:r>
          </w:p>
        </w:tc>
        <w:tc>
          <w:tcPr>
            <w:tcW w:w="965"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540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20.2201(b)</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180 </w:t>
            </w:r>
          </w:p>
        </w:tc>
        <w:tc>
          <w:tcPr>
            <w:tcW w:w="1157"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1119"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180 </w:t>
            </w:r>
          </w:p>
        </w:tc>
        <w:tc>
          <w:tcPr>
            <w:tcW w:w="1271"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3 </w:t>
            </w:r>
          </w:p>
        </w:tc>
        <w:tc>
          <w:tcPr>
            <w:tcW w:w="965"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540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20.2201(d)</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30 </w:t>
            </w:r>
          </w:p>
        </w:tc>
        <w:tc>
          <w:tcPr>
            <w:tcW w:w="1157"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1119"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30 </w:t>
            </w:r>
          </w:p>
        </w:tc>
        <w:tc>
          <w:tcPr>
            <w:tcW w:w="1271"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3 </w:t>
            </w:r>
          </w:p>
        </w:tc>
        <w:tc>
          <w:tcPr>
            <w:tcW w:w="965"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90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20.2202(a)</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60 </w:t>
            </w:r>
          </w:p>
        </w:tc>
        <w:tc>
          <w:tcPr>
            <w:tcW w:w="1157"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1119"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60 </w:t>
            </w:r>
          </w:p>
        </w:tc>
        <w:tc>
          <w:tcPr>
            <w:tcW w:w="1271"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965"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60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20.2202(b)</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228 </w:t>
            </w:r>
          </w:p>
        </w:tc>
        <w:tc>
          <w:tcPr>
            <w:tcW w:w="1157"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1119"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228 </w:t>
            </w:r>
          </w:p>
        </w:tc>
        <w:tc>
          <w:tcPr>
            <w:tcW w:w="1271"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40 </w:t>
            </w:r>
          </w:p>
        </w:tc>
        <w:tc>
          <w:tcPr>
            <w:tcW w:w="965"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9,120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20.2203(a)&amp;(b)</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120 </w:t>
            </w:r>
          </w:p>
        </w:tc>
        <w:tc>
          <w:tcPr>
            <w:tcW w:w="1157"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1119"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120 </w:t>
            </w:r>
          </w:p>
        </w:tc>
        <w:tc>
          <w:tcPr>
            <w:tcW w:w="1271"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6 </w:t>
            </w:r>
          </w:p>
        </w:tc>
        <w:tc>
          <w:tcPr>
            <w:tcW w:w="965"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720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20.2204</w:t>
            </w:r>
          </w:p>
        </w:tc>
        <w:tc>
          <w:tcPr>
            <w:tcW w:w="1248"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30 </w:t>
            </w:r>
          </w:p>
        </w:tc>
        <w:tc>
          <w:tcPr>
            <w:tcW w:w="1157"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 </w:t>
            </w:r>
          </w:p>
        </w:tc>
        <w:tc>
          <w:tcPr>
            <w:tcW w:w="1119"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30 </w:t>
            </w:r>
          </w:p>
        </w:tc>
        <w:tc>
          <w:tcPr>
            <w:tcW w:w="1271"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5 </w:t>
            </w:r>
          </w:p>
        </w:tc>
        <w:tc>
          <w:tcPr>
            <w:tcW w:w="965" w:type="dxa"/>
            <w:tcBorders>
              <w:top w:val="nil"/>
              <w:left w:val="nil"/>
              <w:bottom w:val="single" w:sz="4" w:space="0" w:color="auto"/>
              <w:right w:val="single" w:sz="4" w:space="0" w:color="auto"/>
            </w:tcBorders>
            <w:shd w:val="clear" w:color="auto" w:fill="auto"/>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150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b/>
                <w:bCs/>
                <w:sz w:val="18"/>
                <w:szCs w:val="18"/>
              </w:rPr>
            </w:pPr>
            <w:r w:rsidRPr="00DF6F31">
              <w:rPr>
                <w:b/>
                <w:bCs/>
                <w:sz w:val="18"/>
                <w:szCs w:val="18"/>
              </w:rPr>
              <w:t> </w:t>
            </w:r>
          </w:p>
        </w:tc>
      </w:tr>
      <w:tr w:rsidR="0081081F" w:rsidRPr="00DF6F31" w:rsidTr="001868B0">
        <w:trPr>
          <w:trHeight w:val="480"/>
          <w:jc w:val="center"/>
        </w:trPr>
        <w:tc>
          <w:tcPr>
            <w:tcW w:w="1921"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20.2205</w:t>
            </w:r>
          </w:p>
        </w:tc>
        <w:tc>
          <w:tcPr>
            <w:tcW w:w="7339" w:type="dxa"/>
            <w:gridSpan w:val="6"/>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DB3865">
            <w:pPr>
              <w:autoSpaceDE/>
              <w:autoSpaceDN/>
              <w:adjustRightInd/>
              <w:rPr>
                <w:color w:val="000000"/>
                <w:sz w:val="18"/>
                <w:szCs w:val="18"/>
              </w:rPr>
            </w:pPr>
            <w:r w:rsidRPr="00DF6F31">
              <w:rPr>
                <w:color w:val="000000"/>
                <w:sz w:val="18"/>
                <w:szCs w:val="18"/>
              </w:rPr>
              <w:t xml:space="preserve">Burden included in 20.2203(a) except for doses to individuals (see Table </w:t>
            </w:r>
            <w:r w:rsidR="00DB3865" w:rsidRPr="00DF6F31">
              <w:rPr>
                <w:color w:val="000000"/>
                <w:sz w:val="18"/>
                <w:szCs w:val="18"/>
              </w:rPr>
              <w:t>4</w:t>
            </w:r>
            <w:r w:rsidRPr="00DF6F31">
              <w:rPr>
                <w:color w:val="000000"/>
                <w:sz w:val="18"/>
                <w:szCs w:val="18"/>
              </w:rPr>
              <w:t>)</w:t>
            </w:r>
          </w:p>
        </w:tc>
      </w:tr>
      <w:tr w:rsidR="0081081F" w:rsidRPr="00DF6F31" w:rsidTr="001868B0">
        <w:trPr>
          <w:trHeight w:val="480"/>
          <w:jc w:val="center"/>
        </w:trPr>
        <w:tc>
          <w:tcPr>
            <w:tcW w:w="1921"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20.2206</w:t>
            </w:r>
          </w:p>
        </w:tc>
        <w:tc>
          <w:tcPr>
            <w:tcW w:w="7339" w:type="dxa"/>
            <w:gridSpan w:val="6"/>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Burden included under NRC Forms 4 and 5 (OMB clearance 3150-0005 &amp; 3150-0006)</w:t>
            </w:r>
          </w:p>
        </w:tc>
      </w:tr>
      <w:tr w:rsidR="0081081F" w:rsidRPr="00DF6F31" w:rsidTr="001868B0">
        <w:trPr>
          <w:trHeight w:val="480"/>
          <w:jc w:val="center"/>
        </w:trPr>
        <w:tc>
          <w:tcPr>
            <w:tcW w:w="1921"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20.2207(a), (b), (c), (d), (e), (f)</w:t>
            </w:r>
          </w:p>
        </w:tc>
        <w:tc>
          <w:tcPr>
            <w:tcW w:w="7339" w:type="dxa"/>
            <w:gridSpan w:val="6"/>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Burden included in OMB clearance for NRC Form 748 )OMB clearance 3150-0202</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20.2207 (g)</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8,550 </w:t>
            </w:r>
          </w:p>
        </w:tc>
        <w:tc>
          <w:tcPr>
            <w:tcW w:w="1157"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1 </w:t>
            </w:r>
          </w:p>
        </w:tc>
        <w:tc>
          <w:tcPr>
            <w:tcW w:w="111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 8,550 </w:t>
            </w:r>
          </w:p>
        </w:tc>
        <w:tc>
          <w:tcPr>
            <w:tcW w:w="1271"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 xml:space="preserve">1 </w:t>
            </w:r>
          </w:p>
        </w:tc>
        <w:tc>
          <w:tcPr>
            <w:tcW w:w="965" w:type="dxa"/>
            <w:tcBorders>
              <w:top w:val="nil"/>
              <w:left w:val="nil"/>
              <w:bottom w:val="single" w:sz="4" w:space="0" w:color="auto"/>
              <w:right w:val="single" w:sz="4" w:space="0" w:color="auto"/>
            </w:tcBorders>
            <w:shd w:val="clear" w:color="auto" w:fill="auto"/>
            <w:vAlign w:val="center"/>
            <w:hideMark/>
          </w:tcPr>
          <w:p w:rsidR="0081081F" w:rsidRPr="00DF6F31" w:rsidRDefault="001868B0" w:rsidP="001868B0">
            <w:pPr>
              <w:autoSpaceDE/>
              <w:autoSpaceDN/>
              <w:adjustRightInd/>
              <w:jc w:val="right"/>
              <w:rPr>
                <w:color w:val="000000"/>
                <w:sz w:val="18"/>
                <w:szCs w:val="18"/>
              </w:rPr>
            </w:pPr>
            <w:r w:rsidRPr="00DF6F31">
              <w:rPr>
                <w:color w:val="000000"/>
                <w:sz w:val="18"/>
                <w:szCs w:val="18"/>
              </w:rPr>
              <w:t xml:space="preserve"> </w:t>
            </w:r>
            <w:r w:rsidR="0081081F" w:rsidRPr="00DF6F31">
              <w:rPr>
                <w:color w:val="000000"/>
                <w:sz w:val="18"/>
                <w:szCs w:val="18"/>
              </w:rPr>
              <w:t xml:space="preserve">8,550 </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249B4">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20.2207(h)</w:t>
            </w:r>
          </w:p>
        </w:tc>
        <w:tc>
          <w:tcPr>
            <w:tcW w:w="7339" w:type="dxa"/>
            <w:gridSpan w:val="6"/>
            <w:tcBorders>
              <w:top w:val="single" w:sz="4" w:space="0" w:color="auto"/>
              <w:left w:val="nil"/>
              <w:bottom w:val="single" w:sz="4" w:space="0" w:color="auto"/>
              <w:right w:val="single" w:sz="4" w:space="0" w:color="000000"/>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xml:space="preserve"> One time report completed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20.2301</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120</w:t>
            </w:r>
          </w:p>
        </w:tc>
        <w:tc>
          <w:tcPr>
            <w:tcW w:w="1157"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1</w:t>
            </w:r>
          </w:p>
        </w:tc>
        <w:tc>
          <w:tcPr>
            <w:tcW w:w="111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120</w:t>
            </w:r>
          </w:p>
        </w:tc>
        <w:tc>
          <w:tcPr>
            <w:tcW w:w="1271"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5</w:t>
            </w:r>
          </w:p>
        </w:tc>
        <w:tc>
          <w:tcPr>
            <w:tcW w:w="965"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600</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App G</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18</w:t>
            </w:r>
          </w:p>
        </w:tc>
        <w:tc>
          <w:tcPr>
            <w:tcW w:w="1157"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1</w:t>
            </w:r>
          </w:p>
        </w:tc>
        <w:tc>
          <w:tcPr>
            <w:tcW w:w="111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18</w:t>
            </w:r>
          </w:p>
        </w:tc>
        <w:tc>
          <w:tcPr>
            <w:tcW w:w="1271"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20</w:t>
            </w:r>
          </w:p>
        </w:tc>
        <w:tc>
          <w:tcPr>
            <w:tcW w:w="965"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color w:val="000000"/>
                <w:sz w:val="18"/>
                <w:szCs w:val="18"/>
              </w:rPr>
            </w:pPr>
            <w:r w:rsidRPr="00DF6F31">
              <w:rPr>
                <w:color w:val="000000"/>
                <w:sz w:val="18"/>
                <w:szCs w:val="18"/>
              </w:rPr>
              <w:t>360</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255"/>
          <w:jc w:val="center"/>
        </w:trPr>
        <w:tc>
          <w:tcPr>
            <w:tcW w:w="1921"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b/>
                <w:bCs/>
                <w:color w:val="000000"/>
                <w:sz w:val="18"/>
                <w:szCs w:val="18"/>
              </w:rPr>
            </w:pPr>
            <w:r w:rsidRPr="00DF6F31">
              <w:rPr>
                <w:b/>
                <w:bCs/>
                <w:color w:val="000000"/>
                <w:sz w:val="18"/>
                <w:szCs w:val="18"/>
              </w:rPr>
              <w:t>TOTAL</w:t>
            </w:r>
          </w:p>
        </w:tc>
        <w:tc>
          <w:tcPr>
            <w:tcW w:w="1248"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b/>
                <w:bCs/>
                <w:color w:val="000000"/>
                <w:sz w:val="18"/>
                <w:szCs w:val="18"/>
              </w:rPr>
            </w:pPr>
            <w:r w:rsidRPr="00DF6F31">
              <w:rPr>
                <w:b/>
                <w:bCs/>
                <w:color w:val="000000"/>
                <w:sz w:val="18"/>
                <w:szCs w:val="18"/>
              </w:rPr>
              <w:t>8,550</w:t>
            </w:r>
          </w:p>
        </w:tc>
        <w:tc>
          <w:tcPr>
            <w:tcW w:w="1157"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b/>
                <w:bCs/>
                <w:color w:val="000000"/>
                <w:sz w:val="18"/>
                <w:szCs w:val="18"/>
              </w:rPr>
            </w:pPr>
          </w:p>
        </w:tc>
        <w:tc>
          <w:tcPr>
            <w:tcW w:w="1119"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b/>
                <w:bCs/>
                <w:color w:val="000000"/>
                <w:sz w:val="18"/>
                <w:szCs w:val="18"/>
              </w:rPr>
            </w:pPr>
            <w:r w:rsidRPr="00DF6F31">
              <w:rPr>
                <w:b/>
                <w:bCs/>
                <w:color w:val="000000"/>
                <w:sz w:val="18"/>
                <w:szCs w:val="18"/>
              </w:rPr>
              <w:t>10,056</w:t>
            </w:r>
          </w:p>
        </w:tc>
        <w:tc>
          <w:tcPr>
            <w:tcW w:w="1271"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b/>
                <w:bCs/>
                <w:color w:val="000000"/>
                <w:sz w:val="18"/>
                <w:szCs w:val="18"/>
              </w:rPr>
            </w:pPr>
          </w:p>
        </w:tc>
        <w:tc>
          <w:tcPr>
            <w:tcW w:w="965" w:type="dxa"/>
            <w:tcBorders>
              <w:top w:val="nil"/>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right"/>
              <w:rPr>
                <w:b/>
                <w:bCs/>
                <w:color w:val="000000"/>
                <w:sz w:val="18"/>
                <w:szCs w:val="18"/>
              </w:rPr>
            </w:pPr>
            <w:r w:rsidRPr="00DF6F31">
              <w:rPr>
                <w:b/>
                <w:bCs/>
                <w:color w:val="000000"/>
                <w:sz w:val="18"/>
                <w:szCs w:val="18"/>
              </w:rPr>
              <w:t>32,856</w:t>
            </w:r>
          </w:p>
        </w:tc>
        <w:tc>
          <w:tcPr>
            <w:tcW w:w="15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bl>
    <w:p w:rsidR="0081081F" w:rsidRPr="00DF6F31" w:rsidRDefault="0081081F">
      <w:pPr>
        <w:autoSpaceDE/>
        <w:autoSpaceDN/>
        <w:adjustRightInd/>
      </w:pPr>
    </w:p>
    <w:p w:rsidR="0081081F" w:rsidRPr="00DF6F31" w:rsidRDefault="0081081F" w:rsidP="00836A1B">
      <w:pPr>
        <w:numPr>
          <w:ilvl w:val="12"/>
          <w:numId w:val="0"/>
        </w:numPr>
      </w:pPr>
    </w:p>
    <w:p w:rsidR="00483D4D" w:rsidRPr="00DF6F31" w:rsidRDefault="0081081F" w:rsidP="00483D4D">
      <w:pPr>
        <w:numPr>
          <w:ilvl w:val="12"/>
          <w:numId w:val="0"/>
        </w:numPr>
        <w:jc w:val="center"/>
      </w:pPr>
      <w:r w:rsidRPr="00DF6F31">
        <w:t>TABLE 3</w:t>
      </w:r>
    </w:p>
    <w:p w:rsidR="00483D4D" w:rsidRPr="00DF6F31" w:rsidRDefault="00483D4D" w:rsidP="00483D4D">
      <w:pPr>
        <w:numPr>
          <w:ilvl w:val="12"/>
          <w:numId w:val="0"/>
        </w:numPr>
        <w:jc w:val="center"/>
      </w:pPr>
      <w:r w:rsidRPr="00DF6F31">
        <w:t>THIRD PARTY DISCLOSURE BURDEN</w:t>
      </w:r>
      <w:r w:rsidR="0081081F" w:rsidRPr="00DF6F31">
        <w:t xml:space="preserve"> FOR NRC LICENSEES</w:t>
      </w:r>
    </w:p>
    <w:p w:rsidR="00483D4D" w:rsidRPr="00DF6F31" w:rsidRDefault="00483D4D" w:rsidP="00483D4D">
      <w:pPr>
        <w:numPr>
          <w:ilvl w:val="12"/>
          <w:numId w:val="0"/>
        </w:numPr>
        <w:jc w:val="center"/>
      </w:pPr>
    </w:p>
    <w:tbl>
      <w:tblPr>
        <w:tblW w:w="9320" w:type="dxa"/>
        <w:jc w:val="center"/>
        <w:tblInd w:w="93" w:type="dxa"/>
        <w:tblLook w:val="04A0"/>
      </w:tblPr>
      <w:tblGrid>
        <w:gridCol w:w="1602"/>
        <w:gridCol w:w="1587"/>
        <w:gridCol w:w="1467"/>
        <w:gridCol w:w="1337"/>
        <w:gridCol w:w="1467"/>
        <w:gridCol w:w="987"/>
        <w:gridCol w:w="873"/>
      </w:tblGrid>
      <w:tr w:rsidR="0081081F" w:rsidRPr="00DF6F31" w:rsidTr="001249B4">
        <w:trPr>
          <w:trHeight w:val="960"/>
          <w:jc w:val="center"/>
        </w:trPr>
        <w:tc>
          <w:tcPr>
            <w:tcW w:w="2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SECTION</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NO. OF RESPONDENTS</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RESPONSES PER RESPONDENT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TOTAL RESPONSES</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ANNUAL BURDEN PER RESPONDENT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TOTAL ANNUAL BURDEN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NOTES</w:t>
            </w:r>
          </w:p>
        </w:tc>
      </w:tr>
      <w:tr w:rsidR="0081081F" w:rsidRPr="00DF6F31" w:rsidTr="001249B4">
        <w:trPr>
          <w:trHeight w:val="240"/>
          <w:jc w:val="center"/>
        </w:trPr>
        <w:tc>
          <w:tcPr>
            <w:tcW w:w="2059" w:type="dxa"/>
            <w:tcBorders>
              <w:top w:val="nil"/>
              <w:left w:val="single" w:sz="4" w:space="0" w:color="auto"/>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rPr>
                <w:color w:val="000000"/>
                <w:sz w:val="18"/>
                <w:szCs w:val="18"/>
              </w:rPr>
            </w:pPr>
            <w:r w:rsidRPr="00DF6F31">
              <w:rPr>
                <w:color w:val="000000"/>
                <w:sz w:val="18"/>
                <w:szCs w:val="18"/>
              </w:rPr>
              <w:t>20.1901(b)&amp;(c)</w:t>
            </w:r>
          </w:p>
        </w:tc>
        <w:tc>
          <w:tcPr>
            <w:tcW w:w="146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750</w:t>
            </w:r>
          </w:p>
        </w:tc>
        <w:tc>
          <w:tcPr>
            <w:tcW w:w="1281"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18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750</w:t>
            </w:r>
          </w:p>
        </w:tc>
        <w:tc>
          <w:tcPr>
            <w:tcW w:w="142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0.1</w:t>
            </w:r>
          </w:p>
        </w:tc>
        <w:tc>
          <w:tcPr>
            <w:tcW w:w="96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75</w:t>
            </w:r>
          </w:p>
        </w:tc>
        <w:tc>
          <w:tcPr>
            <w:tcW w:w="96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249B4">
        <w:trPr>
          <w:trHeight w:val="240"/>
          <w:jc w:val="center"/>
        </w:trPr>
        <w:tc>
          <w:tcPr>
            <w:tcW w:w="2059" w:type="dxa"/>
            <w:tcBorders>
              <w:top w:val="nil"/>
              <w:left w:val="single" w:sz="4" w:space="0" w:color="auto"/>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rPr>
                <w:color w:val="000000"/>
                <w:sz w:val="18"/>
                <w:szCs w:val="18"/>
              </w:rPr>
            </w:pPr>
            <w:r w:rsidRPr="00DF6F31">
              <w:rPr>
                <w:color w:val="000000"/>
                <w:sz w:val="18"/>
                <w:szCs w:val="18"/>
              </w:rPr>
              <w:t>20.1904</w:t>
            </w:r>
          </w:p>
        </w:tc>
        <w:tc>
          <w:tcPr>
            <w:tcW w:w="146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750</w:t>
            </w:r>
          </w:p>
        </w:tc>
        <w:tc>
          <w:tcPr>
            <w:tcW w:w="1281"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750</w:t>
            </w:r>
          </w:p>
        </w:tc>
        <w:tc>
          <w:tcPr>
            <w:tcW w:w="142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0.1</w:t>
            </w:r>
          </w:p>
        </w:tc>
        <w:tc>
          <w:tcPr>
            <w:tcW w:w="96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75</w:t>
            </w:r>
          </w:p>
        </w:tc>
        <w:tc>
          <w:tcPr>
            <w:tcW w:w="96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249B4">
        <w:trPr>
          <w:trHeight w:val="240"/>
          <w:jc w:val="center"/>
        </w:trPr>
        <w:tc>
          <w:tcPr>
            <w:tcW w:w="2059" w:type="dxa"/>
            <w:tcBorders>
              <w:top w:val="nil"/>
              <w:left w:val="single" w:sz="4" w:space="0" w:color="auto"/>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rPr>
                <w:color w:val="000000"/>
                <w:sz w:val="18"/>
                <w:szCs w:val="18"/>
              </w:rPr>
            </w:pPr>
            <w:r w:rsidRPr="00DF6F31">
              <w:rPr>
                <w:color w:val="000000"/>
                <w:sz w:val="18"/>
                <w:szCs w:val="18"/>
              </w:rPr>
              <w:t>20.1906(d)</w:t>
            </w:r>
          </w:p>
        </w:tc>
        <w:tc>
          <w:tcPr>
            <w:tcW w:w="146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14</w:t>
            </w:r>
          </w:p>
        </w:tc>
        <w:tc>
          <w:tcPr>
            <w:tcW w:w="1281"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14</w:t>
            </w:r>
          </w:p>
        </w:tc>
        <w:tc>
          <w:tcPr>
            <w:tcW w:w="142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w:t>
            </w:r>
          </w:p>
        </w:tc>
        <w:tc>
          <w:tcPr>
            <w:tcW w:w="96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42</w:t>
            </w:r>
          </w:p>
        </w:tc>
        <w:tc>
          <w:tcPr>
            <w:tcW w:w="96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615"/>
          <w:jc w:val="center"/>
        </w:trPr>
        <w:tc>
          <w:tcPr>
            <w:tcW w:w="2059"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20.2006(b)</w:t>
            </w:r>
          </w:p>
        </w:tc>
        <w:tc>
          <w:tcPr>
            <w:tcW w:w="7261" w:type="dxa"/>
            <w:gridSpan w:val="6"/>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Burden included under NRC Forms 540-542 (OMB clearance nos. 3150-0164, 3150-0166, 3150-0165)</w:t>
            </w:r>
          </w:p>
        </w:tc>
      </w:tr>
      <w:tr w:rsidR="0081081F" w:rsidRPr="00DF6F31" w:rsidTr="001249B4">
        <w:trPr>
          <w:trHeight w:val="240"/>
          <w:jc w:val="center"/>
        </w:trPr>
        <w:tc>
          <w:tcPr>
            <w:tcW w:w="2059" w:type="dxa"/>
            <w:tcBorders>
              <w:top w:val="nil"/>
              <w:left w:val="single" w:sz="4" w:space="0" w:color="auto"/>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rPr>
                <w:color w:val="000000"/>
                <w:sz w:val="18"/>
                <w:szCs w:val="18"/>
              </w:rPr>
            </w:pPr>
            <w:r w:rsidRPr="00DF6F31">
              <w:rPr>
                <w:color w:val="000000"/>
                <w:sz w:val="18"/>
                <w:szCs w:val="18"/>
              </w:rPr>
              <w:t>20.2205</w:t>
            </w:r>
          </w:p>
        </w:tc>
        <w:tc>
          <w:tcPr>
            <w:tcW w:w="146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25</w:t>
            </w:r>
          </w:p>
        </w:tc>
        <w:tc>
          <w:tcPr>
            <w:tcW w:w="1281"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18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25</w:t>
            </w:r>
          </w:p>
        </w:tc>
        <w:tc>
          <w:tcPr>
            <w:tcW w:w="142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6</w:t>
            </w:r>
          </w:p>
        </w:tc>
        <w:tc>
          <w:tcPr>
            <w:tcW w:w="96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150</w:t>
            </w:r>
          </w:p>
        </w:tc>
        <w:tc>
          <w:tcPr>
            <w:tcW w:w="96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FF0000"/>
                <w:sz w:val="18"/>
                <w:szCs w:val="18"/>
              </w:rPr>
            </w:pPr>
            <w:r w:rsidRPr="00DF6F31">
              <w:rPr>
                <w:color w:val="FF0000"/>
                <w:sz w:val="18"/>
                <w:szCs w:val="18"/>
              </w:rPr>
              <w:t> </w:t>
            </w:r>
          </w:p>
        </w:tc>
      </w:tr>
      <w:tr w:rsidR="0081081F" w:rsidRPr="00DF6F31" w:rsidTr="001868B0">
        <w:trPr>
          <w:trHeight w:val="480"/>
          <w:jc w:val="center"/>
        </w:trPr>
        <w:tc>
          <w:tcPr>
            <w:tcW w:w="2059" w:type="dxa"/>
            <w:tcBorders>
              <w:top w:val="nil"/>
              <w:left w:val="single" w:sz="4" w:space="0" w:color="auto"/>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rPr>
                <w:color w:val="000000"/>
                <w:sz w:val="18"/>
                <w:szCs w:val="18"/>
              </w:rPr>
            </w:pPr>
            <w:r w:rsidRPr="00DF6F31">
              <w:rPr>
                <w:color w:val="000000"/>
                <w:sz w:val="18"/>
                <w:szCs w:val="18"/>
              </w:rPr>
              <w:t>Appendix G, Section III, Paragraphs (A)-(D)</w:t>
            </w:r>
          </w:p>
        </w:tc>
        <w:tc>
          <w:tcPr>
            <w:tcW w:w="7261" w:type="dxa"/>
            <w:gridSpan w:val="6"/>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Burden for Sections I and II included under NRC Forms 540-542 (OMB clearance nos. 3150-0164, 3150-0166, 3150-0165)</w:t>
            </w:r>
          </w:p>
        </w:tc>
      </w:tr>
      <w:tr w:rsidR="0081081F" w:rsidRPr="00DF6F31" w:rsidTr="001249B4">
        <w:trPr>
          <w:trHeight w:val="240"/>
          <w:jc w:val="center"/>
        </w:trPr>
        <w:tc>
          <w:tcPr>
            <w:tcW w:w="2059"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b/>
                <w:bCs/>
                <w:color w:val="000000"/>
                <w:sz w:val="18"/>
                <w:szCs w:val="18"/>
              </w:rPr>
            </w:pPr>
            <w:r w:rsidRPr="00DF6F31">
              <w:rPr>
                <w:b/>
                <w:bCs/>
                <w:color w:val="000000"/>
                <w:sz w:val="18"/>
                <w:szCs w:val="18"/>
              </w:rPr>
              <w:t>TOTAL</w:t>
            </w:r>
          </w:p>
        </w:tc>
        <w:tc>
          <w:tcPr>
            <w:tcW w:w="146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b/>
                <w:bCs/>
                <w:color w:val="000000"/>
                <w:sz w:val="18"/>
                <w:szCs w:val="18"/>
              </w:rPr>
            </w:pPr>
            <w:r w:rsidRPr="00DF6F31">
              <w:rPr>
                <w:b/>
                <w:bCs/>
                <w:color w:val="000000"/>
                <w:sz w:val="18"/>
                <w:szCs w:val="18"/>
              </w:rPr>
              <w:t>750</w:t>
            </w:r>
          </w:p>
        </w:tc>
        <w:tc>
          <w:tcPr>
            <w:tcW w:w="1281"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b/>
                <w:bCs/>
                <w:color w:val="000000"/>
                <w:sz w:val="18"/>
                <w:szCs w:val="18"/>
              </w:rPr>
            </w:pPr>
            <w:r w:rsidRPr="00DF6F31">
              <w:rPr>
                <w:b/>
                <w:bCs/>
                <w:color w:val="000000"/>
                <w:sz w:val="18"/>
                <w:szCs w:val="18"/>
              </w:rPr>
              <w:t> </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b/>
                <w:bCs/>
                <w:color w:val="000000"/>
                <w:sz w:val="18"/>
                <w:szCs w:val="18"/>
              </w:rPr>
            </w:pPr>
            <w:r w:rsidRPr="00DF6F31">
              <w:rPr>
                <w:b/>
                <w:bCs/>
                <w:color w:val="000000"/>
                <w:sz w:val="18"/>
                <w:szCs w:val="18"/>
              </w:rPr>
              <w:t>1,539</w:t>
            </w:r>
          </w:p>
        </w:tc>
        <w:tc>
          <w:tcPr>
            <w:tcW w:w="142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b/>
                <w:bCs/>
                <w:color w:val="000000"/>
                <w:sz w:val="18"/>
                <w:szCs w:val="18"/>
              </w:rPr>
            </w:pPr>
            <w:r w:rsidRPr="00DF6F31">
              <w:rPr>
                <w:b/>
                <w:bCs/>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b/>
                <w:bCs/>
                <w:color w:val="000000"/>
                <w:sz w:val="18"/>
                <w:szCs w:val="18"/>
              </w:rPr>
            </w:pPr>
            <w:r w:rsidRPr="00DF6F31">
              <w:rPr>
                <w:b/>
                <w:bCs/>
                <w:color w:val="000000"/>
                <w:sz w:val="18"/>
                <w:szCs w:val="18"/>
              </w:rPr>
              <w:t>342</w:t>
            </w:r>
          </w:p>
        </w:tc>
        <w:tc>
          <w:tcPr>
            <w:tcW w:w="96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 </w:t>
            </w:r>
          </w:p>
        </w:tc>
      </w:tr>
    </w:tbl>
    <w:p w:rsidR="0081081F" w:rsidRPr="00DF6F31" w:rsidRDefault="0081081F" w:rsidP="0081081F">
      <w:pPr>
        <w:numPr>
          <w:ilvl w:val="12"/>
          <w:numId w:val="0"/>
        </w:numPr>
      </w:pPr>
    </w:p>
    <w:p w:rsidR="0081081F" w:rsidRPr="00DF6F31" w:rsidRDefault="0081081F">
      <w:pPr>
        <w:autoSpaceDE/>
        <w:autoSpaceDN/>
        <w:adjustRightInd/>
      </w:pPr>
      <w:r w:rsidRPr="00DF6F31">
        <w:br w:type="page"/>
      </w:r>
    </w:p>
    <w:p w:rsidR="0081081F" w:rsidRPr="00DF6F31" w:rsidRDefault="0081081F" w:rsidP="0081081F">
      <w:pPr>
        <w:numPr>
          <w:ilvl w:val="12"/>
          <w:numId w:val="0"/>
        </w:numPr>
        <w:jc w:val="center"/>
      </w:pPr>
      <w:r w:rsidRPr="00DF6F31">
        <w:lastRenderedPageBreak/>
        <w:t>TABLE 4</w:t>
      </w:r>
    </w:p>
    <w:p w:rsidR="0081081F" w:rsidRPr="00DF6F31" w:rsidRDefault="0081081F" w:rsidP="0081081F">
      <w:pPr>
        <w:numPr>
          <w:ilvl w:val="12"/>
          <w:numId w:val="0"/>
        </w:numPr>
        <w:jc w:val="center"/>
      </w:pPr>
      <w:r w:rsidRPr="00DF6F31">
        <w:t>THIRD PARTY DISCLOSURE BURDEN FOR AGREEMENT STATE LICENSEES</w:t>
      </w:r>
    </w:p>
    <w:p w:rsidR="0081081F" w:rsidRPr="00DF6F31" w:rsidRDefault="0081081F" w:rsidP="0081081F">
      <w:pPr>
        <w:numPr>
          <w:ilvl w:val="12"/>
          <w:numId w:val="0"/>
        </w:numPr>
        <w:jc w:val="center"/>
      </w:pPr>
    </w:p>
    <w:tbl>
      <w:tblPr>
        <w:tblW w:w="9340" w:type="dxa"/>
        <w:jc w:val="center"/>
        <w:tblInd w:w="93" w:type="dxa"/>
        <w:tblLook w:val="04A0"/>
      </w:tblPr>
      <w:tblGrid>
        <w:gridCol w:w="1619"/>
        <w:gridCol w:w="1587"/>
        <w:gridCol w:w="1467"/>
        <w:gridCol w:w="1337"/>
        <w:gridCol w:w="1467"/>
        <w:gridCol w:w="987"/>
        <w:gridCol w:w="876"/>
      </w:tblGrid>
      <w:tr w:rsidR="0081081F" w:rsidRPr="00DF6F31" w:rsidTr="001249B4">
        <w:trPr>
          <w:trHeight w:val="885"/>
          <w:jc w:val="center"/>
        </w:trPr>
        <w:tc>
          <w:tcPr>
            <w:tcW w:w="2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SECTION</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NO. OF RESPONDENTS</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RESPONSES PER RESPONDENT</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TOTAL RESPONSES</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ANNUAL BURDEN PER RESPONDENT</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TOTAL ANNUAL BURDEN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NOTES</w:t>
            </w:r>
          </w:p>
        </w:tc>
      </w:tr>
      <w:tr w:rsidR="0081081F" w:rsidRPr="00DF6F31" w:rsidTr="001249B4">
        <w:trPr>
          <w:trHeight w:val="240"/>
          <w:jc w:val="center"/>
        </w:trPr>
        <w:tc>
          <w:tcPr>
            <w:tcW w:w="2060" w:type="dxa"/>
            <w:tcBorders>
              <w:top w:val="nil"/>
              <w:left w:val="single" w:sz="4" w:space="0" w:color="auto"/>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rPr>
                <w:color w:val="000000"/>
                <w:sz w:val="18"/>
                <w:szCs w:val="18"/>
              </w:rPr>
            </w:pPr>
            <w:r w:rsidRPr="00DF6F31">
              <w:rPr>
                <w:color w:val="000000"/>
                <w:sz w:val="18"/>
                <w:szCs w:val="18"/>
              </w:rPr>
              <w:t>20.1901(b)&amp;(c)</w:t>
            </w:r>
          </w:p>
        </w:tc>
        <w:tc>
          <w:tcPr>
            <w:tcW w:w="148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4,500 </w:t>
            </w:r>
          </w:p>
        </w:tc>
        <w:tc>
          <w:tcPr>
            <w:tcW w:w="132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1 </w:t>
            </w:r>
          </w:p>
        </w:tc>
        <w:tc>
          <w:tcPr>
            <w:tcW w:w="118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4,500 </w:t>
            </w:r>
          </w:p>
        </w:tc>
        <w:tc>
          <w:tcPr>
            <w:tcW w:w="136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0.1 </w:t>
            </w:r>
          </w:p>
        </w:tc>
        <w:tc>
          <w:tcPr>
            <w:tcW w:w="98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 450 </w:t>
            </w:r>
          </w:p>
        </w:tc>
        <w:tc>
          <w:tcPr>
            <w:tcW w:w="96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249B4">
        <w:trPr>
          <w:trHeight w:val="240"/>
          <w:jc w:val="center"/>
        </w:trPr>
        <w:tc>
          <w:tcPr>
            <w:tcW w:w="2060" w:type="dxa"/>
            <w:tcBorders>
              <w:top w:val="nil"/>
              <w:left w:val="single" w:sz="4" w:space="0" w:color="auto"/>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rPr>
                <w:color w:val="000000"/>
                <w:sz w:val="18"/>
                <w:szCs w:val="18"/>
              </w:rPr>
            </w:pPr>
            <w:r w:rsidRPr="00DF6F31">
              <w:rPr>
                <w:color w:val="000000"/>
                <w:sz w:val="18"/>
                <w:szCs w:val="18"/>
              </w:rPr>
              <w:t>20.1904</w:t>
            </w:r>
          </w:p>
        </w:tc>
        <w:tc>
          <w:tcPr>
            <w:tcW w:w="148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4,500 </w:t>
            </w:r>
          </w:p>
        </w:tc>
        <w:tc>
          <w:tcPr>
            <w:tcW w:w="132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1 </w:t>
            </w:r>
          </w:p>
        </w:tc>
        <w:tc>
          <w:tcPr>
            <w:tcW w:w="118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4,500 </w:t>
            </w:r>
          </w:p>
        </w:tc>
        <w:tc>
          <w:tcPr>
            <w:tcW w:w="136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0.1 </w:t>
            </w:r>
          </w:p>
        </w:tc>
        <w:tc>
          <w:tcPr>
            <w:tcW w:w="98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 450 </w:t>
            </w:r>
          </w:p>
        </w:tc>
        <w:tc>
          <w:tcPr>
            <w:tcW w:w="96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249B4">
        <w:trPr>
          <w:trHeight w:val="240"/>
          <w:jc w:val="center"/>
        </w:trPr>
        <w:tc>
          <w:tcPr>
            <w:tcW w:w="2060" w:type="dxa"/>
            <w:tcBorders>
              <w:top w:val="nil"/>
              <w:left w:val="single" w:sz="4" w:space="0" w:color="auto"/>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rPr>
                <w:color w:val="000000"/>
                <w:sz w:val="18"/>
                <w:szCs w:val="18"/>
              </w:rPr>
            </w:pPr>
            <w:r w:rsidRPr="00DF6F31">
              <w:rPr>
                <w:color w:val="000000"/>
                <w:sz w:val="18"/>
                <w:szCs w:val="18"/>
              </w:rPr>
              <w:t>20.1906(d)</w:t>
            </w:r>
          </w:p>
        </w:tc>
        <w:tc>
          <w:tcPr>
            <w:tcW w:w="148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84 </w:t>
            </w:r>
          </w:p>
        </w:tc>
        <w:tc>
          <w:tcPr>
            <w:tcW w:w="132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1 </w:t>
            </w:r>
          </w:p>
        </w:tc>
        <w:tc>
          <w:tcPr>
            <w:tcW w:w="118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84 </w:t>
            </w:r>
          </w:p>
        </w:tc>
        <w:tc>
          <w:tcPr>
            <w:tcW w:w="136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3 </w:t>
            </w:r>
          </w:p>
        </w:tc>
        <w:tc>
          <w:tcPr>
            <w:tcW w:w="98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xml:space="preserve"> 252 </w:t>
            </w:r>
          </w:p>
        </w:tc>
        <w:tc>
          <w:tcPr>
            <w:tcW w:w="96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868B0">
        <w:trPr>
          <w:trHeight w:val="645"/>
          <w:jc w:val="center"/>
        </w:trPr>
        <w:tc>
          <w:tcPr>
            <w:tcW w:w="2060"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20.2006(b)</w:t>
            </w:r>
          </w:p>
        </w:tc>
        <w:tc>
          <w:tcPr>
            <w:tcW w:w="7280" w:type="dxa"/>
            <w:gridSpan w:val="6"/>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Burden included under NRC Forms 540-542 (OMB clearance nos. 3150-0164, 3150-0166, 3150-0165)</w:t>
            </w:r>
          </w:p>
        </w:tc>
      </w:tr>
      <w:tr w:rsidR="0081081F" w:rsidRPr="00DF6F31" w:rsidTr="001249B4">
        <w:trPr>
          <w:trHeight w:val="240"/>
          <w:jc w:val="center"/>
        </w:trPr>
        <w:tc>
          <w:tcPr>
            <w:tcW w:w="2060" w:type="dxa"/>
            <w:tcBorders>
              <w:top w:val="nil"/>
              <w:left w:val="single" w:sz="4" w:space="0" w:color="auto"/>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rPr>
                <w:color w:val="000000"/>
                <w:sz w:val="18"/>
                <w:szCs w:val="18"/>
              </w:rPr>
            </w:pPr>
            <w:r w:rsidRPr="00DF6F31">
              <w:rPr>
                <w:color w:val="000000"/>
                <w:sz w:val="18"/>
                <w:szCs w:val="18"/>
              </w:rPr>
              <w:t>20.2205</w:t>
            </w:r>
          </w:p>
        </w:tc>
        <w:tc>
          <w:tcPr>
            <w:tcW w:w="148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150</w:t>
            </w:r>
          </w:p>
        </w:tc>
        <w:tc>
          <w:tcPr>
            <w:tcW w:w="132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118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150</w:t>
            </w:r>
          </w:p>
        </w:tc>
        <w:tc>
          <w:tcPr>
            <w:tcW w:w="136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6</w:t>
            </w:r>
          </w:p>
        </w:tc>
        <w:tc>
          <w:tcPr>
            <w:tcW w:w="98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900</w:t>
            </w:r>
          </w:p>
        </w:tc>
        <w:tc>
          <w:tcPr>
            <w:tcW w:w="960"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FF0000"/>
                <w:sz w:val="18"/>
                <w:szCs w:val="18"/>
              </w:rPr>
            </w:pPr>
            <w:r w:rsidRPr="00DF6F31">
              <w:rPr>
                <w:color w:val="FF0000"/>
                <w:sz w:val="18"/>
                <w:szCs w:val="18"/>
              </w:rPr>
              <w:t> </w:t>
            </w:r>
          </w:p>
        </w:tc>
      </w:tr>
      <w:tr w:rsidR="0081081F" w:rsidRPr="00DF6F31" w:rsidTr="001868B0">
        <w:trPr>
          <w:trHeight w:val="480"/>
          <w:jc w:val="center"/>
        </w:trPr>
        <w:tc>
          <w:tcPr>
            <w:tcW w:w="2060" w:type="dxa"/>
            <w:tcBorders>
              <w:top w:val="nil"/>
              <w:left w:val="single" w:sz="4" w:space="0" w:color="auto"/>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rPr>
                <w:color w:val="000000"/>
                <w:sz w:val="18"/>
                <w:szCs w:val="18"/>
              </w:rPr>
            </w:pPr>
            <w:r w:rsidRPr="00DF6F31">
              <w:rPr>
                <w:color w:val="000000"/>
                <w:sz w:val="18"/>
                <w:szCs w:val="18"/>
              </w:rPr>
              <w:t>Appendix G, Section III, Paragraphs (A)-(D)</w:t>
            </w:r>
          </w:p>
        </w:tc>
        <w:tc>
          <w:tcPr>
            <w:tcW w:w="7280" w:type="dxa"/>
            <w:gridSpan w:val="6"/>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Burden for Sections I and II included under NRC Forms 540-542 (OMB clearance nos. 3150-0164, 3150-0166, 3150-0165)</w:t>
            </w:r>
          </w:p>
        </w:tc>
      </w:tr>
      <w:tr w:rsidR="0081081F" w:rsidRPr="00DF6F31" w:rsidTr="001249B4">
        <w:trPr>
          <w:trHeight w:val="240"/>
          <w:jc w:val="center"/>
        </w:trPr>
        <w:tc>
          <w:tcPr>
            <w:tcW w:w="2060"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b/>
                <w:bCs/>
                <w:color w:val="000000"/>
                <w:sz w:val="18"/>
                <w:szCs w:val="18"/>
              </w:rPr>
            </w:pPr>
            <w:r w:rsidRPr="00DF6F31">
              <w:rPr>
                <w:b/>
                <w:bCs/>
                <w:color w:val="000000"/>
                <w:sz w:val="18"/>
                <w:szCs w:val="18"/>
              </w:rPr>
              <w:t>TOTAL</w:t>
            </w:r>
          </w:p>
        </w:tc>
        <w:tc>
          <w:tcPr>
            <w:tcW w:w="14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b/>
                <w:bCs/>
                <w:color w:val="000000"/>
                <w:sz w:val="18"/>
                <w:szCs w:val="18"/>
              </w:rPr>
            </w:pPr>
            <w:r w:rsidRPr="00DF6F31">
              <w:rPr>
                <w:b/>
                <w:bCs/>
                <w:color w:val="000000"/>
                <w:sz w:val="18"/>
                <w:szCs w:val="18"/>
              </w:rPr>
              <w:t xml:space="preserve"> 9,234 </w:t>
            </w:r>
          </w:p>
        </w:tc>
        <w:tc>
          <w:tcPr>
            <w:tcW w:w="132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b/>
                <w:bCs/>
                <w:color w:val="000000"/>
                <w:sz w:val="18"/>
                <w:szCs w:val="18"/>
              </w:rPr>
            </w:pPr>
            <w:r w:rsidRPr="00DF6F31">
              <w:rPr>
                <w:b/>
                <w:bCs/>
                <w:color w:val="000000"/>
                <w:sz w:val="18"/>
                <w:szCs w:val="18"/>
              </w:rPr>
              <w:t> </w:t>
            </w:r>
          </w:p>
        </w:tc>
        <w:tc>
          <w:tcPr>
            <w:tcW w:w="1180" w:type="dxa"/>
            <w:tcBorders>
              <w:top w:val="nil"/>
              <w:left w:val="nil"/>
              <w:bottom w:val="single" w:sz="4" w:space="0" w:color="auto"/>
              <w:right w:val="single" w:sz="4" w:space="0" w:color="auto"/>
            </w:tcBorders>
            <w:shd w:val="clear" w:color="auto" w:fill="auto"/>
            <w:hideMark/>
          </w:tcPr>
          <w:p w:rsidR="0081081F" w:rsidRPr="00DF6F31" w:rsidRDefault="0081081F" w:rsidP="0081081F">
            <w:pPr>
              <w:tabs>
                <w:tab w:val="right" w:pos="1121"/>
              </w:tabs>
              <w:autoSpaceDE/>
              <w:autoSpaceDN/>
              <w:adjustRightInd/>
              <w:jc w:val="right"/>
              <w:rPr>
                <w:b/>
                <w:bCs/>
                <w:color w:val="000000"/>
                <w:sz w:val="18"/>
                <w:szCs w:val="18"/>
              </w:rPr>
            </w:pPr>
            <w:r w:rsidRPr="00DF6F31">
              <w:rPr>
                <w:b/>
                <w:bCs/>
                <w:color w:val="000000"/>
                <w:sz w:val="18"/>
                <w:szCs w:val="18"/>
              </w:rPr>
              <w:t xml:space="preserve"> 9,234 </w:t>
            </w:r>
          </w:p>
        </w:tc>
        <w:tc>
          <w:tcPr>
            <w:tcW w:w="136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b/>
                <w:bCs/>
                <w:color w:val="000000"/>
                <w:sz w:val="18"/>
                <w:szCs w:val="18"/>
              </w:rPr>
            </w:pPr>
            <w:r w:rsidRPr="00DF6F31">
              <w:rPr>
                <w:b/>
                <w:bCs/>
                <w:color w:val="000000"/>
                <w:sz w:val="18"/>
                <w:szCs w:val="18"/>
              </w:rPr>
              <w:t> </w:t>
            </w:r>
          </w:p>
        </w:tc>
        <w:tc>
          <w:tcPr>
            <w:tcW w:w="98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b/>
                <w:bCs/>
                <w:color w:val="000000"/>
                <w:sz w:val="18"/>
                <w:szCs w:val="18"/>
              </w:rPr>
            </w:pPr>
            <w:r w:rsidRPr="00DF6F31">
              <w:rPr>
                <w:b/>
                <w:bCs/>
                <w:color w:val="000000"/>
                <w:sz w:val="18"/>
                <w:szCs w:val="18"/>
              </w:rPr>
              <w:t xml:space="preserve"> 2,052 </w:t>
            </w:r>
          </w:p>
        </w:tc>
        <w:tc>
          <w:tcPr>
            <w:tcW w:w="960"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bl>
    <w:p w:rsidR="0081081F" w:rsidRPr="00DF6F31" w:rsidRDefault="0081081F" w:rsidP="0081081F">
      <w:pPr>
        <w:numPr>
          <w:ilvl w:val="12"/>
          <w:numId w:val="0"/>
        </w:numPr>
      </w:pPr>
    </w:p>
    <w:p w:rsidR="0081081F" w:rsidRPr="00DF6F31" w:rsidRDefault="0081081F">
      <w:pPr>
        <w:autoSpaceDE/>
        <w:autoSpaceDN/>
        <w:adjustRightInd/>
      </w:pPr>
      <w:r w:rsidRPr="00DF6F31">
        <w:br w:type="page"/>
      </w:r>
    </w:p>
    <w:p w:rsidR="0081081F" w:rsidRPr="00DF6F31" w:rsidRDefault="0081081F" w:rsidP="0081081F">
      <w:pPr>
        <w:numPr>
          <w:ilvl w:val="12"/>
          <w:numId w:val="0"/>
        </w:numPr>
        <w:jc w:val="center"/>
      </w:pPr>
      <w:r w:rsidRPr="00DF6F31">
        <w:lastRenderedPageBreak/>
        <w:t>TABLE 5</w:t>
      </w:r>
    </w:p>
    <w:p w:rsidR="0081081F" w:rsidRPr="00DF6F31" w:rsidRDefault="0081081F" w:rsidP="0081081F">
      <w:pPr>
        <w:numPr>
          <w:ilvl w:val="12"/>
          <w:numId w:val="0"/>
        </w:numPr>
        <w:jc w:val="center"/>
      </w:pPr>
      <w:r w:rsidRPr="00DF6F31">
        <w:t>RECORDKEEPING BURDEN FOR NRC LICENSEES</w:t>
      </w:r>
    </w:p>
    <w:p w:rsidR="0081081F" w:rsidRPr="00DF6F31" w:rsidRDefault="0081081F" w:rsidP="0081081F">
      <w:pPr>
        <w:numPr>
          <w:ilvl w:val="12"/>
          <w:numId w:val="0"/>
        </w:numPr>
      </w:pPr>
    </w:p>
    <w:tbl>
      <w:tblPr>
        <w:tblW w:w="8480" w:type="dxa"/>
        <w:jc w:val="center"/>
        <w:tblInd w:w="93" w:type="dxa"/>
        <w:tblLook w:val="04A0"/>
      </w:tblPr>
      <w:tblGrid>
        <w:gridCol w:w="2093"/>
        <w:gridCol w:w="1118"/>
        <w:gridCol w:w="1079"/>
        <w:gridCol w:w="987"/>
        <w:gridCol w:w="1282"/>
        <w:gridCol w:w="1921"/>
      </w:tblGrid>
      <w:tr w:rsidR="0081081F" w:rsidRPr="00DF6F31" w:rsidTr="001249B4">
        <w:trPr>
          <w:trHeight w:val="960"/>
          <w:jc w:val="center"/>
        </w:trPr>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SECTION</w:t>
            </w:r>
          </w:p>
        </w:tc>
        <w:tc>
          <w:tcPr>
            <w:tcW w:w="1118" w:type="dxa"/>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NO. OF RECORD-KEEPERS</w:t>
            </w:r>
          </w:p>
        </w:tc>
        <w:tc>
          <w:tcPr>
            <w:tcW w:w="1079" w:type="dxa"/>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BURDEN PER RECORD-KEEPER</w:t>
            </w:r>
          </w:p>
        </w:tc>
        <w:tc>
          <w:tcPr>
            <w:tcW w:w="987" w:type="dxa"/>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TOTAL ANNUAL BURDEN</w:t>
            </w:r>
          </w:p>
        </w:tc>
        <w:tc>
          <w:tcPr>
            <w:tcW w:w="1282" w:type="dxa"/>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RECORD RETENTION</w:t>
            </w:r>
          </w:p>
        </w:tc>
        <w:tc>
          <w:tcPr>
            <w:tcW w:w="1921" w:type="dxa"/>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b/>
                <w:bCs/>
                <w:color w:val="000000"/>
                <w:sz w:val="18"/>
                <w:szCs w:val="18"/>
              </w:rPr>
            </w:pPr>
            <w:r w:rsidRPr="00DF6F31">
              <w:rPr>
                <w:b/>
                <w:bCs/>
                <w:color w:val="000000"/>
                <w:sz w:val="18"/>
                <w:szCs w:val="18"/>
              </w:rPr>
              <w:t xml:space="preserve">NOTES                                                   </w:t>
            </w: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20.1101(a)</w:t>
            </w:r>
          </w:p>
        </w:tc>
        <w:tc>
          <w:tcPr>
            <w:tcW w:w="6387" w:type="dxa"/>
            <w:gridSpan w:val="5"/>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20.2102</w:t>
            </w: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20.1202</w:t>
            </w:r>
          </w:p>
        </w:tc>
        <w:tc>
          <w:tcPr>
            <w:tcW w:w="6387" w:type="dxa"/>
            <w:gridSpan w:val="5"/>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20.2106</w:t>
            </w: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20.1203</w:t>
            </w:r>
          </w:p>
        </w:tc>
        <w:tc>
          <w:tcPr>
            <w:tcW w:w="6387" w:type="dxa"/>
            <w:gridSpan w:val="5"/>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20.2106</w:t>
            </w: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20.1204</w:t>
            </w:r>
          </w:p>
        </w:tc>
        <w:tc>
          <w:tcPr>
            <w:tcW w:w="6387" w:type="dxa"/>
            <w:gridSpan w:val="5"/>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20.2106</w:t>
            </w: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20.1206</w:t>
            </w:r>
          </w:p>
        </w:tc>
        <w:tc>
          <w:tcPr>
            <w:tcW w:w="6387" w:type="dxa"/>
            <w:gridSpan w:val="5"/>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20.2105</w:t>
            </w: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20.1208</w:t>
            </w:r>
          </w:p>
        </w:tc>
        <w:tc>
          <w:tcPr>
            <w:tcW w:w="6387" w:type="dxa"/>
            <w:gridSpan w:val="5"/>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20.2106</w:t>
            </w: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20.1403(d)</w:t>
            </w:r>
          </w:p>
        </w:tc>
        <w:tc>
          <w:tcPr>
            <w:tcW w:w="11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w:t>
            </w:r>
          </w:p>
        </w:tc>
        <w:tc>
          <w:tcPr>
            <w:tcW w:w="10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20</w:t>
            </w:r>
          </w:p>
        </w:tc>
        <w:tc>
          <w:tcPr>
            <w:tcW w:w="987"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20"/>
                <w:szCs w:val="20"/>
              </w:rPr>
            </w:pPr>
            <w:r w:rsidRPr="00DF6F31">
              <w:rPr>
                <w:color w:val="000000"/>
                <w:sz w:val="20"/>
                <w:szCs w:val="20"/>
              </w:rPr>
              <w:t>60</w:t>
            </w:r>
          </w:p>
        </w:tc>
        <w:tc>
          <w:tcPr>
            <w:tcW w:w="1282" w:type="dxa"/>
            <w:tcBorders>
              <w:top w:val="nil"/>
              <w:left w:val="nil"/>
              <w:bottom w:val="single" w:sz="4" w:space="0" w:color="auto"/>
              <w:right w:val="single" w:sz="4" w:space="0" w:color="auto"/>
            </w:tcBorders>
            <w:shd w:val="clear" w:color="auto" w:fill="auto"/>
            <w:hideMark/>
          </w:tcPr>
          <w:p w:rsidR="0081081F" w:rsidRPr="00DF6F31" w:rsidRDefault="0081081F" w:rsidP="0081081F">
            <w:pPr>
              <w:jc w:val="right"/>
              <w:rPr>
                <w:sz w:val="18"/>
                <w:szCs w:val="18"/>
              </w:rPr>
            </w:pPr>
            <w:r w:rsidRPr="00DF6F31">
              <w:rPr>
                <w:sz w:val="18"/>
                <w:szCs w:val="18"/>
              </w:rPr>
              <w:t>RULT</w:t>
            </w:r>
            <w:r w:rsidRPr="00DF6F31">
              <w:rPr>
                <w:rStyle w:val="FootnoteReference"/>
                <w:sz w:val="18"/>
                <w:szCs w:val="18"/>
              </w:rPr>
              <w:footnoteReference w:id="1"/>
            </w:r>
          </w:p>
        </w:tc>
        <w:tc>
          <w:tcPr>
            <w:tcW w:w="1921" w:type="dxa"/>
            <w:tcBorders>
              <w:top w:val="nil"/>
              <w:left w:val="nil"/>
              <w:bottom w:val="single" w:sz="4" w:space="0" w:color="auto"/>
              <w:right w:val="single" w:sz="4" w:space="0" w:color="auto"/>
            </w:tcBorders>
            <w:shd w:val="clear" w:color="auto" w:fill="auto"/>
            <w:hideMark/>
          </w:tcPr>
          <w:p w:rsidR="0081081F" w:rsidRPr="00DF6F31" w:rsidRDefault="0081081F" w:rsidP="0081081F">
            <w:pPr>
              <w:jc w:val="right"/>
              <w:rPr>
                <w:sz w:val="18"/>
                <w:szCs w:val="18"/>
              </w:rPr>
            </w:pP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20.1501</w:t>
            </w:r>
          </w:p>
        </w:tc>
        <w:tc>
          <w:tcPr>
            <w:tcW w:w="6387" w:type="dxa"/>
            <w:gridSpan w:val="5"/>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20.2103</w:t>
            </w: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20.1703(c)(2)</w:t>
            </w:r>
          </w:p>
        </w:tc>
        <w:tc>
          <w:tcPr>
            <w:tcW w:w="6387" w:type="dxa"/>
            <w:gridSpan w:val="5"/>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20.2103</w:t>
            </w:r>
          </w:p>
        </w:tc>
      </w:tr>
      <w:tr w:rsidR="0081081F" w:rsidRPr="00DF6F31" w:rsidTr="001249B4">
        <w:trPr>
          <w:trHeight w:val="27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20.1703(c)(4)</w:t>
            </w:r>
          </w:p>
        </w:tc>
        <w:tc>
          <w:tcPr>
            <w:tcW w:w="11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100</w:t>
            </w:r>
          </w:p>
        </w:tc>
        <w:tc>
          <w:tcPr>
            <w:tcW w:w="10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80</w:t>
            </w:r>
          </w:p>
        </w:tc>
        <w:tc>
          <w:tcPr>
            <w:tcW w:w="987"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8,000</w:t>
            </w:r>
          </w:p>
        </w:tc>
        <w:tc>
          <w:tcPr>
            <w:tcW w:w="1282" w:type="dxa"/>
            <w:tcBorders>
              <w:top w:val="nil"/>
              <w:left w:val="nil"/>
              <w:bottom w:val="single" w:sz="4" w:space="0" w:color="auto"/>
              <w:right w:val="single" w:sz="4" w:space="0" w:color="auto"/>
            </w:tcBorders>
            <w:shd w:val="clear" w:color="auto" w:fill="auto"/>
            <w:hideMark/>
          </w:tcPr>
          <w:p w:rsidR="0081081F" w:rsidRPr="00DF6F31" w:rsidRDefault="0081081F" w:rsidP="00AB5ABB">
            <w:pPr>
              <w:autoSpaceDE/>
              <w:autoSpaceDN/>
              <w:adjustRightInd/>
              <w:jc w:val="right"/>
              <w:rPr>
                <w:sz w:val="18"/>
                <w:szCs w:val="18"/>
              </w:rPr>
            </w:pPr>
            <w:r w:rsidRPr="00DF6F31">
              <w:rPr>
                <w:sz w:val="18"/>
                <w:szCs w:val="18"/>
              </w:rPr>
              <w:t>RULT</w:t>
            </w:r>
          </w:p>
        </w:tc>
        <w:tc>
          <w:tcPr>
            <w:tcW w:w="1921"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w:t>
            </w:r>
          </w:p>
        </w:tc>
      </w:tr>
      <w:tr w:rsidR="0081081F" w:rsidRPr="00DF6F31" w:rsidTr="00411CD7">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20.1901</w:t>
            </w:r>
          </w:p>
        </w:tc>
        <w:tc>
          <w:tcPr>
            <w:tcW w:w="1118"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750</w:t>
            </w:r>
          </w:p>
        </w:tc>
        <w:tc>
          <w:tcPr>
            <w:tcW w:w="1079"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0.1</w:t>
            </w:r>
          </w:p>
        </w:tc>
        <w:tc>
          <w:tcPr>
            <w:tcW w:w="987"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75</w:t>
            </w:r>
          </w:p>
        </w:tc>
        <w:tc>
          <w:tcPr>
            <w:tcW w:w="1282" w:type="dxa"/>
            <w:tcBorders>
              <w:top w:val="nil"/>
              <w:left w:val="nil"/>
              <w:bottom w:val="single" w:sz="4" w:space="0" w:color="auto"/>
              <w:right w:val="single" w:sz="4" w:space="0" w:color="auto"/>
            </w:tcBorders>
            <w:shd w:val="clear" w:color="auto" w:fill="FFFFFF" w:themeFill="background1"/>
            <w:hideMark/>
          </w:tcPr>
          <w:p w:rsidR="0081081F" w:rsidRPr="00DF6F31" w:rsidRDefault="00411CD7" w:rsidP="00411CD7">
            <w:pPr>
              <w:autoSpaceDE/>
              <w:autoSpaceDN/>
              <w:adjustRightInd/>
              <w:jc w:val="right"/>
              <w:rPr>
                <w:b/>
                <w:bCs/>
                <w:sz w:val="18"/>
                <w:szCs w:val="18"/>
              </w:rPr>
            </w:pPr>
            <w:r w:rsidRPr="00DF6F31">
              <w:rPr>
                <w:sz w:val="18"/>
                <w:szCs w:val="18"/>
              </w:rPr>
              <w:t>RULT</w:t>
            </w:r>
          </w:p>
        </w:tc>
        <w:tc>
          <w:tcPr>
            <w:tcW w:w="1921"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w:t>
            </w:r>
          </w:p>
        </w:tc>
      </w:tr>
      <w:tr w:rsidR="0081081F" w:rsidRPr="00DF6F31" w:rsidTr="001249B4">
        <w:trPr>
          <w:trHeight w:val="27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20.1905(e)</w:t>
            </w:r>
          </w:p>
        </w:tc>
        <w:tc>
          <w:tcPr>
            <w:tcW w:w="11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600</w:t>
            </w:r>
          </w:p>
        </w:tc>
        <w:tc>
          <w:tcPr>
            <w:tcW w:w="10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0.2</w:t>
            </w:r>
          </w:p>
        </w:tc>
        <w:tc>
          <w:tcPr>
            <w:tcW w:w="987"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120</w:t>
            </w:r>
          </w:p>
        </w:tc>
        <w:tc>
          <w:tcPr>
            <w:tcW w:w="1282" w:type="dxa"/>
            <w:tcBorders>
              <w:top w:val="nil"/>
              <w:left w:val="nil"/>
              <w:bottom w:val="single" w:sz="4" w:space="0" w:color="auto"/>
              <w:right w:val="single" w:sz="4" w:space="0" w:color="auto"/>
            </w:tcBorders>
            <w:shd w:val="clear" w:color="auto" w:fill="auto"/>
            <w:hideMark/>
          </w:tcPr>
          <w:p w:rsidR="0081081F" w:rsidRPr="00DF6F31" w:rsidRDefault="0081081F" w:rsidP="00AB5ABB">
            <w:pPr>
              <w:autoSpaceDE/>
              <w:autoSpaceDN/>
              <w:adjustRightInd/>
              <w:jc w:val="right"/>
              <w:rPr>
                <w:sz w:val="18"/>
                <w:szCs w:val="18"/>
              </w:rPr>
            </w:pPr>
            <w:r w:rsidRPr="00DF6F31">
              <w:rPr>
                <w:sz w:val="18"/>
                <w:szCs w:val="18"/>
              </w:rPr>
              <w:t>LOC</w:t>
            </w:r>
            <w:r w:rsidR="00AB5ABB" w:rsidRPr="00DF6F31">
              <w:rPr>
                <w:rStyle w:val="FootnoteReference"/>
                <w:sz w:val="18"/>
                <w:szCs w:val="18"/>
              </w:rPr>
              <w:footnoteReference w:id="2"/>
            </w:r>
          </w:p>
        </w:tc>
        <w:tc>
          <w:tcPr>
            <w:tcW w:w="1921"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sz w:val="18"/>
                <w:szCs w:val="18"/>
              </w:rPr>
            </w:pPr>
            <w:r w:rsidRPr="00DF6F31">
              <w:rPr>
                <w:sz w:val="18"/>
                <w:szCs w:val="18"/>
              </w:rPr>
              <w:t> </w:t>
            </w:r>
          </w:p>
        </w:tc>
      </w:tr>
      <w:tr w:rsidR="0081081F" w:rsidRPr="00DF6F31" w:rsidTr="00411CD7">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20.1906(e)</w:t>
            </w:r>
          </w:p>
        </w:tc>
        <w:tc>
          <w:tcPr>
            <w:tcW w:w="11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1,800</w:t>
            </w:r>
          </w:p>
        </w:tc>
        <w:tc>
          <w:tcPr>
            <w:tcW w:w="10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987"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1,800</w:t>
            </w:r>
          </w:p>
        </w:tc>
        <w:tc>
          <w:tcPr>
            <w:tcW w:w="1282" w:type="dxa"/>
            <w:tcBorders>
              <w:top w:val="nil"/>
              <w:left w:val="nil"/>
              <w:bottom w:val="single" w:sz="4" w:space="0" w:color="auto"/>
              <w:right w:val="single" w:sz="4" w:space="0" w:color="auto"/>
            </w:tcBorders>
            <w:shd w:val="clear" w:color="auto" w:fill="FFFFFF" w:themeFill="background1"/>
            <w:hideMark/>
          </w:tcPr>
          <w:p w:rsidR="0081081F" w:rsidRPr="00DF6F31" w:rsidRDefault="00411CD7" w:rsidP="00411CD7">
            <w:pPr>
              <w:autoSpaceDE/>
              <w:autoSpaceDN/>
              <w:adjustRightInd/>
              <w:jc w:val="right"/>
              <w:rPr>
                <w:b/>
                <w:bCs/>
                <w:sz w:val="18"/>
                <w:szCs w:val="18"/>
              </w:rPr>
            </w:pPr>
            <w:r w:rsidRPr="00DF6F31">
              <w:rPr>
                <w:sz w:val="18"/>
                <w:szCs w:val="18"/>
              </w:rPr>
              <w:t>RULT</w:t>
            </w:r>
          </w:p>
        </w:tc>
        <w:tc>
          <w:tcPr>
            <w:tcW w:w="1921"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sz w:val="18"/>
                <w:szCs w:val="18"/>
              </w:rPr>
            </w:pPr>
            <w:r w:rsidRPr="00DF6F31">
              <w:rPr>
                <w:sz w:val="18"/>
                <w:szCs w:val="18"/>
              </w:rPr>
              <w:t> </w:t>
            </w: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20.2005(c)</w:t>
            </w:r>
          </w:p>
        </w:tc>
        <w:tc>
          <w:tcPr>
            <w:tcW w:w="6387" w:type="dxa"/>
            <w:gridSpan w:val="5"/>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20.2108</w:t>
            </w:r>
          </w:p>
        </w:tc>
      </w:tr>
      <w:tr w:rsidR="0081081F" w:rsidRPr="00DF6F31" w:rsidTr="001249B4">
        <w:trPr>
          <w:trHeight w:val="51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20.2006</w:t>
            </w:r>
          </w:p>
        </w:tc>
        <w:tc>
          <w:tcPr>
            <w:tcW w:w="6387" w:type="dxa"/>
            <w:gridSpan w:val="5"/>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Burden included under Forms 540-542 (OMB clearance nos. 3150-0164, 3150-0166, 3150-0165)</w:t>
            </w:r>
          </w:p>
        </w:tc>
      </w:tr>
      <w:tr w:rsidR="0081081F" w:rsidRPr="00DF6F31" w:rsidTr="001249B4">
        <w:trPr>
          <w:trHeight w:val="48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20.2102(a)&amp;(b)</w:t>
            </w:r>
          </w:p>
        </w:tc>
        <w:tc>
          <w:tcPr>
            <w:tcW w:w="1118"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3,000</w:t>
            </w:r>
          </w:p>
        </w:tc>
        <w:tc>
          <w:tcPr>
            <w:tcW w:w="1079"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4</w:t>
            </w:r>
          </w:p>
        </w:tc>
        <w:tc>
          <w:tcPr>
            <w:tcW w:w="987"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12,000</w:t>
            </w:r>
          </w:p>
        </w:tc>
        <w:tc>
          <w:tcPr>
            <w:tcW w:w="1282"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(a)(1)=RULT, (a)(2)=3 yrs</w:t>
            </w:r>
          </w:p>
        </w:tc>
        <w:tc>
          <w:tcPr>
            <w:tcW w:w="1921"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249B4">
        <w:trPr>
          <w:trHeight w:val="48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20.2103(a)&amp;(b)</w:t>
            </w:r>
          </w:p>
        </w:tc>
        <w:tc>
          <w:tcPr>
            <w:tcW w:w="1118"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3,000</w:t>
            </w:r>
          </w:p>
        </w:tc>
        <w:tc>
          <w:tcPr>
            <w:tcW w:w="1079"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8</w:t>
            </w:r>
          </w:p>
        </w:tc>
        <w:tc>
          <w:tcPr>
            <w:tcW w:w="987"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24,000</w:t>
            </w:r>
          </w:p>
        </w:tc>
        <w:tc>
          <w:tcPr>
            <w:tcW w:w="1282"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(a)=3 yrs, (b)=RULT</w:t>
            </w:r>
          </w:p>
        </w:tc>
        <w:tc>
          <w:tcPr>
            <w:tcW w:w="1921"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 </w:t>
            </w: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20.2104</w:t>
            </w:r>
          </w:p>
        </w:tc>
        <w:tc>
          <w:tcPr>
            <w:tcW w:w="6387" w:type="dxa"/>
            <w:gridSpan w:val="5"/>
            <w:tcBorders>
              <w:top w:val="single" w:sz="4" w:space="0" w:color="auto"/>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see § 20.2106</w:t>
            </w: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20.2105</w:t>
            </w:r>
          </w:p>
        </w:tc>
        <w:tc>
          <w:tcPr>
            <w:tcW w:w="11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0</w:t>
            </w:r>
          </w:p>
        </w:tc>
        <w:tc>
          <w:tcPr>
            <w:tcW w:w="10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w:t>
            </w:r>
          </w:p>
        </w:tc>
        <w:tc>
          <w:tcPr>
            <w:tcW w:w="987"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0</w:t>
            </w:r>
          </w:p>
        </w:tc>
        <w:tc>
          <w:tcPr>
            <w:tcW w:w="128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RULT</w:t>
            </w:r>
          </w:p>
        </w:tc>
        <w:tc>
          <w:tcPr>
            <w:tcW w:w="1921"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none expected</w:t>
            </w: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20.2106</w:t>
            </w:r>
            <w:r w:rsidR="00733089" w:rsidRPr="00DF6F31">
              <w:rPr>
                <w:color w:val="000000"/>
                <w:sz w:val="18"/>
                <w:szCs w:val="18"/>
              </w:rPr>
              <w:t xml:space="preserve"> (records of dose)</w:t>
            </w:r>
          </w:p>
        </w:tc>
        <w:tc>
          <w:tcPr>
            <w:tcW w:w="6387" w:type="dxa"/>
            <w:gridSpan w:val="5"/>
            <w:tcBorders>
              <w:top w:val="single" w:sz="4" w:space="0" w:color="auto"/>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Burden included under NRC Forms 4 &amp; 5 (OMB clearance nos. 3150-0005 &amp; 3150-0006)</w:t>
            </w:r>
          </w:p>
        </w:tc>
      </w:tr>
      <w:tr w:rsidR="0081081F" w:rsidRPr="00DF6F31" w:rsidTr="001249B4">
        <w:trPr>
          <w:trHeight w:val="48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20.2106 (declaration of pregnancy)</w:t>
            </w:r>
          </w:p>
        </w:tc>
        <w:tc>
          <w:tcPr>
            <w:tcW w:w="11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150</w:t>
            </w:r>
          </w:p>
        </w:tc>
        <w:tc>
          <w:tcPr>
            <w:tcW w:w="10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w:t>
            </w:r>
          </w:p>
        </w:tc>
        <w:tc>
          <w:tcPr>
            <w:tcW w:w="987"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150</w:t>
            </w:r>
          </w:p>
        </w:tc>
        <w:tc>
          <w:tcPr>
            <w:tcW w:w="128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RULT</w:t>
            </w:r>
          </w:p>
        </w:tc>
        <w:tc>
          <w:tcPr>
            <w:tcW w:w="1921"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 </w:t>
            </w: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20.2107(a)</w:t>
            </w:r>
          </w:p>
        </w:tc>
        <w:tc>
          <w:tcPr>
            <w:tcW w:w="1118"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3,000</w:t>
            </w:r>
          </w:p>
        </w:tc>
        <w:tc>
          <w:tcPr>
            <w:tcW w:w="10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5</w:t>
            </w:r>
          </w:p>
        </w:tc>
        <w:tc>
          <w:tcPr>
            <w:tcW w:w="987"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15,000</w:t>
            </w:r>
          </w:p>
        </w:tc>
        <w:tc>
          <w:tcPr>
            <w:tcW w:w="128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RULT</w:t>
            </w:r>
          </w:p>
        </w:tc>
        <w:tc>
          <w:tcPr>
            <w:tcW w:w="1921"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w:t>
            </w: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20.2108(a)</w:t>
            </w:r>
            <w:r w:rsidR="00D83A14" w:rsidRPr="00DF6F31">
              <w:rPr>
                <w:color w:val="000000"/>
                <w:sz w:val="18"/>
                <w:szCs w:val="18"/>
              </w:rPr>
              <w:t>&amp;(b)</w:t>
            </w:r>
          </w:p>
        </w:tc>
        <w:tc>
          <w:tcPr>
            <w:tcW w:w="1118" w:type="dxa"/>
            <w:tcBorders>
              <w:top w:val="nil"/>
              <w:left w:val="nil"/>
              <w:bottom w:val="single" w:sz="4" w:space="0" w:color="auto"/>
              <w:right w:val="single" w:sz="4" w:space="0" w:color="auto"/>
            </w:tcBorders>
            <w:shd w:val="clear" w:color="auto" w:fill="auto"/>
            <w:vAlign w:val="bottom"/>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3,000</w:t>
            </w:r>
          </w:p>
        </w:tc>
        <w:tc>
          <w:tcPr>
            <w:tcW w:w="10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8</w:t>
            </w:r>
          </w:p>
        </w:tc>
        <w:tc>
          <w:tcPr>
            <w:tcW w:w="987"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24,000</w:t>
            </w:r>
          </w:p>
        </w:tc>
        <w:tc>
          <w:tcPr>
            <w:tcW w:w="128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RULT</w:t>
            </w:r>
          </w:p>
        </w:tc>
        <w:tc>
          <w:tcPr>
            <w:tcW w:w="1921"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w:t>
            </w:r>
          </w:p>
        </w:tc>
      </w:tr>
      <w:tr w:rsidR="0081081F" w:rsidRPr="00DF6F31" w:rsidTr="001868B0">
        <w:trPr>
          <w:trHeight w:val="510"/>
          <w:jc w:val="center"/>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rPr>
                <w:color w:val="000000"/>
                <w:sz w:val="18"/>
                <w:szCs w:val="18"/>
              </w:rPr>
            </w:pPr>
            <w:r w:rsidRPr="00DF6F31">
              <w:rPr>
                <w:color w:val="000000"/>
                <w:sz w:val="18"/>
                <w:szCs w:val="18"/>
              </w:rPr>
              <w:t>20.211</w:t>
            </w:r>
            <w:r w:rsidR="001868B0" w:rsidRPr="00DF6F31">
              <w:rPr>
                <w:color w:val="000000"/>
                <w:sz w:val="18"/>
                <w:szCs w:val="18"/>
              </w:rPr>
              <w:t>0</w:t>
            </w:r>
          </w:p>
        </w:tc>
        <w:tc>
          <w:tcPr>
            <w:tcW w:w="6387" w:type="dxa"/>
            <w:gridSpan w:val="5"/>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center"/>
              <w:rPr>
                <w:color w:val="000000"/>
                <w:sz w:val="18"/>
                <w:szCs w:val="18"/>
              </w:rPr>
            </w:pPr>
            <w:r w:rsidRPr="00DF6F31">
              <w:rPr>
                <w:color w:val="000000"/>
                <w:sz w:val="18"/>
                <w:szCs w:val="18"/>
              </w:rPr>
              <w:t>No additional burden (included in 20.2102 through 20.2108)</w:t>
            </w:r>
          </w:p>
        </w:tc>
      </w:tr>
      <w:tr w:rsidR="0081081F" w:rsidRPr="00DF6F31" w:rsidTr="001868B0">
        <w:trPr>
          <w:trHeight w:val="48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20.2207(a), (b), (c), (d), (e)</w:t>
            </w:r>
          </w:p>
        </w:tc>
        <w:tc>
          <w:tcPr>
            <w:tcW w:w="6387" w:type="dxa"/>
            <w:gridSpan w:val="5"/>
            <w:tcBorders>
              <w:top w:val="single" w:sz="4" w:space="0" w:color="auto"/>
              <w:left w:val="nil"/>
              <w:bottom w:val="single" w:sz="4" w:space="0" w:color="auto"/>
              <w:right w:val="single" w:sz="4" w:space="0" w:color="auto"/>
            </w:tcBorders>
            <w:shd w:val="clear" w:color="auto" w:fill="auto"/>
            <w:vAlign w:val="center"/>
            <w:hideMark/>
          </w:tcPr>
          <w:p w:rsidR="0081081F" w:rsidRPr="00DF6F31" w:rsidRDefault="0081081F" w:rsidP="001868B0">
            <w:pPr>
              <w:autoSpaceDE/>
              <w:autoSpaceDN/>
              <w:adjustRightInd/>
              <w:jc w:val="center"/>
              <w:rPr>
                <w:color w:val="000000"/>
                <w:sz w:val="18"/>
                <w:szCs w:val="18"/>
              </w:rPr>
            </w:pPr>
            <w:r w:rsidRPr="00DF6F31">
              <w:rPr>
                <w:color w:val="000000"/>
                <w:sz w:val="18"/>
                <w:szCs w:val="18"/>
              </w:rPr>
              <w:t>Burden included in OMB clearance for NRC Form 748 (3150-0202)</w:t>
            </w:r>
          </w:p>
        </w:tc>
      </w:tr>
      <w:tr w:rsidR="0081081F" w:rsidRPr="00DF6F31" w:rsidTr="001249B4">
        <w:trPr>
          <w:trHeight w:val="14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color w:val="000000"/>
                <w:sz w:val="18"/>
                <w:szCs w:val="18"/>
              </w:rPr>
            </w:pPr>
            <w:r w:rsidRPr="00DF6F31">
              <w:rPr>
                <w:color w:val="000000"/>
                <w:sz w:val="18"/>
                <w:szCs w:val="18"/>
              </w:rPr>
              <w:t>App.  G</w:t>
            </w:r>
          </w:p>
        </w:tc>
        <w:tc>
          <w:tcPr>
            <w:tcW w:w="11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3</w:t>
            </w:r>
          </w:p>
        </w:tc>
        <w:tc>
          <w:tcPr>
            <w:tcW w:w="10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160</w:t>
            </w:r>
          </w:p>
        </w:tc>
        <w:tc>
          <w:tcPr>
            <w:tcW w:w="987"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color w:val="000000"/>
                <w:sz w:val="18"/>
                <w:szCs w:val="18"/>
              </w:rPr>
            </w:pPr>
            <w:r w:rsidRPr="00DF6F31">
              <w:rPr>
                <w:color w:val="000000"/>
                <w:sz w:val="18"/>
                <w:szCs w:val="18"/>
              </w:rPr>
              <w:t>480</w:t>
            </w:r>
          </w:p>
        </w:tc>
        <w:tc>
          <w:tcPr>
            <w:tcW w:w="1282" w:type="dxa"/>
            <w:tcBorders>
              <w:top w:val="nil"/>
              <w:left w:val="nil"/>
              <w:bottom w:val="single" w:sz="4" w:space="0" w:color="auto"/>
              <w:right w:val="single" w:sz="4" w:space="0" w:color="auto"/>
            </w:tcBorders>
            <w:shd w:val="clear" w:color="auto" w:fill="auto"/>
            <w:hideMark/>
          </w:tcPr>
          <w:p w:rsidR="0081081F" w:rsidRPr="00DF6F31" w:rsidRDefault="00861788" w:rsidP="0081081F">
            <w:pPr>
              <w:autoSpaceDE/>
              <w:autoSpaceDN/>
              <w:adjustRightInd/>
              <w:jc w:val="right"/>
              <w:rPr>
                <w:color w:val="000000"/>
                <w:sz w:val="18"/>
                <w:szCs w:val="18"/>
              </w:rPr>
            </w:pPr>
            <w:r w:rsidRPr="00DF6F31">
              <w:rPr>
                <w:color w:val="000000"/>
                <w:sz w:val="18"/>
                <w:szCs w:val="18"/>
              </w:rPr>
              <w:t>RULT</w:t>
            </w:r>
            <w:r w:rsidR="0081081F" w:rsidRPr="00DF6F31">
              <w:rPr>
                <w:color w:val="000000"/>
                <w:sz w:val="18"/>
                <w:szCs w:val="18"/>
              </w:rPr>
              <w:t> </w:t>
            </w:r>
          </w:p>
        </w:tc>
        <w:tc>
          <w:tcPr>
            <w:tcW w:w="1921"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Burden for Sections I and II included under NRC Forms 540-542 (OMB clearance nos. 3150-0164, 3150-0166, 3150-0165)</w:t>
            </w:r>
          </w:p>
        </w:tc>
      </w:tr>
      <w:tr w:rsidR="0081081F" w:rsidRPr="00DF6F31" w:rsidTr="001249B4">
        <w:trPr>
          <w:trHeight w:val="240"/>
          <w:jc w:val="center"/>
        </w:trPr>
        <w:tc>
          <w:tcPr>
            <w:tcW w:w="2093" w:type="dxa"/>
            <w:tcBorders>
              <w:top w:val="nil"/>
              <w:left w:val="single" w:sz="4" w:space="0" w:color="auto"/>
              <w:bottom w:val="single" w:sz="4" w:space="0" w:color="auto"/>
              <w:right w:val="single" w:sz="4" w:space="0" w:color="auto"/>
            </w:tcBorders>
            <w:shd w:val="clear" w:color="auto" w:fill="auto"/>
            <w:hideMark/>
          </w:tcPr>
          <w:p w:rsidR="0081081F" w:rsidRPr="00DF6F31" w:rsidRDefault="0081081F" w:rsidP="0081081F">
            <w:pPr>
              <w:autoSpaceDE/>
              <w:autoSpaceDN/>
              <w:adjustRightInd/>
              <w:rPr>
                <w:b/>
                <w:bCs/>
                <w:color w:val="000000"/>
                <w:sz w:val="18"/>
                <w:szCs w:val="18"/>
              </w:rPr>
            </w:pPr>
            <w:r w:rsidRPr="00DF6F31">
              <w:rPr>
                <w:b/>
                <w:bCs/>
                <w:color w:val="000000"/>
                <w:sz w:val="18"/>
                <w:szCs w:val="18"/>
              </w:rPr>
              <w:t>TOTAL</w:t>
            </w:r>
          </w:p>
        </w:tc>
        <w:tc>
          <w:tcPr>
            <w:tcW w:w="1118"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b/>
                <w:bCs/>
                <w:color w:val="000000"/>
                <w:sz w:val="18"/>
                <w:szCs w:val="18"/>
              </w:rPr>
            </w:pPr>
            <w:r w:rsidRPr="00DF6F31">
              <w:rPr>
                <w:b/>
                <w:bCs/>
                <w:color w:val="000000"/>
                <w:sz w:val="18"/>
                <w:szCs w:val="18"/>
              </w:rPr>
              <w:t>3,000</w:t>
            </w:r>
          </w:p>
        </w:tc>
        <w:tc>
          <w:tcPr>
            <w:tcW w:w="1079"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b/>
                <w:bCs/>
                <w:color w:val="000000"/>
                <w:sz w:val="18"/>
                <w:szCs w:val="18"/>
              </w:rPr>
            </w:pPr>
            <w:r w:rsidRPr="00DF6F31">
              <w:rPr>
                <w:b/>
                <w:bCs/>
                <w:color w:val="000000"/>
                <w:sz w:val="18"/>
                <w:szCs w:val="18"/>
              </w:rPr>
              <w:t> </w:t>
            </w:r>
          </w:p>
        </w:tc>
        <w:tc>
          <w:tcPr>
            <w:tcW w:w="987"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b/>
                <w:bCs/>
                <w:color w:val="000000"/>
                <w:sz w:val="18"/>
                <w:szCs w:val="18"/>
              </w:rPr>
            </w:pPr>
            <w:r w:rsidRPr="00DF6F31">
              <w:rPr>
                <w:b/>
                <w:bCs/>
                <w:color w:val="000000"/>
                <w:sz w:val="18"/>
                <w:szCs w:val="18"/>
              </w:rPr>
              <w:t>85,685</w:t>
            </w:r>
          </w:p>
        </w:tc>
        <w:tc>
          <w:tcPr>
            <w:tcW w:w="1282"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right"/>
              <w:rPr>
                <w:b/>
                <w:bCs/>
                <w:color w:val="000000"/>
                <w:sz w:val="18"/>
                <w:szCs w:val="18"/>
              </w:rPr>
            </w:pPr>
            <w:r w:rsidRPr="00DF6F31">
              <w:rPr>
                <w:b/>
                <w:bCs/>
                <w:color w:val="000000"/>
                <w:sz w:val="18"/>
                <w:szCs w:val="18"/>
              </w:rPr>
              <w:t> </w:t>
            </w:r>
          </w:p>
        </w:tc>
        <w:tc>
          <w:tcPr>
            <w:tcW w:w="1921" w:type="dxa"/>
            <w:tcBorders>
              <w:top w:val="nil"/>
              <w:left w:val="nil"/>
              <w:bottom w:val="single" w:sz="4" w:space="0" w:color="auto"/>
              <w:right w:val="single" w:sz="4" w:space="0" w:color="auto"/>
            </w:tcBorders>
            <w:shd w:val="clear" w:color="auto" w:fill="auto"/>
            <w:hideMark/>
          </w:tcPr>
          <w:p w:rsidR="0081081F" w:rsidRPr="00DF6F31" w:rsidRDefault="0081081F" w:rsidP="0081081F">
            <w:pPr>
              <w:autoSpaceDE/>
              <w:autoSpaceDN/>
              <w:adjustRightInd/>
              <w:jc w:val="center"/>
              <w:rPr>
                <w:color w:val="000000"/>
                <w:sz w:val="18"/>
                <w:szCs w:val="18"/>
              </w:rPr>
            </w:pPr>
            <w:r w:rsidRPr="00DF6F31">
              <w:rPr>
                <w:color w:val="000000"/>
                <w:sz w:val="18"/>
                <w:szCs w:val="18"/>
              </w:rPr>
              <w:t> </w:t>
            </w:r>
          </w:p>
        </w:tc>
      </w:tr>
    </w:tbl>
    <w:p w:rsidR="0081081F" w:rsidRPr="00DF6F31" w:rsidRDefault="0081081F" w:rsidP="0081081F">
      <w:pPr>
        <w:numPr>
          <w:ilvl w:val="12"/>
          <w:numId w:val="0"/>
        </w:numPr>
      </w:pPr>
    </w:p>
    <w:p w:rsidR="00836A1B" w:rsidRPr="00DF6F31" w:rsidRDefault="00836A1B" w:rsidP="00836A1B">
      <w:pPr>
        <w:numPr>
          <w:ilvl w:val="12"/>
          <w:numId w:val="0"/>
        </w:numPr>
        <w:jc w:val="center"/>
      </w:pPr>
      <w:r w:rsidRPr="00DF6F31">
        <w:br w:type="page"/>
      </w:r>
      <w:r w:rsidRPr="00DF6F31">
        <w:lastRenderedPageBreak/>
        <w:t xml:space="preserve">TABLE </w:t>
      </w:r>
      <w:r w:rsidR="00075D93" w:rsidRPr="00DF6F31">
        <w:t>6</w:t>
      </w:r>
    </w:p>
    <w:p w:rsidR="00836A1B" w:rsidRPr="00DF6F31" w:rsidRDefault="00836A1B" w:rsidP="00836A1B">
      <w:pPr>
        <w:numPr>
          <w:ilvl w:val="12"/>
          <w:numId w:val="0"/>
        </w:numPr>
        <w:jc w:val="center"/>
      </w:pPr>
      <w:r w:rsidRPr="00DF6F31">
        <w:t>RECORDKEEPING BURDEN</w:t>
      </w:r>
      <w:r w:rsidR="00075D93" w:rsidRPr="00DF6F31">
        <w:t xml:space="preserve"> FOR AGREEMENT STATE LICENSEES</w:t>
      </w:r>
    </w:p>
    <w:p w:rsidR="00441EDE" w:rsidRPr="00DF6F31" w:rsidRDefault="00441EDE">
      <w:pPr>
        <w:autoSpaceDE/>
        <w:autoSpaceDN/>
        <w:adjustRightInd/>
      </w:pPr>
    </w:p>
    <w:tbl>
      <w:tblPr>
        <w:tblW w:w="8765" w:type="dxa"/>
        <w:jc w:val="center"/>
        <w:tblInd w:w="-72" w:type="dxa"/>
        <w:tblLook w:val="04A0"/>
      </w:tblPr>
      <w:tblGrid>
        <w:gridCol w:w="2269"/>
        <w:gridCol w:w="1119"/>
        <w:gridCol w:w="1079"/>
        <w:gridCol w:w="1078"/>
        <w:gridCol w:w="1282"/>
        <w:gridCol w:w="1938"/>
      </w:tblGrid>
      <w:tr w:rsidR="00075D93" w:rsidRPr="00DF6F31" w:rsidTr="001249B4">
        <w:trPr>
          <w:trHeight w:val="960"/>
          <w:jc w:val="center"/>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D93" w:rsidRPr="00DF6F31" w:rsidRDefault="00075D93" w:rsidP="00075D93">
            <w:pPr>
              <w:autoSpaceDE/>
              <w:autoSpaceDN/>
              <w:adjustRightInd/>
              <w:jc w:val="center"/>
              <w:rPr>
                <w:b/>
                <w:bCs/>
                <w:color w:val="000000"/>
                <w:sz w:val="18"/>
                <w:szCs w:val="18"/>
              </w:rPr>
            </w:pPr>
            <w:r w:rsidRPr="00DF6F31">
              <w:rPr>
                <w:b/>
                <w:bCs/>
                <w:color w:val="000000"/>
                <w:sz w:val="18"/>
                <w:szCs w:val="18"/>
              </w:rPr>
              <w:t>SECTION</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075D93" w:rsidRPr="00DF6F31" w:rsidRDefault="00075D93" w:rsidP="00075D93">
            <w:pPr>
              <w:autoSpaceDE/>
              <w:autoSpaceDN/>
              <w:adjustRightInd/>
              <w:jc w:val="center"/>
              <w:rPr>
                <w:b/>
                <w:bCs/>
                <w:color w:val="000000"/>
                <w:sz w:val="18"/>
                <w:szCs w:val="18"/>
              </w:rPr>
            </w:pPr>
            <w:r w:rsidRPr="00DF6F31">
              <w:rPr>
                <w:b/>
                <w:bCs/>
                <w:color w:val="000000"/>
                <w:sz w:val="18"/>
                <w:szCs w:val="18"/>
              </w:rPr>
              <w:t>NO. OF RECORD-KEEPERS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rsidR="00075D93" w:rsidRPr="00DF6F31" w:rsidRDefault="00075D93" w:rsidP="00075D93">
            <w:pPr>
              <w:autoSpaceDE/>
              <w:autoSpaceDN/>
              <w:adjustRightInd/>
              <w:jc w:val="center"/>
              <w:rPr>
                <w:b/>
                <w:bCs/>
                <w:color w:val="000000"/>
                <w:sz w:val="18"/>
                <w:szCs w:val="18"/>
              </w:rPr>
            </w:pPr>
            <w:r w:rsidRPr="00DF6F31">
              <w:rPr>
                <w:b/>
                <w:bCs/>
                <w:color w:val="000000"/>
                <w:sz w:val="18"/>
                <w:szCs w:val="18"/>
              </w:rPr>
              <w:t>BURDEN PER RECORD-KEEPER</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075D93" w:rsidRPr="00DF6F31" w:rsidRDefault="00075D93" w:rsidP="00075D93">
            <w:pPr>
              <w:autoSpaceDE/>
              <w:autoSpaceDN/>
              <w:adjustRightInd/>
              <w:jc w:val="center"/>
              <w:rPr>
                <w:b/>
                <w:bCs/>
                <w:color w:val="000000"/>
                <w:sz w:val="18"/>
                <w:szCs w:val="18"/>
              </w:rPr>
            </w:pPr>
            <w:r w:rsidRPr="00DF6F31">
              <w:rPr>
                <w:b/>
                <w:bCs/>
                <w:color w:val="000000"/>
                <w:sz w:val="18"/>
                <w:szCs w:val="18"/>
              </w:rPr>
              <w:t xml:space="preserve"> TOTAL ANNUAL BURDEN </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075D93" w:rsidRPr="00DF6F31" w:rsidRDefault="00075D93" w:rsidP="00075D93">
            <w:pPr>
              <w:autoSpaceDE/>
              <w:autoSpaceDN/>
              <w:adjustRightInd/>
              <w:jc w:val="center"/>
              <w:rPr>
                <w:b/>
                <w:bCs/>
                <w:color w:val="000000"/>
                <w:sz w:val="18"/>
                <w:szCs w:val="18"/>
              </w:rPr>
            </w:pPr>
            <w:r w:rsidRPr="00DF6F31">
              <w:rPr>
                <w:b/>
                <w:bCs/>
                <w:color w:val="000000"/>
                <w:sz w:val="18"/>
                <w:szCs w:val="18"/>
              </w:rPr>
              <w:t>RECORD RETENTION</w:t>
            </w:r>
          </w:p>
        </w:tc>
        <w:tc>
          <w:tcPr>
            <w:tcW w:w="1938" w:type="dxa"/>
            <w:tcBorders>
              <w:top w:val="single" w:sz="4" w:space="0" w:color="auto"/>
              <w:left w:val="nil"/>
              <w:bottom w:val="single" w:sz="4" w:space="0" w:color="auto"/>
              <w:right w:val="single" w:sz="4" w:space="0" w:color="auto"/>
            </w:tcBorders>
            <w:shd w:val="clear" w:color="auto" w:fill="auto"/>
            <w:vAlign w:val="center"/>
            <w:hideMark/>
          </w:tcPr>
          <w:p w:rsidR="00075D93" w:rsidRPr="00DF6F31" w:rsidRDefault="00075D93" w:rsidP="00075D93">
            <w:pPr>
              <w:autoSpaceDE/>
              <w:autoSpaceDN/>
              <w:adjustRightInd/>
              <w:jc w:val="center"/>
              <w:rPr>
                <w:b/>
                <w:bCs/>
                <w:color w:val="000000"/>
                <w:sz w:val="18"/>
                <w:szCs w:val="18"/>
              </w:rPr>
            </w:pPr>
            <w:r w:rsidRPr="00DF6F31">
              <w:rPr>
                <w:b/>
                <w:bCs/>
                <w:color w:val="000000"/>
                <w:sz w:val="18"/>
                <w:szCs w:val="18"/>
              </w:rPr>
              <w:t xml:space="preserve">NOTES                                                   </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20.1101(a)</w:t>
            </w:r>
          </w:p>
        </w:tc>
        <w:tc>
          <w:tcPr>
            <w:tcW w:w="6496" w:type="dxa"/>
            <w:gridSpan w:val="5"/>
            <w:tcBorders>
              <w:top w:val="single" w:sz="4" w:space="0" w:color="auto"/>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see § 20.2102</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20.1202</w:t>
            </w:r>
          </w:p>
        </w:tc>
        <w:tc>
          <w:tcPr>
            <w:tcW w:w="6496" w:type="dxa"/>
            <w:gridSpan w:val="5"/>
            <w:tcBorders>
              <w:top w:val="single" w:sz="4" w:space="0" w:color="auto"/>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see § 20.2106</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20.1203</w:t>
            </w:r>
          </w:p>
        </w:tc>
        <w:tc>
          <w:tcPr>
            <w:tcW w:w="6496" w:type="dxa"/>
            <w:gridSpan w:val="5"/>
            <w:tcBorders>
              <w:top w:val="single" w:sz="4" w:space="0" w:color="auto"/>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see § 20.2106</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20.1204</w:t>
            </w:r>
          </w:p>
        </w:tc>
        <w:tc>
          <w:tcPr>
            <w:tcW w:w="6496" w:type="dxa"/>
            <w:gridSpan w:val="5"/>
            <w:tcBorders>
              <w:top w:val="single" w:sz="4" w:space="0" w:color="auto"/>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see § 20.2106</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20.1206</w:t>
            </w:r>
          </w:p>
        </w:tc>
        <w:tc>
          <w:tcPr>
            <w:tcW w:w="6496" w:type="dxa"/>
            <w:gridSpan w:val="5"/>
            <w:tcBorders>
              <w:top w:val="single" w:sz="4" w:space="0" w:color="auto"/>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see § 20.2105</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20.1208</w:t>
            </w:r>
          </w:p>
        </w:tc>
        <w:tc>
          <w:tcPr>
            <w:tcW w:w="6496" w:type="dxa"/>
            <w:gridSpan w:val="5"/>
            <w:tcBorders>
              <w:top w:val="single" w:sz="4" w:space="0" w:color="auto"/>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see § 20.2106</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20.1403(d)</w:t>
            </w:r>
          </w:p>
        </w:tc>
        <w:tc>
          <w:tcPr>
            <w:tcW w:w="111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18</w:t>
            </w:r>
          </w:p>
        </w:tc>
        <w:tc>
          <w:tcPr>
            <w:tcW w:w="107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20</w:t>
            </w:r>
          </w:p>
        </w:tc>
        <w:tc>
          <w:tcPr>
            <w:tcW w:w="107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360 </w:t>
            </w:r>
          </w:p>
        </w:tc>
        <w:tc>
          <w:tcPr>
            <w:tcW w:w="1282"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sz w:val="18"/>
                <w:szCs w:val="18"/>
                <w:u w:val="single"/>
              </w:rPr>
            </w:pPr>
            <w:r w:rsidRPr="00DF6F31">
              <w:rPr>
                <w:color w:val="000000"/>
                <w:sz w:val="18"/>
                <w:szCs w:val="18"/>
              </w:rPr>
              <w:t>RULT</w:t>
            </w:r>
            <w:r w:rsidRPr="00DF6F31">
              <w:rPr>
                <w:rStyle w:val="FootnoteReference"/>
                <w:color w:val="000000"/>
                <w:sz w:val="18"/>
                <w:szCs w:val="18"/>
              </w:rPr>
              <w:footnoteReference w:id="3"/>
            </w:r>
          </w:p>
        </w:tc>
        <w:tc>
          <w:tcPr>
            <w:tcW w:w="193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sz w:val="18"/>
                <w:szCs w:val="18"/>
              </w:rPr>
            </w:pPr>
            <w:r w:rsidRPr="00DF6F31">
              <w:rPr>
                <w:sz w:val="18"/>
                <w:szCs w:val="18"/>
              </w:rPr>
              <w:t> </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20.1501</w:t>
            </w:r>
          </w:p>
        </w:tc>
        <w:tc>
          <w:tcPr>
            <w:tcW w:w="6496" w:type="dxa"/>
            <w:gridSpan w:val="5"/>
            <w:tcBorders>
              <w:top w:val="single" w:sz="4" w:space="0" w:color="auto"/>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see § 20.2103</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20.1703(c)(2)</w:t>
            </w:r>
          </w:p>
        </w:tc>
        <w:tc>
          <w:tcPr>
            <w:tcW w:w="6496" w:type="dxa"/>
            <w:gridSpan w:val="5"/>
            <w:tcBorders>
              <w:top w:val="single" w:sz="4" w:space="0" w:color="auto"/>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see § 20.2103</w:t>
            </w:r>
          </w:p>
        </w:tc>
      </w:tr>
      <w:tr w:rsidR="00075D93" w:rsidRPr="00DF6F31" w:rsidTr="001249B4">
        <w:trPr>
          <w:trHeight w:val="27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20.1703(c)(4)</w:t>
            </w:r>
          </w:p>
        </w:tc>
        <w:tc>
          <w:tcPr>
            <w:tcW w:w="111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600 </w:t>
            </w:r>
          </w:p>
        </w:tc>
        <w:tc>
          <w:tcPr>
            <w:tcW w:w="107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80</w:t>
            </w:r>
          </w:p>
        </w:tc>
        <w:tc>
          <w:tcPr>
            <w:tcW w:w="107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48,000 </w:t>
            </w:r>
          </w:p>
        </w:tc>
        <w:tc>
          <w:tcPr>
            <w:tcW w:w="1282"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RULT</w:t>
            </w:r>
          </w:p>
        </w:tc>
        <w:tc>
          <w:tcPr>
            <w:tcW w:w="193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 </w:t>
            </w:r>
          </w:p>
        </w:tc>
      </w:tr>
      <w:tr w:rsidR="00075D93" w:rsidRPr="00DF6F31" w:rsidTr="00411CD7">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20.1901</w:t>
            </w:r>
          </w:p>
        </w:tc>
        <w:tc>
          <w:tcPr>
            <w:tcW w:w="111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4,500 </w:t>
            </w:r>
          </w:p>
        </w:tc>
        <w:tc>
          <w:tcPr>
            <w:tcW w:w="1079" w:type="dxa"/>
            <w:tcBorders>
              <w:top w:val="nil"/>
              <w:left w:val="nil"/>
              <w:bottom w:val="single" w:sz="4" w:space="0" w:color="auto"/>
              <w:right w:val="single" w:sz="4" w:space="0" w:color="auto"/>
            </w:tcBorders>
            <w:shd w:val="clear" w:color="auto" w:fill="auto"/>
            <w:vAlign w:val="bottom"/>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0.1</w:t>
            </w:r>
          </w:p>
        </w:tc>
        <w:tc>
          <w:tcPr>
            <w:tcW w:w="107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450 </w:t>
            </w:r>
          </w:p>
        </w:tc>
        <w:tc>
          <w:tcPr>
            <w:tcW w:w="1282" w:type="dxa"/>
            <w:tcBorders>
              <w:top w:val="nil"/>
              <w:left w:val="nil"/>
              <w:bottom w:val="single" w:sz="4" w:space="0" w:color="auto"/>
              <w:right w:val="single" w:sz="4" w:space="0" w:color="auto"/>
            </w:tcBorders>
            <w:shd w:val="clear" w:color="auto" w:fill="FFFFFF" w:themeFill="background1"/>
            <w:hideMark/>
          </w:tcPr>
          <w:p w:rsidR="00075D93" w:rsidRPr="00DF6F31" w:rsidRDefault="00411CD7" w:rsidP="00075D93">
            <w:pPr>
              <w:autoSpaceDE/>
              <w:autoSpaceDN/>
              <w:adjustRightInd/>
              <w:jc w:val="right"/>
              <w:rPr>
                <w:b/>
                <w:bCs/>
                <w:sz w:val="18"/>
                <w:szCs w:val="18"/>
              </w:rPr>
            </w:pPr>
            <w:r w:rsidRPr="00DF6F31">
              <w:rPr>
                <w:color w:val="000000"/>
                <w:sz w:val="18"/>
                <w:szCs w:val="18"/>
              </w:rPr>
              <w:t>RULT</w:t>
            </w:r>
          </w:p>
        </w:tc>
        <w:tc>
          <w:tcPr>
            <w:tcW w:w="193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sz w:val="18"/>
                <w:szCs w:val="18"/>
              </w:rPr>
            </w:pPr>
            <w:r w:rsidRPr="00DF6F31">
              <w:rPr>
                <w:sz w:val="18"/>
                <w:szCs w:val="18"/>
              </w:rPr>
              <w:t> </w:t>
            </w:r>
          </w:p>
        </w:tc>
      </w:tr>
      <w:tr w:rsidR="00075D93" w:rsidRPr="00DF6F31" w:rsidTr="00411CD7">
        <w:trPr>
          <w:trHeight w:val="27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20.1905(e)</w:t>
            </w:r>
          </w:p>
        </w:tc>
        <w:tc>
          <w:tcPr>
            <w:tcW w:w="111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3,600 </w:t>
            </w:r>
          </w:p>
        </w:tc>
        <w:tc>
          <w:tcPr>
            <w:tcW w:w="107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0.2</w:t>
            </w:r>
          </w:p>
        </w:tc>
        <w:tc>
          <w:tcPr>
            <w:tcW w:w="107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720 </w:t>
            </w:r>
          </w:p>
        </w:tc>
        <w:tc>
          <w:tcPr>
            <w:tcW w:w="1282" w:type="dxa"/>
            <w:tcBorders>
              <w:top w:val="nil"/>
              <w:left w:val="nil"/>
              <w:bottom w:val="single" w:sz="4" w:space="0" w:color="auto"/>
              <w:right w:val="single" w:sz="4" w:space="0" w:color="auto"/>
            </w:tcBorders>
            <w:shd w:val="clear" w:color="auto" w:fill="FFFFFF" w:themeFill="background1"/>
            <w:hideMark/>
          </w:tcPr>
          <w:p w:rsidR="00075D93" w:rsidRPr="00DF6F31" w:rsidRDefault="00075D93" w:rsidP="00AB5ABB">
            <w:pPr>
              <w:autoSpaceDE/>
              <w:autoSpaceDN/>
              <w:adjustRightInd/>
              <w:jc w:val="right"/>
              <w:rPr>
                <w:sz w:val="18"/>
                <w:szCs w:val="18"/>
              </w:rPr>
            </w:pPr>
            <w:r w:rsidRPr="00DF6F31">
              <w:rPr>
                <w:sz w:val="18"/>
                <w:szCs w:val="18"/>
              </w:rPr>
              <w:t>LOC</w:t>
            </w:r>
            <w:r w:rsidR="00AB5ABB" w:rsidRPr="00DF6F31">
              <w:rPr>
                <w:rStyle w:val="FootnoteReference"/>
                <w:sz w:val="18"/>
                <w:szCs w:val="18"/>
              </w:rPr>
              <w:footnoteReference w:id="4"/>
            </w:r>
          </w:p>
        </w:tc>
        <w:tc>
          <w:tcPr>
            <w:tcW w:w="193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sz w:val="18"/>
                <w:szCs w:val="18"/>
              </w:rPr>
            </w:pPr>
            <w:r w:rsidRPr="00DF6F31">
              <w:rPr>
                <w:sz w:val="18"/>
                <w:szCs w:val="18"/>
              </w:rPr>
              <w:t> </w:t>
            </w:r>
          </w:p>
        </w:tc>
      </w:tr>
      <w:tr w:rsidR="00075D93" w:rsidRPr="00DF6F31" w:rsidTr="00411CD7">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20.1906(e)</w:t>
            </w:r>
          </w:p>
        </w:tc>
        <w:tc>
          <w:tcPr>
            <w:tcW w:w="111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10,800 </w:t>
            </w:r>
          </w:p>
        </w:tc>
        <w:tc>
          <w:tcPr>
            <w:tcW w:w="107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1</w:t>
            </w:r>
          </w:p>
        </w:tc>
        <w:tc>
          <w:tcPr>
            <w:tcW w:w="107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10,800 </w:t>
            </w:r>
          </w:p>
        </w:tc>
        <w:tc>
          <w:tcPr>
            <w:tcW w:w="1282" w:type="dxa"/>
            <w:tcBorders>
              <w:top w:val="nil"/>
              <w:left w:val="nil"/>
              <w:bottom w:val="single" w:sz="4" w:space="0" w:color="auto"/>
              <w:right w:val="single" w:sz="4" w:space="0" w:color="auto"/>
            </w:tcBorders>
            <w:shd w:val="clear" w:color="auto" w:fill="FFFFFF" w:themeFill="background1"/>
            <w:hideMark/>
          </w:tcPr>
          <w:p w:rsidR="00075D93" w:rsidRPr="00DF6F31" w:rsidRDefault="00411CD7" w:rsidP="00411CD7">
            <w:pPr>
              <w:autoSpaceDE/>
              <w:autoSpaceDN/>
              <w:adjustRightInd/>
              <w:jc w:val="right"/>
              <w:rPr>
                <w:b/>
                <w:bCs/>
                <w:sz w:val="18"/>
                <w:szCs w:val="18"/>
              </w:rPr>
            </w:pPr>
            <w:r w:rsidRPr="00DF6F31">
              <w:rPr>
                <w:color w:val="000000"/>
                <w:sz w:val="18"/>
                <w:szCs w:val="18"/>
              </w:rPr>
              <w:t>RULT</w:t>
            </w:r>
          </w:p>
        </w:tc>
        <w:tc>
          <w:tcPr>
            <w:tcW w:w="193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sz w:val="18"/>
                <w:szCs w:val="18"/>
              </w:rPr>
            </w:pPr>
            <w:r w:rsidRPr="00DF6F31">
              <w:rPr>
                <w:sz w:val="18"/>
                <w:szCs w:val="18"/>
              </w:rPr>
              <w:t> </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20.2005(c)</w:t>
            </w:r>
          </w:p>
        </w:tc>
        <w:tc>
          <w:tcPr>
            <w:tcW w:w="6496" w:type="dxa"/>
            <w:gridSpan w:val="5"/>
            <w:tcBorders>
              <w:top w:val="single" w:sz="4" w:space="0" w:color="auto"/>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see § 20.2108</w:t>
            </w:r>
          </w:p>
        </w:tc>
      </w:tr>
      <w:tr w:rsidR="00075D93" w:rsidRPr="00DF6F31" w:rsidTr="001249B4">
        <w:trPr>
          <w:trHeight w:val="51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20.2006</w:t>
            </w:r>
          </w:p>
        </w:tc>
        <w:tc>
          <w:tcPr>
            <w:tcW w:w="6496" w:type="dxa"/>
            <w:gridSpan w:val="5"/>
            <w:tcBorders>
              <w:top w:val="single" w:sz="4" w:space="0" w:color="auto"/>
              <w:left w:val="nil"/>
              <w:bottom w:val="single" w:sz="4" w:space="0" w:color="auto"/>
              <w:right w:val="single" w:sz="4" w:space="0" w:color="000000"/>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Burden included under Forms 540-542 (OMB clearance nos. 3150-0164, 3150-0166, 3150-0165)</w:t>
            </w:r>
          </w:p>
        </w:tc>
      </w:tr>
      <w:tr w:rsidR="00075D93" w:rsidRPr="00DF6F31" w:rsidTr="001249B4">
        <w:trPr>
          <w:trHeight w:val="48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20.2102(a)&amp;(b)</w:t>
            </w:r>
          </w:p>
        </w:tc>
        <w:tc>
          <w:tcPr>
            <w:tcW w:w="1119" w:type="dxa"/>
            <w:tcBorders>
              <w:top w:val="nil"/>
              <w:left w:val="nil"/>
              <w:bottom w:val="single" w:sz="4" w:space="0" w:color="auto"/>
              <w:right w:val="single" w:sz="4" w:space="0" w:color="auto"/>
            </w:tcBorders>
            <w:shd w:val="clear" w:color="auto" w:fill="auto"/>
            <w:vAlign w:val="bottom"/>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18,000</w:t>
            </w:r>
          </w:p>
        </w:tc>
        <w:tc>
          <w:tcPr>
            <w:tcW w:w="1079" w:type="dxa"/>
            <w:tcBorders>
              <w:top w:val="nil"/>
              <w:left w:val="nil"/>
              <w:bottom w:val="single" w:sz="4" w:space="0" w:color="auto"/>
              <w:right w:val="single" w:sz="4" w:space="0" w:color="auto"/>
            </w:tcBorders>
            <w:shd w:val="clear" w:color="auto" w:fill="auto"/>
            <w:vAlign w:val="bottom"/>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4</w:t>
            </w:r>
          </w:p>
        </w:tc>
        <w:tc>
          <w:tcPr>
            <w:tcW w:w="1078" w:type="dxa"/>
            <w:tcBorders>
              <w:top w:val="nil"/>
              <w:left w:val="nil"/>
              <w:bottom w:val="single" w:sz="4" w:space="0" w:color="auto"/>
              <w:right w:val="single" w:sz="4" w:space="0" w:color="auto"/>
            </w:tcBorders>
            <w:shd w:val="clear" w:color="auto" w:fill="auto"/>
            <w:vAlign w:val="bottom"/>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72,000 </w:t>
            </w:r>
          </w:p>
        </w:tc>
        <w:tc>
          <w:tcPr>
            <w:tcW w:w="1282" w:type="dxa"/>
            <w:tcBorders>
              <w:top w:val="nil"/>
              <w:left w:val="nil"/>
              <w:bottom w:val="single" w:sz="4" w:space="0" w:color="auto"/>
              <w:right w:val="single" w:sz="4" w:space="0" w:color="auto"/>
            </w:tcBorders>
            <w:shd w:val="clear" w:color="auto" w:fill="auto"/>
            <w:vAlign w:val="bottom"/>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(a)(1)=RULT, (a)(2)=3 yrs</w:t>
            </w:r>
          </w:p>
        </w:tc>
        <w:tc>
          <w:tcPr>
            <w:tcW w:w="193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w:t>
            </w:r>
          </w:p>
        </w:tc>
      </w:tr>
      <w:tr w:rsidR="00075D93" w:rsidRPr="00DF6F31" w:rsidTr="001249B4">
        <w:trPr>
          <w:trHeight w:val="48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20.2103(a)&amp;(b)</w:t>
            </w:r>
          </w:p>
        </w:tc>
        <w:tc>
          <w:tcPr>
            <w:tcW w:w="1119" w:type="dxa"/>
            <w:tcBorders>
              <w:top w:val="nil"/>
              <w:left w:val="nil"/>
              <w:bottom w:val="single" w:sz="4" w:space="0" w:color="auto"/>
              <w:right w:val="single" w:sz="4" w:space="0" w:color="auto"/>
            </w:tcBorders>
            <w:shd w:val="clear" w:color="auto" w:fill="auto"/>
            <w:vAlign w:val="bottom"/>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18,000</w:t>
            </w:r>
          </w:p>
        </w:tc>
        <w:tc>
          <w:tcPr>
            <w:tcW w:w="1079" w:type="dxa"/>
            <w:tcBorders>
              <w:top w:val="nil"/>
              <w:left w:val="nil"/>
              <w:bottom w:val="single" w:sz="4" w:space="0" w:color="auto"/>
              <w:right w:val="single" w:sz="4" w:space="0" w:color="auto"/>
            </w:tcBorders>
            <w:shd w:val="clear" w:color="auto" w:fill="auto"/>
            <w:vAlign w:val="bottom"/>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8</w:t>
            </w:r>
          </w:p>
        </w:tc>
        <w:tc>
          <w:tcPr>
            <w:tcW w:w="1078" w:type="dxa"/>
            <w:tcBorders>
              <w:top w:val="nil"/>
              <w:left w:val="nil"/>
              <w:bottom w:val="single" w:sz="4" w:space="0" w:color="auto"/>
              <w:right w:val="single" w:sz="4" w:space="0" w:color="auto"/>
            </w:tcBorders>
            <w:shd w:val="clear" w:color="auto" w:fill="auto"/>
            <w:vAlign w:val="bottom"/>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144,000 </w:t>
            </w:r>
          </w:p>
        </w:tc>
        <w:tc>
          <w:tcPr>
            <w:tcW w:w="1282" w:type="dxa"/>
            <w:tcBorders>
              <w:top w:val="nil"/>
              <w:left w:val="nil"/>
              <w:bottom w:val="single" w:sz="4" w:space="0" w:color="auto"/>
              <w:right w:val="single" w:sz="4" w:space="0" w:color="auto"/>
            </w:tcBorders>
            <w:shd w:val="clear" w:color="auto" w:fill="auto"/>
            <w:vAlign w:val="bottom"/>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(a)=3 yrs, (b)=RULT</w:t>
            </w:r>
          </w:p>
        </w:tc>
        <w:tc>
          <w:tcPr>
            <w:tcW w:w="193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20.2104</w:t>
            </w:r>
          </w:p>
        </w:tc>
        <w:tc>
          <w:tcPr>
            <w:tcW w:w="6496" w:type="dxa"/>
            <w:gridSpan w:val="5"/>
            <w:tcBorders>
              <w:top w:val="single" w:sz="4" w:space="0" w:color="auto"/>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see § 20.2106</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20.2105</w:t>
            </w:r>
          </w:p>
        </w:tc>
        <w:tc>
          <w:tcPr>
            <w:tcW w:w="111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0</w:t>
            </w:r>
          </w:p>
        </w:tc>
        <w:tc>
          <w:tcPr>
            <w:tcW w:w="107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3</w:t>
            </w:r>
          </w:p>
        </w:tc>
        <w:tc>
          <w:tcPr>
            <w:tcW w:w="107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0</w:t>
            </w:r>
          </w:p>
        </w:tc>
        <w:tc>
          <w:tcPr>
            <w:tcW w:w="1282"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RULT</w:t>
            </w:r>
          </w:p>
        </w:tc>
        <w:tc>
          <w:tcPr>
            <w:tcW w:w="193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none expected</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20.2106</w:t>
            </w:r>
          </w:p>
        </w:tc>
        <w:tc>
          <w:tcPr>
            <w:tcW w:w="6496"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Burden included under NRC Forms 4 &amp; 5 (OMB clearance nos. 3150-0005 &amp; 3150-0006)</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(records of dose)</w:t>
            </w:r>
          </w:p>
        </w:tc>
        <w:tc>
          <w:tcPr>
            <w:tcW w:w="6496" w:type="dxa"/>
            <w:gridSpan w:val="5"/>
            <w:vMerge/>
            <w:tcBorders>
              <w:top w:val="nil"/>
              <w:left w:val="single" w:sz="4" w:space="0" w:color="auto"/>
              <w:bottom w:val="single" w:sz="4" w:space="0" w:color="auto"/>
              <w:right w:val="single" w:sz="4" w:space="0" w:color="auto"/>
            </w:tcBorders>
            <w:vAlign w:val="center"/>
            <w:hideMark/>
          </w:tcPr>
          <w:p w:rsidR="00075D93" w:rsidRPr="00DF6F31" w:rsidRDefault="00075D93" w:rsidP="00075D93">
            <w:pPr>
              <w:autoSpaceDE/>
              <w:autoSpaceDN/>
              <w:adjustRightInd/>
              <w:rPr>
                <w:color w:val="000000"/>
                <w:sz w:val="18"/>
                <w:szCs w:val="18"/>
              </w:rPr>
            </w:pPr>
          </w:p>
        </w:tc>
      </w:tr>
      <w:tr w:rsidR="00075D93" w:rsidRPr="00DF6F31" w:rsidTr="001249B4">
        <w:trPr>
          <w:trHeight w:val="48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20.2106 (declaration of pregnancy)</w:t>
            </w:r>
          </w:p>
        </w:tc>
        <w:tc>
          <w:tcPr>
            <w:tcW w:w="111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900 </w:t>
            </w:r>
          </w:p>
        </w:tc>
        <w:tc>
          <w:tcPr>
            <w:tcW w:w="107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1</w:t>
            </w:r>
          </w:p>
        </w:tc>
        <w:tc>
          <w:tcPr>
            <w:tcW w:w="107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900 </w:t>
            </w:r>
          </w:p>
        </w:tc>
        <w:tc>
          <w:tcPr>
            <w:tcW w:w="1282"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RULT</w:t>
            </w:r>
          </w:p>
        </w:tc>
        <w:tc>
          <w:tcPr>
            <w:tcW w:w="193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 </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20.2107(a)</w:t>
            </w:r>
          </w:p>
        </w:tc>
        <w:tc>
          <w:tcPr>
            <w:tcW w:w="111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18,000 </w:t>
            </w:r>
          </w:p>
        </w:tc>
        <w:tc>
          <w:tcPr>
            <w:tcW w:w="107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5</w:t>
            </w:r>
          </w:p>
        </w:tc>
        <w:tc>
          <w:tcPr>
            <w:tcW w:w="107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90,000 </w:t>
            </w:r>
          </w:p>
        </w:tc>
        <w:tc>
          <w:tcPr>
            <w:tcW w:w="1282"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RULT</w:t>
            </w:r>
          </w:p>
        </w:tc>
        <w:tc>
          <w:tcPr>
            <w:tcW w:w="193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 </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20.2108(a)</w:t>
            </w:r>
            <w:r w:rsidR="00D83A14" w:rsidRPr="00DF6F31">
              <w:rPr>
                <w:color w:val="000000"/>
                <w:sz w:val="18"/>
                <w:szCs w:val="18"/>
              </w:rPr>
              <w:t>&amp;(b)</w:t>
            </w:r>
          </w:p>
        </w:tc>
        <w:tc>
          <w:tcPr>
            <w:tcW w:w="111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18,000 </w:t>
            </w:r>
          </w:p>
        </w:tc>
        <w:tc>
          <w:tcPr>
            <w:tcW w:w="107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8</w:t>
            </w:r>
          </w:p>
        </w:tc>
        <w:tc>
          <w:tcPr>
            <w:tcW w:w="107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144,000 </w:t>
            </w:r>
          </w:p>
        </w:tc>
        <w:tc>
          <w:tcPr>
            <w:tcW w:w="1282"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RULT</w:t>
            </w:r>
          </w:p>
        </w:tc>
        <w:tc>
          <w:tcPr>
            <w:tcW w:w="193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 </w:t>
            </w:r>
          </w:p>
        </w:tc>
      </w:tr>
      <w:tr w:rsidR="00075D93" w:rsidRPr="00DF6F31" w:rsidTr="001249B4">
        <w:trPr>
          <w:trHeight w:val="51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20.211</w:t>
            </w:r>
            <w:r w:rsidR="00D83A14" w:rsidRPr="00DF6F31">
              <w:rPr>
                <w:color w:val="000000"/>
                <w:sz w:val="18"/>
                <w:szCs w:val="18"/>
              </w:rPr>
              <w:t>0</w:t>
            </w:r>
          </w:p>
        </w:tc>
        <w:tc>
          <w:tcPr>
            <w:tcW w:w="6496" w:type="dxa"/>
            <w:gridSpan w:val="5"/>
            <w:tcBorders>
              <w:top w:val="single" w:sz="4" w:space="0" w:color="auto"/>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No additional burden (included in 20.2102 through 20.2108)</w:t>
            </w:r>
          </w:p>
        </w:tc>
      </w:tr>
      <w:tr w:rsidR="00075D93" w:rsidRPr="00DF6F31" w:rsidTr="001249B4">
        <w:trPr>
          <w:trHeight w:val="48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20.2207(a), (b), (c), (d), (e)</w:t>
            </w:r>
          </w:p>
        </w:tc>
        <w:tc>
          <w:tcPr>
            <w:tcW w:w="6496" w:type="dxa"/>
            <w:gridSpan w:val="5"/>
            <w:tcBorders>
              <w:top w:val="single" w:sz="4" w:space="0" w:color="auto"/>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Burden included in OMB clearance for NRC Form 748 (3150-0202)</w:t>
            </w:r>
          </w:p>
        </w:tc>
      </w:tr>
      <w:tr w:rsidR="00075D93" w:rsidRPr="00DF6F31" w:rsidTr="001249B4">
        <w:trPr>
          <w:trHeight w:val="14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color w:val="000000"/>
                <w:sz w:val="18"/>
                <w:szCs w:val="18"/>
              </w:rPr>
            </w:pPr>
            <w:r w:rsidRPr="00DF6F31">
              <w:rPr>
                <w:color w:val="000000"/>
                <w:sz w:val="18"/>
                <w:szCs w:val="18"/>
              </w:rPr>
              <w:t>App.  G</w:t>
            </w:r>
          </w:p>
        </w:tc>
        <w:tc>
          <w:tcPr>
            <w:tcW w:w="111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18</w:t>
            </w:r>
          </w:p>
        </w:tc>
        <w:tc>
          <w:tcPr>
            <w:tcW w:w="107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160</w:t>
            </w:r>
          </w:p>
        </w:tc>
        <w:tc>
          <w:tcPr>
            <w:tcW w:w="107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xml:space="preserve">2,880 </w:t>
            </w:r>
          </w:p>
        </w:tc>
        <w:tc>
          <w:tcPr>
            <w:tcW w:w="1282"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color w:val="000000"/>
                <w:sz w:val="18"/>
                <w:szCs w:val="18"/>
              </w:rPr>
            </w:pPr>
            <w:r w:rsidRPr="00DF6F31">
              <w:rPr>
                <w:color w:val="000000"/>
                <w:sz w:val="18"/>
                <w:szCs w:val="18"/>
              </w:rPr>
              <w:t> </w:t>
            </w:r>
          </w:p>
        </w:tc>
        <w:tc>
          <w:tcPr>
            <w:tcW w:w="193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Burden for Sections I and II included under NRC Forms 540-542 (OMB clearance nos. 3150-0164, 3150-0166, 3150-0165)</w:t>
            </w:r>
          </w:p>
        </w:tc>
      </w:tr>
      <w:tr w:rsidR="00075D93" w:rsidRPr="00DF6F31" w:rsidTr="001249B4">
        <w:trPr>
          <w:trHeight w:val="240"/>
          <w:jc w:val="center"/>
        </w:trPr>
        <w:tc>
          <w:tcPr>
            <w:tcW w:w="2269" w:type="dxa"/>
            <w:tcBorders>
              <w:top w:val="nil"/>
              <w:left w:val="single" w:sz="4" w:space="0" w:color="auto"/>
              <w:bottom w:val="single" w:sz="4" w:space="0" w:color="auto"/>
              <w:right w:val="single" w:sz="4" w:space="0" w:color="auto"/>
            </w:tcBorders>
            <w:shd w:val="clear" w:color="auto" w:fill="auto"/>
            <w:hideMark/>
          </w:tcPr>
          <w:p w:rsidR="00075D93" w:rsidRPr="00DF6F31" w:rsidRDefault="00075D93" w:rsidP="00075D93">
            <w:pPr>
              <w:autoSpaceDE/>
              <w:autoSpaceDN/>
              <w:adjustRightInd/>
              <w:rPr>
                <w:b/>
                <w:bCs/>
                <w:color w:val="000000"/>
                <w:sz w:val="18"/>
                <w:szCs w:val="18"/>
              </w:rPr>
            </w:pPr>
            <w:r w:rsidRPr="00DF6F31">
              <w:rPr>
                <w:b/>
                <w:bCs/>
                <w:color w:val="000000"/>
                <w:sz w:val="18"/>
                <w:szCs w:val="18"/>
              </w:rPr>
              <w:t>TOTAL</w:t>
            </w:r>
          </w:p>
        </w:tc>
        <w:tc>
          <w:tcPr>
            <w:tcW w:w="111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b/>
                <w:bCs/>
                <w:color w:val="000000"/>
                <w:sz w:val="18"/>
                <w:szCs w:val="18"/>
              </w:rPr>
            </w:pPr>
            <w:r w:rsidRPr="00DF6F31">
              <w:rPr>
                <w:b/>
                <w:bCs/>
                <w:color w:val="000000"/>
                <w:sz w:val="18"/>
                <w:szCs w:val="18"/>
              </w:rPr>
              <w:t>18,000</w:t>
            </w:r>
          </w:p>
        </w:tc>
        <w:tc>
          <w:tcPr>
            <w:tcW w:w="1079"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b/>
                <w:bCs/>
                <w:color w:val="000000"/>
                <w:sz w:val="18"/>
                <w:szCs w:val="18"/>
              </w:rPr>
            </w:pPr>
            <w:r w:rsidRPr="00DF6F31">
              <w:rPr>
                <w:b/>
                <w:bCs/>
                <w:color w:val="000000"/>
                <w:sz w:val="18"/>
                <w:szCs w:val="18"/>
              </w:rPr>
              <w:t> </w:t>
            </w:r>
          </w:p>
        </w:tc>
        <w:tc>
          <w:tcPr>
            <w:tcW w:w="107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b/>
                <w:bCs/>
                <w:color w:val="000000"/>
                <w:sz w:val="18"/>
                <w:szCs w:val="18"/>
              </w:rPr>
            </w:pPr>
            <w:r w:rsidRPr="00DF6F31">
              <w:rPr>
                <w:b/>
                <w:bCs/>
                <w:color w:val="000000"/>
                <w:sz w:val="18"/>
                <w:szCs w:val="18"/>
              </w:rPr>
              <w:t xml:space="preserve"> 514,110 </w:t>
            </w:r>
          </w:p>
        </w:tc>
        <w:tc>
          <w:tcPr>
            <w:tcW w:w="1282"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right"/>
              <w:rPr>
                <w:b/>
                <w:bCs/>
                <w:color w:val="000000"/>
                <w:sz w:val="18"/>
                <w:szCs w:val="18"/>
              </w:rPr>
            </w:pPr>
          </w:p>
        </w:tc>
        <w:tc>
          <w:tcPr>
            <w:tcW w:w="1938" w:type="dxa"/>
            <w:tcBorders>
              <w:top w:val="nil"/>
              <w:left w:val="nil"/>
              <w:bottom w:val="single" w:sz="4" w:space="0" w:color="auto"/>
              <w:right w:val="single" w:sz="4" w:space="0" w:color="auto"/>
            </w:tcBorders>
            <w:shd w:val="clear" w:color="auto" w:fill="auto"/>
            <w:hideMark/>
          </w:tcPr>
          <w:p w:rsidR="00075D93" w:rsidRPr="00DF6F31" w:rsidRDefault="00075D93" w:rsidP="00075D93">
            <w:pPr>
              <w:autoSpaceDE/>
              <w:autoSpaceDN/>
              <w:adjustRightInd/>
              <w:jc w:val="center"/>
              <w:rPr>
                <w:color w:val="000000"/>
                <w:sz w:val="18"/>
                <w:szCs w:val="18"/>
              </w:rPr>
            </w:pPr>
            <w:r w:rsidRPr="00DF6F31">
              <w:rPr>
                <w:color w:val="000000"/>
                <w:sz w:val="18"/>
                <w:szCs w:val="18"/>
              </w:rPr>
              <w:t> </w:t>
            </w:r>
          </w:p>
        </w:tc>
      </w:tr>
    </w:tbl>
    <w:p w:rsidR="00075D93" w:rsidRPr="00DF6F31" w:rsidRDefault="00075D93">
      <w:pPr>
        <w:autoSpaceDE/>
        <w:autoSpaceDN/>
        <w:adjustRightInd/>
      </w:pPr>
      <w:r w:rsidRPr="00DF6F31">
        <w:br w:type="page"/>
      </w:r>
    </w:p>
    <w:p w:rsidR="00075D93" w:rsidRPr="00DF6F31" w:rsidRDefault="00075D93" w:rsidP="00075D93">
      <w:pPr>
        <w:autoSpaceDE/>
        <w:autoSpaceDN/>
        <w:adjustRightInd/>
        <w:jc w:val="center"/>
      </w:pPr>
      <w:r w:rsidRPr="00DF6F31">
        <w:lastRenderedPageBreak/>
        <w:t>TABLE 7</w:t>
      </w:r>
    </w:p>
    <w:p w:rsidR="00075D93" w:rsidRPr="00DF6F31" w:rsidRDefault="00075D93" w:rsidP="00075D93">
      <w:pPr>
        <w:autoSpaceDE/>
        <w:autoSpaceDN/>
        <w:adjustRightInd/>
        <w:jc w:val="center"/>
      </w:pPr>
      <w:r w:rsidRPr="00DF6F31">
        <w:t>BURDEN SUMMARY</w:t>
      </w:r>
    </w:p>
    <w:p w:rsidR="00075D93" w:rsidRPr="00DF6F31" w:rsidRDefault="00075D93">
      <w:pPr>
        <w:autoSpaceDE/>
        <w:autoSpaceDN/>
        <w:adjustRightInd/>
      </w:pPr>
    </w:p>
    <w:p w:rsidR="00075D93" w:rsidRPr="00DF6F31" w:rsidRDefault="00075D93" w:rsidP="00075D93">
      <w:pPr>
        <w:autoSpaceDE/>
        <w:autoSpaceDN/>
        <w:adjustRightInd/>
        <w:jc w:val="center"/>
      </w:pPr>
      <w:r w:rsidRPr="00DF6F31">
        <w:rPr>
          <w:noProof/>
        </w:rPr>
        <w:drawing>
          <wp:inline distT="0" distB="0" distL="0" distR="0">
            <wp:extent cx="4343400" cy="1228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43400" cy="1228725"/>
                    </a:xfrm>
                    <a:prstGeom prst="rect">
                      <a:avLst/>
                    </a:prstGeom>
                    <a:noFill/>
                    <a:ln w="9525">
                      <a:noFill/>
                      <a:miter lim="800000"/>
                      <a:headEnd/>
                      <a:tailEnd/>
                    </a:ln>
                  </pic:spPr>
                </pic:pic>
              </a:graphicData>
            </a:graphic>
          </wp:inline>
        </w:drawing>
      </w:r>
    </w:p>
    <w:p w:rsidR="00075D93" w:rsidRPr="00DF6F31" w:rsidRDefault="00075D93">
      <w:pPr>
        <w:autoSpaceDE/>
        <w:autoSpaceDN/>
        <w:adjustRightInd/>
      </w:pPr>
    </w:p>
    <w:p w:rsidR="00075D93" w:rsidRPr="00DF6F31" w:rsidRDefault="00075D93">
      <w:pPr>
        <w:autoSpaceDE/>
        <w:autoSpaceDN/>
        <w:adjustRightInd/>
      </w:pPr>
    </w:p>
    <w:p w:rsidR="00075D93" w:rsidRPr="00DF6F31" w:rsidRDefault="00075D93" w:rsidP="00075D93">
      <w:pPr>
        <w:autoSpaceDE/>
        <w:autoSpaceDN/>
        <w:adjustRightInd/>
        <w:jc w:val="center"/>
      </w:pPr>
      <w:r w:rsidRPr="00DF6F31">
        <w:t>TABLE 8</w:t>
      </w:r>
    </w:p>
    <w:p w:rsidR="00075D93" w:rsidRPr="00DF6F31" w:rsidRDefault="00075D93" w:rsidP="00075D93">
      <w:pPr>
        <w:autoSpaceDE/>
        <w:autoSpaceDN/>
        <w:adjustRightInd/>
        <w:jc w:val="center"/>
      </w:pPr>
      <w:r w:rsidRPr="00DF6F31">
        <w:t>TOTALS FOR NRC LICENSEES AND AGREEMENT STATE LICENSEES</w:t>
      </w:r>
    </w:p>
    <w:p w:rsidR="00075D93" w:rsidRPr="00DF6F31" w:rsidRDefault="00075D93">
      <w:pPr>
        <w:autoSpaceDE/>
        <w:autoSpaceDN/>
        <w:adjustRightInd/>
      </w:pPr>
    </w:p>
    <w:p w:rsidR="00075D93" w:rsidRPr="00DF6F31" w:rsidRDefault="00075D93" w:rsidP="00075D93">
      <w:pPr>
        <w:autoSpaceDE/>
        <w:autoSpaceDN/>
        <w:adjustRightInd/>
        <w:jc w:val="center"/>
      </w:pPr>
      <w:r w:rsidRPr="00DF6F31">
        <w:rPr>
          <w:noProof/>
        </w:rPr>
        <w:drawing>
          <wp:inline distT="0" distB="0" distL="0" distR="0">
            <wp:extent cx="4343400" cy="6191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343400" cy="619125"/>
                    </a:xfrm>
                    <a:prstGeom prst="rect">
                      <a:avLst/>
                    </a:prstGeom>
                    <a:noFill/>
                    <a:ln w="9525">
                      <a:noFill/>
                      <a:miter lim="800000"/>
                      <a:headEnd/>
                      <a:tailEnd/>
                    </a:ln>
                  </pic:spPr>
                </pic:pic>
              </a:graphicData>
            </a:graphic>
          </wp:inline>
        </w:drawing>
      </w:r>
    </w:p>
    <w:p w:rsidR="00075D93" w:rsidRPr="00DF6F31" w:rsidRDefault="00075D93">
      <w:pPr>
        <w:autoSpaceDE/>
        <w:autoSpaceDN/>
        <w:adjustRightInd/>
      </w:pPr>
    </w:p>
    <w:p w:rsidR="006E79AE" w:rsidRPr="00DF6F31" w:rsidRDefault="006E79AE">
      <w:pPr>
        <w:autoSpaceDE/>
        <w:autoSpaceDN/>
        <w:adjustRightInd/>
      </w:pPr>
    </w:p>
    <w:p w:rsidR="006E79AE" w:rsidRPr="00DF6F31" w:rsidRDefault="00441EDE" w:rsidP="006E79AE">
      <w:pPr>
        <w:numPr>
          <w:ilvl w:val="12"/>
          <w:numId w:val="0"/>
        </w:numPr>
        <w:ind w:left="4320" w:hanging="4320"/>
      </w:pPr>
      <w:r w:rsidRPr="00DF6F31">
        <w:t xml:space="preserve">Total Number of </w:t>
      </w:r>
      <w:r w:rsidR="00323D32" w:rsidRPr="00DF6F31">
        <w:t>recordkeepers</w:t>
      </w:r>
      <w:r w:rsidRPr="00DF6F31">
        <w:t>:</w:t>
      </w:r>
      <w:r w:rsidRPr="00DF6F31">
        <w:tab/>
      </w:r>
      <w:r w:rsidR="006E79AE" w:rsidRPr="00DF6F31">
        <w:t>21,000 (3,000 NRC licensee recordkeepers + 18,000 Agreement State licensee recordkeepers)</w:t>
      </w:r>
    </w:p>
    <w:p w:rsidR="00441EDE" w:rsidRPr="00DF6F31" w:rsidRDefault="00441EDE" w:rsidP="00441EDE">
      <w:pPr>
        <w:numPr>
          <w:ilvl w:val="12"/>
          <w:numId w:val="0"/>
        </w:numPr>
        <w:tabs>
          <w:tab w:val="left" w:pos="4019"/>
        </w:tabs>
        <w:ind w:left="4320" w:hanging="4320"/>
      </w:pPr>
    </w:p>
    <w:p w:rsidR="00441EDE" w:rsidRPr="00DF6F31" w:rsidRDefault="006E79AE" w:rsidP="00441EDE">
      <w:pPr>
        <w:numPr>
          <w:ilvl w:val="12"/>
          <w:numId w:val="0"/>
        </w:numPr>
        <w:ind w:left="4320" w:hanging="4320"/>
      </w:pPr>
      <w:r w:rsidRPr="00DF6F31">
        <w:t>Number of respondents:</w:t>
      </w:r>
      <w:r w:rsidRPr="00DF6F31">
        <w:tab/>
        <w:t>21,000 (3,000 NRC licensee recordkeepers + 18,000 Agreement State licensee recordkeepers)</w:t>
      </w:r>
    </w:p>
    <w:p w:rsidR="00F27549" w:rsidRDefault="00463C22" w:rsidP="007C199D">
      <w:pPr>
        <w:numPr>
          <w:ilvl w:val="12"/>
          <w:numId w:val="0"/>
        </w:numPr>
        <w:jc w:val="center"/>
        <w:sectPr w:rsidR="00F27549" w:rsidSect="00515EDB">
          <w:footnotePr>
            <w:numRestart w:val="eachPage"/>
          </w:footnotePr>
          <w:pgSz w:w="12240" w:h="15840"/>
          <w:pgMar w:top="1440" w:right="1440" w:bottom="1440" w:left="1440" w:header="1440" w:footer="1440" w:gutter="0"/>
          <w:cols w:space="720"/>
          <w:noEndnote/>
        </w:sectPr>
      </w:pPr>
      <w:r w:rsidRPr="00DF6F31">
        <w:br w:type="page"/>
      </w:r>
    </w:p>
    <w:p w:rsidR="00F27549" w:rsidRDefault="00F27549" w:rsidP="007C199D">
      <w:pPr>
        <w:numPr>
          <w:ilvl w:val="12"/>
          <w:numId w:val="0"/>
        </w:numPr>
        <w:jc w:val="center"/>
      </w:pPr>
    </w:p>
    <w:p w:rsidR="00F27549" w:rsidRDefault="00F27549" w:rsidP="007C199D">
      <w:pPr>
        <w:numPr>
          <w:ilvl w:val="12"/>
          <w:numId w:val="0"/>
        </w:numPr>
        <w:jc w:val="center"/>
      </w:pPr>
    </w:p>
    <w:p w:rsidR="00836A1B" w:rsidRPr="00DF6F31" w:rsidRDefault="004F17B4" w:rsidP="007C199D">
      <w:pPr>
        <w:numPr>
          <w:ilvl w:val="12"/>
          <w:numId w:val="0"/>
        </w:numPr>
        <w:jc w:val="center"/>
      </w:pPr>
      <w:r>
        <w:t>`</w:t>
      </w:r>
      <w:r w:rsidR="00836A1B" w:rsidRPr="00DF6F31">
        <w:t xml:space="preserve">TABLE </w:t>
      </w:r>
      <w:r w:rsidR="00DB3865" w:rsidRPr="00DF6F31">
        <w:t>9</w:t>
      </w:r>
    </w:p>
    <w:p w:rsidR="007C199D" w:rsidRPr="00DF6F31" w:rsidRDefault="007C199D" w:rsidP="007C199D">
      <w:pPr>
        <w:numPr>
          <w:ilvl w:val="12"/>
          <w:numId w:val="0"/>
        </w:numPr>
        <w:jc w:val="center"/>
      </w:pPr>
    </w:p>
    <w:p w:rsidR="00836A1B" w:rsidRPr="00DF6F31" w:rsidRDefault="00836A1B" w:rsidP="00836A1B">
      <w:pPr>
        <w:numPr>
          <w:ilvl w:val="12"/>
          <w:numId w:val="0"/>
        </w:numPr>
        <w:jc w:val="center"/>
      </w:pPr>
      <w:r w:rsidRPr="00DF6F31">
        <w:t>ANNUALIZED COST TO THE FEDERAL GOVERNMENT</w:t>
      </w:r>
    </w:p>
    <w:p w:rsidR="00836A1B" w:rsidRPr="00DF6F31" w:rsidRDefault="00836A1B" w:rsidP="00836A1B">
      <w:pPr>
        <w:numPr>
          <w:ilvl w:val="12"/>
          <w:numId w:val="0"/>
        </w:numPr>
        <w:jc w:val="center"/>
      </w:pPr>
      <w:r w:rsidRPr="00DF6F31">
        <w:t>(NRC Staff Burdens Associated with 10 CFR Part 20)</w:t>
      </w:r>
    </w:p>
    <w:p w:rsidR="00836A1B" w:rsidRPr="00DF6F31" w:rsidRDefault="00836A1B" w:rsidP="00836A1B">
      <w:pPr>
        <w:numPr>
          <w:ilvl w:val="12"/>
          <w:numId w:val="0"/>
        </w:numPr>
        <w:jc w:val="center"/>
      </w:pPr>
    </w:p>
    <w:tbl>
      <w:tblPr>
        <w:tblW w:w="10440" w:type="dxa"/>
        <w:tblInd w:w="-3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2" w:type="dxa"/>
          <w:right w:w="62" w:type="dxa"/>
        </w:tblCellMar>
        <w:tblLook w:val="0000"/>
      </w:tblPr>
      <w:tblGrid>
        <w:gridCol w:w="4050"/>
        <w:gridCol w:w="1800"/>
        <w:gridCol w:w="4590"/>
      </w:tblGrid>
      <w:tr w:rsidR="00836A1B" w:rsidRPr="00DF6F31" w:rsidTr="000778E5">
        <w:trPr>
          <w:cantSplit/>
          <w:tblHeader/>
        </w:trPr>
        <w:tc>
          <w:tcPr>
            <w:tcW w:w="4050" w:type="dxa"/>
            <w:shd w:val="pct5" w:color="000000" w:fill="FFFFFF"/>
          </w:tcPr>
          <w:p w:rsidR="00836A1B" w:rsidRPr="00DF6F31" w:rsidRDefault="00836A1B" w:rsidP="00836A1B">
            <w:pPr>
              <w:numPr>
                <w:ilvl w:val="12"/>
                <w:numId w:val="0"/>
              </w:numPr>
              <w:spacing w:before="100" w:after="52"/>
              <w:jc w:val="center"/>
              <w:rPr>
                <w:sz w:val="20"/>
                <w:szCs w:val="20"/>
              </w:rPr>
            </w:pPr>
            <w:r w:rsidRPr="00DF6F31">
              <w:rPr>
                <w:sz w:val="20"/>
                <w:szCs w:val="20"/>
              </w:rPr>
              <w:t>SECTION</w:t>
            </w:r>
          </w:p>
        </w:tc>
        <w:tc>
          <w:tcPr>
            <w:tcW w:w="1800" w:type="dxa"/>
            <w:shd w:val="pct5" w:color="000000" w:fill="FFFFFF"/>
          </w:tcPr>
          <w:p w:rsidR="00836A1B" w:rsidRPr="00DF6F31" w:rsidRDefault="00836A1B" w:rsidP="00E956C2">
            <w:pPr>
              <w:numPr>
                <w:ilvl w:val="12"/>
                <w:numId w:val="0"/>
              </w:numPr>
              <w:spacing w:before="100" w:after="52"/>
              <w:jc w:val="center"/>
              <w:rPr>
                <w:sz w:val="20"/>
                <w:szCs w:val="20"/>
              </w:rPr>
            </w:pPr>
            <w:r w:rsidRPr="00DF6F31">
              <w:rPr>
                <w:sz w:val="20"/>
                <w:szCs w:val="20"/>
              </w:rPr>
              <w:t>TOTAL HOURS</w:t>
            </w:r>
          </w:p>
        </w:tc>
        <w:tc>
          <w:tcPr>
            <w:tcW w:w="4590" w:type="dxa"/>
            <w:shd w:val="pct5" w:color="000000" w:fill="FFFFFF"/>
          </w:tcPr>
          <w:p w:rsidR="00836A1B" w:rsidRPr="00DF6F31" w:rsidRDefault="00836A1B" w:rsidP="00836A1B">
            <w:pPr>
              <w:numPr>
                <w:ilvl w:val="12"/>
                <w:numId w:val="0"/>
              </w:numPr>
              <w:spacing w:before="100" w:after="52"/>
              <w:rPr>
                <w:sz w:val="20"/>
                <w:szCs w:val="20"/>
              </w:rPr>
            </w:pPr>
            <w:r w:rsidRPr="00DF6F31">
              <w:rPr>
                <w:sz w:val="20"/>
                <w:szCs w:val="20"/>
              </w:rPr>
              <w:t>NOTES</w:t>
            </w: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20.1101</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59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see § 20.2102</w:t>
            </w: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20.1202</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59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see § 20.2106</w:t>
            </w: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20.1203</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59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see § 20.2106</w:t>
            </w: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20.1204</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59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see § 20.2106</w:t>
            </w: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20.1206</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59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see § 20.2106</w:t>
            </w: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20.1208</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59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see § 20.2106</w:t>
            </w:r>
          </w:p>
        </w:tc>
      </w:tr>
      <w:tr w:rsidR="00836A1B" w:rsidRPr="00DF6F31" w:rsidTr="000778E5">
        <w:trPr>
          <w:cantSplit/>
        </w:trPr>
        <w:tc>
          <w:tcPr>
            <w:tcW w:w="4050" w:type="dxa"/>
            <w:vAlign w:val="center"/>
          </w:tcPr>
          <w:p w:rsidR="00836A1B" w:rsidRPr="00DF6F31" w:rsidRDefault="00836A1B" w:rsidP="001868B0">
            <w:pPr>
              <w:numPr>
                <w:ilvl w:val="12"/>
                <w:numId w:val="0"/>
              </w:numPr>
              <w:spacing w:before="100" w:after="52"/>
              <w:jc w:val="center"/>
              <w:rPr>
                <w:sz w:val="20"/>
                <w:szCs w:val="20"/>
              </w:rPr>
            </w:pPr>
            <w:r w:rsidRPr="00DF6F31">
              <w:rPr>
                <w:sz w:val="20"/>
                <w:szCs w:val="20"/>
              </w:rPr>
              <w:t>20.1301(</w:t>
            </w:r>
            <w:r w:rsidR="001868B0" w:rsidRPr="00DF6F31">
              <w:rPr>
                <w:sz w:val="20"/>
                <w:szCs w:val="20"/>
              </w:rPr>
              <w:t>d</w:t>
            </w:r>
            <w:r w:rsidRPr="00DF6F31">
              <w:rPr>
                <w:sz w:val="20"/>
                <w:szCs w:val="20"/>
              </w:rPr>
              <w:t>)</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59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none expected</w:t>
            </w: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20.1302(c)</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4</w:t>
            </w:r>
          </w:p>
        </w:tc>
        <w:tc>
          <w:tcPr>
            <w:tcW w:w="4590" w:type="dxa"/>
            <w:vAlign w:val="center"/>
          </w:tcPr>
          <w:p w:rsidR="00836A1B" w:rsidRPr="00DF6F31" w:rsidRDefault="00836A1B" w:rsidP="001370FF">
            <w:pPr>
              <w:numPr>
                <w:ilvl w:val="12"/>
                <w:numId w:val="0"/>
              </w:numPr>
              <w:spacing w:before="100" w:after="52"/>
              <w:jc w:val="center"/>
              <w:rPr>
                <w:sz w:val="20"/>
                <w:szCs w:val="20"/>
              </w:rPr>
            </w:pP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20.1403(a-e)</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60</w:t>
            </w:r>
          </w:p>
        </w:tc>
        <w:tc>
          <w:tcPr>
            <w:tcW w:w="4590" w:type="dxa"/>
            <w:vAlign w:val="center"/>
          </w:tcPr>
          <w:p w:rsidR="00836A1B" w:rsidRPr="00DF6F31" w:rsidRDefault="00836A1B" w:rsidP="001370FF">
            <w:pPr>
              <w:numPr>
                <w:ilvl w:val="12"/>
                <w:numId w:val="0"/>
              </w:numPr>
              <w:spacing w:before="100" w:after="52"/>
              <w:jc w:val="center"/>
              <w:rPr>
                <w:sz w:val="20"/>
                <w:szCs w:val="20"/>
              </w:rPr>
            </w:pP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20.1404</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590" w:type="dxa"/>
            <w:vAlign w:val="center"/>
          </w:tcPr>
          <w:p w:rsidR="00836A1B" w:rsidRPr="00DF6F31" w:rsidRDefault="00836A1B" w:rsidP="001370FF">
            <w:pPr>
              <w:numPr>
                <w:ilvl w:val="12"/>
                <w:numId w:val="0"/>
              </w:numPr>
              <w:spacing w:before="100" w:after="52"/>
              <w:jc w:val="center"/>
              <w:rPr>
                <w:sz w:val="20"/>
                <w:szCs w:val="20"/>
              </w:rPr>
            </w:pP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20.1406</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200</w:t>
            </w:r>
          </w:p>
        </w:tc>
        <w:tc>
          <w:tcPr>
            <w:tcW w:w="4590" w:type="dxa"/>
            <w:vAlign w:val="center"/>
          </w:tcPr>
          <w:p w:rsidR="00836A1B" w:rsidRPr="00DF6F31" w:rsidRDefault="00836A1B" w:rsidP="001370FF">
            <w:pPr>
              <w:numPr>
                <w:ilvl w:val="12"/>
                <w:numId w:val="0"/>
              </w:numPr>
              <w:spacing w:before="100" w:after="52"/>
              <w:jc w:val="center"/>
              <w:rPr>
                <w:sz w:val="20"/>
                <w:szCs w:val="20"/>
              </w:rPr>
            </w:pP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20.1501</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59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see § 20.2103</w:t>
            </w: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20.1601(c)</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8</w:t>
            </w:r>
          </w:p>
        </w:tc>
        <w:tc>
          <w:tcPr>
            <w:tcW w:w="4590" w:type="dxa"/>
            <w:vAlign w:val="center"/>
          </w:tcPr>
          <w:p w:rsidR="00836A1B" w:rsidRPr="00DF6F31" w:rsidRDefault="00836A1B" w:rsidP="001370FF">
            <w:pPr>
              <w:numPr>
                <w:ilvl w:val="12"/>
                <w:numId w:val="0"/>
              </w:numPr>
              <w:spacing w:before="100" w:after="52"/>
              <w:jc w:val="center"/>
              <w:rPr>
                <w:sz w:val="20"/>
                <w:szCs w:val="20"/>
              </w:rPr>
            </w:pP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20.1703(b)</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300</w:t>
            </w:r>
          </w:p>
        </w:tc>
        <w:tc>
          <w:tcPr>
            <w:tcW w:w="4590" w:type="dxa"/>
            <w:vAlign w:val="center"/>
          </w:tcPr>
          <w:p w:rsidR="00836A1B" w:rsidRPr="00DF6F31" w:rsidRDefault="00836A1B" w:rsidP="001370FF">
            <w:pPr>
              <w:numPr>
                <w:ilvl w:val="12"/>
                <w:numId w:val="0"/>
              </w:numPr>
              <w:spacing w:before="100" w:after="52"/>
              <w:jc w:val="center"/>
              <w:rPr>
                <w:sz w:val="20"/>
                <w:szCs w:val="20"/>
              </w:rPr>
            </w:pP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20.1703(c)(2)</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59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see § 20.2103</w:t>
            </w: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20.1703(c)(4)</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200</w:t>
            </w:r>
          </w:p>
        </w:tc>
        <w:tc>
          <w:tcPr>
            <w:tcW w:w="4590" w:type="dxa"/>
            <w:vAlign w:val="center"/>
          </w:tcPr>
          <w:p w:rsidR="00836A1B" w:rsidRPr="00DF6F31" w:rsidRDefault="00836A1B" w:rsidP="001370FF">
            <w:pPr>
              <w:numPr>
                <w:ilvl w:val="12"/>
                <w:numId w:val="0"/>
              </w:numPr>
              <w:spacing w:before="100" w:after="52"/>
              <w:jc w:val="center"/>
              <w:rPr>
                <w:sz w:val="20"/>
                <w:szCs w:val="20"/>
              </w:rPr>
            </w:pP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20.1705(a)&amp;(b)</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300</w:t>
            </w:r>
          </w:p>
        </w:tc>
        <w:tc>
          <w:tcPr>
            <w:tcW w:w="4590" w:type="dxa"/>
            <w:vAlign w:val="center"/>
          </w:tcPr>
          <w:p w:rsidR="00836A1B" w:rsidRPr="00DF6F31" w:rsidRDefault="00836A1B" w:rsidP="001370FF">
            <w:pPr>
              <w:numPr>
                <w:ilvl w:val="12"/>
                <w:numId w:val="0"/>
              </w:numPr>
              <w:spacing w:before="100" w:after="52"/>
              <w:jc w:val="center"/>
              <w:rPr>
                <w:sz w:val="20"/>
                <w:szCs w:val="20"/>
              </w:rPr>
            </w:pP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20.1904</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50</w:t>
            </w:r>
          </w:p>
        </w:tc>
        <w:tc>
          <w:tcPr>
            <w:tcW w:w="4590" w:type="dxa"/>
            <w:vAlign w:val="center"/>
          </w:tcPr>
          <w:p w:rsidR="00836A1B" w:rsidRPr="00DF6F31" w:rsidRDefault="00836A1B" w:rsidP="001370FF">
            <w:pPr>
              <w:numPr>
                <w:ilvl w:val="12"/>
                <w:numId w:val="0"/>
              </w:numPr>
              <w:spacing w:before="100" w:after="52"/>
              <w:jc w:val="center"/>
              <w:rPr>
                <w:sz w:val="20"/>
                <w:szCs w:val="20"/>
              </w:rPr>
            </w:pP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20.1905(e)</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9</w:t>
            </w:r>
          </w:p>
        </w:tc>
        <w:tc>
          <w:tcPr>
            <w:tcW w:w="4590" w:type="dxa"/>
            <w:vAlign w:val="center"/>
          </w:tcPr>
          <w:p w:rsidR="00836A1B" w:rsidRPr="00DF6F31" w:rsidRDefault="00836A1B" w:rsidP="001370FF">
            <w:pPr>
              <w:numPr>
                <w:ilvl w:val="12"/>
                <w:numId w:val="0"/>
              </w:numPr>
              <w:spacing w:before="100" w:after="52"/>
              <w:jc w:val="center"/>
              <w:rPr>
                <w:sz w:val="20"/>
                <w:szCs w:val="20"/>
              </w:rPr>
            </w:pP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20.1906(d)</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6</w:t>
            </w:r>
          </w:p>
        </w:tc>
        <w:tc>
          <w:tcPr>
            <w:tcW w:w="4590" w:type="dxa"/>
            <w:vAlign w:val="center"/>
          </w:tcPr>
          <w:p w:rsidR="00836A1B" w:rsidRPr="00DF6F31" w:rsidRDefault="00836A1B" w:rsidP="001370FF">
            <w:pPr>
              <w:numPr>
                <w:ilvl w:val="12"/>
                <w:numId w:val="0"/>
              </w:numPr>
              <w:spacing w:before="100" w:after="52"/>
              <w:jc w:val="center"/>
              <w:rPr>
                <w:sz w:val="20"/>
                <w:szCs w:val="20"/>
              </w:rPr>
            </w:pP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20.1906(e)</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9</w:t>
            </w:r>
          </w:p>
        </w:tc>
        <w:tc>
          <w:tcPr>
            <w:tcW w:w="4590" w:type="dxa"/>
            <w:vAlign w:val="center"/>
          </w:tcPr>
          <w:p w:rsidR="00836A1B" w:rsidRPr="00DF6F31" w:rsidRDefault="00836A1B" w:rsidP="001370FF">
            <w:pPr>
              <w:numPr>
                <w:ilvl w:val="12"/>
                <w:numId w:val="0"/>
              </w:numPr>
              <w:spacing w:before="100" w:after="52"/>
              <w:jc w:val="center"/>
              <w:rPr>
                <w:sz w:val="20"/>
                <w:szCs w:val="20"/>
              </w:rPr>
            </w:pP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20.2002</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150</w:t>
            </w:r>
          </w:p>
        </w:tc>
        <w:tc>
          <w:tcPr>
            <w:tcW w:w="4590" w:type="dxa"/>
            <w:vAlign w:val="center"/>
          </w:tcPr>
          <w:p w:rsidR="00836A1B" w:rsidRPr="00DF6F31" w:rsidRDefault="00836A1B" w:rsidP="001370FF">
            <w:pPr>
              <w:numPr>
                <w:ilvl w:val="12"/>
                <w:numId w:val="0"/>
              </w:numPr>
              <w:spacing w:before="100" w:after="52"/>
              <w:jc w:val="center"/>
              <w:rPr>
                <w:sz w:val="20"/>
                <w:szCs w:val="20"/>
              </w:rPr>
            </w:pP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20.2004</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59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Burden included in OMB Clearance for Part 50 (OMB clearance no. 3150-0011)</w:t>
            </w: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20.2005(c)</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59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see § 20.2108</w:t>
            </w:r>
          </w:p>
        </w:tc>
      </w:tr>
      <w:tr w:rsidR="00836A1B" w:rsidRPr="00DF6F31" w:rsidTr="000778E5">
        <w:trPr>
          <w:cantSplit/>
        </w:trPr>
        <w:tc>
          <w:tcPr>
            <w:tcW w:w="4050" w:type="dxa"/>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20.2006</w:t>
            </w:r>
          </w:p>
        </w:tc>
        <w:tc>
          <w:tcPr>
            <w:tcW w:w="180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590" w:type="dxa"/>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Burden included in OMB clearance for NRC Forms 540-542 (OMB clearance nos. 3150-0164, 3150-0166, 3150-0166)</w:t>
            </w:r>
          </w:p>
        </w:tc>
      </w:tr>
    </w:tbl>
    <w:p w:rsidR="00836A1B" w:rsidRPr="00DF6F31" w:rsidRDefault="00836A1B" w:rsidP="00836A1B">
      <w:pPr>
        <w:rPr>
          <w:sz w:val="20"/>
          <w:szCs w:val="20"/>
        </w:rPr>
        <w:sectPr w:rsidR="00836A1B" w:rsidRPr="00DF6F31" w:rsidSect="00F27549">
          <w:footnotePr>
            <w:numRestart w:val="eachPage"/>
          </w:footnotePr>
          <w:pgSz w:w="12240" w:h="15840"/>
          <w:pgMar w:top="720" w:right="1440" w:bottom="720" w:left="1440" w:header="1440" w:footer="1440" w:gutter="0"/>
          <w:cols w:space="720"/>
          <w:noEndnote/>
        </w:sectPr>
      </w:pPr>
    </w:p>
    <w:tbl>
      <w:tblPr>
        <w:tblW w:w="13770" w:type="dxa"/>
        <w:tblInd w:w="-388" w:type="dxa"/>
        <w:tblLayout w:type="fixed"/>
        <w:tblCellMar>
          <w:left w:w="62" w:type="dxa"/>
          <w:right w:w="62" w:type="dxa"/>
        </w:tblCellMar>
        <w:tblLook w:val="0000"/>
      </w:tblPr>
      <w:tblGrid>
        <w:gridCol w:w="4050"/>
        <w:gridCol w:w="1800"/>
        <w:gridCol w:w="4680"/>
        <w:gridCol w:w="1260"/>
        <w:gridCol w:w="1980"/>
      </w:tblGrid>
      <w:tr w:rsidR="00E956C2"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shd w:val="pct12" w:color="auto" w:fill="auto"/>
          </w:tcPr>
          <w:p w:rsidR="00E956C2" w:rsidRPr="00DF6F31" w:rsidRDefault="00E956C2" w:rsidP="00836A1B">
            <w:pPr>
              <w:numPr>
                <w:ilvl w:val="12"/>
                <w:numId w:val="0"/>
              </w:numPr>
              <w:spacing w:before="100" w:after="52"/>
              <w:jc w:val="center"/>
              <w:rPr>
                <w:sz w:val="20"/>
                <w:szCs w:val="20"/>
              </w:rPr>
            </w:pPr>
            <w:r w:rsidRPr="00DF6F31">
              <w:rPr>
                <w:sz w:val="20"/>
                <w:szCs w:val="20"/>
              </w:rPr>
              <w:lastRenderedPageBreak/>
              <w:t>SECTION</w:t>
            </w:r>
          </w:p>
        </w:tc>
        <w:tc>
          <w:tcPr>
            <w:tcW w:w="1800" w:type="dxa"/>
            <w:tcBorders>
              <w:top w:val="single" w:sz="6" w:space="0" w:color="000000"/>
              <w:left w:val="single" w:sz="6" w:space="0" w:color="000000"/>
              <w:bottom w:val="single" w:sz="6" w:space="0" w:color="000000"/>
              <w:right w:val="single" w:sz="6" w:space="0" w:color="000000"/>
            </w:tcBorders>
            <w:shd w:val="pct12" w:color="auto" w:fill="auto"/>
          </w:tcPr>
          <w:p w:rsidR="00E956C2" w:rsidRPr="00DF6F31" w:rsidRDefault="00E956C2" w:rsidP="00E956C2">
            <w:pPr>
              <w:numPr>
                <w:ilvl w:val="12"/>
                <w:numId w:val="0"/>
              </w:numPr>
              <w:spacing w:before="100" w:after="52"/>
              <w:jc w:val="center"/>
              <w:rPr>
                <w:sz w:val="20"/>
                <w:szCs w:val="20"/>
              </w:rPr>
            </w:pPr>
            <w:r w:rsidRPr="00DF6F31">
              <w:rPr>
                <w:sz w:val="20"/>
                <w:szCs w:val="20"/>
              </w:rPr>
              <w:t>TOTAL HOURS</w:t>
            </w:r>
          </w:p>
        </w:tc>
        <w:tc>
          <w:tcPr>
            <w:tcW w:w="4680" w:type="dxa"/>
            <w:tcBorders>
              <w:top w:val="single" w:sz="6" w:space="0" w:color="000000"/>
              <w:left w:val="single" w:sz="6" w:space="0" w:color="000000"/>
              <w:bottom w:val="single" w:sz="6" w:space="0" w:color="000000"/>
              <w:right w:val="single" w:sz="6" w:space="0" w:color="000000"/>
            </w:tcBorders>
            <w:shd w:val="pct12" w:color="auto" w:fill="auto"/>
          </w:tcPr>
          <w:p w:rsidR="00E956C2" w:rsidRPr="00DF6F31" w:rsidRDefault="00E956C2" w:rsidP="00836A1B">
            <w:pPr>
              <w:numPr>
                <w:ilvl w:val="12"/>
                <w:numId w:val="0"/>
              </w:numPr>
              <w:spacing w:before="100" w:after="52"/>
              <w:rPr>
                <w:sz w:val="20"/>
                <w:szCs w:val="20"/>
              </w:rPr>
            </w:pPr>
            <w:r w:rsidRPr="00DF6F31">
              <w:rPr>
                <w:sz w:val="20"/>
                <w:szCs w:val="20"/>
              </w:rPr>
              <w:t>NOTES</w:t>
            </w: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20.2102(a)</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EF0783" w:rsidP="003D5549">
            <w:pPr>
              <w:numPr>
                <w:ilvl w:val="12"/>
                <w:numId w:val="0"/>
              </w:numPr>
              <w:spacing w:before="100" w:after="52"/>
              <w:jc w:val="center"/>
              <w:rPr>
                <w:strike/>
                <w:sz w:val="20"/>
                <w:szCs w:val="20"/>
              </w:rPr>
            </w:pPr>
            <w:r w:rsidRPr="00DF6F31">
              <w:rPr>
                <w:sz w:val="20"/>
                <w:szCs w:val="20"/>
              </w:rPr>
              <w:t>2250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20.2103(a)</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3D5549">
            <w:pPr>
              <w:numPr>
                <w:ilvl w:val="12"/>
                <w:numId w:val="0"/>
              </w:numPr>
              <w:spacing w:before="100" w:after="52"/>
              <w:jc w:val="center"/>
              <w:rPr>
                <w:strike/>
                <w:sz w:val="20"/>
                <w:szCs w:val="20"/>
              </w:rPr>
            </w:pPr>
            <w:r w:rsidRPr="00DF6F31">
              <w:rPr>
                <w:sz w:val="20"/>
                <w:szCs w:val="20"/>
              </w:rPr>
              <w:t>3000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p>
        </w:tc>
      </w:tr>
      <w:tr w:rsidR="00836A1B"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20.2103(b)</w:t>
            </w:r>
          </w:p>
        </w:tc>
        <w:tc>
          <w:tcPr>
            <w:tcW w:w="1800" w:type="dxa"/>
            <w:tcBorders>
              <w:top w:val="single" w:sz="6" w:space="0" w:color="000000"/>
              <w:left w:val="single" w:sz="6" w:space="0" w:color="000000"/>
              <w:bottom w:val="single" w:sz="6" w:space="0" w:color="000000"/>
              <w:right w:val="single" w:sz="6" w:space="0" w:color="000000"/>
            </w:tcBorders>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680" w:type="dxa"/>
            <w:tcBorders>
              <w:top w:val="single" w:sz="6" w:space="0" w:color="000000"/>
              <w:left w:val="single" w:sz="6" w:space="0" w:color="000000"/>
              <w:bottom w:val="single" w:sz="6" w:space="0" w:color="000000"/>
              <w:right w:val="single" w:sz="6" w:space="0" w:color="000000"/>
            </w:tcBorders>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see §20.2103(a)</w:t>
            </w:r>
          </w:p>
        </w:tc>
      </w:tr>
      <w:tr w:rsidR="00836A1B"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20.2104</w:t>
            </w:r>
          </w:p>
        </w:tc>
        <w:tc>
          <w:tcPr>
            <w:tcW w:w="1800" w:type="dxa"/>
            <w:tcBorders>
              <w:top w:val="single" w:sz="6" w:space="0" w:color="000000"/>
              <w:left w:val="single" w:sz="6" w:space="0" w:color="000000"/>
              <w:bottom w:val="single" w:sz="6" w:space="0" w:color="000000"/>
              <w:right w:val="single" w:sz="6" w:space="0" w:color="000000"/>
            </w:tcBorders>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680" w:type="dxa"/>
            <w:tcBorders>
              <w:top w:val="single" w:sz="6" w:space="0" w:color="000000"/>
              <w:left w:val="single" w:sz="6" w:space="0" w:color="000000"/>
              <w:bottom w:val="single" w:sz="6" w:space="0" w:color="000000"/>
              <w:right w:val="single" w:sz="6" w:space="0" w:color="000000"/>
            </w:tcBorders>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see § 20.2106</w:t>
            </w:r>
          </w:p>
        </w:tc>
      </w:tr>
      <w:tr w:rsidR="00836A1B"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20.2105</w:t>
            </w:r>
          </w:p>
        </w:tc>
        <w:tc>
          <w:tcPr>
            <w:tcW w:w="1800" w:type="dxa"/>
            <w:tcBorders>
              <w:top w:val="single" w:sz="6" w:space="0" w:color="000000"/>
              <w:left w:val="single" w:sz="6" w:space="0" w:color="000000"/>
              <w:bottom w:val="single" w:sz="6" w:space="0" w:color="000000"/>
              <w:right w:val="single" w:sz="6" w:space="0" w:color="000000"/>
            </w:tcBorders>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680" w:type="dxa"/>
            <w:tcBorders>
              <w:top w:val="single" w:sz="6" w:space="0" w:color="000000"/>
              <w:left w:val="single" w:sz="6" w:space="0" w:color="000000"/>
              <w:bottom w:val="single" w:sz="6" w:space="0" w:color="000000"/>
              <w:right w:val="single" w:sz="6" w:space="0" w:color="000000"/>
            </w:tcBorders>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none expected</w:t>
            </w:r>
          </w:p>
        </w:tc>
      </w:tr>
      <w:tr w:rsidR="00836A1B"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836A1B" w:rsidRPr="00DF6F31" w:rsidRDefault="00836A1B" w:rsidP="00E623AE">
            <w:pPr>
              <w:numPr>
                <w:ilvl w:val="12"/>
                <w:numId w:val="0"/>
              </w:numPr>
              <w:spacing w:before="100" w:after="52"/>
              <w:jc w:val="center"/>
              <w:rPr>
                <w:sz w:val="20"/>
                <w:szCs w:val="20"/>
              </w:rPr>
            </w:pPr>
            <w:r w:rsidRPr="00DF6F31">
              <w:rPr>
                <w:sz w:val="20"/>
                <w:szCs w:val="20"/>
              </w:rPr>
              <w:t>20.2106</w:t>
            </w:r>
          </w:p>
          <w:p w:rsidR="00483D4D" w:rsidRPr="00DF6F31" w:rsidRDefault="00483D4D" w:rsidP="00E623AE">
            <w:pPr>
              <w:numPr>
                <w:ilvl w:val="12"/>
                <w:numId w:val="0"/>
              </w:numPr>
              <w:spacing w:before="100" w:after="52"/>
              <w:jc w:val="center"/>
              <w:rPr>
                <w:sz w:val="20"/>
                <w:szCs w:val="20"/>
              </w:rPr>
            </w:pPr>
            <w:r w:rsidRPr="00DF6F31">
              <w:rPr>
                <w:sz w:val="20"/>
                <w:szCs w:val="20"/>
              </w:rPr>
              <w:t>(records of dose)</w:t>
            </w:r>
          </w:p>
        </w:tc>
        <w:tc>
          <w:tcPr>
            <w:tcW w:w="1800" w:type="dxa"/>
            <w:tcBorders>
              <w:top w:val="single" w:sz="6" w:space="0" w:color="000000"/>
              <w:left w:val="single" w:sz="6" w:space="0" w:color="000000"/>
              <w:bottom w:val="single" w:sz="6" w:space="0" w:color="000000"/>
              <w:right w:val="single" w:sz="6" w:space="0" w:color="000000"/>
            </w:tcBorders>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0</w:t>
            </w:r>
          </w:p>
        </w:tc>
        <w:tc>
          <w:tcPr>
            <w:tcW w:w="4680" w:type="dxa"/>
            <w:tcBorders>
              <w:top w:val="single" w:sz="6" w:space="0" w:color="000000"/>
              <w:left w:val="single" w:sz="6" w:space="0" w:color="000000"/>
              <w:bottom w:val="single" w:sz="6" w:space="0" w:color="000000"/>
              <w:right w:val="single" w:sz="6" w:space="0" w:color="000000"/>
            </w:tcBorders>
            <w:vAlign w:val="center"/>
          </w:tcPr>
          <w:p w:rsidR="00836A1B" w:rsidRPr="00DF6F31" w:rsidRDefault="00836A1B" w:rsidP="001370FF">
            <w:pPr>
              <w:numPr>
                <w:ilvl w:val="12"/>
                <w:numId w:val="0"/>
              </w:numPr>
              <w:spacing w:before="100" w:after="52"/>
              <w:jc w:val="center"/>
              <w:rPr>
                <w:sz w:val="20"/>
                <w:szCs w:val="20"/>
              </w:rPr>
            </w:pPr>
            <w:r w:rsidRPr="00DF6F31">
              <w:rPr>
                <w:sz w:val="20"/>
                <w:szCs w:val="20"/>
              </w:rPr>
              <w:t>Burden included in OMB Clearance for NRC Forms 4 and 5 (OMB clearance nos. 3150-0005, 3150-0006)</w:t>
            </w: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20.2106</w:t>
            </w:r>
          </w:p>
          <w:p w:rsidR="001370FF" w:rsidRPr="00DF6F31" w:rsidRDefault="001370FF" w:rsidP="00E623AE">
            <w:pPr>
              <w:numPr>
                <w:ilvl w:val="12"/>
                <w:numId w:val="0"/>
              </w:numPr>
              <w:spacing w:before="100" w:after="52"/>
              <w:jc w:val="center"/>
              <w:rPr>
                <w:sz w:val="20"/>
                <w:szCs w:val="20"/>
              </w:rPr>
            </w:pPr>
            <w:r w:rsidRPr="00DF6F31">
              <w:rPr>
                <w:sz w:val="20"/>
                <w:szCs w:val="20"/>
              </w:rPr>
              <w:t>(declaration of pregnancy)</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none expected</w:t>
            </w: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20.2107(a)</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7</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20.2107(b)</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see §20.2107(a)</w:t>
            </w: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20.2108(a)</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510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20.2108(b)</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see §20.2108(a)</w:t>
            </w: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20.2110</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format requirement only</w:t>
            </w: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20.2201(a)</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90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20.2201(b)</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90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20.2201(d)</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5</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20.2202(a)</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60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20.2202(b)</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117</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20.2203(a)</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320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20.2203(b)</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see § 20.2203(a)</w:t>
            </w: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20.2204</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100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20.2206(b)&amp;c)</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Burden included in OMB Clearance for NRC Forms 4 and 5 (OMB clearance nos. 3150-0005, 3150-0006)</w:t>
            </w: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20.2207(a), (b), (c), (d), (e), (g)</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99" w:after="51"/>
              <w:jc w:val="center"/>
              <w:rPr>
                <w:sz w:val="20"/>
                <w:szCs w:val="20"/>
              </w:rPr>
            </w:pPr>
            <w:r w:rsidRPr="00DF6F31">
              <w:rPr>
                <w:sz w:val="20"/>
                <w:szCs w:val="20"/>
              </w:rPr>
              <w:t>Burden included in OMB clearance for NRC Form 748**</w:t>
            </w:r>
          </w:p>
        </w:tc>
      </w:tr>
      <w:tr w:rsidR="001370FF" w:rsidRPr="00DF6F31" w:rsidTr="000778E5">
        <w:trPr>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99" w:after="52"/>
              <w:jc w:val="center"/>
              <w:rPr>
                <w:sz w:val="20"/>
                <w:szCs w:val="20"/>
              </w:rPr>
            </w:pPr>
            <w:r w:rsidRPr="00DF6F31">
              <w:rPr>
                <w:sz w:val="20"/>
                <w:szCs w:val="20"/>
              </w:rPr>
              <w:t>20.2207(h)</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99" w:after="52"/>
              <w:jc w:val="center"/>
              <w:rPr>
                <w:sz w:val="20"/>
                <w:szCs w:val="20"/>
              </w:rPr>
            </w:pPr>
            <w:r w:rsidRPr="00DF6F31">
              <w:rPr>
                <w:sz w:val="20"/>
                <w:szCs w:val="20"/>
              </w:rPr>
              <w:t>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99" w:after="52"/>
              <w:jc w:val="center"/>
              <w:rPr>
                <w:sz w:val="20"/>
                <w:szCs w:val="20"/>
              </w:rPr>
            </w:pPr>
            <w:r w:rsidRPr="00DF6F31">
              <w:rPr>
                <w:sz w:val="20"/>
                <w:szCs w:val="20"/>
              </w:rPr>
              <w:t>One time report completed</w:t>
            </w:r>
          </w:p>
        </w:tc>
        <w:tc>
          <w:tcPr>
            <w:tcW w:w="1260" w:type="dxa"/>
            <w:tcBorders>
              <w:left w:val="single" w:sz="6" w:space="0" w:color="000000"/>
            </w:tcBorders>
          </w:tcPr>
          <w:p w:rsidR="001370FF" w:rsidRPr="00DF6F31" w:rsidRDefault="001370FF" w:rsidP="00537044">
            <w:pPr>
              <w:numPr>
                <w:ilvl w:val="12"/>
                <w:numId w:val="0"/>
              </w:numPr>
              <w:spacing w:before="99" w:after="52"/>
              <w:jc w:val="center"/>
            </w:pPr>
          </w:p>
        </w:tc>
        <w:tc>
          <w:tcPr>
            <w:tcW w:w="1980" w:type="dxa"/>
          </w:tcPr>
          <w:p w:rsidR="001370FF" w:rsidRPr="00DF6F31" w:rsidRDefault="001370FF" w:rsidP="00537044">
            <w:pPr>
              <w:numPr>
                <w:ilvl w:val="12"/>
                <w:numId w:val="0"/>
              </w:numPr>
              <w:spacing w:before="99" w:after="52"/>
              <w:jc w:val="center"/>
            </w:pP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20.2301</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100</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E623AE">
            <w:pPr>
              <w:numPr>
                <w:ilvl w:val="12"/>
                <w:numId w:val="0"/>
              </w:numPr>
              <w:spacing w:before="100" w:after="52"/>
              <w:jc w:val="center"/>
              <w:rPr>
                <w:sz w:val="20"/>
                <w:szCs w:val="20"/>
              </w:rPr>
            </w:pPr>
            <w:r w:rsidRPr="00DF6F31">
              <w:rPr>
                <w:sz w:val="20"/>
                <w:szCs w:val="20"/>
              </w:rPr>
              <w:t>App G</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6</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r w:rsidRPr="00DF6F31">
              <w:rPr>
                <w:sz w:val="20"/>
                <w:szCs w:val="20"/>
              </w:rPr>
              <w:t>For Sections I and II, Burden included in OMB Clearance for NRC Forms 540-542 (OMB clearance nos. 3150-0164, 3150-0166, 3150-0165)</w:t>
            </w:r>
          </w:p>
        </w:tc>
      </w:tr>
      <w:tr w:rsidR="001370FF" w:rsidRPr="00DF6F31" w:rsidTr="000778E5">
        <w:trPr>
          <w:gridAfter w:val="2"/>
          <w:wAfter w:w="3240" w:type="dxa"/>
          <w:cantSplit/>
        </w:trPr>
        <w:tc>
          <w:tcPr>
            <w:tcW w:w="4050" w:type="dxa"/>
            <w:tcBorders>
              <w:top w:val="single" w:sz="6" w:space="0" w:color="000000"/>
              <w:left w:val="single" w:sz="6" w:space="0" w:color="000000"/>
              <w:bottom w:val="single" w:sz="6" w:space="0" w:color="000000"/>
              <w:right w:val="single" w:sz="6" w:space="0" w:color="000000"/>
            </w:tcBorders>
          </w:tcPr>
          <w:p w:rsidR="001370FF" w:rsidRPr="00DF6F31" w:rsidRDefault="001370FF" w:rsidP="00836A1B">
            <w:pPr>
              <w:numPr>
                <w:ilvl w:val="12"/>
                <w:numId w:val="0"/>
              </w:numPr>
              <w:spacing w:before="100" w:after="52"/>
              <w:jc w:val="center"/>
              <w:rPr>
                <w:sz w:val="20"/>
                <w:szCs w:val="20"/>
              </w:rPr>
            </w:pPr>
            <w:r w:rsidRPr="00DF6F31">
              <w:rPr>
                <w:sz w:val="20"/>
                <w:szCs w:val="20"/>
              </w:rPr>
              <w:t xml:space="preserve">    TOTAL</w:t>
            </w:r>
          </w:p>
        </w:tc>
        <w:tc>
          <w:tcPr>
            <w:tcW w:w="180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5A4784" w:rsidP="001370FF">
            <w:pPr>
              <w:numPr>
                <w:ilvl w:val="12"/>
                <w:numId w:val="0"/>
              </w:numPr>
              <w:spacing w:before="100" w:after="52"/>
              <w:jc w:val="center"/>
              <w:rPr>
                <w:sz w:val="20"/>
                <w:szCs w:val="20"/>
              </w:rPr>
            </w:pPr>
            <w:r w:rsidRPr="00DF6F31">
              <w:rPr>
                <w:sz w:val="20"/>
                <w:szCs w:val="20"/>
              </w:rPr>
              <w:t>7,951</w:t>
            </w:r>
          </w:p>
        </w:tc>
        <w:tc>
          <w:tcPr>
            <w:tcW w:w="4680" w:type="dxa"/>
            <w:tcBorders>
              <w:top w:val="single" w:sz="6" w:space="0" w:color="000000"/>
              <w:left w:val="single" w:sz="6" w:space="0" w:color="000000"/>
              <w:bottom w:val="single" w:sz="6" w:space="0" w:color="000000"/>
              <w:right w:val="single" w:sz="6" w:space="0" w:color="000000"/>
            </w:tcBorders>
            <w:vAlign w:val="center"/>
          </w:tcPr>
          <w:p w:rsidR="001370FF" w:rsidRPr="00DF6F31" w:rsidRDefault="001370FF" w:rsidP="001370FF">
            <w:pPr>
              <w:numPr>
                <w:ilvl w:val="12"/>
                <w:numId w:val="0"/>
              </w:numPr>
              <w:spacing w:before="100" w:after="52"/>
              <w:jc w:val="center"/>
              <w:rPr>
                <w:sz w:val="20"/>
                <w:szCs w:val="20"/>
              </w:rPr>
            </w:pPr>
          </w:p>
        </w:tc>
      </w:tr>
    </w:tbl>
    <w:p w:rsidR="00836A1B" w:rsidRPr="000778E5" w:rsidRDefault="00C54D1F" w:rsidP="00836A1B">
      <w:pPr>
        <w:numPr>
          <w:ilvl w:val="12"/>
          <w:numId w:val="0"/>
        </w:numPr>
        <w:rPr>
          <w:sz w:val="20"/>
          <w:szCs w:val="20"/>
        </w:rPr>
      </w:pPr>
      <w:r w:rsidRPr="00DF6F31">
        <w:rPr>
          <w:sz w:val="20"/>
          <w:szCs w:val="20"/>
        </w:rPr>
        <w:t>**</w:t>
      </w:r>
      <w:r w:rsidR="00307F12" w:rsidRPr="00DF6F31">
        <w:rPr>
          <w:sz w:val="20"/>
          <w:szCs w:val="20"/>
        </w:rPr>
        <w:t xml:space="preserve">Costs for operating the national source tracking system are estimated to be </w:t>
      </w:r>
      <w:r w:rsidR="00EA7416" w:rsidRPr="00DF6F31">
        <w:rPr>
          <w:sz w:val="20"/>
          <w:szCs w:val="20"/>
        </w:rPr>
        <w:t>$</w:t>
      </w:r>
      <w:r w:rsidR="00307F12" w:rsidRPr="00DF6F31">
        <w:rPr>
          <w:sz w:val="20"/>
          <w:szCs w:val="20"/>
        </w:rPr>
        <w:t>3</w:t>
      </w:r>
      <w:r w:rsidR="00EA7416" w:rsidRPr="00DF6F31">
        <w:rPr>
          <w:sz w:val="20"/>
          <w:szCs w:val="20"/>
        </w:rPr>
        <w:t>,</w:t>
      </w:r>
      <w:r w:rsidR="00307F12" w:rsidRPr="00DF6F31">
        <w:rPr>
          <w:sz w:val="20"/>
          <w:szCs w:val="20"/>
        </w:rPr>
        <w:t>0</w:t>
      </w:r>
      <w:r w:rsidR="00EA7416" w:rsidRPr="00DF6F31">
        <w:rPr>
          <w:sz w:val="20"/>
          <w:szCs w:val="20"/>
        </w:rPr>
        <w:t>00,000 per year.  This includes the cost of ADP, record holding, and cleri</w:t>
      </w:r>
      <w:r w:rsidR="00307F12" w:rsidRPr="00DF6F31">
        <w:rPr>
          <w:sz w:val="20"/>
          <w:szCs w:val="20"/>
        </w:rPr>
        <w:t>cal processing of NRC Form 748.  These costs are included in clearance 3150-0202, NRC Form 748, National Source Tracking Report.</w:t>
      </w:r>
    </w:p>
    <w:sectPr w:rsidR="00836A1B" w:rsidRPr="000778E5" w:rsidSect="00F27549">
      <w:footerReference w:type="default" r:id="rId11"/>
      <w:pgSz w:w="12240" w:h="15840"/>
      <w:pgMar w:top="720" w:right="1440" w:bottom="72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AA0" w:rsidRDefault="00826AA0">
      <w:r>
        <w:separator/>
      </w:r>
    </w:p>
  </w:endnote>
  <w:endnote w:type="continuationSeparator" w:id="0">
    <w:p w:rsidR="00826AA0" w:rsidRDefault="00826A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WP TypographicSymbols">
    <w:altName w:val="Courier10 BT"/>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AB" w:rsidRDefault="007033FD" w:rsidP="000778E5">
    <w:pPr>
      <w:framePr w:wrap="notBeside" w:vAnchor="text" w:hAnchor="page" w:x="6046" w:y="787"/>
    </w:pPr>
    <w:fldSimple w:instr=" PAGE  ">
      <w:r w:rsidR="00A43BCE">
        <w:rPr>
          <w:noProof/>
        </w:rPr>
        <w:t>16</w:t>
      </w:r>
    </w:fldSimple>
  </w:p>
  <w:p w:rsidR="003175AB" w:rsidRDefault="003175AB" w:rsidP="00E639AF">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AB" w:rsidRDefault="007033FD">
    <w:pPr>
      <w:framePr w:wrap="notBeside" w:hAnchor="text" w:xAlign="center"/>
    </w:pPr>
    <w:fldSimple w:instr=" PAGE  ">
      <w:r w:rsidR="00A43BCE">
        <w:rPr>
          <w:noProof/>
        </w:rPr>
        <w:t>24</w:t>
      </w:r>
    </w:fldSimple>
  </w:p>
  <w:p w:rsidR="003175AB" w:rsidRDefault="003175AB">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AA0" w:rsidRDefault="00826AA0">
      <w:r>
        <w:separator/>
      </w:r>
    </w:p>
  </w:footnote>
  <w:footnote w:type="continuationSeparator" w:id="0">
    <w:p w:rsidR="00826AA0" w:rsidRDefault="00826AA0">
      <w:r>
        <w:continuationSeparator/>
      </w:r>
    </w:p>
  </w:footnote>
  <w:footnote w:id="1">
    <w:p w:rsidR="003175AB" w:rsidRDefault="003175AB">
      <w:pPr>
        <w:pStyle w:val="FootnoteText"/>
      </w:pPr>
      <w:r>
        <w:rPr>
          <w:rStyle w:val="FootnoteReference"/>
        </w:rPr>
        <w:footnoteRef/>
      </w:r>
      <w:r>
        <w:t xml:space="preserve"> RULT = Retained until license termination</w:t>
      </w:r>
    </w:p>
  </w:footnote>
  <w:footnote w:id="2">
    <w:p w:rsidR="003175AB" w:rsidRDefault="003175AB">
      <w:pPr>
        <w:pStyle w:val="FootnoteText"/>
      </w:pPr>
      <w:r w:rsidRPr="00DF6F31">
        <w:rPr>
          <w:rStyle w:val="FootnoteReference"/>
        </w:rPr>
        <w:footnoteRef/>
      </w:r>
      <w:r w:rsidRPr="00DF6F31">
        <w:t xml:space="preserve"> LOC  = Life of container</w:t>
      </w:r>
    </w:p>
  </w:footnote>
  <w:footnote w:id="3">
    <w:p w:rsidR="003175AB" w:rsidRDefault="003175AB">
      <w:pPr>
        <w:pStyle w:val="FootnoteText"/>
      </w:pPr>
      <w:r>
        <w:rPr>
          <w:rStyle w:val="FootnoteReference"/>
        </w:rPr>
        <w:t>1</w:t>
      </w:r>
      <w:r>
        <w:t xml:space="preserve"> RULT = Retained until license termination</w:t>
      </w:r>
    </w:p>
  </w:footnote>
  <w:footnote w:id="4">
    <w:p w:rsidR="003175AB" w:rsidRDefault="003175AB">
      <w:pPr>
        <w:pStyle w:val="FootnoteText"/>
      </w:pPr>
      <w:r w:rsidRPr="00DF6F31">
        <w:rPr>
          <w:rStyle w:val="FootnoteReference"/>
        </w:rPr>
        <w:footnoteRef/>
      </w:r>
      <w:r w:rsidRPr="00DF6F31">
        <w:t xml:space="preserve"> LOC  = Life of container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3A5174"/>
    <w:lvl w:ilvl="0">
      <w:numFmt w:val="bullet"/>
      <w:lvlText w:val="*"/>
      <w:lvlJc w:val="left"/>
    </w:lvl>
  </w:abstractNum>
  <w:abstractNum w:abstractNumId="1">
    <w:nsid w:val="04D74946"/>
    <w:multiLevelType w:val="hybridMultilevel"/>
    <w:tmpl w:val="99026E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C411F0"/>
    <w:multiLevelType w:val="hybridMultilevel"/>
    <w:tmpl w:val="9C166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4E1C4094"/>
    <w:multiLevelType w:val="hybridMultilevel"/>
    <w:tmpl w:val="0B8C61C2"/>
    <w:lvl w:ilvl="0" w:tplc="9AB6A456">
      <w:start w:val="1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
        <w:legacy w:legacy="1" w:legacySpace="0" w:legacyIndent="1"/>
        <w:lvlJc w:val="left"/>
        <w:pPr>
          <w:ind w:left="721" w:hanging="1"/>
        </w:pPr>
        <w:rPr>
          <w:rFonts w:ascii="Arial" w:hAnsi="Arial" w:cs="Arial" w:hint="default"/>
        </w:rPr>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rsids>
    <w:rsidRoot w:val="00836A1B"/>
    <w:rsid w:val="000171CE"/>
    <w:rsid w:val="00017BEA"/>
    <w:rsid w:val="000251A0"/>
    <w:rsid w:val="00026F20"/>
    <w:rsid w:val="000520A6"/>
    <w:rsid w:val="000555FA"/>
    <w:rsid w:val="00057317"/>
    <w:rsid w:val="00067897"/>
    <w:rsid w:val="0007215C"/>
    <w:rsid w:val="0007401D"/>
    <w:rsid w:val="00075D93"/>
    <w:rsid w:val="000778E5"/>
    <w:rsid w:val="00086B09"/>
    <w:rsid w:val="0009559B"/>
    <w:rsid w:val="000C15C7"/>
    <w:rsid w:val="000C74BA"/>
    <w:rsid w:val="000D32BF"/>
    <w:rsid w:val="000E7B2A"/>
    <w:rsid w:val="000F6BB0"/>
    <w:rsid w:val="00111C0A"/>
    <w:rsid w:val="00116EE2"/>
    <w:rsid w:val="00117359"/>
    <w:rsid w:val="00123A45"/>
    <w:rsid w:val="001249B4"/>
    <w:rsid w:val="001252DB"/>
    <w:rsid w:val="001259E5"/>
    <w:rsid w:val="001271D7"/>
    <w:rsid w:val="001370FF"/>
    <w:rsid w:val="00140063"/>
    <w:rsid w:val="0017759B"/>
    <w:rsid w:val="00177BF1"/>
    <w:rsid w:val="001868B0"/>
    <w:rsid w:val="001949AA"/>
    <w:rsid w:val="00196C09"/>
    <w:rsid w:val="001A2247"/>
    <w:rsid w:val="001A6A7B"/>
    <w:rsid w:val="001A7D99"/>
    <w:rsid w:val="001B39A4"/>
    <w:rsid w:val="001B44CC"/>
    <w:rsid w:val="001B57B2"/>
    <w:rsid w:val="001D09C1"/>
    <w:rsid w:val="001D4565"/>
    <w:rsid w:val="001D50E8"/>
    <w:rsid w:val="001E0EA7"/>
    <w:rsid w:val="001E1F00"/>
    <w:rsid w:val="001F3993"/>
    <w:rsid w:val="001F5BD2"/>
    <w:rsid w:val="0021304D"/>
    <w:rsid w:val="00215195"/>
    <w:rsid w:val="00217B9F"/>
    <w:rsid w:val="00252401"/>
    <w:rsid w:val="00257D36"/>
    <w:rsid w:val="002709BA"/>
    <w:rsid w:val="00271D19"/>
    <w:rsid w:val="00284322"/>
    <w:rsid w:val="00285BCF"/>
    <w:rsid w:val="002861CC"/>
    <w:rsid w:val="002A3EF9"/>
    <w:rsid w:val="002A60AF"/>
    <w:rsid w:val="002D4FDE"/>
    <w:rsid w:val="003071E8"/>
    <w:rsid w:val="00307F12"/>
    <w:rsid w:val="003175AB"/>
    <w:rsid w:val="00321C04"/>
    <w:rsid w:val="00323D32"/>
    <w:rsid w:val="003339F8"/>
    <w:rsid w:val="003369F1"/>
    <w:rsid w:val="0036655A"/>
    <w:rsid w:val="00377A4F"/>
    <w:rsid w:val="00391CC1"/>
    <w:rsid w:val="003A2702"/>
    <w:rsid w:val="003B5EF4"/>
    <w:rsid w:val="003D3981"/>
    <w:rsid w:val="003D5549"/>
    <w:rsid w:val="003E2F73"/>
    <w:rsid w:val="003F0C42"/>
    <w:rsid w:val="0040671B"/>
    <w:rsid w:val="00411CD7"/>
    <w:rsid w:val="004248AB"/>
    <w:rsid w:val="00441EDE"/>
    <w:rsid w:val="004509B9"/>
    <w:rsid w:val="00463C22"/>
    <w:rsid w:val="00472847"/>
    <w:rsid w:val="004824F8"/>
    <w:rsid w:val="00483D4D"/>
    <w:rsid w:val="0048541D"/>
    <w:rsid w:val="00497050"/>
    <w:rsid w:val="004A6B43"/>
    <w:rsid w:val="004A7609"/>
    <w:rsid w:val="004B72BF"/>
    <w:rsid w:val="004B79C4"/>
    <w:rsid w:val="004F17B4"/>
    <w:rsid w:val="005005DD"/>
    <w:rsid w:val="00503CF2"/>
    <w:rsid w:val="00504A0E"/>
    <w:rsid w:val="00504C95"/>
    <w:rsid w:val="00515EDB"/>
    <w:rsid w:val="005275C0"/>
    <w:rsid w:val="00534173"/>
    <w:rsid w:val="00536525"/>
    <w:rsid w:val="00537044"/>
    <w:rsid w:val="005374A2"/>
    <w:rsid w:val="00540A7D"/>
    <w:rsid w:val="00541F37"/>
    <w:rsid w:val="00543997"/>
    <w:rsid w:val="00557991"/>
    <w:rsid w:val="005717DE"/>
    <w:rsid w:val="00573DF0"/>
    <w:rsid w:val="00573E22"/>
    <w:rsid w:val="00575406"/>
    <w:rsid w:val="00587E9D"/>
    <w:rsid w:val="0059185A"/>
    <w:rsid w:val="00593C81"/>
    <w:rsid w:val="0059632B"/>
    <w:rsid w:val="005A060D"/>
    <w:rsid w:val="005A1097"/>
    <w:rsid w:val="005A1DC6"/>
    <w:rsid w:val="005A4784"/>
    <w:rsid w:val="005B2E9F"/>
    <w:rsid w:val="005C1CD4"/>
    <w:rsid w:val="005C2229"/>
    <w:rsid w:val="005D2ACC"/>
    <w:rsid w:val="005D3230"/>
    <w:rsid w:val="005F1B5D"/>
    <w:rsid w:val="005F7258"/>
    <w:rsid w:val="006010AC"/>
    <w:rsid w:val="0060433A"/>
    <w:rsid w:val="00605611"/>
    <w:rsid w:val="00614588"/>
    <w:rsid w:val="00622772"/>
    <w:rsid w:val="00626A2C"/>
    <w:rsid w:val="00630F02"/>
    <w:rsid w:val="00640007"/>
    <w:rsid w:val="006422A4"/>
    <w:rsid w:val="00650616"/>
    <w:rsid w:val="0066039C"/>
    <w:rsid w:val="006720EA"/>
    <w:rsid w:val="00673208"/>
    <w:rsid w:val="00685935"/>
    <w:rsid w:val="00692918"/>
    <w:rsid w:val="006A6516"/>
    <w:rsid w:val="006A72FE"/>
    <w:rsid w:val="006B3BF4"/>
    <w:rsid w:val="006B7387"/>
    <w:rsid w:val="006E0FEA"/>
    <w:rsid w:val="006E15FB"/>
    <w:rsid w:val="006E5784"/>
    <w:rsid w:val="006E6BCB"/>
    <w:rsid w:val="006E79AE"/>
    <w:rsid w:val="006F3672"/>
    <w:rsid w:val="006F68E7"/>
    <w:rsid w:val="00702CD8"/>
    <w:rsid w:val="007033FD"/>
    <w:rsid w:val="00705048"/>
    <w:rsid w:val="00713FE6"/>
    <w:rsid w:val="00715F81"/>
    <w:rsid w:val="007313EE"/>
    <w:rsid w:val="00733089"/>
    <w:rsid w:val="00735319"/>
    <w:rsid w:val="007460C5"/>
    <w:rsid w:val="00750333"/>
    <w:rsid w:val="00757095"/>
    <w:rsid w:val="00762B56"/>
    <w:rsid w:val="00763AD9"/>
    <w:rsid w:val="00771432"/>
    <w:rsid w:val="00771990"/>
    <w:rsid w:val="00782E00"/>
    <w:rsid w:val="00790B09"/>
    <w:rsid w:val="007C199D"/>
    <w:rsid w:val="007C4DB5"/>
    <w:rsid w:val="007D6870"/>
    <w:rsid w:val="007E09F9"/>
    <w:rsid w:val="007E36DC"/>
    <w:rsid w:val="008018B9"/>
    <w:rsid w:val="008039C1"/>
    <w:rsid w:val="0081081F"/>
    <w:rsid w:val="00824261"/>
    <w:rsid w:val="008244B9"/>
    <w:rsid w:val="00826AA0"/>
    <w:rsid w:val="00836A1B"/>
    <w:rsid w:val="0083715C"/>
    <w:rsid w:val="008420C2"/>
    <w:rsid w:val="00845AAB"/>
    <w:rsid w:val="00854266"/>
    <w:rsid w:val="00861788"/>
    <w:rsid w:val="008725FA"/>
    <w:rsid w:val="0087592C"/>
    <w:rsid w:val="008971D8"/>
    <w:rsid w:val="008974F0"/>
    <w:rsid w:val="008A62C0"/>
    <w:rsid w:val="008B48A3"/>
    <w:rsid w:val="008C1A4F"/>
    <w:rsid w:val="008C521F"/>
    <w:rsid w:val="008C5E84"/>
    <w:rsid w:val="008C70A6"/>
    <w:rsid w:val="008D1571"/>
    <w:rsid w:val="008E5B07"/>
    <w:rsid w:val="008F7159"/>
    <w:rsid w:val="009012B2"/>
    <w:rsid w:val="0091279C"/>
    <w:rsid w:val="0091355B"/>
    <w:rsid w:val="00917177"/>
    <w:rsid w:val="009215B9"/>
    <w:rsid w:val="009315B5"/>
    <w:rsid w:val="0093357B"/>
    <w:rsid w:val="00934F76"/>
    <w:rsid w:val="00936CAE"/>
    <w:rsid w:val="0095075A"/>
    <w:rsid w:val="00954726"/>
    <w:rsid w:val="009561A3"/>
    <w:rsid w:val="009578B9"/>
    <w:rsid w:val="009647D7"/>
    <w:rsid w:val="00964929"/>
    <w:rsid w:val="00975FD4"/>
    <w:rsid w:val="00990186"/>
    <w:rsid w:val="00991489"/>
    <w:rsid w:val="009A1CA3"/>
    <w:rsid w:val="009C3105"/>
    <w:rsid w:val="009D23BF"/>
    <w:rsid w:val="009E5658"/>
    <w:rsid w:val="009F23CD"/>
    <w:rsid w:val="009F5DF3"/>
    <w:rsid w:val="00A06A01"/>
    <w:rsid w:val="00A11BA7"/>
    <w:rsid w:val="00A24165"/>
    <w:rsid w:val="00A27B23"/>
    <w:rsid w:val="00A36DB7"/>
    <w:rsid w:val="00A43BCE"/>
    <w:rsid w:val="00A44A77"/>
    <w:rsid w:val="00A4535A"/>
    <w:rsid w:val="00A66559"/>
    <w:rsid w:val="00A74DCF"/>
    <w:rsid w:val="00A82D6C"/>
    <w:rsid w:val="00A84FA0"/>
    <w:rsid w:val="00A858B2"/>
    <w:rsid w:val="00A86A7F"/>
    <w:rsid w:val="00A96A14"/>
    <w:rsid w:val="00AA6F6F"/>
    <w:rsid w:val="00AA750E"/>
    <w:rsid w:val="00AB5ABB"/>
    <w:rsid w:val="00AB716C"/>
    <w:rsid w:val="00AE76D4"/>
    <w:rsid w:val="00B16E7A"/>
    <w:rsid w:val="00B25C79"/>
    <w:rsid w:val="00B365E5"/>
    <w:rsid w:val="00B42AE0"/>
    <w:rsid w:val="00B431A3"/>
    <w:rsid w:val="00B4383C"/>
    <w:rsid w:val="00B507C5"/>
    <w:rsid w:val="00B52266"/>
    <w:rsid w:val="00B561F3"/>
    <w:rsid w:val="00B56A52"/>
    <w:rsid w:val="00B83728"/>
    <w:rsid w:val="00B8567C"/>
    <w:rsid w:val="00B914AF"/>
    <w:rsid w:val="00BB1411"/>
    <w:rsid w:val="00BB1C77"/>
    <w:rsid w:val="00BE110E"/>
    <w:rsid w:val="00BE336A"/>
    <w:rsid w:val="00BE7C95"/>
    <w:rsid w:val="00BF3A52"/>
    <w:rsid w:val="00C00886"/>
    <w:rsid w:val="00C0235C"/>
    <w:rsid w:val="00C166BF"/>
    <w:rsid w:val="00C242E5"/>
    <w:rsid w:val="00C47085"/>
    <w:rsid w:val="00C54D1F"/>
    <w:rsid w:val="00C560FC"/>
    <w:rsid w:val="00C579C1"/>
    <w:rsid w:val="00C6007A"/>
    <w:rsid w:val="00C6075F"/>
    <w:rsid w:val="00C63E41"/>
    <w:rsid w:val="00C818CF"/>
    <w:rsid w:val="00C84A65"/>
    <w:rsid w:val="00C86498"/>
    <w:rsid w:val="00C96948"/>
    <w:rsid w:val="00CB65D9"/>
    <w:rsid w:val="00CC7E5C"/>
    <w:rsid w:val="00CD6463"/>
    <w:rsid w:val="00CE406C"/>
    <w:rsid w:val="00CE672B"/>
    <w:rsid w:val="00CF10AE"/>
    <w:rsid w:val="00CF430F"/>
    <w:rsid w:val="00D17BC7"/>
    <w:rsid w:val="00D22833"/>
    <w:rsid w:val="00D24164"/>
    <w:rsid w:val="00D30EC0"/>
    <w:rsid w:val="00D35BBE"/>
    <w:rsid w:val="00D513A6"/>
    <w:rsid w:val="00D71257"/>
    <w:rsid w:val="00D81296"/>
    <w:rsid w:val="00D83608"/>
    <w:rsid w:val="00D83A14"/>
    <w:rsid w:val="00D95D8C"/>
    <w:rsid w:val="00DB1628"/>
    <w:rsid w:val="00DB3865"/>
    <w:rsid w:val="00DD0D95"/>
    <w:rsid w:val="00DF6F31"/>
    <w:rsid w:val="00E1016B"/>
    <w:rsid w:val="00E21245"/>
    <w:rsid w:val="00E37E35"/>
    <w:rsid w:val="00E507B5"/>
    <w:rsid w:val="00E53F2F"/>
    <w:rsid w:val="00E623AE"/>
    <w:rsid w:val="00E639AF"/>
    <w:rsid w:val="00E8598C"/>
    <w:rsid w:val="00E86E68"/>
    <w:rsid w:val="00E9122B"/>
    <w:rsid w:val="00E92A2D"/>
    <w:rsid w:val="00E939FF"/>
    <w:rsid w:val="00E956C2"/>
    <w:rsid w:val="00EA515B"/>
    <w:rsid w:val="00EA7416"/>
    <w:rsid w:val="00EA74CD"/>
    <w:rsid w:val="00EB16EB"/>
    <w:rsid w:val="00EB734B"/>
    <w:rsid w:val="00EB747E"/>
    <w:rsid w:val="00EC2851"/>
    <w:rsid w:val="00EC5E3A"/>
    <w:rsid w:val="00EC7897"/>
    <w:rsid w:val="00EE73B1"/>
    <w:rsid w:val="00EE7E09"/>
    <w:rsid w:val="00EF0783"/>
    <w:rsid w:val="00EF2485"/>
    <w:rsid w:val="00F04762"/>
    <w:rsid w:val="00F05548"/>
    <w:rsid w:val="00F06F36"/>
    <w:rsid w:val="00F13AE8"/>
    <w:rsid w:val="00F22777"/>
    <w:rsid w:val="00F23D88"/>
    <w:rsid w:val="00F27549"/>
    <w:rsid w:val="00F418E7"/>
    <w:rsid w:val="00F42424"/>
    <w:rsid w:val="00F66230"/>
    <w:rsid w:val="00F7215E"/>
    <w:rsid w:val="00F721AF"/>
    <w:rsid w:val="00F82BDD"/>
    <w:rsid w:val="00F873C1"/>
    <w:rsid w:val="00F91E4E"/>
    <w:rsid w:val="00FA2A9D"/>
    <w:rsid w:val="00FA347C"/>
    <w:rsid w:val="00FA4A47"/>
    <w:rsid w:val="00FB4C45"/>
    <w:rsid w:val="00FD08EF"/>
    <w:rsid w:val="00FF3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A1B"/>
    <w:pPr>
      <w:autoSpaceDE w:val="0"/>
      <w:autoSpaceDN w:val="0"/>
      <w:adjustRightInd w:val="0"/>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36A1B"/>
    <w:pPr>
      <w:autoSpaceDE w:val="0"/>
      <w:autoSpaceDN w:val="0"/>
      <w:adjustRightInd w:val="0"/>
      <w:ind w:left="720"/>
    </w:pPr>
    <w:rPr>
      <w:sz w:val="24"/>
      <w:szCs w:val="24"/>
    </w:rPr>
  </w:style>
  <w:style w:type="paragraph" w:customStyle="1" w:styleId="Level2">
    <w:name w:val="Level 2"/>
    <w:rsid w:val="00836A1B"/>
    <w:pPr>
      <w:autoSpaceDE w:val="0"/>
      <w:autoSpaceDN w:val="0"/>
      <w:adjustRightInd w:val="0"/>
      <w:ind w:left="1440"/>
    </w:pPr>
    <w:rPr>
      <w:sz w:val="24"/>
      <w:szCs w:val="24"/>
    </w:rPr>
  </w:style>
  <w:style w:type="paragraph" w:customStyle="1" w:styleId="Level3">
    <w:name w:val="Level 3"/>
    <w:rsid w:val="00836A1B"/>
    <w:pPr>
      <w:autoSpaceDE w:val="0"/>
      <w:autoSpaceDN w:val="0"/>
      <w:adjustRightInd w:val="0"/>
      <w:ind w:left="2160"/>
    </w:pPr>
    <w:rPr>
      <w:sz w:val="24"/>
      <w:szCs w:val="24"/>
    </w:rPr>
  </w:style>
  <w:style w:type="paragraph" w:customStyle="1" w:styleId="Level4">
    <w:name w:val="Level 4"/>
    <w:rsid w:val="00836A1B"/>
    <w:pPr>
      <w:autoSpaceDE w:val="0"/>
      <w:autoSpaceDN w:val="0"/>
      <w:adjustRightInd w:val="0"/>
      <w:ind w:left="2880"/>
    </w:pPr>
    <w:rPr>
      <w:sz w:val="24"/>
      <w:szCs w:val="24"/>
    </w:rPr>
  </w:style>
  <w:style w:type="paragraph" w:customStyle="1" w:styleId="Level5">
    <w:name w:val="Level 5"/>
    <w:rsid w:val="00836A1B"/>
    <w:pPr>
      <w:autoSpaceDE w:val="0"/>
      <w:autoSpaceDN w:val="0"/>
      <w:adjustRightInd w:val="0"/>
      <w:ind w:left="3600"/>
    </w:pPr>
    <w:rPr>
      <w:sz w:val="24"/>
      <w:szCs w:val="24"/>
    </w:rPr>
  </w:style>
  <w:style w:type="paragraph" w:customStyle="1" w:styleId="Level6">
    <w:name w:val="Level 6"/>
    <w:rsid w:val="00836A1B"/>
    <w:pPr>
      <w:autoSpaceDE w:val="0"/>
      <w:autoSpaceDN w:val="0"/>
      <w:adjustRightInd w:val="0"/>
      <w:ind w:left="4320"/>
    </w:pPr>
    <w:rPr>
      <w:sz w:val="24"/>
      <w:szCs w:val="24"/>
    </w:rPr>
  </w:style>
  <w:style w:type="paragraph" w:customStyle="1" w:styleId="Level7">
    <w:name w:val="Level 7"/>
    <w:rsid w:val="00836A1B"/>
    <w:pPr>
      <w:autoSpaceDE w:val="0"/>
      <w:autoSpaceDN w:val="0"/>
      <w:adjustRightInd w:val="0"/>
      <w:ind w:left="5040"/>
    </w:pPr>
    <w:rPr>
      <w:sz w:val="24"/>
      <w:szCs w:val="24"/>
    </w:rPr>
  </w:style>
  <w:style w:type="paragraph" w:customStyle="1" w:styleId="Level8">
    <w:name w:val="Level 8"/>
    <w:rsid w:val="00836A1B"/>
    <w:pPr>
      <w:autoSpaceDE w:val="0"/>
      <w:autoSpaceDN w:val="0"/>
      <w:adjustRightInd w:val="0"/>
      <w:ind w:left="5760"/>
    </w:pPr>
    <w:rPr>
      <w:sz w:val="24"/>
      <w:szCs w:val="24"/>
    </w:rPr>
  </w:style>
  <w:style w:type="paragraph" w:customStyle="1" w:styleId="Level9">
    <w:name w:val="Level 9"/>
    <w:rsid w:val="00836A1B"/>
    <w:pPr>
      <w:autoSpaceDE w:val="0"/>
      <w:autoSpaceDN w:val="0"/>
      <w:adjustRightInd w:val="0"/>
      <w:ind w:left="6480"/>
    </w:pPr>
    <w:rPr>
      <w:sz w:val="24"/>
      <w:szCs w:val="24"/>
    </w:rPr>
  </w:style>
  <w:style w:type="paragraph" w:styleId="BalloonText">
    <w:name w:val="Balloon Text"/>
    <w:basedOn w:val="Normal"/>
    <w:semiHidden/>
    <w:rsid w:val="00D24164"/>
    <w:rPr>
      <w:rFonts w:ascii="Tahoma" w:hAnsi="Tahoma" w:cs="Tahoma"/>
      <w:sz w:val="16"/>
      <w:szCs w:val="16"/>
    </w:rPr>
  </w:style>
  <w:style w:type="character" w:styleId="CommentReference">
    <w:name w:val="annotation reference"/>
    <w:basedOn w:val="DefaultParagraphFont"/>
    <w:rsid w:val="00622772"/>
    <w:rPr>
      <w:sz w:val="16"/>
      <w:szCs w:val="16"/>
    </w:rPr>
  </w:style>
  <w:style w:type="paragraph" w:styleId="CommentText">
    <w:name w:val="annotation text"/>
    <w:basedOn w:val="Normal"/>
    <w:link w:val="CommentTextChar"/>
    <w:rsid w:val="00622772"/>
    <w:rPr>
      <w:sz w:val="20"/>
      <w:szCs w:val="20"/>
    </w:rPr>
  </w:style>
  <w:style w:type="character" w:customStyle="1" w:styleId="CommentTextChar">
    <w:name w:val="Comment Text Char"/>
    <w:basedOn w:val="DefaultParagraphFont"/>
    <w:link w:val="CommentText"/>
    <w:rsid w:val="00622772"/>
    <w:rPr>
      <w:rFonts w:ascii="Arial" w:hAnsi="Arial" w:cs="Arial"/>
    </w:rPr>
  </w:style>
  <w:style w:type="paragraph" w:styleId="CommentSubject">
    <w:name w:val="annotation subject"/>
    <w:basedOn w:val="CommentText"/>
    <w:next w:val="CommentText"/>
    <w:link w:val="CommentSubjectChar"/>
    <w:rsid w:val="00622772"/>
    <w:rPr>
      <w:b/>
      <w:bCs/>
    </w:rPr>
  </w:style>
  <w:style w:type="character" w:customStyle="1" w:styleId="CommentSubjectChar">
    <w:name w:val="Comment Subject Char"/>
    <w:basedOn w:val="CommentTextChar"/>
    <w:link w:val="CommentSubject"/>
    <w:rsid w:val="00622772"/>
    <w:rPr>
      <w:b/>
      <w:bCs/>
    </w:rPr>
  </w:style>
  <w:style w:type="paragraph" w:styleId="Header">
    <w:name w:val="header"/>
    <w:basedOn w:val="Normal"/>
    <w:link w:val="HeaderChar"/>
    <w:rsid w:val="004824F8"/>
    <w:pPr>
      <w:tabs>
        <w:tab w:val="center" w:pos="4680"/>
        <w:tab w:val="right" w:pos="9360"/>
      </w:tabs>
    </w:pPr>
  </w:style>
  <w:style w:type="character" w:customStyle="1" w:styleId="HeaderChar">
    <w:name w:val="Header Char"/>
    <w:basedOn w:val="DefaultParagraphFont"/>
    <w:link w:val="Header"/>
    <w:rsid w:val="004824F8"/>
    <w:rPr>
      <w:rFonts w:ascii="Arial" w:hAnsi="Arial" w:cs="Arial"/>
      <w:sz w:val="22"/>
      <w:szCs w:val="22"/>
    </w:rPr>
  </w:style>
  <w:style w:type="paragraph" w:styleId="Footer">
    <w:name w:val="footer"/>
    <w:basedOn w:val="Normal"/>
    <w:link w:val="FooterChar"/>
    <w:rsid w:val="004824F8"/>
    <w:pPr>
      <w:tabs>
        <w:tab w:val="center" w:pos="4680"/>
        <w:tab w:val="right" w:pos="9360"/>
      </w:tabs>
    </w:pPr>
  </w:style>
  <w:style w:type="character" w:customStyle="1" w:styleId="FooterChar">
    <w:name w:val="Footer Char"/>
    <w:basedOn w:val="DefaultParagraphFont"/>
    <w:link w:val="Footer"/>
    <w:rsid w:val="004824F8"/>
    <w:rPr>
      <w:rFonts w:ascii="Arial" w:hAnsi="Arial" w:cs="Arial"/>
      <w:sz w:val="22"/>
      <w:szCs w:val="22"/>
    </w:rPr>
  </w:style>
  <w:style w:type="paragraph" w:styleId="Revision">
    <w:name w:val="Revision"/>
    <w:hidden/>
    <w:uiPriority w:val="99"/>
    <w:semiHidden/>
    <w:rsid w:val="0066039C"/>
    <w:rPr>
      <w:rFonts w:ascii="Arial" w:hAnsi="Arial" w:cs="Arial"/>
      <w:sz w:val="22"/>
      <w:szCs w:val="22"/>
    </w:rPr>
  </w:style>
  <w:style w:type="character" w:styleId="Hyperlink">
    <w:name w:val="Hyperlink"/>
    <w:basedOn w:val="DefaultParagraphFont"/>
    <w:uiPriority w:val="99"/>
    <w:unhideWhenUsed/>
    <w:rsid w:val="0081081F"/>
    <w:rPr>
      <w:color w:val="0000FF"/>
      <w:u w:val="single"/>
    </w:rPr>
  </w:style>
  <w:style w:type="paragraph" w:styleId="FootnoteText">
    <w:name w:val="footnote text"/>
    <w:basedOn w:val="Normal"/>
    <w:link w:val="FootnoteTextChar"/>
    <w:rsid w:val="0081081F"/>
    <w:rPr>
      <w:sz w:val="20"/>
      <w:szCs w:val="20"/>
    </w:rPr>
  </w:style>
  <w:style w:type="character" w:customStyle="1" w:styleId="FootnoteTextChar">
    <w:name w:val="Footnote Text Char"/>
    <w:basedOn w:val="DefaultParagraphFont"/>
    <w:link w:val="FootnoteText"/>
    <w:rsid w:val="0081081F"/>
    <w:rPr>
      <w:rFonts w:ascii="Arial" w:hAnsi="Arial" w:cs="Arial"/>
    </w:rPr>
  </w:style>
  <w:style w:type="character" w:styleId="FootnoteReference">
    <w:name w:val="footnote reference"/>
    <w:basedOn w:val="DefaultParagraphFont"/>
    <w:rsid w:val="0081081F"/>
    <w:rPr>
      <w:vertAlign w:val="superscript"/>
    </w:rPr>
  </w:style>
</w:styles>
</file>

<file path=word/webSettings.xml><?xml version="1.0" encoding="utf-8"?>
<w:webSettings xmlns:r="http://schemas.openxmlformats.org/officeDocument/2006/relationships" xmlns:w="http://schemas.openxmlformats.org/wordprocessingml/2006/main">
  <w:divs>
    <w:div w:id="34045935">
      <w:bodyDiv w:val="1"/>
      <w:marLeft w:val="0"/>
      <w:marRight w:val="0"/>
      <w:marTop w:val="0"/>
      <w:marBottom w:val="0"/>
      <w:divBdr>
        <w:top w:val="none" w:sz="0" w:space="0" w:color="auto"/>
        <w:left w:val="none" w:sz="0" w:space="0" w:color="auto"/>
        <w:bottom w:val="none" w:sz="0" w:space="0" w:color="auto"/>
        <w:right w:val="none" w:sz="0" w:space="0" w:color="auto"/>
      </w:divBdr>
      <w:divsChild>
        <w:div w:id="1415474233">
          <w:marLeft w:val="0"/>
          <w:marRight w:val="0"/>
          <w:marTop w:val="0"/>
          <w:marBottom w:val="0"/>
          <w:divBdr>
            <w:top w:val="none" w:sz="0" w:space="0" w:color="auto"/>
            <w:left w:val="none" w:sz="0" w:space="0" w:color="auto"/>
            <w:bottom w:val="none" w:sz="0" w:space="0" w:color="auto"/>
            <w:right w:val="none" w:sz="0" w:space="0" w:color="auto"/>
          </w:divBdr>
          <w:divsChild>
            <w:div w:id="1025062604">
              <w:marLeft w:val="0"/>
              <w:marRight w:val="0"/>
              <w:marTop w:val="0"/>
              <w:marBottom w:val="0"/>
              <w:divBdr>
                <w:top w:val="none" w:sz="0" w:space="0" w:color="auto"/>
                <w:left w:val="none" w:sz="0" w:space="0" w:color="auto"/>
                <w:bottom w:val="none" w:sz="0" w:space="0" w:color="auto"/>
                <w:right w:val="none" w:sz="0" w:space="0" w:color="auto"/>
              </w:divBdr>
              <w:divsChild>
                <w:div w:id="770664664">
                  <w:marLeft w:val="0"/>
                  <w:marRight w:val="0"/>
                  <w:marTop w:val="0"/>
                  <w:marBottom w:val="0"/>
                  <w:divBdr>
                    <w:top w:val="none" w:sz="0" w:space="0" w:color="auto"/>
                    <w:left w:val="none" w:sz="0" w:space="0" w:color="auto"/>
                    <w:bottom w:val="none" w:sz="0" w:space="0" w:color="auto"/>
                    <w:right w:val="none" w:sz="0" w:space="0" w:color="auto"/>
                  </w:divBdr>
                  <w:divsChild>
                    <w:div w:id="102266366">
                      <w:marLeft w:val="0"/>
                      <w:marRight w:val="0"/>
                      <w:marTop w:val="0"/>
                      <w:marBottom w:val="0"/>
                      <w:divBdr>
                        <w:top w:val="none" w:sz="0" w:space="0" w:color="auto"/>
                        <w:left w:val="none" w:sz="0" w:space="0" w:color="auto"/>
                        <w:bottom w:val="none" w:sz="0" w:space="0" w:color="auto"/>
                        <w:right w:val="none" w:sz="0" w:space="0" w:color="auto"/>
                      </w:divBdr>
                      <w:divsChild>
                        <w:div w:id="407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9445">
      <w:bodyDiv w:val="1"/>
      <w:marLeft w:val="0"/>
      <w:marRight w:val="0"/>
      <w:marTop w:val="0"/>
      <w:marBottom w:val="0"/>
      <w:divBdr>
        <w:top w:val="none" w:sz="0" w:space="0" w:color="auto"/>
        <w:left w:val="none" w:sz="0" w:space="0" w:color="auto"/>
        <w:bottom w:val="none" w:sz="0" w:space="0" w:color="auto"/>
        <w:right w:val="none" w:sz="0" w:space="0" w:color="auto"/>
      </w:divBdr>
    </w:div>
    <w:div w:id="467433331">
      <w:bodyDiv w:val="1"/>
      <w:marLeft w:val="0"/>
      <w:marRight w:val="0"/>
      <w:marTop w:val="0"/>
      <w:marBottom w:val="0"/>
      <w:divBdr>
        <w:top w:val="none" w:sz="0" w:space="0" w:color="auto"/>
        <w:left w:val="none" w:sz="0" w:space="0" w:color="auto"/>
        <w:bottom w:val="none" w:sz="0" w:space="0" w:color="auto"/>
        <w:right w:val="none" w:sz="0" w:space="0" w:color="auto"/>
      </w:divBdr>
    </w:div>
    <w:div w:id="489906872">
      <w:bodyDiv w:val="1"/>
      <w:marLeft w:val="0"/>
      <w:marRight w:val="0"/>
      <w:marTop w:val="0"/>
      <w:marBottom w:val="0"/>
      <w:divBdr>
        <w:top w:val="none" w:sz="0" w:space="0" w:color="auto"/>
        <w:left w:val="none" w:sz="0" w:space="0" w:color="auto"/>
        <w:bottom w:val="none" w:sz="0" w:space="0" w:color="auto"/>
        <w:right w:val="none" w:sz="0" w:space="0" w:color="auto"/>
      </w:divBdr>
    </w:div>
    <w:div w:id="548224284">
      <w:bodyDiv w:val="1"/>
      <w:marLeft w:val="0"/>
      <w:marRight w:val="0"/>
      <w:marTop w:val="0"/>
      <w:marBottom w:val="0"/>
      <w:divBdr>
        <w:top w:val="none" w:sz="0" w:space="0" w:color="auto"/>
        <w:left w:val="none" w:sz="0" w:space="0" w:color="auto"/>
        <w:bottom w:val="none" w:sz="0" w:space="0" w:color="auto"/>
        <w:right w:val="none" w:sz="0" w:space="0" w:color="auto"/>
      </w:divBdr>
    </w:div>
    <w:div w:id="597103457">
      <w:bodyDiv w:val="1"/>
      <w:marLeft w:val="0"/>
      <w:marRight w:val="0"/>
      <w:marTop w:val="0"/>
      <w:marBottom w:val="0"/>
      <w:divBdr>
        <w:top w:val="none" w:sz="0" w:space="0" w:color="auto"/>
        <w:left w:val="none" w:sz="0" w:space="0" w:color="auto"/>
        <w:bottom w:val="none" w:sz="0" w:space="0" w:color="auto"/>
        <w:right w:val="none" w:sz="0" w:space="0" w:color="auto"/>
      </w:divBdr>
    </w:div>
    <w:div w:id="716784235">
      <w:bodyDiv w:val="1"/>
      <w:marLeft w:val="0"/>
      <w:marRight w:val="0"/>
      <w:marTop w:val="0"/>
      <w:marBottom w:val="0"/>
      <w:divBdr>
        <w:top w:val="none" w:sz="0" w:space="0" w:color="auto"/>
        <w:left w:val="none" w:sz="0" w:space="0" w:color="auto"/>
        <w:bottom w:val="none" w:sz="0" w:space="0" w:color="auto"/>
        <w:right w:val="none" w:sz="0" w:space="0" w:color="auto"/>
      </w:divBdr>
    </w:div>
    <w:div w:id="830102578">
      <w:bodyDiv w:val="1"/>
      <w:marLeft w:val="0"/>
      <w:marRight w:val="0"/>
      <w:marTop w:val="0"/>
      <w:marBottom w:val="0"/>
      <w:divBdr>
        <w:top w:val="none" w:sz="0" w:space="0" w:color="auto"/>
        <w:left w:val="none" w:sz="0" w:space="0" w:color="auto"/>
        <w:bottom w:val="none" w:sz="0" w:space="0" w:color="auto"/>
        <w:right w:val="none" w:sz="0" w:space="0" w:color="auto"/>
      </w:divBdr>
    </w:div>
    <w:div w:id="1015114978">
      <w:bodyDiv w:val="1"/>
      <w:marLeft w:val="0"/>
      <w:marRight w:val="0"/>
      <w:marTop w:val="0"/>
      <w:marBottom w:val="0"/>
      <w:divBdr>
        <w:top w:val="none" w:sz="0" w:space="0" w:color="auto"/>
        <w:left w:val="none" w:sz="0" w:space="0" w:color="auto"/>
        <w:bottom w:val="none" w:sz="0" w:space="0" w:color="auto"/>
        <w:right w:val="none" w:sz="0" w:space="0" w:color="auto"/>
      </w:divBdr>
    </w:div>
    <w:div w:id="1145926255">
      <w:bodyDiv w:val="1"/>
      <w:marLeft w:val="0"/>
      <w:marRight w:val="0"/>
      <w:marTop w:val="0"/>
      <w:marBottom w:val="0"/>
      <w:divBdr>
        <w:top w:val="none" w:sz="0" w:space="0" w:color="auto"/>
        <w:left w:val="none" w:sz="0" w:space="0" w:color="auto"/>
        <w:bottom w:val="none" w:sz="0" w:space="0" w:color="auto"/>
        <w:right w:val="none" w:sz="0" w:space="0" w:color="auto"/>
      </w:divBdr>
    </w:div>
    <w:div w:id="1609579218">
      <w:bodyDiv w:val="1"/>
      <w:marLeft w:val="0"/>
      <w:marRight w:val="0"/>
      <w:marTop w:val="0"/>
      <w:marBottom w:val="0"/>
      <w:divBdr>
        <w:top w:val="none" w:sz="0" w:space="0" w:color="auto"/>
        <w:left w:val="none" w:sz="0" w:space="0" w:color="auto"/>
        <w:bottom w:val="none" w:sz="0" w:space="0" w:color="auto"/>
        <w:right w:val="none" w:sz="0" w:space="0" w:color="auto"/>
      </w:divBdr>
    </w:div>
    <w:div w:id="1945769715">
      <w:bodyDiv w:val="1"/>
      <w:marLeft w:val="0"/>
      <w:marRight w:val="0"/>
      <w:marTop w:val="0"/>
      <w:marBottom w:val="0"/>
      <w:divBdr>
        <w:top w:val="none" w:sz="0" w:space="0" w:color="auto"/>
        <w:left w:val="none" w:sz="0" w:space="0" w:color="auto"/>
        <w:bottom w:val="none" w:sz="0" w:space="0" w:color="auto"/>
        <w:right w:val="none" w:sz="0" w:space="0" w:color="auto"/>
      </w:divBdr>
    </w:div>
    <w:div w:id="1971476030">
      <w:bodyDiv w:val="1"/>
      <w:marLeft w:val="0"/>
      <w:marRight w:val="0"/>
      <w:marTop w:val="0"/>
      <w:marBottom w:val="0"/>
      <w:divBdr>
        <w:top w:val="none" w:sz="0" w:space="0" w:color="auto"/>
        <w:left w:val="none" w:sz="0" w:space="0" w:color="auto"/>
        <w:bottom w:val="none" w:sz="0" w:space="0" w:color="auto"/>
        <w:right w:val="none" w:sz="0" w:space="0" w:color="auto"/>
      </w:divBdr>
    </w:div>
    <w:div w:id="19735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3D3B3-3B6C-4E74-9FA8-1A82D225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24</Pages>
  <Words>7784</Words>
  <Characters>44374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FINAL OMB SUPPORTING STATEMENT </vt:lpstr>
    </vt:vector>
  </TitlesOfParts>
  <Company>USNRC</Company>
  <LinksUpToDate>false</LinksUpToDate>
  <CharactersWithSpaces>52054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OMB SUPPORTING STATEMENT </dc:title>
  <dc:subject/>
  <dc:creator>Greg Trussell</dc:creator>
  <cp:keywords/>
  <dc:description/>
  <cp:lastModifiedBy>keb1</cp:lastModifiedBy>
  <cp:revision>12</cp:revision>
  <cp:lastPrinted>2012-03-01T22:13:00Z</cp:lastPrinted>
  <dcterms:created xsi:type="dcterms:W3CDTF">2012-01-26T15:39:00Z</dcterms:created>
  <dcterms:modified xsi:type="dcterms:W3CDTF">2012-03-21T20:18:00Z</dcterms:modified>
</cp:coreProperties>
</file>