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F2" w:rsidRPr="00455D4E" w:rsidRDefault="00386084" w:rsidP="00FE2669">
      <w:pPr>
        <w:widowControl/>
        <w:tabs>
          <w:tab w:val="left" w:pos="-1440"/>
        </w:tabs>
        <w:jc w:val="center"/>
        <w:rPr>
          <w:rFonts w:ascii="Times New Roman" w:hAnsi="Times New Roman"/>
          <w:b/>
          <w:szCs w:val="24"/>
        </w:rPr>
      </w:pPr>
      <w:bookmarkStart w:id="0" w:name="_GoBack"/>
      <w:bookmarkEnd w:id="0"/>
      <w:r w:rsidRPr="00455D4E">
        <w:rPr>
          <w:rFonts w:ascii="Times New Roman" w:hAnsi="Times New Roman"/>
          <w:b/>
          <w:szCs w:val="24"/>
        </w:rPr>
        <w:t>Supporting Statement for the</w:t>
      </w:r>
    </w:p>
    <w:p w:rsidR="005071F2" w:rsidRPr="00455D4E" w:rsidRDefault="005071F2" w:rsidP="00FE2669">
      <w:pPr>
        <w:widowControl/>
        <w:tabs>
          <w:tab w:val="left" w:pos="-1440"/>
        </w:tabs>
        <w:jc w:val="center"/>
        <w:rPr>
          <w:rFonts w:ascii="Times New Roman" w:hAnsi="Times New Roman"/>
          <w:b/>
          <w:szCs w:val="24"/>
        </w:rPr>
      </w:pPr>
      <w:r w:rsidRPr="00455D4E">
        <w:rPr>
          <w:rFonts w:ascii="Times New Roman" w:hAnsi="Times New Roman"/>
          <w:b/>
          <w:szCs w:val="24"/>
        </w:rPr>
        <w:t>R</w:t>
      </w:r>
      <w:r w:rsidR="00D757AD" w:rsidRPr="00455D4E">
        <w:rPr>
          <w:rFonts w:ascii="Times New Roman" w:hAnsi="Times New Roman"/>
          <w:b/>
          <w:szCs w:val="24"/>
        </w:rPr>
        <w:t xml:space="preserve">ecordkeeping </w:t>
      </w:r>
      <w:r w:rsidR="008C583C" w:rsidRPr="00455D4E">
        <w:rPr>
          <w:rFonts w:ascii="Times New Roman" w:hAnsi="Times New Roman"/>
          <w:b/>
          <w:szCs w:val="24"/>
        </w:rPr>
        <w:t xml:space="preserve">Provisions </w:t>
      </w:r>
      <w:r w:rsidR="00726339" w:rsidRPr="00455D4E">
        <w:rPr>
          <w:rFonts w:ascii="Times New Roman" w:hAnsi="Times New Roman"/>
          <w:b/>
          <w:szCs w:val="24"/>
        </w:rPr>
        <w:t>Associated with</w:t>
      </w:r>
    </w:p>
    <w:p w:rsidR="00C34761" w:rsidRPr="00455D4E" w:rsidRDefault="00FE2669">
      <w:pPr>
        <w:widowControl/>
        <w:tabs>
          <w:tab w:val="left" w:pos="-1440"/>
        </w:tabs>
        <w:jc w:val="center"/>
        <w:rPr>
          <w:rFonts w:ascii="Times New Roman" w:hAnsi="Times New Roman"/>
          <w:b/>
          <w:szCs w:val="24"/>
        </w:rPr>
      </w:pPr>
      <w:r w:rsidRPr="00455D4E">
        <w:rPr>
          <w:rFonts w:ascii="Times New Roman" w:hAnsi="Times New Roman"/>
          <w:b/>
          <w:szCs w:val="24"/>
        </w:rPr>
        <w:t xml:space="preserve"> </w:t>
      </w:r>
      <w:r w:rsidR="00C34761" w:rsidRPr="00455D4E">
        <w:rPr>
          <w:rFonts w:ascii="Times New Roman" w:hAnsi="Times New Roman"/>
          <w:b/>
          <w:szCs w:val="24"/>
        </w:rPr>
        <w:t>Guidance on Leveraged Lending</w:t>
      </w:r>
    </w:p>
    <w:p w:rsidR="00FE2669" w:rsidRPr="00455D4E" w:rsidRDefault="00FE2669" w:rsidP="00C34761">
      <w:pPr>
        <w:widowControl/>
        <w:tabs>
          <w:tab w:val="left" w:pos="-1440"/>
        </w:tabs>
        <w:jc w:val="center"/>
        <w:rPr>
          <w:rFonts w:ascii="Times New Roman" w:hAnsi="Times New Roman"/>
          <w:b/>
          <w:i/>
          <w:szCs w:val="24"/>
        </w:rPr>
      </w:pPr>
      <w:r w:rsidRPr="00455D4E">
        <w:rPr>
          <w:rFonts w:ascii="Times New Roman" w:hAnsi="Times New Roman"/>
          <w:b/>
          <w:szCs w:val="24"/>
        </w:rPr>
        <w:t>(</w:t>
      </w:r>
      <w:r w:rsidR="006C33EF" w:rsidRPr="00455D4E">
        <w:rPr>
          <w:rFonts w:ascii="Times New Roman" w:hAnsi="Times New Roman"/>
          <w:b/>
          <w:szCs w:val="24"/>
        </w:rPr>
        <w:t>FR 420</w:t>
      </w:r>
      <w:r w:rsidR="00C34761" w:rsidRPr="00455D4E">
        <w:rPr>
          <w:rFonts w:ascii="Times New Roman" w:hAnsi="Times New Roman"/>
          <w:b/>
          <w:szCs w:val="24"/>
        </w:rPr>
        <w:t>3</w:t>
      </w:r>
      <w:r w:rsidR="0079691B" w:rsidRPr="00455D4E">
        <w:rPr>
          <w:rFonts w:ascii="Times New Roman" w:hAnsi="Times New Roman"/>
          <w:b/>
          <w:szCs w:val="24"/>
        </w:rPr>
        <w:t xml:space="preserve">; </w:t>
      </w:r>
      <w:r w:rsidRPr="00455D4E">
        <w:rPr>
          <w:rFonts w:ascii="Times New Roman" w:hAnsi="Times New Roman"/>
          <w:b/>
          <w:szCs w:val="24"/>
        </w:rPr>
        <w:t xml:space="preserve">OMB No. </w:t>
      </w:r>
      <w:r w:rsidR="00335439" w:rsidRPr="00455D4E">
        <w:rPr>
          <w:rFonts w:ascii="Times New Roman" w:hAnsi="Times New Roman"/>
          <w:b/>
          <w:szCs w:val="24"/>
        </w:rPr>
        <w:t>to be assigned</w:t>
      </w:r>
      <w:r w:rsidRPr="00455D4E">
        <w:rPr>
          <w:rFonts w:ascii="Times New Roman" w:hAnsi="Times New Roman"/>
          <w:b/>
          <w:szCs w:val="24"/>
        </w:rPr>
        <w:t>)</w:t>
      </w:r>
      <w:bookmarkStart w:id="1" w:name="OLE_LINK1"/>
      <w:r w:rsidR="00C34761" w:rsidRPr="00455D4E">
        <w:rPr>
          <w:rFonts w:ascii="Times New Roman" w:hAnsi="Times New Roman"/>
          <w:b/>
          <w:szCs w:val="24"/>
        </w:rPr>
        <w:t xml:space="preserve"> </w:t>
      </w:r>
      <w:r w:rsidR="006604E1" w:rsidRPr="00455D4E">
        <w:rPr>
          <w:rFonts w:ascii="Times New Roman" w:hAnsi="Times New Roman"/>
          <w:b/>
          <w:i/>
          <w:szCs w:val="24"/>
        </w:rPr>
        <w:t xml:space="preserve">(Docket No. </w:t>
      </w:r>
      <w:r w:rsidR="006C33EF" w:rsidRPr="00455D4E">
        <w:rPr>
          <w:rFonts w:ascii="Times New Roman" w:hAnsi="Times New Roman"/>
          <w:b/>
          <w:i/>
          <w:szCs w:val="24"/>
        </w:rPr>
        <w:t>OP-</w:t>
      </w:r>
      <w:r w:rsidR="00C34761" w:rsidRPr="00455D4E">
        <w:rPr>
          <w:rFonts w:ascii="Times New Roman" w:hAnsi="Times New Roman"/>
          <w:b/>
          <w:i/>
          <w:szCs w:val="24"/>
        </w:rPr>
        <w:t>1439</w:t>
      </w:r>
      <w:r w:rsidR="00E67AB2" w:rsidRPr="00455D4E">
        <w:rPr>
          <w:rFonts w:ascii="Times New Roman" w:hAnsi="Times New Roman"/>
          <w:b/>
          <w:i/>
          <w:szCs w:val="24"/>
        </w:rPr>
        <w:t>/1438</w:t>
      </w:r>
      <w:r w:rsidR="00B53C21" w:rsidRPr="00455D4E">
        <w:rPr>
          <w:rFonts w:ascii="Times New Roman" w:hAnsi="Times New Roman"/>
          <w:b/>
          <w:i/>
          <w:szCs w:val="24"/>
        </w:rPr>
        <w:t>)</w:t>
      </w:r>
      <w:bookmarkEnd w:id="1"/>
      <w:r w:rsidR="00B53C21" w:rsidRPr="00455D4E">
        <w:rPr>
          <w:rFonts w:ascii="Times New Roman" w:hAnsi="Times New Roman"/>
          <w:b/>
          <w:i/>
          <w:szCs w:val="24"/>
        </w:rPr>
        <w:t xml:space="preserve"> </w:t>
      </w:r>
    </w:p>
    <w:p w:rsidR="00FE2669" w:rsidRPr="00455D4E" w:rsidRDefault="00FE2669" w:rsidP="00386084">
      <w:pPr>
        <w:rPr>
          <w:rFonts w:ascii="Times New Roman" w:hAnsi="Times New Roman"/>
          <w:szCs w:val="24"/>
        </w:rPr>
      </w:pPr>
    </w:p>
    <w:p w:rsidR="00D757AD" w:rsidRPr="00455D4E" w:rsidRDefault="00D757AD">
      <w:pPr>
        <w:pStyle w:val="Heading1"/>
        <w:rPr>
          <w:rFonts w:ascii="Times New Roman" w:hAnsi="Times New Roman"/>
          <w:szCs w:val="24"/>
        </w:rPr>
      </w:pPr>
      <w:r w:rsidRPr="00455D4E">
        <w:rPr>
          <w:rFonts w:ascii="Times New Roman" w:hAnsi="Times New Roman"/>
          <w:szCs w:val="24"/>
        </w:rPr>
        <w:t>Summary</w:t>
      </w:r>
    </w:p>
    <w:p w:rsidR="00D757AD" w:rsidRPr="00455D4E" w:rsidRDefault="00D757AD" w:rsidP="00386084">
      <w:pPr>
        <w:widowControl/>
        <w:rPr>
          <w:rFonts w:ascii="Times New Roman" w:hAnsi="Times New Roman"/>
          <w:szCs w:val="24"/>
        </w:rPr>
      </w:pPr>
    </w:p>
    <w:p w:rsidR="00B15958" w:rsidRPr="00455D4E" w:rsidRDefault="001360F6" w:rsidP="00B15958">
      <w:pPr>
        <w:ind w:firstLine="720"/>
        <w:rPr>
          <w:rFonts w:ascii="Times New Roman" w:hAnsi="Times New Roman"/>
          <w:szCs w:val="24"/>
        </w:rPr>
      </w:pPr>
      <w:r w:rsidRPr="00455D4E">
        <w:rPr>
          <w:rFonts w:ascii="Times New Roman" w:hAnsi="Times New Roman"/>
          <w:szCs w:val="24"/>
        </w:rPr>
        <w:t xml:space="preserve">The Board of Governors of the Federal Reserve System, under delegated authority from the Office of Management and Budget (OMB), proposes </w:t>
      </w:r>
      <w:r w:rsidR="00D757AD" w:rsidRPr="00455D4E">
        <w:rPr>
          <w:rFonts w:ascii="Times New Roman" w:hAnsi="Times New Roman"/>
          <w:szCs w:val="24"/>
        </w:rPr>
        <w:t xml:space="preserve">to </w:t>
      </w:r>
      <w:r w:rsidR="002C3F4E" w:rsidRPr="00455D4E">
        <w:rPr>
          <w:rFonts w:ascii="Times New Roman" w:hAnsi="Times New Roman"/>
          <w:szCs w:val="24"/>
        </w:rPr>
        <w:t>implement</w:t>
      </w:r>
      <w:r w:rsidR="00D757AD" w:rsidRPr="00455D4E">
        <w:rPr>
          <w:rFonts w:ascii="Times New Roman" w:hAnsi="Times New Roman"/>
          <w:bCs/>
          <w:szCs w:val="24"/>
        </w:rPr>
        <w:t xml:space="preserve"> </w:t>
      </w:r>
      <w:r w:rsidR="00D757AD" w:rsidRPr="00455D4E">
        <w:rPr>
          <w:rFonts w:ascii="Times New Roman" w:hAnsi="Times New Roman"/>
          <w:szCs w:val="24"/>
        </w:rPr>
        <w:t>the</w:t>
      </w:r>
      <w:r w:rsidR="00BA34D2" w:rsidRPr="00455D4E">
        <w:rPr>
          <w:rFonts w:ascii="Times New Roman" w:hAnsi="Times New Roman"/>
          <w:szCs w:val="24"/>
        </w:rPr>
        <w:t xml:space="preserve"> </w:t>
      </w:r>
      <w:r w:rsidR="00086C24">
        <w:rPr>
          <w:rFonts w:ascii="Times New Roman" w:hAnsi="Times New Roman"/>
          <w:color w:val="000000"/>
          <w:szCs w:val="24"/>
        </w:rPr>
        <w:t xml:space="preserve">Recordkeeping </w:t>
      </w:r>
      <w:r w:rsidR="00D505C1" w:rsidRPr="00455D4E">
        <w:rPr>
          <w:rFonts w:ascii="Times New Roman" w:hAnsi="Times New Roman"/>
          <w:color w:val="000000"/>
          <w:szCs w:val="24"/>
        </w:rPr>
        <w:t xml:space="preserve">Provisions Associated with </w:t>
      </w:r>
      <w:r w:rsidR="00C34761" w:rsidRPr="00455D4E">
        <w:rPr>
          <w:rFonts w:ascii="Times New Roman" w:hAnsi="Times New Roman"/>
          <w:szCs w:val="24"/>
        </w:rPr>
        <w:t xml:space="preserve">Guidance on Leveraged Lending </w:t>
      </w:r>
      <w:r w:rsidR="00275F0C" w:rsidRPr="00455D4E">
        <w:rPr>
          <w:rFonts w:ascii="Times New Roman" w:hAnsi="Times New Roman"/>
          <w:szCs w:val="24"/>
        </w:rPr>
        <w:t>(</w:t>
      </w:r>
      <w:r w:rsidR="00D505C1" w:rsidRPr="00455D4E">
        <w:rPr>
          <w:rFonts w:ascii="Times New Roman" w:hAnsi="Times New Roman"/>
          <w:szCs w:val="24"/>
        </w:rPr>
        <w:t>F</w:t>
      </w:r>
      <w:r w:rsidR="0084446F" w:rsidRPr="00455D4E">
        <w:rPr>
          <w:rFonts w:ascii="Times New Roman" w:hAnsi="Times New Roman"/>
          <w:szCs w:val="24"/>
        </w:rPr>
        <w:t>R</w:t>
      </w:r>
      <w:r w:rsidR="00D505C1" w:rsidRPr="00455D4E">
        <w:rPr>
          <w:rFonts w:ascii="Times New Roman" w:hAnsi="Times New Roman"/>
          <w:szCs w:val="24"/>
        </w:rPr>
        <w:t> 420</w:t>
      </w:r>
      <w:r w:rsidR="00C34761" w:rsidRPr="00455D4E">
        <w:rPr>
          <w:rFonts w:ascii="Times New Roman" w:hAnsi="Times New Roman"/>
          <w:szCs w:val="24"/>
        </w:rPr>
        <w:t>3</w:t>
      </w:r>
      <w:r w:rsidR="0084446F" w:rsidRPr="00455D4E">
        <w:rPr>
          <w:rFonts w:ascii="Times New Roman" w:hAnsi="Times New Roman"/>
          <w:szCs w:val="24"/>
        </w:rPr>
        <w:t>; OMB No. to be assigned)</w:t>
      </w:r>
      <w:r w:rsidR="009C4001" w:rsidRPr="00455D4E">
        <w:rPr>
          <w:rFonts w:ascii="Times New Roman" w:hAnsi="Times New Roman"/>
          <w:szCs w:val="24"/>
        </w:rPr>
        <w:t>.</w:t>
      </w:r>
      <w:r w:rsidR="00335439" w:rsidRPr="00455D4E">
        <w:rPr>
          <w:rFonts w:ascii="Times New Roman" w:hAnsi="Times New Roman"/>
          <w:szCs w:val="24"/>
        </w:rPr>
        <w:t xml:space="preserve">  </w:t>
      </w:r>
      <w:r w:rsidR="00324A4C" w:rsidRPr="00455D4E">
        <w:rPr>
          <w:rFonts w:ascii="Times New Roman" w:hAnsi="Times New Roman"/>
          <w:szCs w:val="24"/>
        </w:rPr>
        <w:t xml:space="preserve">The Paperwork Reduction Act (PRA) classifies these </w:t>
      </w:r>
      <w:r w:rsidR="00E77E9E" w:rsidRPr="00455D4E">
        <w:rPr>
          <w:rFonts w:ascii="Times New Roman" w:hAnsi="Times New Roman"/>
          <w:szCs w:val="24"/>
        </w:rPr>
        <w:t xml:space="preserve">recordkeeping </w:t>
      </w:r>
      <w:r w:rsidR="00D95799" w:rsidRPr="00455D4E">
        <w:rPr>
          <w:rFonts w:ascii="Times New Roman" w:hAnsi="Times New Roman"/>
          <w:szCs w:val="24"/>
        </w:rPr>
        <w:t xml:space="preserve">and </w:t>
      </w:r>
      <w:r w:rsidR="004B1311" w:rsidRPr="00455D4E">
        <w:rPr>
          <w:rFonts w:ascii="Times New Roman" w:hAnsi="Times New Roman"/>
          <w:szCs w:val="24"/>
        </w:rPr>
        <w:t>disclosure</w:t>
      </w:r>
      <w:r w:rsidR="00D95799" w:rsidRPr="00455D4E">
        <w:rPr>
          <w:rFonts w:ascii="Times New Roman" w:hAnsi="Times New Roman"/>
          <w:szCs w:val="24"/>
        </w:rPr>
        <w:t xml:space="preserve"> </w:t>
      </w:r>
      <w:r w:rsidR="00324A4C" w:rsidRPr="00455D4E">
        <w:rPr>
          <w:rFonts w:ascii="Times New Roman" w:hAnsi="Times New Roman"/>
          <w:szCs w:val="24"/>
        </w:rPr>
        <w:t xml:space="preserve">requirements as an </w:t>
      </w:r>
      <w:r w:rsidR="00B15958" w:rsidRPr="00455D4E">
        <w:rPr>
          <w:rFonts w:ascii="Times New Roman" w:hAnsi="Times New Roman"/>
          <w:szCs w:val="24"/>
        </w:rPr>
        <w:t>“</w:t>
      </w:r>
      <w:r w:rsidR="00324A4C" w:rsidRPr="00455D4E">
        <w:rPr>
          <w:rFonts w:ascii="Times New Roman" w:hAnsi="Times New Roman"/>
          <w:szCs w:val="24"/>
        </w:rPr>
        <w:t>information collection</w:t>
      </w:r>
      <w:r w:rsidR="00B15958" w:rsidRPr="00455D4E">
        <w:rPr>
          <w:rFonts w:ascii="Times New Roman" w:hAnsi="Times New Roman"/>
          <w:szCs w:val="24"/>
        </w:rPr>
        <w:t>.”</w:t>
      </w:r>
      <w:r w:rsidR="00B15958" w:rsidRPr="00455D4E">
        <w:rPr>
          <w:rStyle w:val="FootnoteReference"/>
          <w:szCs w:val="24"/>
          <w:vertAlign w:val="superscript"/>
        </w:rPr>
        <w:footnoteReference w:id="1"/>
      </w:r>
      <w:r w:rsidR="00B15958" w:rsidRPr="00455D4E">
        <w:rPr>
          <w:rFonts w:ascii="Times New Roman" w:hAnsi="Times New Roman"/>
          <w:szCs w:val="24"/>
        </w:rPr>
        <w:t xml:space="preserve">  On March 30, 2012, the Office of the Comptroller of the Currency (OCC); Board of Governors of the Federal Reserve System (Board); and Federal Deposit Insurance Corporation (FDIC), collectively (the Agencies) published a joint notice of proposed guidance in the </w:t>
      </w:r>
      <w:r w:rsidR="00B15958" w:rsidRPr="00455D4E">
        <w:rPr>
          <w:rFonts w:ascii="Times New Roman" w:hAnsi="Times New Roman"/>
          <w:i/>
          <w:szCs w:val="24"/>
        </w:rPr>
        <w:t>Federal Register</w:t>
      </w:r>
      <w:r w:rsidR="00B15958" w:rsidRPr="00455D4E">
        <w:rPr>
          <w:rFonts w:ascii="Times New Roman" w:hAnsi="Times New Roman"/>
          <w:szCs w:val="24"/>
        </w:rPr>
        <w:t xml:space="preserve"> for public comment titled “</w:t>
      </w:r>
      <w:r w:rsidR="00B15958" w:rsidRPr="00455D4E">
        <w:rPr>
          <w:rFonts w:ascii="Times New Roman" w:hAnsi="Times New Roman"/>
          <w:bCs/>
          <w:snapToGrid/>
          <w:szCs w:val="24"/>
        </w:rPr>
        <w:t>Proposed Guidance on Leveraged Lending”</w:t>
      </w:r>
      <w:r w:rsidR="00B15958" w:rsidRPr="00455D4E">
        <w:rPr>
          <w:rFonts w:ascii="Times New Roman" w:hAnsi="Times New Roman"/>
          <w:szCs w:val="24"/>
        </w:rPr>
        <w:t xml:space="preserve"> (the Guidance).</w:t>
      </w:r>
      <w:r w:rsidR="00B15958" w:rsidRPr="00455D4E">
        <w:rPr>
          <w:rStyle w:val="FootnoteReference"/>
          <w:szCs w:val="24"/>
          <w:vertAlign w:val="superscript"/>
        </w:rPr>
        <w:footnoteReference w:id="2"/>
      </w:r>
    </w:p>
    <w:p w:rsidR="00B15958" w:rsidRPr="00455D4E" w:rsidRDefault="00B15958" w:rsidP="00B15958">
      <w:pPr>
        <w:rPr>
          <w:rFonts w:ascii="Times New Roman" w:hAnsi="Times New Roman"/>
          <w:szCs w:val="24"/>
        </w:rPr>
      </w:pPr>
    </w:p>
    <w:p w:rsidR="004F268E" w:rsidRPr="00455D4E" w:rsidRDefault="004F268E" w:rsidP="00B15958">
      <w:pPr>
        <w:ind w:firstLine="720"/>
        <w:rPr>
          <w:rFonts w:ascii="Times New Roman" w:hAnsi="Times New Roman"/>
          <w:szCs w:val="24"/>
        </w:rPr>
      </w:pPr>
      <w:r w:rsidRPr="00455D4E">
        <w:rPr>
          <w:rFonts w:ascii="Times New Roman" w:hAnsi="Times New Roman"/>
          <w:szCs w:val="24"/>
        </w:rPr>
        <w:t xml:space="preserve">The proposed interagency guidance outlines high-level principles related to safe and sound leveraged lending activities, including underwriting considerations, assessing and documenting enterprise value, risk management expectations for credits awaiting distribution, stress testing expectations and portfolio management, and risk management expectations.  This proposed guidance would apply to all financial institutions substantively engaged in leveraged lending activities supervised by </w:t>
      </w:r>
      <w:r w:rsidR="00B15958" w:rsidRPr="00455D4E">
        <w:rPr>
          <w:rFonts w:ascii="Times New Roman" w:hAnsi="Times New Roman"/>
          <w:szCs w:val="24"/>
        </w:rPr>
        <w:t>the Agencies.</w:t>
      </w:r>
    </w:p>
    <w:p w:rsidR="00CB46BC" w:rsidRPr="00455D4E" w:rsidRDefault="00CB46BC" w:rsidP="003A307B">
      <w:pPr>
        <w:pStyle w:val="NoSpacing"/>
        <w:ind w:firstLine="720"/>
        <w:rPr>
          <w:rFonts w:ascii="Times New Roman" w:hAnsi="Times New Roman"/>
          <w:sz w:val="24"/>
          <w:szCs w:val="24"/>
        </w:rPr>
      </w:pPr>
    </w:p>
    <w:p w:rsidR="00A5153E" w:rsidRPr="00455D4E" w:rsidRDefault="00CB46BC" w:rsidP="003A307B">
      <w:pPr>
        <w:pStyle w:val="NoSpacing"/>
        <w:ind w:firstLine="720"/>
        <w:rPr>
          <w:rFonts w:ascii="Times New Roman" w:hAnsi="Times New Roman"/>
          <w:sz w:val="24"/>
          <w:szCs w:val="24"/>
        </w:rPr>
      </w:pPr>
      <w:r w:rsidRPr="00455D4E">
        <w:rPr>
          <w:rFonts w:ascii="Times New Roman" w:hAnsi="Times New Roman"/>
          <w:sz w:val="24"/>
          <w:szCs w:val="24"/>
        </w:rPr>
        <w:t>The</w:t>
      </w:r>
      <w:r w:rsidR="00B15958" w:rsidRPr="00455D4E">
        <w:rPr>
          <w:rFonts w:ascii="Times New Roman" w:hAnsi="Times New Roman"/>
          <w:sz w:val="24"/>
          <w:szCs w:val="24"/>
        </w:rPr>
        <w:t xml:space="preserve"> A</w:t>
      </w:r>
      <w:r w:rsidRPr="00455D4E">
        <w:rPr>
          <w:rFonts w:ascii="Times New Roman" w:hAnsi="Times New Roman"/>
          <w:sz w:val="24"/>
          <w:szCs w:val="24"/>
        </w:rPr>
        <w:t xml:space="preserve">gencies identified certain aspects of the proposed guidance that may constitute a collection of information.  In particular, these aspects are the provisions that state a banking organization should (a) have underwriting policies for leveraged lending, including stress testing procedures for leveraged credits; (b) have risk management policies, including stress testing procedures for pipeline exposures; and (c) have policies and procedures for incorporating the results of leveraged credit and pipeline stress tests into the firm’s overall stress testing framework.  </w:t>
      </w:r>
    </w:p>
    <w:p w:rsidR="00A5153E" w:rsidRPr="00455D4E" w:rsidRDefault="00A5153E" w:rsidP="003A307B">
      <w:pPr>
        <w:pStyle w:val="NoSpacing"/>
        <w:ind w:firstLine="720"/>
        <w:rPr>
          <w:rFonts w:ascii="Times New Roman" w:hAnsi="Times New Roman"/>
          <w:sz w:val="24"/>
          <w:szCs w:val="24"/>
        </w:rPr>
      </w:pPr>
    </w:p>
    <w:p w:rsidR="00CB46BC" w:rsidRPr="00455D4E" w:rsidRDefault="00CB46BC" w:rsidP="00CB46BC">
      <w:pPr>
        <w:ind w:firstLine="720"/>
        <w:rPr>
          <w:rFonts w:ascii="Times New Roman" w:hAnsi="Times New Roman"/>
          <w:szCs w:val="24"/>
        </w:rPr>
      </w:pPr>
      <w:r w:rsidRPr="00455D4E">
        <w:rPr>
          <w:rFonts w:ascii="Times New Roman" w:hAnsi="Times New Roman"/>
          <w:szCs w:val="24"/>
        </w:rPr>
        <w:t xml:space="preserve">The Federal Reserve’s total annual burden is estimated to be 74,570 hours for the 41 financial institutions that are likely to be subject to the Guidance.  There are no required reporting forms associated with </w:t>
      </w:r>
      <w:r w:rsidRPr="00455D4E">
        <w:rPr>
          <w:rFonts w:ascii="Times New Roman" w:hAnsi="Times New Roman"/>
          <w:color w:val="000000"/>
          <w:szCs w:val="24"/>
        </w:rPr>
        <w:t>the Guidance.</w:t>
      </w:r>
    </w:p>
    <w:p w:rsidR="00CB46BC" w:rsidRPr="00455D4E" w:rsidRDefault="00CB46BC" w:rsidP="00CF4282">
      <w:pPr>
        <w:widowControl/>
        <w:rPr>
          <w:rFonts w:ascii="Times New Roman" w:hAnsi="Times New Roman"/>
          <w:b/>
          <w:szCs w:val="24"/>
        </w:rPr>
      </w:pPr>
    </w:p>
    <w:p w:rsidR="00CF4282" w:rsidRPr="00455D4E" w:rsidRDefault="00CF4282" w:rsidP="00CF4282">
      <w:pPr>
        <w:widowControl/>
        <w:rPr>
          <w:rFonts w:ascii="Times New Roman" w:hAnsi="Times New Roman"/>
          <w:szCs w:val="24"/>
        </w:rPr>
      </w:pPr>
      <w:r w:rsidRPr="00455D4E">
        <w:rPr>
          <w:rFonts w:ascii="Times New Roman" w:hAnsi="Times New Roman"/>
          <w:b/>
          <w:szCs w:val="24"/>
        </w:rPr>
        <w:t>Background and Justification</w:t>
      </w:r>
    </w:p>
    <w:p w:rsidR="00CF4282" w:rsidRPr="00455D4E" w:rsidRDefault="00CF4282" w:rsidP="00CF4282">
      <w:pPr>
        <w:pStyle w:val="NoSpacing"/>
        <w:ind w:firstLine="720"/>
        <w:rPr>
          <w:rFonts w:ascii="Times New Roman" w:hAnsi="Times New Roman"/>
          <w:sz w:val="24"/>
          <w:szCs w:val="24"/>
        </w:rPr>
      </w:pPr>
    </w:p>
    <w:p w:rsidR="007B418C" w:rsidRPr="00455D4E" w:rsidRDefault="007B418C" w:rsidP="007B418C">
      <w:pPr>
        <w:keepNext/>
        <w:ind w:firstLine="720"/>
        <w:rPr>
          <w:rFonts w:ascii="Times New Roman" w:hAnsi="Times New Roman"/>
          <w:b/>
          <w:szCs w:val="24"/>
        </w:rPr>
      </w:pPr>
      <w:r w:rsidRPr="00455D4E">
        <w:rPr>
          <w:rFonts w:ascii="Times New Roman" w:hAnsi="Times New Roman"/>
          <w:szCs w:val="24"/>
        </w:rPr>
        <w:t>In April 2001, the Agencies (and Office of Thrift Supervision) issued guidance</w:t>
      </w:r>
      <w:r w:rsidR="00A5153E" w:rsidRPr="00455D4E">
        <w:rPr>
          <w:rStyle w:val="FootnoteReference"/>
          <w:szCs w:val="24"/>
          <w:vertAlign w:val="superscript"/>
        </w:rPr>
        <w:footnoteReference w:id="3"/>
      </w:r>
      <w:r w:rsidRPr="00455D4E">
        <w:rPr>
          <w:rFonts w:ascii="Times New Roman" w:hAnsi="Times New Roman"/>
          <w:szCs w:val="24"/>
          <w:vertAlign w:val="superscript"/>
        </w:rPr>
        <w:t xml:space="preserve"> </w:t>
      </w:r>
      <w:r w:rsidRPr="00455D4E">
        <w:rPr>
          <w:rFonts w:ascii="Times New Roman" w:hAnsi="Times New Roman"/>
          <w:szCs w:val="24"/>
        </w:rPr>
        <w:t>regarding sound practices for leveraged finance</w:t>
      </w:r>
      <w:r w:rsidRPr="00455D4E">
        <w:rPr>
          <w:rFonts w:ascii="Times New Roman" w:hAnsi="Times New Roman"/>
          <w:szCs w:val="24"/>
          <w:vertAlign w:val="superscript"/>
        </w:rPr>
        <w:footnoteReference w:id="4"/>
      </w:r>
      <w:r w:rsidRPr="00455D4E">
        <w:rPr>
          <w:rFonts w:ascii="Times New Roman" w:hAnsi="Times New Roman"/>
          <w:szCs w:val="24"/>
        </w:rPr>
        <w:t xml:space="preserve"> activities (2001 Guidance).  The 2001 Guidance addressed </w:t>
      </w:r>
      <w:r w:rsidRPr="00455D4E">
        <w:rPr>
          <w:rFonts w:ascii="Times New Roman" w:hAnsi="Times New Roman"/>
          <w:szCs w:val="24"/>
        </w:rPr>
        <w:lastRenderedPageBreak/>
        <w:t>expectations for the content of credit policies, the need for well-defined underwriting standards, the importance of defining an institution’s risk appetite for leveraged transactions, and the importance of stress testing exposures and portfolios.</w:t>
      </w:r>
    </w:p>
    <w:p w:rsidR="007B418C" w:rsidRPr="00455D4E" w:rsidRDefault="007B418C" w:rsidP="007B418C">
      <w:pPr>
        <w:ind w:firstLine="720"/>
        <w:rPr>
          <w:rFonts w:ascii="Times New Roman" w:hAnsi="Times New Roman"/>
          <w:szCs w:val="24"/>
        </w:rPr>
      </w:pPr>
    </w:p>
    <w:p w:rsidR="007B418C" w:rsidRPr="00455D4E" w:rsidRDefault="007B418C" w:rsidP="007B418C">
      <w:pPr>
        <w:ind w:firstLine="720"/>
        <w:rPr>
          <w:rFonts w:ascii="Times New Roman" w:hAnsi="Times New Roman"/>
          <w:szCs w:val="24"/>
        </w:rPr>
      </w:pPr>
      <w:r w:rsidRPr="00455D4E">
        <w:rPr>
          <w:rFonts w:ascii="Times New Roman" w:hAnsi="Times New Roman"/>
          <w:szCs w:val="24"/>
        </w:rPr>
        <w:t>Since the issuance of that guidance, the Agencies have observed tremendous growth in the volume of leveraged credit and in the participation of non-regulated investors.  As the market has grown, debt agreements have frequently included features that provided relatively limited lender protection, including the absence of meaningful maintenance covenants in loan agreements and the inclusion of payment-in-kind (PIK)-toggle features in junior capital instruments (i.e., a feature where the borrower has the option to pay interest in cash or in-kind, which increases the principal owed), both of which lessen lenders’ recourse in the event that a borrower’s  performance does not meet projections.  Further, the capital structures and repayment prospects for some transactions, whether originated to hold or distribute, have at times been aggressive in light of the overall risk of the credit.</w:t>
      </w:r>
    </w:p>
    <w:p w:rsidR="007B418C" w:rsidRPr="00455D4E" w:rsidRDefault="007B418C" w:rsidP="007B418C">
      <w:pPr>
        <w:ind w:firstLine="720"/>
        <w:rPr>
          <w:rFonts w:ascii="Times New Roman" w:hAnsi="Times New Roman"/>
          <w:szCs w:val="24"/>
        </w:rPr>
      </w:pPr>
    </w:p>
    <w:p w:rsidR="007B418C" w:rsidRPr="00455D4E" w:rsidRDefault="007B418C" w:rsidP="007B418C">
      <w:pPr>
        <w:ind w:firstLine="720"/>
        <w:rPr>
          <w:rFonts w:ascii="Times New Roman" w:hAnsi="Times New Roman"/>
          <w:szCs w:val="24"/>
        </w:rPr>
      </w:pPr>
      <w:r w:rsidRPr="00455D4E">
        <w:rPr>
          <w:rFonts w:ascii="Times New Roman" w:hAnsi="Times New Roman"/>
          <w:szCs w:val="24"/>
        </w:rPr>
        <w:t>Absent meaningful limits and to support burgeoning demand from institutional investors, the pipeline of aggressively priced and structured commitments has grown rapidly.  Further, management information systems (MIS) at some institutions have proven less than satisfactory in accurately aggregating exposures on a timely basis, and many institutions have found themselves holding large pipelines of higher-risk commitments at a time when buyer demand for risky assets diminished significantly.  In light of these changes, the Agencies have decided to replace the 2001 Guidance with new leveraged finance guidance (proposed guidance).</w:t>
      </w:r>
    </w:p>
    <w:p w:rsidR="007B418C" w:rsidRPr="00455D4E" w:rsidRDefault="007B418C" w:rsidP="007B418C">
      <w:pPr>
        <w:pStyle w:val="ListParagraph"/>
        <w:autoSpaceDE w:val="0"/>
        <w:autoSpaceDN w:val="0"/>
        <w:adjustRightInd w:val="0"/>
        <w:ind w:left="0" w:firstLine="720"/>
      </w:pPr>
    </w:p>
    <w:p w:rsidR="00AA15A4" w:rsidRPr="00455D4E" w:rsidRDefault="00C34761" w:rsidP="007B418C">
      <w:pPr>
        <w:pStyle w:val="ListParagraph"/>
        <w:autoSpaceDE w:val="0"/>
        <w:autoSpaceDN w:val="0"/>
        <w:adjustRightInd w:val="0"/>
        <w:ind w:left="0" w:firstLine="720"/>
      </w:pPr>
      <w:r w:rsidRPr="00455D4E">
        <w:t>All financial institutions</w:t>
      </w:r>
      <w:r w:rsidRPr="00455D4E">
        <w:rPr>
          <w:rStyle w:val="FootnoteReference"/>
          <w:vertAlign w:val="superscript"/>
        </w:rPr>
        <w:footnoteReference w:id="5"/>
      </w:r>
      <w:r w:rsidRPr="00455D4E">
        <w:t xml:space="preserve"> should have the capacity to properly evaluate and monitor underwritten credit risks, to understand the effect of changes in borrowers’ enterprise values upon credit portfolio quality, and to assess the sensitivity of future credit losses to changes in enterprise values.  Further, in underwriting such credits, institutions need to ensure that borrowers are able to repay credit as due and at the same time that borrowers have capital structures, including their bank borrowings and other debt, that support the borrower’s continued operations through economic cycles (that is, have a sustainable capital structure).  Institutions should also be able to demonstrate that they understand their risks and the potential impact of stressful events and circumstances on borrowers’ financial condition.  The recent financial crisis further underscored the need for banking organizations to employ sound underwriting, to ensure that the risks in leveraged lending activities are appropriately incorporated in the Allowance for Loan and Lease Losses and capital adequacy analyses, to monitor the sustainability of their borrowers’ capital structures, and to incorporate stress testing into their risk management of both leveraged portfolios and distribution pipelines, as banking organizations unprepared for stressful events and circumstances can suffer acute threats to their financial condition and viability.  The proposed guidance is intended to be consistent with industry practices while building upon the recently proposed guidance on Stress Testing.</w:t>
      </w:r>
      <w:r w:rsidRPr="00455D4E">
        <w:rPr>
          <w:rStyle w:val="FootnoteReference"/>
          <w:vertAlign w:val="superscript"/>
        </w:rPr>
        <w:footnoteReference w:id="6"/>
      </w:r>
    </w:p>
    <w:p w:rsidR="00E33696" w:rsidRPr="00455D4E" w:rsidRDefault="00E33696" w:rsidP="00386084">
      <w:pPr>
        <w:widowControl/>
        <w:autoSpaceDE w:val="0"/>
        <w:autoSpaceDN w:val="0"/>
        <w:adjustRightInd w:val="0"/>
        <w:ind w:firstLine="720"/>
        <w:rPr>
          <w:rFonts w:ascii="Times New Roman" w:hAnsi="Times New Roman"/>
          <w:snapToGrid/>
          <w:szCs w:val="24"/>
        </w:rPr>
      </w:pPr>
    </w:p>
    <w:p w:rsidR="00D757AD" w:rsidRPr="00455D4E" w:rsidRDefault="00D757AD" w:rsidP="003B1599">
      <w:pPr>
        <w:widowControl/>
        <w:rPr>
          <w:rFonts w:ascii="Times New Roman" w:hAnsi="Times New Roman"/>
          <w:szCs w:val="24"/>
        </w:rPr>
      </w:pPr>
      <w:r w:rsidRPr="00455D4E">
        <w:rPr>
          <w:rFonts w:ascii="Times New Roman" w:hAnsi="Times New Roman"/>
          <w:b/>
          <w:szCs w:val="24"/>
        </w:rPr>
        <w:t>Description of Information Collection</w:t>
      </w:r>
    </w:p>
    <w:p w:rsidR="002F1313" w:rsidRPr="00455D4E" w:rsidRDefault="002F1313" w:rsidP="003B1599">
      <w:pPr>
        <w:pStyle w:val="FootnoteText"/>
        <w:tabs>
          <w:tab w:val="left" w:pos="0"/>
        </w:tabs>
        <w:ind w:firstLine="720"/>
        <w:rPr>
          <w:rFonts w:ascii="Times New Roman" w:hAnsi="Times New Roman"/>
          <w:sz w:val="24"/>
          <w:szCs w:val="24"/>
        </w:rPr>
      </w:pPr>
    </w:p>
    <w:p w:rsidR="003B1599" w:rsidRPr="00455D4E" w:rsidRDefault="003B1599" w:rsidP="003B1599">
      <w:pPr>
        <w:keepNext/>
        <w:ind w:left="720"/>
        <w:rPr>
          <w:rFonts w:ascii="Times New Roman" w:hAnsi="Times New Roman"/>
          <w:b/>
          <w:szCs w:val="24"/>
        </w:rPr>
      </w:pPr>
      <w:r w:rsidRPr="00455D4E">
        <w:rPr>
          <w:rFonts w:ascii="Times New Roman" w:hAnsi="Times New Roman"/>
          <w:b/>
          <w:szCs w:val="24"/>
        </w:rPr>
        <w:t>Principal Elements of the Proposed Guidance</w:t>
      </w:r>
    </w:p>
    <w:p w:rsidR="003B1599" w:rsidRPr="00455D4E" w:rsidRDefault="003B1599" w:rsidP="003B1599">
      <w:pPr>
        <w:keepNext/>
        <w:rPr>
          <w:rFonts w:ascii="Times New Roman" w:hAnsi="Times New Roman"/>
          <w:b/>
          <w:szCs w:val="24"/>
        </w:rPr>
      </w:pPr>
    </w:p>
    <w:p w:rsidR="003B1599" w:rsidRPr="00455D4E" w:rsidRDefault="003B1599" w:rsidP="003B1599">
      <w:pPr>
        <w:ind w:firstLine="720"/>
        <w:rPr>
          <w:rFonts w:ascii="Times New Roman" w:hAnsi="Times New Roman"/>
          <w:szCs w:val="24"/>
        </w:rPr>
      </w:pPr>
      <w:r w:rsidRPr="00455D4E">
        <w:rPr>
          <w:rFonts w:ascii="Times New Roman" w:hAnsi="Times New Roman"/>
          <w:szCs w:val="24"/>
        </w:rPr>
        <w:t xml:space="preserve">The proposed guidance describes expectations for the sound risk management of leveraged finance activities, including the importance of institutions developing and maintaining: </w:t>
      </w:r>
    </w:p>
    <w:p w:rsidR="003B1599" w:rsidRPr="00455D4E" w:rsidRDefault="003B1599" w:rsidP="003B1599">
      <w:pPr>
        <w:ind w:firstLine="720"/>
        <w:rPr>
          <w:rFonts w:ascii="Times New Roman" w:hAnsi="Times New Roman"/>
          <w:szCs w:val="24"/>
        </w:rPr>
      </w:pPr>
    </w:p>
    <w:p w:rsidR="003B1599" w:rsidRPr="00455D4E" w:rsidRDefault="003B1599" w:rsidP="003B1599">
      <w:pPr>
        <w:pStyle w:val="ListParagraph"/>
        <w:numPr>
          <w:ilvl w:val="0"/>
          <w:numId w:val="17"/>
        </w:numPr>
      </w:pPr>
      <w:r w:rsidRPr="00455D4E">
        <w:t>Transactions that are structured to reflect a sound business premise, an appropriate capital structure, and reasonable cash flow and balance sheet leverage.  Combined with supportable performance projections, these considerations should clearly support a borrower’s capacity to repay and de-lever to a sustainable level over a reasonable period, whether underwritten to hold or distribute.</w:t>
      </w:r>
    </w:p>
    <w:p w:rsidR="003B1599" w:rsidRPr="00455D4E" w:rsidRDefault="003B1599" w:rsidP="003B1599">
      <w:pPr>
        <w:pStyle w:val="ListParagraph"/>
        <w:numPr>
          <w:ilvl w:val="0"/>
          <w:numId w:val="17"/>
        </w:numPr>
      </w:pPr>
      <w:r w:rsidRPr="00455D4E">
        <w:t>A definition of leveraged finance that facilitates consistent application across all business lines.</w:t>
      </w:r>
    </w:p>
    <w:p w:rsidR="003B1599" w:rsidRPr="00455D4E" w:rsidRDefault="003B1599" w:rsidP="003B1599">
      <w:pPr>
        <w:pStyle w:val="ListParagraph"/>
        <w:numPr>
          <w:ilvl w:val="0"/>
          <w:numId w:val="17"/>
        </w:numPr>
      </w:pPr>
      <w:r w:rsidRPr="00455D4E">
        <w:t>Well-defined underwriting standards that, among other things, define acceptable leverage levels and describe amortization expectations for senior and subordinate debt.</w:t>
      </w:r>
    </w:p>
    <w:p w:rsidR="003B1599" w:rsidRPr="00086C24" w:rsidRDefault="003B1599" w:rsidP="003B1599">
      <w:pPr>
        <w:pStyle w:val="ListParagraph"/>
        <w:numPr>
          <w:ilvl w:val="0"/>
          <w:numId w:val="17"/>
        </w:numPr>
      </w:pPr>
      <w:r w:rsidRPr="00086C24">
        <w:t>A credit limit and concentration framework that is consistent with the institution’s risk appetite.</w:t>
      </w:r>
    </w:p>
    <w:p w:rsidR="003B1599" w:rsidRPr="00086C24" w:rsidRDefault="003B1599" w:rsidP="003B1599">
      <w:pPr>
        <w:pStyle w:val="ListParagraph"/>
        <w:numPr>
          <w:ilvl w:val="0"/>
          <w:numId w:val="17"/>
        </w:numPr>
      </w:pPr>
      <w:r w:rsidRPr="00086C24">
        <w:t>Sound MIS that enable management to identify, aggregate, and monitor leveraged exposures and comply with policy across all business lines.</w:t>
      </w:r>
    </w:p>
    <w:p w:rsidR="00086C24" w:rsidRDefault="003B1599" w:rsidP="00086C24">
      <w:pPr>
        <w:pStyle w:val="ListParagraph"/>
        <w:numPr>
          <w:ilvl w:val="0"/>
          <w:numId w:val="17"/>
        </w:numPr>
        <w:autoSpaceDE w:val="0"/>
        <w:autoSpaceDN w:val="0"/>
        <w:adjustRightInd w:val="0"/>
      </w:pPr>
      <w:r w:rsidRPr="00086C24">
        <w:t>Strong pipeline management policies and procedures that, among other things, provide for real-time information on exposures and limits, and exceptions to the timing of expected distributions and approved hold levels.</w:t>
      </w:r>
    </w:p>
    <w:p w:rsidR="00086C24" w:rsidRPr="00086C24" w:rsidRDefault="00086C24" w:rsidP="00086C24">
      <w:pPr>
        <w:pStyle w:val="ListParagraph"/>
        <w:numPr>
          <w:ilvl w:val="0"/>
          <w:numId w:val="17"/>
        </w:numPr>
        <w:autoSpaceDE w:val="0"/>
        <w:autoSpaceDN w:val="0"/>
        <w:adjustRightInd w:val="0"/>
      </w:pPr>
      <w:r w:rsidRPr="00086C24">
        <w:t>Guidelines for conducting periodic</w:t>
      </w:r>
      <w:r>
        <w:t xml:space="preserve"> </w:t>
      </w:r>
      <w:r w:rsidRPr="00086C24">
        <w:t>portfolio and pipeline stress tests to</w:t>
      </w:r>
      <w:r>
        <w:t xml:space="preserve"> </w:t>
      </w:r>
      <w:r w:rsidRPr="00086C24">
        <w:t>quantify the potential impact of</w:t>
      </w:r>
      <w:r>
        <w:t xml:space="preserve"> </w:t>
      </w:r>
      <w:r w:rsidRPr="00086C24">
        <w:t>economic and market conditions on the</w:t>
      </w:r>
      <w:r>
        <w:t xml:space="preserve"> </w:t>
      </w:r>
      <w:r w:rsidRPr="00086C24">
        <w:t>institution’s asset quality, earnings,</w:t>
      </w:r>
      <w:r>
        <w:t xml:space="preserve"> </w:t>
      </w:r>
      <w:r w:rsidRPr="00086C24">
        <w:t>liquidity, and capital.</w:t>
      </w:r>
    </w:p>
    <w:p w:rsidR="003B1599" w:rsidRPr="00086C24" w:rsidRDefault="003B1599" w:rsidP="003B1599">
      <w:pPr>
        <w:ind w:firstLine="720"/>
        <w:rPr>
          <w:rFonts w:ascii="Times New Roman" w:hAnsi="Times New Roman"/>
          <w:szCs w:val="24"/>
        </w:rPr>
      </w:pPr>
    </w:p>
    <w:p w:rsidR="003B1599" w:rsidRPr="00455D4E" w:rsidRDefault="007B418C" w:rsidP="003B1599">
      <w:pPr>
        <w:ind w:firstLine="720"/>
        <w:rPr>
          <w:rFonts w:ascii="Times New Roman" w:hAnsi="Times New Roman"/>
          <w:szCs w:val="24"/>
        </w:rPr>
      </w:pPr>
      <w:r w:rsidRPr="00086C24">
        <w:rPr>
          <w:rFonts w:ascii="Times New Roman" w:hAnsi="Times New Roman"/>
          <w:szCs w:val="24"/>
        </w:rPr>
        <w:t>As mentioned above, t</w:t>
      </w:r>
      <w:r w:rsidR="003B1599" w:rsidRPr="00086C24">
        <w:rPr>
          <w:rFonts w:ascii="Times New Roman" w:hAnsi="Times New Roman"/>
          <w:szCs w:val="24"/>
        </w:rPr>
        <w:t>he proposed guidance</w:t>
      </w:r>
      <w:r w:rsidRPr="00086C24">
        <w:rPr>
          <w:rFonts w:ascii="Times New Roman" w:hAnsi="Times New Roman"/>
          <w:szCs w:val="24"/>
        </w:rPr>
        <w:t xml:space="preserve"> would </w:t>
      </w:r>
      <w:r w:rsidR="003B1599" w:rsidRPr="00086C24">
        <w:rPr>
          <w:rFonts w:ascii="Times New Roman" w:hAnsi="Times New Roman"/>
          <w:szCs w:val="24"/>
        </w:rPr>
        <w:t xml:space="preserve">replace existing leveraged finance guidance and forms the basis of the Agencies’ supervisory focus and review of supervised financial institutions, including, as applicable, subsidiaries and affiliates involved in leveraged lending.  In implementing the guidance, the Agencies </w:t>
      </w:r>
      <w:r w:rsidRPr="00086C24">
        <w:rPr>
          <w:rFonts w:ascii="Times New Roman" w:hAnsi="Times New Roman"/>
          <w:szCs w:val="24"/>
        </w:rPr>
        <w:t>would</w:t>
      </w:r>
      <w:r w:rsidR="003B1599" w:rsidRPr="00086C24">
        <w:rPr>
          <w:rFonts w:ascii="Times New Roman" w:hAnsi="Times New Roman"/>
          <w:szCs w:val="24"/>
        </w:rPr>
        <w:t xml:space="preserve"> consider the size and risk profile of</w:t>
      </w:r>
      <w:r w:rsidR="003B1599" w:rsidRPr="00455D4E">
        <w:rPr>
          <w:rFonts w:ascii="Times New Roman" w:hAnsi="Times New Roman"/>
          <w:szCs w:val="24"/>
        </w:rPr>
        <w:t xml:space="preserve"> an institution’s leveraged portfolio relative to its assets, earnings, liquidity, and capital.  Although some sections of this proposal are intended to apply to all leveraged lending transactions (e.g., underwriting), the vast majority of community banks should not be affected by this guidance as they have no exposure to leveraged credits.  The limited number of community and smaller institutions that are involved in leveraged lending activities should discuss with their primary regulator implementation of cost-effective controls appropriate for the complexity of their exposures and activities.</w:t>
      </w:r>
    </w:p>
    <w:p w:rsidR="003B1599" w:rsidRPr="00455D4E" w:rsidRDefault="003B1599" w:rsidP="000D2372">
      <w:pPr>
        <w:widowControl/>
        <w:rPr>
          <w:rFonts w:ascii="Times New Roman" w:hAnsi="Times New Roman"/>
          <w:b/>
          <w:szCs w:val="24"/>
        </w:rPr>
      </w:pPr>
    </w:p>
    <w:p w:rsidR="000D2372" w:rsidRPr="00455D4E" w:rsidRDefault="00D757AD" w:rsidP="000D2372">
      <w:pPr>
        <w:widowControl/>
        <w:rPr>
          <w:rFonts w:ascii="Times New Roman" w:hAnsi="Times New Roman"/>
          <w:szCs w:val="24"/>
        </w:rPr>
      </w:pPr>
      <w:r w:rsidRPr="00455D4E">
        <w:rPr>
          <w:rFonts w:ascii="Times New Roman" w:hAnsi="Times New Roman"/>
          <w:b/>
          <w:szCs w:val="24"/>
        </w:rPr>
        <w:t>Time Schedule for Information Collection</w:t>
      </w:r>
    </w:p>
    <w:p w:rsidR="000D2372" w:rsidRPr="00455D4E" w:rsidRDefault="000D2372" w:rsidP="006219C4">
      <w:pPr>
        <w:widowControl/>
        <w:rPr>
          <w:rFonts w:ascii="Times New Roman" w:hAnsi="Times New Roman"/>
          <w:szCs w:val="24"/>
        </w:rPr>
      </w:pPr>
    </w:p>
    <w:p w:rsidR="00065F6A" w:rsidRDefault="00CA362C" w:rsidP="003049BE">
      <w:pPr>
        <w:widowControl/>
        <w:ind w:firstLine="720"/>
        <w:rPr>
          <w:rFonts w:ascii="Times New Roman" w:hAnsi="Times New Roman"/>
          <w:b/>
          <w:szCs w:val="24"/>
        </w:rPr>
      </w:pPr>
      <w:r w:rsidRPr="00455D4E">
        <w:rPr>
          <w:rFonts w:ascii="Times New Roman" w:hAnsi="Times New Roman"/>
          <w:szCs w:val="24"/>
        </w:rPr>
        <w:t>The documentation required by the Guidance is maintained by each institution; therefore, are not collected or published by the Federal Reserve System.  These recordkeeping requirements are documented on occasion.  Bank examiners would verify compliance with this recordkeeping requirement during examinations.</w:t>
      </w:r>
      <w:r w:rsidR="00065F6A">
        <w:rPr>
          <w:rFonts w:ascii="Times New Roman" w:hAnsi="Times New Roman"/>
          <w:b/>
          <w:szCs w:val="24"/>
        </w:rPr>
        <w:br w:type="page"/>
      </w:r>
    </w:p>
    <w:p w:rsidR="005071F2" w:rsidRPr="00455D4E" w:rsidRDefault="005071F2" w:rsidP="005071F2">
      <w:pPr>
        <w:widowControl/>
        <w:rPr>
          <w:rFonts w:ascii="Times New Roman" w:hAnsi="Times New Roman"/>
          <w:b/>
          <w:szCs w:val="24"/>
        </w:rPr>
      </w:pPr>
      <w:r w:rsidRPr="00455D4E">
        <w:rPr>
          <w:rFonts w:ascii="Times New Roman" w:hAnsi="Times New Roman"/>
          <w:b/>
          <w:szCs w:val="24"/>
        </w:rPr>
        <w:lastRenderedPageBreak/>
        <w:t>Consultation Outside of the Agency</w:t>
      </w:r>
      <w:r w:rsidR="00F9745F">
        <w:rPr>
          <w:rFonts w:ascii="Times New Roman" w:hAnsi="Times New Roman"/>
          <w:b/>
          <w:szCs w:val="24"/>
        </w:rPr>
        <w:t xml:space="preserve"> and Discussion of Public Comment</w:t>
      </w:r>
    </w:p>
    <w:p w:rsidR="005071F2" w:rsidRPr="00455D4E" w:rsidRDefault="005071F2" w:rsidP="005071F2">
      <w:pPr>
        <w:widowControl/>
        <w:rPr>
          <w:rFonts w:ascii="Times New Roman" w:hAnsi="Times New Roman"/>
          <w:szCs w:val="24"/>
        </w:rPr>
      </w:pPr>
    </w:p>
    <w:p w:rsidR="00455D4E" w:rsidRPr="008024FD" w:rsidRDefault="00937783" w:rsidP="00F9745F">
      <w:pPr>
        <w:widowControl/>
        <w:autoSpaceDE w:val="0"/>
        <w:autoSpaceDN w:val="0"/>
        <w:adjustRightInd w:val="0"/>
        <w:ind w:firstLine="720"/>
        <w:rPr>
          <w:rFonts w:ascii="Times New Roman" w:hAnsi="Times New Roman"/>
          <w:color w:val="000000"/>
          <w:szCs w:val="24"/>
        </w:rPr>
      </w:pPr>
      <w:r w:rsidRPr="00455D4E">
        <w:rPr>
          <w:rFonts w:ascii="Times New Roman" w:hAnsi="Times New Roman"/>
          <w:szCs w:val="24"/>
        </w:rPr>
        <w:t xml:space="preserve">On March 30, 2012, the Agencies published a joint notice of proposed guidance in the </w:t>
      </w:r>
      <w:r w:rsidRPr="00455D4E">
        <w:rPr>
          <w:rFonts w:ascii="Times New Roman" w:hAnsi="Times New Roman"/>
          <w:i/>
          <w:szCs w:val="24"/>
        </w:rPr>
        <w:t>Federal Register</w:t>
      </w:r>
      <w:r w:rsidRPr="00455D4E">
        <w:rPr>
          <w:rFonts w:ascii="Times New Roman" w:hAnsi="Times New Roman"/>
          <w:szCs w:val="24"/>
        </w:rPr>
        <w:t xml:space="preserve"> for public comment (77 FR 19417).  The comment period for this notice expired June 8, 2012.  The agencies received </w:t>
      </w:r>
      <w:r w:rsidR="00455D4E" w:rsidRPr="00455D4E">
        <w:rPr>
          <w:rFonts w:ascii="Times New Roman" w:hAnsi="Times New Roman"/>
          <w:szCs w:val="24"/>
        </w:rPr>
        <w:t>two</w:t>
      </w:r>
      <w:r w:rsidRPr="00455D4E">
        <w:rPr>
          <w:rFonts w:ascii="Times New Roman" w:hAnsi="Times New Roman"/>
          <w:szCs w:val="24"/>
        </w:rPr>
        <w:t xml:space="preserve"> comments from addressing the PRA burden estimate.</w:t>
      </w:r>
      <w:r w:rsidR="00455D4E" w:rsidRPr="00455D4E">
        <w:rPr>
          <w:rFonts w:ascii="Times New Roman" w:hAnsi="Times New Roman"/>
          <w:szCs w:val="24"/>
        </w:rPr>
        <w:t xml:space="preserve">  </w:t>
      </w:r>
      <w:r w:rsidR="00455D4E" w:rsidRPr="00455D4E">
        <w:rPr>
          <w:rFonts w:ascii="Times New Roman" w:hAnsi="Times New Roman"/>
          <w:snapToGrid/>
          <w:szCs w:val="24"/>
        </w:rPr>
        <w:t xml:space="preserve">Both </w:t>
      </w:r>
      <w:r w:rsidR="00455D4E" w:rsidRPr="008024FD">
        <w:rPr>
          <w:rFonts w:ascii="Times New Roman" w:hAnsi="Times New Roman"/>
          <w:snapToGrid/>
          <w:szCs w:val="24"/>
        </w:rPr>
        <w:t>comments mentioned how substantially burdensome the guidance will be to implement. The agencies recognize that the amount of time</w:t>
      </w:r>
      <w:r w:rsidR="00455D4E" w:rsidRPr="008024FD">
        <w:rPr>
          <w:rFonts w:ascii="Times New Roman" w:hAnsi="Times New Roman"/>
          <w:szCs w:val="24"/>
        </w:rPr>
        <w:t xml:space="preserve"> </w:t>
      </w:r>
      <w:r w:rsidR="00455D4E" w:rsidRPr="008024FD">
        <w:rPr>
          <w:rFonts w:ascii="Times New Roman" w:hAnsi="Times New Roman"/>
          <w:snapToGrid/>
          <w:szCs w:val="24"/>
        </w:rPr>
        <w:t xml:space="preserve">with the guidance may be higher or lower than the estimates, but believe that the numbers stated are reasonable averages.  </w:t>
      </w:r>
      <w:r w:rsidR="00455D4E" w:rsidRPr="008024FD">
        <w:rPr>
          <w:rFonts w:ascii="Times New Roman" w:hAnsi="Times New Roman"/>
          <w:szCs w:val="24"/>
        </w:rPr>
        <w:t xml:space="preserve">The </w:t>
      </w:r>
      <w:r w:rsidR="00455D4E" w:rsidRPr="008024FD">
        <w:rPr>
          <w:rFonts w:ascii="Times New Roman" w:hAnsi="Times New Roman"/>
          <w:color w:val="000000"/>
          <w:szCs w:val="24"/>
        </w:rPr>
        <w:t xml:space="preserve">final </w:t>
      </w:r>
      <w:r w:rsidR="00455D4E" w:rsidRPr="008024FD">
        <w:rPr>
          <w:rFonts w:ascii="Times New Roman" w:hAnsi="Times New Roman"/>
          <w:i/>
          <w:color w:val="000000"/>
          <w:szCs w:val="24"/>
        </w:rPr>
        <w:t>Federal Register</w:t>
      </w:r>
      <w:r w:rsidR="00455D4E" w:rsidRPr="008024FD">
        <w:rPr>
          <w:rFonts w:ascii="Times New Roman" w:hAnsi="Times New Roman"/>
          <w:color w:val="000000"/>
          <w:szCs w:val="24"/>
        </w:rPr>
        <w:t xml:space="preserve"> notice, implementing the Guidance, was published on March 22, 2013 </w:t>
      </w:r>
      <w:r w:rsidR="00455D4E" w:rsidRPr="008024FD">
        <w:rPr>
          <w:rFonts w:ascii="Times New Roman" w:hAnsi="Times New Roman"/>
          <w:szCs w:val="24"/>
        </w:rPr>
        <w:t>(77 FR 17766).</w:t>
      </w:r>
      <w:r w:rsidR="008024FD">
        <w:rPr>
          <w:rFonts w:ascii="Times New Roman" w:hAnsi="Times New Roman"/>
          <w:szCs w:val="24"/>
        </w:rPr>
        <w:t xml:space="preserve">  </w:t>
      </w:r>
      <w:r w:rsidR="008024FD" w:rsidRPr="008024FD">
        <w:rPr>
          <w:rFonts w:ascii="Times New Roman" w:hAnsi="Times New Roman"/>
          <w:snapToGrid/>
          <w:szCs w:val="24"/>
        </w:rPr>
        <w:t>This guidance is effective on</w:t>
      </w:r>
      <w:r w:rsidR="008024FD">
        <w:rPr>
          <w:rFonts w:ascii="Times New Roman" w:hAnsi="Times New Roman"/>
          <w:snapToGrid/>
          <w:szCs w:val="24"/>
        </w:rPr>
        <w:t xml:space="preserve"> </w:t>
      </w:r>
      <w:r w:rsidR="008024FD" w:rsidRPr="008024FD">
        <w:rPr>
          <w:rFonts w:ascii="Times New Roman" w:hAnsi="Times New Roman"/>
          <w:snapToGrid/>
          <w:szCs w:val="24"/>
        </w:rPr>
        <w:t>March 22, 2013.</w:t>
      </w:r>
      <w:r w:rsidR="008024FD">
        <w:rPr>
          <w:rFonts w:ascii="Times New Roman" w:hAnsi="Times New Roman"/>
          <w:snapToGrid/>
          <w:szCs w:val="24"/>
        </w:rPr>
        <w:t xml:space="preserve">  </w:t>
      </w:r>
      <w:r w:rsidR="008024FD" w:rsidRPr="008024FD">
        <w:rPr>
          <w:rFonts w:ascii="Times New Roman" w:hAnsi="Times New Roman"/>
          <w:snapToGrid/>
          <w:szCs w:val="24"/>
        </w:rPr>
        <w:t>The compliance date</w:t>
      </w:r>
      <w:r w:rsidR="008024FD">
        <w:rPr>
          <w:rFonts w:ascii="Times New Roman" w:hAnsi="Times New Roman"/>
          <w:snapToGrid/>
          <w:szCs w:val="24"/>
        </w:rPr>
        <w:t xml:space="preserve"> </w:t>
      </w:r>
      <w:r w:rsidR="008024FD" w:rsidRPr="008024FD">
        <w:rPr>
          <w:rFonts w:ascii="Times New Roman" w:hAnsi="Times New Roman"/>
          <w:snapToGrid/>
          <w:szCs w:val="24"/>
        </w:rPr>
        <w:t>for this guidance is May 21, 2013.</w:t>
      </w:r>
    </w:p>
    <w:p w:rsidR="0051201D" w:rsidRPr="008024FD" w:rsidRDefault="0051201D" w:rsidP="005071F2">
      <w:pPr>
        <w:widowControl/>
        <w:rPr>
          <w:rFonts w:ascii="Times New Roman" w:hAnsi="Times New Roman"/>
          <w:b/>
          <w:szCs w:val="24"/>
        </w:rPr>
      </w:pPr>
    </w:p>
    <w:p w:rsidR="005071F2" w:rsidRPr="008024FD" w:rsidRDefault="005071F2" w:rsidP="00F429EE">
      <w:pPr>
        <w:widowControl/>
        <w:rPr>
          <w:rFonts w:ascii="Times New Roman" w:hAnsi="Times New Roman"/>
          <w:szCs w:val="24"/>
        </w:rPr>
      </w:pPr>
      <w:r w:rsidRPr="008024FD">
        <w:rPr>
          <w:rFonts w:ascii="Times New Roman" w:hAnsi="Times New Roman"/>
          <w:b/>
          <w:szCs w:val="24"/>
        </w:rPr>
        <w:t>Sensitive Questions</w:t>
      </w:r>
    </w:p>
    <w:p w:rsidR="005071F2" w:rsidRPr="00455D4E" w:rsidRDefault="005071F2" w:rsidP="00F429EE">
      <w:pPr>
        <w:widowControl/>
        <w:rPr>
          <w:rFonts w:ascii="Times New Roman" w:hAnsi="Times New Roman"/>
          <w:szCs w:val="24"/>
        </w:rPr>
      </w:pPr>
    </w:p>
    <w:p w:rsidR="005071F2" w:rsidRPr="00455D4E" w:rsidRDefault="005071F2" w:rsidP="00F429EE">
      <w:pPr>
        <w:widowControl/>
        <w:ind w:firstLine="720"/>
        <w:rPr>
          <w:rFonts w:ascii="Times New Roman" w:hAnsi="Times New Roman"/>
          <w:szCs w:val="24"/>
        </w:rPr>
      </w:pPr>
      <w:r w:rsidRPr="00455D4E">
        <w:rPr>
          <w:rFonts w:ascii="Times New Roman" w:hAnsi="Times New Roman"/>
          <w:szCs w:val="24"/>
        </w:rPr>
        <w:t>This information collection contains no questions of a sensitive nature, as defined by OMB guidelines.</w:t>
      </w:r>
    </w:p>
    <w:p w:rsidR="003E3BFA" w:rsidRPr="00455D4E" w:rsidRDefault="003E3BFA" w:rsidP="0057073C"/>
    <w:p w:rsidR="0057073C" w:rsidRPr="0057073C" w:rsidRDefault="00D757AD" w:rsidP="0057073C">
      <w:pPr>
        <w:rPr>
          <w:rFonts w:ascii="Times New Roman" w:hAnsi="Times New Roman"/>
          <w:b/>
        </w:rPr>
      </w:pPr>
      <w:r w:rsidRPr="0057073C">
        <w:rPr>
          <w:rFonts w:ascii="Times New Roman" w:hAnsi="Times New Roman"/>
          <w:b/>
        </w:rPr>
        <w:t>Legal Status</w:t>
      </w:r>
    </w:p>
    <w:p w:rsidR="0057073C" w:rsidRPr="0057073C" w:rsidRDefault="0057073C" w:rsidP="0057073C">
      <w:pPr>
        <w:rPr>
          <w:rFonts w:ascii="Times New Roman" w:hAnsi="Times New Roman"/>
        </w:rPr>
      </w:pPr>
    </w:p>
    <w:p w:rsidR="0057073C" w:rsidRDefault="00F429EE" w:rsidP="0057073C">
      <w:pPr>
        <w:ind w:firstLine="720"/>
        <w:rPr>
          <w:rFonts w:ascii="Times New Roman" w:hAnsi="Times New Roman"/>
        </w:rPr>
      </w:pPr>
      <w:r w:rsidRPr="0057073C">
        <w:rPr>
          <w:rFonts w:ascii="Times New Roman" w:hAnsi="Times New Roman"/>
        </w:rPr>
        <w:t xml:space="preserve">Authorization:  </w:t>
      </w:r>
      <w:r w:rsidR="003049BE" w:rsidRPr="0057073C">
        <w:rPr>
          <w:rFonts w:ascii="Times New Roman" w:hAnsi="Times New Roman"/>
        </w:rPr>
        <w:t xml:space="preserve">The Board's Legal Division has determined that </w:t>
      </w:r>
      <w:r w:rsidRPr="0057073C">
        <w:rPr>
          <w:rFonts w:ascii="Times New Roman" w:hAnsi="Times New Roman"/>
          <w:w w:val="106"/>
        </w:rPr>
        <w:t xml:space="preserve">all </w:t>
      </w:r>
      <w:r w:rsidRPr="0057073C">
        <w:rPr>
          <w:rFonts w:ascii="Times New Roman" w:hAnsi="Times New Roman"/>
        </w:rPr>
        <w:t>financial</w:t>
      </w:r>
      <w:r w:rsidRPr="0057073C">
        <w:rPr>
          <w:rFonts w:ascii="Times New Roman" w:hAnsi="Times New Roman"/>
          <w:spacing w:val="33"/>
        </w:rPr>
        <w:t xml:space="preserve"> </w:t>
      </w:r>
      <w:r w:rsidRPr="0057073C">
        <w:rPr>
          <w:rFonts w:ascii="Times New Roman" w:hAnsi="Times New Roman"/>
        </w:rPr>
        <w:t>institutions</w:t>
      </w:r>
      <w:r w:rsidRPr="0057073C">
        <w:rPr>
          <w:rFonts w:ascii="Times New Roman" w:hAnsi="Times New Roman"/>
          <w:spacing w:val="25"/>
        </w:rPr>
        <w:t xml:space="preserve"> </w:t>
      </w:r>
      <w:r w:rsidRPr="0057073C">
        <w:rPr>
          <w:rFonts w:ascii="Times New Roman" w:hAnsi="Times New Roman"/>
        </w:rPr>
        <w:t>supervised</w:t>
      </w:r>
      <w:r w:rsidRPr="0057073C">
        <w:rPr>
          <w:rFonts w:ascii="Times New Roman" w:hAnsi="Times New Roman"/>
          <w:spacing w:val="27"/>
        </w:rPr>
        <w:t xml:space="preserve"> </w:t>
      </w:r>
      <w:r w:rsidRPr="0057073C">
        <w:rPr>
          <w:rFonts w:ascii="Times New Roman" w:hAnsi="Times New Roman"/>
        </w:rPr>
        <w:t>by</w:t>
      </w:r>
      <w:r w:rsidRPr="0057073C">
        <w:rPr>
          <w:rFonts w:ascii="Times New Roman" w:hAnsi="Times New Roman"/>
          <w:spacing w:val="4"/>
        </w:rPr>
        <w:t xml:space="preserve"> </w:t>
      </w:r>
      <w:r w:rsidRPr="0057073C">
        <w:rPr>
          <w:rFonts w:ascii="Times New Roman" w:hAnsi="Times New Roman"/>
        </w:rPr>
        <w:t>the</w:t>
      </w:r>
      <w:r w:rsidRPr="0057073C">
        <w:rPr>
          <w:rFonts w:ascii="Times New Roman" w:hAnsi="Times New Roman"/>
          <w:spacing w:val="6"/>
        </w:rPr>
        <w:t xml:space="preserve"> </w:t>
      </w:r>
      <w:r w:rsidRPr="0057073C">
        <w:rPr>
          <w:rFonts w:ascii="Times New Roman" w:hAnsi="Times New Roman"/>
        </w:rPr>
        <w:t>Board</w:t>
      </w:r>
      <w:r w:rsidRPr="0057073C">
        <w:rPr>
          <w:rFonts w:ascii="Times New Roman" w:hAnsi="Times New Roman"/>
          <w:spacing w:val="20"/>
        </w:rPr>
        <w:t xml:space="preserve"> </w:t>
      </w:r>
      <w:r w:rsidRPr="0057073C">
        <w:rPr>
          <w:rFonts w:ascii="Times New Roman" w:hAnsi="Times New Roman"/>
        </w:rPr>
        <w:t>and</w:t>
      </w:r>
      <w:r w:rsidRPr="0057073C">
        <w:rPr>
          <w:rFonts w:ascii="Times New Roman" w:hAnsi="Times New Roman"/>
          <w:spacing w:val="18"/>
        </w:rPr>
        <w:t xml:space="preserve"> </w:t>
      </w:r>
      <w:r w:rsidRPr="0057073C">
        <w:rPr>
          <w:rFonts w:ascii="Times New Roman" w:hAnsi="Times New Roman"/>
        </w:rPr>
        <w:t>substantively</w:t>
      </w:r>
      <w:r w:rsidRPr="0057073C">
        <w:rPr>
          <w:rFonts w:ascii="Times New Roman" w:hAnsi="Times New Roman"/>
          <w:spacing w:val="34"/>
        </w:rPr>
        <w:t xml:space="preserve"> </w:t>
      </w:r>
      <w:r w:rsidRPr="0057073C">
        <w:rPr>
          <w:rFonts w:ascii="Times New Roman" w:hAnsi="Times New Roman"/>
        </w:rPr>
        <w:t>engaged</w:t>
      </w:r>
      <w:r w:rsidRPr="0057073C">
        <w:rPr>
          <w:rFonts w:ascii="Times New Roman" w:hAnsi="Times New Roman"/>
          <w:spacing w:val="33"/>
        </w:rPr>
        <w:t xml:space="preserve"> </w:t>
      </w:r>
      <w:r w:rsidRPr="0057073C">
        <w:rPr>
          <w:rFonts w:ascii="Times New Roman" w:hAnsi="Times New Roman"/>
        </w:rPr>
        <w:t>in</w:t>
      </w:r>
      <w:r w:rsidRPr="0057073C">
        <w:rPr>
          <w:rFonts w:ascii="Times New Roman" w:hAnsi="Times New Roman"/>
          <w:spacing w:val="15"/>
        </w:rPr>
        <w:t xml:space="preserve"> </w:t>
      </w:r>
      <w:r w:rsidRPr="0057073C">
        <w:rPr>
          <w:rFonts w:ascii="Times New Roman" w:hAnsi="Times New Roman"/>
        </w:rPr>
        <w:t>leveraged</w:t>
      </w:r>
      <w:r w:rsidRPr="0057073C">
        <w:rPr>
          <w:rFonts w:ascii="Times New Roman" w:hAnsi="Times New Roman"/>
          <w:spacing w:val="27"/>
        </w:rPr>
        <w:t xml:space="preserve"> </w:t>
      </w:r>
      <w:r w:rsidRPr="0057073C">
        <w:rPr>
          <w:rFonts w:ascii="Times New Roman" w:hAnsi="Times New Roman"/>
          <w:w w:val="103"/>
        </w:rPr>
        <w:t xml:space="preserve">lending </w:t>
      </w:r>
      <w:r w:rsidRPr="0057073C">
        <w:rPr>
          <w:rFonts w:ascii="Times New Roman" w:hAnsi="Times New Roman"/>
        </w:rPr>
        <w:t>activities</w:t>
      </w:r>
      <w:r w:rsidRPr="0057073C">
        <w:rPr>
          <w:rFonts w:ascii="Times New Roman" w:hAnsi="Times New Roman"/>
          <w:spacing w:val="27"/>
        </w:rPr>
        <w:t xml:space="preserve"> </w:t>
      </w:r>
      <w:r w:rsidRPr="0057073C">
        <w:rPr>
          <w:rFonts w:ascii="Times New Roman" w:hAnsi="Times New Roman"/>
        </w:rPr>
        <w:t>are</w:t>
      </w:r>
      <w:r w:rsidRPr="0057073C">
        <w:rPr>
          <w:rFonts w:ascii="Times New Roman" w:hAnsi="Times New Roman"/>
          <w:spacing w:val="2"/>
        </w:rPr>
        <w:t xml:space="preserve"> </w:t>
      </w:r>
      <w:r w:rsidRPr="0057073C">
        <w:rPr>
          <w:rFonts w:ascii="Times New Roman" w:hAnsi="Times New Roman"/>
        </w:rPr>
        <w:t>subject</w:t>
      </w:r>
      <w:r w:rsidRPr="0057073C">
        <w:rPr>
          <w:rFonts w:ascii="Times New Roman" w:hAnsi="Times New Roman"/>
          <w:spacing w:val="30"/>
        </w:rPr>
        <w:t xml:space="preserve"> </w:t>
      </w:r>
      <w:r w:rsidRPr="0057073C">
        <w:rPr>
          <w:rFonts w:ascii="Times New Roman" w:hAnsi="Times New Roman"/>
        </w:rPr>
        <w:t xml:space="preserve">to </w:t>
      </w:r>
      <w:r w:rsidR="003049BE" w:rsidRPr="0057073C">
        <w:rPr>
          <w:rFonts w:ascii="Times New Roman" w:hAnsi="Times New Roman"/>
        </w:rPr>
        <w:t xml:space="preserve">the FR 4203:  </w:t>
      </w:r>
    </w:p>
    <w:p w:rsidR="0057073C" w:rsidRPr="0057073C" w:rsidRDefault="003049BE" w:rsidP="00F429EE">
      <w:pPr>
        <w:pStyle w:val="ListParagraph"/>
        <w:numPr>
          <w:ilvl w:val="0"/>
          <w:numId w:val="18"/>
        </w:numPr>
      </w:pPr>
      <w:r w:rsidRPr="0057073C">
        <w:t>Regarding</w:t>
      </w:r>
      <w:r w:rsidRPr="0057073C">
        <w:rPr>
          <w:spacing w:val="23"/>
        </w:rPr>
        <w:t xml:space="preserve"> </w:t>
      </w:r>
      <w:r w:rsidRPr="0057073C">
        <w:t>state</w:t>
      </w:r>
      <w:r w:rsidRPr="0057073C">
        <w:rPr>
          <w:spacing w:val="19"/>
        </w:rPr>
        <w:t xml:space="preserve"> </w:t>
      </w:r>
      <w:r w:rsidRPr="0057073C">
        <w:t>member</w:t>
      </w:r>
      <w:r w:rsidRPr="0057073C">
        <w:rPr>
          <w:spacing w:val="23"/>
        </w:rPr>
        <w:t xml:space="preserve"> </w:t>
      </w:r>
      <w:r w:rsidRPr="0057073C">
        <w:t>banks,</w:t>
      </w:r>
      <w:r w:rsidRPr="0057073C">
        <w:rPr>
          <w:spacing w:val="13"/>
        </w:rPr>
        <w:t xml:space="preserve"> </w:t>
      </w:r>
      <w:r w:rsidRPr="0057073C">
        <w:rPr>
          <w:w w:val="103"/>
        </w:rPr>
        <w:t xml:space="preserve">the </w:t>
      </w:r>
      <w:r w:rsidRPr="0057073C">
        <w:t>information</w:t>
      </w:r>
      <w:r w:rsidRPr="0057073C">
        <w:rPr>
          <w:spacing w:val="23"/>
        </w:rPr>
        <w:t xml:space="preserve"> </w:t>
      </w:r>
      <w:r w:rsidRPr="0057073C">
        <w:t>collection</w:t>
      </w:r>
      <w:r w:rsidRPr="0057073C">
        <w:rPr>
          <w:spacing w:val="25"/>
        </w:rPr>
        <w:t xml:space="preserve"> </w:t>
      </w:r>
      <w:r w:rsidRPr="0057073C">
        <w:t>is</w:t>
      </w:r>
      <w:r w:rsidRPr="0057073C">
        <w:rPr>
          <w:spacing w:val="2"/>
        </w:rPr>
        <w:t xml:space="preserve"> </w:t>
      </w:r>
      <w:r w:rsidRPr="0057073C">
        <w:t>authorized</w:t>
      </w:r>
      <w:r w:rsidRPr="0057073C">
        <w:rPr>
          <w:spacing w:val="32"/>
        </w:rPr>
        <w:t xml:space="preserve"> </w:t>
      </w:r>
      <w:r w:rsidRPr="0057073C">
        <w:t>by</w:t>
      </w:r>
      <w:r w:rsidRPr="0057073C">
        <w:rPr>
          <w:spacing w:val="2"/>
        </w:rPr>
        <w:t xml:space="preserve"> </w:t>
      </w:r>
      <w:r w:rsidRPr="0057073C">
        <w:t>Section</w:t>
      </w:r>
      <w:r w:rsidRPr="0057073C">
        <w:rPr>
          <w:spacing w:val="29"/>
        </w:rPr>
        <w:t xml:space="preserve"> </w:t>
      </w:r>
      <w:r w:rsidRPr="0057073C">
        <w:rPr>
          <w:w w:val="102"/>
        </w:rPr>
        <w:t>11</w:t>
      </w:r>
      <w:r w:rsidRPr="0057073C">
        <w:rPr>
          <w:spacing w:val="-40"/>
        </w:rPr>
        <w:t xml:space="preserve"> </w:t>
      </w:r>
      <w:r w:rsidRPr="0057073C">
        <w:t>(a</w:t>
      </w:r>
      <w:proofErr w:type="gramStart"/>
      <w:r w:rsidRPr="0057073C">
        <w:t>)(</w:t>
      </w:r>
      <w:proofErr w:type="gramEnd"/>
      <w:r w:rsidRPr="0057073C">
        <w:t>2)</w:t>
      </w:r>
      <w:r w:rsidRPr="0057073C">
        <w:rPr>
          <w:spacing w:val="21"/>
        </w:rPr>
        <w:t xml:space="preserve"> </w:t>
      </w:r>
      <w:r w:rsidRPr="0057073C">
        <w:t>of</w:t>
      </w:r>
      <w:r w:rsidRPr="0057073C">
        <w:rPr>
          <w:spacing w:val="13"/>
        </w:rPr>
        <w:t xml:space="preserve"> </w:t>
      </w:r>
      <w:r w:rsidRPr="0057073C">
        <w:t>the</w:t>
      </w:r>
      <w:r w:rsidRPr="0057073C">
        <w:rPr>
          <w:spacing w:val="6"/>
        </w:rPr>
        <w:t xml:space="preserve"> </w:t>
      </w:r>
      <w:r w:rsidRPr="0057073C">
        <w:t>Federal</w:t>
      </w:r>
      <w:r w:rsidRPr="0057073C">
        <w:rPr>
          <w:spacing w:val="21"/>
        </w:rPr>
        <w:t xml:space="preserve"> </w:t>
      </w:r>
      <w:r w:rsidRPr="0057073C">
        <w:t>Reserve</w:t>
      </w:r>
      <w:r w:rsidRPr="0057073C">
        <w:rPr>
          <w:spacing w:val="28"/>
        </w:rPr>
        <w:t xml:space="preserve"> </w:t>
      </w:r>
      <w:r w:rsidRPr="0057073C">
        <w:t>Act,</w:t>
      </w:r>
      <w:r w:rsidRPr="0057073C">
        <w:rPr>
          <w:spacing w:val="18"/>
        </w:rPr>
        <w:t xml:space="preserve"> </w:t>
      </w:r>
      <w:r w:rsidRPr="0057073C">
        <w:t>12</w:t>
      </w:r>
      <w:r w:rsidRPr="0057073C">
        <w:rPr>
          <w:spacing w:val="4"/>
        </w:rPr>
        <w:t xml:space="preserve"> </w:t>
      </w:r>
      <w:r w:rsidRPr="0057073C">
        <w:t>U.S.C.</w:t>
      </w:r>
      <w:r w:rsidRPr="0057073C">
        <w:rPr>
          <w:spacing w:val="26"/>
        </w:rPr>
        <w:t xml:space="preserve"> </w:t>
      </w:r>
      <w:r w:rsidRPr="0057073C">
        <w:rPr>
          <w:w w:val="104"/>
        </w:rPr>
        <w:t xml:space="preserve">§ </w:t>
      </w:r>
      <w:r w:rsidRPr="0057073C">
        <w:t>248(a)(2),</w:t>
      </w:r>
      <w:r w:rsidRPr="0057073C">
        <w:rPr>
          <w:spacing w:val="39"/>
        </w:rPr>
        <w:t xml:space="preserve"> </w:t>
      </w:r>
      <w:r w:rsidRPr="0057073C">
        <w:t>which</w:t>
      </w:r>
      <w:r w:rsidRPr="0057073C">
        <w:rPr>
          <w:spacing w:val="12"/>
        </w:rPr>
        <w:t xml:space="preserve"> </w:t>
      </w:r>
      <w:r w:rsidRPr="0057073C">
        <w:t>authorizes</w:t>
      </w:r>
      <w:r w:rsidRPr="0057073C">
        <w:rPr>
          <w:spacing w:val="25"/>
        </w:rPr>
        <w:t xml:space="preserve"> </w:t>
      </w:r>
      <w:r w:rsidRPr="0057073C">
        <w:t>the</w:t>
      </w:r>
      <w:r w:rsidRPr="0057073C">
        <w:rPr>
          <w:spacing w:val="6"/>
        </w:rPr>
        <w:t xml:space="preserve"> </w:t>
      </w:r>
      <w:r w:rsidRPr="0057073C">
        <w:t>Board</w:t>
      </w:r>
      <w:r w:rsidRPr="0057073C">
        <w:rPr>
          <w:spacing w:val="9"/>
        </w:rPr>
        <w:t xml:space="preserve"> </w:t>
      </w:r>
      <w:r w:rsidRPr="0057073C">
        <w:t>to</w:t>
      </w:r>
      <w:r w:rsidRPr="0057073C">
        <w:rPr>
          <w:spacing w:val="14"/>
        </w:rPr>
        <w:t xml:space="preserve"> </w:t>
      </w:r>
      <w:r w:rsidRPr="0057073C">
        <w:t>require</w:t>
      </w:r>
      <w:r w:rsidRPr="0057073C">
        <w:rPr>
          <w:spacing w:val="11"/>
        </w:rPr>
        <w:t xml:space="preserve"> </w:t>
      </w:r>
      <w:r w:rsidRPr="0057073C">
        <w:t>any</w:t>
      </w:r>
      <w:r w:rsidRPr="0057073C">
        <w:rPr>
          <w:spacing w:val="25"/>
        </w:rPr>
        <w:t xml:space="preserve"> </w:t>
      </w:r>
      <w:r w:rsidRPr="0057073C">
        <w:t>depository</w:t>
      </w:r>
      <w:r w:rsidRPr="0057073C">
        <w:rPr>
          <w:spacing w:val="32"/>
        </w:rPr>
        <w:t xml:space="preserve"> </w:t>
      </w:r>
      <w:r w:rsidRPr="0057073C">
        <w:t>institution</w:t>
      </w:r>
      <w:r w:rsidRPr="0057073C">
        <w:rPr>
          <w:spacing w:val="31"/>
        </w:rPr>
        <w:t xml:space="preserve"> </w:t>
      </w:r>
      <w:r w:rsidRPr="0057073C">
        <w:t>to</w:t>
      </w:r>
      <w:r w:rsidRPr="0057073C">
        <w:rPr>
          <w:spacing w:val="9"/>
        </w:rPr>
        <w:t xml:space="preserve"> </w:t>
      </w:r>
      <w:r w:rsidRPr="0057073C">
        <w:t>make</w:t>
      </w:r>
      <w:r w:rsidRPr="0057073C">
        <w:rPr>
          <w:spacing w:val="10"/>
        </w:rPr>
        <w:t xml:space="preserve"> </w:t>
      </w:r>
      <w:r w:rsidRPr="0057073C">
        <w:t>such</w:t>
      </w:r>
      <w:r w:rsidRPr="0057073C">
        <w:rPr>
          <w:spacing w:val="26"/>
        </w:rPr>
        <w:t xml:space="preserve"> </w:t>
      </w:r>
      <w:r w:rsidRPr="0057073C">
        <w:rPr>
          <w:w w:val="103"/>
        </w:rPr>
        <w:t xml:space="preserve">reports </w:t>
      </w:r>
      <w:r w:rsidRPr="0057073C">
        <w:t>of</w:t>
      </w:r>
      <w:r w:rsidRPr="0057073C">
        <w:rPr>
          <w:spacing w:val="14"/>
        </w:rPr>
        <w:t xml:space="preserve"> </w:t>
      </w:r>
      <w:r w:rsidRPr="0057073C">
        <w:t>its</w:t>
      </w:r>
      <w:r w:rsidRPr="0057073C">
        <w:rPr>
          <w:spacing w:val="3"/>
        </w:rPr>
        <w:t xml:space="preserve"> </w:t>
      </w:r>
      <w:r w:rsidRPr="0057073C">
        <w:t>assets</w:t>
      </w:r>
      <w:r w:rsidRPr="0057073C">
        <w:rPr>
          <w:spacing w:val="17"/>
        </w:rPr>
        <w:t xml:space="preserve"> </w:t>
      </w:r>
      <w:r w:rsidRPr="0057073C">
        <w:t>and</w:t>
      </w:r>
      <w:r w:rsidRPr="0057073C">
        <w:rPr>
          <w:spacing w:val="17"/>
        </w:rPr>
        <w:t xml:space="preserve"> </w:t>
      </w:r>
      <w:r w:rsidRPr="0057073C">
        <w:t>liabilities</w:t>
      </w:r>
      <w:r w:rsidRPr="0057073C">
        <w:rPr>
          <w:spacing w:val="19"/>
        </w:rPr>
        <w:t xml:space="preserve"> </w:t>
      </w:r>
      <w:r w:rsidRPr="0057073C">
        <w:t>as</w:t>
      </w:r>
      <w:r w:rsidRPr="0057073C">
        <w:rPr>
          <w:spacing w:val="5"/>
        </w:rPr>
        <w:t xml:space="preserve"> </w:t>
      </w:r>
      <w:r w:rsidRPr="0057073C">
        <w:t>the</w:t>
      </w:r>
      <w:r w:rsidRPr="0057073C">
        <w:rPr>
          <w:spacing w:val="7"/>
        </w:rPr>
        <w:t xml:space="preserve"> </w:t>
      </w:r>
      <w:r w:rsidRPr="0057073C">
        <w:t>Board</w:t>
      </w:r>
      <w:r w:rsidRPr="0057073C">
        <w:rPr>
          <w:spacing w:val="21"/>
        </w:rPr>
        <w:t xml:space="preserve"> </w:t>
      </w:r>
      <w:r w:rsidRPr="0057073C">
        <w:t>may</w:t>
      </w:r>
      <w:r w:rsidRPr="0057073C">
        <w:rPr>
          <w:spacing w:val="9"/>
        </w:rPr>
        <w:t xml:space="preserve"> </w:t>
      </w:r>
      <w:r w:rsidRPr="0057073C">
        <w:t>determine</w:t>
      </w:r>
      <w:r w:rsidRPr="0057073C">
        <w:rPr>
          <w:spacing w:val="36"/>
        </w:rPr>
        <w:t xml:space="preserve"> </w:t>
      </w:r>
      <w:r w:rsidRPr="0057073C">
        <w:t>to</w:t>
      </w:r>
      <w:r w:rsidRPr="0057073C">
        <w:rPr>
          <w:spacing w:val="16"/>
        </w:rPr>
        <w:t xml:space="preserve"> </w:t>
      </w:r>
      <w:r w:rsidRPr="0057073C">
        <w:t>be</w:t>
      </w:r>
      <w:r w:rsidRPr="0057073C">
        <w:rPr>
          <w:spacing w:val="10"/>
        </w:rPr>
        <w:t xml:space="preserve"> </w:t>
      </w:r>
      <w:r w:rsidRPr="0057073C">
        <w:t>necessary</w:t>
      </w:r>
      <w:r w:rsidRPr="0057073C">
        <w:rPr>
          <w:spacing w:val="25"/>
        </w:rPr>
        <w:t xml:space="preserve"> </w:t>
      </w:r>
      <w:r w:rsidRPr="0057073C">
        <w:t>or</w:t>
      </w:r>
      <w:r w:rsidRPr="0057073C">
        <w:rPr>
          <w:spacing w:val="3"/>
        </w:rPr>
        <w:t xml:space="preserve"> </w:t>
      </w:r>
      <w:r w:rsidRPr="0057073C">
        <w:t>desirable</w:t>
      </w:r>
      <w:r w:rsidRPr="0057073C">
        <w:rPr>
          <w:spacing w:val="26"/>
        </w:rPr>
        <w:t xml:space="preserve"> </w:t>
      </w:r>
      <w:r w:rsidRPr="0057073C">
        <w:t>to</w:t>
      </w:r>
      <w:r w:rsidRPr="0057073C">
        <w:rPr>
          <w:spacing w:val="8"/>
        </w:rPr>
        <w:t xml:space="preserve"> </w:t>
      </w:r>
      <w:r w:rsidRPr="0057073C">
        <w:t>enable</w:t>
      </w:r>
      <w:r w:rsidRPr="0057073C">
        <w:rPr>
          <w:spacing w:val="23"/>
        </w:rPr>
        <w:t xml:space="preserve"> </w:t>
      </w:r>
      <w:r w:rsidRPr="0057073C">
        <w:rPr>
          <w:w w:val="103"/>
        </w:rPr>
        <w:t xml:space="preserve">the </w:t>
      </w:r>
      <w:r w:rsidRPr="0057073C">
        <w:t>Board</w:t>
      </w:r>
      <w:r w:rsidRPr="0057073C">
        <w:rPr>
          <w:spacing w:val="15"/>
        </w:rPr>
        <w:t xml:space="preserve"> </w:t>
      </w:r>
      <w:r w:rsidRPr="0057073C">
        <w:t>to</w:t>
      </w:r>
      <w:r w:rsidRPr="0057073C">
        <w:rPr>
          <w:spacing w:val="3"/>
        </w:rPr>
        <w:t xml:space="preserve"> </w:t>
      </w:r>
      <w:r w:rsidRPr="0057073C">
        <w:t>discharge</w:t>
      </w:r>
      <w:r w:rsidRPr="0057073C">
        <w:rPr>
          <w:spacing w:val="27"/>
        </w:rPr>
        <w:t xml:space="preserve"> </w:t>
      </w:r>
      <w:r w:rsidRPr="0057073C">
        <w:t>its</w:t>
      </w:r>
      <w:r w:rsidRPr="0057073C">
        <w:rPr>
          <w:spacing w:val="8"/>
        </w:rPr>
        <w:t xml:space="preserve"> </w:t>
      </w:r>
      <w:r w:rsidRPr="0057073C">
        <w:t>responsibilities</w:t>
      </w:r>
      <w:r w:rsidRPr="0057073C">
        <w:rPr>
          <w:spacing w:val="34"/>
        </w:rPr>
        <w:t xml:space="preserve"> </w:t>
      </w:r>
      <w:r w:rsidRPr="0057073C">
        <w:t>to</w:t>
      </w:r>
      <w:r w:rsidRPr="0057073C">
        <w:rPr>
          <w:spacing w:val="13"/>
        </w:rPr>
        <w:t xml:space="preserve"> </w:t>
      </w:r>
      <w:r w:rsidRPr="0057073C">
        <w:t>monitor</w:t>
      </w:r>
      <w:r w:rsidRPr="0057073C">
        <w:rPr>
          <w:spacing w:val="13"/>
        </w:rPr>
        <w:t xml:space="preserve"> </w:t>
      </w:r>
      <w:r w:rsidRPr="0057073C">
        <w:t>and</w:t>
      </w:r>
      <w:r w:rsidRPr="0057073C">
        <w:rPr>
          <w:spacing w:val="21"/>
        </w:rPr>
        <w:t xml:space="preserve"> </w:t>
      </w:r>
      <w:r w:rsidRPr="0057073C">
        <w:t>control</w:t>
      </w:r>
      <w:r w:rsidRPr="0057073C">
        <w:rPr>
          <w:spacing w:val="27"/>
        </w:rPr>
        <w:t xml:space="preserve"> </w:t>
      </w:r>
      <w:r w:rsidRPr="0057073C">
        <w:t>monetary</w:t>
      </w:r>
      <w:r w:rsidRPr="0057073C">
        <w:rPr>
          <w:spacing w:val="20"/>
        </w:rPr>
        <w:t xml:space="preserve"> </w:t>
      </w:r>
      <w:r w:rsidRPr="0057073C">
        <w:t>and</w:t>
      </w:r>
      <w:r w:rsidRPr="0057073C">
        <w:rPr>
          <w:spacing w:val="11"/>
        </w:rPr>
        <w:t xml:space="preserve"> </w:t>
      </w:r>
      <w:r w:rsidRPr="0057073C">
        <w:t>credit</w:t>
      </w:r>
      <w:r w:rsidRPr="0057073C">
        <w:rPr>
          <w:spacing w:val="23"/>
        </w:rPr>
        <w:t xml:space="preserve"> </w:t>
      </w:r>
      <w:r w:rsidRPr="0057073C">
        <w:rPr>
          <w:w w:val="103"/>
        </w:rPr>
        <w:t>aggregates.</w:t>
      </w:r>
    </w:p>
    <w:p w:rsidR="0057073C" w:rsidRPr="0057073C" w:rsidRDefault="003049BE" w:rsidP="00F429EE">
      <w:pPr>
        <w:pStyle w:val="ListParagraph"/>
        <w:numPr>
          <w:ilvl w:val="0"/>
          <w:numId w:val="18"/>
        </w:numPr>
      </w:pPr>
      <w:r w:rsidRPr="0057073C">
        <w:t>With</w:t>
      </w:r>
      <w:r w:rsidRPr="0057073C">
        <w:rPr>
          <w:spacing w:val="8"/>
        </w:rPr>
        <w:t xml:space="preserve"> </w:t>
      </w:r>
      <w:r w:rsidRPr="0057073C">
        <w:t>respect</w:t>
      </w:r>
      <w:r w:rsidRPr="0057073C">
        <w:rPr>
          <w:spacing w:val="9"/>
        </w:rPr>
        <w:t xml:space="preserve"> </w:t>
      </w:r>
      <w:r w:rsidRPr="0057073C">
        <w:t>to</w:t>
      </w:r>
      <w:r w:rsidRPr="0057073C">
        <w:rPr>
          <w:spacing w:val="16"/>
        </w:rPr>
        <w:t xml:space="preserve"> </w:t>
      </w:r>
      <w:r w:rsidRPr="0057073C">
        <w:t>bank</w:t>
      </w:r>
      <w:r w:rsidRPr="0057073C">
        <w:rPr>
          <w:spacing w:val="9"/>
        </w:rPr>
        <w:t xml:space="preserve"> </w:t>
      </w:r>
      <w:r w:rsidRPr="0057073C">
        <w:t>holding</w:t>
      </w:r>
      <w:r w:rsidRPr="0057073C">
        <w:rPr>
          <w:spacing w:val="14"/>
        </w:rPr>
        <w:t xml:space="preserve"> </w:t>
      </w:r>
      <w:r w:rsidRPr="0057073C">
        <w:t>companies,</w:t>
      </w:r>
      <w:r w:rsidRPr="0057073C">
        <w:rPr>
          <w:spacing w:val="31"/>
        </w:rPr>
        <w:t xml:space="preserve"> </w:t>
      </w:r>
      <w:r w:rsidRPr="0057073C">
        <w:t>Section</w:t>
      </w:r>
      <w:r w:rsidRPr="0057073C">
        <w:rPr>
          <w:spacing w:val="27"/>
        </w:rPr>
        <w:t xml:space="preserve"> </w:t>
      </w:r>
      <w:r w:rsidRPr="0057073C">
        <w:t>5(c)</w:t>
      </w:r>
      <w:r w:rsidRPr="0057073C">
        <w:rPr>
          <w:spacing w:val="21"/>
        </w:rPr>
        <w:t xml:space="preserve"> </w:t>
      </w:r>
      <w:r w:rsidRPr="0057073C">
        <w:t>of</w:t>
      </w:r>
      <w:r w:rsidRPr="0057073C">
        <w:rPr>
          <w:spacing w:val="2"/>
        </w:rPr>
        <w:t xml:space="preserve"> </w:t>
      </w:r>
      <w:r w:rsidRPr="0057073C">
        <w:t>the</w:t>
      </w:r>
      <w:r w:rsidRPr="0057073C">
        <w:rPr>
          <w:spacing w:val="16"/>
        </w:rPr>
        <w:t xml:space="preserve"> </w:t>
      </w:r>
      <w:r w:rsidRPr="0057073C">
        <w:t>Bank</w:t>
      </w:r>
      <w:r w:rsidRPr="0057073C">
        <w:rPr>
          <w:spacing w:val="18"/>
        </w:rPr>
        <w:t xml:space="preserve"> </w:t>
      </w:r>
      <w:r w:rsidRPr="0057073C">
        <w:t>Holding</w:t>
      </w:r>
      <w:r w:rsidRPr="0057073C">
        <w:rPr>
          <w:spacing w:val="13"/>
        </w:rPr>
        <w:t xml:space="preserve"> </w:t>
      </w:r>
      <w:r w:rsidRPr="0057073C">
        <w:t>Company</w:t>
      </w:r>
      <w:r w:rsidRPr="0057073C">
        <w:rPr>
          <w:spacing w:val="35"/>
        </w:rPr>
        <w:t xml:space="preserve"> </w:t>
      </w:r>
      <w:r w:rsidRPr="0057073C">
        <w:t>Act,</w:t>
      </w:r>
      <w:r w:rsidRPr="0057073C">
        <w:rPr>
          <w:spacing w:val="12"/>
        </w:rPr>
        <w:t xml:space="preserve"> </w:t>
      </w:r>
      <w:r w:rsidRPr="0057073C">
        <w:rPr>
          <w:w w:val="109"/>
        </w:rPr>
        <w:t xml:space="preserve">12 </w:t>
      </w:r>
      <w:r w:rsidRPr="0057073C">
        <w:t>U.S.C.</w:t>
      </w:r>
      <w:r w:rsidRPr="0057073C">
        <w:rPr>
          <w:spacing w:val="-6"/>
        </w:rPr>
        <w:t xml:space="preserve"> </w:t>
      </w:r>
      <w:r w:rsidRPr="0057073C">
        <w:t>§</w:t>
      </w:r>
      <w:r w:rsidRPr="0057073C">
        <w:rPr>
          <w:spacing w:val="-12"/>
        </w:rPr>
        <w:t xml:space="preserve"> </w:t>
      </w:r>
      <w:r w:rsidRPr="0057073C">
        <w:t>1844(c),</w:t>
      </w:r>
      <w:r w:rsidRPr="0057073C">
        <w:rPr>
          <w:spacing w:val="28"/>
        </w:rPr>
        <w:t xml:space="preserve"> </w:t>
      </w:r>
      <w:r w:rsidRPr="0057073C">
        <w:t>authorizes</w:t>
      </w:r>
      <w:r w:rsidRPr="0057073C">
        <w:rPr>
          <w:spacing w:val="17"/>
        </w:rPr>
        <w:t xml:space="preserve"> </w:t>
      </w:r>
      <w:r w:rsidRPr="0057073C">
        <w:t>the</w:t>
      </w:r>
      <w:r w:rsidRPr="0057073C">
        <w:rPr>
          <w:spacing w:val="7"/>
        </w:rPr>
        <w:t xml:space="preserve"> </w:t>
      </w:r>
      <w:r w:rsidRPr="0057073C">
        <w:t>Board</w:t>
      </w:r>
      <w:r w:rsidRPr="0057073C">
        <w:rPr>
          <w:spacing w:val="16"/>
        </w:rPr>
        <w:t xml:space="preserve"> </w:t>
      </w:r>
      <w:r w:rsidRPr="0057073C">
        <w:t>to</w:t>
      </w:r>
      <w:r w:rsidRPr="0057073C">
        <w:rPr>
          <w:spacing w:val="9"/>
        </w:rPr>
        <w:t xml:space="preserve"> </w:t>
      </w:r>
      <w:r w:rsidRPr="0057073C">
        <w:t>require</w:t>
      </w:r>
      <w:r w:rsidRPr="0057073C">
        <w:rPr>
          <w:spacing w:val="13"/>
        </w:rPr>
        <w:t xml:space="preserve"> </w:t>
      </w:r>
      <w:r w:rsidRPr="0057073C">
        <w:t>a</w:t>
      </w:r>
      <w:r w:rsidRPr="0057073C">
        <w:rPr>
          <w:spacing w:val="21"/>
        </w:rPr>
        <w:t xml:space="preserve"> </w:t>
      </w:r>
      <w:r w:rsidRPr="0057073C">
        <w:t>bank</w:t>
      </w:r>
      <w:r w:rsidRPr="0057073C">
        <w:rPr>
          <w:spacing w:val="9"/>
        </w:rPr>
        <w:t xml:space="preserve"> </w:t>
      </w:r>
      <w:r w:rsidRPr="0057073C">
        <w:t>holding</w:t>
      </w:r>
      <w:r w:rsidRPr="0057073C">
        <w:rPr>
          <w:spacing w:val="25"/>
        </w:rPr>
        <w:t xml:space="preserve"> </w:t>
      </w:r>
      <w:r w:rsidRPr="0057073C">
        <w:t>company</w:t>
      </w:r>
      <w:r w:rsidRPr="0057073C">
        <w:rPr>
          <w:spacing w:val="24"/>
        </w:rPr>
        <w:t xml:space="preserve"> </w:t>
      </w:r>
      <w:r w:rsidRPr="0057073C">
        <w:t>and</w:t>
      </w:r>
      <w:r w:rsidRPr="0057073C">
        <w:rPr>
          <w:spacing w:val="11"/>
        </w:rPr>
        <w:t xml:space="preserve"> </w:t>
      </w:r>
      <w:r w:rsidRPr="0057073C">
        <w:t>any</w:t>
      </w:r>
      <w:r w:rsidRPr="0057073C">
        <w:rPr>
          <w:spacing w:val="10"/>
        </w:rPr>
        <w:t xml:space="preserve"> </w:t>
      </w:r>
      <w:r w:rsidRPr="0057073C">
        <w:rPr>
          <w:w w:val="104"/>
        </w:rPr>
        <w:t xml:space="preserve">subsidiary </w:t>
      </w:r>
      <w:r w:rsidRPr="0057073C">
        <w:t>"to</w:t>
      </w:r>
      <w:r w:rsidRPr="0057073C">
        <w:rPr>
          <w:spacing w:val="35"/>
        </w:rPr>
        <w:t xml:space="preserve"> </w:t>
      </w:r>
      <w:r w:rsidRPr="0057073C">
        <w:t>keep</w:t>
      </w:r>
      <w:r w:rsidRPr="0057073C">
        <w:rPr>
          <w:spacing w:val="9"/>
        </w:rPr>
        <w:t xml:space="preserve"> </w:t>
      </w:r>
      <w:r w:rsidRPr="0057073C">
        <w:t>the</w:t>
      </w:r>
      <w:r w:rsidRPr="0057073C">
        <w:rPr>
          <w:spacing w:val="10"/>
        </w:rPr>
        <w:t xml:space="preserve"> </w:t>
      </w:r>
      <w:r w:rsidRPr="0057073C">
        <w:t>Board</w:t>
      </w:r>
      <w:r w:rsidRPr="0057073C">
        <w:rPr>
          <w:spacing w:val="11"/>
        </w:rPr>
        <w:t xml:space="preserve"> </w:t>
      </w:r>
      <w:r w:rsidRPr="0057073C">
        <w:t>informed</w:t>
      </w:r>
      <w:r w:rsidRPr="0057073C">
        <w:rPr>
          <w:spacing w:val="26"/>
        </w:rPr>
        <w:t xml:space="preserve"> </w:t>
      </w:r>
      <w:r w:rsidRPr="0057073C">
        <w:t xml:space="preserve">as to </w:t>
      </w:r>
      <w:r w:rsidRPr="0057073C">
        <w:rPr>
          <w:w w:val="152"/>
        </w:rPr>
        <w:t>-</w:t>
      </w:r>
      <w:r w:rsidRPr="0057073C">
        <w:rPr>
          <w:spacing w:val="-36"/>
        </w:rPr>
        <w:t xml:space="preserve"> </w:t>
      </w:r>
      <w:r w:rsidRPr="0057073C">
        <w:t>(</w:t>
      </w:r>
      <w:proofErr w:type="spellStart"/>
      <w:r w:rsidRPr="0057073C">
        <w:t>i</w:t>
      </w:r>
      <w:proofErr w:type="spellEnd"/>
      <w:r w:rsidRPr="0057073C">
        <w:t>)</w:t>
      </w:r>
      <w:r w:rsidRPr="0057073C">
        <w:rPr>
          <w:spacing w:val="13"/>
        </w:rPr>
        <w:t xml:space="preserve"> </w:t>
      </w:r>
      <w:r w:rsidRPr="0057073C">
        <w:t>its</w:t>
      </w:r>
      <w:r w:rsidRPr="0057073C">
        <w:rPr>
          <w:spacing w:val="5"/>
        </w:rPr>
        <w:t xml:space="preserve"> </w:t>
      </w:r>
      <w:r w:rsidRPr="0057073C">
        <w:t>financial</w:t>
      </w:r>
      <w:r w:rsidRPr="0057073C">
        <w:rPr>
          <w:spacing w:val="43"/>
        </w:rPr>
        <w:t xml:space="preserve"> </w:t>
      </w:r>
      <w:r w:rsidRPr="0057073C">
        <w:t>condition,</w:t>
      </w:r>
      <w:r w:rsidRPr="0057073C">
        <w:rPr>
          <w:spacing w:val="37"/>
        </w:rPr>
        <w:t xml:space="preserve"> </w:t>
      </w:r>
      <w:r w:rsidRPr="0057073C">
        <w:t>[and]</w:t>
      </w:r>
      <w:r w:rsidRPr="0057073C">
        <w:rPr>
          <w:spacing w:val="12"/>
        </w:rPr>
        <w:t xml:space="preserve"> </w:t>
      </w:r>
      <w:r w:rsidRPr="0057073C">
        <w:t>systems</w:t>
      </w:r>
      <w:r w:rsidRPr="0057073C">
        <w:rPr>
          <w:spacing w:val="24"/>
        </w:rPr>
        <w:t xml:space="preserve"> </w:t>
      </w:r>
      <w:r w:rsidRPr="0057073C">
        <w:t>for</w:t>
      </w:r>
      <w:r w:rsidRPr="0057073C">
        <w:rPr>
          <w:spacing w:val="13"/>
        </w:rPr>
        <w:t xml:space="preserve"> </w:t>
      </w:r>
      <w:r w:rsidRPr="0057073C">
        <w:t>monitoring</w:t>
      </w:r>
      <w:r w:rsidRPr="0057073C">
        <w:rPr>
          <w:spacing w:val="33"/>
        </w:rPr>
        <w:t xml:space="preserve"> </w:t>
      </w:r>
      <w:r w:rsidRPr="0057073C">
        <w:rPr>
          <w:w w:val="101"/>
        </w:rPr>
        <w:t xml:space="preserve">and </w:t>
      </w:r>
      <w:r w:rsidRPr="0057073C">
        <w:t>controlling</w:t>
      </w:r>
      <w:r w:rsidRPr="0057073C">
        <w:rPr>
          <w:spacing w:val="32"/>
        </w:rPr>
        <w:t xml:space="preserve"> </w:t>
      </w:r>
      <w:r w:rsidRPr="0057073C">
        <w:t>financial</w:t>
      </w:r>
      <w:r w:rsidRPr="0057073C">
        <w:rPr>
          <w:spacing w:val="18"/>
        </w:rPr>
        <w:t xml:space="preserve"> </w:t>
      </w:r>
      <w:r w:rsidRPr="0057073C">
        <w:t>and</w:t>
      </w:r>
      <w:r w:rsidRPr="0057073C">
        <w:rPr>
          <w:spacing w:val="7"/>
        </w:rPr>
        <w:t xml:space="preserve"> </w:t>
      </w:r>
      <w:r w:rsidRPr="0057073C">
        <w:t>operating</w:t>
      </w:r>
      <w:r w:rsidRPr="0057073C">
        <w:rPr>
          <w:spacing w:val="31"/>
        </w:rPr>
        <w:t xml:space="preserve"> </w:t>
      </w:r>
      <w:r w:rsidRPr="0057073C">
        <w:t>risks</w:t>
      </w:r>
      <w:r w:rsidRPr="0057073C">
        <w:rPr>
          <w:spacing w:val="26"/>
        </w:rPr>
        <w:t xml:space="preserve"> </w:t>
      </w:r>
      <w:r w:rsidRPr="0057073C">
        <w:rPr>
          <w:w w:val="160"/>
        </w:rPr>
        <w:t>...</w:t>
      </w:r>
      <w:r w:rsidRPr="0057073C">
        <w:rPr>
          <w:spacing w:val="-27"/>
          <w:w w:val="160"/>
        </w:rPr>
        <w:t>.</w:t>
      </w:r>
      <w:r w:rsidRPr="0057073C">
        <w:rPr>
          <w:w w:val="160"/>
        </w:rPr>
        <w:t>"</w:t>
      </w:r>
    </w:p>
    <w:p w:rsidR="0057073C" w:rsidRPr="0057073C" w:rsidRDefault="003049BE" w:rsidP="00F429EE">
      <w:pPr>
        <w:pStyle w:val="ListParagraph"/>
        <w:numPr>
          <w:ilvl w:val="0"/>
          <w:numId w:val="18"/>
        </w:numPr>
      </w:pPr>
      <w:r w:rsidRPr="0057073C">
        <w:t>Regarding</w:t>
      </w:r>
      <w:r w:rsidRPr="0057073C">
        <w:rPr>
          <w:spacing w:val="39"/>
        </w:rPr>
        <w:t xml:space="preserve"> </w:t>
      </w:r>
      <w:r w:rsidRPr="0057073C">
        <w:t>branches</w:t>
      </w:r>
      <w:r w:rsidRPr="0057073C">
        <w:rPr>
          <w:spacing w:val="18"/>
        </w:rPr>
        <w:t xml:space="preserve"> </w:t>
      </w:r>
      <w:r w:rsidRPr="0057073C">
        <w:t>and</w:t>
      </w:r>
      <w:r w:rsidRPr="0057073C">
        <w:rPr>
          <w:spacing w:val="12"/>
        </w:rPr>
        <w:t xml:space="preserve"> </w:t>
      </w:r>
      <w:r w:rsidRPr="0057073C">
        <w:t>agencies</w:t>
      </w:r>
      <w:r w:rsidRPr="0057073C">
        <w:rPr>
          <w:spacing w:val="23"/>
        </w:rPr>
        <w:t xml:space="preserve"> </w:t>
      </w:r>
      <w:r w:rsidRPr="0057073C">
        <w:t>of</w:t>
      </w:r>
      <w:r w:rsidRPr="0057073C">
        <w:rPr>
          <w:spacing w:val="20"/>
        </w:rPr>
        <w:t xml:space="preserve"> </w:t>
      </w:r>
      <w:r w:rsidRPr="0057073C">
        <w:rPr>
          <w:w w:val="102"/>
        </w:rPr>
        <w:t xml:space="preserve">foreign </w:t>
      </w:r>
      <w:r w:rsidRPr="0057073C">
        <w:t>banking</w:t>
      </w:r>
      <w:r w:rsidRPr="0057073C">
        <w:rPr>
          <w:spacing w:val="18"/>
        </w:rPr>
        <w:t xml:space="preserve"> </w:t>
      </w:r>
      <w:r w:rsidRPr="0057073C">
        <w:t>organizations,</w:t>
      </w:r>
      <w:r w:rsidRPr="0057073C">
        <w:rPr>
          <w:spacing w:val="17"/>
        </w:rPr>
        <w:t xml:space="preserve"> </w:t>
      </w:r>
      <w:r w:rsidRPr="0057073C">
        <w:t>Section</w:t>
      </w:r>
      <w:r w:rsidRPr="0057073C">
        <w:rPr>
          <w:spacing w:val="35"/>
        </w:rPr>
        <w:t xml:space="preserve"> </w:t>
      </w:r>
      <w:r w:rsidRPr="0057073C">
        <w:t>7(c</w:t>
      </w:r>
      <w:proofErr w:type="gramStart"/>
      <w:r w:rsidRPr="0057073C">
        <w:t>)(</w:t>
      </w:r>
      <w:proofErr w:type="gramEnd"/>
      <w:r w:rsidRPr="0057073C">
        <w:t>2)</w:t>
      </w:r>
      <w:r w:rsidRPr="0057073C">
        <w:rPr>
          <w:spacing w:val="21"/>
        </w:rPr>
        <w:t xml:space="preserve"> </w:t>
      </w:r>
      <w:r w:rsidRPr="0057073C">
        <w:t>of</w:t>
      </w:r>
      <w:r w:rsidRPr="0057073C">
        <w:rPr>
          <w:spacing w:val="16"/>
        </w:rPr>
        <w:t xml:space="preserve"> </w:t>
      </w:r>
      <w:r w:rsidRPr="0057073C">
        <w:t>the</w:t>
      </w:r>
      <w:r w:rsidRPr="0057073C">
        <w:rPr>
          <w:spacing w:val="18"/>
        </w:rPr>
        <w:t xml:space="preserve"> </w:t>
      </w:r>
      <w:r w:rsidRPr="0057073C">
        <w:t>International</w:t>
      </w:r>
      <w:r w:rsidRPr="0057073C">
        <w:rPr>
          <w:spacing w:val="37"/>
        </w:rPr>
        <w:t xml:space="preserve"> </w:t>
      </w:r>
      <w:r w:rsidRPr="0057073C">
        <w:t>Banking</w:t>
      </w:r>
      <w:r w:rsidRPr="0057073C">
        <w:rPr>
          <w:spacing w:val="28"/>
        </w:rPr>
        <w:t xml:space="preserve"> </w:t>
      </w:r>
      <w:r w:rsidRPr="0057073C">
        <w:t>Act</w:t>
      </w:r>
      <w:r w:rsidRPr="0057073C">
        <w:rPr>
          <w:spacing w:val="5"/>
        </w:rPr>
        <w:t xml:space="preserve"> </w:t>
      </w:r>
      <w:r w:rsidRPr="0057073C">
        <w:t>of</w:t>
      </w:r>
      <w:r w:rsidRPr="0057073C">
        <w:rPr>
          <w:spacing w:val="16"/>
        </w:rPr>
        <w:t xml:space="preserve"> </w:t>
      </w:r>
      <w:r w:rsidRPr="0057073C">
        <w:t>1978,</w:t>
      </w:r>
      <w:r w:rsidRPr="0057073C">
        <w:rPr>
          <w:spacing w:val="18"/>
        </w:rPr>
        <w:t xml:space="preserve"> </w:t>
      </w:r>
      <w:r w:rsidRPr="0057073C">
        <w:t>12</w:t>
      </w:r>
      <w:r w:rsidRPr="0057073C">
        <w:rPr>
          <w:spacing w:val="18"/>
        </w:rPr>
        <w:t xml:space="preserve"> </w:t>
      </w:r>
      <w:r w:rsidRPr="0057073C">
        <w:t>U.S.C.</w:t>
      </w:r>
      <w:r w:rsidRPr="0057073C">
        <w:rPr>
          <w:spacing w:val="11"/>
        </w:rPr>
        <w:t xml:space="preserve"> </w:t>
      </w:r>
      <w:r w:rsidRPr="0057073C">
        <w:rPr>
          <w:w w:val="108"/>
        </w:rPr>
        <w:t xml:space="preserve">§ </w:t>
      </w:r>
      <w:r w:rsidRPr="0057073C">
        <w:t>3</w:t>
      </w:r>
      <w:r w:rsidRPr="0057073C">
        <w:rPr>
          <w:spacing w:val="4"/>
        </w:rPr>
        <w:t>1</w:t>
      </w:r>
      <w:r w:rsidRPr="0057073C">
        <w:t>05</w:t>
      </w:r>
      <w:r w:rsidRPr="0057073C">
        <w:rPr>
          <w:spacing w:val="-4"/>
        </w:rPr>
        <w:t>(c</w:t>
      </w:r>
      <w:r w:rsidRPr="0057073C">
        <w:t>)(2),</w:t>
      </w:r>
      <w:r w:rsidRPr="0057073C">
        <w:rPr>
          <w:spacing w:val="49"/>
        </w:rPr>
        <w:t xml:space="preserve"> </w:t>
      </w:r>
      <w:r w:rsidRPr="0057073C">
        <w:t>subjects</w:t>
      </w:r>
      <w:r w:rsidRPr="0057073C">
        <w:rPr>
          <w:spacing w:val="16"/>
        </w:rPr>
        <w:t xml:space="preserve"> </w:t>
      </w:r>
      <w:r w:rsidRPr="0057073C">
        <w:t>such</w:t>
      </w:r>
      <w:r w:rsidRPr="0057073C">
        <w:rPr>
          <w:spacing w:val="10"/>
        </w:rPr>
        <w:t xml:space="preserve"> </w:t>
      </w:r>
      <w:r w:rsidRPr="0057073C">
        <w:t>entities</w:t>
      </w:r>
      <w:r w:rsidRPr="0057073C">
        <w:rPr>
          <w:spacing w:val="18"/>
        </w:rPr>
        <w:t xml:space="preserve"> </w:t>
      </w:r>
      <w:r w:rsidRPr="0057073C">
        <w:t>to</w:t>
      </w:r>
      <w:r w:rsidRPr="0057073C">
        <w:rPr>
          <w:spacing w:val="13"/>
        </w:rPr>
        <w:t xml:space="preserve"> </w:t>
      </w:r>
      <w:r w:rsidRPr="0057073C">
        <w:t>the</w:t>
      </w:r>
      <w:r w:rsidRPr="0057073C">
        <w:rPr>
          <w:spacing w:val="14"/>
        </w:rPr>
        <w:t xml:space="preserve"> </w:t>
      </w:r>
      <w:r w:rsidRPr="0057073C">
        <w:t>requirements</w:t>
      </w:r>
      <w:r w:rsidRPr="0057073C">
        <w:rPr>
          <w:spacing w:val="35"/>
        </w:rPr>
        <w:t xml:space="preserve"> </w:t>
      </w:r>
      <w:r w:rsidRPr="0057073C">
        <w:t>of</w:t>
      </w:r>
      <w:r w:rsidRPr="0057073C">
        <w:rPr>
          <w:spacing w:val="13"/>
        </w:rPr>
        <w:t xml:space="preserve"> </w:t>
      </w:r>
      <w:r w:rsidRPr="0057073C">
        <w:t>section</w:t>
      </w:r>
      <w:r w:rsidRPr="0057073C">
        <w:rPr>
          <w:spacing w:val="21"/>
        </w:rPr>
        <w:t xml:space="preserve"> </w:t>
      </w:r>
      <w:r w:rsidRPr="0057073C">
        <w:t>248</w:t>
      </w:r>
      <w:r w:rsidRPr="0057073C">
        <w:rPr>
          <w:spacing w:val="-5"/>
        </w:rPr>
        <w:t>(</w:t>
      </w:r>
      <w:r w:rsidRPr="0057073C">
        <w:t>a)</w:t>
      </w:r>
      <w:r w:rsidRPr="0057073C">
        <w:rPr>
          <w:spacing w:val="24"/>
        </w:rPr>
        <w:t xml:space="preserve"> </w:t>
      </w:r>
      <w:r w:rsidRPr="0057073C">
        <w:t>"to</w:t>
      </w:r>
      <w:r w:rsidRPr="0057073C">
        <w:rPr>
          <w:spacing w:val="28"/>
        </w:rPr>
        <w:t xml:space="preserve"> </w:t>
      </w:r>
      <w:r w:rsidRPr="0057073C">
        <w:t>the</w:t>
      </w:r>
      <w:r w:rsidRPr="0057073C">
        <w:rPr>
          <w:spacing w:val="7"/>
        </w:rPr>
        <w:t xml:space="preserve"> </w:t>
      </w:r>
      <w:r w:rsidRPr="0057073C">
        <w:t>same</w:t>
      </w:r>
      <w:r w:rsidRPr="0057073C">
        <w:rPr>
          <w:spacing w:val="17"/>
        </w:rPr>
        <w:t xml:space="preserve"> </w:t>
      </w:r>
      <w:r w:rsidRPr="0057073C">
        <w:t>extent</w:t>
      </w:r>
      <w:r w:rsidRPr="0057073C">
        <w:rPr>
          <w:spacing w:val="24"/>
        </w:rPr>
        <w:t xml:space="preserve"> </w:t>
      </w:r>
      <w:r w:rsidRPr="0057073C">
        <w:t>and</w:t>
      </w:r>
      <w:r w:rsidRPr="0057073C">
        <w:rPr>
          <w:spacing w:val="8"/>
        </w:rPr>
        <w:t xml:space="preserve"> </w:t>
      </w:r>
      <w:r w:rsidRPr="0057073C">
        <w:rPr>
          <w:w w:val="103"/>
        </w:rPr>
        <w:t xml:space="preserve">in </w:t>
      </w:r>
      <w:r w:rsidRPr="0057073C">
        <w:t>the</w:t>
      </w:r>
      <w:r w:rsidRPr="0057073C">
        <w:rPr>
          <w:spacing w:val="6"/>
        </w:rPr>
        <w:t xml:space="preserve"> </w:t>
      </w:r>
      <w:r w:rsidRPr="0057073C">
        <w:t>same</w:t>
      </w:r>
      <w:r w:rsidRPr="0057073C">
        <w:rPr>
          <w:spacing w:val="25"/>
        </w:rPr>
        <w:t xml:space="preserve"> </w:t>
      </w:r>
      <w:r w:rsidRPr="0057073C">
        <w:t>manner</w:t>
      </w:r>
      <w:r w:rsidRPr="0057073C">
        <w:rPr>
          <w:spacing w:val="13"/>
        </w:rPr>
        <w:t xml:space="preserve"> </w:t>
      </w:r>
      <w:r w:rsidRPr="0057073C">
        <w:t>as</w:t>
      </w:r>
      <w:r w:rsidRPr="0057073C">
        <w:rPr>
          <w:spacing w:val="6"/>
        </w:rPr>
        <w:t xml:space="preserve"> </w:t>
      </w:r>
      <w:r w:rsidRPr="0057073C">
        <w:t>if</w:t>
      </w:r>
      <w:r w:rsidRPr="0057073C">
        <w:rPr>
          <w:spacing w:val="-1"/>
        </w:rPr>
        <w:t xml:space="preserve"> </w:t>
      </w:r>
      <w:r w:rsidRPr="0057073C">
        <w:t>the</w:t>
      </w:r>
      <w:r w:rsidRPr="0057073C">
        <w:rPr>
          <w:spacing w:val="16"/>
        </w:rPr>
        <w:t xml:space="preserve"> </w:t>
      </w:r>
      <w:r w:rsidRPr="0057073C">
        <w:t>branch</w:t>
      </w:r>
      <w:r w:rsidRPr="0057073C">
        <w:rPr>
          <w:spacing w:val="11"/>
        </w:rPr>
        <w:t xml:space="preserve"> </w:t>
      </w:r>
      <w:r w:rsidRPr="0057073C">
        <w:t>or</w:t>
      </w:r>
      <w:r w:rsidRPr="0057073C">
        <w:rPr>
          <w:spacing w:val="16"/>
        </w:rPr>
        <w:t xml:space="preserve"> </w:t>
      </w:r>
      <w:r w:rsidRPr="0057073C">
        <w:t>agency</w:t>
      </w:r>
      <w:r w:rsidRPr="0057073C">
        <w:rPr>
          <w:spacing w:val="33"/>
        </w:rPr>
        <w:t xml:space="preserve"> </w:t>
      </w:r>
      <w:r w:rsidRPr="0057073C">
        <w:t>were</w:t>
      </w:r>
      <w:r w:rsidRPr="0057073C">
        <w:rPr>
          <w:spacing w:val="11"/>
        </w:rPr>
        <w:t xml:space="preserve"> </w:t>
      </w:r>
      <w:r w:rsidRPr="0057073C">
        <w:t>a</w:t>
      </w:r>
      <w:r w:rsidRPr="0057073C">
        <w:rPr>
          <w:spacing w:val="9"/>
        </w:rPr>
        <w:t xml:space="preserve"> </w:t>
      </w:r>
      <w:r w:rsidRPr="0057073C">
        <w:t>state</w:t>
      </w:r>
      <w:r w:rsidRPr="0057073C">
        <w:rPr>
          <w:spacing w:val="19"/>
        </w:rPr>
        <w:t xml:space="preserve"> </w:t>
      </w:r>
      <w:r w:rsidRPr="0057073C">
        <w:t>member</w:t>
      </w:r>
      <w:r w:rsidRPr="0057073C">
        <w:rPr>
          <w:spacing w:val="28"/>
        </w:rPr>
        <w:t xml:space="preserve"> </w:t>
      </w:r>
      <w:r w:rsidRPr="0057073C">
        <w:t xml:space="preserve">bank." </w:t>
      </w:r>
      <w:r w:rsidRPr="0057073C">
        <w:rPr>
          <w:spacing w:val="6"/>
        </w:rPr>
        <w:t xml:space="preserve"> </w:t>
      </w:r>
    </w:p>
    <w:p w:rsidR="0057073C" w:rsidRDefault="003049BE" w:rsidP="00F429EE">
      <w:pPr>
        <w:pStyle w:val="ListParagraph"/>
        <w:numPr>
          <w:ilvl w:val="0"/>
          <w:numId w:val="18"/>
        </w:numPr>
      </w:pPr>
      <w:r w:rsidRPr="0057073C">
        <w:t>Under</w:t>
      </w:r>
      <w:r w:rsidRPr="0057073C">
        <w:rPr>
          <w:spacing w:val="15"/>
        </w:rPr>
        <w:t xml:space="preserve"> </w:t>
      </w:r>
      <w:r w:rsidRPr="0057073C">
        <w:t>Section</w:t>
      </w:r>
      <w:r w:rsidRPr="0057073C">
        <w:rPr>
          <w:spacing w:val="29"/>
        </w:rPr>
        <w:t xml:space="preserve"> </w:t>
      </w:r>
      <w:r w:rsidRPr="0057073C">
        <w:t>25</w:t>
      </w:r>
      <w:r w:rsidRPr="0057073C">
        <w:rPr>
          <w:spacing w:val="12"/>
        </w:rPr>
        <w:t xml:space="preserve"> </w:t>
      </w:r>
      <w:r w:rsidRPr="0057073C">
        <w:t>of</w:t>
      </w:r>
      <w:r w:rsidRPr="0057073C">
        <w:rPr>
          <w:spacing w:val="9"/>
        </w:rPr>
        <w:t xml:space="preserve"> </w:t>
      </w:r>
      <w:r w:rsidRPr="0057073C">
        <w:rPr>
          <w:w w:val="105"/>
        </w:rPr>
        <w:t xml:space="preserve">the </w:t>
      </w:r>
      <w:r w:rsidRPr="0057073C">
        <w:t>Federal</w:t>
      </w:r>
      <w:r w:rsidRPr="0057073C">
        <w:rPr>
          <w:spacing w:val="32"/>
        </w:rPr>
        <w:t xml:space="preserve"> </w:t>
      </w:r>
      <w:r w:rsidRPr="0057073C">
        <w:t>Reserve</w:t>
      </w:r>
      <w:r w:rsidRPr="0057073C">
        <w:rPr>
          <w:spacing w:val="17"/>
        </w:rPr>
        <w:t xml:space="preserve"> </w:t>
      </w:r>
      <w:r w:rsidRPr="0057073C">
        <w:t>Act,</w:t>
      </w:r>
      <w:r w:rsidRPr="0057073C">
        <w:rPr>
          <w:spacing w:val="10"/>
        </w:rPr>
        <w:t xml:space="preserve"> </w:t>
      </w:r>
      <w:r w:rsidRPr="0057073C">
        <w:t>12</w:t>
      </w:r>
      <w:r w:rsidRPr="0057073C">
        <w:rPr>
          <w:spacing w:val="13"/>
        </w:rPr>
        <w:t xml:space="preserve"> </w:t>
      </w:r>
      <w:r w:rsidRPr="0057073C">
        <w:t>U.S.C.</w:t>
      </w:r>
      <w:r w:rsidRPr="0057073C">
        <w:rPr>
          <w:spacing w:val="3"/>
        </w:rPr>
        <w:t xml:space="preserve"> </w:t>
      </w:r>
      <w:r w:rsidRPr="0057073C">
        <w:t>§</w:t>
      </w:r>
      <w:r w:rsidRPr="0057073C">
        <w:rPr>
          <w:spacing w:val="8"/>
        </w:rPr>
        <w:t xml:space="preserve"> </w:t>
      </w:r>
      <w:r w:rsidRPr="0057073C">
        <w:t>602,</w:t>
      </w:r>
      <w:r w:rsidRPr="0057073C">
        <w:rPr>
          <w:spacing w:val="27"/>
        </w:rPr>
        <w:t xml:space="preserve"> </w:t>
      </w:r>
      <w:r w:rsidRPr="0057073C">
        <w:t>state</w:t>
      </w:r>
      <w:r w:rsidRPr="0057073C">
        <w:rPr>
          <w:spacing w:val="17"/>
        </w:rPr>
        <w:t xml:space="preserve"> </w:t>
      </w:r>
      <w:r w:rsidRPr="0057073C">
        <w:t>member</w:t>
      </w:r>
      <w:r w:rsidRPr="0057073C">
        <w:rPr>
          <w:spacing w:val="35"/>
        </w:rPr>
        <w:t xml:space="preserve"> </w:t>
      </w:r>
      <w:r w:rsidRPr="0057073C">
        <w:t>banks</w:t>
      </w:r>
      <w:r w:rsidRPr="0057073C">
        <w:rPr>
          <w:spacing w:val="3"/>
        </w:rPr>
        <w:t xml:space="preserve"> </w:t>
      </w:r>
      <w:r w:rsidRPr="0057073C">
        <w:t>are</w:t>
      </w:r>
      <w:r w:rsidRPr="0057073C">
        <w:rPr>
          <w:spacing w:val="17"/>
        </w:rPr>
        <w:t xml:space="preserve"> </w:t>
      </w:r>
      <w:r w:rsidRPr="0057073C">
        <w:t>required</w:t>
      </w:r>
      <w:r w:rsidRPr="0057073C">
        <w:rPr>
          <w:spacing w:val="20"/>
        </w:rPr>
        <w:t xml:space="preserve"> </w:t>
      </w:r>
      <w:r w:rsidRPr="0057073C">
        <w:t>to</w:t>
      </w:r>
      <w:r w:rsidRPr="0057073C">
        <w:rPr>
          <w:spacing w:val="7"/>
        </w:rPr>
        <w:t xml:space="preserve"> </w:t>
      </w:r>
      <w:r w:rsidRPr="0057073C">
        <w:t>furnish</w:t>
      </w:r>
      <w:r w:rsidRPr="0057073C">
        <w:rPr>
          <w:spacing w:val="22"/>
        </w:rPr>
        <w:t xml:space="preserve"> </w:t>
      </w:r>
      <w:r w:rsidRPr="0057073C">
        <w:t>to</w:t>
      </w:r>
      <w:r w:rsidRPr="0057073C">
        <w:rPr>
          <w:spacing w:val="10"/>
        </w:rPr>
        <w:t xml:space="preserve"> </w:t>
      </w:r>
      <w:r w:rsidRPr="0057073C">
        <w:t>the</w:t>
      </w:r>
      <w:r w:rsidRPr="0057073C">
        <w:rPr>
          <w:spacing w:val="18"/>
        </w:rPr>
        <w:t xml:space="preserve"> </w:t>
      </w:r>
      <w:r w:rsidRPr="0057073C">
        <w:rPr>
          <w:w w:val="102"/>
        </w:rPr>
        <w:t xml:space="preserve">Board </w:t>
      </w:r>
      <w:r w:rsidRPr="0057073C">
        <w:t>"information</w:t>
      </w:r>
      <w:r w:rsidRPr="0057073C">
        <w:rPr>
          <w:spacing w:val="54"/>
        </w:rPr>
        <w:t xml:space="preserve"> </w:t>
      </w:r>
      <w:r w:rsidRPr="0057073C">
        <w:t>concerning</w:t>
      </w:r>
      <w:r w:rsidRPr="0057073C">
        <w:rPr>
          <w:spacing w:val="25"/>
        </w:rPr>
        <w:t xml:space="preserve"> </w:t>
      </w:r>
      <w:r w:rsidRPr="0057073C">
        <w:t>the</w:t>
      </w:r>
      <w:r w:rsidRPr="0057073C">
        <w:rPr>
          <w:spacing w:val="6"/>
        </w:rPr>
        <w:t xml:space="preserve"> </w:t>
      </w:r>
      <w:r w:rsidRPr="0057073C">
        <w:t>condition of” Edge</w:t>
      </w:r>
      <w:r w:rsidRPr="0057073C">
        <w:rPr>
          <w:spacing w:val="17"/>
        </w:rPr>
        <w:t xml:space="preserve"> </w:t>
      </w:r>
      <w:r w:rsidRPr="0057073C">
        <w:t>and</w:t>
      </w:r>
      <w:r w:rsidRPr="0057073C">
        <w:rPr>
          <w:spacing w:val="15"/>
        </w:rPr>
        <w:t xml:space="preserve"> </w:t>
      </w:r>
      <w:r w:rsidRPr="0057073C">
        <w:t>Agreement</w:t>
      </w:r>
      <w:r w:rsidRPr="0057073C">
        <w:rPr>
          <w:spacing w:val="26"/>
        </w:rPr>
        <w:t xml:space="preserve"> </w:t>
      </w:r>
      <w:r w:rsidRPr="0057073C">
        <w:t>Corporations</w:t>
      </w:r>
      <w:r w:rsidRPr="0057073C">
        <w:rPr>
          <w:spacing w:val="46"/>
        </w:rPr>
        <w:t xml:space="preserve"> </w:t>
      </w:r>
      <w:r w:rsidRPr="0057073C">
        <w:t>in</w:t>
      </w:r>
      <w:r w:rsidRPr="0057073C">
        <w:rPr>
          <w:spacing w:val="11"/>
        </w:rPr>
        <w:t xml:space="preserve"> </w:t>
      </w:r>
      <w:r w:rsidRPr="0057073C">
        <w:t>which</w:t>
      </w:r>
      <w:r w:rsidRPr="0057073C">
        <w:rPr>
          <w:spacing w:val="13"/>
        </w:rPr>
        <w:t xml:space="preserve"> </w:t>
      </w:r>
      <w:r w:rsidRPr="0057073C">
        <w:rPr>
          <w:w w:val="103"/>
        </w:rPr>
        <w:t xml:space="preserve">they </w:t>
      </w:r>
      <w:r w:rsidRPr="0057073C">
        <w:t xml:space="preserve">invest. </w:t>
      </w:r>
      <w:r w:rsidRPr="0057073C">
        <w:rPr>
          <w:spacing w:val="8"/>
        </w:rPr>
        <w:t xml:space="preserve"> </w:t>
      </w:r>
      <w:r w:rsidRPr="0057073C">
        <w:t>More</w:t>
      </w:r>
      <w:r w:rsidRPr="0057073C">
        <w:rPr>
          <w:spacing w:val="24"/>
        </w:rPr>
        <w:t xml:space="preserve"> </w:t>
      </w:r>
      <w:r w:rsidRPr="0057073C">
        <w:t>generally</w:t>
      </w:r>
      <w:r w:rsidRPr="0057073C">
        <w:rPr>
          <w:spacing w:val="27"/>
        </w:rPr>
        <w:t xml:space="preserve"> </w:t>
      </w:r>
      <w:r w:rsidRPr="0057073C">
        <w:t>with</w:t>
      </w:r>
      <w:r w:rsidRPr="0057073C">
        <w:rPr>
          <w:spacing w:val="11"/>
        </w:rPr>
        <w:t xml:space="preserve"> </w:t>
      </w:r>
      <w:r w:rsidRPr="0057073C">
        <w:t>respect</w:t>
      </w:r>
      <w:r w:rsidRPr="0057073C">
        <w:rPr>
          <w:spacing w:val="16"/>
        </w:rPr>
        <w:t xml:space="preserve"> </w:t>
      </w:r>
      <w:r w:rsidRPr="0057073C">
        <w:t>to</w:t>
      </w:r>
      <w:r w:rsidRPr="0057073C">
        <w:rPr>
          <w:spacing w:val="10"/>
        </w:rPr>
        <w:t xml:space="preserve"> </w:t>
      </w:r>
      <w:r w:rsidRPr="0057073C">
        <w:t>Edge</w:t>
      </w:r>
      <w:r w:rsidRPr="0057073C">
        <w:rPr>
          <w:spacing w:val="17"/>
        </w:rPr>
        <w:t xml:space="preserve"> </w:t>
      </w:r>
      <w:r w:rsidRPr="0057073C">
        <w:t>and</w:t>
      </w:r>
      <w:r w:rsidRPr="0057073C">
        <w:rPr>
          <w:spacing w:val="20"/>
        </w:rPr>
        <w:t xml:space="preserve"> </w:t>
      </w:r>
      <w:r w:rsidRPr="0057073C">
        <w:t>Agreement</w:t>
      </w:r>
      <w:r w:rsidRPr="0057073C">
        <w:rPr>
          <w:spacing w:val="27"/>
        </w:rPr>
        <w:t xml:space="preserve"> </w:t>
      </w:r>
      <w:r w:rsidRPr="0057073C">
        <w:t>Corporations,</w:t>
      </w:r>
      <w:r w:rsidRPr="0057073C">
        <w:rPr>
          <w:spacing w:val="34"/>
        </w:rPr>
        <w:t xml:space="preserve"> </w:t>
      </w:r>
      <w:r w:rsidRPr="0057073C">
        <w:t>under</w:t>
      </w:r>
      <w:r w:rsidRPr="0057073C">
        <w:rPr>
          <w:spacing w:val="17"/>
        </w:rPr>
        <w:t xml:space="preserve"> </w:t>
      </w:r>
      <w:r w:rsidRPr="0057073C">
        <w:t>Section</w:t>
      </w:r>
      <w:r w:rsidRPr="0057073C">
        <w:rPr>
          <w:spacing w:val="19"/>
        </w:rPr>
        <w:t xml:space="preserve"> </w:t>
      </w:r>
      <w:r w:rsidRPr="0057073C">
        <w:t>25A</w:t>
      </w:r>
      <w:r w:rsidRPr="0057073C">
        <w:rPr>
          <w:spacing w:val="21"/>
        </w:rPr>
        <w:t xml:space="preserve"> </w:t>
      </w:r>
      <w:r w:rsidRPr="0057073C">
        <w:rPr>
          <w:w w:val="105"/>
        </w:rPr>
        <w:t xml:space="preserve">of </w:t>
      </w:r>
      <w:r w:rsidRPr="0057073C">
        <w:t>the</w:t>
      </w:r>
      <w:r w:rsidRPr="0057073C">
        <w:rPr>
          <w:spacing w:val="12"/>
        </w:rPr>
        <w:t xml:space="preserve"> </w:t>
      </w:r>
      <w:r w:rsidRPr="0057073C">
        <w:t>Federal</w:t>
      </w:r>
      <w:r w:rsidRPr="0057073C">
        <w:rPr>
          <w:spacing w:val="21"/>
        </w:rPr>
        <w:t xml:space="preserve"> </w:t>
      </w:r>
      <w:r w:rsidRPr="0057073C">
        <w:t>Reserve</w:t>
      </w:r>
      <w:r w:rsidRPr="0057073C">
        <w:rPr>
          <w:spacing w:val="12"/>
        </w:rPr>
        <w:t xml:space="preserve"> </w:t>
      </w:r>
      <w:r w:rsidRPr="0057073C">
        <w:t>Act,</w:t>
      </w:r>
      <w:r w:rsidRPr="0057073C">
        <w:rPr>
          <w:spacing w:val="18"/>
        </w:rPr>
        <w:t xml:space="preserve"> </w:t>
      </w:r>
      <w:r w:rsidRPr="0057073C">
        <w:t>12</w:t>
      </w:r>
      <w:r w:rsidRPr="0057073C">
        <w:rPr>
          <w:spacing w:val="13"/>
        </w:rPr>
        <w:t xml:space="preserve"> </w:t>
      </w:r>
      <w:r w:rsidRPr="0057073C">
        <w:t>U.S.C.</w:t>
      </w:r>
      <w:r w:rsidRPr="0057073C">
        <w:rPr>
          <w:spacing w:val="12"/>
        </w:rPr>
        <w:t xml:space="preserve"> </w:t>
      </w:r>
      <w:r w:rsidRPr="0057073C">
        <w:t>§</w:t>
      </w:r>
      <w:r w:rsidRPr="0057073C">
        <w:rPr>
          <w:spacing w:val="11"/>
        </w:rPr>
        <w:t xml:space="preserve"> </w:t>
      </w:r>
      <w:r w:rsidRPr="0057073C">
        <w:t>611a,</w:t>
      </w:r>
      <w:r w:rsidRPr="0057073C">
        <w:rPr>
          <w:spacing w:val="17"/>
        </w:rPr>
        <w:t xml:space="preserve"> </w:t>
      </w:r>
      <w:r w:rsidRPr="0057073C">
        <w:t>the</w:t>
      </w:r>
      <w:r w:rsidRPr="0057073C">
        <w:rPr>
          <w:spacing w:val="18"/>
        </w:rPr>
        <w:t xml:space="preserve"> </w:t>
      </w:r>
      <w:r w:rsidRPr="0057073C">
        <w:t>Federal</w:t>
      </w:r>
      <w:r w:rsidRPr="0057073C">
        <w:rPr>
          <w:spacing w:val="23"/>
        </w:rPr>
        <w:t xml:space="preserve"> </w:t>
      </w:r>
      <w:r w:rsidRPr="0057073C">
        <w:t>Reserve</w:t>
      </w:r>
      <w:r w:rsidRPr="0057073C">
        <w:rPr>
          <w:spacing w:val="18"/>
        </w:rPr>
        <w:t xml:space="preserve"> </w:t>
      </w:r>
      <w:r w:rsidRPr="0057073C">
        <w:t>may</w:t>
      </w:r>
      <w:r w:rsidRPr="0057073C">
        <w:rPr>
          <w:spacing w:val="7"/>
        </w:rPr>
        <w:t xml:space="preserve"> </w:t>
      </w:r>
      <w:r w:rsidRPr="0057073C">
        <w:t>"issue</w:t>
      </w:r>
      <w:r w:rsidRPr="0057073C">
        <w:rPr>
          <w:spacing w:val="44"/>
        </w:rPr>
        <w:t xml:space="preserve"> </w:t>
      </w:r>
      <w:r w:rsidRPr="0057073C">
        <w:t>rules</w:t>
      </w:r>
      <w:r w:rsidRPr="0057073C">
        <w:rPr>
          <w:spacing w:val="6"/>
        </w:rPr>
        <w:t xml:space="preserve"> </w:t>
      </w:r>
      <w:r w:rsidRPr="0057073C">
        <w:rPr>
          <w:w w:val="101"/>
        </w:rPr>
        <w:t xml:space="preserve">and </w:t>
      </w:r>
      <w:r w:rsidRPr="0057073C">
        <w:t>regulations"</w:t>
      </w:r>
      <w:r w:rsidRPr="0057073C">
        <w:rPr>
          <w:spacing w:val="42"/>
        </w:rPr>
        <w:t xml:space="preserve"> </w:t>
      </w:r>
      <w:r w:rsidRPr="0057073C">
        <w:t>governing</w:t>
      </w:r>
      <w:r w:rsidRPr="0057073C">
        <w:rPr>
          <w:spacing w:val="8"/>
        </w:rPr>
        <w:t xml:space="preserve"> </w:t>
      </w:r>
      <w:r w:rsidRPr="0057073C">
        <w:t>such</w:t>
      </w:r>
      <w:r w:rsidRPr="0057073C">
        <w:rPr>
          <w:spacing w:val="14"/>
        </w:rPr>
        <w:t xml:space="preserve"> </w:t>
      </w:r>
      <w:r w:rsidRPr="0057073C">
        <w:t>entities</w:t>
      </w:r>
      <w:r w:rsidRPr="0057073C">
        <w:rPr>
          <w:spacing w:val="17"/>
        </w:rPr>
        <w:t xml:space="preserve"> </w:t>
      </w:r>
      <w:r w:rsidRPr="0057073C">
        <w:t>"consistent with</w:t>
      </w:r>
      <w:r w:rsidRPr="0057073C">
        <w:rPr>
          <w:spacing w:val="18"/>
        </w:rPr>
        <w:t xml:space="preserve"> </w:t>
      </w:r>
      <w:r w:rsidRPr="0057073C">
        <w:t>and</w:t>
      </w:r>
      <w:r w:rsidRPr="0057073C">
        <w:rPr>
          <w:spacing w:val="13"/>
        </w:rPr>
        <w:t xml:space="preserve"> </w:t>
      </w:r>
      <w:r w:rsidRPr="0057073C">
        <w:t>in</w:t>
      </w:r>
      <w:r w:rsidRPr="0057073C">
        <w:rPr>
          <w:spacing w:val="3"/>
        </w:rPr>
        <w:t xml:space="preserve"> </w:t>
      </w:r>
      <w:r w:rsidRPr="0057073C">
        <w:t>furtherance</w:t>
      </w:r>
      <w:r w:rsidRPr="0057073C">
        <w:rPr>
          <w:spacing w:val="31"/>
        </w:rPr>
        <w:t xml:space="preserve"> </w:t>
      </w:r>
      <w:r w:rsidRPr="0057073C">
        <w:t>of</w:t>
      </w:r>
      <w:r w:rsidRPr="0057073C">
        <w:rPr>
          <w:spacing w:val="6"/>
        </w:rPr>
        <w:t xml:space="preserve"> </w:t>
      </w:r>
      <w:r w:rsidRPr="0057073C">
        <w:t>the</w:t>
      </w:r>
      <w:r w:rsidRPr="0057073C">
        <w:rPr>
          <w:spacing w:val="17"/>
        </w:rPr>
        <w:t xml:space="preserve"> </w:t>
      </w:r>
      <w:r w:rsidRPr="0057073C">
        <w:t>purposes"</w:t>
      </w:r>
      <w:r w:rsidRPr="0057073C">
        <w:rPr>
          <w:spacing w:val="19"/>
        </w:rPr>
        <w:t xml:space="preserve"> of that</w:t>
      </w:r>
      <w:r w:rsidRPr="0057073C">
        <w:rPr>
          <w:w w:val="114"/>
        </w:rPr>
        <w:t xml:space="preserve"> </w:t>
      </w:r>
      <w:r w:rsidRPr="0057073C">
        <w:t>subchapter.</w:t>
      </w:r>
    </w:p>
    <w:p w:rsidR="003049BE" w:rsidRPr="0057073C" w:rsidRDefault="003049BE" w:rsidP="00F429EE">
      <w:pPr>
        <w:pStyle w:val="ListParagraph"/>
        <w:numPr>
          <w:ilvl w:val="0"/>
          <w:numId w:val="18"/>
        </w:numPr>
      </w:pPr>
      <w:r w:rsidRPr="0057073C">
        <w:t>Under</w:t>
      </w:r>
      <w:r w:rsidRPr="0057073C">
        <w:rPr>
          <w:spacing w:val="9"/>
        </w:rPr>
        <w:t xml:space="preserve"> </w:t>
      </w:r>
      <w:r w:rsidRPr="0057073C">
        <w:t>Section</w:t>
      </w:r>
      <w:r w:rsidRPr="0057073C">
        <w:rPr>
          <w:spacing w:val="22"/>
        </w:rPr>
        <w:t xml:space="preserve"> </w:t>
      </w:r>
      <w:r w:rsidRPr="0057073C">
        <w:t>312</w:t>
      </w:r>
      <w:r w:rsidRPr="0057073C">
        <w:rPr>
          <w:spacing w:val="18"/>
        </w:rPr>
        <w:t xml:space="preserve"> </w:t>
      </w:r>
      <w:r w:rsidRPr="0057073C">
        <w:rPr>
          <w:w w:val="117"/>
        </w:rPr>
        <w:t>of the</w:t>
      </w:r>
      <w:r w:rsidRPr="0057073C">
        <w:rPr>
          <w:spacing w:val="-6"/>
          <w:w w:val="117"/>
        </w:rPr>
        <w:t xml:space="preserve"> </w:t>
      </w:r>
      <w:r w:rsidRPr="0057073C">
        <w:t>Dodd-Frank</w:t>
      </w:r>
      <w:r w:rsidRPr="0057073C">
        <w:rPr>
          <w:spacing w:val="56"/>
        </w:rPr>
        <w:t xml:space="preserve"> </w:t>
      </w:r>
      <w:r w:rsidRPr="0057073C">
        <w:t>Act,</w:t>
      </w:r>
      <w:r w:rsidRPr="0057073C">
        <w:rPr>
          <w:spacing w:val="6"/>
        </w:rPr>
        <w:t xml:space="preserve"> </w:t>
      </w:r>
      <w:r w:rsidRPr="0057073C">
        <w:t>12</w:t>
      </w:r>
      <w:r w:rsidRPr="0057073C">
        <w:rPr>
          <w:spacing w:val="8"/>
        </w:rPr>
        <w:t xml:space="preserve"> </w:t>
      </w:r>
      <w:r w:rsidRPr="0057073C">
        <w:t>U.S.C.</w:t>
      </w:r>
      <w:r w:rsidRPr="0057073C">
        <w:rPr>
          <w:spacing w:val="14"/>
        </w:rPr>
        <w:t xml:space="preserve"> </w:t>
      </w:r>
      <w:r w:rsidRPr="0057073C">
        <w:t>§</w:t>
      </w:r>
      <w:r w:rsidRPr="0057073C">
        <w:rPr>
          <w:spacing w:val="7"/>
        </w:rPr>
        <w:t xml:space="preserve"> </w:t>
      </w:r>
      <w:r w:rsidRPr="0057073C">
        <w:t>5412,</w:t>
      </w:r>
      <w:r w:rsidRPr="0057073C">
        <w:rPr>
          <w:spacing w:val="17"/>
        </w:rPr>
        <w:t xml:space="preserve"> </w:t>
      </w:r>
      <w:r w:rsidRPr="0057073C">
        <w:t>the</w:t>
      </w:r>
      <w:r w:rsidRPr="0057073C">
        <w:rPr>
          <w:spacing w:val="11"/>
        </w:rPr>
        <w:t xml:space="preserve"> </w:t>
      </w:r>
      <w:r w:rsidRPr="0057073C">
        <w:t>Board</w:t>
      </w:r>
      <w:r w:rsidRPr="0057073C">
        <w:rPr>
          <w:spacing w:val="21"/>
        </w:rPr>
        <w:t xml:space="preserve"> </w:t>
      </w:r>
      <w:r w:rsidRPr="0057073C">
        <w:rPr>
          <w:w w:val="103"/>
        </w:rPr>
        <w:t xml:space="preserve">succeeded </w:t>
      </w:r>
      <w:r w:rsidRPr="0057073C">
        <w:rPr>
          <w:w w:val="107"/>
        </w:rPr>
        <w:t>t</w:t>
      </w:r>
      <w:r w:rsidRPr="0057073C">
        <w:rPr>
          <w:w w:val="108"/>
        </w:rPr>
        <w:t>o</w:t>
      </w:r>
      <w:r w:rsidRPr="0057073C">
        <w:rPr>
          <w:spacing w:val="-2"/>
        </w:rPr>
        <w:t xml:space="preserve"> </w:t>
      </w:r>
      <w:r w:rsidRPr="0057073C">
        <w:t>all</w:t>
      </w:r>
      <w:r w:rsidRPr="0057073C">
        <w:rPr>
          <w:spacing w:val="13"/>
        </w:rPr>
        <w:t xml:space="preserve"> </w:t>
      </w:r>
      <w:r w:rsidRPr="0057073C">
        <w:t>powers</w:t>
      </w:r>
      <w:r w:rsidRPr="0057073C">
        <w:rPr>
          <w:spacing w:val="7"/>
        </w:rPr>
        <w:t xml:space="preserve"> </w:t>
      </w:r>
      <w:r w:rsidRPr="0057073C">
        <w:t>and</w:t>
      </w:r>
      <w:r w:rsidRPr="0057073C">
        <w:rPr>
          <w:spacing w:val="11"/>
        </w:rPr>
        <w:t xml:space="preserve"> </w:t>
      </w:r>
      <w:r w:rsidRPr="0057073C">
        <w:t>authorities</w:t>
      </w:r>
      <w:r w:rsidRPr="0057073C">
        <w:rPr>
          <w:spacing w:val="17"/>
        </w:rPr>
        <w:t xml:space="preserve"> </w:t>
      </w:r>
      <w:r w:rsidRPr="0057073C">
        <w:t>of</w:t>
      </w:r>
      <w:r w:rsidRPr="0057073C">
        <w:rPr>
          <w:spacing w:val="11"/>
        </w:rPr>
        <w:t xml:space="preserve"> </w:t>
      </w:r>
      <w:r w:rsidRPr="0057073C">
        <w:t>the</w:t>
      </w:r>
      <w:r w:rsidRPr="0057073C">
        <w:rPr>
          <w:spacing w:val="6"/>
        </w:rPr>
        <w:t xml:space="preserve"> </w:t>
      </w:r>
      <w:r w:rsidRPr="0057073C">
        <w:t>OTS</w:t>
      </w:r>
      <w:r w:rsidRPr="0057073C">
        <w:rPr>
          <w:spacing w:val="18"/>
        </w:rPr>
        <w:t xml:space="preserve"> </w:t>
      </w:r>
      <w:r w:rsidRPr="0057073C">
        <w:t>and</w:t>
      </w:r>
      <w:r w:rsidRPr="0057073C">
        <w:rPr>
          <w:spacing w:val="23"/>
        </w:rPr>
        <w:t xml:space="preserve"> </w:t>
      </w:r>
      <w:r w:rsidRPr="0057073C">
        <w:t>its</w:t>
      </w:r>
      <w:r w:rsidRPr="0057073C">
        <w:rPr>
          <w:spacing w:val="6"/>
        </w:rPr>
        <w:t xml:space="preserve"> </w:t>
      </w:r>
      <w:r w:rsidRPr="0057073C">
        <w:t>Director</w:t>
      </w:r>
      <w:r w:rsidRPr="0057073C">
        <w:rPr>
          <w:spacing w:val="34"/>
        </w:rPr>
        <w:t xml:space="preserve"> </w:t>
      </w:r>
      <w:r w:rsidRPr="0057073C">
        <w:t>with</w:t>
      </w:r>
      <w:r w:rsidRPr="0057073C">
        <w:rPr>
          <w:spacing w:val="11"/>
        </w:rPr>
        <w:t xml:space="preserve"> </w:t>
      </w:r>
      <w:r w:rsidRPr="0057073C">
        <w:t>respect</w:t>
      </w:r>
      <w:r w:rsidRPr="0057073C">
        <w:rPr>
          <w:spacing w:val="14"/>
        </w:rPr>
        <w:t xml:space="preserve"> </w:t>
      </w:r>
      <w:r w:rsidRPr="0057073C">
        <w:t>to</w:t>
      </w:r>
      <w:r w:rsidRPr="0057073C">
        <w:rPr>
          <w:spacing w:val="14"/>
        </w:rPr>
        <w:t xml:space="preserve"> </w:t>
      </w:r>
      <w:r w:rsidRPr="0057073C">
        <w:t>savings</w:t>
      </w:r>
      <w:r w:rsidRPr="0057073C">
        <w:rPr>
          <w:spacing w:val="12"/>
        </w:rPr>
        <w:t xml:space="preserve"> </w:t>
      </w:r>
      <w:r w:rsidRPr="0057073C">
        <w:t>and</w:t>
      </w:r>
      <w:r w:rsidRPr="0057073C">
        <w:rPr>
          <w:spacing w:val="19"/>
        </w:rPr>
        <w:t xml:space="preserve"> </w:t>
      </w:r>
      <w:r w:rsidRPr="0057073C">
        <w:t>loan</w:t>
      </w:r>
      <w:r w:rsidRPr="0057073C">
        <w:rPr>
          <w:spacing w:val="12"/>
        </w:rPr>
        <w:t xml:space="preserve"> </w:t>
      </w:r>
      <w:r w:rsidRPr="0057073C">
        <w:rPr>
          <w:w w:val="103"/>
        </w:rPr>
        <w:t xml:space="preserve">holding </w:t>
      </w:r>
      <w:r w:rsidRPr="0057073C">
        <w:t>companies,</w:t>
      </w:r>
      <w:r w:rsidRPr="0057073C">
        <w:rPr>
          <w:spacing w:val="29"/>
        </w:rPr>
        <w:t xml:space="preserve"> </w:t>
      </w:r>
      <w:r w:rsidRPr="0057073C">
        <w:t>including</w:t>
      </w:r>
      <w:r w:rsidRPr="0057073C">
        <w:rPr>
          <w:spacing w:val="17"/>
        </w:rPr>
        <w:t xml:space="preserve"> </w:t>
      </w:r>
      <w:r w:rsidRPr="0057073C">
        <w:t>the</w:t>
      </w:r>
      <w:r w:rsidRPr="0057073C">
        <w:rPr>
          <w:spacing w:val="12"/>
        </w:rPr>
        <w:t xml:space="preserve"> </w:t>
      </w:r>
      <w:r w:rsidRPr="0057073C">
        <w:t xml:space="preserve">Director's </w:t>
      </w:r>
      <w:r w:rsidRPr="0057073C">
        <w:rPr>
          <w:spacing w:val="7"/>
        </w:rPr>
        <w:t xml:space="preserve"> </w:t>
      </w:r>
      <w:r w:rsidRPr="0057073C">
        <w:t>authority</w:t>
      </w:r>
      <w:r w:rsidRPr="0057073C">
        <w:rPr>
          <w:spacing w:val="25"/>
        </w:rPr>
        <w:t xml:space="preserve"> </w:t>
      </w:r>
      <w:r w:rsidRPr="0057073C">
        <w:t>to</w:t>
      </w:r>
      <w:r w:rsidRPr="0057073C">
        <w:rPr>
          <w:spacing w:val="18"/>
        </w:rPr>
        <w:t xml:space="preserve"> </w:t>
      </w:r>
      <w:r w:rsidRPr="0057073C">
        <w:t>require</w:t>
      </w:r>
      <w:r w:rsidRPr="0057073C">
        <w:rPr>
          <w:spacing w:val="17"/>
        </w:rPr>
        <w:t xml:space="preserve"> </w:t>
      </w:r>
      <w:r w:rsidRPr="0057073C">
        <w:t>SLHCs</w:t>
      </w:r>
      <w:r w:rsidRPr="0057073C">
        <w:rPr>
          <w:spacing w:val="20"/>
        </w:rPr>
        <w:t xml:space="preserve"> </w:t>
      </w:r>
      <w:r w:rsidRPr="0057073C">
        <w:t>to</w:t>
      </w:r>
      <w:r w:rsidRPr="0057073C">
        <w:rPr>
          <w:spacing w:val="5"/>
        </w:rPr>
        <w:t xml:space="preserve"> </w:t>
      </w:r>
      <w:r w:rsidRPr="0057073C">
        <w:t>"maintain</w:t>
      </w:r>
      <w:r w:rsidRPr="0057073C">
        <w:rPr>
          <w:spacing w:val="45"/>
        </w:rPr>
        <w:t xml:space="preserve"> </w:t>
      </w:r>
      <w:r w:rsidRPr="0057073C">
        <w:t>such</w:t>
      </w:r>
      <w:r w:rsidRPr="0057073C">
        <w:rPr>
          <w:spacing w:val="22"/>
        </w:rPr>
        <w:t xml:space="preserve"> </w:t>
      </w:r>
      <w:r w:rsidRPr="0057073C">
        <w:t>books</w:t>
      </w:r>
      <w:r w:rsidRPr="0057073C">
        <w:rPr>
          <w:spacing w:val="14"/>
        </w:rPr>
        <w:t xml:space="preserve"> </w:t>
      </w:r>
      <w:r w:rsidRPr="0057073C">
        <w:rPr>
          <w:w w:val="101"/>
        </w:rPr>
        <w:t xml:space="preserve">and </w:t>
      </w:r>
      <w:r w:rsidRPr="0057073C">
        <w:t>records</w:t>
      </w:r>
      <w:r w:rsidRPr="0057073C">
        <w:rPr>
          <w:spacing w:val="15"/>
        </w:rPr>
        <w:t xml:space="preserve"> </w:t>
      </w:r>
      <w:r w:rsidRPr="0057073C">
        <w:t>as</w:t>
      </w:r>
      <w:r w:rsidRPr="0057073C">
        <w:rPr>
          <w:spacing w:val="5"/>
        </w:rPr>
        <w:t xml:space="preserve"> </w:t>
      </w:r>
      <w:r w:rsidRPr="0057073C">
        <w:t>may</w:t>
      </w:r>
      <w:r w:rsidRPr="0057073C">
        <w:rPr>
          <w:spacing w:val="17"/>
        </w:rPr>
        <w:t xml:space="preserve"> </w:t>
      </w:r>
      <w:r w:rsidRPr="0057073C">
        <w:t>be</w:t>
      </w:r>
      <w:r w:rsidRPr="0057073C">
        <w:rPr>
          <w:spacing w:val="8"/>
        </w:rPr>
        <w:t xml:space="preserve"> </w:t>
      </w:r>
      <w:r w:rsidRPr="0057073C">
        <w:t>prescribed</w:t>
      </w:r>
      <w:r w:rsidRPr="0057073C">
        <w:rPr>
          <w:spacing w:val="22"/>
        </w:rPr>
        <w:t xml:space="preserve"> </w:t>
      </w:r>
      <w:r w:rsidRPr="0057073C">
        <w:t>by</w:t>
      </w:r>
      <w:r w:rsidRPr="0057073C">
        <w:rPr>
          <w:spacing w:val="4"/>
        </w:rPr>
        <w:t xml:space="preserve"> </w:t>
      </w:r>
      <w:r w:rsidRPr="0057073C">
        <w:t>the</w:t>
      </w:r>
      <w:r w:rsidRPr="0057073C">
        <w:rPr>
          <w:spacing w:val="16"/>
        </w:rPr>
        <w:t xml:space="preserve"> </w:t>
      </w:r>
      <w:r w:rsidRPr="0057073C">
        <w:t xml:space="preserve">Director." </w:t>
      </w:r>
      <w:r w:rsidRPr="0057073C">
        <w:rPr>
          <w:spacing w:val="39"/>
        </w:rPr>
        <w:t xml:space="preserve"> </w:t>
      </w:r>
      <w:r w:rsidRPr="0057073C">
        <w:t>12</w:t>
      </w:r>
      <w:r w:rsidRPr="0057073C">
        <w:rPr>
          <w:spacing w:val="21"/>
        </w:rPr>
        <w:t xml:space="preserve"> </w:t>
      </w:r>
      <w:r w:rsidRPr="0057073C">
        <w:t>U.S.C.</w:t>
      </w:r>
      <w:r w:rsidRPr="0057073C">
        <w:rPr>
          <w:spacing w:val="13"/>
        </w:rPr>
        <w:t xml:space="preserve"> </w:t>
      </w:r>
      <w:r w:rsidRPr="0057073C">
        <w:rPr>
          <w:rFonts w:eastAsia="Arial"/>
          <w:w w:val="75"/>
        </w:rPr>
        <w:t>§</w:t>
      </w:r>
      <w:r w:rsidR="00F429EE" w:rsidRPr="0057073C">
        <w:rPr>
          <w:rFonts w:eastAsia="Arial"/>
          <w:w w:val="75"/>
        </w:rPr>
        <w:t xml:space="preserve"> </w:t>
      </w:r>
      <w:proofErr w:type="gramStart"/>
      <w:r w:rsidRPr="0057073C">
        <w:t>1467a(</w:t>
      </w:r>
      <w:proofErr w:type="gramEnd"/>
      <w:r w:rsidRPr="0057073C">
        <w:t>b)(3).</w:t>
      </w:r>
    </w:p>
    <w:p w:rsidR="00F429EE" w:rsidRPr="0007279B" w:rsidRDefault="00F429EE" w:rsidP="0057073C">
      <w:pPr>
        <w:widowControl/>
        <w:ind w:left="115" w:right="115" w:firstLine="605"/>
        <w:rPr>
          <w:rFonts w:ascii="Times New Roman" w:hAnsi="Times New Roman"/>
          <w:szCs w:val="24"/>
        </w:rPr>
      </w:pPr>
      <w:r w:rsidRPr="00F429EE">
        <w:rPr>
          <w:rFonts w:ascii="Times New Roman" w:hAnsi="Times New Roman"/>
          <w:szCs w:val="24"/>
          <w:u w:color="000000"/>
        </w:rPr>
        <w:lastRenderedPageBreak/>
        <w:t>Obligation</w:t>
      </w:r>
      <w:r w:rsidRPr="00F429EE">
        <w:rPr>
          <w:rFonts w:ascii="Times New Roman" w:hAnsi="Times New Roman"/>
          <w:spacing w:val="33"/>
          <w:szCs w:val="24"/>
          <w:u w:color="000000"/>
        </w:rPr>
        <w:t xml:space="preserve"> </w:t>
      </w:r>
      <w:r w:rsidRPr="00F429EE">
        <w:rPr>
          <w:rFonts w:ascii="Times New Roman" w:hAnsi="Times New Roman"/>
          <w:szCs w:val="24"/>
          <w:u w:color="000000"/>
        </w:rPr>
        <w:t>to</w:t>
      </w:r>
      <w:r w:rsidRPr="00F429EE">
        <w:rPr>
          <w:rFonts w:ascii="Times New Roman" w:hAnsi="Times New Roman"/>
          <w:spacing w:val="11"/>
          <w:szCs w:val="24"/>
          <w:u w:color="000000"/>
        </w:rPr>
        <w:t xml:space="preserve"> </w:t>
      </w:r>
      <w:r w:rsidRPr="00F429EE">
        <w:rPr>
          <w:rFonts w:ascii="Times New Roman" w:hAnsi="Times New Roman"/>
          <w:szCs w:val="24"/>
          <w:u w:color="000000"/>
        </w:rPr>
        <w:t>Respond</w:t>
      </w:r>
      <w:r w:rsidRPr="0007279B">
        <w:rPr>
          <w:rFonts w:ascii="Times New Roman" w:hAnsi="Times New Roman"/>
          <w:szCs w:val="24"/>
        </w:rPr>
        <w:t xml:space="preserve">: </w:t>
      </w:r>
      <w:r w:rsidRPr="0007279B">
        <w:rPr>
          <w:rFonts w:ascii="Times New Roman" w:hAnsi="Times New Roman"/>
          <w:spacing w:val="13"/>
          <w:szCs w:val="24"/>
        </w:rPr>
        <w:t xml:space="preserve"> </w:t>
      </w:r>
      <w:r w:rsidRPr="0007279B">
        <w:rPr>
          <w:rFonts w:ascii="Times New Roman" w:hAnsi="Times New Roman"/>
          <w:szCs w:val="24"/>
        </w:rPr>
        <w:t>Because</w:t>
      </w:r>
      <w:r w:rsidRPr="0007279B">
        <w:rPr>
          <w:rFonts w:ascii="Times New Roman" w:hAnsi="Times New Roman"/>
          <w:spacing w:val="13"/>
          <w:szCs w:val="24"/>
        </w:rPr>
        <w:t xml:space="preserve"> </w:t>
      </w:r>
      <w:r w:rsidRPr="0007279B">
        <w:rPr>
          <w:rFonts w:ascii="Times New Roman" w:hAnsi="Times New Roman"/>
          <w:szCs w:val="24"/>
        </w:rPr>
        <w:t>the</w:t>
      </w:r>
      <w:r w:rsidRPr="0007279B">
        <w:rPr>
          <w:rFonts w:ascii="Times New Roman" w:hAnsi="Times New Roman"/>
          <w:spacing w:val="20"/>
          <w:szCs w:val="24"/>
        </w:rPr>
        <w:t xml:space="preserve"> </w:t>
      </w:r>
      <w:r w:rsidRPr="0007279B">
        <w:rPr>
          <w:rFonts w:ascii="Times New Roman" w:hAnsi="Times New Roman"/>
          <w:szCs w:val="24"/>
        </w:rPr>
        <w:t>information</w:t>
      </w:r>
      <w:r w:rsidRPr="0007279B">
        <w:rPr>
          <w:rFonts w:ascii="Times New Roman" w:hAnsi="Times New Roman"/>
          <w:spacing w:val="56"/>
          <w:szCs w:val="24"/>
        </w:rPr>
        <w:t xml:space="preserve"> </w:t>
      </w:r>
      <w:r w:rsidRPr="0007279B">
        <w:rPr>
          <w:rFonts w:ascii="Times New Roman" w:hAnsi="Times New Roman"/>
          <w:szCs w:val="24"/>
        </w:rPr>
        <w:t>collection</w:t>
      </w:r>
      <w:r w:rsidRPr="0007279B">
        <w:rPr>
          <w:rFonts w:ascii="Times New Roman" w:hAnsi="Times New Roman"/>
          <w:spacing w:val="26"/>
          <w:szCs w:val="24"/>
        </w:rPr>
        <w:t xml:space="preserve"> </w:t>
      </w:r>
      <w:r w:rsidRPr="0007279B">
        <w:rPr>
          <w:rFonts w:ascii="Times New Roman" w:hAnsi="Times New Roman"/>
          <w:szCs w:val="24"/>
        </w:rPr>
        <w:t>is</w:t>
      </w:r>
      <w:r w:rsidRPr="0007279B">
        <w:rPr>
          <w:rFonts w:ascii="Times New Roman" w:hAnsi="Times New Roman"/>
          <w:spacing w:val="10"/>
          <w:szCs w:val="24"/>
        </w:rPr>
        <w:t xml:space="preserve"> </w:t>
      </w:r>
      <w:r w:rsidRPr="0007279B">
        <w:rPr>
          <w:rFonts w:ascii="Times New Roman" w:hAnsi="Times New Roman"/>
          <w:szCs w:val="24"/>
        </w:rPr>
        <w:t>called</w:t>
      </w:r>
      <w:r w:rsidRPr="0007279B">
        <w:rPr>
          <w:rFonts w:ascii="Times New Roman" w:hAnsi="Times New Roman"/>
          <w:spacing w:val="24"/>
          <w:szCs w:val="24"/>
        </w:rPr>
        <w:t xml:space="preserve"> </w:t>
      </w:r>
      <w:r w:rsidRPr="0007279B">
        <w:rPr>
          <w:rFonts w:ascii="Times New Roman" w:hAnsi="Times New Roman"/>
          <w:szCs w:val="24"/>
        </w:rPr>
        <w:t>for</w:t>
      </w:r>
      <w:r w:rsidRPr="0007279B">
        <w:rPr>
          <w:rFonts w:ascii="Times New Roman" w:hAnsi="Times New Roman"/>
          <w:spacing w:val="9"/>
          <w:szCs w:val="24"/>
        </w:rPr>
        <w:t xml:space="preserve"> </w:t>
      </w:r>
      <w:r w:rsidRPr="0007279B">
        <w:rPr>
          <w:rFonts w:ascii="Times New Roman" w:hAnsi="Times New Roman"/>
          <w:szCs w:val="24"/>
        </w:rPr>
        <w:t>in</w:t>
      </w:r>
      <w:r w:rsidRPr="0007279B">
        <w:rPr>
          <w:rFonts w:ascii="Times New Roman" w:hAnsi="Times New Roman"/>
          <w:spacing w:val="10"/>
          <w:szCs w:val="24"/>
        </w:rPr>
        <w:t xml:space="preserve"> </w:t>
      </w:r>
      <w:r w:rsidRPr="0007279B">
        <w:rPr>
          <w:rFonts w:ascii="Times New Roman" w:hAnsi="Times New Roman"/>
          <w:szCs w:val="24"/>
        </w:rPr>
        <w:t>guidance</w:t>
      </w:r>
      <w:r w:rsidRPr="0007279B">
        <w:rPr>
          <w:rFonts w:ascii="Times New Roman" w:hAnsi="Times New Roman"/>
          <w:spacing w:val="19"/>
          <w:szCs w:val="24"/>
        </w:rPr>
        <w:t xml:space="preserve"> </w:t>
      </w:r>
      <w:r w:rsidRPr="0007279B">
        <w:rPr>
          <w:rFonts w:ascii="Times New Roman" w:hAnsi="Times New Roman"/>
          <w:szCs w:val="24"/>
        </w:rPr>
        <w:t>and</w:t>
      </w:r>
      <w:r w:rsidRPr="0007279B">
        <w:rPr>
          <w:rFonts w:ascii="Times New Roman" w:hAnsi="Times New Roman"/>
          <w:spacing w:val="15"/>
          <w:szCs w:val="24"/>
        </w:rPr>
        <w:t xml:space="preserve"> </w:t>
      </w:r>
      <w:r w:rsidRPr="0007279B">
        <w:rPr>
          <w:rFonts w:ascii="Times New Roman" w:hAnsi="Times New Roman"/>
          <w:szCs w:val="24"/>
        </w:rPr>
        <w:t>not</w:t>
      </w:r>
      <w:r w:rsidRPr="0007279B">
        <w:rPr>
          <w:rFonts w:ascii="Times New Roman" w:hAnsi="Times New Roman"/>
          <w:spacing w:val="10"/>
          <w:szCs w:val="24"/>
        </w:rPr>
        <w:t xml:space="preserve"> </w:t>
      </w:r>
      <w:r w:rsidRPr="0007279B">
        <w:rPr>
          <w:rFonts w:ascii="Times New Roman" w:hAnsi="Times New Roman"/>
          <w:szCs w:val="24"/>
        </w:rPr>
        <w:t>in</w:t>
      </w:r>
      <w:r w:rsidRPr="0007279B">
        <w:rPr>
          <w:rFonts w:ascii="Times New Roman" w:hAnsi="Times New Roman"/>
          <w:spacing w:val="8"/>
          <w:szCs w:val="24"/>
        </w:rPr>
        <w:t xml:space="preserve"> </w:t>
      </w:r>
      <w:r w:rsidRPr="0007279B">
        <w:rPr>
          <w:rFonts w:ascii="Times New Roman" w:hAnsi="Times New Roman"/>
          <w:w w:val="112"/>
          <w:szCs w:val="24"/>
        </w:rPr>
        <w:t xml:space="preserve">a </w:t>
      </w:r>
      <w:r w:rsidRPr="0007279B">
        <w:rPr>
          <w:rFonts w:ascii="Times New Roman" w:hAnsi="Times New Roman"/>
          <w:szCs w:val="24"/>
        </w:rPr>
        <w:t>statute</w:t>
      </w:r>
      <w:r w:rsidRPr="0007279B">
        <w:rPr>
          <w:rFonts w:ascii="Times New Roman" w:hAnsi="Times New Roman"/>
          <w:spacing w:val="18"/>
          <w:szCs w:val="24"/>
        </w:rPr>
        <w:t xml:space="preserve"> </w:t>
      </w:r>
      <w:r w:rsidRPr="0007279B">
        <w:rPr>
          <w:rFonts w:ascii="Times New Roman" w:hAnsi="Times New Roman"/>
          <w:szCs w:val="24"/>
        </w:rPr>
        <w:t>or</w:t>
      </w:r>
      <w:r w:rsidRPr="0007279B">
        <w:rPr>
          <w:rFonts w:ascii="Times New Roman" w:hAnsi="Times New Roman"/>
          <w:spacing w:val="13"/>
          <w:szCs w:val="24"/>
        </w:rPr>
        <w:t xml:space="preserve"> </w:t>
      </w:r>
      <w:r w:rsidRPr="0007279B">
        <w:rPr>
          <w:rFonts w:ascii="Times New Roman" w:hAnsi="Times New Roman"/>
          <w:szCs w:val="24"/>
        </w:rPr>
        <w:t>regulation,</w:t>
      </w:r>
      <w:r w:rsidRPr="0007279B">
        <w:rPr>
          <w:rFonts w:ascii="Times New Roman" w:hAnsi="Times New Roman"/>
          <w:spacing w:val="17"/>
          <w:szCs w:val="24"/>
        </w:rPr>
        <w:t xml:space="preserve"> </w:t>
      </w:r>
      <w:r w:rsidRPr="0007279B">
        <w:rPr>
          <w:rFonts w:ascii="Times New Roman" w:hAnsi="Times New Roman"/>
          <w:szCs w:val="24"/>
        </w:rPr>
        <w:t>it</w:t>
      </w:r>
      <w:r w:rsidRPr="0007279B">
        <w:rPr>
          <w:rFonts w:ascii="Times New Roman" w:hAnsi="Times New Roman"/>
          <w:spacing w:val="1"/>
          <w:szCs w:val="24"/>
        </w:rPr>
        <w:t xml:space="preserve"> </w:t>
      </w:r>
      <w:r w:rsidRPr="0007279B">
        <w:rPr>
          <w:rFonts w:ascii="Times New Roman" w:hAnsi="Times New Roman"/>
          <w:szCs w:val="24"/>
        </w:rPr>
        <w:t>is</w:t>
      </w:r>
      <w:r w:rsidRPr="0007279B">
        <w:rPr>
          <w:rFonts w:ascii="Times New Roman" w:hAnsi="Times New Roman"/>
          <w:spacing w:val="6"/>
          <w:szCs w:val="24"/>
        </w:rPr>
        <w:t xml:space="preserve"> </w:t>
      </w:r>
      <w:r w:rsidRPr="0007279B">
        <w:rPr>
          <w:rFonts w:ascii="Times New Roman" w:hAnsi="Times New Roman"/>
          <w:szCs w:val="24"/>
        </w:rPr>
        <w:t>considered</w:t>
      </w:r>
      <w:r w:rsidRPr="0007279B">
        <w:rPr>
          <w:rFonts w:ascii="Times New Roman" w:hAnsi="Times New Roman"/>
          <w:spacing w:val="35"/>
          <w:szCs w:val="24"/>
        </w:rPr>
        <w:t xml:space="preserve"> </w:t>
      </w:r>
      <w:r w:rsidRPr="0007279B">
        <w:rPr>
          <w:rFonts w:ascii="Times New Roman" w:hAnsi="Times New Roman"/>
          <w:w w:val="103"/>
          <w:szCs w:val="24"/>
        </w:rPr>
        <w:t>voluntary.</w:t>
      </w:r>
    </w:p>
    <w:p w:rsidR="00F429EE" w:rsidRDefault="00F429EE" w:rsidP="00F429EE">
      <w:pPr>
        <w:widowControl/>
        <w:rPr>
          <w:rFonts w:ascii="Times New Roman" w:hAnsi="Times New Roman"/>
          <w:szCs w:val="24"/>
        </w:rPr>
      </w:pPr>
    </w:p>
    <w:p w:rsidR="00F429EE" w:rsidRPr="0007279B" w:rsidRDefault="00F429EE" w:rsidP="0057073C">
      <w:pPr>
        <w:ind w:left="115" w:right="71" w:firstLine="614"/>
        <w:rPr>
          <w:rFonts w:ascii="Times New Roman" w:hAnsi="Times New Roman"/>
          <w:szCs w:val="24"/>
        </w:rPr>
      </w:pPr>
      <w:r w:rsidRPr="00F429EE">
        <w:rPr>
          <w:rFonts w:ascii="Times New Roman" w:hAnsi="Times New Roman"/>
          <w:szCs w:val="24"/>
          <w:u w:color="000000"/>
        </w:rPr>
        <w:t>Confidentiality:</w:t>
      </w:r>
      <w:r>
        <w:rPr>
          <w:rFonts w:ascii="Times New Roman" w:hAnsi="Times New Roman"/>
          <w:szCs w:val="24"/>
          <w:u w:color="000000"/>
        </w:rPr>
        <w:t xml:space="preserve">  </w:t>
      </w:r>
      <w:r w:rsidRPr="0007279B">
        <w:rPr>
          <w:rFonts w:ascii="Times New Roman" w:hAnsi="Times New Roman"/>
          <w:szCs w:val="24"/>
        </w:rPr>
        <w:t>Because</w:t>
      </w:r>
      <w:r w:rsidRPr="0007279B">
        <w:rPr>
          <w:rFonts w:ascii="Times New Roman" w:hAnsi="Times New Roman"/>
          <w:spacing w:val="5"/>
          <w:szCs w:val="24"/>
        </w:rPr>
        <w:t xml:space="preserve"> </w:t>
      </w:r>
      <w:r w:rsidRPr="0007279B">
        <w:rPr>
          <w:rFonts w:ascii="Times New Roman" w:hAnsi="Times New Roman"/>
          <w:szCs w:val="24"/>
        </w:rPr>
        <w:t>the</w:t>
      </w:r>
      <w:r w:rsidRPr="0007279B">
        <w:rPr>
          <w:rFonts w:ascii="Times New Roman" w:hAnsi="Times New Roman"/>
          <w:spacing w:val="15"/>
          <w:szCs w:val="24"/>
        </w:rPr>
        <w:t xml:space="preserve"> </w:t>
      </w:r>
      <w:r w:rsidRPr="0007279B">
        <w:rPr>
          <w:rFonts w:ascii="Times New Roman" w:hAnsi="Times New Roman"/>
          <w:szCs w:val="24"/>
        </w:rPr>
        <w:t>information</w:t>
      </w:r>
      <w:r w:rsidRPr="0007279B">
        <w:rPr>
          <w:rFonts w:ascii="Times New Roman" w:hAnsi="Times New Roman"/>
          <w:spacing w:val="35"/>
          <w:szCs w:val="24"/>
        </w:rPr>
        <w:t xml:space="preserve"> </w:t>
      </w:r>
      <w:r w:rsidRPr="0007279B">
        <w:rPr>
          <w:rFonts w:ascii="Times New Roman" w:hAnsi="Times New Roman"/>
          <w:szCs w:val="24"/>
        </w:rPr>
        <w:t>collected</w:t>
      </w:r>
      <w:r w:rsidRPr="0007279B">
        <w:rPr>
          <w:rFonts w:ascii="Times New Roman" w:hAnsi="Times New Roman"/>
          <w:spacing w:val="45"/>
          <w:szCs w:val="24"/>
        </w:rPr>
        <w:t xml:space="preserve"> </w:t>
      </w:r>
      <w:r w:rsidRPr="0007279B">
        <w:rPr>
          <w:rFonts w:ascii="Times New Roman" w:hAnsi="Times New Roman"/>
          <w:szCs w:val="24"/>
        </w:rPr>
        <w:t>by</w:t>
      </w:r>
      <w:r w:rsidRPr="0007279B">
        <w:rPr>
          <w:rFonts w:ascii="Times New Roman" w:hAnsi="Times New Roman"/>
          <w:spacing w:val="9"/>
          <w:szCs w:val="24"/>
        </w:rPr>
        <w:t xml:space="preserve"> </w:t>
      </w:r>
      <w:r w:rsidRPr="0007279B">
        <w:rPr>
          <w:rFonts w:ascii="Times New Roman" w:hAnsi="Times New Roman"/>
          <w:szCs w:val="24"/>
        </w:rPr>
        <w:t>the</w:t>
      </w:r>
      <w:r w:rsidRPr="0007279B">
        <w:rPr>
          <w:rFonts w:ascii="Times New Roman" w:hAnsi="Times New Roman"/>
          <w:spacing w:val="12"/>
          <w:szCs w:val="24"/>
        </w:rPr>
        <w:t xml:space="preserve"> </w:t>
      </w:r>
      <w:r w:rsidRPr="0007279B">
        <w:rPr>
          <w:rFonts w:ascii="Times New Roman" w:hAnsi="Times New Roman"/>
          <w:szCs w:val="24"/>
        </w:rPr>
        <w:t>Proposed</w:t>
      </w:r>
      <w:r w:rsidRPr="0007279B">
        <w:rPr>
          <w:rFonts w:ascii="Times New Roman" w:hAnsi="Times New Roman"/>
          <w:spacing w:val="30"/>
          <w:szCs w:val="24"/>
        </w:rPr>
        <w:t xml:space="preserve"> </w:t>
      </w:r>
      <w:r w:rsidRPr="0007279B">
        <w:rPr>
          <w:rFonts w:ascii="Times New Roman" w:hAnsi="Times New Roman"/>
          <w:szCs w:val="24"/>
        </w:rPr>
        <w:t>Guidance</w:t>
      </w:r>
      <w:r w:rsidRPr="0007279B">
        <w:rPr>
          <w:rFonts w:ascii="Times New Roman" w:hAnsi="Times New Roman"/>
          <w:spacing w:val="19"/>
          <w:szCs w:val="24"/>
        </w:rPr>
        <w:t xml:space="preserve"> </w:t>
      </w:r>
      <w:r w:rsidRPr="0007279B">
        <w:rPr>
          <w:rFonts w:ascii="Times New Roman" w:hAnsi="Times New Roman"/>
          <w:szCs w:val="24"/>
        </w:rPr>
        <w:t>is</w:t>
      </w:r>
      <w:r w:rsidRPr="0007279B">
        <w:rPr>
          <w:rFonts w:ascii="Times New Roman" w:hAnsi="Times New Roman"/>
          <w:spacing w:val="10"/>
          <w:szCs w:val="24"/>
        </w:rPr>
        <w:t xml:space="preserve"> </w:t>
      </w:r>
      <w:r w:rsidRPr="0007279B">
        <w:rPr>
          <w:rFonts w:ascii="Times New Roman" w:hAnsi="Times New Roman"/>
          <w:szCs w:val="24"/>
        </w:rPr>
        <w:t>maintained</w:t>
      </w:r>
      <w:r>
        <w:rPr>
          <w:rFonts w:ascii="Times New Roman" w:hAnsi="Times New Roman"/>
          <w:szCs w:val="24"/>
        </w:rPr>
        <w:t xml:space="preserve"> </w:t>
      </w:r>
      <w:r w:rsidRPr="0007279B">
        <w:rPr>
          <w:rFonts w:ascii="Times New Roman" w:hAnsi="Times New Roman"/>
          <w:w w:val="102"/>
          <w:szCs w:val="24"/>
        </w:rPr>
        <w:t xml:space="preserve">at </w:t>
      </w:r>
      <w:r w:rsidRPr="0007279B">
        <w:rPr>
          <w:rFonts w:ascii="Times New Roman" w:hAnsi="Times New Roman"/>
          <w:szCs w:val="24"/>
        </w:rPr>
        <w:t>the</w:t>
      </w:r>
      <w:r w:rsidRPr="0007279B">
        <w:rPr>
          <w:rFonts w:ascii="Times New Roman" w:hAnsi="Times New Roman"/>
          <w:spacing w:val="9"/>
          <w:szCs w:val="24"/>
        </w:rPr>
        <w:t xml:space="preserve"> </w:t>
      </w:r>
      <w:r w:rsidRPr="0007279B">
        <w:rPr>
          <w:rFonts w:ascii="Times New Roman" w:hAnsi="Times New Roman"/>
          <w:szCs w:val="24"/>
        </w:rPr>
        <w:t>institutions,</w:t>
      </w:r>
      <w:r w:rsidRPr="0007279B">
        <w:rPr>
          <w:rFonts w:ascii="Times New Roman" w:hAnsi="Times New Roman"/>
          <w:spacing w:val="39"/>
          <w:szCs w:val="24"/>
        </w:rPr>
        <w:t xml:space="preserve"> </w:t>
      </w:r>
      <w:r w:rsidRPr="0007279B">
        <w:rPr>
          <w:rFonts w:ascii="Times New Roman" w:hAnsi="Times New Roman"/>
          <w:szCs w:val="24"/>
        </w:rPr>
        <w:t>issues</w:t>
      </w:r>
      <w:r w:rsidRPr="0007279B">
        <w:rPr>
          <w:rFonts w:ascii="Times New Roman" w:hAnsi="Times New Roman"/>
          <w:spacing w:val="4"/>
          <w:szCs w:val="24"/>
        </w:rPr>
        <w:t xml:space="preserve"> </w:t>
      </w:r>
      <w:r w:rsidRPr="0007279B">
        <w:rPr>
          <w:rFonts w:ascii="Times New Roman" w:hAnsi="Times New Roman"/>
          <w:szCs w:val="24"/>
        </w:rPr>
        <w:t>of</w:t>
      </w:r>
      <w:r w:rsidRPr="0007279B">
        <w:rPr>
          <w:rFonts w:ascii="Times New Roman" w:hAnsi="Times New Roman"/>
          <w:spacing w:val="8"/>
          <w:szCs w:val="24"/>
        </w:rPr>
        <w:t xml:space="preserve"> </w:t>
      </w:r>
      <w:r w:rsidRPr="0007279B">
        <w:rPr>
          <w:rFonts w:ascii="Times New Roman" w:hAnsi="Times New Roman"/>
          <w:szCs w:val="24"/>
        </w:rPr>
        <w:t>confidentiality</w:t>
      </w:r>
      <w:r w:rsidRPr="0007279B">
        <w:rPr>
          <w:rFonts w:ascii="Times New Roman" w:hAnsi="Times New Roman"/>
          <w:spacing w:val="49"/>
          <w:szCs w:val="24"/>
        </w:rPr>
        <w:t xml:space="preserve"> </w:t>
      </w:r>
      <w:r w:rsidRPr="0007279B">
        <w:rPr>
          <w:rFonts w:ascii="Times New Roman" w:hAnsi="Times New Roman"/>
          <w:szCs w:val="24"/>
        </w:rPr>
        <w:t>would</w:t>
      </w:r>
      <w:r w:rsidRPr="0007279B">
        <w:rPr>
          <w:rFonts w:ascii="Times New Roman" w:hAnsi="Times New Roman"/>
          <w:spacing w:val="22"/>
          <w:szCs w:val="24"/>
        </w:rPr>
        <w:t xml:space="preserve"> </w:t>
      </w:r>
      <w:r w:rsidRPr="0007279B">
        <w:rPr>
          <w:rFonts w:ascii="Times New Roman" w:hAnsi="Times New Roman"/>
          <w:szCs w:val="24"/>
        </w:rPr>
        <w:t>not</w:t>
      </w:r>
      <w:r w:rsidRPr="0007279B">
        <w:rPr>
          <w:rFonts w:ascii="Times New Roman" w:hAnsi="Times New Roman"/>
          <w:spacing w:val="18"/>
          <w:szCs w:val="24"/>
        </w:rPr>
        <w:t xml:space="preserve"> </w:t>
      </w:r>
      <w:r w:rsidRPr="0007279B">
        <w:rPr>
          <w:rFonts w:ascii="Times New Roman" w:hAnsi="Times New Roman"/>
          <w:szCs w:val="24"/>
        </w:rPr>
        <w:t>normally</w:t>
      </w:r>
      <w:r w:rsidRPr="0007279B">
        <w:rPr>
          <w:rFonts w:ascii="Times New Roman" w:hAnsi="Times New Roman"/>
          <w:spacing w:val="15"/>
          <w:szCs w:val="24"/>
        </w:rPr>
        <w:t xml:space="preserve"> </w:t>
      </w:r>
      <w:r w:rsidRPr="0007279B">
        <w:rPr>
          <w:rFonts w:ascii="Times New Roman" w:hAnsi="Times New Roman"/>
          <w:szCs w:val="24"/>
        </w:rPr>
        <w:t xml:space="preserve">arise. </w:t>
      </w:r>
      <w:r w:rsidRPr="0007279B">
        <w:rPr>
          <w:rFonts w:ascii="Times New Roman" w:hAnsi="Times New Roman"/>
          <w:spacing w:val="12"/>
          <w:szCs w:val="24"/>
        </w:rPr>
        <w:t xml:space="preserve"> </w:t>
      </w:r>
      <w:r w:rsidRPr="0007279B">
        <w:rPr>
          <w:rFonts w:ascii="Times New Roman" w:hAnsi="Times New Roman"/>
          <w:szCs w:val="24"/>
        </w:rPr>
        <w:t>Should</w:t>
      </w:r>
      <w:r w:rsidRPr="0007279B">
        <w:rPr>
          <w:rFonts w:ascii="Times New Roman" w:hAnsi="Times New Roman"/>
          <w:spacing w:val="18"/>
          <w:szCs w:val="24"/>
        </w:rPr>
        <w:t xml:space="preserve"> </w:t>
      </w:r>
      <w:r w:rsidRPr="0007279B">
        <w:rPr>
          <w:rFonts w:ascii="Times New Roman" w:hAnsi="Times New Roman"/>
          <w:szCs w:val="24"/>
        </w:rPr>
        <w:t>the</w:t>
      </w:r>
      <w:r w:rsidRPr="0007279B">
        <w:rPr>
          <w:rFonts w:ascii="Times New Roman" w:hAnsi="Times New Roman"/>
          <w:spacing w:val="14"/>
          <w:szCs w:val="24"/>
        </w:rPr>
        <w:t xml:space="preserve"> </w:t>
      </w:r>
      <w:r w:rsidRPr="0007279B">
        <w:rPr>
          <w:rFonts w:ascii="Times New Roman" w:hAnsi="Times New Roman"/>
          <w:szCs w:val="24"/>
        </w:rPr>
        <w:t>information</w:t>
      </w:r>
      <w:r>
        <w:rPr>
          <w:rFonts w:ascii="Times New Roman" w:hAnsi="Times New Roman"/>
          <w:szCs w:val="24"/>
        </w:rPr>
        <w:t xml:space="preserve"> </w:t>
      </w:r>
      <w:r w:rsidRPr="0007279B">
        <w:rPr>
          <w:rFonts w:ascii="Times New Roman" w:hAnsi="Times New Roman"/>
          <w:szCs w:val="24"/>
        </w:rPr>
        <w:t>be obtained</w:t>
      </w:r>
      <w:r w:rsidRPr="0007279B">
        <w:rPr>
          <w:rFonts w:ascii="Times New Roman" w:hAnsi="Times New Roman"/>
          <w:spacing w:val="40"/>
          <w:szCs w:val="24"/>
        </w:rPr>
        <w:t xml:space="preserve"> </w:t>
      </w:r>
      <w:r w:rsidRPr="0007279B">
        <w:rPr>
          <w:rFonts w:ascii="Times New Roman" w:hAnsi="Times New Roman"/>
          <w:szCs w:val="24"/>
        </w:rPr>
        <w:t>by the</w:t>
      </w:r>
      <w:r w:rsidRPr="0007279B">
        <w:rPr>
          <w:rFonts w:ascii="Times New Roman" w:hAnsi="Times New Roman"/>
          <w:spacing w:val="12"/>
          <w:szCs w:val="24"/>
        </w:rPr>
        <w:t xml:space="preserve"> </w:t>
      </w:r>
      <w:r w:rsidRPr="0007279B">
        <w:rPr>
          <w:rFonts w:ascii="Times New Roman" w:hAnsi="Times New Roman"/>
          <w:szCs w:val="24"/>
        </w:rPr>
        <w:t>Board</w:t>
      </w:r>
      <w:r w:rsidRPr="0007279B">
        <w:rPr>
          <w:rFonts w:ascii="Times New Roman" w:hAnsi="Times New Roman"/>
          <w:spacing w:val="10"/>
          <w:szCs w:val="24"/>
        </w:rPr>
        <w:t xml:space="preserve"> </w:t>
      </w:r>
      <w:r w:rsidRPr="0007279B">
        <w:rPr>
          <w:rFonts w:ascii="Times New Roman" w:hAnsi="Times New Roman"/>
          <w:szCs w:val="24"/>
        </w:rPr>
        <w:t>in</w:t>
      </w:r>
      <w:r w:rsidRPr="0007279B">
        <w:rPr>
          <w:rFonts w:ascii="Times New Roman" w:hAnsi="Times New Roman"/>
          <w:spacing w:val="8"/>
          <w:szCs w:val="24"/>
        </w:rPr>
        <w:t xml:space="preserve"> </w:t>
      </w:r>
      <w:r w:rsidRPr="0007279B">
        <w:rPr>
          <w:rFonts w:ascii="Times New Roman" w:hAnsi="Times New Roman"/>
          <w:szCs w:val="24"/>
        </w:rPr>
        <w:t>the</w:t>
      </w:r>
      <w:r w:rsidRPr="0007279B">
        <w:rPr>
          <w:rFonts w:ascii="Times New Roman" w:hAnsi="Times New Roman"/>
          <w:spacing w:val="8"/>
          <w:szCs w:val="24"/>
        </w:rPr>
        <w:t xml:space="preserve"> </w:t>
      </w:r>
      <w:r w:rsidRPr="0007279B">
        <w:rPr>
          <w:rFonts w:ascii="Times New Roman" w:hAnsi="Times New Roman"/>
          <w:szCs w:val="24"/>
        </w:rPr>
        <w:t>course</w:t>
      </w:r>
      <w:r w:rsidRPr="0007279B">
        <w:rPr>
          <w:rFonts w:ascii="Times New Roman" w:hAnsi="Times New Roman"/>
          <w:spacing w:val="11"/>
          <w:szCs w:val="24"/>
        </w:rPr>
        <w:t xml:space="preserve"> </w:t>
      </w:r>
      <w:r w:rsidRPr="0007279B">
        <w:rPr>
          <w:rFonts w:ascii="Times New Roman" w:hAnsi="Times New Roman"/>
          <w:szCs w:val="24"/>
        </w:rPr>
        <w:t>of</w:t>
      </w:r>
      <w:r w:rsidRPr="0007279B">
        <w:rPr>
          <w:rFonts w:ascii="Times New Roman" w:hAnsi="Times New Roman"/>
          <w:spacing w:val="15"/>
          <w:szCs w:val="24"/>
        </w:rPr>
        <w:t xml:space="preserve"> </w:t>
      </w:r>
      <w:r w:rsidRPr="0007279B">
        <w:rPr>
          <w:rFonts w:ascii="Times New Roman" w:hAnsi="Times New Roman"/>
          <w:szCs w:val="24"/>
        </w:rPr>
        <w:t>an</w:t>
      </w:r>
      <w:r w:rsidRPr="0007279B">
        <w:rPr>
          <w:rFonts w:ascii="Times New Roman" w:hAnsi="Times New Roman"/>
          <w:spacing w:val="9"/>
          <w:szCs w:val="24"/>
        </w:rPr>
        <w:t xml:space="preserve"> </w:t>
      </w:r>
      <w:r w:rsidRPr="0007279B">
        <w:rPr>
          <w:rFonts w:ascii="Times New Roman" w:hAnsi="Times New Roman"/>
          <w:szCs w:val="24"/>
        </w:rPr>
        <w:t>examination,</w:t>
      </w:r>
      <w:r w:rsidRPr="0007279B">
        <w:rPr>
          <w:rFonts w:ascii="Times New Roman" w:hAnsi="Times New Roman"/>
          <w:spacing w:val="42"/>
          <w:szCs w:val="24"/>
        </w:rPr>
        <w:t xml:space="preserve"> </w:t>
      </w:r>
      <w:r w:rsidRPr="0007279B">
        <w:rPr>
          <w:rFonts w:ascii="Times New Roman" w:hAnsi="Times New Roman"/>
          <w:szCs w:val="24"/>
        </w:rPr>
        <w:t>it</w:t>
      </w:r>
      <w:r w:rsidRPr="0007279B">
        <w:rPr>
          <w:rFonts w:ascii="Times New Roman" w:hAnsi="Times New Roman"/>
          <w:spacing w:val="12"/>
          <w:szCs w:val="24"/>
        </w:rPr>
        <w:t xml:space="preserve"> </w:t>
      </w:r>
      <w:r w:rsidRPr="0007279B">
        <w:rPr>
          <w:rFonts w:ascii="Times New Roman" w:hAnsi="Times New Roman"/>
          <w:szCs w:val="24"/>
        </w:rPr>
        <w:t>would</w:t>
      </w:r>
      <w:r w:rsidRPr="0007279B">
        <w:rPr>
          <w:rFonts w:ascii="Times New Roman" w:hAnsi="Times New Roman"/>
          <w:spacing w:val="12"/>
          <w:szCs w:val="24"/>
        </w:rPr>
        <w:t xml:space="preserve"> </w:t>
      </w:r>
      <w:r w:rsidRPr="0007279B">
        <w:rPr>
          <w:rFonts w:ascii="Times New Roman" w:hAnsi="Times New Roman"/>
          <w:szCs w:val="24"/>
        </w:rPr>
        <w:t>be</w:t>
      </w:r>
      <w:r w:rsidRPr="0007279B">
        <w:rPr>
          <w:rFonts w:ascii="Times New Roman" w:hAnsi="Times New Roman"/>
          <w:spacing w:val="-1"/>
          <w:szCs w:val="24"/>
        </w:rPr>
        <w:t xml:space="preserve"> </w:t>
      </w:r>
      <w:r w:rsidRPr="0007279B">
        <w:rPr>
          <w:rFonts w:ascii="Times New Roman" w:hAnsi="Times New Roman"/>
          <w:szCs w:val="24"/>
        </w:rPr>
        <w:t>exempt</w:t>
      </w:r>
      <w:r w:rsidRPr="0007279B">
        <w:rPr>
          <w:rFonts w:ascii="Times New Roman" w:hAnsi="Times New Roman"/>
          <w:spacing w:val="22"/>
          <w:szCs w:val="24"/>
        </w:rPr>
        <w:t xml:space="preserve"> </w:t>
      </w:r>
      <w:r w:rsidRPr="0007279B">
        <w:rPr>
          <w:rFonts w:ascii="Times New Roman" w:hAnsi="Times New Roman"/>
          <w:szCs w:val="24"/>
        </w:rPr>
        <w:t>from</w:t>
      </w:r>
      <w:r>
        <w:rPr>
          <w:rFonts w:ascii="Times New Roman" w:hAnsi="Times New Roman"/>
          <w:spacing w:val="12"/>
          <w:szCs w:val="24"/>
        </w:rPr>
        <w:t xml:space="preserve"> d</w:t>
      </w:r>
      <w:r w:rsidRPr="0007279B">
        <w:rPr>
          <w:rFonts w:ascii="Times New Roman" w:hAnsi="Times New Roman"/>
          <w:szCs w:val="24"/>
        </w:rPr>
        <w:t>isclosure</w:t>
      </w:r>
      <w:r w:rsidRPr="0007279B">
        <w:rPr>
          <w:rFonts w:ascii="Times New Roman" w:hAnsi="Times New Roman"/>
          <w:spacing w:val="35"/>
          <w:szCs w:val="24"/>
        </w:rPr>
        <w:t xml:space="preserve"> </w:t>
      </w:r>
      <w:r w:rsidRPr="0007279B">
        <w:rPr>
          <w:rFonts w:ascii="Times New Roman" w:hAnsi="Times New Roman"/>
          <w:w w:val="102"/>
          <w:szCs w:val="24"/>
        </w:rPr>
        <w:t xml:space="preserve">under </w:t>
      </w:r>
      <w:r w:rsidRPr="0007279B">
        <w:rPr>
          <w:rFonts w:ascii="Times New Roman" w:hAnsi="Times New Roman"/>
          <w:szCs w:val="24"/>
        </w:rPr>
        <w:t>exemption</w:t>
      </w:r>
      <w:r w:rsidRPr="0007279B">
        <w:rPr>
          <w:rFonts w:ascii="Times New Roman" w:hAnsi="Times New Roman"/>
          <w:spacing w:val="40"/>
          <w:szCs w:val="24"/>
        </w:rPr>
        <w:t xml:space="preserve"> </w:t>
      </w:r>
      <w:r w:rsidRPr="0007279B">
        <w:rPr>
          <w:rFonts w:ascii="Times New Roman" w:hAnsi="Times New Roman"/>
          <w:szCs w:val="24"/>
        </w:rPr>
        <w:t>8</w:t>
      </w:r>
      <w:r w:rsidRPr="0007279B">
        <w:rPr>
          <w:rFonts w:ascii="Times New Roman" w:hAnsi="Times New Roman"/>
          <w:spacing w:val="2"/>
          <w:szCs w:val="24"/>
        </w:rPr>
        <w:t xml:space="preserve"> </w:t>
      </w:r>
      <w:r w:rsidRPr="0007279B">
        <w:rPr>
          <w:rFonts w:ascii="Times New Roman" w:hAnsi="Times New Roman"/>
          <w:w w:val="111"/>
          <w:szCs w:val="24"/>
        </w:rPr>
        <w:t>of</w:t>
      </w:r>
      <w:r>
        <w:rPr>
          <w:rFonts w:ascii="Times New Roman" w:hAnsi="Times New Roman"/>
          <w:w w:val="111"/>
          <w:szCs w:val="24"/>
        </w:rPr>
        <w:t xml:space="preserve"> </w:t>
      </w:r>
      <w:r w:rsidRPr="0082341B">
        <w:rPr>
          <w:rFonts w:ascii="Times New Roman" w:hAnsi="Times New Roman"/>
        </w:rPr>
        <w:t>F</w:t>
      </w:r>
      <w:r>
        <w:rPr>
          <w:rFonts w:ascii="Times New Roman" w:hAnsi="Times New Roman"/>
        </w:rPr>
        <w:t>reedom of Information Act</w:t>
      </w:r>
      <w:r w:rsidRPr="0007279B">
        <w:rPr>
          <w:rFonts w:ascii="Times New Roman" w:hAnsi="Times New Roman"/>
          <w:w w:val="111"/>
          <w:szCs w:val="24"/>
        </w:rPr>
        <w:t xml:space="preserve"> </w:t>
      </w:r>
      <w:r>
        <w:rPr>
          <w:rFonts w:ascii="Times New Roman" w:hAnsi="Times New Roman"/>
          <w:w w:val="111"/>
          <w:szCs w:val="24"/>
        </w:rPr>
        <w:t>(</w:t>
      </w:r>
      <w:r w:rsidRPr="0007279B">
        <w:rPr>
          <w:rFonts w:ascii="Times New Roman" w:hAnsi="Times New Roman"/>
          <w:w w:val="111"/>
          <w:szCs w:val="24"/>
        </w:rPr>
        <w:t>FOIA</w:t>
      </w:r>
      <w:r>
        <w:rPr>
          <w:rFonts w:ascii="Times New Roman" w:hAnsi="Times New Roman"/>
          <w:w w:val="111"/>
          <w:szCs w:val="24"/>
        </w:rPr>
        <w:t>)</w:t>
      </w:r>
      <w:r w:rsidRPr="0007279B">
        <w:rPr>
          <w:rFonts w:ascii="Times New Roman" w:hAnsi="Times New Roman"/>
          <w:w w:val="111"/>
          <w:szCs w:val="24"/>
        </w:rPr>
        <w:t>,</w:t>
      </w:r>
      <w:r w:rsidRPr="0007279B">
        <w:rPr>
          <w:rFonts w:ascii="Times New Roman" w:hAnsi="Times New Roman"/>
          <w:spacing w:val="-16"/>
          <w:w w:val="111"/>
          <w:szCs w:val="24"/>
        </w:rPr>
        <w:t xml:space="preserve"> </w:t>
      </w:r>
      <w:r w:rsidRPr="0007279B">
        <w:rPr>
          <w:rFonts w:ascii="Times New Roman" w:hAnsi="Times New Roman"/>
          <w:szCs w:val="24"/>
        </w:rPr>
        <w:t>5</w:t>
      </w:r>
      <w:r w:rsidRPr="0007279B">
        <w:rPr>
          <w:rFonts w:ascii="Times New Roman" w:hAnsi="Times New Roman"/>
          <w:spacing w:val="15"/>
          <w:szCs w:val="24"/>
        </w:rPr>
        <w:t xml:space="preserve"> </w:t>
      </w:r>
      <w:r w:rsidRPr="0007279B">
        <w:rPr>
          <w:rFonts w:ascii="Times New Roman" w:hAnsi="Times New Roman"/>
          <w:szCs w:val="24"/>
        </w:rPr>
        <w:t>U.S.C.</w:t>
      </w:r>
      <w:r w:rsidRPr="0007279B">
        <w:rPr>
          <w:rFonts w:ascii="Times New Roman" w:hAnsi="Times New Roman"/>
          <w:spacing w:val="3"/>
          <w:szCs w:val="24"/>
        </w:rPr>
        <w:t xml:space="preserve"> </w:t>
      </w:r>
      <w:r w:rsidRPr="0007279B">
        <w:rPr>
          <w:rFonts w:ascii="Times New Roman" w:hAnsi="Times New Roman"/>
          <w:szCs w:val="24"/>
        </w:rPr>
        <w:t>§</w:t>
      </w:r>
      <w:r w:rsidRPr="0007279B">
        <w:rPr>
          <w:rFonts w:ascii="Times New Roman" w:hAnsi="Times New Roman"/>
          <w:spacing w:val="7"/>
          <w:szCs w:val="24"/>
        </w:rPr>
        <w:t xml:space="preserve"> </w:t>
      </w:r>
      <w:r w:rsidRPr="0007279B">
        <w:rPr>
          <w:rFonts w:ascii="Times New Roman" w:hAnsi="Times New Roman"/>
          <w:szCs w:val="24"/>
        </w:rPr>
        <w:t>552(b</w:t>
      </w:r>
      <w:proofErr w:type="gramStart"/>
      <w:r w:rsidRPr="0007279B">
        <w:rPr>
          <w:rFonts w:ascii="Times New Roman" w:hAnsi="Times New Roman"/>
          <w:szCs w:val="24"/>
        </w:rPr>
        <w:t>)(</w:t>
      </w:r>
      <w:proofErr w:type="gramEnd"/>
      <w:r w:rsidRPr="0007279B">
        <w:rPr>
          <w:rFonts w:ascii="Times New Roman" w:hAnsi="Times New Roman"/>
          <w:szCs w:val="24"/>
        </w:rPr>
        <w:t>8).</w:t>
      </w:r>
      <w:r>
        <w:rPr>
          <w:rFonts w:ascii="Times New Roman" w:hAnsi="Times New Roman"/>
          <w:szCs w:val="24"/>
        </w:rPr>
        <w:t xml:space="preserve"> </w:t>
      </w:r>
      <w:r w:rsidRPr="0007279B">
        <w:rPr>
          <w:rFonts w:ascii="Times New Roman" w:hAnsi="Times New Roman"/>
          <w:szCs w:val="24"/>
        </w:rPr>
        <w:t>In</w:t>
      </w:r>
      <w:r w:rsidRPr="0007279B">
        <w:rPr>
          <w:rFonts w:ascii="Times New Roman" w:hAnsi="Times New Roman"/>
          <w:spacing w:val="5"/>
          <w:szCs w:val="24"/>
        </w:rPr>
        <w:t xml:space="preserve"> </w:t>
      </w:r>
      <w:r w:rsidRPr="0007279B">
        <w:rPr>
          <w:rFonts w:ascii="Times New Roman" w:hAnsi="Times New Roman"/>
          <w:szCs w:val="24"/>
        </w:rPr>
        <w:t>addition,</w:t>
      </w:r>
      <w:r w:rsidRPr="0007279B">
        <w:rPr>
          <w:rFonts w:ascii="Times New Roman" w:hAnsi="Times New Roman"/>
          <w:spacing w:val="40"/>
          <w:szCs w:val="24"/>
        </w:rPr>
        <w:t xml:space="preserve"> </w:t>
      </w:r>
      <w:r w:rsidRPr="0007279B">
        <w:rPr>
          <w:rFonts w:ascii="Times New Roman" w:hAnsi="Times New Roman"/>
          <w:szCs w:val="24"/>
        </w:rPr>
        <w:t>some</w:t>
      </w:r>
      <w:r w:rsidRPr="0007279B">
        <w:rPr>
          <w:rFonts w:ascii="Times New Roman" w:hAnsi="Times New Roman"/>
          <w:spacing w:val="9"/>
          <w:szCs w:val="24"/>
        </w:rPr>
        <w:t xml:space="preserve"> </w:t>
      </w:r>
      <w:r w:rsidRPr="0007279B">
        <w:rPr>
          <w:rFonts w:ascii="Times New Roman" w:hAnsi="Times New Roman"/>
          <w:szCs w:val="24"/>
        </w:rPr>
        <w:t>or</w:t>
      </w:r>
      <w:r w:rsidRPr="0007279B">
        <w:rPr>
          <w:rFonts w:ascii="Times New Roman" w:hAnsi="Times New Roman"/>
          <w:spacing w:val="11"/>
          <w:szCs w:val="24"/>
        </w:rPr>
        <w:t xml:space="preserve"> </w:t>
      </w:r>
      <w:r w:rsidRPr="0007279B">
        <w:rPr>
          <w:rFonts w:ascii="Times New Roman" w:hAnsi="Times New Roman"/>
          <w:szCs w:val="24"/>
        </w:rPr>
        <w:t>all</w:t>
      </w:r>
      <w:r w:rsidRPr="0007279B">
        <w:rPr>
          <w:rFonts w:ascii="Times New Roman" w:hAnsi="Times New Roman"/>
          <w:spacing w:val="9"/>
          <w:szCs w:val="24"/>
        </w:rPr>
        <w:t xml:space="preserve"> </w:t>
      </w:r>
      <w:r w:rsidRPr="0007279B">
        <w:rPr>
          <w:rFonts w:ascii="Times New Roman" w:hAnsi="Times New Roman"/>
          <w:w w:val="116"/>
          <w:szCs w:val="24"/>
        </w:rPr>
        <w:t>of</w:t>
      </w:r>
      <w:r>
        <w:rPr>
          <w:rFonts w:ascii="Times New Roman" w:hAnsi="Times New Roman"/>
          <w:w w:val="116"/>
          <w:szCs w:val="24"/>
        </w:rPr>
        <w:t xml:space="preserve"> </w:t>
      </w:r>
      <w:r w:rsidRPr="0007279B">
        <w:rPr>
          <w:rFonts w:ascii="Times New Roman" w:hAnsi="Times New Roman"/>
          <w:w w:val="116"/>
          <w:szCs w:val="24"/>
        </w:rPr>
        <w:t>the</w:t>
      </w:r>
      <w:r w:rsidRPr="0007279B">
        <w:rPr>
          <w:rFonts w:ascii="Times New Roman" w:hAnsi="Times New Roman"/>
          <w:spacing w:val="-8"/>
          <w:w w:val="116"/>
          <w:szCs w:val="24"/>
        </w:rPr>
        <w:t xml:space="preserve"> </w:t>
      </w:r>
      <w:r w:rsidRPr="0007279B">
        <w:rPr>
          <w:rFonts w:ascii="Times New Roman" w:hAnsi="Times New Roman"/>
          <w:szCs w:val="24"/>
        </w:rPr>
        <w:t>information</w:t>
      </w:r>
      <w:r w:rsidRPr="0007279B">
        <w:rPr>
          <w:rFonts w:ascii="Times New Roman" w:hAnsi="Times New Roman"/>
          <w:spacing w:val="41"/>
          <w:szCs w:val="24"/>
        </w:rPr>
        <w:t xml:space="preserve"> </w:t>
      </w:r>
      <w:r w:rsidRPr="0007279B">
        <w:rPr>
          <w:rFonts w:ascii="Times New Roman" w:hAnsi="Times New Roman"/>
          <w:szCs w:val="24"/>
        </w:rPr>
        <w:t>may</w:t>
      </w:r>
      <w:r w:rsidRPr="0007279B">
        <w:rPr>
          <w:rFonts w:ascii="Times New Roman" w:hAnsi="Times New Roman"/>
          <w:spacing w:val="18"/>
          <w:szCs w:val="24"/>
        </w:rPr>
        <w:t xml:space="preserve"> </w:t>
      </w:r>
      <w:r w:rsidRPr="0007279B">
        <w:rPr>
          <w:rFonts w:ascii="Times New Roman" w:hAnsi="Times New Roman"/>
          <w:w w:val="102"/>
          <w:szCs w:val="24"/>
        </w:rPr>
        <w:t xml:space="preserve">be </w:t>
      </w:r>
      <w:r w:rsidRPr="0007279B">
        <w:rPr>
          <w:rFonts w:ascii="Times New Roman" w:hAnsi="Times New Roman"/>
          <w:szCs w:val="24"/>
        </w:rPr>
        <w:t>confidential</w:t>
      </w:r>
      <w:r w:rsidRPr="0007279B">
        <w:rPr>
          <w:rFonts w:ascii="Times New Roman" w:hAnsi="Times New Roman"/>
          <w:spacing w:val="30"/>
          <w:szCs w:val="24"/>
        </w:rPr>
        <w:t xml:space="preserve"> </w:t>
      </w:r>
      <w:r w:rsidRPr="0007279B">
        <w:rPr>
          <w:rFonts w:ascii="Times New Roman" w:hAnsi="Times New Roman"/>
          <w:szCs w:val="24"/>
        </w:rPr>
        <w:t>commercial</w:t>
      </w:r>
      <w:r w:rsidRPr="0007279B">
        <w:rPr>
          <w:rFonts w:ascii="Times New Roman" w:hAnsi="Times New Roman"/>
          <w:spacing w:val="19"/>
          <w:szCs w:val="24"/>
        </w:rPr>
        <w:t xml:space="preserve"> </w:t>
      </w:r>
      <w:r w:rsidRPr="0007279B">
        <w:rPr>
          <w:rFonts w:ascii="Times New Roman" w:hAnsi="Times New Roman"/>
          <w:szCs w:val="24"/>
        </w:rPr>
        <w:t>or</w:t>
      </w:r>
      <w:r w:rsidRPr="0007279B">
        <w:rPr>
          <w:rFonts w:ascii="Times New Roman" w:hAnsi="Times New Roman"/>
          <w:spacing w:val="1"/>
          <w:szCs w:val="24"/>
        </w:rPr>
        <w:t xml:space="preserve"> </w:t>
      </w:r>
      <w:r w:rsidRPr="0007279B">
        <w:rPr>
          <w:rFonts w:ascii="Times New Roman" w:hAnsi="Times New Roman"/>
          <w:szCs w:val="24"/>
        </w:rPr>
        <w:t>financial</w:t>
      </w:r>
      <w:r>
        <w:rPr>
          <w:rFonts w:ascii="Times New Roman" w:hAnsi="Times New Roman"/>
          <w:szCs w:val="24"/>
        </w:rPr>
        <w:t xml:space="preserve"> </w:t>
      </w:r>
      <w:r w:rsidRPr="0007279B">
        <w:rPr>
          <w:rFonts w:ascii="Times New Roman" w:hAnsi="Times New Roman"/>
          <w:szCs w:val="24"/>
        </w:rPr>
        <w:t>information</w:t>
      </w:r>
      <w:r w:rsidRPr="0007279B">
        <w:rPr>
          <w:rFonts w:ascii="Times New Roman" w:hAnsi="Times New Roman"/>
          <w:spacing w:val="44"/>
          <w:szCs w:val="24"/>
        </w:rPr>
        <w:t xml:space="preserve"> </w:t>
      </w:r>
      <w:r w:rsidRPr="0007279B">
        <w:rPr>
          <w:rFonts w:ascii="Times New Roman" w:hAnsi="Times New Roman"/>
          <w:szCs w:val="24"/>
        </w:rPr>
        <w:t>protected</w:t>
      </w:r>
      <w:r w:rsidRPr="0007279B">
        <w:rPr>
          <w:rFonts w:ascii="Times New Roman" w:hAnsi="Times New Roman"/>
          <w:spacing w:val="25"/>
          <w:szCs w:val="24"/>
        </w:rPr>
        <w:t xml:space="preserve"> </w:t>
      </w:r>
      <w:r w:rsidRPr="0007279B">
        <w:rPr>
          <w:rFonts w:ascii="Times New Roman" w:hAnsi="Times New Roman"/>
          <w:szCs w:val="24"/>
        </w:rPr>
        <w:t>from</w:t>
      </w:r>
      <w:r w:rsidRPr="0007279B">
        <w:rPr>
          <w:rFonts w:ascii="Times New Roman" w:hAnsi="Times New Roman"/>
          <w:spacing w:val="12"/>
          <w:szCs w:val="24"/>
        </w:rPr>
        <w:t xml:space="preserve"> </w:t>
      </w:r>
      <w:r w:rsidRPr="0007279B">
        <w:rPr>
          <w:rFonts w:ascii="Times New Roman" w:hAnsi="Times New Roman"/>
          <w:szCs w:val="24"/>
        </w:rPr>
        <w:t>disclosure</w:t>
      </w:r>
      <w:r w:rsidRPr="0007279B">
        <w:rPr>
          <w:rFonts w:ascii="Times New Roman" w:hAnsi="Times New Roman"/>
          <w:spacing w:val="34"/>
          <w:szCs w:val="24"/>
        </w:rPr>
        <w:t xml:space="preserve"> </w:t>
      </w:r>
      <w:r w:rsidRPr="0007279B">
        <w:rPr>
          <w:rFonts w:ascii="Times New Roman" w:hAnsi="Times New Roman"/>
          <w:szCs w:val="24"/>
        </w:rPr>
        <w:t>under</w:t>
      </w:r>
      <w:r w:rsidRPr="0007279B">
        <w:rPr>
          <w:rFonts w:ascii="Times New Roman" w:hAnsi="Times New Roman"/>
          <w:spacing w:val="14"/>
          <w:szCs w:val="24"/>
        </w:rPr>
        <w:t xml:space="preserve"> </w:t>
      </w:r>
      <w:r w:rsidRPr="0007279B">
        <w:rPr>
          <w:rFonts w:ascii="Times New Roman" w:hAnsi="Times New Roman"/>
          <w:szCs w:val="24"/>
        </w:rPr>
        <w:t>exemption</w:t>
      </w:r>
      <w:r w:rsidRPr="0007279B">
        <w:rPr>
          <w:rFonts w:ascii="Times New Roman" w:hAnsi="Times New Roman"/>
          <w:spacing w:val="31"/>
          <w:szCs w:val="24"/>
        </w:rPr>
        <w:t xml:space="preserve"> </w:t>
      </w:r>
      <w:r w:rsidRPr="0007279B">
        <w:rPr>
          <w:rFonts w:ascii="Times New Roman" w:hAnsi="Times New Roman"/>
          <w:szCs w:val="24"/>
        </w:rPr>
        <w:t>4</w:t>
      </w:r>
      <w:r w:rsidRPr="0007279B">
        <w:rPr>
          <w:rFonts w:ascii="Times New Roman" w:hAnsi="Times New Roman"/>
          <w:spacing w:val="6"/>
          <w:szCs w:val="24"/>
        </w:rPr>
        <w:t xml:space="preserve"> </w:t>
      </w:r>
      <w:r w:rsidRPr="0007279B">
        <w:rPr>
          <w:rFonts w:ascii="Times New Roman" w:hAnsi="Times New Roman"/>
          <w:w w:val="105"/>
          <w:szCs w:val="24"/>
        </w:rPr>
        <w:t xml:space="preserve">of </w:t>
      </w:r>
      <w:r w:rsidRPr="0007279B">
        <w:rPr>
          <w:rFonts w:ascii="Times New Roman" w:hAnsi="Times New Roman"/>
          <w:szCs w:val="24"/>
        </w:rPr>
        <w:t>FOIA,</w:t>
      </w:r>
      <w:r w:rsidRPr="0007279B">
        <w:rPr>
          <w:rFonts w:ascii="Times New Roman" w:hAnsi="Times New Roman"/>
          <w:spacing w:val="23"/>
          <w:szCs w:val="24"/>
        </w:rPr>
        <w:t xml:space="preserve"> </w:t>
      </w:r>
      <w:r w:rsidRPr="0007279B">
        <w:rPr>
          <w:rFonts w:ascii="Times New Roman" w:hAnsi="Times New Roman"/>
          <w:szCs w:val="24"/>
        </w:rPr>
        <w:t>under</w:t>
      </w:r>
      <w:r w:rsidRPr="0007279B">
        <w:rPr>
          <w:rFonts w:ascii="Times New Roman" w:hAnsi="Times New Roman"/>
          <w:spacing w:val="15"/>
          <w:szCs w:val="24"/>
        </w:rPr>
        <w:t xml:space="preserve"> </w:t>
      </w:r>
      <w:r w:rsidRPr="0007279B">
        <w:rPr>
          <w:rFonts w:ascii="Times New Roman" w:hAnsi="Times New Roman"/>
          <w:szCs w:val="24"/>
        </w:rPr>
        <w:t>the</w:t>
      </w:r>
      <w:r w:rsidRPr="0007279B">
        <w:rPr>
          <w:rFonts w:ascii="Times New Roman" w:hAnsi="Times New Roman"/>
          <w:spacing w:val="3"/>
          <w:szCs w:val="24"/>
        </w:rPr>
        <w:t xml:space="preserve"> </w:t>
      </w:r>
      <w:r w:rsidRPr="0007279B">
        <w:rPr>
          <w:rFonts w:ascii="Times New Roman" w:hAnsi="Times New Roman"/>
          <w:szCs w:val="24"/>
        </w:rPr>
        <w:t>standards</w:t>
      </w:r>
      <w:r w:rsidRPr="0007279B">
        <w:rPr>
          <w:rFonts w:ascii="Times New Roman" w:hAnsi="Times New Roman"/>
          <w:spacing w:val="18"/>
          <w:szCs w:val="24"/>
        </w:rPr>
        <w:t xml:space="preserve"> </w:t>
      </w:r>
      <w:r w:rsidRPr="0007279B">
        <w:rPr>
          <w:rFonts w:ascii="Times New Roman" w:hAnsi="Times New Roman"/>
          <w:szCs w:val="24"/>
        </w:rPr>
        <w:t>set</w:t>
      </w:r>
      <w:r>
        <w:rPr>
          <w:rFonts w:ascii="Times New Roman" w:hAnsi="Times New Roman"/>
          <w:szCs w:val="24"/>
        </w:rPr>
        <w:t xml:space="preserve"> </w:t>
      </w:r>
      <w:r w:rsidRPr="0007279B">
        <w:rPr>
          <w:rFonts w:ascii="Times New Roman" w:hAnsi="Times New Roman"/>
          <w:szCs w:val="24"/>
        </w:rPr>
        <w:t>forth</w:t>
      </w:r>
      <w:r w:rsidRPr="0007279B">
        <w:rPr>
          <w:rFonts w:ascii="Times New Roman" w:hAnsi="Times New Roman"/>
          <w:spacing w:val="12"/>
          <w:szCs w:val="24"/>
        </w:rPr>
        <w:t xml:space="preserve"> </w:t>
      </w:r>
      <w:r w:rsidRPr="0007279B">
        <w:rPr>
          <w:rFonts w:ascii="Times New Roman" w:hAnsi="Times New Roman"/>
          <w:szCs w:val="24"/>
        </w:rPr>
        <w:t>in</w:t>
      </w:r>
      <w:r w:rsidRPr="0007279B">
        <w:rPr>
          <w:rFonts w:ascii="Times New Roman" w:hAnsi="Times New Roman"/>
          <w:spacing w:val="9"/>
          <w:szCs w:val="24"/>
        </w:rPr>
        <w:t xml:space="preserve"> </w:t>
      </w:r>
      <w:r w:rsidRPr="0007279B">
        <w:rPr>
          <w:rFonts w:ascii="Times New Roman" w:hAnsi="Times New Roman"/>
          <w:szCs w:val="24"/>
          <w:u w:val="single" w:color="000000"/>
        </w:rPr>
        <w:t>National</w:t>
      </w:r>
      <w:r w:rsidRPr="0007279B">
        <w:rPr>
          <w:rFonts w:ascii="Times New Roman" w:hAnsi="Times New Roman"/>
          <w:spacing w:val="31"/>
          <w:szCs w:val="24"/>
          <w:u w:val="single" w:color="000000"/>
        </w:rPr>
        <w:t xml:space="preserve"> </w:t>
      </w:r>
      <w:r w:rsidRPr="0007279B">
        <w:rPr>
          <w:rFonts w:ascii="Times New Roman" w:hAnsi="Times New Roman"/>
          <w:szCs w:val="24"/>
          <w:u w:val="single" w:color="000000"/>
        </w:rPr>
        <w:t>Parks</w:t>
      </w:r>
      <w:r w:rsidRPr="0007279B">
        <w:rPr>
          <w:rFonts w:ascii="Times New Roman" w:hAnsi="Times New Roman"/>
          <w:spacing w:val="18"/>
          <w:szCs w:val="24"/>
          <w:u w:val="single" w:color="000000"/>
        </w:rPr>
        <w:t xml:space="preserve"> </w:t>
      </w:r>
      <w:r w:rsidRPr="0007279B">
        <w:rPr>
          <w:rFonts w:ascii="Times New Roman" w:eastAsia="Arial" w:hAnsi="Times New Roman"/>
          <w:w w:val="133"/>
          <w:szCs w:val="24"/>
          <w:u w:val="single" w:color="000000"/>
        </w:rPr>
        <w:t>&amp;</w:t>
      </w:r>
      <w:r w:rsidRPr="0007279B">
        <w:rPr>
          <w:rFonts w:ascii="Times New Roman" w:eastAsia="Arial" w:hAnsi="Times New Roman"/>
          <w:spacing w:val="-20"/>
          <w:w w:val="133"/>
          <w:szCs w:val="24"/>
          <w:u w:val="single" w:color="000000"/>
        </w:rPr>
        <w:t xml:space="preserve"> </w:t>
      </w:r>
      <w:r w:rsidRPr="0007279B">
        <w:rPr>
          <w:rFonts w:ascii="Times New Roman" w:hAnsi="Times New Roman"/>
          <w:szCs w:val="24"/>
          <w:u w:val="single" w:color="000000"/>
        </w:rPr>
        <w:t>Conservation</w:t>
      </w:r>
      <w:r w:rsidRPr="0007279B">
        <w:rPr>
          <w:rFonts w:ascii="Times New Roman" w:hAnsi="Times New Roman"/>
          <w:spacing w:val="41"/>
          <w:szCs w:val="24"/>
          <w:u w:val="single" w:color="000000"/>
        </w:rPr>
        <w:t xml:space="preserve"> </w:t>
      </w:r>
      <w:r w:rsidRPr="0007279B">
        <w:rPr>
          <w:rFonts w:ascii="Times New Roman" w:hAnsi="Times New Roman"/>
          <w:szCs w:val="24"/>
          <w:u w:val="single" w:color="000000"/>
        </w:rPr>
        <w:t xml:space="preserve">Ass'n </w:t>
      </w:r>
      <w:r w:rsidRPr="0007279B">
        <w:rPr>
          <w:rFonts w:ascii="Times New Roman" w:hAnsi="Times New Roman"/>
          <w:spacing w:val="5"/>
          <w:szCs w:val="24"/>
          <w:u w:val="single" w:color="000000"/>
        </w:rPr>
        <w:t xml:space="preserve"> </w:t>
      </w:r>
      <w:r w:rsidRPr="0007279B">
        <w:rPr>
          <w:rFonts w:ascii="Times New Roman" w:hAnsi="Times New Roman"/>
          <w:szCs w:val="24"/>
          <w:u w:val="single" w:color="000000"/>
        </w:rPr>
        <w:t>v.</w:t>
      </w:r>
      <w:r w:rsidRPr="0007279B">
        <w:rPr>
          <w:rFonts w:ascii="Times New Roman" w:hAnsi="Times New Roman"/>
          <w:spacing w:val="-7"/>
          <w:szCs w:val="24"/>
          <w:u w:val="single" w:color="000000"/>
        </w:rPr>
        <w:t xml:space="preserve"> </w:t>
      </w:r>
      <w:r w:rsidRPr="0007279B">
        <w:rPr>
          <w:rFonts w:ascii="Times New Roman" w:hAnsi="Times New Roman"/>
          <w:szCs w:val="24"/>
          <w:u w:val="single" w:color="000000"/>
        </w:rPr>
        <w:t>Morton,</w:t>
      </w:r>
      <w:r w:rsidRPr="0007279B">
        <w:rPr>
          <w:rFonts w:ascii="Times New Roman" w:hAnsi="Times New Roman"/>
          <w:spacing w:val="27"/>
          <w:szCs w:val="24"/>
        </w:rPr>
        <w:t xml:space="preserve"> </w:t>
      </w:r>
      <w:r w:rsidRPr="0007279B">
        <w:rPr>
          <w:rFonts w:ascii="Times New Roman" w:hAnsi="Times New Roman"/>
          <w:szCs w:val="24"/>
        </w:rPr>
        <w:t>498</w:t>
      </w:r>
      <w:r w:rsidRPr="0007279B">
        <w:rPr>
          <w:rFonts w:ascii="Times New Roman" w:hAnsi="Times New Roman"/>
          <w:spacing w:val="16"/>
          <w:szCs w:val="24"/>
        </w:rPr>
        <w:t xml:space="preserve"> </w:t>
      </w:r>
      <w:r w:rsidRPr="0007279B">
        <w:rPr>
          <w:rFonts w:ascii="Times New Roman" w:hAnsi="Times New Roman"/>
          <w:w w:val="102"/>
          <w:szCs w:val="24"/>
        </w:rPr>
        <w:t>F.2d</w:t>
      </w:r>
      <w:r>
        <w:rPr>
          <w:rFonts w:ascii="Times New Roman" w:hAnsi="Times New Roman"/>
          <w:w w:val="102"/>
          <w:szCs w:val="24"/>
        </w:rPr>
        <w:t xml:space="preserve"> </w:t>
      </w:r>
      <w:r w:rsidRPr="0007279B">
        <w:rPr>
          <w:rFonts w:ascii="Times New Roman" w:hAnsi="Times New Roman"/>
          <w:szCs w:val="24"/>
        </w:rPr>
        <w:t>765</w:t>
      </w:r>
      <w:r w:rsidRPr="0007279B">
        <w:rPr>
          <w:rFonts w:ascii="Times New Roman" w:hAnsi="Times New Roman"/>
          <w:spacing w:val="16"/>
          <w:szCs w:val="24"/>
        </w:rPr>
        <w:t xml:space="preserve"> </w:t>
      </w:r>
      <w:r w:rsidRPr="0007279B">
        <w:rPr>
          <w:rFonts w:ascii="Times New Roman" w:hAnsi="Times New Roman"/>
          <w:szCs w:val="24"/>
        </w:rPr>
        <w:t>(D.C.</w:t>
      </w:r>
      <w:r w:rsidRPr="0007279B">
        <w:rPr>
          <w:rFonts w:ascii="Times New Roman" w:hAnsi="Times New Roman"/>
          <w:spacing w:val="12"/>
          <w:szCs w:val="24"/>
        </w:rPr>
        <w:t xml:space="preserve"> </w:t>
      </w:r>
      <w:r w:rsidRPr="0007279B">
        <w:rPr>
          <w:rFonts w:ascii="Times New Roman" w:hAnsi="Times New Roman"/>
          <w:szCs w:val="24"/>
        </w:rPr>
        <w:t>Cir.</w:t>
      </w:r>
      <w:r w:rsidRPr="0007279B">
        <w:rPr>
          <w:rFonts w:ascii="Times New Roman" w:hAnsi="Times New Roman"/>
          <w:spacing w:val="15"/>
          <w:szCs w:val="24"/>
        </w:rPr>
        <w:t xml:space="preserve"> </w:t>
      </w:r>
      <w:r w:rsidRPr="0007279B">
        <w:rPr>
          <w:rFonts w:ascii="Times New Roman" w:hAnsi="Times New Roman"/>
          <w:w w:val="103"/>
          <w:szCs w:val="24"/>
        </w:rPr>
        <w:t>1974).</w:t>
      </w:r>
    </w:p>
    <w:p w:rsidR="00094E90" w:rsidRPr="00455D4E" w:rsidRDefault="00094E90" w:rsidP="00F429EE">
      <w:pPr>
        <w:ind w:firstLine="720"/>
        <w:rPr>
          <w:rFonts w:ascii="Times New Roman" w:hAnsi="Times New Roman"/>
          <w:szCs w:val="24"/>
        </w:rPr>
      </w:pPr>
    </w:p>
    <w:p w:rsidR="00D757AD" w:rsidRPr="00455D4E" w:rsidRDefault="00D757AD" w:rsidP="00F429EE">
      <w:pPr>
        <w:pStyle w:val="Heading1"/>
        <w:rPr>
          <w:rFonts w:ascii="Times New Roman" w:hAnsi="Times New Roman"/>
          <w:szCs w:val="24"/>
        </w:rPr>
      </w:pPr>
      <w:r w:rsidRPr="00455D4E">
        <w:rPr>
          <w:rFonts w:ascii="Times New Roman" w:hAnsi="Times New Roman"/>
          <w:szCs w:val="24"/>
        </w:rPr>
        <w:t>Estimate of Respondent Burden</w:t>
      </w:r>
    </w:p>
    <w:p w:rsidR="00A959A3" w:rsidRPr="00455D4E" w:rsidRDefault="00A959A3" w:rsidP="00F429EE">
      <w:pPr>
        <w:rPr>
          <w:rFonts w:ascii="Times New Roman" w:hAnsi="Times New Roman"/>
          <w:szCs w:val="24"/>
        </w:rPr>
      </w:pPr>
    </w:p>
    <w:p w:rsidR="00E47C70" w:rsidRPr="00455D4E" w:rsidRDefault="009C4001" w:rsidP="00F429EE">
      <w:pPr>
        <w:pStyle w:val="BodyTextIndent"/>
        <w:spacing w:after="0"/>
        <w:rPr>
          <w:szCs w:val="24"/>
        </w:rPr>
      </w:pPr>
      <w:r w:rsidRPr="00455D4E">
        <w:rPr>
          <w:szCs w:val="24"/>
        </w:rPr>
        <w:t xml:space="preserve">The total annual burden for the recordkeeping and disclosure requirements of this information collection is </w:t>
      </w:r>
      <w:r w:rsidR="00664EC0" w:rsidRPr="00455D4E">
        <w:rPr>
          <w:szCs w:val="24"/>
        </w:rPr>
        <w:t xml:space="preserve">estimated to be </w:t>
      </w:r>
      <w:r w:rsidR="00006B5F" w:rsidRPr="00455D4E">
        <w:rPr>
          <w:szCs w:val="24"/>
        </w:rPr>
        <w:t>74</w:t>
      </w:r>
      <w:r w:rsidR="00A02B20" w:rsidRPr="00455D4E">
        <w:rPr>
          <w:szCs w:val="24"/>
        </w:rPr>
        <w:t>,</w:t>
      </w:r>
      <w:r w:rsidR="00006B5F" w:rsidRPr="00455D4E">
        <w:rPr>
          <w:szCs w:val="24"/>
        </w:rPr>
        <w:t>570</w:t>
      </w:r>
      <w:r w:rsidRPr="00455D4E">
        <w:rPr>
          <w:szCs w:val="24"/>
        </w:rPr>
        <w:t xml:space="preserve"> hours, as shown in the table below.  </w:t>
      </w:r>
      <w:r w:rsidR="00234EC0" w:rsidRPr="00455D4E">
        <w:rPr>
          <w:szCs w:val="24"/>
        </w:rPr>
        <w:t xml:space="preserve">The Federal Reserve estimates that it would take </w:t>
      </w:r>
      <w:r w:rsidRPr="00455D4E">
        <w:rPr>
          <w:szCs w:val="24"/>
        </w:rPr>
        <w:t xml:space="preserve">the </w:t>
      </w:r>
      <w:r w:rsidR="00006B5F" w:rsidRPr="00455D4E">
        <w:rPr>
          <w:szCs w:val="24"/>
        </w:rPr>
        <w:t>41</w:t>
      </w:r>
      <w:r w:rsidR="00A64FB3" w:rsidRPr="00455D4E">
        <w:rPr>
          <w:szCs w:val="24"/>
        </w:rPr>
        <w:t xml:space="preserve"> Federal Reserve-supervised institutions</w:t>
      </w:r>
      <w:r w:rsidR="00006B5F" w:rsidRPr="00455D4E">
        <w:rPr>
          <w:szCs w:val="24"/>
        </w:rPr>
        <w:t xml:space="preserve"> on average</w:t>
      </w:r>
      <w:r w:rsidR="00A64FB3" w:rsidRPr="00455D4E">
        <w:rPr>
          <w:szCs w:val="24"/>
        </w:rPr>
        <w:t xml:space="preserve"> </w:t>
      </w:r>
      <w:r w:rsidR="00006B5F" w:rsidRPr="00455D4E">
        <w:rPr>
          <w:szCs w:val="24"/>
        </w:rPr>
        <w:t>1,064.4</w:t>
      </w:r>
      <w:r w:rsidR="00234EC0" w:rsidRPr="00455D4E">
        <w:rPr>
          <w:szCs w:val="24"/>
        </w:rPr>
        <w:t xml:space="preserve"> hours to </w:t>
      </w:r>
      <w:r w:rsidR="00006B5F" w:rsidRPr="00455D4E">
        <w:rPr>
          <w:szCs w:val="24"/>
        </w:rPr>
        <w:t xml:space="preserve">implement </w:t>
      </w:r>
      <w:r w:rsidR="0098224D" w:rsidRPr="00455D4E">
        <w:rPr>
          <w:szCs w:val="24"/>
        </w:rPr>
        <w:t xml:space="preserve">and 754.4 hours to maintain these provisions annually.  </w:t>
      </w:r>
      <w:r w:rsidR="00E67AB2" w:rsidRPr="00455D4E">
        <w:rPr>
          <w:szCs w:val="24"/>
        </w:rPr>
        <w:t>This information collection represents</w:t>
      </w:r>
      <w:r w:rsidRPr="00455D4E">
        <w:rPr>
          <w:szCs w:val="24"/>
        </w:rPr>
        <w:t xml:space="preserve"> </w:t>
      </w:r>
      <w:r w:rsidR="00196939" w:rsidRPr="00455D4E">
        <w:rPr>
          <w:szCs w:val="24"/>
        </w:rPr>
        <w:t>less than 1</w:t>
      </w:r>
      <w:r w:rsidRPr="00455D4E">
        <w:rPr>
          <w:szCs w:val="24"/>
        </w:rPr>
        <w:t xml:space="preserve"> percent of total Federal Reserve System paperwork burden.</w:t>
      </w:r>
      <w:r w:rsidR="005435E5" w:rsidRPr="00455D4E">
        <w:rPr>
          <w:szCs w:val="24"/>
        </w:rPr>
        <w:t xml:space="preserve">  </w:t>
      </w:r>
    </w:p>
    <w:p w:rsidR="00E47C70" w:rsidRPr="00455D4E" w:rsidRDefault="00E47C70">
      <w:pPr>
        <w:widowControl/>
        <w:rPr>
          <w:rFonts w:ascii="Times New Roman" w:hAnsi="Times New Roman"/>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1620"/>
        <w:gridCol w:w="1260"/>
        <w:gridCol w:w="1890"/>
        <w:gridCol w:w="1548"/>
      </w:tblGrid>
      <w:tr w:rsidR="00FC29CD" w:rsidRPr="00455D4E" w:rsidTr="00664EC0">
        <w:trPr>
          <w:trHeight w:val="935"/>
        </w:trPr>
        <w:tc>
          <w:tcPr>
            <w:tcW w:w="3258" w:type="dxa"/>
          </w:tcPr>
          <w:p w:rsidR="00FC29CD" w:rsidRPr="00455D4E" w:rsidRDefault="007D79CD" w:rsidP="00FC29CD">
            <w:pPr>
              <w:jc w:val="center"/>
              <w:rPr>
                <w:rFonts w:ascii="Times New Roman" w:hAnsi="Times New Roman"/>
                <w:color w:val="000000"/>
                <w:szCs w:val="24"/>
              </w:rPr>
            </w:pPr>
            <w:r w:rsidRPr="00455D4E">
              <w:rPr>
                <w:rFonts w:ascii="Times New Roman" w:hAnsi="Times New Roman"/>
                <w:szCs w:val="24"/>
              </w:rPr>
              <w:br w:type="page"/>
            </w:r>
            <w:r w:rsidR="00094E90" w:rsidRPr="00455D4E">
              <w:rPr>
                <w:rFonts w:ascii="Times New Roman" w:hAnsi="Times New Roman"/>
                <w:szCs w:val="24"/>
              </w:rPr>
              <w:br w:type="page"/>
            </w:r>
          </w:p>
        </w:tc>
        <w:tc>
          <w:tcPr>
            <w:tcW w:w="1620" w:type="dxa"/>
            <w:vAlign w:val="center"/>
          </w:tcPr>
          <w:p w:rsidR="00006B5F" w:rsidRPr="00455D4E" w:rsidRDefault="00B53C21" w:rsidP="00664EC0">
            <w:pPr>
              <w:jc w:val="center"/>
              <w:rPr>
                <w:rFonts w:ascii="Times New Roman" w:hAnsi="Times New Roman"/>
                <w:i/>
                <w:color w:val="000000"/>
                <w:szCs w:val="24"/>
              </w:rPr>
            </w:pPr>
            <w:r w:rsidRPr="00455D4E">
              <w:rPr>
                <w:rFonts w:ascii="Times New Roman" w:hAnsi="Times New Roman"/>
                <w:i/>
                <w:color w:val="000000"/>
                <w:szCs w:val="24"/>
              </w:rPr>
              <w:t>Number</w:t>
            </w:r>
          </w:p>
          <w:p w:rsidR="00FC29CD" w:rsidRPr="00455D4E" w:rsidRDefault="00B53C21" w:rsidP="00664EC0">
            <w:pPr>
              <w:jc w:val="center"/>
              <w:rPr>
                <w:rFonts w:ascii="Times New Roman" w:hAnsi="Times New Roman"/>
                <w:i/>
                <w:color w:val="000000"/>
                <w:szCs w:val="24"/>
              </w:rPr>
            </w:pPr>
            <w:r w:rsidRPr="00455D4E">
              <w:rPr>
                <w:rFonts w:ascii="Times New Roman" w:hAnsi="Times New Roman"/>
                <w:i/>
                <w:color w:val="000000"/>
                <w:szCs w:val="24"/>
              </w:rPr>
              <w:t xml:space="preserve">of </w:t>
            </w:r>
            <w:r w:rsidR="00043C54" w:rsidRPr="00455D4E">
              <w:rPr>
                <w:rFonts w:ascii="Times New Roman" w:hAnsi="Times New Roman"/>
                <w:i/>
                <w:color w:val="000000"/>
                <w:szCs w:val="24"/>
              </w:rPr>
              <w:t>r</w:t>
            </w:r>
            <w:r w:rsidRPr="00455D4E">
              <w:rPr>
                <w:rFonts w:ascii="Times New Roman" w:hAnsi="Times New Roman"/>
                <w:i/>
                <w:color w:val="000000"/>
                <w:szCs w:val="24"/>
              </w:rPr>
              <w:t>espondents</w:t>
            </w:r>
            <w:r w:rsidR="00AE556C" w:rsidRPr="00455D4E">
              <w:rPr>
                <w:rStyle w:val="FootnoteReference"/>
                <w:i/>
                <w:color w:val="000000"/>
                <w:szCs w:val="24"/>
                <w:vertAlign w:val="superscript"/>
              </w:rPr>
              <w:footnoteReference w:id="7"/>
            </w:r>
          </w:p>
        </w:tc>
        <w:tc>
          <w:tcPr>
            <w:tcW w:w="1260" w:type="dxa"/>
            <w:vAlign w:val="center"/>
          </w:tcPr>
          <w:p w:rsidR="00FC29CD" w:rsidRPr="00455D4E" w:rsidRDefault="00043C54" w:rsidP="00664EC0">
            <w:pPr>
              <w:jc w:val="center"/>
              <w:rPr>
                <w:rFonts w:ascii="Times New Roman" w:hAnsi="Times New Roman"/>
                <w:i/>
                <w:color w:val="000000"/>
                <w:szCs w:val="24"/>
              </w:rPr>
            </w:pPr>
            <w:r w:rsidRPr="00455D4E">
              <w:rPr>
                <w:rFonts w:ascii="Times New Roman" w:hAnsi="Times New Roman"/>
                <w:i/>
                <w:color w:val="000000"/>
                <w:szCs w:val="24"/>
              </w:rPr>
              <w:t>Estimated annual f</w:t>
            </w:r>
            <w:r w:rsidR="00B53C21" w:rsidRPr="00455D4E">
              <w:rPr>
                <w:rFonts w:ascii="Times New Roman" w:hAnsi="Times New Roman"/>
                <w:i/>
                <w:color w:val="000000"/>
                <w:szCs w:val="24"/>
              </w:rPr>
              <w:t>requency</w:t>
            </w:r>
          </w:p>
        </w:tc>
        <w:tc>
          <w:tcPr>
            <w:tcW w:w="1890" w:type="dxa"/>
            <w:vAlign w:val="center"/>
          </w:tcPr>
          <w:p w:rsidR="00FC29CD" w:rsidRPr="00455D4E" w:rsidRDefault="00B53C21" w:rsidP="00664EC0">
            <w:pPr>
              <w:jc w:val="center"/>
              <w:rPr>
                <w:rFonts w:ascii="Times New Roman" w:hAnsi="Times New Roman"/>
                <w:i/>
                <w:color w:val="000000"/>
                <w:szCs w:val="24"/>
              </w:rPr>
            </w:pPr>
            <w:r w:rsidRPr="00455D4E">
              <w:rPr>
                <w:rFonts w:ascii="Times New Roman" w:hAnsi="Times New Roman"/>
                <w:i/>
                <w:color w:val="000000"/>
                <w:szCs w:val="24"/>
              </w:rPr>
              <w:t xml:space="preserve">Estimated </w:t>
            </w:r>
            <w:r w:rsidR="00043C54" w:rsidRPr="00455D4E">
              <w:rPr>
                <w:rFonts w:ascii="Times New Roman" w:hAnsi="Times New Roman"/>
                <w:i/>
                <w:color w:val="000000"/>
                <w:szCs w:val="24"/>
              </w:rPr>
              <w:t>a</w:t>
            </w:r>
            <w:r w:rsidRPr="00455D4E">
              <w:rPr>
                <w:rFonts w:ascii="Times New Roman" w:hAnsi="Times New Roman"/>
                <w:i/>
                <w:color w:val="000000"/>
                <w:szCs w:val="24"/>
              </w:rPr>
              <w:t xml:space="preserve">verage </w:t>
            </w:r>
            <w:r w:rsidR="00043C54" w:rsidRPr="00455D4E">
              <w:rPr>
                <w:rFonts w:ascii="Times New Roman" w:hAnsi="Times New Roman"/>
                <w:i/>
                <w:color w:val="000000"/>
                <w:szCs w:val="24"/>
              </w:rPr>
              <w:t>h</w:t>
            </w:r>
            <w:r w:rsidRPr="00455D4E">
              <w:rPr>
                <w:rFonts w:ascii="Times New Roman" w:hAnsi="Times New Roman"/>
                <w:i/>
                <w:color w:val="000000"/>
                <w:szCs w:val="24"/>
              </w:rPr>
              <w:t xml:space="preserve">ours per </w:t>
            </w:r>
            <w:r w:rsidR="00043C54" w:rsidRPr="00455D4E">
              <w:rPr>
                <w:rFonts w:ascii="Times New Roman" w:hAnsi="Times New Roman"/>
                <w:i/>
                <w:color w:val="000000"/>
                <w:szCs w:val="24"/>
              </w:rPr>
              <w:t>r</w:t>
            </w:r>
            <w:r w:rsidRPr="00455D4E">
              <w:rPr>
                <w:rFonts w:ascii="Times New Roman" w:hAnsi="Times New Roman"/>
                <w:i/>
                <w:color w:val="000000"/>
                <w:szCs w:val="24"/>
              </w:rPr>
              <w:t>esponse</w:t>
            </w:r>
          </w:p>
        </w:tc>
        <w:tc>
          <w:tcPr>
            <w:tcW w:w="1548" w:type="dxa"/>
            <w:vAlign w:val="center"/>
          </w:tcPr>
          <w:p w:rsidR="00FC29CD" w:rsidRPr="00455D4E" w:rsidRDefault="00043C54" w:rsidP="00664EC0">
            <w:pPr>
              <w:jc w:val="center"/>
              <w:rPr>
                <w:rFonts w:ascii="Times New Roman" w:hAnsi="Times New Roman"/>
                <w:i/>
                <w:color w:val="000000"/>
                <w:szCs w:val="24"/>
              </w:rPr>
            </w:pPr>
            <w:r w:rsidRPr="00455D4E">
              <w:rPr>
                <w:rFonts w:ascii="Times New Roman" w:hAnsi="Times New Roman"/>
                <w:i/>
                <w:color w:val="000000"/>
                <w:szCs w:val="24"/>
              </w:rPr>
              <w:t>Estimated annual</w:t>
            </w:r>
            <w:r w:rsidR="00B53C21" w:rsidRPr="00455D4E">
              <w:rPr>
                <w:rFonts w:ascii="Times New Roman" w:hAnsi="Times New Roman"/>
                <w:i/>
                <w:color w:val="000000"/>
                <w:szCs w:val="24"/>
              </w:rPr>
              <w:t xml:space="preserve"> </w:t>
            </w:r>
            <w:r w:rsidRPr="00455D4E">
              <w:rPr>
                <w:rFonts w:ascii="Times New Roman" w:hAnsi="Times New Roman"/>
                <w:i/>
                <w:color w:val="000000"/>
                <w:szCs w:val="24"/>
              </w:rPr>
              <w:t>b</w:t>
            </w:r>
            <w:r w:rsidR="00B53C21" w:rsidRPr="00455D4E">
              <w:rPr>
                <w:rFonts w:ascii="Times New Roman" w:hAnsi="Times New Roman"/>
                <w:i/>
                <w:color w:val="000000"/>
                <w:szCs w:val="24"/>
              </w:rPr>
              <w:t xml:space="preserve">urden </w:t>
            </w:r>
            <w:r w:rsidRPr="00455D4E">
              <w:rPr>
                <w:rFonts w:ascii="Times New Roman" w:hAnsi="Times New Roman"/>
                <w:i/>
                <w:color w:val="000000"/>
                <w:szCs w:val="24"/>
              </w:rPr>
              <w:t>h</w:t>
            </w:r>
            <w:r w:rsidR="00B53C21" w:rsidRPr="00455D4E">
              <w:rPr>
                <w:rFonts w:ascii="Times New Roman" w:hAnsi="Times New Roman"/>
                <w:i/>
                <w:color w:val="000000"/>
                <w:szCs w:val="24"/>
              </w:rPr>
              <w:t>ours</w:t>
            </w:r>
          </w:p>
        </w:tc>
      </w:tr>
      <w:tr w:rsidR="00FC29CD" w:rsidRPr="00455D4E" w:rsidTr="002600CC">
        <w:trPr>
          <w:trHeight w:val="276"/>
        </w:trPr>
        <w:tc>
          <w:tcPr>
            <w:tcW w:w="3258" w:type="dxa"/>
            <w:vAlign w:val="bottom"/>
          </w:tcPr>
          <w:p w:rsidR="00D510AB" w:rsidRPr="00455D4E" w:rsidRDefault="00006B5F" w:rsidP="00664EC0">
            <w:pPr>
              <w:rPr>
                <w:rFonts w:ascii="Times New Roman" w:hAnsi="Times New Roman"/>
                <w:color w:val="000000"/>
                <w:szCs w:val="24"/>
              </w:rPr>
            </w:pPr>
            <w:r w:rsidRPr="00455D4E">
              <w:rPr>
                <w:rFonts w:ascii="Times New Roman" w:hAnsi="Times New Roman"/>
                <w:b/>
                <w:color w:val="000000"/>
                <w:szCs w:val="24"/>
              </w:rPr>
              <w:t>Implement</w:t>
            </w:r>
            <w:r w:rsidR="0098224D" w:rsidRPr="00455D4E">
              <w:rPr>
                <w:rFonts w:ascii="Times New Roman" w:hAnsi="Times New Roman"/>
                <w:b/>
                <w:color w:val="000000"/>
                <w:szCs w:val="24"/>
              </w:rPr>
              <w:t>ation (</w:t>
            </w:r>
            <w:r w:rsidR="0098224D" w:rsidRPr="00455D4E">
              <w:rPr>
                <w:rFonts w:ascii="Times New Roman" w:hAnsi="Times New Roman"/>
                <w:color w:val="000000"/>
                <w:szCs w:val="24"/>
              </w:rPr>
              <w:t>guidance)</w:t>
            </w:r>
          </w:p>
        </w:tc>
        <w:tc>
          <w:tcPr>
            <w:tcW w:w="1620" w:type="dxa"/>
            <w:vAlign w:val="center"/>
          </w:tcPr>
          <w:p w:rsidR="00697CC5" w:rsidRPr="00455D4E" w:rsidRDefault="00006B5F" w:rsidP="00664EC0">
            <w:pPr>
              <w:jc w:val="center"/>
              <w:rPr>
                <w:rFonts w:ascii="Times New Roman" w:hAnsi="Times New Roman"/>
                <w:color w:val="000000"/>
                <w:szCs w:val="24"/>
              </w:rPr>
            </w:pPr>
            <w:r w:rsidRPr="00455D4E">
              <w:rPr>
                <w:rFonts w:ascii="Times New Roman" w:hAnsi="Times New Roman"/>
                <w:color w:val="000000"/>
                <w:szCs w:val="24"/>
              </w:rPr>
              <w:t>41</w:t>
            </w:r>
          </w:p>
        </w:tc>
        <w:tc>
          <w:tcPr>
            <w:tcW w:w="1260" w:type="dxa"/>
            <w:vAlign w:val="center"/>
          </w:tcPr>
          <w:p w:rsidR="00697CC5" w:rsidRPr="00455D4E" w:rsidRDefault="00CF0151" w:rsidP="00664EC0">
            <w:pPr>
              <w:jc w:val="center"/>
              <w:rPr>
                <w:rFonts w:ascii="Times New Roman" w:hAnsi="Times New Roman"/>
                <w:color w:val="000000"/>
                <w:szCs w:val="24"/>
              </w:rPr>
            </w:pPr>
            <w:r w:rsidRPr="00455D4E">
              <w:rPr>
                <w:rFonts w:ascii="Times New Roman" w:hAnsi="Times New Roman"/>
                <w:color w:val="000000"/>
                <w:szCs w:val="24"/>
              </w:rPr>
              <w:t>1</w:t>
            </w:r>
          </w:p>
        </w:tc>
        <w:tc>
          <w:tcPr>
            <w:tcW w:w="1890" w:type="dxa"/>
            <w:vAlign w:val="center"/>
          </w:tcPr>
          <w:p w:rsidR="00D510AB" w:rsidRPr="00455D4E" w:rsidRDefault="00006B5F" w:rsidP="00664EC0">
            <w:pPr>
              <w:jc w:val="center"/>
              <w:rPr>
                <w:rFonts w:ascii="Times New Roman" w:hAnsi="Times New Roman"/>
                <w:color w:val="000000"/>
                <w:szCs w:val="24"/>
              </w:rPr>
            </w:pPr>
            <w:r w:rsidRPr="00455D4E">
              <w:rPr>
                <w:rFonts w:ascii="Times New Roman" w:hAnsi="Times New Roman"/>
                <w:color w:val="000000"/>
                <w:szCs w:val="24"/>
              </w:rPr>
              <w:t>1,064.4</w:t>
            </w:r>
          </w:p>
        </w:tc>
        <w:tc>
          <w:tcPr>
            <w:tcW w:w="1548" w:type="dxa"/>
            <w:vAlign w:val="center"/>
          </w:tcPr>
          <w:p w:rsidR="0089021D" w:rsidRPr="00455D4E" w:rsidRDefault="007D79CD" w:rsidP="002600CC">
            <w:pPr>
              <w:jc w:val="right"/>
              <w:rPr>
                <w:rFonts w:ascii="Times New Roman" w:hAnsi="Times New Roman"/>
                <w:color w:val="000000"/>
                <w:szCs w:val="24"/>
              </w:rPr>
            </w:pPr>
            <w:r w:rsidRPr="00455D4E">
              <w:rPr>
                <w:rFonts w:ascii="Times New Roman" w:hAnsi="Times New Roman"/>
                <w:color w:val="000000"/>
                <w:szCs w:val="24"/>
              </w:rPr>
              <w:t xml:space="preserve"> </w:t>
            </w:r>
            <w:r w:rsidR="00006B5F" w:rsidRPr="00455D4E">
              <w:rPr>
                <w:rFonts w:ascii="Times New Roman" w:hAnsi="Times New Roman"/>
                <w:color w:val="000000"/>
                <w:szCs w:val="24"/>
              </w:rPr>
              <w:t>43</w:t>
            </w:r>
            <w:r w:rsidRPr="00455D4E">
              <w:rPr>
                <w:rFonts w:ascii="Times New Roman" w:hAnsi="Times New Roman"/>
                <w:color w:val="000000"/>
                <w:szCs w:val="24"/>
              </w:rPr>
              <w:t>,</w:t>
            </w:r>
            <w:r w:rsidR="00006B5F" w:rsidRPr="00455D4E">
              <w:rPr>
                <w:rFonts w:ascii="Times New Roman" w:hAnsi="Times New Roman"/>
                <w:color w:val="000000"/>
                <w:szCs w:val="24"/>
              </w:rPr>
              <w:t>640</w:t>
            </w:r>
          </w:p>
        </w:tc>
      </w:tr>
      <w:tr w:rsidR="00D510AB" w:rsidRPr="00455D4E" w:rsidTr="002600CC">
        <w:trPr>
          <w:trHeight w:val="276"/>
        </w:trPr>
        <w:tc>
          <w:tcPr>
            <w:tcW w:w="3258" w:type="dxa"/>
            <w:vAlign w:val="center"/>
          </w:tcPr>
          <w:p w:rsidR="00D510AB" w:rsidRPr="00455D4E" w:rsidRDefault="00D510AB" w:rsidP="00664EC0">
            <w:pPr>
              <w:jc w:val="center"/>
              <w:rPr>
                <w:rFonts w:ascii="Times New Roman" w:hAnsi="Times New Roman"/>
                <w:szCs w:val="24"/>
              </w:rPr>
            </w:pPr>
          </w:p>
        </w:tc>
        <w:tc>
          <w:tcPr>
            <w:tcW w:w="1620" w:type="dxa"/>
            <w:vAlign w:val="center"/>
          </w:tcPr>
          <w:p w:rsidR="00697CC5" w:rsidRPr="00455D4E" w:rsidRDefault="00697CC5" w:rsidP="00664EC0">
            <w:pPr>
              <w:jc w:val="center"/>
              <w:rPr>
                <w:rFonts w:ascii="Times New Roman" w:hAnsi="Times New Roman"/>
                <w:szCs w:val="24"/>
              </w:rPr>
            </w:pPr>
          </w:p>
        </w:tc>
        <w:tc>
          <w:tcPr>
            <w:tcW w:w="1260" w:type="dxa"/>
            <w:vAlign w:val="center"/>
          </w:tcPr>
          <w:p w:rsidR="00697CC5" w:rsidRPr="00455D4E" w:rsidRDefault="00697CC5" w:rsidP="00664EC0">
            <w:pPr>
              <w:jc w:val="center"/>
              <w:rPr>
                <w:rFonts w:ascii="Times New Roman" w:hAnsi="Times New Roman"/>
                <w:szCs w:val="24"/>
              </w:rPr>
            </w:pPr>
          </w:p>
        </w:tc>
        <w:tc>
          <w:tcPr>
            <w:tcW w:w="1890" w:type="dxa"/>
            <w:vAlign w:val="center"/>
          </w:tcPr>
          <w:p w:rsidR="00D510AB" w:rsidRPr="00455D4E" w:rsidRDefault="00D510AB" w:rsidP="00664EC0">
            <w:pPr>
              <w:jc w:val="center"/>
              <w:rPr>
                <w:rFonts w:ascii="Times New Roman" w:hAnsi="Times New Roman"/>
                <w:szCs w:val="24"/>
              </w:rPr>
            </w:pPr>
          </w:p>
        </w:tc>
        <w:tc>
          <w:tcPr>
            <w:tcW w:w="1548" w:type="dxa"/>
            <w:vAlign w:val="center"/>
          </w:tcPr>
          <w:p w:rsidR="00697CC5" w:rsidRPr="00455D4E" w:rsidRDefault="00697CC5" w:rsidP="002600CC">
            <w:pPr>
              <w:jc w:val="right"/>
              <w:rPr>
                <w:rFonts w:ascii="Times New Roman" w:hAnsi="Times New Roman"/>
                <w:szCs w:val="24"/>
              </w:rPr>
            </w:pPr>
          </w:p>
        </w:tc>
      </w:tr>
      <w:tr w:rsidR="00FC29CD" w:rsidRPr="00455D4E" w:rsidTr="002600CC">
        <w:trPr>
          <w:trHeight w:val="276"/>
        </w:trPr>
        <w:tc>
          <w:tcPr>
            <w:tcW w:w="3258" w:type="dxa"/>
            <w:vAlign w:val="bottom"/>
          </w:tcPr>
          <w:p w:rsidR="00D510AB" w:rsidRPr="00455D4E" w:rsidRDefault="00006B5F" w:rsidP="00664EC0">
            <w:pPr>
              <w:rPr>
                <w:rFonts w:ascii="Times New Roman" w:hAnsi="Times New Roman"/>
                <w:color w:val="000000"/>
                <w:szCs w:val="24"/>
              </w:rPr>
            </w:pPr>
            <w:r w:rsidRPr="00455D4E">
              <w:rPr>
                <w:rFonts w:ascii="Times New Roman" w:hAnsi="Times New Roman"/>
                <w:b/>
                <w:color w:val="000000"/>
                <w:szCs w:val="24"/>
              </w:rPr>
              <w:t>Maint</w:t>
            </w:r>
            <w:r w:rsidR="0098224D" w:rsidRPr="00455D4E">
              <w:rPr>
                <w:rFonts w:ascii="Times New Roman" w:hAnsi="Times New Roman"/>
                <w:b/>
                <w:color w:val="000000"/>
                <w:szCs w:val="24"/>
              </w:rPr>
              <w:t>enance (</w:t>
            </w:r>
            <w:r w:rsidR="0098224D" w:rsidRPr="00455D4E">
              <w:rPr>
                <w:rFonts w:ascii="Times New Roman" w:hAnsi="Times New Roman"/>
                <w:color w:val="000000"/>
                <w:szCs w:val="24"/>
              </w:rPr>
              <w:t>guidance)</w:t>
            </w:r>
          </w:p>
        </w:tc>
        <w:tc>
          <w:tcPr>
            <w:tcW w:w="1620" w:type="dxa"/>
            <w:vAlign w:val="center"/>
          </w:tcPr>
          <w:p w:rsidR="00697CC5" w:rsidRPr="00455D4E" w:rsidRDefault="00006B5F" w:rsidP="00664EC0">
            <w:pPr>
              <w:jc w:val="center"/>
              <w:rPr>
                <w:rFonts w:ascii="Times New Roman" w:hAnsi="Times New Roman"/>
                <w:color w:val="000000"/>
                <w:szCs w:val="24"/>
              </w:rPr>
            </w:pPr>
            <w:r w:rsidRPr="00455D4E">
              <w:rPr>
                <w:rFonts w:ascii="Times New Roman" w:hAnsi="Times New Roman"/>
                <w:color w:val="000000"/>
                <w:szCs w:val="24"/>
              </w:rPr>
              <w:t>41</w:t>
            </w:r>
          </w:p>
        </w:tc>
        <w:tc>
          <w:tcPr>
            <w:tcW w:w="1260" w:type="dxa"/>
            <w:vAlign w:val="center"/>
          </w:tcPr>
          <w:p w:rsidR="00697CC5" w:rsidRPr="00455D4E" w:rsidRDefault="007D79CD" w:rsidP="00664EC0">
            <w:pPr>
              <w:jc w:val="center"/>
              <w:rPr>
                <w:rFonts w:ascii="Times New Roman" w:hAnsi="Times New Roman"/>
                <w:color w:val="000000"/>
                <w:szCs w:val="24"/>
              </w:rPr>
            </w:pPr>
            <w:r w:rsidRPr="00455D4E">
              <w:rPr>
                <w:rFonts w:ascii="Times New Roman" w:hAnsi="Times New Roman"/>
                <w:color w:val="000000"/>
                <w:szCs w:val="24"/>
              </w:rPr>
              <w:t>1</w:t>
            </w:r>
          </w:p>
        </w:tc>
        <w:tc>
          <w:tcPr>
            <w:tcW w:w="1890" w:type="dxa"/>
            <w:vAlign w:val="center"/>
          </w:tcPr>
          <w:p w:rsidR="00D510AB" w:rsidRPr="00455D4E" w:rsidRDefault="00006B5F" w:rsidP="00664EC0">
            <w:pPr>
              <w:jc w:val="center"/>
              <w:rPr>
                <w:rFonts w:ascii="Times New Roman" w:hAnsi="Times New Roman"/>
                <w:color w:val="000000"/>
                <w:szCs w:val="24"/>
              </w:rPr>
            </w:pPr>
            <w:r w:rsidRPr="00455D4E">
              <w:rPr>
                <w:rFonts w:ascii="Times New Roman" w:hAnsi="Times New Roman"/>
                <w:color w:val="000000"/>
                <w:szCs w:val="24"/>
              </w:rPr>
              <w:t>754.4</w:t>
            </w:r>
          </w:p>
        </w:tc>
        <w:tc>
          <w:tcPr>
            <w:tcW w:w="1548" w:type="dxa"/>
            <w:vAlign w:val="center"/>
          </w:tcPr>
          <w:p w:rsidR="0089021D" w:rsidRPr="00455D4E" w:rsidRDefault="00006B5F" w:rsidP="002600CC">
            <w:pPr>
              <w:jc w:val="right"/>
              <w:rPr>
                <w:rFonts w:ascii="Times New Roman" w:hAnsi="Times New Roman"/>
                <w:color w:val="000000"/>
                <w:szCs w:val="24"/>
                <w:u w:val="single"/>
              </w:rPr>
            </w:pPr>
            <w:r w:rsidRPr="00455D4E">
              <w:rPr>
                <w:rFonts w:ascii="Times New Roman" w:hAnsi="Times New Roman"/>
                <w:color w:val="000000"/>
                <w:szCs w:val="24"/>
                <w:u w:val="single"/>
              </w:rPr>
              <w:t>30</w:t>
            </w:r>
            <w:r w:rsidR="00234EC0" w:rsidRPr="00455D4E">
              <w:rPr>
                <w:rFonts w:ascii="Times New Roman" w:hAnsi="Times New Roman"/>
                <w:color w:val="000000"/>
                <w:szCs w:val="24"/>
                <w:u w:val="single"/>
              </w:rPr>
              <w:t>,</w:t>
            </w:r>
            <w:r w:rsidRPr="00455D4E">
              <w:rPr>
                <w:rFonts w:ascii="Times New Roman" w:hAnsi="Times New Roman"/>
                <w:color w:val="000000"/>
                <w:szCs w:val="24"/>
                <w:u w:val="single"/>
              </w:rPr>
              <w:t>930</w:t>
            </w:r>
          </w:p>
        </w:tc>
      </w:tr>
      <w:tr w:rsidR="007D79CD" w:rsidRPr="00455D4E" w:rsidTr="002600CC">
        <w:trPr>
          <w:trHeight w:val="276"/>
        </w:trPr>
        <w:tc>
          <w:tcPr>
            <w:tcW w:w="3258" w:type="dxa"/>
            <w:vAlign w:val="center"/>
          </w:tcPr>
          <w:p w:rsidR="007D79CD" w:rsidRPr="00455D4E" w:rsidRDefault="007D79CD" w:rsidP="00664EC0">
            <w:pPr>
              <w:jc w:val="center"/>
              <w:rPr>
                <w:rFonts w:ascii="Times New Roman" w:hAnsi="Times New Roman"/>
                <w:color w:val="000000"/>
                <w:szCs w:val="24"/>
              </w:rPr>
            </w:pPr>
          </w:p>
        </w:tc>
        <w:tc>
          <w:tcPr>
            <w:tcW w:w="1620" w:type="dxa"/>
            <w:vAlign w:val="center"/>
          </w:tcPr>
          <w:p w:rsidR="007D79CD" w:rsidRPr="00455D4E" w:rsidRDefault="007D79CD" w:rsidP="00664EC0">
            <w:pPr>
              <w:jc w:val="center"/>
              <w:rPr>
                <w:rFonts w:ascii="Times New Roman" w:hAnsi="Times New Roman"/>
                <w:color w:val="000000"/>
                <w:szCs w:val="24"/>
              </w:rPr>
            </w:pPr>
          </w:p>
        </w:tc>
        <w:tc>
          <w:tcPr>
            <w:tcW w:w="1260" w:type="dxa"/>
            <w:vAlign w:val="center"/>
          </w:tcPr>
          <w:p w:rsidR="007D79CD" w:rsidRPr="00455D4E" w:rsidRDefault="007D79CD" w:rsidP="00664EC0">
            <w:pPr>
              <w:jc w:val="center"/>
              <w:rPr>
                <w:rFonts w:ascii="Times New Roman" w:hAnsi="Times New Roman"/>
                <w:color w:val="000000"/>
                <w:szCs w:val="24"/>
              </w:rPr>
            </w:pPr>
          </w:p>
        </w:tc>
        <w:tc>
          <w:tcPr>
            <w:tcW w:w="1890" w:type="dxa"/>
            <w:vAlign w:val="center"/>
          </w:tcPr>
          <w:p w:rsidR="007D79CD" w:rsidRPr="00455D4E" w:rsidRDefault="007D79CD" w:rsidP="00664EC0">
            <w:pPr>
              <w:jc w:val="center"/>
              <w:rPr>
                <w:rFonts w:ascii="Times New Roman" w:hAnsi="Times New Roman"/>
                <w:color w:val="000000"/>
                <w:szCs w:val="24"/>
              </w:rPr>
            </w:pPr>
          </w:p>
        </w:tc>
        <w:tc>
          <w:tcPr>
            <w:tcW w:w="1548" w:type="dxa"/>
            <w:vAlign w:val="center"/>
          </w:tcPr>
          <w:p w:rsidR="0089021D" w:rsidRPr="00455D4E" w:rsidRDefault="0089021D" w:rsidP="002600CC">
            <w:pPr>
              <w:jc w:val="right"/>
              <w:rPr>
                <w:rFonts w:ascii="Times New Roman" w:hAnsi="Times New Roman"/>
                <w:color w:val="000000"/>
                <w:szCs w:val="24"/>
              </w:rPr>
            </w:pPr>
          </w:p>
        </w:tc>
      </w:tr>
      <w:tr w:rsidR="007D79CD" w:rsidRPr="00455D4E" w:rsidTr="002600CC">
        <w:trPr>
          <w:trHeight w:val="276"/>
        </w:trPr>
        <w:tc>
          <w:tcPr>
            <w:tcW w:w="3258" w:type="dxa"/>
          </w:tcPr>
          <w:p w:rsidR="007D79CD" w:rsidRPr="00455D4E" w:rsidRDefault="007D79CD" w:rsidP="007D79CD">
            <w:pPr>
              <w:jc w:val="right"/>
              <w:rPr>
                <w:rFonts w:ascii="Times New Roman" w:hAnsi="Times New Roman"/>
                <w:i/>
                <w:color w:val="000000"/>
                <w:szCs w:val="24"/>
              </w:rPr>
            </w:pPr>
            <w:r w:rsidRPr="00455D4E">
              <w:rPr>
                <w:rFonts w:ascii="Times New Roman" w:hAnsi="Times New Roman"/>
                <w:i/>
                <w:color w:val="000000"/>
                <w:szCs w:val="24"/>
              </w:rPr>
              <w:t>Total</w:t>
            </w:r>
          </w:p>
        </w:tc>
        <w:tc>
          <w:tcPr>
            <w:tcW w:w="1620" w:type="dxa"/>
            <w:vAlign w:val="center"/>
          </w:tcPr>
          <w:p w:rsidR="007D79CD" w:rsidRPr="00455D4E" w:rsidRDefault="007D79CD" w:rsidP="00664EC0">
            <w:pPr>
              <w:jc w:val="center"/>
              <w:rPr>
                <w:rFonts w:ascii="Times New Roman" w:hAnsi="Times New Roman"/>
                <w:color w:val="000000"/>
                <w:szCs w:val="24"/>
              </w:rPr>
            </w:pPr>
          </w:p>
        </w:tc>
        <w:tc>
          <w:tcPr>
            <w:tcW w:w="1260" w:type="dxa"/>
            <w:vAlign w:val="center"/>
          </w:tcPr>
          <w:p w:rsidR="007D79CD" w:rsidRPr="00455D4E" w:rsidRDefault="007D79CD" w:rsidP="00664EC0">
            <w:pPr>
              <w:jc w:val="center"/>
              <w:rPr>
                <w:rFonts w:ascii="Times New Roman" w:hAnsi="Times New Roman"/>
                <w:color w:val="000000"/>
                <w:szCs w:val="24"/>
              </w:rPr>
            </w:pPr>
          </w:p>
        </w:tc>
        <w:tc>
          <w:tcPr>
            <w:tcW w:w="1890" w:type="dxa"/>
            <w:vAlign w:val="center"/>
          </w:tcPr>
          <w:p w:rsidR="007D79CD" w:rsidRPr="00455D4E" w:rsidRDefault="007D79CD" w:rsidP="00664EC0">
            <w:pPr>
              <w:jc w:val="center"/>
              <w:rPr>
                <w:rFonts w:ascii="Times New Roman" w:hAnsi="Times New Roman"/>
                <w:color w:val="000000"/>
                <w:szCs w:val="24"/>
              </w:rPr>
            </w:pPr>
          </w:p>
        </w:tc>
        <w:tc>
          <w:tcPr>
            <w:tcW w:w="1548" w:type="dxa"/>
            <w:vAlign w:val="center"/>
          </w:tcPr>
          <w:p w:rsidR="0089021D" w:rsidRPr="00455D4E" w:rsidRDefault="00006B5F" w:rsidP="002600CC">
            <w:pPr>
              <w:jc w:val="right"/>
              <w:rPr>
                <w:rFonts w:ascii="Times New Roman" w:hAnsi="Times New Roman"/>
                <w:color w:val="000000"/>
                <w:szCs w:val="24"/>
              </w:rPr>
            </w:pPr>
            <w:r w:rsidRPr="00455D4E">
              <w:rPr>
                <w:rFonts w:ascii="Times New Roman" w:hAnsi="Times New Roman"/>
                <w:color w:val="000000"/>
                <w:szCs w:val="24"/>
              </w:rPr>
              <w:t>74</w:t>
            </w:r>
            <w:r w:rsidR="007D79CD" w:rsidRPr="00455D4E">
              <w:rPr>
                <w:rFonts w:ascii="Times New Roman" w:hAnsi="Times New Roman"/>
                <w:color w:val="000000"/>
                <w:szCs w:val="24"/>
              </w:rPr>
              <w:t>,</w:t>
            </w:r>
            <w:r w:rsidRPr="00455D4E">
              <w:rPr>
                <w:rFonts w:ascii="Times New Roman" w:hAnsi="Times New Roman"/>
                <w:color w:val="000000"/>
                <w:szCs w:val="24"/>
              </w:rPr>
              <w:t>570</w:t>
            </w:r>
          </w:p>
        </w:tc>
      </w:tr>
    </w:tbl>
    <w:p w:rsidR="007D79CD" w:rsidRPr="00455D4E" w:rsidRDefault="007D79CD" w:rsidP="007D79CD">
      <w:pPr>
        <w:pStyle w:val="BodyTextIndent"/>
        <w:spacing w:after="0"/>
        <w:ind w:firstLine="0"/>
        <w:rPr>
          <w:szCs w:val="24"/>
        </w:rPr>
      </w:pPr>
    </w:p>
    <w:p w:rsidR="007D79CD" w:rsidRPr="00455D4E" w:rsidRDefault="007D79CD" w:rsidP="007D79CD">
      <w:pPr>
        <w:pStyle w:val="BodyTextIndent"/>
        <w:spacing w:after="0"/>
        <w:ind w:firstLine="0"/>
        <w:rPr>
          <w:szCs w:val="24"/>
        </w:rPr>
      </w:pPr>
      <w:r w:rsidRPr="00455D4E">
        <w:rPr>
          <w:szCs w:val="24"/>
        </w:rPr>
        <w:t>The total cost to the public is estimated to be $</w:t>
      </w:r>
      <w:r w:rsidR="005A6451">
        <w:rPr>
          <w:szCs w:val="24"/>
        </w:rPr>
        <w:t>3</w:t>
      </w:r>
      <w:r w:rsidRPr="00455D4E">
        <w:rPr>
          <w:szCs w:val="24"/>
        </w:rPr>
        <w:t>,</w:t>
      </w:r>
      <w:r w:rsidR="005A6451">
        <w:rPr>
          <w:szCs w:val="24"/>
        </w:rPr>
        <w:t>721</w:t>
      </w:r>
      <w:r w:rsidRPr="00455D4E">
        <w:rPr>
          <w:szCs w:val="24"/>
        </w:rPr>
        <w:t>,</w:t>
      </w:r>
      <w:r w:rsidR="005A6451">
        <w:rPr>
          <w:szCs w:val="24"/>
        </w:rPr>
        <w:t>043</w:t>
      </w:r>
      <w:r w:rsidRPr="00455D4E">
        <w:rPr>
          <w:szCs w:val="24"/>
        </w:rPr>
        <w:t>.</w:t>
      </w:r>
      <w:r w:rsidRPr="00455D4E">
        <w:rPr>
          <w:rStyle w:val="FootnoteReference"/>
          <w:szCs w:val="24"/>
          <w:vertAlign w:val="superscript"/>
        </w:rPr>
        <w:footnoteReference w:id="8"/>
      </w:r>
    </w:p>
    <w:p w:rsidR="00664EC0" w:rsidRPr="00455D4E" w:rsidRDefault="00664EC0">
      <w:pPr>
        <w:widowControl/>
        <w:rPr>
          <w:rFonts w:ascii="Times New Roman" w:hAnsi="Times New Roman"/>
          <w:b/>
          <w:szCs w:val="24"/>
        </w:rPr>
      </w:pPr>
    </w:p>
    <w:p w:rsidR="00D757AD" w:rsidRPr="00455D4E" w:rsidRDefault="00094E90">
      <w:pPr>
        <w:widowControl/>
        <w:rPr>
          <w:rFonts w:ascii="Times New Roman" w:hAnsi="Times New Roman"/>
          <w:szCs w:val="24"/>
        </w:rPr>
      </w:pPr>
      <w:r w:rsidRPr="00455D4E">
        <w:rPr>
          <w:rFonts w:ascii="Times New Roman" w:hAnsi="Times New Roman"/>
          <w:b/>
          <w:szCs w:val="24"/>
        </w:rPr>
        <w:t>E</w:t>
      </w:r>
      <w:r w:rsidR="00D757AD" w:rsidRPr="00455D4E">
        <w:rPr>
          <w:rFonts w:ascii="Times New Roman" w:hAnsi="Times New Roman"/>
          <w:b/>
          <w:szCs w:val="24"/>
        </w:rPr>
        <w:t xml:space="preserve">stimate of Cost to the Federal Reserve System </w:t>
      </w:r>
    </w:p>
    <w:p w:rsidR="0001410D" w:rsidRPr="00455D4E" w:rsidRDefault="0001410D">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757AD" w:rsidRPr="00455D4E" w:rsidRDefault="00D757AD" w:rsidP="006219C4">
      <w:pPr>
        <w:widowControl/>
        <w:tabs>
          <w:tab w:val="left" w:pos="-1440"/>
          <w:tab w:val="left" w:pos="-720"/>
        </w:tabs>
        <w:ind w:firstLine="720"/>
        <w:rPr>
          <w:rFonts w:ascii="Times New Roman" w:hAnsi="Times New Roman"/>
          <w:szCs w:val="24"/>
        </w:rPr>
      </w:pPr>
      <w:r w:rsidRPr="00455D4E">
        <w:rPr>
          <w:rFonts w:ascii="Times New Roman" w:hAnsi="Times New Roman"/>
          <w:szCs w:val="24"/>
        </w:rPr>
        <w:t xml:space="preserve">Since the </w:t>
      </w:r>
      <w:r w:rsidR="00D505C1" w:rsidRPr="00455D4E">
        <w:rPr>
          <w:rFonts w:ascii="Times New Roman" w:hAnsi="Times New Roman"/>
          <w:szCs w:val="24"/>
        </w:rPr>
        <w:t>FR 420</w:t>
      </w:r>
      <w:r w:rsidR="00664EC0" w:rsidRPr="00455D4E">
        <w:rPr>
          <w:rFonts w:ascii="Times New Roman" w:hAnsi="Times New Roman"/>
          <w:szCs w:val="24"/>
        </w:rPr>
        <w:t>3</w:t>
      </w:r>
      <w:r w:rsidR="00F075D3" w:rsidRPr="00455D4E">
        <w:rPr>
          <w:rFonts w:ascii="Times New Roman" w:hAnsi="Times New Roman"/>
          <w:szCs w:val="24"/>
        </w:rPr>
        <w:t xml:space="preserve"> does not require the </w:t>
      </w:r>
      <w:r w:rsidRPr="00455D4E">
        <w:rPr>
          <w:rFonts w:ascii="Times New Roman" w:hAnsi="Times New Roman"/>
          <w:szCs w:val="24"/>
        </w:rPr>
        <w:t>Federal Reserve</w:t>
      </w:r>
      <w:r w:rsidR="00F075D3" w:rsidRPr="00455D4E">
        <w:rPr>
          <w:rFonts w:ascii="Times New Roman" w:hAnsi="Times New Roman"/>
          <w:szCs w:val="24"/>
        </w:rPr>
        <w:t xml:space="preserve"> to</w:t>
      </w:r>
      <w:r w:rsidRPr="00455D4E">
        <w:rPr>
          <w:rFonts w:ascii="Times New Roman" w:hAnsi="Times New Roman"/>
          <w:szCs w:val="24"/>
        </w:rPr>
        <w:t xml:space="preserve"> collect any information, the cost to the Federal Reserve System is negligible.</w:t>
      </w:r>
    </w:p>
    <w:sectPr w:rsidR="00D757AD" w:rsidRPr="00455D4E" w:rsidSect="00DA3FD6">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EE" w:rsidRDefault="00F429EE" w:rsidP="002C3F4E">
      <w:r>
        <w:separator/>
      </w:r>
    </w:p>
  </w:endnote>
  <w:endnote w:type="continuationSeparator" w:id="0">
    <w:p w:rsidR="00F429EE" w:rsidRDefault="00F429EE" w:rsidP="002C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EE" w:rsidRDefault="00F429EE" w:rsidP="001633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9EE" w:rsidRDefault="00F42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241831391"/>
      <w:docPartObj>
        <w:docPartGallery w:val="Page Numbers (Bottom of Page)"/>
        <w:docPartUnique/>
      </w:docPartObj>
    </w:sdtPr>
    <w:sdtContent>
      <w:p w:rsidR="00F429EE" w:rsidRPr="00386084" w:rsidRDefault="00F429EE" w:rsidP="00386084">
        <w:pPr>
          <w:pStyle w:val="Footer"/>
          <w:jc w:val="center"/>
          <w:rPr>
            <w:rFonts w:ascii="Times New Roman" w:hAnsi="Times New Roman"/>
          </w:rPr>
        </w:pPr>
        <w:r w:rsidRPr="00386084">
          <w:rPr>
            <w:rFonts w:ascii="Times New Roman" w:hAnsi="Times New Roman"/>
          </w:rPr>
          <w:fldChar w:fldCharType="begin"/>
        </w:r>
        <w:r w:rsidRPr="00386084">
          <w:rPr>
            <w:rFonts w:ascii="Times New Roman" w:hAnsi="Times New Roman"/>
          </w:rPr>
          <w:instrText xml:space="preserve"> PAGE   \* MERGEFORMAT </w:instrText>
        </w:r>
        <w:r w:rsidRPr="00386084">
          <w:rPr>
            <w:rFonts w:ascii="Times New Roman" w:hAnsi="Times New Roman"/>
          </w:rPr>
          <w:fldChar w:fldCharType="separate"/>
        </w:r>
        <w:r w:rsidR="002600CC">
          <w:rPr>
            <w:rFonts w:ascii="Times New Roman" w:hAnsi="Times New Roman"/>
            <w:noProof/>
          </w:rPr>
          <w:t>5</w:t>
        </w:r>
        <w:r w:rsidRPr="00386084">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EE" w:rsidRDefault="00F429EE" w:rsidP="002C3F4E">
      <w:r>
        <w:separator/>
      </w:r>
    </w:p>
  </w:footnote>
  <w:footnote w:type="continuationSeparator" w:id="0">
    <w:p w:rsidR="00F429EE" w:rsidRDefault="00F429EE" w:rsidP="002C3F4E">
      <w:r>
        <w:continuationSeparator/>
      </w:r>
    </w:p>
  </w:footnote>
  <w:footnote w:id="1">
    <w:p w:rsidR="00F429EE" w:rsidRPr="00B15958" w:rsidRDefault="00F429EE">
      <w:pPr>
        <w:pStyle w:val="FootnoteText"/>
        <w:rPr>
          <w:rFonts w:ascii="Times New Roman" w:hAnsi="Times New Roman"/>
        </w:rPr>
      </w:pPr>
      <w:r w:rsidRPr="00B15958">
        <w:rPr>
          <w:rStyle w:val="FootnoteReference"/>
          <w:vertAlign w:val="superscript"/>
        </w:rPr>
        <w:footnoteRef/>
      </w:r>
      <w:r w:rsidRPr="00B15958">
        <w:rPr>
          <w:rFonts w:ascii="Times New Roman" w:hAnsi="Times New Roman"/>
          <w:vertAlign w:val="superscript"/>
        </w:rPr>
        <w:t xml:space="preserve"> </w:t>
      </w:r>
      <w:proofErr w:type="gramStart"/>
      <w:r w:rsidRPr="00B15958">
        <w:rPr>
          <w:rFonts w:ascii="Times New Roman" w:hAnsi="Times New Roman"/>
        </w:rPr>
        <w:t xml:space="preserve">44 U.S.C. § 3501 </w:t>
      </w:r>
      <w:r w:rsidRPr="00B15958">
        <w:rPr>
          <w:rFonts w:ascii="Times New Roman" w:hAnsi="Times New Roman"/>
          <w:u w:val="single"/>
        </w:rPr>
        <w:t>et</w:t>
      </w:r>
      <w:r w:rsidRPr="00B15958">
        <w:rPr>
          <w:rFonts w:ascii="Times New Roman" w:hAnsi="Times New Roman"/>
        </w:rPr>
        <w:t xml:space="preserve"> </w:t>
      </w:r>
      <w:r w:rsidRPr="00B15958">
        <w:rPr>
          <w:rFonts w:ascii="Times New Roman" w:hAnsi="Times New Roman"/>
          <w:u w:val="single"/>
        </w:rPr>
        <w:t>seq</w:t>
      </w:r>
      <w:r w:rsidRPr="00B15958">
        <w:rPr>
          <w:rFonts w:ascii="Times New Roman" w:hAnsi="Times New Roman"/>
        </w:rPr>
        <w:t>.</w:t>
      </w:r>
      <w:proofErr w:type="gramEnd"/>
    </w:p>
  </w:footnote>
  <w:footnote w:id="2">
    <w:p w:rsidR="00F429EE" w:rsidRPr="00B15958" w:rsidRDefault="00F429EE" w:rsidP="00B15958">
      <w:pPr>
        <w:pStyle w:val="FootnoteText"/>
        <w:rPr>
          <w:rFonts w:ascii="Times New Roman" w:hAnsi="Times New Roman"/>
        </w:rPr>
      </w:pPr>
      <w:r w:rsidRPr="00B15958">
        <w:rPr>
          <w:rStyle w:val="FootnoteReference"/>
          <w:vertAlign w:val="superscript"/>
        </w:rPr>
        <w:footnoteRef/>
      </w:r>
      <w:r w:rsidRPr="00B15958">
        <w:rPr>
          <w:rFonts w:ascii="Times New Roman" w:hAnsi="Times New Roman"/>
        </w:rPr>
        <w:t xml:space="preserve"> </w:t>
      </w:r>
      <w:proofErr w:type="gramStart"/>
      <w:r w:rsidRPr="00B15958">
        <w:rPr>
          <w:rFonts w:ascii="Times New Roman" w:hAnsi="Times New Roman"/>
        </w:rPr>
        <w:t>(</w:t>
      </w:r>
      <w:r>
        <w:rPr>
          <w:rFonts w:ascii="Times New Roman" w:hAnsi="Times New Roman"/>
        </w:rPr>
        <w:t>77</w:t>
      </w:r>
      <w:r w:rsidRPr="00B15958">
        <w:rPr>
          <w:rFonts w:ascii="Times New Roman" w:hAnsi="Times New Roman"/>
        </w:rPr>
        <w:t xml:space="preserve"> FR </w:t>
      </w:r>
      <w:r>
        <w:rPr>
          <w:rFonts w:ascii="Times New Roman" w:hAnsi="Times New Roman"/>
        </w:rPr>
        <w:t>19417</w:t>
      </w:r>
      <w:r w:rsidRPr="00B15958">
        <w:rPr>
          <w:rFonts w:ascii="Times New Roman" w:hAnsi="Times New Roman"/>
        </w:rPr>
        <w:t>).</w:t>
      </w:r>
      <w:proofErr w:type="gramEnd"/>
    </w:p>
  </w:footnote>
  <w:footnote w:id="3">
    <w:p w:rsidR="00F429EE" w:rsidRPr="00B15958" w:rsidRDefault="00F429EE">
      <w:pPr>
        <w:pStyle w:val="FootnoteText"/>
        <w:rPr>
          <w:rFonts w:ascii="Times New Roman" w:hAnsi="Times New Roman"/>
        </w:rPr>
      </w:pPr>
      <w:r w:rsidRPr="00B15958">
        <w:rPr>
          <w:rStyle w:val="FootnoteReference"/>
          <w:vertAlign w:val="superscript"/>
        </w:rPr>
        <w:footnoteRef/>
      </w:r>
      <w:r w:rsidRPr="00B15958">
        <w:rPr>
          <w:rFonts w:ascii="Times New Roman" w:hAnsi="Times New Roman"/>
        </w:rPr>
        <w:t xml:space="preserve"> SR 01-9, “Interagency Guidance on Leveraged Financing,” April 17, 2001, OCC Bulletin 2001-8, FDIC Press Release PR-28-2001</w:t>
      </w:r>
    </w:p>
  </w:footnote>
  <w:footnote w:id="4">
    <w:p w:rsidR="00F429EE" w:rsidRPr="003B1599" w:rsidRDefault="00F429EE" w:rsidP="007B418C">
      <w:pPr>
        <w:pStyle w:val="FootnoteText"/>
        <w:rPr>
          <w:rFonts w:ascii="Times New Roman" w:hAnsi="Times New Roman"/>
        </w:rPr>
      </w:pPr>
      <w:r w:rsidRPr="00B15958">
        <w:rPr>
          <w:rStyle w:val="FootnoteReference"/>
          <w:vertAlign w:val="superscript"/>
        </w:rPr>
        <w:footnoteRef/>
      </w:r>
      <w:r w:rsidRPr="00B15958">
        <w:rPr>
          <w:rFonts w:ascii="Times New Roman" w:hAnsi="Times New Roman"/>
          <w:vertAlign w:val="superscript"/>
        </w:rPr>
        <w:t xml:space="preserve"> </w:t>
      </w:r>
      <w:r w:rsidRPr="00B15958">
        <w:rPr>
          <w:rFonts w:ascii="Times New Roman" w:hAnsi="Times New Roman"/>
        </w:rPr>
        <w:t>For the purpose of this guidance, references to leveraged finance or leveraged transactions encompass the entire debt structure of a leveraged obligor (including senior loans and letters of credit, mezzanine tranches, senior and subordinated bonds).  References to leveraged lending and leveraged loan transactions and credit agreements refer to</w:t>
      </w:r>
      <w:r w:rsidRPr="003B1599">
        <w:rPr>
          <w:rFonts w:ascii="Times New Roman" w:hAnsi="Times New Roman"/>
        </w:rPr>
        <w:t xml:space="preserve"> the senior loan and letter of credit tranches held by both bank and non-bank investors.</w:t>
      </w:r>
    </w:p>
  </w:footnote>
  <w:footnote w:id="5">
    <w:p w:rsidR="00F429EE" w:rsidRPr="00C34761" w:rsidRDefault="00F429EE" w:rsidP="00C34761">
      <w:pPr>
        <w:pStyle w:val="FootnoteText"/>
        <w:spacing w:after="120"/>
        <w:rPr>
          <w:rFonts w:ascii="Times New Roman" w:hAnsi="Times New Roman"/>
        </w:rPr>
      </w:pPr>
      <w:r w:rsidRPr="00C34761">
        <w:rPr>
          <w:rStyle w:val="FootnoteReference"/>
          <w:vertAlign w:val="superscript"/>
        </w:rPr>
        <w:footnoteRef/>
      </w:r>
      <w:r w:rsidRPr="00C34761">
        <w:rPr>
          <w:rFonts w:ascii="Times New Roman" w:hAnsi="Times New Roman"/>
          <w:vertAlign w:val="superscript"/>
        </w:rPr>
        <w:t xml:space="preserve"> </w:t>
      </w:r>
      <w:r w:rsidRPr="00C34761">
        <w:rPr>
          <w:rFonts w:ascii="Times New Roman" w:hAnsi="Times New Roman"/>
        </w:rPr>
        <w:t>For purposes of this guidance, the term “financial institution” means national banks, federal savings associations,  and Federal branches and agencies supervised by the OCC; state member banks, bank holding companies, and all other institutions for which the Federal Reserve is the primary federal supervisor; and state nonmember insured banks and other institutions supervised by the FDIC.</w:t>
      </w:r>
    </w:p>
  </w:footnote>
  <w:footnote w:id="6">
    <w:p w:rsidR="00F429EE" w:rsidRPr="003B1599" w:rsidRDefault="00F429EE" w:rsidP="00C34761">
      <w:pPr>
        <w:pStyle w:val="FootnoteText"/>
        <w:rPr>
          <w:rFonts w:ascii="Times New Roman" w:hAnsi="Times New Roman"/>
        </w:rPr>
      </w:pPr>
      <w:r w:rsidRPr="003B1599">
        <w:rPr>
          <w:rStyle w:val="FootnoteReference"/>
          <w:vertAlign w:val="superscript"/>
        </w:rPr>
        <w:footnoteRef/>
      </w:r>
      <w:r w:rsidRPr="003B1599">
        <w:rPr>
          <w:rFonts w:ascii="Times New Roman" w:hAnsi="Times New Roman"/>
        </w:rPr>
        <w:t xml:space="preserve"> “</w:t>
      </w:r>
      <w:r w:rsidRPr="003B1599">
        <w:rPr>
          <w:rFonts w:ascii="Times New Roman" w:hAnsi="Times New Roman"/>
          <w:bCs/>
        </w:rPr>
        <w:t>Annual Stress Test,” Notice of Proposed Rulemaking, 77 FR 3408 (January 24, 2012).</w:t>
      </w:r>
      <w:r w:rsidRPr="003B1599">
        <w:rPr>
          <w:rFonts w:ascii="Times New Roman" w:hAnsi="Times New Roman"/>
        </w:rPr>
        <w:t xml:space="preserve">  </w:t>
      </w:r>
    </w:p>
  </w:footnote>
  <w:footnote w:id="7">
    <w:p w:rsidR="00F429EE" w:rsidRPr="007C33D0" w:rsidRDefault="00F429EE">
      <w:pPr>
        <w:pStyle w:val="FootnoteText"/>
        <w:rPr>
          <w:rFonts w:ascii="Times New Roman" w:hAnsi="Times New Roman"/>
        </w:rPr>
      </w:pPr>
      <w:r w:rsidRPr="007C33D0">
        <w:rPr>
          <w:rStyle w:val="FootnoteReference"/>
          <w:vertAlign w:val="superscript"/>
        </w:rPr>
        <w:footnoteRef/>
      </w:r>
      <w:r w:rsidRPr="007C33D0">
        <w:rPr>
          <w:rFonts w:ascii="Times New Roman" w:hAnsi="Times New Roman"/>
        </w:rPr>
        <w:t xml:space="preserve"> Of the 41 respondents required to comply with this information collection, none are small entities as defined by the Small Business Administration (</w:t>
      </w:r>
      <w:r w:rsidRPr="007C33D0">
        <w:rPr>
          <w:rFonts w:ascii="Times New Roman" w:hAnsi="Times New Roman"/>
          <w:i/>
        </w:rPr>
        <w:t>i.e.,</w:t>
      </w:r>
      <w:r w:rsidRPr="007C33D0">
        <w:rPr>
          <w:rFonts w:ascii="Times New Roman" w:hAnsi="Times New Roman"/>
        </w:rPr>
        <w:t xml:space="preserve"> entities with less than $175 million in total assets) </w:t>
      </w:r>
      <w:hyperlink r:id="rId1" w:history="1">
        <w:r w:rsidRPr="007C33D0">
          <w:rPr>
            <w:rStyle w:val="Hyperlink"/>
            <w:rFonts w:ascii="Times New Roman" w:hAnsi="Times New Roman"/>
          </w:rPr>
          <w:t>www.sba.gov/contractingopportunities/officials/size/table/index.html</w:t>
        </w:r>
      </w:hyperlink>
      <w:r w:rsidRPr="007C33D0">
        <w:rPr>
          <w:rFonts w:ascii="Times New Roman" w:hAnsi="Times New Roman"/>
        </w:rPr>
        <w:t>.</w:t>
      </w:r>
    </w:p>
  </w:footnote>
  <w:footnote w:id="8">
    <w:p w:rsidR="00F429EE" w:rsidRPr="0036791E" w:rsidRDefault="00F429EE" w:rsidP="007D79CD">
      <w:pPr>
        <w:pStyle w:val="FootnoteText"/>
        <w:rPr>
          <w:rFonts w:ascii="Times New Roman" w:hAnsi="Times New Roman"/>
        </w:rPr>
      </w:pPr>
      <w:r w:rsidRPr="007C33D0">
        <w:rPr>
          <w:rStyle w:val="FootnoteReference"/>
          <w:vertAlign w:val="superscript"/>
        </w:rPr>
        <w:footnoteRef/>
      </w:r>
      <w:r w:rsidRPr="007C33D0">
        <w:rPr>
          <w:rFonts w:ascii="Times New Roman" w:hAnsi="Times New Roman"/>
        </w:rPr>
        <w:t xml:space="preserve"> </w:t>
      </w:r>
      <w:r w:rsidR="005A6451" w:rsidRPr="005A6451">
        <w:rPr>
          <w:rFonts w:ascii="Times New Roman" w:hAnsi="Times New Roman"/>
        </w:rPr>
        <w:t xml:space="preserve">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mean hourly wages (rounded up) from the Bureau of Labor and Statistics (BLS), Occupational Employment and Wages 2012, </w:t>
      </w:r>
      <w:hyperlink r:id="rId2" w:history="1">
        <w:r w:rsidR="005A6451" w:rsidRPr="009D37F3">
          <w:rPr>
            <w:rStyle w:val="Hyperlink"/>
            <w:rFonts w:ascii="Times New Roman" w:hAnsi="Times New Roman"/>
          </w:rPr>
          <w:t>www.bls.gov/news.release/ocwage.nr0.htm</w:t>
        </w:r>
      </w:hyperlink>
      <w:r w:rsidR="005A6451">
        <w:rPr>
          <w:rFonts w:ascii="Times New Roman" w:hAnsi="Times New Roman"/>
        </w:rPr>
        <w:t xml:space="preserve">  </w:t>
      </w:r>
      <w:r w:rsidR="005A6451" w:rsidRPr="005A6451">
        <w:rPr>
          <w:rFonts w:ascii="Times New Roman" w:hAnsi="Times New Roman"/>
        </w:rPr>
        <w:t xml:space="preserve">Occupations are defined using the BLS Occupational Classification System, </w:t>
      </w:r>
      <w:hyperlink r:id="rId3" w:history="1">
        <w:r w:rsidR="005A6451" w:rsidRPr="009D37F3">
          <w:rPr>
            <w:rStyle w:val="Hyperlink"/>
            <w:rFonts w:ascii="Times New Roman" w:hAnsi="Times New Roman"/>
          </w:rPr>
          <w:t>www.bls.gov/soc/</w:t>
        </w:r>
      </w:hyperlink>
      <w:r w:rsidR="005A6451">
        <w:rPr>
          <w:rFonts w:ascii="Times New Roman" w:hAnsi="Times New Roman"/>
        </w:rPr>
        <w:t xml:space="preserve"> </w:t>
      </w:r>
      <w:r>
        <w:rPr>
          <w:rFonts w:ascii="Times New Roman" w:hAnsi="Times New Roman"/>
        </w:rPr>
        <w:t xml:space="preserve"> </w:t>
      </w:r>
      <w:r w:rsidRPr="00A5153E">
        <w:rPr>
          <w:rFonts w:ascii="Times New Roman" w:hAnsi="Times New Roman"/>
        </w:rP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6A4"/>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
    <w:nsid w:val="038B2AFB"/>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2">
    <w:nsid w:val="07CD63B2"/>
    <w:multiLevelType w:val="hybridMultilevel"/>
    <w:tmpl w:val="F830E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E33690"/>
    <w:multiLevelType w:val="hybridMultilevel"/>
    <w:tmpl w:val="CE4849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59385A"/>
    <w:multiLevelType w:val="hybridMultilevel"/>
    <w:tmpl w:val="06E01866"/>
    <w:lvl w:ilvl="0" w:tplc="02F6CE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nsid w:val="1D6A2DDE"/>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6">
    <w:nsid w:val="33B8619C"/>
    <w:multiLevelType w:val="hybridMultilevel"/>
    <w:tmpl w:val="EE887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A206C9"/>
    <w:multiLevelType w:val="hybridMultilevel"/>
    <w:tmpl w:val="1F5088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69205B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9">
    <w:nsid w:val="4E751B11"/>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0">
    <w:nsid w:val="52717443"/>
    <w:multiLevelType w:val="hybridMultilevel"/>
    <w:tmpl w:val="0064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8062F8"/>
    <w:multiLevelType w:val="hybridMultilevel"/>
    <w:tmpl w:val="05E466D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6827D6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3">
    <w:nsid w:val="5B3307DF"/>
    <w:multiLevelType w:val="hybridMultilevel"/>
    <w:tmpl w:val="4A1A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BD3098"/>
    <w:multiLevelType w:val="singleLevel"/>
    <w:tmpl w:val="F306CAE2"/>
    <w:lvl w:ilvl="0">
      <w:start w:val="1"/>
      <w:numFmt w:val="bullet"/>
      <w:lvlText w:val=""/>
      <w:lvlJc w:val="left"/>
      <w:pPr>
        <w:tabs>
          <w:tab w:val="num" w:pos="360"/>
        </w:tabs>
        <w:ind w:left="360" w:hanging="360"/>
      </w:pPr>
      <w:rPr>
        <w:rFonts w:ascii="Symbol" w:hAnsi="Symbol" w:hint="default"/>
      </w:rPr>
    </w:lvl>
  </w:abstractNum>
  <w:abstractNum w:abstractNumId="15">
    <w:nsid w:val="6A1203A9"/>
    <w:multiLevelType w:val="hybridMultilevel"/>
    <w:tmpl w:val="40A0A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F86423C"/>
    <w:multiLevelType w:val="hybridMultilevel"/>
    <w:tmpl w:val="5C86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5912D5"/>
    <w:multiLevelType w:val="hybridMultilevel"/>
    <w:tmpl w:val="EDA8387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7C2B63C1"/>
    <w:multiLevelType w:val="hybridMultilevel"/>
    <w:tmpl w:val="30AC7D36"/>
    <w:lvl w:ilvl="0" w:tplc="0EBA4F58">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14"/>
  </w:num>
  <w:num w:numId="5">
    <w:abstractNumId w:val="0"/>
  </w:num>
  <w:num w:numId="6">
    <w:abstractNumId w:val="9"/>
  </w:num>
  <w:num w:numId="7">
    <w:abstractNumId w:val="1"/>
  </w:num>
  <w:num w:numId="8">
    <w:abstractNumId w:val="4"/>
  </w:num>
  <w:num w:numId="9">
    <w:abstractNumId w:val="6"/>
  </w:num>
  <w:num w:numId="10">
    <w:abstractNumId w:val="7"/>
  </w:num>
  <w:num w:numId="11">
    <w:abstractNumId w:val="11"/>
  </w:num>
  <w:num w:numId="12">
    <w:abstractNumId w:val="3"/>
  </w:num>
  <w:num w:numId="13">
    <w:abstractNumId w:val="2"/>
  </w:num>
  <w:num w:numId="14">
    <w:abstractNumId w:val="18"/>
  </w:num>
  <w:num w:numId="15">
    <w:abstractNumId w:val="15"/>
  </w:num>
  <w:num w:numId="16">
    <w:abstractNumId w:val="17"/>
  </w:num>
  <w:num w:numId="17">
    <w:abstractNumId w:val="1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B44"/>
    <w:rsid w:val="00006B5F"/>
    <w:rsid w:val="0001410D"/>
    <w:rsid w:val="0002282D"/>
    <w:rsid w:val="000328D8"/>
    <w:rsid w:val="00032A7B"/>
    <w:rsid w:val="0004031D"/>
    <w:rsid w:val="00043C54"/>
    <w:rsid w:val="000478AE"/>
    <w:rsid w:val="00050E58"/>
    <w:rsid w:val="00065F6A"/>
    <w:rsid w:val="00074733"/>
    <w:rsid w:val="00076ACB"/>
    <w:rsid w:val="00086C24"/>
    <w:rsid w:val="00094E90"/>
    <w:rsid w:val="000A3897"/>
    <w:rsid w:val="000B4321"/>
    <w:rsid w:val="000B7BB5"/>
    <w:rsid w:val="000D2372"/>
    <w:rsid w:val="000D268A"/>
    <w:rsid w:val="000E4F85"/>
    <w:rsid w:val="000F0C8C"/>
    <w:rsid w:val="00100B2B"/>
    <w:rsid w:val="00101A33"/>
    <w:rsid w:val="00106B80"/>
    <w:rsid w:val="00117E36"/>
    <w:rsid w:val="00117E5F"/>
    <w:rsid w:val="00134E91"/>
    <w:rsid w:val="001360F6"/>
    <w:rsid w:val="0013726F"/>
    <w:rsid w:val="001633A7"/>
    <w:rsid w:val="001761B0"/>
    <w:rsid w:val="001826D5"/>
    <w:rsid w:val="001841F7"/>
    <w:rsid w:val="00184260"/>
    <w:rsid w:val="00187B79"/>
    <w:rsid w:val="0019057F"/>
    <w:rsid w:val="00191D12"/>
    <w:rsid w:val="00196939"/>
    <w:rsid w:val="00197B83"/>
    <w:rsid w:val="001A1A25"/>
    <w:rsid w:val="001A316D"/>
    <w:rsid w:val="001A679C"/>
    <w:rsid w:val="001B241F"/>
    <w:rsid w:val="001C2796"/>
    <w:rsid w:val="001C6964"/>
    <w:rsid w:val="001C720E"/>
    <w:rsid w:val="001D37BE"/>
    <w:rsid w:val="001D4686"/>
    <w:rsid w:val="001D4C75"/>
    <w:rsid w:val="001E08C2"/>
    <w:rsid w:val="001E583C"/>
    <w:rsid w:val="001E5B9B"/>
    <w:rsid w:val="001E7BC9"/>
    <w:rsid w:val="001F1E10"/>
    <w:rsid w:val="0020317C"/>
    <w:rsid w:val="00222A81"/>
    <w:rsid w:val="002274E4"/>
    <w:rsid w:val="00234EC0"/>
    <w:rsid w:val="002404FF"/>
    <w:rsid w:val="00255B37"/>
    <w:rsid w:val="002600CC"/>
    <w:rsid w:val="00261E03"/>
    <w:rsid w:val="00275F0C"/>
    <w:rsid w:val="00280D0C"/>
    <w:rsid w:val="00282D50"/>
    <w:rsid w:val="00287838"/>
    <w:rsid w:val="002928BC"/>
    <w:rsid w:val="002A5B76"/>
    <w:rsid w:val="002A6CC9"/>
    <w:rsid w:val="002B1633"/>
    <w:rsid w:val="002C3F4E"/>
    <w:rsid w:val="002C410F"/>
    <w:rsid w:val="002C6CA5"/>
    <w:rsid w:val="002D3C91"/>
    <w:rsid w:val="002D4950"/>
    <w:rsid w:val="002D6C4F"/>
    <w:rsid w:val="002E0D12"/>
    <w:rsid w:val="002F1313"/>
    <w:rsid w:val="003008DC"/>
    <w:rsid w:val="003027DC"/>
    <w:rsid w:val="003049BE"/>
    <w:rsid w:val="00307F8D"/>
    <w:rsid w:val="003132AD"/>
    <w:rsid w:val="00315B00"/>
    <w:rsid w:val="00322461"/>
    <w:rsid w:val="00322DDD"/>
    <w:rsid w:val="00324A4C"/>
    <w:rsid w:val="00327837"/>
    <w:rsid w:val="00331BB5"/>
    <w:rsid w:val="00335439"/>
    <w:rsid w:val="00335A2A"/>
    <w:rsid w:val="00342467"/>
    <w:rsid w:val="00347C91"/>
    <w:rsid w:val="00355DF3"/>
    <w:rsid w:val="003643AD"/>
    <w:rsid w:val="0036791E"/>
    <w:rsid w:val="00373820"/>
    <w:rsid w:val="00374BB1"/>
    <w:rsid w:val="003756F7"/>
    <w:rsid w:val="003760A2"/>
    <w:rsid w:val="00386084"/>
    <w:rsid w:val="00391E19"/>
    <w:rsid w:val="003A1600"/>
    <w:rsid w:val="003A307B"/>
    <w:rsid w:val="003A30B9"/>
    <w:rsid w:val="003B1599"/>
    <w:rsid w:val="003B501E"/>
    <w:rsid w:val="003B6714"/>
    <w:rsid w:val="003C2CF1"/>
    <w:rsid w:val="003C5ADA"/>
    <w:rsid w:val="003D25BB"/>
    <w:rsid w:val="003D47A4"/>
    <w:rsid w:val="003D6833"/>
    <w:rsid w:val="003E3BFA"/>
    <w:rsid w:val="00434C91"/>
    <w:rsid w:val="004417CF"/>
    <w:rsid w:val="00453174"/>
    <w:rsid w:val="00455D4E"/>
    <w:rsid w:val="00456F73"/>
    <w:rsid w:val="00457CE3"/>
    <w:rsid w:val="0046496D"/>
    <w:rsid w:val="00484BE0"/>
    <w:rsid w:val="0048574D"/>
    <w:rsid w:val="00493E38"/>
    <w:rsid w:val="004A0EC7"/>
    <w:rsid w:val="004B02C3"/>
    <w:rsid w:val="004B1311"/>
    <w:rsid w:val="004C14D8"/>
    <w:rsid w:val="004C2360"/>
    <w:rsid w:val="004C45A2"/>
    <w:rsid w:val="004C7D29"/>
    <w:rsid w:val="004E5CF1"/>
    <w:rsid w:val="004F268E"/>
    <w:rsid w:val="00501FDF"/>
    <w:rsid w:val="00506918"/>
    <w:rsid w:val="005071F2"/>
    <w:rsid w:val="00507D9C"/>
    <w:rsid w:val="00510634"/>
    <w:rsid w:val="0051201D"/>
    <w:rsid w:val="0052333A"/>
    <w:rsid w:val="005251C3"/>
    <w:rsid w:val="005255AF"/>
    <w:rsid w:val="00542FD8"/>
    <w:rsid w:val="005435E5"/>
    <w:rsid w:val="0057073C"/>
    <w:rsid w:val="0058391A"/>
    <w:rsid w:val="0058419F"/>
    <w:rsid w:val="005A0FD8"/>
    <w:rsid w:val="005A13EE"/>
    <w:rsid w:val="005A3142"/>
    <w:rsid w:val="005A6451"/>
    <w:rsid w:val="005B017A"/>
    <w:rsid w:val="005B3F61"/>
    <w:rsid w:val="005C58A0"/>
    <w:rsid w:val="005D14D9"/>
    <w:rsid w:val="005D1806"/>
    <w:rsid w:val="005D2FB3"/>
    <w:rsid w:val="005D66C8"/>
    <w:rsid w:val="005E0E03"/>
    <w:rsid w:val="005E0E62"/>
    <w:rsid w:val="005E6C9A"/>
    <w:rsid w:val="00604C41"/>
    <w:rsid w:val="006219C4"/>
    <w:rsid w:val="00621A46"/>
    <w:rsid w:val="0062586F"/>
    <w:rsid w:val="00625E67"/>
    <w:rsid w:val="00627052"/>
    <w:rsid w:val="006308E1"/>
    <w:rsid w:val="00632B91"/>
    <w:rsid w:val="006436DD"/>
    <w:rsid w:val="00650E65"/>
    <w:rsid w:val="00651A59"/>
    <w:rsid w:val="00655671"/>
    <w:rsid w:val="006604E1"/>
    <w:rsid w:val="00664EC0"/>
    <w:rsid w:val="00665640"/>
    <w:rsid w:val="006662B3"/>
    <w:rsid w:val="00676443"/>
    <w:rsid w:val="00677594"/>
    <w:rsid w:val="00681090"/>
    <w:rsid w:val="00682CAB"/>
    <w:rsid w:val="006836ED"/>
    <w:rsid w:val="006872C2"/>
    <w:rsid w:val="006972A8"/>
    <w:rsid w:val="00697CC5"/>
    <w:rsid w:val="006A3539"/>
    <w:rsid w:val="006B0102"/>
    <w:rsid w:val="006B0157"/>
    <w:rsid w:val="006B04E6"/>
    <w:rsid w:val="006B3C80"/>
    <w:rsid w:val="006C33EF"/>
    <w:rsid w:val="006D2FE9"/>
    <w:rsid w:val="006D40F3"/>
    <w:rsid w:val="006D6EAB"/>
    <w:rsid w:val="00700372"/>
    <w:rsid w:val="00700731"/>
    <w:rsid w:val="0070548C"/>
    <w:rsid w:val="00726339"/>
    <w:rsid w:val="00727293"/>
    <w:rsid w:val="00731D42"/>
    <w:rsid w:val="007340D9"/>
    <w:rsid w:val="0074569A"/>
    <w:rsid w:val="00762A22"/>
    <w:rsid w:val="00765EF4"/>
    <w:rsid w:val="00773827"/>
    <w:rsid w:val="00774419"/>
    <w:rsid w:val="007824E2"/>
    <w:rsid w:val="007876A6"/>
    <w:rsid w:val="00793415"/>
    <w:rsid w:val="007963A0"/>
    <w:rsid w:val="0079691B"/>
    <w:rsid w:val="00796B2E"/>
    <w:rsid w:val="007A611A"/>
    <w:rsid w:val="007B418C"/>
    <w:rsid w:val="007C1A49"/>
    <w:rsid w:val="007C33D0"/>
    <w:rsid w:val="007C48E5"/>
    <w:rsid w:val="007C6274"/>
    <w:rsid w:val="007C70C3"/>
    <w:rsid w:val="007D57AB"/>
    <w:rsid w:val="007D79CD"/>
    <w:rsid w:val="007E4FDF"/>
    <w:rsid w:val="007F1B2B"/>
    <w:rsid w:val="008003AE"/>
    <w:rsid w:val="008024FD"/>
    <w:rsid w:val="0080578C"/>
    <w:rsid w:val="00807C7E"/>
    <w:rsid w:val="00813E94"/>
    <w:rsid w:val="00820754"/>
    <w:rsid w:val="00834329"/>
    <w:rsid w:val="0084446F"/>
    <w:rsid w:val="00861888"/>
    <w:rsid w:val="00863F8D"/>
    <w:rsid w:val="008645FC"/>
    <w:rsid w:val="0089021D"/>
    <w:rsid w:val="008B3C9D"/>
    <w:rsid w:val="008C19D8"/>
    <w:rsid w:val="008C402C"/>
    <w:rsid w:val="008C45B4"/>
    <w:rsid w:val="008C583C"/>
    <w:rsid w:val="008F27ED"/>
    <w:rsid w:val="00915B27"/>
    <w:rsid w:val="0092572B"/>
    <w:rsid w:val="009310FD"/>
    <w:rsid w:val="00935A6F"/>
    <w:rsid w:val="00937187"/>
    <w:rsid w:val="00937783"/>
    <w:rsid w:val="00953439"/>
    <w:rsid w:val="00955B9D"/>
    <w:rsid w:val="00957E7E"/>
    <w:rsid w:val="00961201"/>
    <w:rsid w:val="00966127"/>
    <w:rsid w:val="00970F68"/>
    <w:rsid w:val="009763A1"/>
    <w:rsid w:val="00976DDD"/>
    <w:rsid w:val="0098224D"/>
    <w:rsid w:val="009879C3"/>
    <w:rsid w:val="009964F6"/>
    <w:rsid w:val="00996F53"/>
    <w:rsid w:val="009A53D3"/>
    <w:rsid w:val="009B10CC"/>
    <w:rsid w:val="009B145C"/>
    <w:rsid w:val="009B39C0"/>
    <w:rsid w:val="009C09C0"/>
    <w:rsid w:val="009C1948"/>
    <w:rsid w:val="009C4001"/>
    <w:rsid w:val="009C4CEF"/>
    <w:rsid w:val="009C5E22"/>
    <w:rsid w:val="009D41B7"/>
    <w:rsid w:val="009D5031"/>
    <w:rsid w:val="009F3629"/>
    <w:rsid w:val="00A02B20"/>
    <w:rsid w:val="00A12699"/>
    <w:rsid w:val="00A1611E"/>
    <w:rsid w:val="00A33474"/>
    <w:rsid w:val="00A36B3D"/>
    <w:rsid w:val="00A449C1"/>
    <w:rsid w:val="00A468E1"/>
    <w:rsid w:val="00A5153E"/>
    <w:rsid w:val="00A64FB3"/>
    <w:rsid w:val="00A7073C"/>
    <w:rsid w:val="00A7233B"/>
    <w:rsid w:val="00A833BA"/>
    <w:rsid w:val="00A93343"/>
    <w:rsid w:val="00A94E64"/>
    <w:rsid w:val="00A959A3"/>
    <w:rsid w:val="00A95E4A"/>
    <w:rsid w:val="00AA15A4"/>
    <w:rsid w:val="00AB5588"/>
    <w:rsid w:val="00AC6DA6"/>
    <w:rsid w:val="00AD29C0"/>
    <w:rsid w:val="00AD793C"/>
    <w:rsid w:val="00AE556C"/>
    <w:rsid w:val="00AE77DB"/>
    <w:rsid w:val="00AF3F1F"/>
    <w:rsid w:val="00AF6CD8"/>
    <w:rsid w:val="00B0281B"/>
    <w:rsid w:val="00B0342D"/>
    <w:rsid w:val="00B15958"/>
    <w:rsid w:val="00B15C37"/>
    <w:rsid w:val="00B23D1E"/>
    <w:rsid w:val="00B24AC5"/>
    <w:rsid w:val="00B31614"/>
    <w:rsid w:val="00B435BD"/>
    <w:rsid w:val="00B53C21"/>
    <w:rsid w:val="00B60503"/>
    <w:rsid w:val="00B70CEE"/>
    <w:rsid w:val="00B741A8"/>
    <w:rsid w:val="00B8624A"/>
    <w:rsid w:val="00B9264A"/>
    <w:rsid w:val="00BA34D2"/>
    <w:rsid w:val="00BB7B76"/>
    <w:rsid w:val="00BC2D1A"/>
    <w:rsid w:val="00BC7BD7"/>
    <w:rsid w:val="00BD4C09"/>
    <w:rsid w:val="00BE2044"/>
    <w:rsid w:val="00BE3721"/>
    <w:rsid w:val="00BE78E1"/>
    <w:rsid w:val="00BF4C90"/>
    <w:rsid w:val="00C03B44"/>
    <w:rsid w:val="00C05A97"/>
    <w:rsid w:val="00C11D0F"/>
    <w:rsid w:val="00C13954"/>
    <w:rsid w:val="00C21427"/>
    <w:rsid w:val="00C3179C"/>
    <w:rsid w:val="00C3408F"/>
    <w:rsid w:val="00C34761"/>
    <w:rsid w:val="00C4620C"/>
    <w:rsid w:val="00C600D7"/>
    <w:rsid w:val="00C62885"/>
    <w:rsid w:val="00C62EE5"/>
    <w:rsid w:val="00C63D78"/>
    <w:rsid w:val="00C64A28"/>
    <w:rsid w:val="00CA098D"/>
    <w:rsid w:val="00CA15F1"/>
    <w:rsid w:val="00CA362C"/>
    <w:rsid w:val="00CA650F"/>
    <w:rsid w:val="00CB225E"/>
    <w:rsid w:val="00CB3245"/>
    <w:rsid w:val="00CB46BC"/>
    <w:rsid w:val="00CC5EF0"/>
    <w:rsid w:val="00CD1C10"/>
    <w:rsid w:val="00CD2AAD"/>
    <w:rsid w:val="00CE3A51"/>
    <w:rsid w:val="00CF0151"/>
    <w:rsid w:val="00CF1FE5"/>
    <w:rsid w:val="00CF4282"/>
    <w:rsid w:val="00D16EE6"/>
    <w:rsid w:val="00D3302C"/>
    <w:rsid w:val="00D33C83"/>
    <w:rsid w:val="00D505C1"/>
    <w:rsid w:val="00D510AB"/>
    <w:rsid w:val="00D5312D"/>
    <w:rsid w:val="00D5624F"/>
    <w:rsid w:val="00D60DB8"/>
    <w:rsid w:val="00D757AD"/>
    <w:rsid w:val="00D95799"/>
    <w:rsid w:val="00DA3FD6"/>
    <w:rsid w:val="00DB014F"/>
    <w:rsid w:val="00DB6A7E"/>
    <w:rsid w:val="00DC51C6"/>
    <w:rsid w:val="00DC6A76"/>
    <w:rsid w:val="00DE51AB"/>
    <w:rsid w:val="00DF3839"/>
    <w:rsid w:val="00DF3FAA"/>
    <w:rsid w:val="00E05FEE"/>
    <w:rsid w:val="00E063C7"/>
    <w:rsid w:val="00E25F12"/>
    <w:rsid w:val="00E33696"/>
    <w:rsid w:val="00E37F60"/>
    <w:rsid w:val="00E45FFC"/>
    <w:rsid w:val="00E47C70"/>
    <w:rsid w:val="00E552B4"/>
    <w:rsid w:val="00E615E5"/>
    <w:rsid w:val="00E63ED5"/>
    <w:rsid w:val="00E67AB2"/>
    <w:rsid w:val="00E72DBF"/>
    <w:rsid w:val="00E779F1"/>
    <w:rsid w:val="00E77E9E"/>
    <w:rsid w:val="00E80A3A"/>
    <w:rsid w:val="00E86E47"/>
    <w:rsid w:val="00E97251"/>
    <w:rsid w:val="00E97AD8"/>
    <w:rsid w:val="00EA3FD4"/>
    <w:rsid w:val="00EB036E"/>
    <w:rsid w:val="00EB2A9A"/>
    <w:rsid w:val="00EB3990"/>
    <w:rsid w:val="00EB3C28"/>
    <w:rsid w:val="00EB4DF4"/>
    <w:rsid w:val="00ED46BB"/>
    <w:rsid w:val="00ED6406"/>
    <w:rsid w:val="00ED6762"/>
    <w:rsid w:val="00EE22EE"/>
    <w:rsid w:val="00F042BD"/>
    <w:rsid w:val="00F045A1"/>
    <w:rsid w:val="00F075D3"/>
    <w:rsid w:val="00F11DC8"/>
    <w:rsid w:val="00F129DD"/>
    <w:rsid w:val="00F37C52"/>
    <w:rsid w:val="00F429EE"/>
    <w:rsid w:val="00F438A5"/>
    <w:rsid w:val="00F56440"/>
    <w:rsid w:val="00F57E62"/>
    <w:rsid w:val="00F663EA"/>
    <w:rsid w:val="00F715E3"/>
    <w:rsid w:val="00F71A13"/>
    <w:rsid w:val="00F727D8"/>
    <w:rsid w:val="00F81087"/>
    <w:rsid w:val="00F91C1F"/>
    <w:rsid w:val="00F96274"/>
    <w:rsid w:val="00F964CB"/>
    <w:rsid w:val="00F9745F"/>
    <w:rsid w:val="00FB677D"/>
    <w:rsid w:val="00FC29CD"/>
    <w:rsid w:val="00FE0D08"/>
    <w:rsid w:val="00FE2669"/>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27"/>
    <w:pPr>
      <w:widowControl w:val="0"/>
    </w:pPr>
    <w:rPr>
      <w:rFonts w:ascii="Courier" w:hAnsi="Courier"/>
      <w:snapToGrid w:val="0"/>
      <w:sz w:val="24"/>
    </w:rPr>
  </w:style>
  <w:style w:type="paragraph" w:styleId="Heading1">
    <w:name w:val="heading 1"/>
    <w:basedOn w:val="Normal"/>
    <w:next w:val="Normal"/>
    <w:qFormat/>
    <w:rsid w:val="00915B27"/>
    <w:pPr>
      <w:keepNext/>
      <w:widowControl/>
      <w:outlineLvl w:val="0"/>
    </w:pPr>
    <w:rPr>
      <w:rFonts w:ascii="Times" w:hAnsi="Times"/>
      <w:b/>
    </w:rPr>
  </w:style>
  <w:style w:type="paragraph" w:styleId="Heading2">
    <w:name w:val="heading 2"/>
    <w:basedOn w:val="Normal"/>
    <w:next w:val="Normal"/>
    <w:qFormat/>
    <w:rsid w:val="00915B27"/>
    <w:pPr>
      <w:keepNext/>
      <w:widowControl/>
      <w:ind w:firstLine="720"/>
      <w:outlineLvl w:val="1"/>
    </w:pPr>
    <w:rPr>
      <w:rFonts w:ascii="Times New Roman" w:hAnsi="Times New Roman"/>
      <w:b/>
    </w:rPr>
  </w:style>
  <w:style w:type="paragraph" w:styleId="Heading3">
    <w:name w:val="heading 3"/>
    <w:basedOn w:val="Normal"/>
    <w:next w:val="Normal"/>
    <w:qFormat/>
    <w:rsid w:val="00915B27"/>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5B27"/>
    <w:rPr>
      <w:rFonts w:ascii="Times New Roman" w:hAnsi="Times New Roman"/>
    </w:rPr>
  </w:style>
  <w:style w:type="paragraph" w:styleId="FootnoteText">
    <w:name w:val="footnote text"/>
    <w:basedOn w:val="Normal"/>
    <w:link w:val="FootnoteTextChar"/>
    <w:semiHidden/>
    <w:rsid w:val="00915B27"/>
    <w:rPr>
      <w:sz w:val="20"/>
    </w:rPr>
  </w:style>
  <w:style w:type="paragraph" w:styleId="BodyTextIndent">
    <w:name w:val="Body Text Indent"/>
    <w:basedOn w:val="Normal"/>
    <w:rsid w:val="00915B27"/>
    <w:pPr>
      <w:spacing w:after="240"/>
      <w:ind w:firstLine="720"/>
    </w:pPr>
    <w:rPr>
      <w:rFonts w:ascii="Times New Roman" w:hAnsi="Times New Roman"/>
    </w:rPr>
  </w:style>
  <w:style w:type="paragraph" w:styleId="Header">
    <w:name w:val="header"/>
    <w:basedOn w:val="Normal"/>
    <w:link w:val="HeaderChar"/>
    <w:uiPriority w:val="99"/>
    <w:rsid w:val="00915B27"/>
    <w:pPr>
      <w:tabs>
        <w:tab w:val="center" w:pos="4320"/>
        <w:tab w:val="right" w:pos="8640"/>
      </w:tabs>
    </w:pPr>
  </w:style>
  <w:style w:type="paragraph" w:styleId="Footer">
    <w:name w:val="footer"/>
    <w:basedOn w:val="Normal"/>
    <w:link w:val="FooterChar"/>
    <w:uiPriority w:val="99"/>
    <w:rsid w:val="00915B27"/>
    <w:pPr>
      <w:tabs>
        <w:tab w:val="center" w:pos="4320"/>
        <w:tab w:val="right" w:pos="8640"/>
      </w:tabs>
    </w:pPr>
  </w:style>
  <w:style w:type="character" w:styleId="PageNumber">
    <w:name w:val="page number"/>
    <w:basedOn w:val="DefaultParagraphFont"/>
    <w:rsid w:val="00915B27"/>
  </w:style>
  <w:style w:type="paragraph" w:styleId="DocumentMap">
    <w:name w:val="Document Map"/>
    <w:basedOn w:val="Normal"/>
    <w:semiHidden/>
    <w:rsid w:val="00915B27"/>
    <w:pPr>
      <w:shd w:val="clear" w:color="auto" w:fill="000080"/>
    </w:pPr>
    <w:rPr>
      <w:rFonts w:ascii="Tahoma" w:hAnsi="Tahoma"/>
    </w:rPr>
  </w:style>
  <w:style w:type="paragraph" w:styleId="BodyTextIndent3">
    <w:name w:val="Body Text Indent 3"/>
    <w:basedOn w:val="Normal"/>
    <w:rsid w:val="00915B27"/>
    <w:pPr>
      <w:autoSpaceDE w:val="0"/>
      <w:autoSpaceDN w:val="0"/>
      <w:adjustRightInd w:val="0"/>
      <w:ind w:firstLine="720"/>
      <w:jc w:val="both"/>
    </w:pPr>
    <w:rPr>
      <w:rFonts w:ascii="Times New Roman" w:hAnsi="Times New Roman"/>
      <w:snapToGrid/>
      <w:color w:val="000000"/>
      <w:szCs w:val="24"/>
    </w:rPr>
  </w:style>
  <w:style w:type="paragraph" w:styleId="BalloonText">
    <w:name w:val="Balloon Text"/>
    <w:basedOn w:val="Normal"/>
    <w:semiHidden/>
    <w:rsid w:val="00C62EE5"/>
    <w:rPr>
      <w:rFonts w:ascii="Tahoma" w:hAnsi="Tahoma" w:cs="Tahoma"/>
      <w:sz w:val="16"/>
      <w:szCs w:val="16"/>
    </w:rPr>
  </w:style>
  <w:style w:type="table" w:styleId="TableGrid">
    <w:name w:val="Table Grid"/>
    <w:basedOn w:val="TableNormal"/>
    <w:rsid w:val="00191D1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2A6CC9"/>
    <w:rPr>
      <w:sz w:val="16"/>
      <w:szCs w:val="16"/>
    </w:rPr>
  </w:style>
  <w:style w:type="paragraph" w:styleId="CommentText">
    <w:name w:val="annotation text"/>
    <w:basedOn w:val="Normal"/>
    <w:link w:val="CommentTextChar"/>
    <w:uiPriority w:val="99"/>
    <w:unhideWhenUsed/>
    <w:rsid w:val="002A6CC9"/>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rsid w:val="002A6CC9"/>
  </w:style>
  <w:style w:type="character" w:customStyle="1" w:styleId="FootnoteTextChar">
    <w:name w:val="Footnote Text Char"/>
    <w:basedOn w:val="DefaultParagraphFont"/>
    <w:link w:val="FootnoteText"/>
    <w:semiHidden/>
    <w:rsid w:val="002A6CC9"/>
    <w:rPr>
      <w:rFonts w:ascii="Courier" w:hAnsi="Courier"/>
      <w:snapToGrid w:val="0"/>
    </w:rPr>
  </w:style>
  <w:style w:type="paragraph" w:styleId="ListParagraph">
    <w:name w:val="List Paragraph"/>
    <w:basedOn w:val="Normal"/>
    <w:uiPriority w:val="34"/>
    <w:qFormat/>
    <w:rsid w:val="002A6CC9"/>
    <w:pPr>
      <w:widowControl/>
      <w:ind w:left="720"/>
      <w:contextualSpacing/>
    </w:pPr>
    <w:rPr>
      <w:rFonts w:ascii="Times New Roman" w:hAnsi="Times New Roman"/>
      <w:snapToGrid/>
      <w:szCs w:val="24"/>
    </w:rPr>
  </w:style>
  <w:style w:type="character" w:customStyle="1" w:styleId="FooterChar">
    <w:name w:val="Footer Char"/>
    <w:basedOn w:val="DefaultParagraphFont"/>
    <w:link w:val="Footer"/>
    <w:uiPriority w:val="99"/>
    <w:rsid w:val="00386084"/>
    <w:rPr>
      <w:rFonts w:ascii="Courier" w:hAnsi="Courier"/>
      <w:snapToGrid w:val="0"/>
      <w:sz w:val="24"/>
    </w:rPr>
  </w:style>
  <w:style w:type="paragraph" w:styleId="CommentSubject">
    <w:name w:val="annotation subject"/>
    <w:basedOn w:val="CommentText"/>
    <w:next w:val="CommentText"/>
    <w:link w:val="CommentSubjectChar"/>
    <w:uiPriority w:val="99"/>
    <w:semiHidden/>
    <w:unhideWhenUsed/>
    <w:rsid w:val="0036791E"/>
    <w:pPr>
      <w:widowControl w:val="0"/>
    </w:pPr>
    <w:rPr>
      <w:rFonts w:ascii="Courier" w:hAnsi="Courier"/>
      <w:b/>
      <w:bCs/>
      <w:snapToGrid w:val="0"/>
    </w:rPr>
  </w:style>
  <w:style w:type="character" w:customStyle="1" w:styleId="CommentSubjectChar">
    <w:name w:val="Comment Subject Char"/>
    <w:basedOn w:val="CommentTextChar"/>
    <w:link w:val="CommentSubject"/>
    <w:uiPriority w:val="99"/>
    <w:semiHidden/>
    <w:rsid w:val="0036791E"/>
    <w:rPr>
      <w:rFonts w:ascii="Courier" w:hAnsi="Courier"/>
      <w:b/>
      <w:bCs/>
      <w:snapToGrid w:val="0"/>
    </w:rPr>
  </w:style>
  <w:style w:type="character" w:styleId="Hyperlink">
    <w:name w:val="Hyperlink"/>
    <w:basedOn w:val="DefaultParagraphFont"/>
    <w:rsid w:val="0036791E"/>
    <w:rPr>
      <w:color w:val="0000FF"/>
      <w:u w:val="single"/>
    </w:rPr>
  </w:style>
  <w:style w:type="paragraph" w:styleId="NoSpacing">
    <w:name w:val="No Spacing"/>
    <w:uiPriority w:val="99"/>
    <w:qFormat/>
    <w:rsid w:val="00AA15A4"/>
    <w:rPr>
      <w:rFonts w:ascii="Calibri" w:hAnsi="Calibri"/>
      <w:sz w:val="22"/>
      <w:szCs w:val="22"/>
    </w:rPr>
  </w:style>
  <w:style w:type="character" w:customStyle="1" w:styleId="HeaderChar">
    <w:name w:val="Header Char"/>
    <w:basedOn w:val="DefaultParagraphFont"/>
    <w:link w:val="Header"/>
    <w:uiPriority w:val="99"/>
    <w:rsid w:val="003008DC"/>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27"/>
    <w:pPr>
      <w:widowControl w:val="0"/>
    </w:pPr>
    <w:rPr>
      <w:rFonts w:ascii="Courier" w:hAnsi="Courier"/>
      <w:snapToGrid w:val="0"/>
      <w:sz w:val="24"/>
    </w:rPr>
  </w:style>
  <w:style w:type="paragraph" w:styleId="Heading1">
    <w:name w:val="heading 1"/>
    <w:basedOn w:val="Normal"/>
    <w:next w:val="Normal"/>
    <w:qFormat/>
    <w:rsid w:val="00915B27"/>
    <w:pPr>
      <w:keepNext/>
      <w:widowControl/>
      <w:outlineLvl w:val="0"/>
    </w:pPr>
    <w:rPr>
      <w:rFonts w:ascii="Times" w:hAnsi="Times"/>
      <w:b/>
    </w:rPr>
  </w:style>
  <w:style w:type="paragraph" w:styleId="Heading2">
    <w:name w:val="heading 2"/>
    <w:basedOn w:val="Normal"/>
    <w:next w:val="Normal"/>
    <w:qFormat/>
    <w:rsid w:val="00915B27"/>
    <w:pPr>
      <w:keepNext/>
      <w:widowControl/>
      <w:ind w:firstLine="720"/>
      <w:outlineLvl w:val="1"/>
    </w:pPr>
    <w:rPr>
      <w:rFonts w:ascii="Times New Roman" w:hAnsi="Times New Roman"/>
      <w:b/>
    </w:rPr>
  </w:style>
  <w:style w:type="paragraph" w:styleId="Heading3">
    <w:name w:val="heading 3"/>
    <w:basedOn w:val="Normal"/>
    <w:next w:val="Normal"/>
    <w:qFormat/>
    <w:rsid w:val="00915B27"/>
    <w:pPr>
      <w:keepNext/>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i/>
      <w:i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5B27"/>
    <w:rPr>
      <w:rFonts w:ascii="Times New Roman" w:hAnsi="Times New Roman"/>
    </w:rPr>
  </w:style>
  <w:style w:type="paragraph" w:styleId="FootnoteText">
    <w:name w:val="footnote text"/>
    <w:basedOn w:val="Normal"/>
    <w:link w:val="FootnoteTextChar"/>
    <w:semiHidden/>
    <w:rsid w:val="00915B27"/>
    <w:rPr>
      <w:sz w:val="20"/>
    </w:rPr>
  </w:style>
  <w:style w:type="paragraph" w:styleId="BodyTextIndent">
    <w:name w:val="Body Text Indent"/>
    <w:basedOn w:val="Normal"/>
    <w:rsid w:val="00915B27"/>
    <w:pPr>
      <w:spacing w:after="240"/>
      <w:ind w:firstLine="720"/>
    </w:pPr>
    <w:rPr>
      <w:rFonts w:ascii="Times New Roman" w:hAnsi="Times New Roman"/>
    </w:rPr>
  </w:style>
  <w:style w:type="paragraph" w:styleId="Header">
    <w:name w:val="header"/>
    <w:basedOn w:val="Normal"/>
    <w:link w:val="HeaderChar"/>
    <w:uiPriority w:val="99"/>
    <w:rsid w:val="00915B27"/>
    <w:pPr>
      <w:tabs>
        <w:tab w:val="center" w:pos="4320"/>
        <w:tab w:val="right" w:pos="8640"/>
      </w:tabs>
    </w:pPr>
  </w:style>
  <w:style w:type="paragraph" w:styleId="Footer">
    <w:name w:val="footer"/>
    <w:basedOn w:val="Normal"/>
    <w:link w:val="FooterChar"/>
    <w:uiPriority w:val="99"/>
    <w:rsid w:val="00915B27"/>
    <w:pPr>
      <w:tabs>
        <w:tab w:val="center" w:pos="4320"/>
        <w:tab w:val="right" w:pos="8640"/>
      </w:tabs>
    </w:pPr>
  </w:style>
  <w:style w:type="character" w:styleId="PageNumber">
    <w:name w:val="page number"/>
    <w:basedOn w:val="DefaultParagraphFont"/>
    <w:rsid w:val="00915B27"/>
  </w:style>
  <w:style w:type="paragraph" w:styleId="DocumentMap">
    <w:name w:val="Document Map"/>
    <w:basedOn w:val="Normal"/>
    <w:semiHidden/>
    <w:rsid w:val="00915B27"/>
    <w:pPr>
      <w:shd w:val="clear" w:color="auto" w:fill="000080"/>
    </w:pPr>
    <w:rPr>
      <w:rFonts w:ascii="Tahoma" w:hAnsi="Tahoma"/>
    </w:rPr>
  </w:style>
  <w:style w:type="paragraph" w:styleId="BodyTextIndent3">
    <w:name w:val="Body Text Indent 3"/>
    <w:basedOn w:val="Normal"/>
    <w:rsid w:val="00915B27"/>
    <w:pPr>
      <w:autoSpaceDE w:val="0"/>
      <w:autoSpaceDN w:val="0"/>
      <w:adjustRightInd w:val="0"/>
      <w:ind w:firstLine="720"/>
      <w:jc w:val="both"/>
    </w:pPr>
    <w:rPr>
      <w:rFonts w:ascii="Times New Roman" w:hAnsi="Times New Roman"/>
      <w:snapToGrid/>
      <w:color w:val="000000"/>
      <w:szCs w:val="24"/>
    </w:rPr>
  </w:style>
  <w:style w:type="paragraph" w:styleId="BalloonText">
    <w:name w:val="Balloon Text"/>
    <w:basedOn w:val="Normal"/>
    <w:semiHidden/>
    <w:rsid w:val="00C62EE5"/>
    <w:rPr>
      <w:rFonts w:ascii="Tahoma" w:hAnsi="Tahoma" w:cs="Tahoma"/>
      <w:sz w:val="16"/>
      <w:szCs w:val="16"/>
    </w:rPr>
  </w:style>
  <w:style w:type="table" w:styleId="TableGrid">
    <w:name w:val="Table Grid"/>
    <w:basedOn w:val="TableNormal"/>
    <w:rsid w:val="00191D1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2A6CC9"/>
    <w:rPr>
      <w:sz w:val="16"/>
      <w:szCs w:val="16"/>
    </w:rPr>
  </w:style>
  <w:style w:type="paragraph" w:styleId="CommentText">
    <w:name w:val="annotation text"/>
    <w:basedOn w:val="Normal"/>
    <w:link w:val="CommentTextChar"/>
    <w:uiPriority w:val="99"/>
    <w:unhideWhenUsed/>
    <w:rsid w:val="002A6CC9"/>
    <w:pPr>
      <w:widowControl/>
    </w:pPr>
    <w:rPr>
      <w:rFonts w:ascii="Times New Roman" w:hAnsi="Times New Roman"/>
      <w:snapToGrid/>
      <w:sz w:val="20"/>
    </w:rPr>
  </w:style>
  <w:style w:type="character" w:customStyle="1" w:styleId="CommentTextChar">
    <w:name w:val="Comment Text Char"/>
    <w:basedOn w:val="DefaultParagraphFont"/>
    <w:link w:val="CommentText"/>
    <w:uiPriority w:val="99"/>
    <w:rsid w:val="002A6CC9"/>
  </w:style>
  <w:style w:type="character" w:customStyle="1" w:styleId="FootnoteTextChar">
    <w:name w:val="Footnote Text Char"/>
    <w:basedOn w:val="DefaultParagraphFont"/>
    <w:link w:val="FootnoteText"/>
    <w:semiHidden/>
    <w:rsid w:val="002A6CC9"/>
    <w:rPr>
      <w:rFonts w:ascii="Courier" w:hAnsi="Courier"/>
      <w:snapToGrid w:val="0"/>
    </w:rPr>
  </w:style>
  <w:style w:type="paragraph" w:styleId="ListParagraph">
    <w:name w:val="List Paragraph"/>
    <w:basedOn w:val="Normal"/>
    <w:uiPriority w:val="34"/>
    <w:qFormat/>
    <w:rsid w:val="002A6CC9"/>
    <w:pPr>
      <w:widowControl/>
      <w:ind w:left="720"/>
      <w:contextualSpacing/>
    </w:pPr>
    <w:rPr>
      <w:rFonts w:ascii="Times New Roman" w:hAnsi="Times New Roman"/>
      <w:snapToGrid/>
      <w:szCs w:val="24"/>
    </w:rPr>
  </w:style>
  <w:style w:type="character" w:customStyle="1" w:styleId="FooterChar">
    <w:name w:val="Footer Char"/>
    <w:basedOn w:val="DefaultParagraphFont"/>
    <w:link w:val="Footer"/>
    <w:uiPriority w:val="99"/>
    <w:rsid w:val="00386084"/>
    <w:rPr>
      <w:rFonts w:ascii="Courier" w:hAnsi="Courier"/>
      <w:snapToGrid w:val="0"/>
      <w:sz w:val="24"/>
    </w:rPr>
  </w:style>
  <w:style w:type="paragraph" w:styleId="CommentSubject">
    <w:name w:val="annotation subject"/>
    <w:basedOn w:val="CommentText"/>
    <w:next w:val="CommentText"/>
    <w:link w:val="CommentSubjectChar"/>
    <w:uiPriority w:val="99"/>
    <w:semiHidden/>
    <w:unhideWhenUsed/>
    <w:rsid w:val="0036791E"/>
    <w:pPr>
      <w:widowControl w:val="0"/>
    </w:pPr>
    <w:rPr>
      <w:rFonts w:ascii="Courier" w:hAnsi="Courier"/>
      <w:b/>
      <w:bCs/>
      <w:snapToGrid w:val="0"/>
    </w:rPr>
  </w:style>
  <w:style w:type="character" w:customStyle="1" w:styleId="CommentSubjectChar">
    <w:name w:val="Comment Subject Char"/>
    <w:basedOn w:val="CommentTextChar"/>
    <w:link w:val="CommentSubject"/>
    <w:uiPriority w:val="99"/>
    <w:semiHidden/>
    <w:rsid w:val="0036791E"/>
    <w:rPr>
      <w:rFonts w:ascii="Courier" w:hAnsi="Courier"/>
      <w:b/>
      <w:bCs/>
      <w:snapToGrid w:val="0"/>
    </w:rPr>
  </w:style>
  <w:style w:type="character" w:styleId="Hyperlink">
    <w:name w:val="Hyperlink"/>
    <w:basedOn w:val="DefaultParagraphFont"/>
    <w:rsid w:val="0036791E"/>
    <w:rPr>
      <w:color w:val="0000FF"/>
      <w:u w:val="single"/>
    </w:rPr>
  </w:style>
  <w:style w:type="paragraph" w:styleId="NoSpacing">
    <w:name w:val="No Spacing"/>
    <w:uiPriority w:val="99"/>
    <w:qFormat/>
    <w:rsid w:val="00AA15A4"/>
    <w:rPr>
      <w:rFonts w:ascii="Calibri" w:hAnsi="Calibri"/>
      <w:sz w:val="22"/>
      <w:szCs w:val="22"/>
    </w:rPr>
  </w:style>
  <w:style w:type="character" w:customStyle="1" w:styleId="HeaderChar">
    <w:name w:val="Header Char"/>
    <w:basedOn w:val="DefaultParagraphFont"/>
    <w:link w:val="Header"/>
    <w:uiPriority w:val="99"/>
    <w:rsid w:val="003008D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F70C6-F019-4368-B214-37A42ED7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57EC0D7</Template>
  <TotalTime>37</TotalTime>
  <Pages>5</Pages>
  <Words>1938</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FRB _ C&amp;CA</Company>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m1met00</dc:creator>
  <cp:lastModifiedBy>John A. Schmidt</cp:lastModifiedBy>
  <cp:revision>8</cp:revision>
  <cp:lastPrinted>2013-03-22T14:25:00Z</cp:lastPrinted>
  <dcterms:created xsi:type="dcterms:W3CDTF">2013-05-29T19:36:00Z</dcterms:created>
  <dcterms:modified xsi:type="dcterms:W3CDTF">2013-05-30T12:12:00Z</dcterms:modified>
</cp:coreProperties>
</file>