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F1" w:rsidRPr="007C69A6" w:rsidRDefault="001E2CF1" w:rsidP="004F4566">
      <w:pPr>
        <w:pStyle w:val="CoverTextRed16pt"/>
        <w:tabs>
          <w:tab w:val="clear" w:pos="6660"/>
          <w:tab w:val="left" w:pos="5580"/>
        </w:tabs>
        <w:ind w:left="5580" w:right="360"/>
        <w:rPr>
          <w:noProof/>
        </w:rPr>
      </w:pPr>
      <w:r w:rsidRPr="007C69A6">
        <w:rPr>
          <w:noProof/>
        </w:rPr>
        <w:drawing>
          <wp:anchor distT="0" distB="0" distL="114300" distR="114300" simplePos="0" relativeHeight="251664384" behindDoc="0" locked="0" layoutInCell="1" allowOverlap="1">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6340" cy="1196340"/>
                    </a:xfrm>
                    <a:prstGeom prst="rect">
                      <a:avLst/>
                    </a:prstGeom>
                    <a:noFill/>
                    <a:ln>
                      <a:noFill/>
                    </a:ln>
                  </pic:spPr>
                </pic:pic>
              </a:graphicData>
            </a:graphic>
          </wp:anchor>
        </w:drawing>
      </w:r>
      <w:r w:rsidR="0009483E" w:rsidRPr="007C69A6">
        <w:rPr>
          <w:noProof/>
        </w:rPr>
        <w:t>OMB Submis</w:t>
      </w:r>
      <w:r w:rsidR="004B1702" w:rsidRPr="007C69A6">
        <w:rPr>
          <w:noProof/>
        </w:rPr>
        <w:t>sion</w:t>
      </w:r>
    </w:p>
    <w:p w:rsidR="00883197" w:rsidRPr="007C69A6" w:rsidRDefault="00883197" w:rsidP="004F4566">
      <w:pPr>
        <w:pStyle w:val="CoverTextRed16pt"/>
        <w:tabs>
          <w:tab w:val="clear" w:pos="6660"/>
          <w:tab w:val="left" w:pos="5580"/>
        </w:tabs>
        <w:ind w:left="5580" w:right="360"/>
        <w:rPr>
          <w:noProof/>
        </w:rPr>
      </w:pPr>
      <w:r w:rsidRPr="007C69A6">
        <w:rPr>
          <w:noProof/>
        </w:rPr>
        <w:t>(Part B)</w:t>
      </w:r>
    </w:p>
    <w:p w:rsidR="009565D4" w:rsidRPr="007C69A6" w:rsidRDefault="009565D4" w:rsidP="002069B7">
      <w:pPr>
        <w:pStyle w:val="CoverText-Address"/>
        <w:ind w:right="270"/>
        <w:rPr>
          <w:noProof/>
        </w:rPr>
      </w:pPr>
    </w:p>
    <w:p w:rsidR="009565D4" w:rsidRPr="007C69A6" w:rsidRDefault="009565D4" w:rsidP="002069B7">
      <w:pPr>
        <w:pStyle w:val="CoverText-Address"/>
        <w:ind w:right="270"/>
        <w:rPr>
          <w:noProof/>
        </w:rPr>
      </w:pPr>
    </w:p>
    <w:p w:rsidR="009565D4" w:rsidRPr="007C69A6" w:rsidRDefault="009565D4" w:rsidP="002069B7">
      <w:pPr>
        <w:pStyle w:val="CoverText-Address"/>
        <w:ind w:right="270"/>
        <w:rPr>
          <w:noProof/>
        </w:rPr>
      </w:pPr>
    </w:p>
    <w:p w:rsidR="009565D4" w:rsidRPr="007C69A6" w:rsidRDefault="004B1702" w:rsidP="004F4566">
      <w:pPr>
        <w:pStyle w:val="CoverTextRed16pt"/>
        <w:ind w:left="5580" w:right="360"/>
        <w:rPr>
          <w:noProof/>
        </w:rPr>
      </w:pPr>
      <w:r w:rsidRPr="007C69A6">
        <w:rPr>
          <w:noProof/>
        </w:rPr>
        <w:t>School Foodservice Indirect Cost Study</w:t>
      </w:r>
    </w:p>
    <w:p w:rsidR="009565D4" w:rsidRPr="007C69A6" w:rsidRDefault="009565D4" w:rsidP="00447223">
      <w:pPr>
        <w:pStyle w:val="CoverTextRed16pt"/>
        <w:ind w:right="360"/>
      </w:pPr>
    </w:p>
    <w:p w:rsidR="001E2CF1" w:rsidRPr="007C69A6" w:rsidRDefault="001E2CF1" w:rsidP="00447223">
      <w:pPr>
        <w:pStyle w:val="CoverText-Address"/>
        <w:ind w:right="360"/>
      </w:pPr>
    </w:p>
    <w:p w:rsidR="002E2A6F" w:rsidRPr="007C69A6" w:rsidRDefault="002E2A6F" w:rsidP="002069B7">
      <w:pPr>
        <w:pStyle w:val="CoverTextGreyBold"/>
        <w:ind w:left="5940" w:right="360"/>
      </w:pPr>
      <w:r w:rsidRPr="007C69A6">
        <w:t>Contract # GS-10F-0086K</w:t>
      </w:r>
    </w:p>
    <w:p w:rsidR="002E2A6F" w:rsidRPr="007C69A6" w:rsidRDefault="002E2A6F" w:rsidP="002069B7">
      <w:pPr>
        <w:pStyle w:val="CoverTextGreyBold"/>
        <w:ind w:left="5940" w:right="360"/>
      </w:pPr>
      <w:r w:rsidRPr="007C69A6">
        <w:t>Order # AG-3198-D-11-0047</w:t>
      </w:r>
    </w:p>
    <w:p w:rsidR="009565D4" w:rsidRPr="007C69A6" w:rsidRDefault="009565D4" w:rsidP="00447223">
      <w:pPr>
        <w:pStyle w:val="CoverText-Address"/>
        <w:ind w:right="360"/>
      </w:pPr>
    </w:p>
    <w:p w:rsidR="004B1702" w:rsidRPr="007C69A6" w:rsidRDefault="004B1702" w:rsidP="00447223">
      <w:pPr>
        <w:pStyle w:val="CoverText-Address"/>
        <w:ind w:right="360"/>
      </w:pPr>
    </w:p>
    <w:p w:rsidR="004B1702" w:rsidRPr="007C69A6" w:rsidRDefault="004B1702" w:rsidP="00447223">
      <w:pPr>
        <w:pStyle w:val="CoverText-Address"/>
        <w:ind w:right="360"/>
      </w:pPr>
    </w:p>
    <w:p w:rsidR="009565D4" w:rsidRPr="007C69A6" w:rsidRDefault="009565D4" w:rsidP="00447223">
      <w:pPr>
        <w:pStyle w:val="CoverText-Address"/>
        <w:ind w:right="360"/>
      </w:pPr>
    </w:p>
    <w:p w:rsidR="009565D4" w:rsidRPr="007C69A6" w:rsidRDefault="009565D4" w:rsidP="00447223">
      <w:pPr>
        <w:pStyle w:val="CoverText-Address"/>
        <w:ind w:right="360"/>
      </w:pPr>
    </w:p>
    <w:p w:rsidR="004B1702" w:rsidRPr="007C69A6" w:rsidRDefault="004B1702" w:rsidP="00447223">
      <w:pPr>
        <w:pStyle w:val="CoverText-Address"/>
        <w:ind w:right="360"/>
      </w:pPr>
    </w:p>
    <w:p w:rsidR="009565D4" w:rsidRPr="007C69A6" w:rsidRDefault="009565D4" w:rsidP="00447223">
      <w:pPr>
        <w:pStyle w:val="CoverText-Address"/>
        <w:ind w:right="360"/>
      </w:pPr>
    </w:p>
    <w:p w:rsidR="009565D4" w:rsidRPr="007C69A6" w:rsidRDefault="00532090" w:rsidP="00447223">
      <w:pPr>
        <w:pStyle w:val="CoverText-Address"/>
        <w:ind w:right="360"/>
      </w:pPr>
      <w:r>
        <w:t xml:space="preserve">March </w:t>
      </w:r>
      <w:r w:rsidR="005F46C4">
        <w:t>26</w:t>
      </w:r>
      <w:bookmarkStart w:id="0" w:name="_GoBack"/>
      <w:bookmarkEnd w:id="0"/>
      <w:r w:rsidR="00883197" w:rsidRPr="007C69A6">
        <w:t>, 201</w:t>
      </w:r>
      <w:r>
        <w:t>2</w:t>
      </w:r>
    </w:p>
    <w:p w:rsidR="009565D4" w:rsidRPr="007C69A6" w:rsidRDefault="009565D4" w:rsidP="00447223">
      <w:pPr>
        <w:pStyle w:val="CoverText-Address"/>
        <w:ind w:right="360"/>
      </w:pPr>
    </w:p>
    <w:p w:rsidR="001E2CF1" w:rsidRPr="007C69A6" w:rsidRDefault="001E2CF1" w:rsidP="00447223">
      <w:pPr>
        <w:tabs>
          <w:tab w:val="left" w:pos="720"/>
          <w:tab w:val="left" w:pos="1080"/>
          <w:tab w:val="left" w:pos="1440"/>
          <w:tab w:val="left" w:pos="1800"/>
          <w:tab w:val="left" w:pos="6660"/>
        </w:tabs>
        <w:ind w:left="6490" w:right="360"/>
        <w:jc w:val="right"/>
        <w:rPr>
          <w:rFonts w:ascii="Arial" w:hAnsi="Arial"/>
          <w:szCs w:val="24"/>
        </w:rPr>
      </w:pPr>
    </w:p>
    <w:p w:rsidR="004B1702" w:rsidRPr="007C69A6" w:rsidRDefault="004B1702" w:rsidP="00447223">
      <w:pPr>
        <w:tabs>
          <w:tab w:val="left" w:pos="720"/>
          <w:tab w:val="left" w:pos="1080"/>
          <w:tab w:val="left" w:pos="1440"/>
          <w:tab w:val="left" w:pos="1800"/>
          <w:tab w:val="left" w:pos="6660"/>
        </w:tabs>
        <w:ind w:left="6490" w:right="360"/>
        <w:jc w:val="right"/>
        <w:rPr>
          <w:rFonts w:ascii="Arial" w:hAnsi="Arial"/>
          <w:szCs w:val="24"/>
        </w:rPr>
      </w:pPr>
    </w:p>
    <w:p w:rsidR="004B1702" w:rsidRPr="007C69A6" w:rsidRDefault="004B1702" w:rsidP="00447223">
      <w:pPr>
        <w:tabs>
          <w:tab w:val="left" w:pos="720"/>
          <w:tab w:val="left" w:pos="1080"/>
          <w:tab w:val="left" w:pos="1440"/>
          <w:tab w:val="left" w:pos="1800"/>
          <w:tab w:val="left" w:pos="6660"/>
        </w:tabs>
        <w:ind w:left="6490" w:right="360"/>
        <w:jc w:val="right"/>
        <w:rPr>
          <w:rFonts w:ascii="Arial" w:hAnsi="Arial"/>
          <w:szCs w:val="24"/>
        </w:rPr>
      </w:pPr>
    </w:p>
    <w:p w:rsidR="004B1702" w:rsidRPr="007C69A6" w:rsidRDefault="004B1702" w:rsidP="00447223">
      <w:pPr>
        <w:tabs>
          <w:tab w:val="left" w:pos="720"/>
          <w:tab w:val="left" w:pos="1080"/>
          <w:tab w:val="left" w:pos="1440"/>
          <w:tab w:val="left" w:pos="1800"/>
          <w:tab w:val="left" w:pos="6660"/>
        </w:tabs>
        <w:ind w:left="6490" w:right="360"/>
        <w:jc w:val="right"/>
        <w:rPr>
          <w:rFonts w:ascii="Arial" w:hAnsi="Arial"/>
          <w:szCs w:val="24"/>
        </w:rPr>
      </w:pPr>
    </w:p>
    <w:p w:rsidR="004B1702" w:rsidRPr="007C69A6" w:rsidRDefault="004B1702" w:rsidP="00447223">
      <w:pPr>
        <w:tabs>
          <w:tab w:val="left" w:pos="720"/>
          <w:tab w:val="left" w:pos="1080"/>
          <w:tab w:val="left" w:pos="1440"/>
          <w:tab w:val="left" w:pos="1800"/>
          <w:tab w:val="left" w:pos="6660"/>
        </w:tabs>
        <w:ind w:left="6490" w:right="360"/>
        <w:jc w:val="right"/>
        <w:rPr>
          <w:rFonts w:ascii="Arial" w:hAnsi="Arial"/>
          <w:szCs w:val="24"/>
        </w:rPr>
      </w:pPr>
    </w:p>
    <w:p w:rsidR="009565D4" w:rsidRPr="007C69A6" w:rsidRDefault="001E2CF1" w:rsidP="00EC7DCF">
      <w:pPr>
        <w:pStyle w:val="CoverText11pt"/>
        <w:ind w:right="360"/>
      </w:pPr>
      <w:r w:rsidRPr="007C69A6">
        <w:t>Prepared for:</w:t>
      </w:r>
    </w:p>
    <w:p w:rsidR="009565D4" w:rsidRPr="007C69A6" w:rsidRDefault="00883197" w:rsidP="00EC7DCF">
      <w:pPr>
        <w:pStyle w:val="CoverText11pt"/>
        <w:ind w:right="360"/>
        <w:rPr>
          <w:i w:val="0"/>
        </w:rPr>
      </w:pPr>
      <w:r w:rsidRPr="007C69A6">
        <w:rPr>
          <w:i w:val="0"/>
        </w:rPr>
        <w:t>John Endahl</w:t>
      </w:r>
    </w:p>
    <w:p w:rsidR="00883197" w:rsidRPr="007C69A6" w:rsidRDefault="00883197" w:rsidP="00EC7DCF">
      <w:pPr>
        <w:pStyle w:val="CoverText-Address"/>
        <w:ind w:left="5580" w:right="360"/>
        <w:rPr>
          <w:b/>
          <w:color w:val="DA291C"/>
        </w:rPr>
      </w:pPr>
      <w:r w:rsidRPr="007C69A6">
        <w:rPr>
          <w:b/>
          <w:color w:val="DA291C"/>
        </w:rPr>
        <w:t>Office of Research and Analysis</w:t>
      </w:r>
    </w:p>
    <w:p w:rsidR="00883197" w:rsidRPr="007C69A6" w:rsidRDefault="00883197" w:rsidP="002069B7">
      <w:pPr>
        <w:pStyle w:val="CoverText-Address"/>
        <w:ind w:left="5490" w:right="360"/>
      </w:pPr>
      <w:r w:rsidRPr="007C69A6">
        <w:rPr>
          <w:b/>
          <w:color w:val="DA291C"/>
        </w:rPr>
        <w:t>Food and Nutrition Service/USDA</w:t>
      </w:r>
    </w:p>
    <w:p w:rsidR="00883197" w:rsidRPr="007C69A6" w:rsidRDefault="00883197" w:rsidP="00EC7DCF">
      <w:pPr>
        <w:pStyle w:val="CoverText-Address"/>
        <w:ind w:left="5580" w:right="360"/>
      </w:pPr>
      <w:r w:rsidRPr="007C69A6">
        <w:t xml:space="preserve">3101 Park Center Dr, </w:t>
      </w:r>
      <w:proofErr w:type="spellStart"/>
      <w:r w:rsidRPr="007C69A6">
        <w:t>Rm</w:t>
      </w:r>
      <w:proofErr w:type="spellEnd"/>
      <w:r w:rsidRPr="007C69A6">
        <w:t xml:space="preserve"> 1004</w:t>
      </w:r>
    </w:p>
    <w:p w:rsidR="00883197" w:rsidRPr="007C69A6" w:rsidRDefault="00883197" w:rsidP="00EC7DCF">
      <w:pPr>
        <w:pStyle w:val="CoverText-Address"/>
        <w:ind w:left="6390" w:right="360"/>
      </w:pPr>
      <w:r w:rsidRPr="007C69A6">
        <w:t>Alexandria, VA</w:t>
      </w:r>
      <w:r w:rsidR="002069B7" w:rsidRPr="007C69A6">
        <w:t xml:space="preserve"> </w:t>
      </w:r>
      <w:r w:rsidRPr="007C69A6">
        <w:t>22302</w:t>
      </w:r>
    </w:p>
    <w:p w:rsidR="009565D4" w:rsidRPr="007C69A6" w:rsidRDefault="009565D4" w:rsidP="00447223">
      <w:pPr>
        <w:pStyle w:val="CoverText-Address"/>
        <w:ind w:right="360"/>
      </w:pPr>
    </w:p>
    <w:p w:rsidR="009565D4" w:rsidRPr="007C69A6" w:rsidRDefault="009565D4" w:rsidP="00447223">
      <w:pPr>
        <w:pStyle w:val="CoverText-Address"/>
        <w:ind w:right="360"/>
      </w:pPr>
    </w:p>
    <w:p w:rsidR="001E2CF1" w:rsidRPr="007C69A6" w:rsidRDefault="001E2CF1" w:rsidP="00447223">
      <w:pPr>
        <w:pStyle w:val="CoverText-Address"/>
        <w:ind w:right="360"/>
      </w:pPr>
    </w:p>
    <w:p w:rsidR="001E2CF1" w:rsidRPr="007C69A6" w:rsidRDefault="00AD44C7" w:rsidP="00447223">
      <w:pPr>
        <w:pStyle w:val="CoverText11pt"/>
        <w:ind w:right="360"/>
      </w:pPr>
      <w:r w:rsidRPr="007C69A6">
        <w:t>Prepared</w:t>
      </w:r>
      <w:r w:rsidR="001E2CF1" w:rsidRPr="007C69A6">
        <w:t xml:space="preserve"> by:</w:t>
      </w:r>
    </w:p>
    <w:p w:rsidR="001E2CF1" w:rsidRPr="007C69A6" w:rsidRDefault="001E2CF1" w:rsidP="00447223">
      <w:pPr>
        <w:pStyle w:val="CoverText-Address"/>
        <w:ind w:right="360"/>
        <w:rPr>
          <w:b/>
          <w:color w:val="DA291C"/>
        </w:rPr>
      </w:pPr>
      <w:proofErr w:type="spellStart"/>
      <w:r w:rsidRPr="007C69A6">
        <w:rPr>
          <w:b/>
          <w:color w:val="DA291C"/>
        </w:rPr>
        <w:t>Abt</w:t>
      </w:r>
      <w:proofErr w:type="spellEnd"/>
      <w:r w:rsidRPr="007C69A6">
        <w:rPr>
          <w:b/>
          <w:color w:val="DA291C"/>
        </w:rPr>
        <w:t xml:space="preserve"> Associates Inc.</w:t>
      </w:r>
    </w:p>
    <w:p w:rsidR="001E2CF1" w:rsidRPr="007C69A6" w:rsidRDefault="004B1702" w:rsidP="00447223">
      <w:pPr>
        <w:pStyle w:val="CoverText-Address"/>
        <w:ind w:right="360"/>
      </w:pPr>
      <w:r w:rsidRPr="007C69A6">
        <w:t>55 Wheeler Street</w:t>
      </w:r>
    </w:p>
    <w:p w:rsidR="004B1702" w:rsidRPr="007C69A6" w:rsidRDefault="004B1702" w:rsidP="00447223">
      <w:pPr>
        <w:pStyle w:val="CoverText-Address"/>
        <w:ind w:right="360"/>
      </w:pPr>
      <w:r w:rsidRPr="007C69A6">
        <w:t>Cambridge, MA 02138</w:t>
      </w:r>
    </w:p>
    <w:p w:rsidR="002069B7" w:rsidRPr="007C69A6" w:rsidRDefault="002069B7" w:rsidP="00447223">
      <w:pPr>
        <w:pStyle w:val="CoverText-Address"/>
        <w:ind w:right="360"/>
      </w:pPr>
    </w:p>
    <w:p w:rsidR="002069B7" w:rsidRPr="007C69A6" w:rsidRDefault="002069B7" w:rsidP="002069B7">
      <w:pPr>
        <w:pStyle w:val="CoverText11pt"/>
        <w:ind w:right="360"/>
      </w:pPr>
      <w:r w:rsidRPr="007C69A6">
        <w:t>In Partnership with:</w:t>
      </w:r>
    </w:p>
    <w:p w:rsidR="002069B7" w:rsidRPr="007C69A6" w:rsidRDefault="00535E00" w:rsidP="002069B7">
      <w:pPr>
        <w:pStyle w:val="CoverText-Address"/>
        <w:ind w:left="5670" w:right="360"/>
        <w:rPr>
          <w:b/>
          <w:color w:val="DA291C"/>
        </w:rPr>
      </w:pPr>
      <w:proofErr w:type="spellStart"/>
      <w:r>
        <w:rPr>
          <w:b/>
          <w:color w:val="DA291C"/>
        </w:rPr>
        <w:t>Kokopelli</w:t>
      </w:r>
      <w:proofErr w:type="spellEnd"/>
      <w:r>
        <w:rPr>
          <w:b/>
          <w:color w:val="DA291C"/>
        </w:rPr>
        <w:t xml:space="preserve"> Associates LLC</w:t>
      </w:r>
    </w:p>
    <w:p w:rsidR="00157E04" w:rsidRPr="007C69A6" w:rsidRDefault="00157E04" w:rsidP="00447223">
      <w:pPr>
        <w:ind w:right="360"/>
        <w:sectPr w:rsidR="00157E04" w:rsidRPr="007C69A6" w:rsidSect="0021312C">
          <w:headerReference w:type="default" r:id="rId9"/>
          <w:footerReference w:type="even" r:id="rId10"/>
          <w:footerReference w:type="default" r:id="rId11"/>
          <w:pgSz w:w="12240" w:h="15840" w:code="1"/>
          <w:pgMar w:top="1440" w:right="1440" w:bottom="1008" w:left="1440" w:header="720" w:footer="720" w:gutter="0"/>
          <w:pgNumType w:fmt="lowerRoman" w:start="1"/>
          <w:cols w:space="720"/>
          <w:docGrid w:linePitch="299"/>
        </w:sectPr>
      </w:pPr>
    </w:p>
    <w:p w:rsidR="007B1904" w:rsidRPr="00162DA2" w:rsidRDefault="007C2A13" w:rsidP="00162DA2">
      <w:pPr>
        <w:pStyle w:val="ReportTitle-TOCPage"/>
      </w:pPr>
      <w:r w:rsidRPr="00162DA2">
        <w:lastRenderedPageBreak/>
        <w:t>School Foodservice Indirect Cost Study – OMB</w:t>
      </w:r>
      <w:r w:rsidR="00FA2CB1" w:rsidRPr="00162DA2">
        <w:t xml:space="preserve"> Clearance Package</w:t>
      </w:r>
    </w:p>
    <w:p w:rsidR="00752119" w:rsidRPr="007C69A6" w:rsidRDefault="00752119" w:rsidP="00162DA2">
      <w:pPr>
        <w:pStyle w:val="TOCHeader"/>
        <w:spacing w:after="240"/>
      </w:pPr>
      <w:r w:rsidRPr="007C69A6">
        <w:t>Table of Contents</w:t>
      </w:r>
    </w:p>
    <w:p w:rsidR="00162DA2" w:rsidRDefault="005B0446" w:rsidP="00162DA2">
      <w:pPr>
        <w:pStyle w:val="TOC1"/>
        <w:rPr>
          <w:rFonts w:asciiTheme="minorHAnsi" w:eastAsiaTheme="minorEastAsia" w:hAnsiTheme="minorHAnsi" w:cstheme="minorBidi"/>
          <w:szCs w:val="22"/>
        </w:rPr>
      </w:pPr>
      <w:r w:rsidRPr="005B0446">
        <w:fldChar w:fldCharType="begin"/>
      </w:r>
      <w:r w:rsidR="001178CA" w:rsidRPr="007C69A6">
        <w:instrText xml:space="preserve"> TOC \o "1-3" \h \z \u </w:instrText>
      </w:r>
      <w:r w:rsidRPr="005B0446">
        <w:fldChar w:fldCharType="separate"/>
      </w:r>
      <w:hyperlink w:anchor="_Toc319071537" w:history="1">
        <w:r w:rsidR="00162DA2" w:rsidRPr="008E439D">
          <w:rPr>
            <w:rStyle w:val="Hyperlink"/>
          </w:rPr>
          <w:t>Part B.</w:t>
        </w:r>
        <w:r w:rsidR="00162DA2">
          <w:rPr>
            <w:rFonts w:asciiTheme="minorHAnsi" w:eastAsiaTheme="minorEastAsia" w:hAnsiTheme="minorHAnsi" w:cstheme="minorBidi"/>
            <w:szCs w:val="22"/>
          </w:rPr>
          <w:tab/>
        </w:r>
        <w:r w:rsidR="00162DA2" w:rsidRPr="008E439D">
          <w:rPr>
            <w:rStyle w:val="Hyperlink"/>
          </w:rPr>
          <w:t>Statistical Methods</w:t>
        </w:r>
        <w:r w:rsidR="00162DA2">
          <w:rPr>
            <w:webHidden/>
          </w:rPr>
          <w:tab/>
        </w:r>
        <w:r>
          <w:rPr>
            <w:webHidden/>
          </w:rPr>
          <w:fldChar w:fldCharType="begin"/>
        </w:r>
        <w:r w:rsidR="00162DA2">
          <w:rPr>
            <w:webHidden/>
          </w:rPr>
          <w:instrText xml:space="preserve"> PAGEREF _Toc319071537 \h </w:instrText>
        </w:r>
        <w:r>
          <w:rPr>
            <w:webHidden/>
          </w:rPr>
        </w:r>
        <w:r>
          <w:rPr>
            <w:webHidden/>
          </w:rPr>
          <w:fldChar w:fldCharType="separate"/>
        </w:r>
        <w:r w:rsidR="003337CD">
          <w:rPr>
            <w:webHidden/>
          </w:rPr>
          <w:t>1</w:t>
        </w:r>
        <w:r>
          <w:rPr>
            <w:webHidden/>
          </w:rPr>
          <w:fldChar w:fldCharType="end"/>
        </w:r>
      </w:hyperlink>
    </w:p>
    <w:p w:rsidR="00162DA2" w:rsidRDefault="005B0446" w:rsidP="00162DA2">
      <w:pPr>
        <w:pStyle w:val="TOC2"/>
        <w:rPr>
          <w:rFonts w:asciiTheme="minorHAnsi" w:eastAsiaTheme="minorEastAsia" w:hAnsiTheme="minorHAnsi" w:cstheme="minorBidi"/>
          <w:szCs w:val="22"/>
        </w:rPr>
      </w:pPr>
      <w:hyperlink w:anchor="_Toc319071538" w:history="1">
        <w:r w:rsidR="00162DA2" w:rsidRPr="008E439D">
          <w:rPr>
            <w:rStyle w:val="Hyperlink"/>
          </w:rPr>
          <w:t>B.1</w:t>
        </w:r>
        <w:r w:rsidR="00162DA2">
          <w:rPr>
            <w:rFonts w:asciiTheme="minorHAnsi" w:eastAsiaTheme="minorEastAsia" w:hAnsiTheme="minorHAnsi" w:cstheme="minorBidi"/>
            <w:szCs w:val="22"/>
          </w:rPr>
          <w:tab/>
        </w:r>
        <w:r w:rsidR="00F964A7" w:rsidRPr="007C69A6">
          <w:t>Respondent Universe and Sampling Methods</w:t>
        </w:r>
        <w:r w:rsidR="00162DA2">
          <w:rPr>
            <w:webHidden/>
          </w:rPr>
          <w:tab/>
        </w:r>
        <w:r>
          <w:rPr>
            <w:webHidden/>
          </w:rPr>
          <w:fldChar w:fldCharType="begin"/>
        </w:r>
        <w:r w:rsidR="00162DA2">
          <w:rPr>
            <w:webHidden/>
          </w:rPr>
          <w:instrText xml:space="preserve"> PAGEREF _Toc319071538 \h </w:instrText>
        </w:r>
        <w:r>
          <w:rPr>
            <w:webHidden/>
          </w:rPr>
        </w:r>
        <w:r>
          <w:rPr>
            <w:webHidden/>
          </w:rPr>
          <w:fldChar w:fldCharType="separate"/>
        </w:r>
        <w:r w:rsidR="003337CD">
          <w:rPr>
            <w:webHidden/>
          </w:rPr>
          <w:t>1</w:t>
        </w:r>
        <w:r>
          <w:rPr>
            <w:webHidden/>
          </w:rPr>
          <w:fldChar w:fldCharType="end"/>
        </w:r>
      </w:hyperlink>
    </w:p>
    <w:p w:rsidR="00162DA2" w:rsidRDefault="005B0446" w:rsidP="00162DA2">
      <w:pPr>
        <w:pStyle w:val="TOC3"/>
        <w:rPr>
          <w:rFonts w:asciiTheme="minorHAnsi" w:eastAsiaTheme="minorEastAsia" w:hAnsiTheme="minorHAnsi" w:cstheme="minorBidi"/>
          <w:szCs w:val="22"/>
        </w:rPr>
      </w:pPr>
      <w:hyperlink w:anchor="_Toc319071539" w:history="1">
        <w:r w:rsidR="00162DA2" w:rsidRPr="008E439D">
          <w:rPr>
            <w:rStyle w:val="Hyperlink"/>
          </w:rPr>
          <w:t>Sampling Frame</w:t>
        </w:r>
        <w:r w:rsidR="00162DA2">
          <w:rPr>
            <w:webHidden/>
          </w:rPr>
          <w:tab/>
        </w:r>
        <w:r>
          <w:rPr>
            <w:webHidden/>
          </w:rPr>
          <w:fldChar w:fldCharType="begin"/>
        </w:r>
        <w:r w:rsidR="00162DA2">
          <w:rPr>
            <w:webHidden/>
          </w:rPr>
          <w:instrText xml:space="preserve"> PAGEREF _Toc319071539 \h </w:instrText>
        </w:r>
        <w:r>
          <w:rPr>
            <w:webHidden/>
          </w:rPr>
        </w:r>
        <w:r>
          <w:rPr>
            <w:webHidden/>
          </w:rPr>
          <w:fldChar w:fldCharType="separate"/>
        </w:r>
        <w:r w:rsidR="003337CD">
          <w:rPr>
            <w:webHidden/>
          </w:rPr>
          <w:t>1</w:t>
        </w:r>
        <w:r>
          <w:rPr>
            <w:webHidden/>
          </w:rPr>
          <w:fldChar w:fldCharType="end"/>
        </w:r>
      </w:hyperlink>
    </w:p>
    <w:p w:rsidR="00162DA2" w:rsidRDefault="005B0446" w:rsidP="00162DA2">
      <w:pPr>
        <w:pStyle w:val="TOC3"/>
        <w:rPr>
          <w:rFonts w:asciiTheme="minorHAnsi" w:eastAsiaTheme="minorEastAsia" w:hAnsiTheme="minorHAnsi" w:cstheme="minorBidi"/>
          <w:szCs w:val="22"/>
        </w:rPr>
      </w:pPr>
      <w:hyperlink w:anchor="_Toc319071540" w:history="1">
        <w:r w:rsidR="00162DA2" w:rsidRPr="008E439D">
          <w:rPr>
            <w:rStyle w:val="Hyperlink"/>
          </w:rPr>
          <w:t>Sample Size</w:t>
        </w:r>
        <w:r w:rsidR="00162DA2">
          <w:rPr>
            <w:webHidden/>
          </w:rPr>
          <w:tab/>
        </w:r>
        <w:r>
          <w:rPr>
            <w:webHidden/>
          </w:rPr>
          <w:fldChar w:fldCharType="begin"/>
        </w:r>
        <w:r w:rsidR="00162DA2">
          <w:rPr>
            <w:webHidden/>
          </w:rPr>
          <w:instrText xml:space="preserve"> PAGEREF _Toc319071540 \h </w:instrText>
        </w:r>
        <w:r>
          <w:rPr>
            <w:webHidden/>
          </w:rPr>
        </w:r>
        <w:r>
          <w:rPr>
            <w:webHidden/>
          </w:rPr>
          <w:fldChar w:fldCharType="separate"/>
        </w:r>
        <w:r w:rsidR="003337CD">
          <w:rPr>
            <w:webHidden/>
          </w:rPr>
          <w:t>2</w:t>
        </w:r>
        <w:r>
          <w:rPr>
            <w:webHidden/>
          </w:rPr>
          <w:fldChar w:fldCharType="end"/>
        </w:r>
      </w:hyperlink>
    </w:p>
    <w:p w:rsidR="00162DA2" w:rsidRDefault="005B0446" w:rsidP="00162DA2">
      <w:pPr>
        <w:pStyle w:val="TOC3"/>
        <w:rPr>
          <w:rFonts w:asciiTheme="minorHAnsi" w:eastAsiaTheme="minorEastAsia" w:hAnsiTheme="minorHAnsi" w:cstheme="minorBidi"/>
          <w:szCs w:val="22"/>
        </w:rPr>
      </w:pPr>
      <w:hyperlink w:anchor="_Toc319071541" w:history="1">
        <w:r w:rsidR="00162DA2" w:rsidRPr="008E439D">
          <w:rPr>
            <w:rStyle w:val="Hyperlink"/>
          </w:rPr>
          <w:t>Sample Selection</w:t>
        </w:r>
        <w:r w:rsidR="00162DA2">
          <w:rPr>
            <w:webHidden/>
          </w:rPr>
          <w:tab/>
        </w:r>
        <w:r>
          <w:rPr>
            <w:webHidden/>
          </w:rPr>
          <w:fldChar w:fldCharType="begin"/>
        </w:r>
        <w:r w:rsidR="00162DA2">
          <w:rPr>
            <w:webHidden/>
          </w:rPr>
          <w:instrText xml:space="preserve"> PAGEREF _Toc319071541 \h </w:instrText>
        </w:r>
        <w:r>
          <w:rPr>
            <w:webHidden/>
          </w:rPr>
        </w:r>
        <w:r>
          <w:rPr>
            <w:webHidden/>
          </w:rPr>
          <w:fldChar w:fldCharType="separate"/>
        </w:r>
        <w:r w:rsidR="003337CD">
          <w:rPr>
            <w:webHidden/>
          </w:rPr>
          <w:t>4</w:t>
        </w:r>
        <w:r>
          <w:rPr>
            <w:webHidden/>
          </w:rPr>
          <w:fldChar w:fldCharType="end"/>
        </w:r>
      </w:hyperlink>
    </w:p>
    <w:p w:rsidR="00162DA2" w:rsidRDefault="005B0446" w:rsidP="00162DA2">
      <w:pPr>
        <w:pStyle w:val="TOC3"/>
        <w:rPr>
          <w:rFonts w:asciiTheme="minorHAnsi" w:eastAsiaTheme="minorEastAsia" w:hAnsiTheme="minorHAnsi" w:cstheme="minorBidi"/>
          <w:szCs w:val="22"/>
        </w:rPr>
      </w:pPr>
      <w:hyperlink w:anchor="_Toc319071542" w:history="1">
        <w:r w:rsidR="00162DA2" w:rsidRPr="008E439D">
          <w:rPr>
            <w:rStyle w:val="Hyperlink"/>
          </w:rPr>
          <w:t>Sampling Weights, Response Rates and Non-Response Adjustments</w:t>
        </w:r>
        <w:r w:rsidR="00162DA2">
          <w:rPr>
            <w:webHidden/>
          </w:rPr>
          <w:tab/>
        </w:r>
        <w:r>
          <w:rPr>
            <w:webHidden/>
          </w:rPr>
          <w:fldChar w:fldCharType="begin"/>
        </w:r>
        <w:r w:rsidR="00162DA2">
          <w:rPr>
            <w:webHidden/>
          </w:rPr>
          <w:instrText xml:space="preserve"> PAGEREF _Toc319071542 \h </w:instrText>
        </w:r>
        <w:r>
          <w:rPr>
            <w:webHidden/>
          </w:rPr>
        </w:r>
        <w:r>
          <w:rPr>
            <w:webHidden/>
          </w:rPr>
          <w:fldChar w:fldCharType="separate"/>
        </w:r>
        <w:r w:rsidR="003337CD">
          <w:rPr>
            <w:webHidden/>
          </w:rPr>
          <w:t>4</w:t>
        </w:r>
        <w:r>
          <w:rPr>
            <w:webHidden/>
          </w:rPr>
          <w:fldChar w:fldCharType="end"/>
        </w:r>
      </w:hyperlink>
    </w:p>
    <w:p w:rsidR="00162DA2" w:rsidRDefault="005B0446" w:rsidP="00162DA2">
      <w:pPr>
        <w:pStyle w:val="TOC2"/>
        <w:rPr>
          <w:rFonts w:asciiTheme="minorHAnsi" w:eastAsiaTheme="minorEastAsia" w:hAnsiTheme="minorHAnsi" w:cstheme="minorBidi"/>
          <w:szCs w:val="22"/>
        </w:rPr>
      </w:pPr>
      <w:hyperlink w:anchor="_Toc319071543" w:history="1">
        <w:r w:rsidR="00162DA2" w:rsidRPr="008E439D">
          <w:rPr>
            <w:rStyle w:val="Hyperlink"/>
          </w:rPr>
          <w:t>B.2</w:t>
        </w:r>
        <w:r w:rsidR="00162DA2">
          <w:rPr>
            <w:rFonts w:asciiTheme="minorHAnsi" w:eastAsiaTheme="minorEastAsia" w:hAnsiTheme="minorHAnsi" w:cstheme="minorBidi"/>
            <w:szCs w:val="22"/>
          </w:rPr>
          <w:tab/>
        </w:r>
        <w:r w:rsidR="00F964A7" w:rsidRPr="007C69A6">
          <w:t>Procedures for the Collection of Information</w:t>
        </w:r>
        <w:r w:rsidR="00162DA2">
          <w:rPr>
            <w:webHidden/>
          </w:rPr>
          <w:tab/>
        </w:r>
        <w:r>
          <w:rPr>
            <w:webHidden/>
          </w:rPr>
          <w:fldChar w:fldCharType="begin"/>
        </w:r>
        <w:r w:rsidR="00162DA2">
          <w:rPr>
            <w:webHidden/>
          </w:rPr>
          <w:instrText xml:space="preserve"> PAGEREF _Toc319071543 \h </w:instrText>
        </w:r>
        <w:r>
          <w:rPr>
            <w:webHidden/>
          </w:rPr>
        </w:r>
        <w:r>
          <w:rPr>
            <w:webHidden/>
          </w:rPr>
          <w:fldChar w:fldCharType="separate"/>
        </w:r>
        <w:r w:rsidR="003337CD">
          <w:rPr>
            <w:webHidden/>
          </w:rPr>
          <w:t>5</w:t>
        </w:r>
        <w:r>
          <w:rPr>
            <w:webHidden/>
          </w:rPr>
          <w:fldChar w:fldCharType="end"/>
        </w:r>
      </w:hyperlink>
    </w:p>
    <w:p w:rsidR="00162DA2" w:rsidRDefault="005B0446" w:rsidP="00162DA2">
      <w:pPr>
        <w:pStyle w:val="TOC3"/>
        <w:rPr>
          <w:rFonts w:asciiTheme="minorHAnsi" w:eastAsiaTheme="minorEastAsia" w:hAnsiTheme="minorHAnsi" w:cstheme="minorBidi"/>
          <w:szCs w:val="22"/>
        </w:rPr>
      </w:pPr>
      <w:hyperlink w:anchor="_Toc319071549" w:history="1">
        <w:r w:rsidR="00162DA2" w:rsidRPr="008E439D">
          <w:rPr>
            <w:rStyle w:val="Hyperlink"/>
          </w:rPr>
          <w:t>Statistical Methodology for Stratification and Sample Selection</w:t>
        </w:r>
        <w:r w:rsidR="00162DA2">
          <w:rPr>
            <w:webHidden/>
          </w:rPr>
          <w:tab/>
        </w:r>
        <w:r>
          <w:rPr>
            <w:webHidden/>
          </w:rPr>
          <w:fldChar w:fldCharType="begin"/>
        </w:r>
        <w:r w:rsidR="00162DA2">
          <w:rPr>
            <w:webHidden/>
          </w:rPr>
          <w:instrText xml:space="preserve"> PAGEREF _Toc319071549 \h </w:instrText>
        </w:r>
        <w:r>
          <w:rPr>
            <w:webHidden/>
          </w:rPr>
        </w:r>
        <w:r>
          <w:rPr>
            <w:webHidden/>
          </w:rPr>
          <w:fldChar w:fldCharType="separate"/>
        </w:r>
        <w:r w:rsidR="003337CD">
          <w:rPr>
            <w:webHidden/>
          </w:rPr>
          <w:t>5</w:t>
        </w:r>
        <w:r>
          <w:rPr>
            <w:webHidden/>
          </w:rPr>
          <w:fldChar w:fldCharType="end"/>
        </w:r>
      </w:hyperlink>
    </w:p>
    <w:p w:rsidR="00162DA2" w:rsidRDefault="005B0446" w:rsidP="00162DA2">
      <w:pPr>
        <w:pStyle w:val="TOC3"/>
        <w:rPr>
          <w:rFonts w:asciiTheme="minorHAnsi" w:eastAsiaTheme="minorEastAsia" w:hAnsiTheme="minorHAnsi" w:cstheme="minorBidi"/>
          <w:szCs w:val="22"/>
        </w:rPr>
      </w:pPr>
      <w:hyperlink w:anchor="_Toc319071550" w:history="1">
        <w:r w:rsidR="00162DA2" w:rsidRPr="008E439D">
          <w:rPr>
            <w:rStyle w:val="Hyperlink"/>
          </w:rPr>
          <w:t>Estimation Procedures</w:t>
        </w:r>
        <w:r w:rsidR="00162DA2">
          <w:rPr>
            <w:webHidden/>
          </w:rPr>
          <w:tab/>
        </w:r>
        <w:r>
          <w:rPr>
            <w:webHidden/>
          </w:rPr>
          <w:fldChar w:fldCharType="begin"/>
        </w:r>
        <w:r w:rsidR="00162DA2">
          <w:rPr>
            <w:webHidden/>
          </w:rPr>
          <w:instrText xml:space="preserve"> PAGEREF _Toc319071550 \h </w:instrText>
        </w:r>
        <w:r>
          <w:rPr>
            <w:webHidden/>
          </w:rPr>
        </w:r>
        <w:r>
          <w:rPr>
            <w:webHidden/>
          </w:rPr>
          <w:fldChar w:fldCharType="separate"/>
        </w:r>
        <w:r w:rsidR="003337CD">
          <w:rPr>
            <w:webHidden/>
          </w:rPr>
          <w:t>5</w:t>
        </w:r>
        <w:r>
          <w:rPr>
            <w:webHidden/>
          </w:rPr>
          <w:fldChar w:fldCharType="end"/>
        </w:r>
      </w:hyperlink>
    </w:p>
    <w:p w:rsidR="00162DA2" w:rsidRDefault="005B0446" w:rsidP="00162DA2">
      <w:pPr>
        <w:pStyle w:val="TOC3"/>
        <w:rPr>
          <w:rFonts w:asciiTheme="minorHAnsi" w:eastAsiaTheme="minorEastAsia" w:hAnsiTheme="minorHAnsi" w:cstheme="minorBidi"/>
          <w:szCs w:val="22"/>
        </w:rPr>
      </w:pPr>
      <w:hyperlink w:anchor="_Toc319071551" w:history="1">
        <w:r w:rsidR="00162DA2" w:rsidRPr="008E439D">
          <w:rPr>
            <w:rStyle w:val="Hyperlink"/>
          </w:rPr>
          <w:t>Degree of Accuracy Needed: Precision, Statistical Power, and Minimum Detectable Differences</w:t>
        </w:r>
        <w:r w:rsidR="00162DA2">
          <w:rPr>
            <w:webHidden/>
          </w:rPr>
          <w:tab/>
        </w:r>
        <w:r>
          <w:rPr>
            <w:webHidden/>
          </w:rPr>
          <w:fldChar w:fldCharType="begin"/>
        </w:r>
        <w:r w:rsidR="00162DA2">
          <w:rPr>
            <w:webHidden/>
          </w:rPr>
          <w:instrText xml:space="preserve"> PAGEREF _Toc319071551 \h </w:instrText>
        </w:r>
        <w:r>
          <w:rPr>
            <w:webHidden/>
          </w:rPr>
        </w:r>
        <w:r>
          <w:rPr>
            <w:webHidden/>
          </w:rPr>
          <w:fldChar w:fldCharType="separate"/>
        </w:r>
        <w:r w:rsidR="003337CD">
          <w:rPr>
            <w:webHidden/>
          </w:rPr>
          <w:t>5</w:t>
        </w:r>
        <w:r>
          <w:rPr>
            <w:webHidden/>
          </w:rPr>
          <w:fldChar w:fldCharType="end"/>
        </w:r>
      </w:hyperlink>
    </w:p>
    <w:p w:rsidR="00162DA2" w:rsidRDefault="005B0446" w:rsidP="00162DA2">
      <w:pPr>
        <w:pStyle w:val="TOC2"/>
        <w:rPr>
          <w:rFonts w:asciiTheme="minorHAnsi" w:eastAsiaTheme="minorEastAsia" w:hAnsiTheme="minorHAnsi" w:cstheme="minorBidi"/>
          <w:szCs w:val="22"/>
        </w:rPr>
      </w:pPr>
      <w:hyperlink w:anchor="_Toc319071552" w:history="1">
        <w:r w:rsidR="00162DA2" w:rsidRPr="008E439D">
          <w:rPr>
            <w:rStyle w:val="Hyperlink"/>
          </w:rPr>
          <w:t>B.3</w:t>
        </w:r>
        <w:r w:rsidR="00162DA2">
          <w:rPr>
            <w:rFonts w:asciiTheme="minorHAnsi" w:eastAsiaTheme="minorEastAsia" w:hAnsiTheme="minorHAnsi" w:cstheme="minorBidi"/>
            <w:szCs w:val="22"/>
          </w:rPr>
          <w:tab/>
        </w:r>
        <w:r w:rsidR="00F964A7" w:rsidRPr="007C69A6">
          <w:t>Methods to Maximize the Response Rates and to Deal With Nonresponse</w:t>
        </w:r>
        <w:r w:rsidR="00162DA2" w:rsidRPr="008E439D">
          <w:rPr>
            <w:rStyle w:val="Hyperlink"/>
          </w:rPr>
          <w:t>.</w:t>
        </w:r>
        <w:r w:rsidR="00162DA2">
          <w:rPr>
            <w:webHidden/>
          </w:rPr>
          <w:tab/>
        </w:r>
        <w:r>
          <w:rPr>
            <w:webHidden/>
          </w:rPr>
          <w:fldChar w:fldCharType="begin"/>
        </w:r>
        <w:r w:rsidR="00162DA2">
          <w:rPr>
            <w:webHidden/>
          </w:rPr>
          <w:instrText xml:space="preserve"> PAGEREF _Toc319071552 \h </w:instrText>
        </w:r>
        <w:r>
          <w:rPr>
            <w:webHidden/>
          </w:rPr>
        </w:r>
        <w:r>
          <w:rPr>
            <w:webHidden/>
          </w:rPr>
          <w:fldChar w:fldCharType="separate"/>
        </w:r>
        <w:r w:rsidR="003337CD">
          <w:rPr>
            <w:webHidden/>
          </w:rPr>
          <w:t>6</w:t>
        </w:r>
        <w:r>
          <w:rPr>
            <w:webHidden/>
          </w:rPr>
          <w:fldChar w:fldCharType="end"/>
        </w:r>
      </w:hyperlink>
    </w:p>
    <w:p w:rsidR="00162DA2" w:rsidRDefault="005B0446" w:rsidP="00162DA2">
      <w:pPr>
        <w:pStyle w:val="TOC2"/>
        <w:rPr>
          <w:rFonts w:asciiTheme="minorHAnsi" w:eastAsiaTheme="minorEastAsia" w:hAnsiTheme="minorHAnsi" w:cstheme="minorBidi"/>
          <w:szCs w:val="22"/>
        </w:rPr>
      </w:pPr>
      <w:hyperlink w:anchor="_Toc319071553" w:history="1">
        <w:r w:rsidR="00162DA2" w:rsidRPr="008E439D">
          <w:rPr>
            <w:rStyle w:val="Hyperlink"/>
          </w:rPr>
          <w:t>B.4</w:t>
        </w:r>
        <w:r w:rsidR="00162DA2">
          <w:rPr>
            <w:rFonts w:asciiTheme="minorHAnsi" w:eastAsiaTheme="minorEastAsia" w:hAnsiTheme="minorHAnsi" w:cstheme="minorBidi"/>
            <w:szCs w:val="22"/>
          </w:rPr>
          <w:tab/>
        </w:r>
        <w:r w:rsidR="00F964A7" w:rsidRPr="007C69A6">
          <w:t>Test of Procedures or Methods to be Undertaken</w:t>
        </w:r>
        <w:r w:rsidR="00162DA2">
          <w:rPr>
            <w:webHidden/>
          </w:rPr>
          <w:tab/>
        </w:r>
        <w:r>
          <w:rPr>
            <w:webHidden/>
          </w:rPr>
          <w:fldChar w:fldCharType="begin"/>
        </w:r>
        <w:r w:rsidR="00162DA2">
          <w:rPr>
            <w:webHidden/>
          </w:rPr>
          <w:instrText xml:space="preserve"> PAGEREF _Toc319071553 \h </w:instrText>
        </w:r>
        <w:r>
          <w:rPr>
            <w:webHidden/>
          </w:rPr>
        </w:r>
        <w:r>
          <w:rPr>
            <w:webHidden/>
          </w:rPr>
          <w:fldChar w:fldCharType="separate"/>
        </w:r>
        <w:r w:rsidR="003337CD">
          <w:rPr>
            <w:webHidden/>
          </w:rPr>
          <w:t>6</w:t>
        </w:r>
        <w:r>
          <w:rPr>
            <w:webHidden/>
          </w:rPr>
          <w:fldChar w:fldCharType="end"/>
        </w:r>
      </w:hyperlink>
    </w:p>
    <w:p w:rsidR="00162DA2" w:rsidRDefault="005B0446" w:rsidP="00162DA2">
      <w:pPr>
        <w:pStyle w:val="TOC2"/>
        <w:rPr>
          <w:rFonts w:asciiTheme="minorHAnsi" w:eastAsiaTheme="minorEastAsia" w:hAnsiTheme="minorHAnsi" w:cstheme="minorBidi"/>
          <w:szCs w:val="22"/>
        </w:rPr>
      </w:pPr>
      <w:hyperlink w:anchor="_Toc319071554" w:history="1">
        <w:r w:rsidR="00162DA2" w:rsidRPr="008E439D">
          <w:rPr>
            <w:rStyle w:val="Hyperlink"/>
          </w:rPr>
          <w:t>B.5</w:t>
        </w:r>
        <w:r w:rsidR="00162DA2">
          <w:rPr>
            <w:rFonts w:asciiTheme="minorHAnsi" w:eastAsiaTheme="minorEastAsia" w:hAnsiTheme="minorHAnsi" w:cstheme="minorBidi"/>
            <w:szCs w:val="22"/>
          </w:rPr>
          <w:tab/>
        </w:r>
        <w:r w:rsidR="00F964A7" w:rsidRPr="007C69A6">
          <w:t>Individuals Consulted on Statistical Aspects and Individuals Collecting and/</w:t>
        </w:r>
        <w:r w:rsidR="00F964A7" w:rsidRPr="007C69A6">
          <w:br/>
          <w:t>or Analyzing Data</w:t>
        </w:r>
        <w:r w:rsidR="00162DA2" w:rsidRPr="008E439D">
          <w:rPr>
            <w:rStyle w:val="Hyperlink"/>
          </w:rPr>
          <w:t>.</w:t>
        </w:r>
        <w:r w:rsidR="00162DA2">
          <w:rPr>
            <w:webHidden/>
          </w:rPr>
          <w:tab/>
        </w:r>
        <w:r>
          <w:rPr>
            <w:webHidden/>
          </w:rPr>
          <w:fldChar w:fldCharType="begin"/>
        </w:r>
        <w:r w:rsidR="00162DA2">
          <w:rPr>
            <w:webHidden/>
          </w:rPr>
          <w:instrText xml:space="preserve"> PAGEREF _Toc319071554 \h </w:instrText>
        </w:r>
        <w:r>
          <w:rPr>
            <w:webHidden/>
          </w:rPr>
        </w:r>
        <w:r>
          <w:rPr>
            <w:webHidden/>
          </w:rPr>
          <w:fldChar w:fldCharType="separate"/>
        </w:r>
        <w:r w:rsidR="003337CD">
          <w:rPr>
            <w:webHidden/>
          </w:rPr>
          <w:t>7</w:t>
        </w:r>
        <w:r>
          <w:rPr>
            <w:webHidden/>
          </w:rPr>
          <w:fldChar w:fldCharType="end"/>
        </w:r>
      </w:hyperlink>
    </w:p>
    <w:p w:rsidR="00085A28" w:rsidRPr="007C69A6" w:rsidRDefault="005B0446" w:rsidP="002069B7">
      <w:pPr>
        <w:pStyle w:val="BodyText"/>
        <w:spacing w:line="360" w:lineRule="auto"/>
      </w:pPr>
      <w:r w:rsidRPr="007C69A6">
        <w:fldChar w:fldCharType="end"/>
      </w:r>
    </w:p>
    <w:p w:rsidR="006B1DA6" w:rsidRPr="007C69A6" w:rsidRDefault="006B1DA6" w:rsidP="002E5929">
      <w:pPr>
        <w:pStyle w:val="BodyText"/>
        <w:sectPr w:rsidR="006B1DA6" w:rsidRPr="007C69A6" w:rsidSect="00162DA2">
          <w:headerReference w:type="default" r:id="rId12"/>
          <w:footerReference w:type="default" r:id="rId13"/>
          <w:pgSz w:w="12240" w:h="15840" w:code="1"/>
          <w:pgMar w:top="1440" w:right="1440" w:bottom="720" w:left="1440" w:header="864" w:footer="720" w:gutter="0"/>
          <w:pgNumType w:fmt="lowerRoman" w:start="1"/>
          <w:cols w:space="720"/>
          <w:docGrid w:linePitch="299"/>
        </w:sectPr>
      </w:pPr>
    </w:p>
    <w:p w:rsidR="004B1702" w:rsidRPr="007C69A6" w:rsidRDefault="004B1702" w:rsidP="00085A28">
      <w:pPr>
        <w:pStyle w:val="Heading1"/>
      </w:pPr>
      <w:bookmarkStart w:id="1" w:name="_Toc310342872"/>
      <w:bookmarkStart w:id="2" w:name="_Toc319071537"/>
      <w:bookmarkStart w:id="3" w:name="_Toc168384792"/>
      <w:bookmarkStart w:id="4" w:name="_Toc168384856"/>
      <w:bookmarkStart w:id="5" w:name="_Toc168384964"/>
      <w:bookmarkStart w:id="6" w:name="_Toc168385140"/>
      <w:bookmarkStart w:id="7" w:name="_Toc168385201"/>
      <w:bookmarkStart w:id="8" w:name="_Toc168468406"/>
      <w:bookmarkStart w:id="9" w:name="_Toc287257034"/>
      <w:bookmarkStart w:id="10" w:name="_Toc287257089"/>
      <w:r w:rsidRPr="007C69A6">
        <w:lastRenderedPageBreak/>
        <w:t>Part B</w:t>
      </w:r>
      <w:r w:rsidR="007C2A13" w:rsidRPr="007C69A6">
        <w:t>.</w:t>
      </w:r>
      <w:r w:rsidR="007C2A13" w:rsidRPr="007C69A6">
        <w:tab/>
      </w:r>
      <w:r w:rsidRPr="007C69A6">
        <w:t>Statistical Methods</w:t>
      </w:r>
      <w:bookmarkEnd w:id="1"/>
      <w:bookmarkEnd w:id="2"/>
    </w:p>
    <w:p w:rsidR="004B1702" w:rsidRPr="007C69A6" w:rsidRDefault="004B1702" w:rsidP="00367182">
      <w:pPr>
        <w:pStyle w:val="Heading2"/>
      </w:pPr>
      <w:bookmarkStart w:id="11" w:name="_Toc310342873"/>
      <w:bookmarkStart w:id="12" w:name="_Toc319071538"/>
      <w:r w:rsidRPr="007C69A6">
        <w:t>B.1</w:t>
      </w:r>
      <w:r w:rsidRPr="007C69A6">
        <w:tab/>
      </w:r>
      <w:bookmarkEnd w:id="3"/>
      <w:bookmarkEnd w:id="4"/>
      <w:bookmarkEnd w:id="5"/>
      <w:bookmarkEnd w:id="6"/>
      <w:bookmarkEnd w:id="7"/>
      <w:bookmarkEnd w:id="8"/>
      <w:bookmarkEnd w:id="9"/>
      <w:bookmarkEnd w:id="10"/>
      <w:bookmarkEnd w:id="11"/>
      <w:r w:rsidR="00B77DA5" w:rsidRPr="007C69A6">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2"/>
    </w:p>
    <w:p w:rsidR="004B1702" w:rsidRPr="007C69A6" w:rsidRDefault="004B1702" w:rsidP="00543B60">
      <w:pPr>
        <w:spacing w:line="480" w:lineRule="auto"/>
        <w:ind w:firstLine="360"/>
      </w:pPr>
      <w:r w:rsidRPr="007C69A6">
        <w:t xml:space="preserve">The respondent universe for the </w:t>
      </w:r>
      <w:r w:rsidRPr="007C69A6">
        <w:rPr>
          <w:i/>
        </w:rPr>
        <w:t>School Foodservice Indirect Cost Study</w:t>
      </w:r>
      <w:r w:rsidRPr="007C69A6">
        <w:t xml:space="preserve"> will include</w:t>
      </w:r>
      <w:r w:rsidR="00543B60" w:rsidRPr="007C69A6">
        <w:t>:</w:t>
      </w:r>
    </w:p>
    <w:p w:rsidR="004B1702" w:rsidRPr="007C69A6" w:rsidRDefault="004B1702" w:rsidP="002E5929">
      <w:pPr>
        <w:pStyle w:val="Bullets"/>
      </w:pPr>
      <w:r w:rsidRPr="007C69A6">
        <w:t>51 State Child Nutrition Directors;</w:t>
      </w:r>
    </w:p>
    <w:p w:rsidR="004B1702" w:rsidRPr="007C69A6" w:rsidRDefault="004B1702" w:rsidP="002E5929">
      <w:pPr>
        <w:pStyle w:val="Bullets"/>
      </w:pPr>
      <w:r w:rsidRPr="007C69A6">
        <w:t>51 State Department of Education Staff responsible for setting/reviewing LEA indirect cost rates;</w:t>
      </w:r>
    </w:p>
    <w:p w:rsidR="004B1702" w:rsidRPr="007C69A6" w:rsidRDefault="004B1702" w:rsidP="002E5929">
      <w:pPr>
        <w:pStyle w:val="Bullets"/>
      </w:pPr>
      <w:r w:rsidRPr="007C69A6">
        <w:t>1</w:t>
      </w:r>
      <w:r w:rsidR="00C2229B" w:rsidRPr="007C69A6">
        <w:t>4</w:t>
      </w:r>
      <w:r w:rsidR="003B764E" w:rsidRPr="007C69A6">
        <w:t>,</w:t>
      </w:r>
      <w:r w:rsidR="00C2229B" w:rsidRPr="007C69A6">
        <w:t>875</w:t>
      </w:r>
      <w:r w:rsidRPr="007C69A6">
        <w:t xml:space="preserve"> Public School Food Authority Directors; </w:t>
      </w:r>
    </w:p>
    <w:p w:rsidR="004B1702" w:rsidRPr="007C69A6" w:rsidRDefault="004B1702" w:rsidP="002E5929">
      <w:pPr>
        <w:pStyle w:val="Bullets"/>
      </w:pPr>
      <w:r w:rsidRPr="007C69A6">
        <w:t>1</w:t>
      </w:r>
      <w:r w:rsidR="00C2229B" w:rsidRPr="007C69A6">
        <w:t>4</w:t>
      </w:r>
      <w:r w:rsidR="003B764E" w:rsidRPr="007C69A6">
        <w:t>,</w:t>
      </w:r>
      <w:r w:rsidR="00C2229B" w:rsidRPr="007C69A6">
        <w:t>875</w:t>
      </w:r>
      <w:r w:rsidRPr="007C69A6">
        <w:t xml:space="preserve"> Public School District Business Managers;</w:t>
      </w:r>
    </w:p>
    <w:p w:rsidR="004B1702" w:rsidRPr="007C69A6" w:rsidRDefault="004B1702" w:rsidP="002E5929">
      <w:pPr>
        <w:pStyle w:val="Bullets"/>
      </w:pPr>
      <w:r w:rsidRPr="007C69A6">
        <w:t>3,8</w:t>
      </w:r>
      <w:r w:rsidR="00C2229B" w:rsidRPr="007C69A6">
        <w:t>9</w:t>
      </w:r>
      <w:r w:rsidRPr="007C69A6">
        <w:t>0 Private School Food Authority Directors; and</w:t>
      </w:r>
    </w:p>
    <w:p w:rsidR="004B1702" w:rsidRPr="007C69A6" w:rsidRDefault="00C2229B" w:rsidP="002E5929">
      <w:pPr>
        <w:pStyle w:val="Bullets"/>
      </w:pPr>
      <w:r w:rsidRPr="007C69A6">
        <w:t>3,89</w:t>
      </w:r>
      <w:r w:rsidR="004B1702" w:rsidRPr="007C69A6">
        <w:t>0 Private School District Business Managers.</w:t>
      </w:r>
    </w:p>
    <w:p w:rsidR="00447223" w:rsidRPr="007C69A6" w:rsidRDefault="004B1702" w:rsidP="00B77DA5">
      <w:pPr>
        <w:pStyle w:val="BodyText"/>
      </w:pPr>
      <w:r w:rsidRPr="007C69A6">
        <w:t>More detail on the respondent universe for each of the above is given below in the context of sampling methods</w:t>
      </w:r>
      <w:r w:rsidR="00567780" w:rsidRPr="007C69A6">
        <w:t xml:space="preserve">. </w:t>
      </w:r>
      <w:r w:rsidRPr="007C69A6">
        <w:t xml:space="preserve">Below we describe the procedures that will be used to select the sample of school districts/School Foodservice Authorities for the </w:t>
      </w:r>
      <w:r w:rsidRPr="007C69A6">
        <w:rPr>
          <w:i/>
        </w:rPr>
        <w:t>School Foodservice Indirect Cost Study</w:t>
      </w:r>
      <w:r w:rsidRPr="007C69A6">
        <w:t>, including:</w:t>
      </w:r>
    </w:p>
    <w:p w:rsidR="00447223" w:rsidRPr="007C69A6" w:rsidRDefault="00467B10" w:rsidP="002E5929">
      <w:pPr>
        <w:pStyle w:val="Bullets"/>
      </w:pPr>
      <w:r w:rsidRPr="007C69A6">
        <w:t>s</w:t>
      </w:r>
      <w:r w:rsidR="004B1702" w:rsidRPr="007C69A6">
        <w:t>ampling frame;</w:t>
      </w:r>
    </w:p>
    <w:p w:rsidR="00447223" w:rsidRPr="007C69A6" w:rsidRDefault="00543B60" w:rsidP="002E5929">
      <w:pPr>
        <w:pStyle w:val="Bullets"/>
      </w:pPr>
      <w:r w:rsidRPr="007C69A6">
        <w:t>s</w:t>
      </w:r>
      <w:r w:rsidR="004B1702" w:rsidRPr="007C69A6">
        <w:t>ample sizes;</w:t>
      </w:r>
    </w:p>
    <w:p w:rsidR="00447223" w:rsidRPr="007C69A6" w:rsidRDefault="00467B10" w:rsidP="002E5929">
      <w:pPr>
        <w:pStyle w:val="Bullets"/>
      </w:pPr>
      <w:r w:rsidRPr="007C69A6">
        <w:t>s</w:t>
      </w:r>
      <w:r w:rsidR="004B1702" w:rsidRPr="007C69A6">
        <w:t>ample selection;</w:t>
      </w:r>
    </w:p>
    <w:p w:rsidR="00447223" w:rsidRPr="007C69A6" w:rsidRDefault="00467B10" w:rsidP="002E5929">
      <w:pPr>
        <w:pStyle w:val="Bullets"/>
      </w:pPr>
      <w:r w:rsidRPr="007C69A6">
        <w:t>s</w:t>
      </w:r>
      <w:r w:rsidR="004B1702" w:rsidRPr="007C69A6">
        <w:t>ampling weights; and</w:t>
      </w:r>
    </w:p>
    <w:p w:rsidR="00447223" w:rsidRPr="007C69A6" w:rsidRDefault="00467B10" w:rsidP="00B77DA5">
      <w:pPr>
        <w:pStyle w:val="Bullets"/>
      </w:pPr>
      <w:proofErr w:type="gramStart"/>
      <w:r w:rsidRPr="007C69A6">
        <w:t>r</w:t>
      </w:r>
      <w:r w:rsidR="004B1702" w:rsidRPr="007C69A6">
        <w:t>esponse</w:t>
      </w:r>
      <w:proofErr w:type="gramEnd"/>
      <w:r w:rsidR="004B1702" w:rsidRPr="007C69A6">
        <w:t xml:space="preserve"> rates.</w:t>
      </w:r>
      <w:bookmarkStart w:id="13" w:name="_Toc310342874"/>
    </w:p>
    <w:p w:rsidR="004B1702" w:rsidRPr="007C69A6" w:rsidRDefault="004B1702" w:rsidP="002E5929">
      <w:pPr>
        <w:pStyle w:val="Heading3"/>
      </w:pPr>
      <w:bookmarkStart w:id="14" w:name="_Toc319071539"/>
      <w:r w:rsidRPr="007C69A6">
        <w:t>Sampling Frame</w:t>
      </w:r>
      <w:bookmarkEnd w:id="13"/>
      <w:bookmarkEnd w:id="14"/>
    </w:p>
    <w:p w:rsidR="000C573E" w:rsidRPr="007C69A6" w:rsidRDefault="004B1702" w:rsidP="00467B10">
      <w:pPr>
        <w:spacing w:line="480" w:lineRule="auto"/>
        <w:ind w:firstLine="360"/>
      </w:pPr>
      <w:r w:rsidRPr="007C69A6">
        <w:t>In order to draw an efficient, nationally representative sample of SFAs for the study, and to permit the rapid recruiting of sampled SFAs necessary to meet the deadline for the report to Congress specified in P.L. 111- 296, the sample frame must have the following characteristics:</w:t>
      </w:r>
    </w:p>
    <w:p w:rsidR="004B1702" w:rsidRPr="007C69A6" w:rsidRDefault="004B1702" w:rsidP="002E5929">
      <w:pPr>
        <w:pStyle w:val="Bullets"/>
      </w:pPr>
      <w:r w:rsidRPr="007C69A6">
        <w:t>The frame must include all SFAs or be a nationally representative sample of SFAs.</w:t>
      </w:r>
    </w:p>
    <w:p w:rsidR="004B1702" w:rsidRPr="007C69A6" w:rsidRDefault="004B1702" w:rsidP="002E5929">
      <w:pPr>
        <w:pStyle w:val="Bullets"/>
      </w:pPr>
      <w:r w:rsidRPr="007C69A6">
        <w:lastRenderedPageBreak/>
        <w:t>The frame must have SFA-level information on variables needed for sampling: size (e.g., enrollment or numbers of lunches and breakfasts) and the propo</w:t>
      </w:r>
      <w:r w:rsidR="00404D1E">
        <w:t>rtion of students approved for free</w:t>
      </w:r>
      <w:r w:rsidRPr="007C69A6">
        <w:t>/</w:t>
      </w:r>
      <w:r w:rsidR="00404D1E">
        <w:t>reduced-price meals.</w:t>
      </w:r>
    </w:p>
    <w:p w:rsidR="004B1702" w:rsidRPr="007C69A6" w:rsidRDefault="004B1702" w:rsidP="00467B10">
      <w:pPr>
        <w:spacing w:line="480" w:lineRule="auto"/>
        <w:ind w:firstLine="360"/>
      </w:pPr>
      <w:r w:rsidRPr="007C69A6">
        <w:t xml:space="preserve">The database created by FNS from the Form FNS-742 SFA Verification Summary Report </w:t>
      </w:r>
      <w:r w:rsidR="001A7ADC" w:rsidRPr="007C69A6">
        <w:t xml:space="preserve">(VSR) </w:t>
      </w:r>
      <w:r w:rsidR="00210E8D">
        <w:t>(OMB Control No.</w:t>
      </w:r>
      <w:r w:rsidR="00210E8D" w:rsidRPr="00210E8D">
        <w:t xml:space="preserve"> 0584-0026</w:t>
      </w:r>
      <w:proofErr w:type="gramStart"/>
      <w:r w:rsidR="00210E8D">
        <w:t xml:space="preserve">, </w:t>
      </w:r>
      <w:r w:rsidR="00210E8D" w:rsidRPr="00210E8D">
        <w:t xml:space="preserve"> Expiration</w:t>
      </w:r>
      <w:proofErr w:type="gramEnd"/>
      <w:r w:rsidR="00210E8D" w:rsidRPr="00210E8D">
        <w:t xml:space="preserve"> Date 3/31/2013</w:t>
      </w:r>
      <w:r w:rsidR="00210E8D">
        <w:t xml:space="preserve">) </w:t>
      </w:r>
      <w:r w:rsidRPr="007C69A6">
        <w:t xml:space="preserve">meets these criteria and will be used as the sample frame for the </w:t>
      </w:r>
      <w:r w:rsidRPr="007C69A6">
        <w:rPr>
          <w:i/>
        </w:rPr>
        <w:t>School Foodservice Indirect Cost Study</w:t>
      </w:r>
      <w:r w:rsidR="00567780" w:rsidRPr="007C69A6">
        <w:t xml:space="preserve">. </w:t>
      </w:r>
      <w:r w:rsidRPr="007C69A6">
        <w:t>This database, which is compiled annually, contains the most up-to-date information on all SFAs participating in the NSLP</w:t>
      </w:r>
      <w:r w:rsidR="00567780" w:rsidRPr="007C69A6">
        <w:t xml:space="preserve">. </w:t>
      </w:r>
      <w:r w:rsidRPr="007C69A6">
        <w:t xml:space="preserve">In addition, it is a “rich” sample frame in that it contains information on several key SFA characteristics such as enrollment; number of students approved for free, reduced-price, and paid meals, etc. </w:t>
      </w:r>
      <w:r w:rsidR="00303D0B">
        <w:t xml:space="preserve">The database also included information on poverty level. </w:t>
      </w:r>
      <w:r w:rsidR="00573B71" w:rsidRPr="007C69A6">
        <w:t xml:space="preserve">Contact information for the selected SFAs will be imported from external sources such as the </w:t>
      </w:r>
      <w:r w:rsidR="00573B71" w:rsidRPr="007C69A6">
        <w:rPr>
          <w:b/>
        </w:rPr>
        <w:t>QED Education Database</w:t>
      </w:r>
      <w:r w:rsidR="00573B71" w:rsidRPr="007C69A6">
        <w:t xml:space="preserve"> from MCH Strategic Data or the </w:t>
      </w:r>
      <w:proofErr w:type="spellStart"/>
      <w:r w:rsidR="00573B71" w:rsidRPr="007C69A6">
        <w:rPr>
          <w:b/>
        </w:rPr>
        <w:t>EdConnect</w:t>
      </w:r>
      <w:proofErr w:type="spellEnd"/>
      <w:r w:rsidR="00573B71" w:rsidRPr="007C69A6">
        <w:rPr>
          <w:b/>
        </w:rPr>
        <w:t xml:space="preserve"> Database</w:t>
      </w:r>
      <w:r w:rsidR="00573B71" w:rsidRPr="007C69A6">
        <w:t xml:space="preserve"> from Agile Education Marketing database. While these databases should have up-to-date contact information for SFA Directors and LEA Business Managers, we anticipate that project staff will need to find some contact information from LEA web sites. </w:t>
      </w:r>
      <w:r w:rsidRPr="007C69A6">
        <w:t xml:space="preserve">This information will enable us to </w:t>
      </w:r>
      <w:r w:rsidR="00404D1E">
        <w:t>work with the</w:t>
      </w:r>
      <w:r w:rsidRPr="007C69A6">
        <w:t xml:space="preserve"> nationally representative sample for the study and facilitate the rapid recruitment of selected SFAs.</w:t>
      </w:r>
    </w:p>
    <w:p w:rsidR="004B1702" w:rsidRPr="007C69A6" w:rsidRDefault="004B1702" w:rsidP="002E5929">
      <w:pPr>
        <w:pStyle w:val="Heading3"/>
      </w:pPr>
      <w:bookmarkStart w:id="15" w:name="_Toc310342875"/>
      <w:bookmarkStart w:id="16" w:name="_Toc319071540"/>
      <w:r w:rsidRPr="007C69A6">
        <w:t>Sample Size</w:t>
      </w:r>
      <w:bookmarkEnd w:id="15"/>
      <w:bookmarkEnd w:id="16"/>
      <w:r w:rsidRPr="007C69A6">
        <w:t xml:space="preserve"> </w:t>
      </w:r>
    </w:p>
    <w:p w:rsidR="004B1702" w:rsidRPr="007C69A6" w:rsidRDefault="004B1702" w:rsidP="006B4A35">
      <w:pPr>
        <w:spacing w:line="480" w:lineRule="auto"/>
        <w:ind w:firstLine="360"/>
      </w:pPr>
      <w:r w:rsidRPr="007C69A6">
        <w:t>The target population for this survey is all public and private SFAs participating in the NSLP and SPB.</w:t>
      </w:r>
      <w:r w:rsidR="002069B7" w:rsidRPr="007C69A6">
        <w:t xml:space="preserve"> </w:t>
      </w:r>
      <w:r w:rsidRPr="007C69A6">
        <w:t xml:space="preserve">In order to reach the required level of precision for </w:t>
      </w:r>
      <w:r w:rsidRPr="007C69A6">
        <w:rPr>
          <w:b/>
          <w:i/>
        </w:rPr>
        <w:t>public SFAs</w:t>
      </w:r>
      <w:r w:rsidRPr="007C69A6">
        <w:t>, we must have an initial sample of 2,373 SFAs and</w:t>
      </w:r>
      <w:r w:rsidR="00A815A4" w:rsidRPr="007C69A6">
        <w:t>, assuming an 80 percent response rate,</w:t>
      </w:r>
      <w:r w:rsidR="009B16C3">
        <w:rPr>
          <w:rStyle w:val="FootnoteReference"/>
        </w:rPr>
        <w:footnoteReference w:id="1"/>
      </w:r>
      <w:r w:rsidRPr="007C69A6">
        <w:t xml:space="preserve"> a final sample of 1,89</w:t>
      </w:r>
      <w:r w:rsidR="009B16C3">
        <w:t>8</w:t>
      </w:r>
      <w:r w:rsidRPr="007C69A6">
        <w:t xml:space="preserve"> completed public school district/SFA surveys. </w:t>
      </w:r>
      <w:r w:rsidR="006B4A35" w:rsidRPr="007C69A6">
        <w:t xml:space="preserve">The sample will be stratified by region and then within each region by </w:t>
      </w:r>
      <w:r w:rsidR="00A815A4" w:rsidRPr="007C69A6">
        <w:t xml:space="preserve">SFA </w:t>
      </w:r>
      <w:r w:rsidR="006B4A35" w:rsidRPr="007C69A6">
        <w:t xml:space="preserve">size. </w:t>
      </w:r>
      <w:r w:rsidR="008629FD" w:rsidRPr="007C69A6">
        <w:t xml:space="preserve">The total initial sample of 2,373 SFAs will be </w:t>
      </w:r>
      <w:r w:rsidR="00303D0B">
        <w:t xml:space="preserve">equally </w:t>
      </w:r>
      <w:r w:rsidR="008629FD" w:rsidRPr="007C69A6">
        <w:t xml:space="preserve">allocated to each </w:t>
      </w:r>
      <w:r w:rsidR="00303D0B">
        <w:t xml:space="preserve">region. Within each region, the sample will be allocated in </w:t>
      </w:r>
      <w:r w:rsidR="008629FD" w:rsidRPr="007C69A6">
        <w:t>proportion to the number of SFAs in each size group in the population.</w:t>
      </w:r>
      <w:r w:rsidR="002069B7" w:rsidRPr="007C69A6">
        <w:t xml:space="preserve"> </w:t>
      </w:r>
      <w:r w:rsidR="008629FD" w:rsidRPr="007C69A6">
        <w:t xml:space="preserve">We will select an initial sample of at least 339 SFAs in each size group to ensure an analytic </w:t>
      </w:r>
      <w:r w:rsidRPr="007C69A6">
        <w:t xml:space="preserve">sample of at least </w:t>
      </w:r>
      <w:r w:rsidRPr="007C69A6">
        <w:lastRenderedPageBreak/>
        <w:t>271 completed school district/SFA surveys</w:t>
      </w:r>
      <w:r w:rsidR="00E87675" w:rsidRPr="007C69A6">
        <w:t xml:space="preserve"> </w:t>
      </w:r>
      <w:r w:rsidRPr="007C69A6">
        <w:t xml:space="preserve">in each of the three size groups. </w:t>
      </w:r>
      <w:r w:rsidR="009D0892" w:rsidRPr="007C69A6">
        <w:t xml:space="preserve">The sample will also be examined to ensure </w:t>
      </w:r>
      <w:r w:rsidR="000851E0" w:rsidRPr="007C69A6">
        <w:t xml:space="preserve">an </w:t>
      </w:r>
      <w:r w:rsidR="009D0892" w:rsidRPr="007C69A6">
        <w:t>analytic sample of at least 271 completed school district/SFA surveys in each of t</w:t>
      </w:r>
      <w:r w:rsidR="00FB6E74" w:rsidRPr="007C69A6">
        <w:t>wo poverty strata (≥60% and ≤59% of students enrolled approved for free and reduced-price meals).</w:t>
      </w:r>
      <w:r w:rsidR="002069B7" w:rsidRPr="007C69A6">
        <w:t xml:space="preserve"> </w:t>
      </w:r>
      <w:r w:rsidRPr="007C69A6">
        <w:t xml:space="preserve">An illustrative allocation of the total sample by region and size is shown </w:t>
      </w:r>
      <w:r w:rsidR="00C418C1" w:rsidRPr="007C69A6">
        <w:t xml:space="preserve">in </w:t>
      </w:r>
      <w:r w:rsidRPr="007C69A6">
        <w:t>Exhibit B.</w:t>
      </w:r>
      <w:r w:rsidR="00C418C1" w:rsidRPr="007C69A6">
        <w:t>1</w:t>
      </w:r>
      <w:r w:rsidRPr="007C69A6">
        <w:t xml:space="preserve">. The distribution of </w:t>
      </w:r>
      <w:r w:rsidR="002E2A6F" w:rsidRPr="007C69A6">
        <w:t>SFAs</w:t>
      </w:r>
      <w:r w:rsidRPr="007C69A6">
        <w:t xml:space="preserve"> by size and region </w:t>
      </w:r>
      <w:r w:rsidR="002E2A6F" w:rsidRPr="007C69A6">
        <w:t xml:space="preserve">is taken </w:t>
      </w:r>
      <w:r w:rsidRPr="007C69A6">
        <w:t xml:space="preserve">from the </w:t>
      </w:r>
      <w:r w:rsidR="002E2A6F" w:rsidRPr="007C69A6">
        <w:t xml:space="preserve">FNS School Food Authority Verification Summary Report (VSR) Data Set for the </w:t>
      </w:r>
      <w:r w:rsidR="006517AF" w:rsidRPr="007C69A6">
        <w:t>SY</w:t>
      </w:r>
      <w:r w:rsidR="00C42284">
        <w:t xml:space="preserve"> 2010-</w:t>
      </w:r>
      <w:r w:rsidR="006517AF" w:rsidRPr="007C69A6">
        <w:t>11</w:t>
      </w:r>
      <w:r w:rsidRPr="007C69A6">
        <w:t xml:space="preserve">. The size groups small, medium, and large were defined in terms of student enrollment as follows: Large = 10,000 or more, Medium= 1,000 to </w:t>
      </w:r>
      <w:r w:rsidR="00DD737B" w:rsidRPr="007C69A6">
        <w:t>9,999</w:t>
      </w:r>
      <w:r w:rsidRPr="007C69A6">
        <w:t xml:space="preserve"> and Small= less than 1,000. </w:t>
      </w:r>
    </w:p>
    <w:p w:rsidR="009F238B" w:rsidRPr="007C69A6" w:rsidRDefault="00C418C1" w:rsidP="009F238B">
      <w:pPr>
        <w:spacing w:line="480" w:lineRule="auto"/>
        <w:ind w:firstLine="360"/>
      </w:pPr>
      <w:r w:rsidRPr="007C69A6">
        <w:t>In order to reach the required level of precision, w</w:t>
      </w:r>
      <w:r w:rsidR="008629FD" w:rsidRPr="007C69A6">
        <w:t>e</w:t>
      </w:r>
      <w:r w:rsidR="009F238B" w:rsidRPr="007C69A6">
        <w:t xml:space="preserve"> will </w:t>
      </w:r>
      <w:r w:rsidRPr="007C69A6">
        <w:t xml:space="preserve">select an initial </w:t>
      </w:r>
      <w:r w:rsidR="009F238B" w:rsidRPr="007C69A6">
        <w:t xml:space="preserve">sample of </w:t>
      </w:r>
      <w:r w:rsidRPr="007C69A6">
        <w:t xml:space="preserve">125 </w:t>
      </w:r>
      <w:r w:rsidR="009F238B" w:rsidRPr="007C69A6">
        <w:rPr>
          <w:b/>
          <w:i/>
        </w:rPr>
        <w:t>private SFAs</w:t>
      </w:r>
      <w:r w:rsidR="009F238B" w:rsidRPr="007C69A6">
        <w:t xml:space="preserve"> </w:t>
      </w:r>
      <w:r w:rsidRPr="007C69A6">
        <w:t xml:space="preserve">stratified </w:t>
      </w:r>
      <w:r w:rsidR="008629FD" w:rsidRPr="007C69A6">
        <w:t xml:space="preserve">by FNS region </w:t>
      </w:r>
      <w:r w:rsidR="009F238B" w:rsidRPr="007C69A6">
        <w:t xml:space="preserve">to ensure that the sample is not only nationally representative, but also has face validity. The </w:t>
      </w:r>
      <w:r w:rsidRPr="007C69A6">
        <w:t xml:space="preserve">sample of </w:t>
      </w:r>
      <w:r w:rsidR="009F238B" w:rsidRPr="007C69A6">
        <w:t xml:space="preserve">private SFAs will be allocated to each region in proportion to the number of private SFAs in the region. An equal probability systematic sample will be selected in each stratum after sorting the SFAs by State and size. </w:t>
      </w:r>
      <w:r w:rsidR="00A815A4" w:rsidRPr="007C69A6">
        <w:t xml:space="preserve">Assuming </w:t>
      </w:r>
      <w:r w:rsidR="009F238B" w:rsidRPr="007C69A6">
        <w:t>an 80</w:t>
      </w:r>
      <w:r w:rsidR="00C42284">
        <w:t>%</w:t>
      </w:r>
      <w:r w:rsidR="009F238B" w:rsidRPr="007C69A6">
        <w:t xml:space="preserve"> response rate, this will provide an analytic sample of 100 private SFAs.</w:t>
      </w:r>
    </w:p>
    <w:p w:rsidR="00A96993" w:rsidRPr="007C69A6" w:rsidRDefault="00A96993" w:rsidP="00A96993">
      <w:pPr>
        <w:pStyle w:val="Caption"/>
      </w:pPr>
      <w:bookmarkStart w:id="17" w:name="_Toc310342876"/>
      <w:r w:rsidRPr="007C69A6">
        <w:t>Exhibit B.1.</w:t>
      </w:r>
      <w:r w:rsidRPr="007C69A6">
        <w:tab/>
        <w:t>Distribution of Public SFA Population and Sample of Completed Public School District/Public SFA Surveys by Strata</w:t>
      </w:r>
    </w:p>
    <w:tbl>
      <w:tblPr>
        <w:tblW w:w="9382" w:type="dxa"/>
        <w:tblInd w:w="93" w:type="dxa"/>
        <w:tblLook w:val="04A0"/>
      </w:tblPr>
      <w:tblGrid>
        <w:gridCol w:w="1725"/>
        <w:gridCol w:w="1065"/>
        <w:gridCol w:w="850"/>
        <w:gridCol w:w="1064"/>
        <w:gridCol w:w="850"/>
        <w:gridCol w:w="1064"/>
        <w:gridCol w:w="850"/>
        <w:gridCol w:w="1064"/>
        <w:gridCol w:w="850"/>
      </w:tblGrid>
      <w:tr w:rsidR="00A96993" w:rsidRPr="00867453" w:rsidTr="00162DA2">
        <w:trPr>
          <w:cantSplit/>
          <w:trHeight w:val="288"/>
        </w:trPr>
        <w:tc>
          <w:tcPr>
            <w:tcW w:w="1725" w:type="dxa"/>
            <w:vMerge w:val="restart"/>
            <w:tcBorders>
              <w:top w:val="single" w:sz="8" w:space="0" w:color="666969"/>
              <w:left w:val="single" w:sz="8" w:space="0" w:color="666969"/>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rPr>
                <w:rFonts w:ascii="Arial Narrow" w:hAnsi="Arial Narrow" w:cs="Arial"/>
                <w:b/>
                <w:bCs/>
                <w:color w:val="000000"/>
                <w:sz w:val="20"/>
              </w:rPr>
            </w:pPr>
            <w:r w:rsidRPr="00867453">
              <w:rPr>
                <w:rFonts w:ascii="Arial Narrow" w:hAnsi="Arial Narrow" w:cs="Arial"/>
                <w:b/>
                <w:bCs/>
                <w:color w:val="000000"/>
                <w:sz w:val="20"/>
              </w:rPr>
              <w:t>Region</w:t>
            </w:r>
          </w:p>
        </w:tc>
        <w:tc>
          <w:tcPr>
            <w:tcW w:w="7657" w:type="dxa"/>
            <w:gridSpan w:val="8"/>
            <w:tcBorders>
              <w:top w:val="single" w:sz="8" w:space="0" w:color="666969"/>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School District/SFA Size Class</w:t>
            </w:r>
          </w:p>
        </w:tc>
      </w:tr>
      <w:tr w:rsidR="00A96993" w:rsidRPr="00867453" w:rsidTr="00162DA2">
        <w:trPr>
          <w:trHeight w:val="288"/>
        </w:trPr>
        <w:tc>
          <w:tcPr>
            <w:tcW w:w="1725" w:type="dxa"/>
            <w:vMerge/>
            <w:tcBorders>
              <w:top w:val="single" w:sz="8" w:space="0" w:color="666969"/>
              <w:left w:val="single" w:sz="8" w:space="0" w:color="666969"/>
              <w:bottom w:val="single" w:sz="8" w:space="0" w:color="666969"/>
              <w:right w:val="single" w:sz="8" w:space="0" w:color="666969"/>
            </w:tcBorders>
            <w:vAlign w:val="center"/>
            <w:hideMark/>
          </w:tcPr>
          <w:p w:rsidR="00A96993" w:rsidRPr="00867453" w:rsidRDefault="00A96993" w:rsidP="009B16C3">
            <w:pPr>
              <w:spacing w:line="240" w:lineRule="auto"/>
              <w:rPr>
                <w:rFonts w:ascii="Arial Narrow" w:hAnsi="Arial Narrow" w:cs="Arial"/>
                <w:b/>
                <w:bCs/>
                <w:color w:val="000000"/>
                <w:sz w:val="20"/>
              </w:rPr>
            </w:pPr>
          </w:p>
        </w:tc>
        <w:tc>
          <w:tcPr>
            <w:tcW w:w="1915" w:type="dxa"/>
            <w:gridSpan w:val="2"/>
            <w:tcBorders>
              <w:top w:val="single" w:sz="8" w:space="0" w:color="666969"/>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Small</w:t>
            </w:r>
          </w:p>
        </w:tc>
        <w:tc>
          <w:tcPr>
            <w:tcW w:w="1914" w:type="dxa"/>
            <w:gridSpan w:val="2"/>
            <w:tcBorders>
              <w:top w:val="single" w:sz="8" w:space="0" w:color="666969"/>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Medium</w:t>
            </w:r>
          </w:p>
        </w:tc>
        <w:tc>
          <w:tcPr>
            <w:tcW w:w="1914" w:type="dxa"/>
            <w:gridSpan w:val="2"/>
            <w:tcBorders>
              <w:top w:val="single" w:sz="8" w:space="0" w:color="666969"/>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Large</w:t>
            </w:r>
          </w:p>
        </w:tc>
        <w:tc>
          <w:tcPr>
            <w:tcW w:w="1914" w:type="dxa"/>
            <w:gridSpan w:val="2"/>
            <w:tcBorders>
              <w:top w:val="single" w:sz="8" w:space="0" w:color="666969"/>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Total</w:t>
            </w:r>
          </w:p>
        </w:tc>
      </w:tr>
      <w:tr w:rsidR="00A96993" w:rsidRPr="00867453" w:rsidTr="00162DA2">
        <w:trPr>
          <w:trHeight w:val="288"/>
        </w:trPr>
        <w:tc>
          <w:tcPr>
            <w:tcW w:w="1725" w:type="dxa"/>
            <w:vMerge/>
            <w:tcBorders>
              <w:top w:val="single" w:sz="8" w:space="0" w:color="666969"/>
              <w:left w:val="single" w:sz="8" w:space="0" w:color="666969"/>
              <w:bottom w:val="single" w:sz="8" w:space="0" w:color="666969"/>
              <w:right w:val="single" w:sz="8" w:space="0" w:color="666969"/>
            </w:tcBorders>
            <w:vAlign w:val="center"/>
            <w:hideMark/>
          </w:tcPr>
          <w:p w:rsidR="00A96993" w:rsidRPr="00867453" w:rsidRDefault="00A96993" w:rsidP="009B16C3">
            <w:pPr>
              <w:spacing w:line="240" w:lineRule="auto"/>
              <w:rPr>
                <w:rFonts w:ascii="Arial Narrow" w:hAnsi="Arial Narrow" w:cs="Arial"/>
                <w:b/>
                <w:bCs/>
                <w:color w:val="000000"/>
                <w:sz w:val="20"/>
              </w:rPr>
            </w:pPr>
          </w:p>
        </w:tc>
        <w:tc>
          <w:tcPr>
            <w:tcW w:w="1065"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Population</w:t>
            </w:r>
          </w:p>
        </w:tc>
        <w:tc>
          <w:tcPr>
            <w:tcW w:w="850"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Sample</w:t>
            </w:r>
          </w:p>
        </w:tc>
        <w:tc>
          <w:tcPr>
            <w:tcW w:w="1064"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Population</w:t>
            </w:r>
          </w:p>
        </w:tc>
        <w:tc>
          <w:tcPr>
            <w:tcW w:w="850"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Sample</w:t>
            </w:r>
          </w:p>
        </w:tc>
        <w:tc>
          <w:tcPr>
            <w:tcW w:w="1064"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Population</w:t>
            </w:r>
          </w:p>
        </w:tc>
        <w:tc>
          <w:tcPr>
            <w:tcW w:w="850"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Sample</w:t>
            </w:r>
          </w:p>
        </w:tc>
        <w:tc>
          <w:tcPr>
            <w:tcW w:w="1064"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Population</w:t>
            </w:r>
          </w:p>
        </w:tc>
        <w:tc>
          <w:tcPr>
            <w:tcW w:w="850"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Sample</w:t>
            </w:r>
          </w:p>
        </w:tc>
      </w:tr>
      <w:tr w:rsidR="00A96993" w:rsidRPr="00867453" w:rsidTr="00162DA2">
        <w:trPr>
          <w:cantSplit/>
          <w:trHeight w:val="288"/>
        </w:trPr>
        <w:tc>
          <w:tcPr>
            <w:tcW w:w="1725" w:type="dxa"/>
            <w:tcBorders>
              <w:top w:val="nil"/>
              <w:left w:val="single" w:sz="8" w:space="0" w:color="666969"/>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rPr>
                <w:rFonts w:ascii="Arial Narrow" w:hAnsi="Arial Narrow" w:cs="Arial"/>
                <w:color w:val="000000"/>
                <w:sz w:val="20"/>
              </w:rPr>
            </w:pPr>
            <w:r w:rsidRPr="00867453">
              <w:rPr>
                <w:rFonts w:ascii="Arial Narrow" w:hAnsi="Arial Narrow" w:cs="Arial"/>
                <w:color w:val="000000"/>
                <w:sz w:val="20"/>
              </w:rPr>
              <w:t xml:space="preserve">Mid-Atlantic </w:t>
            </w:r>
          </w:p>
        </w:tc>
        <w:tc>
          <w:tcPr>
            <w:tcW w:w="1065"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533</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116</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861</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188</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92</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35</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1,486</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339</w:t>
            </w:r>
          </w:p>
        </w:tc>
      </w:tr>
      <w:tr w:rsidR="00A96993" w:rsidRPr="00867453" w:rsidTr="00162DA2">
        <w:trPr>
          <w:cantSplit/>
          <w:trHeight w:val="288"/>
        </w:trPr>
        <w:tc>
          <w:tcPr>
            <w:tcW w:w="1725" w:type="dxa"/>
            <w:tcBorders>
              <w:top w:val="nil"/>
              <w:left w:val="single" w:sz="8" w:space="0" w:color="666969"/>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rPr>
                <w:rFonts w:ascii="Arial Narrow" w:hAnsi="Arial Narrow" w:cs="Arial"/>
                <w:color w:val="000000"/>
                <w:sz w:val="20"/>
              </w:rPr>
            </w:pPr>
            <w:r w:rsidRPr="00867453">
              <w:rPr>
                <w:rFonts w:ascii="Arial Narrow" w:hAnsi="Arial Narrow" w:cs="Arial"/>
                <w:color w:val="000000"/>
                <w:sz w:val="20"/>
              </w:rPr>
              <w:t xml:space="preserve">Midwest </w:t>
            </w:r>
          </w:p>
        </w:tc>
        <w:tc>
          <w:tcPr>
            <w:tcW w:w="1065"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1,942</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159</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1,694</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139</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111</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41</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3,747</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339</w:t>
            </w:r>
          </w:p>
        </w:tc>
      </w:tr>
      <w:tr w:rsidR="00A96993" w:rsidRPr="00867453" w:rsidTr="00162DA2">
        <w:trPr>
          <w:cantSplit/>
          <w:trHeight w:val="288"/>
        </w:trPr>
        <w:tc>
          <w:tcPr>
            <w:tcW w:w="1725" w:type="dxa"/>
            <w:tcBorders>
              <w:top w:val="nil"/>
              <w:left w:val="single" w:sz="8" w:space="0" w:color="666969"/>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rPr>
                <w:rFonts w:ascii="Arial Narrow" w:hAnsi="Arial Narrow" w:cs="Arial"/>
                <w:color w:val="000000"/>
                <w:sz w:val="20"/>
              </w:rPr>
            </w:pPr>
            <w:r w:rsidRPr="00867453">
              <w:rPr>
                <w:rFonts w:ascii="Arial Narrow" w:hAnsi="Arial Narrow" w:cs="Arial"/>
                <w:color w:val="000000"/>
                <w:sz w:val="20"/>
              </w:rPr>
              <w:t>Mountain Plains</w:t>
            </w:r>
          </w:p>
        </w:tc>
        <w:tc>
          <w:tcPr>
            <w:tcW w:w="1065"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1,776</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238</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534</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71</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79</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30</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2,389</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339</w:t>
            </w:r>
          </w:p>
        </w:tc>
      </w:tr>
      <w:tr w:rsidR="00A96993" w:rsidRPr="00867453" w:rsidTr="00162DA2">
        <w:trPr>
          <w:cantSplit/>
          <w:trHeight w:val="288"/>
        </w:trPr>
        <w:tc>
          <w:tcPr>
            <w:tcW w:w="1725" w:type="dxa"/>
            <w:tcBorders>
              <w:top w:val="nil"/>
              <w:left w:val="single" w:sz="8" w:space="0" w:color="666969"/>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rPr>
                <w:rFonts w:ascii="Arial Narrow" w:hAnsi="Arial Narrow" w:cs="Arial"/>
                <w:color w:val="000000"/>
                <w:sz w:val="20"/>
              </w:rPr>
            </w:pPr>
            <w:r w:rsidRPr="00867453">
              <w:rPr>
                <w:rFonts w:ascii="Arial Narrow" w:hAnsi="Arial Narrow" w:cs="Arial"/>
                <w:color w:val="000000"/>
                <w:sz w:val="20"/>
              </w:rPr>
              <w:t>Northeast</w:t>
            </w:r>
          </w:p>
        </w:tc>
        <w:tc>
          <w:tcPr>
            <w:tcW w:w="1065"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775</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148</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923</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176</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41</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15</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1,739</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339</w:t>
            </w:r>
          </w:p>
        </w:tc>
      </w:tr>
      <w:tr w:rsidR="00A96993" w:rsidRPr="00867453" w:rsidTr="00162DA2">
        <w:trPr>
          <w:cantSplit/>
          <w:trHeight w:val="288"/>
        </w:trPr>
        <w:tc>
          <w:tcPr>
            <w:tcW w:w="1725" w:type="dxa"/>
            <w:tcBorders>
              <w:top w:val="nil"/>
              <w:left w:val="single" w:sz="8" w:space="0" w:color="666969"/>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rPr>
                <w:rFonts w:ascii="Arial Narrow" w:hAnsi="Arial Narrow" w:cs="Arial"/>
                <w:color w:val="000000"/>
                <w:sz w:val="20"/>
              </w:rPr>
            </w:pPr>
            <w:r w:rsidRPr="00867453">
              <w:rPr>
                <w:rFonts w:ascii="Arial Narrow" w:hAnsi="Arial Narrow" w:cs="Arial"/>
                <w:color w:val="000000"/>
                <w:sz w:val="20"/>
              </w:rPr>
              <w:t>Southeast</w:t>
            </w:r>
          </w:p>
        </w:tc>
        <w:tc>
          <w:tcPr>
            <w:tcW w:w="1065"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264</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67</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785</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203</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181</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69</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1,230</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339</w:t>
            </w:r>
          </w:p>
        </w:tc>
      </w:tr>
      <w:tr w:rsidR="00A96993" w:rsidRPr="00867453" w:rsidTr="00162DA2">
        <w:trPr>
          <w:cantSplit/>
          <w:trHeight w:val="288"/>
        </w:trPr>
        <w:tc>
          <w:tcPr>
            <w:tcW w:w="1725" w:type="dxa"/>
            <w:tcBorders>
              <w:top w:val="nil"/>
              <w:left w:val="single" w:sz="8" w:space="0" w:color="666969"/>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rPr>
                <w:rFonts w:ascii="Arial Narrow" w:hAnsi="Arial Narrow" w:cs="Arial"/>
                <w:color w:val="000000"/>
                <w:sz w:val="20"/>
              </w:rPr>
            </w:pPr>
            <w:r w:rsidRPr="00867453">
              <w:rPr>
                <w:rFonts w:ascii="Arial Narrow" w:hAnsi="Arial Narrow" w:cs="Arial"/>
                <w:color w:val="000000"/>
                <w:sz w:val="20"/>
              </w:rPr>
              <w:t>Southwest</w:t>
            </w:r>
          </w:p>
        </w:tc>
        <w:tc>
          <w:tcPr>
            <w:tcW w:w="1065"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1,302</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181</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735</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103</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146</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55</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2,183</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339</w:t>
            </w:r>
          </w:p>
        </w:tc>
      </w:tr>
      <w:tr w:rsidR="00A96993" w:rsidRPr="00867453" w:rsidTr="00162DA2">
        <w:trPr>
          <w:cantSplit/>
          <w:trHeight w:val="288"/>
        </w:trPr>
        <w:tc>
          <w:tcPr>
            <w:tcW w:w="1725" w:type="dxa"/>
            <w:tcBorders>
              <w:top w:val="nil"/>
              <w:left w:val="single" w:sz="8" w:space="0" w:color="666969"/>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rPr>
                <w:rFonts w:ascii="Arial Narrow" w:hAnsi="Arial Narrow" w:cs="Arial"/>
                <w:color w:val="000000"/>
                <w:sz w:val="20"/>
              </w:rPr>
            </w:pPr>
            <w:r w:rsidRPr="00867453">
              <w:rPr>
                <w:rFonts w:ascii="Arial Narrow" w:hAnsi="Arial Narrow" w:cs="Arial"/>
                <w:color w:val="000000"/>
                <w:sz w:val="20"/>
              </w:rPr>
              <w:t>Western</w:t>
            </w:r>
          </w:p>
        </w:tc>
        <w:tc>
          <w:tcPr>
            <w:tcW w:w="1065"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1,108</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146</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745</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99</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248</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94</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2,101</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339</w:t>
            </w:r>
          </w:p>
        </w:tc>
      </w:tr>
      <w:tr w:rsidR="00A96993" w:rsidRPr="00867453" w:rsidTr="00162DA2">
        <w:trPr>
          <w:cantSplit/>
          <w:trHeight w:val="288"/>
        </w:trPr>
        <w:tc>
          <w:tcPr>
            <w:tcW w:w="1725" w:type="dxa"/>
            <w:tcBorders>
              <w:top w:val="nil"/>
              <w:left w:val="single" w:sz="8" w:space="0" w:color="666969"/>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rPr>
                <w:rFonts w:ascii="Arial Narrow" w:hAnsi="Arial Narrow" w:cs="Arial"/>
                <w:b/>
                <w:bCs/>
                <w:color w:val="000000"/>
                <w:sz w:val="20"/>
              </w:rPr>
            </w:pPr>
            <w:r w:rsidRPr="00867453">
              <w:rPr>
                <w:rFonts w:ascii="Arial Narrow" w:hAnsi="Arial Narrow" w:cs="Arial"/>
                <w:b/>
                <w:bCs/>
                <w:color w:val="000000"/>
                <w:sz w:val="20"/>
              </w:rPr>
              <w:t>Total</w:t>
            </w:r>
          </w:p>
        </w:tc>
        <w:tc>
          <w:tcPr>
            <w:tcW w:w="1065"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7,700</w:t>
            </w:r>
          </w:p>
        </w:tc>
        <w:tc>
          <w:tcPr>
            <w:tcW w:w="850"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1,055</w:t>
            </w:r>
          </w:p>
        </w:tc>
        <w:tc>
          <w:tcPr>
            <w:tcW w:w="1064"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6,277</w:t>
            </w:r>
          </w:p>
        </w:tc>
        <w:tc>
          <w:tcPr>
            <w:tcW w:w="850"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979</w:t>
            </w:r>
          </w:p>
        </w:tc>
        <w:tc>
          <w:tcPr>
            <w:tcW w:w="1064"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898</w:t>
            </w:r>
          </w:p>
        </w:tc>
        <w:tc>
          <w:tcPr>
            <w:tcW w:w="850"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339</w:t>
            </w:r>
          </w:p>
        </w:tc>
        <w:tc>
          <w:tcPr>
            <w:tcW w:w="1064"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14,875</w:t>
            </w:r>
          </w:p>
        </w:tc>
        <w:tc>
          <w:tcPr>
            <w:tcW w:w="850"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2,373</w:t>
            </w:r>
          </w:p>
        </w:tc>
      </w:tr>
      <w:tr w:rsidR="00A96993" w:rsidRPr="00867453" w:rsidTr="00162DA2">
        <w:trPr>
          <w:cantSplit/>
          <w:trHeight w:val="288"/>
        </w:trPr>
        <w:tc>
          <w:tcPr>
            <w:tcW w:w="1725" w:type="dxa"/>
            <w:tcBorders>
              <w:top w:val="nil"/>
              <w:left w:val="single" w:sz="8" w:space="0" w:color="666969"/>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rPr>
                <w:rFonts w:ascii="Arial Narrow" w:hAnsi="Arial Narrow" w:cs="Arial"/>
                <w:b/>
                <w:bCs/>
                <w:color w:val="000000"/>
                <w:sz w:val="20"/>
              </w:rPr>
            </w:pPr>
            <w:r w:rsidRPr="00867453">
              <w:rPr>
                <w:rFonts w:ascii="Arial Narrow" w:hAnsi="Arial Narrow" w:cs="Arial"/>
                <w:b/>
                <w:bCs/>
                <w:color w:val="000000"/>
                <w:sz w:val="20"/>
              </w:rPr>
              <w:t>Poverty Rate</w:t>
            </w:r>
          </w:p>
        </w:tc>
        <w:tc>
          <w:tcPr>
            <w:tcW w:w="1065"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Population</w:t>
            </w:r>
          </w:p>
        </w:tc>
        <w:tc>
          <w:tcPr>
            <w:tcW w:w="850"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Sample</w:t>
            </w:r>
          </w:p>
        </w:tc>
        <w:tc>
          <w:tcPr>
            <w:tcW w:w="1064"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Population</w:t>
            </w:r>
          </w:p>
        </w:tc>
        <w:tc>
          <w:tcPr>
            <w:tcW w:w="850"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Sample</w:t>
            </w:r>
          </w:p>
        </w:tc>
        <w:tc>
          <w:tcPr>
            <w:tcW w:w="1064"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Population</w:t>
            </w:r>
          </w:p>
        </w:tc>
        <w:tc>
          <w:tcPr>
            <w:tcW w:w="850"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Sample</w:t>
            </w:r>
          </w:p>
        </w:tc>
        <w:tc>
          <w:tcPr>
            <w:tcW w:w="1064"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Population</w:t>
            </w:r>
          </w:p>
        </w:tc>
        <w:tc>
          <w:tcPr>
            <w:tcW w:w="850" w:type="dxa"/>
            <w:tcBorders>
              <w:top w:val="nil"/>
              <w:left w:val="nil"/>
              <w:bottom w:val="single" w:sz="8" w:space="0" w:color="666969"/>
              <w:right w:val="single" w:sz="8" w:space="0" w:color="666969"/>
            </w:tcBorders>
            <w:shd w:val="clear" w:color="000000" w:fill="C3C6A8"/>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Sample</w:t>
            </w:r>
          </w:p>
        </w:tc>
      </w:tr>
      <w:tr w:rsidR="00A96993" w:rsidRPr="00867453" w:rsidTr="00162DA2">
        <w:trPr>
          <w:cantSplit/>
          <w:trHeight w:val="288"/>
        </w:trPr>
        <w:tc>
          <w:tcPr>
            <w:tcW w:w="1725" w:type="dxa"/>
            <w:tcBorders>
              <w:top w:val="nil"/>
              <w:left w:val="single" w:sz="8" w:space="0" w:color="666969"/>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rPr>
                <w:rFonts w:ascii="Arial Narrow" w:hAnsi="Arial Narrow" w:cs="Arial"/>
                <w:color w:val="000000"/>
                <w:sz w:val="20"/>
              </w:rPr>
            </w:pPr>
            <w:r w:rsidRPr="00867453">
              <w:rPr>
                <w:rFonts w:ascii="Arial Narrow" w:hAnsi="Arial Narrow" w:cs="Arial"/>
                <w:color w:val="000000"/>
                <w:sz w:val="20"/>
              </w:rPr>
              <w:t>Low (0-59 pct)</w:t>
            </w:r>
          </w:p>
        </w:tc>
        <w:tc>
          <w:tcPr>
            <w:tcW w:w="1065"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4,646</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6</w:t>
            </w:r>
            <w:r>
              <w:rPr>
                <w:rFonts w:ascii="Arial Narrow" w:hAnsi="Arial Narrow" w:cs="Arial"/>
                <w:color w:val="000000"/>
                <w:sz w:val="20"/>
              </w:rPr>
              <w:t>36</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4,616</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Pr>
                <w:rFonts w:ascii="Arial Narrow" w:hAnsi="Arial Narrow" w:cs="Arial"/>
                <w:color w:val="000000"/>
                <w:sz w:val="20"/>
              </w:rPr>
              <w:t>700</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603</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Pr>
                <w:rFonts w:ascii="Arial Narrow" w:hAnsi="Arial Narrow" w:cs="Arial"/>
                <w:color w:val="000000"/>
                <w:sz w:val="20"/>
              </w:rPr>
              <w:t>228</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9,865</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w:t>
            </w:r>
            <w:r>
              <w:rPr>
                <w:rFonts w:ascii="Arial Narrow" w:hAnsi="Arial Narrow" w:cs="Arial"/>
                <w:color w:val="000000"/>
                <w:sz w:val="20"/>
              </w:rPr>
              <w:t>564</w:t>
            </w:r>
          </w:p>
        </w:tc>
      </w:tr>
      <w:tr w:rsidR="00A96993" w:rsidRPr="00867453" w:rsidTr="00162DA2">
        <w:trPr>
          <w:cantSplit/>
          <w:trHeight w:val="288"/>
        </w:trPr>
        <w:tc>
          <w:tcPr>
            <w:tcW w:w="1725" w:type="dxa"/>
            <w:tcBorders>
              <w:top w:val="nil"/>
              <w:left w:val="single" w:sz="8" w:space="0" w:color="666969"/>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rPr>
                <w:rFonts w:ascii="Arial Narrow" w:hAnsi="Arial Narrow" w:cs="Arial"/>
                <w:color w:val="000000"/>
                <w:sz w:val="20"/>
              </w:rPr>
            </w:pPr>
            <w:r w:rsidRPr="00867453">
              <w:rPr>
                <w:rFonts w:ascii="Arial Narrow" w:hAnsi="Arial Narrow" w:cs="Arial"/>
                <w:color w:val="000000"/>
                <w:sz w:val="20"/>
              </w:rPr>
              <w:t>High (60-100 pct)</w:t>
            </w:r>
          </w:p>
        </w:tc>
        <w:tc>
          <w:tcPr>
            <w:tcW w:w="1065"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3,054</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Pr>
                <w:rFonts w:ascii="Arial Narrow" w:hAnsi="Arial Narrow" w:cs="Arial"/>
                <w:color w:val="000000"/>
                <w:sz w:val="20"/>
              </w:rPr>
              <w:t>4</w:t>
            </w:r>
            <w:r w:rsidRPr="00867453">
              <w:rPr>
                <w:rFonts w:ascii="Arial Narrow" w:hAnsi="Arial Narrow" w:cs="Arial"/>
                <w:color w:val="000000"/>
                <w:sz w:val="20"/>
              </w:rPr>
              <w:t>1</w:t>
            </w:r>
            <w:r>
              <w:rPr>
                <w:rFonts w:ascii="Arial Narrow" w:hAnsi="Arial Narrow" w:cs="Arial"/>
                <w:color w:val="000000"/>
                <w:sz w:val="20"/>
              </w:rPr>
              <w:t>9</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1,661</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Pr>
                <w:rFonts w:ascii="Arial Narrow" w:hAnsi="Arial Narrow" w:cs="Arial"/>
                <w:color w:val="000000"/>
                <w:sz w:val="20"/>
              </w:rPr>
              <w:t>279</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295</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Pr>
                <w:rFonts w:ascii="Arial Narrow" w:hAnsi="Arial Narrow" w:cs="Arial"/>
                <w:color w:val="000000"/>
                <w:sz w:val="20"/>
              </w:rPr>
              <w:t>111</w:t>
            </w:r>
          </w:p>
        </w:tc>
        <w:tc>
          <w:tcPr>
            <w:tcW w:w="1064"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sidRPr="00867453">
              <w:rPr>
                <w:rFonts w:ascii="Arial Narrow" w:hAnsi="Arial Narrow" w:cs="Arial"/>
                <w:color w:val="000000"/>
                <w:sz w:val="20"/>
              </w:rPr>
              <w:t>5,010</w:t>
            </w:r>
          </w:p>
        </w:tc>
        <w:tc>
          <w:tcPr>
            <w:tcW w:w="850" w:type="dxa"/>
            <w:tcBorders>
              <w:top w:val="nil"/>
              <w:left w:val="nil"/>
              <w:bottom w:val="single" w:sz="8" w:space="0" w:color="666969"/>
              <w:right w:val="single" w:sz="8" w:space="0" w:color="666969"/>
            </w:tcBorders>
            <w:shd w:val="clear" w:color="auto" w:fill="auto"/>
            <w:vAlign w:val="center"/>
            <w:hideMark/>
          </w:tcPr>
          <w:p w:rsidR="00A96993" w:rsidRPr="00867453" w:rsidRDefault="00A96993" w:rsidP="009B16C3">
            <w:pPr>
              <w:spacing w:line="240" w:lineRule="auto"/>
              <w:jc w:val="center"/>
              <w:rPr>
                <w:rFonts w:ascii="Arial Narrow" w:hAnsi="Arial Narrow" w:cs="Arial"/>
                <w:color w:val="000000"/>
                <w:sz w:val="20"/>
              </w:rPr>
            </w:pPr>
            <w:r>
              <w:rPr>
                <w:rFonts w:ascii="Arial Narrow" w:hAnsi="Arial Narrow" w:cs="Arial"/>
                <w:color w:val="000000"/>
                <w:sz w:val="20"/>
              </w:rPr>
              <w:t>809</w:t>
            </w:r>
          </w:p>
        </w:tc>
      </w:tr>
      <w:tr w:rsidR="00A96993" w:rsidRPr="00867453" w:rsidTr="00162DA2">
        <w:trPr>
          <w:cantSplit/>
          <w:trHeight w:val="288"/>
        </w:trPr>
        <w:tc>
          <w:tcPr>
            <w:tcW w:w="1725" w:type="dxa"/>
            <w:tcBorders>
              <w:top w:val="nil"/>
              <w:left w:val="single" w:sz="8" w:space="0" w:color="666969"/>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rPr>
                <w:rFonts w:ascii="Arial Narrow" w:hAnsi="Arial Narrow" w:cs="Arial"/>
                <w:b/>
                <w:bCs/>
                <w:color w:val="000000"/>
                <w:sz w:val="20"/>
              </w:rPr>
            </w:pPr>
            <w:r w:rsidRPr="00867453">
              <w:rPr>
                <w:rFonts w:ascii="Arial Narrow" w:hAnsi="Arial Narrow" w:cs="Arial"/>
                <w:b/>
                <w:bCs/>
                <w:color w:val="000000"/>
                <w:sz w:val="20"/>
              </w:rPr>
              <w:t>Total</w:t>
            </w:r>
          </w:p>
        </w:tc>
        <w:tc>
          <w:tcPr>
            <w:tcW w:w="1065"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7,700</w:t>
            </w:r>
          </w:p>
        </w:tc>
        <w:tc>
          <w:tcPr>
            <w:tcW w:w="850"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1,055</w:t>
            </w:r>
          </w:p>
        </w:tc>
        <w:tc>
          <w:tcPr>
            <w:tcW w:w="1064"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6,277</w:t>
            </w:r>
          </w:p>
        </w:tc>
        <w:tc>
          <w:tcPr>
            <w:tcW w:w="850"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979</w:t>
            </w:r>
          </w:p>
        </w:tc>
        <w:tc>
          <w:tcPr>
            <w:tcW w:w="1064"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898</w:t>
            </w:r>
          </w:p>
        </w:tc>
        <w:tc>
          <w:tcPr>
            <w:tcW w:w="850"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339</w:t>
            </w:r>
          </w:p>
        </w:tc>
        <w:tc>
          <w:tcPr>
            <w:tcW w:w="1064"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14,875</w:t>
            </w:r>
          </w:p>
        </w:tc>
        <w:tc>
          <w:tcPr>
            <w:tcW w:w="850" w:type="dxa"/>
            <w:tcBorders>
              <w:top w:val="nil"/>
              <w:left w:val="nil"/>
              <w:bottom w:val="single" w:sz="8" w:space="0" w:color="666969"/>
              <w:right w:val="single" w:sz="8" w:space="0" w:color="666969"/>
            </w:tcBorders>
            <w:shd w:val="clear" w:color="000000" w:fill="CFD1D1"/>
            <w:vAlign w:val="center"/>
            <w:hideMark/>
          </w:tcPr>
          <w:p w:rsidR="00A96993" w:rsidRPr="00867453" w:rsidRDefault="00A96993" w:rsidP="009B16C3">
            <w:pPr>
              <w:spacing w:line="240" w:lineRule="auto"/>
              <w:jc w:val="center"/>
              <w:rPr>
                <w:rFonts w:ascii="Arial Narrow" w:hAnsi="Arial Narrow" w:cs="Arial"/>
                <w:b/>
                <w:bCs/>
                <w:color w:val="000000"/>
                <w:sz w:val="20"/>
              </w:rPr>
            </w:pPr>
            <w:r w:rsidRPr="00867453">
              <w:rPr>
                <w:rFonts w:ascii="Arial Narrow" w:hAnsi="Arial Narrow" w:cs="Arial"/>
                <w:b/>
                <w:bCs/>
                <w:color w:val="000000"/>
                <w:sz w:val="20"/>
              </w:rPr>
              <w:t>2,373</w:t>
            </w:r>
          </w:p>
        </w:tc>
      </w:tr>
    </w:tbl>
    <w:p w:rsidR="00A96993" w:rsidRDefault="00A96993" w:rsidP="00A96993">
      <w:pPr>
        <w:pStyle w:val="BodyText"/>
      </w:pPr>
    </w:p>
    <w:p w:rsidR="004B1702" w:rsidRPr="007C69A6" w:rsidRDefault="004B1702" w:rsidP="002E5929">
      <w:pPr>
        <w:pStyle w:val="Heading3"/>
      </w:pPr>
      <w:bookmarkStart w:id="18" w:name="_Toc319071541"/>
      <w:r w:rsidRPr="007C69A6">
        <w:lastRenderedPageBreak/>
        <w:t>Sample Selection</w:t>
      </w:r>
      <w:bookmarkEnd w:id="17"/>
      <w:bookmarkEnd w:id="18"/>
      <w:r w:rsidRPr="007C69A6">
        <w:t xml:space="preserve"> </w:t>
      </w:r>
    </w:p>
    <w:p w:rsidR="000851E0" w:rsidRPr="007C69A6" w:rsidRDefault="004B1702" w:rsidP="00467B10">
      <w:pPr>
        <w:spacing w:line="480" w:lineRule="auto"/>
        <w:ind w:firstLine="360"/>
      </w:pPr>
      <w:r w:rsidRPr="007C69A6">
        <w:t xml:space="preserve">For </w:t>
      </w:r>
      <w:r w:rsidRPr="007C69A6">
        <w:rPr>
          <w:b/>
          <w:i/>
        </w:rPr>
        <w:t>public SFAs</w:t>
      </w:r>
      <w:r w:rsidRPr="007C69A6">
        <w:t xml:space="preserve"> we will select an equal probability systematic sample in each region x size group x poverty level after sortin</w:t>
      </w:r>
      <w:r w:rsidR="002364E2">
        <w:t>g the public SFAs by State. T</w:t>
      </w:r>
      <w:r w:rsidRPr="007C69A6">
        <w:t>he number</w:t>
      </w:r>
      <w:r w:rsidR="002364E2">
        <w:t xml:space="preserve"> of SFAs</w:t>
      </w:r>
      <w:r w:rsidRPr="007C69A6">
        <w:t xml:space="preserve"> in each poverty level is sufficient to ensure a sample of 271 completed school district/SFA survey</w:t>
      </w:r>
      <w:r w:rsidR="002364E2">
        <w:t>s from each group. We will</w:t>
      </w:r>
      <w:r w:rsidRPr="007C69A6">
        <w:t xml:space="preserve"> sampl</w:t>
      </w:r>
      <w:r w:rsidR="002364E2">
        <w:t>e</w:t>
      </w:r>
      <w:r w:rsidRPr="007C69A6">
        <w:t xml:space="preserve"> in each size x region stratum after sorting the SFAs by poverty level and State and then select an equal probability systematic sample</w:t>
      </w:r>
      <w:r w:rsidR="000851E0" w:rsidRPr="007C69A6">
        <w:t xml:space="preserve">. </w:t>
      </w:r>
      <w:r w:rsidRPr="007C69A6">
        <w:t xml:space="preserve">The sampling procedure for </w:t>
      </w:r>
      <w:r w:rsidRPr="007C69A6">
        <w:rPr>
          <w:b/>
          <w:i/>
        </w:rPr>
        <w:t xml:space="preserve">private SFAs </w:t>
      </w:r>
      <w:r w:rsidRPr="007C69A6">
        <w:t>is the same as that of the public SFAs</w:t>
      </w:r>
      <w:r w:rsidR="00A815A4" w:rsidRPr="007C69A6">
        <w:t xml:space="preserve"> except that we will not stratify by poverty rate</w:t>
      </w:r>
      <w:r w:rsidR="000851E0" w:rsidRPr="007C69A6">
        <w:t>.</w:t>
      </w:r>
    </w:p>
    <w:p w:rsidR="000C573E" w:rsidRPr="007C69A6" w:rsidRDefault="004B1702" w:rsidP="000851E0">
      <w:pPr>
        <w:spacing w:line="480" w:lineRule="auto"/>
        <w:ind w:firstLine="360"/>
      </w:pPr>
      <w:r w:rsidRPr="007C69A6">
        <w:t>While we will not explicitly stratify</w:t>
      </w:r>
      <w:r w:rsidR="00A815A4" w:rsidRPr="007C69A6">
        <w:t xml:space="preserve"> the sample </w:t>
      </w:r>
      <w:r w:rsidRPr="007C69A6">
        <w:t>by single-school vs. multiple-school LEAs (public or private), our proposed systematic sampling design is tantamount to such stratification.</w:t>
      </w:r>
      <w:r w:rsidR="000851E0" w:rsidRPr="007C69A6">
        <w:rPr>
          <w:rStyle w:val="CommentReference"/>
        </w:rPr>
        <w:t xml:space="preserve"> </w:t>
      </w:r>
      <w:r w:rsidR="000851E0" w:rsidRPr="007C69A6">
        <w:t xml:space="preserve">To </w:t>
      </w:r>
      <w:r w:rsidRPr="007C69A6">
        <w:t>briefly summarize our proposed systematic sampling design, within each FNS region, we are selecting an equal probability sample after sorting the SFAs by state and size. This method of sampling is equivalent to creating strata by state and size in each region and then sampling from each stratum, and we are giving proportional representation to state and size. The only difference is that when we create actual strata, we will need to select a sample from every stratum whereas in systematic sampling there is no such restriction. It may happen that not all states and sizes are represented, but the sample will still provide representation to size and state. The variability in single schools versus multi-schools is taken care of by storing and selecting a systematic sample.</w:t>
      </w:r>
    </w:p>
    <w:p w:rsidR="004B1702" w:rsidRPr="007C69A6" w:rsidRDefault="004B1702" w:rsidP="002E5929">
      <w:pPr>
        <w:pStyle w:val="Heading3"/>
      </w:pPr>
      <w:bookmarkStart w:id="19" w:name="_Toc310342877"/>
      <w:bookmarkStart w:id="20" w:name="_Toc319071542"/>
      <w:r w:rsidRPr="007C69A6">
        <w:t>Sampling Weights</w:t>
      </w:r>
      <w:bookmarkEnd w:id="19"/>
      <w:r w:rsidR="0070172E" w:rsidRPr="007C69A6">
        <w:t>, Response Rates and Non-Response Adjustments</w:t>
      </w:r>
      <w:bookmarkEnd w:id="20"/>
    </w:p>
    <w:p w:rsidR="000C573E" w:rsidRPr="007C69A6" w:rsidRDefault="0070172E" w:rsidP="0070172E">
      <w:pPr>
        <w:spacing w:line="480" w:lineRule="auto"/>
        <w:ind w:firstLine="360"/>
      </w:pPr>
      <w:r w:rsidRPr="007C69A6">
        <w:t xml:space="preserve">Each responding school district/SFA in the sample will be assigned a sampling weight. </w:t>
      </w:r>
      <w:r w:rsidR="00C418C1" w:rsidRPr="007C69A6">
        <w:t xml:space="preserve">The base weight is the inverse of the probability of selection of the responding school district/SFA. </w:t>
      </w:r>
      <w:r w:rsidR="004B1702" w:rsidRPr="007C69A6">
        <w:t xml:space="preserve">The </w:t>
      </w:r>
      <w:r w:rsidRPr="007C69A6">
        <w:t xml:space="preserve">base </w:t>
      </w:r>
      <w:r w:rsidR="004B1702" w:rsidRPr="007C69A6">
        <w:t xml:space="preserve">weight will </w:t>
      </w:r>
      <w:r w:rsidRPr="007C69A6">
        <w:t xml:space="preserve">be adjusted </w:t>
      </w:r>
      <w:r w:rsidR="004B1702" w:rsidRPr="007C69A6">
        <w:t xml:space="preserve">for </w:t>
      </w:r>
      <w:proofErr w:type="spellStart"/>
      <w:r w:rsidR="004B1702" w:rsidRPr="007C69A6">
        <w:t>nonresponse</w:t>
      </w:r>
      <w:proofErr w:type="spellEnd"/>
      <w:r w:rsidR="004B1702" w:rsidRPr="007C69A6">
        <w:t xml:space="preserve"> to the survey</w:t>
      </w:r>
      <w:r w:rsidRPr="007C69A6">
        <w:t>.</w:t>
      </w:r>
      <w:r w:rsidR="004B1702" w:rsidRPr="007C69A6">
        <w:t xml:space="preserve"> We anticipate that all states </w:t>
      </w:r>
      <w:r w:rsidR="009E47ED">
        <w:t xml:space="preserve">and the District of Columbia </w:t>
      </w:r>
      <w:r w:rsidR="004B1702" w:rsidRPr="007C69A6">
        <w:t>will complete the State</w:t>
      </w:r>
      <w:r w:rsidR="008A7D96" w:rsidRPr="007C69A6">
        <w:t>-level</w:t>
      </w:r>
      <w:r w:rsidR="004B1702" w:rsidRPr="007C69A6">
        <w:t xml:space="preserve"> survey</w:t>
      </w:r>
      <w:r w:rsidR="008A7D96" w:rsidRPr="007C69A6">
        <w:t>s</w:t>
      </w:r>
      <w:r w:rsidR="004B1702" w:rsidRPr="007C69A6">
        <w:t xml:space="preserve"> and provide the requested archival data</w:t>
      </w:r>
      <w:r w:rsidR="00567780" w:rsidRPr="007C69A6">
        <w:t xml:space="preserve">. </w:t>
      </w:r>
      <w:r w:rsidR="004B1702" w:rsidRPr="007C69A6">
        <w:t>We anticipate an 80</w:t>
      </w:r>
      <w:r w:rsidR="00EE29D3">
        <w:t>%</w:t>
      </w:r>
      <w:r w:rsidR="004B1702" w:rsidRPr="007C69A6">
        <w:t xml:space="preserve"> response rate for the SFA survey</w:t>
      </w:r>
      <w:r w:rsidR="00085A28" w:rsidRPr="007C69A6">
        <w:t>.</w:t>
      </w:r>
      <w:r w:rsidR="002069B7" w:rsidRPr="007C69A6">
        <w:t xml:space="preserve"> </w:t>
      </w:r>
      <w:r w:rsidRPr="007C69A6">
        <w:t>T</w:t>
      </w:r>
      <w:r w:rsidR="004B1702" w:rsidRPr="007C69A6">
        <w:t xml:space="preserve">he sampling weights </w:t>
      </w:r>
      <w:r w:rsidRPr="007C69A6">
        <w:t>ensure that</w:t>
      </w:r>
      <w:r w:rsidR="004B1702" w:rsidRPr="007C69A6">
        <w:t xml:space="preserve"> the results will be nationally representative</w:t>
      </w:r>
      <w:r w:rsidRPr="007C69A6">
        <w:t>.</w:t>
      </w:r>
    </w:p>
    <w:p w:rsidR="004B1702" w:rsidRPr="007C69A6" w:rsidRDefault="004B1702" w:rsidP="00467B10">
      <w:pPr>
        <w:spacing w:line="480" w:lineRule="auto"/>
        <w:ind w:firstLine="360"/>
      </w:pPr>
      <w:r w:rsidRPr="007C69A6">
        <w:t xml:space="preserve">In addition, we will perform sensitivity analyses comparing the characteristics of respondents and </w:t>
      </w:r>
      <w:proofErr w:type="spellStart"/>
      <w:r w:rsidRPr="007C69A6">
        <w:t>nonrespondents</w:t>
      </w:r>
      <w:proofErr w:type="spellEnd"/>
      <w:r w:rsidRPr="007C69A6">
        <w:t xml:space="preserve"> using information from the Form FNS-742 SFA Verification Summary Report </w:t>
      </w:r>
      <w:r w:rsidR="008A7D96" w:rsidRPr="007C69A6">
        <w:t xml:space="preserve">(VSR) </w:t>
      </w:r>
      <w:r w:rsidRPr="007C69A6">
        <w:lastRenderedPageBreak/>
        <w:t xml:space="preserve">database used to construct the sampling frame. This will allow us to assess the extent to which survey </w:t>
      </w:r>
      <w:proofErr w:type="spellStart"/>
      <w:r w:rsidRPr="007C69A6">
        <w:t>nonresponse</w:t>
      </w:r>
      <w:proofErr w:type="spellEnd"/>
      <w:r w:rsidRPr="007C69A6">
        <w:t xml:space="preserve"> differs by SFA characteristics such as income level, SFA size, or region.</w:t>
      </w:r>
    </w:p>
    <w:p w:rsidR="00B77DA5" w:rsidRPr="007C69A6" w:rsidRDefault="004B1702" w:rsidP="00B77DA5">
      <w:pPr>
        <w:pStyle w:val="Heading2"/>
        <w:spacing w:after="0"/>
        <w:rPr>
          <w:noProof/>
        </w:rPr>
      </w:pPr>
      <w:bookmarkStart w:id="21" w:name="_Toc244928787"/>
      <w:bookmarkStart w:id="22" w:name="_Toc310342879"/>
      <w:bookmarkStart w:id="23" w:name="_Toc319071543"/>
      <w:r w:rsidRPr="007C69A6">
        <w:rPr>
          <w:noProof/>
        </w:rPr>
        <w:t>B.2</w:t>
      </w:r>
      <w:r w:rsidRPr="007C69A6">
        <w:rPr>
          <w:noProof/>
        </w:rPr>
        <w:tab/>
      </w:r>
      <w:bookmarkEnd w:id="21"/>
      <w:bookmarkEnd w:id="22"/>
      <w:r w:rsidR="00B77DA5" w:rsidRPr="007C69A6">
        <w:rPr>
          <w:noProof/>
        </w:rPr>
        <w:t>Describe the procedures for the collection of information including:</w:t>
      </w:r>
      <w:bookmarkEnd w:id="23"/>
    </w:p>
    <w:p w:rsidR="00B77DA5" w:rsidRPr="007C69A6" w:rsidRDefault="00B77DA5" w:rsidP="00B77DA5">
      <w:pPr>
        <w:pStyle w:val="Heading2"/>
        <w:keepNext w:val="0"/>
        <w:tabs>
          <w:tab w:val="left" w:pos="1080"/>
        </w:tabs>
        <w:spacing w:after="120"/>
        <w:ind w:left="1080" w:hanging="360"/>
        <w:rPr>
          <w:noProof/>
        </w:rPr>
      </w:pPr>
      <w:bookmarkStart w:id="24" w:name="_Toc319071544"/>
      <w:r w:rsidRPr="007C69A6">
        <w:rPr>
          <w:noProof/>
        </w:rPr>
        <w:t>•</w:t>
      </w:r>
      <w:r w:rsidRPr="007C69A6">
        <w:rPr>
          <w:noProof/>
        </w:rPr>
        <w:tab/>
        <w:t>Statistical methodology for stratification and sample selection,</w:t>
      </w:r>
      <w:bookmarkEnd w:id="24"/>
    </w:p>
    <w:p w:rsidR="00B77DA5" w:rsidRPr="007C69A6" w:rsidRDefault="00B77DA5" w:rsidP="00B77DA5">
      <w:pPr>
        <w:pStyle w:val="Heading2"/>
        <w:keepNext w:val="0"/>
        <w:tabs>
          <w:tab w:val="left" w:pos="1080"/>
        </w:tabs>
        <w:spacing w:after="120"/>
        <w:ind w:left="1080" w:hanging="360"/>
        <w:rPr>
          <w:noProof/>
        </w:rPr>
      </w:pPr>
      <w:bookmarkStart w:id="25" w:name="_Toc319071545"/>
      <w:r w:rsidRPr="007C69A6">
        <w:rPr>
          <w:noProof/>
        </w:rPr>
        <w:t>•</w:t>
      </w:r>
      <w:r w:rsidRPr="007C69A6">
        <w:rPr>
          <w:noProof/>
        </w:rPr>
        <w:tab/>
        <w:t>Estimation procedure,</w:t>
      </w:r>
      <w:bookmarkEnd w:id="25"/>
    </w:p>
    <w:p w:rsidR="00B77DA5" w:rsidRPr="007C69A6" w:rsidRDefault="00B77DA5" w:rsidP="00B77DA5">
      <w:pPr>
        <w:pStyle w:val="Heading2"/>
        <w:keepNext w:val="0"/>
        <w:tabs>
          <w:tab w:val="left" w:pos="1080"/>
        </w:tabs>
        <w:spacing w:after="120"/>
        <w:ind w:left="1080" w:hanging="360"/>
        <w:rPr>
          <w:noProof/>
        </w:rPr>
      </w:pPr>
      <w:bookmarkStart w:id="26" w:name="_Toc319071546"/>
      <w:r w:rsidRPr="007C69A6">
        <w:rPr>
          <w:noProof/>
        </w:rPr>
        <w:t>•</w:t>
      </w:r>
      <w:r w:rsidRPr="007C69A6">
        <w:rPr>
          <w:noProof/>
        </w:rPr>
        <w:tab/>
        <w:t>Degree of accuracy needed for the pur¬pose described in the justification,</w:t>
      </w:r>
      <w:bookmarkEnd w:id="26"/>
    </w:p>
    <w:p w:rsidR="00B77DA5" w:rsidRPr="007C69A6" w:rsidRDefault="00B77DA5" w:rsidP="00B77DA5">
      <w:pPr>
        <w:pStyle w:val="Heading2"/>
        <w:keepNext w:val="0"/>
        <w:tabs>
          <w:tab w:val="left" w:pos="1080"/>
        </w:tabs>
        <w:spacing w:after="120"/>
        <w:ind w:left="1080" w:hanging="360"/>
        <w:rPr>
          <w:noProof/>
        </w:rPr>
      </w:pPr>
      <w:bookmarkStart w:id="27" w:name="_Toc319071547"/>
      <w:r w:rsidRPr="007C69A6">
        <w:rPr>
          <w:noProof/>
        </w:rPr>
        <w:t>•</w:t>
      </w:r>
      <w:r w:rsidRPr="007C69A6">
        <w:rPr>
          <w:noProof/>
        </w:rPr>
        <w:tab/>
        <w:t>Unusual problems requiring specialized sampling procedures, and</w:t>
      </w:r>
      <w:bookmarkEnd w:id="27"/>
    </w:p>
    <w:p w:rsidR="004B1702" w:rsidRPr="007C69A6" w:rsidRDefault="00B77DA5" w:rsidP="00B77DA5">
      <w:pPr>
        <w:pStyle w:val="Heading2"/>
        <w:keepNext w:val="0"/>
        <w:tabs>
          <w:tab w:val="left" w:pos="1080"/>
        </w:tabs>
        <w:ind w:left="1080" w:hanging="360"/>
      </w:pPr>
      <w:bookmarkStart w:id="28" w:name="_Toc319071548"/>
      <w:r w:rsidRPr="007C69A6">
        <w:rPr>
          <w:noProof/>
        </w:rPr>
        <w:t>•</w:t>
      </w:r>
      <w:r w:rsidRPr="007C69A6">
        <w:rPr>
          <w:noProof/>
        </w:rPr>
        <w:tab/>
        <w:t>Any use of periodic (less frequent than annual) data collection cycles to reduce burden.</w:t>
      </w:r>
      <w:bookmarkEnd w:id="28"/>
    </w:p>
    <w:p w:rsidR="00447223" w:rsidRPr="007C69A6" w:rsidRDefault="00944E39" w:rsidP="00B77DA5">
      <w:pPr>
        <w:pStyle w:val="BodyText"/>
      </w:pPr>
      <w:r w:rsidRPr="007C69A6">
        <w:t xml:space="preserve">This is a one-time data collection effort with no unusual problems that require specialized sampling procedures. </w:t>
      </w:r>
      <w:r w:rsidR="004B1702" w:rsidRPr="007C69A6">
        <w:t>Procedures for the collection of information addressed below include:</w:t>
      </w:r>
    </w:p>
    <w:p w:rsidR="00447223" w:rsidRPr="007C69A6" w:rsidRDefault="009F238B" w:rsidP="002E5929">
      <w:pPr>
        <w:pStyle w:val="Bullets"/>
      </w:pPr>
      <w:r w:rsidRPr="007C69A6">
        <w:t>s</w:t>
      </w:r>
      <w:r w:rsidR="004B1702" w:rsidRPr="007C69A6">
        <w:t>tatistical methodology for stratification and sample selection;</w:t>
      </w:r>
    </w:p>
    <w:p w:rsidR="00447223" w:rsidRPr="007C69A6" w:rsidRDefault="009F238B" w:rsidP="002E5929">
      <w:pPr>
        <w:pStyle w:val="Bullets"/>
      </w:pPr>
      <w:r w:rsidRPr="007C69A6">
        <w:t>e</w:t>
      </w:r>
      <w:r w:rsidR="004B1702" w:rsidRPr="007C69A6">
        <w:t>stimation procedure;</w:t>
      </w:r>
    </w:p>
    <w:p w:rsidR="00447223" w:rsidRPr="007C69A6" w:rsidRDefault="009F238B" w:rsidP="002E5929">
      <w:pPr>
        <w:pStyle w:val="Bullets"/>
      </w:pPr>
      <w:r w:rsidRPr="007C69A6">
        <w:t>d</w:t>
      </w:r>
      <w:r w:rsidR="004B1702" w:rsidRPr="007C69A6">
        <w:t>egree of accuracy needed</w:t>
      </w:r>
      <w:r w:rsidRPr="007C69A6">
        <w:t>:</w:t>
      </w:r>
    </w:p>
    <w:p w:rsidR="00447223" w:rsidRPr="007C69A6" w:rsidRDefault="009F238B" w:rsidP="002E5929">
      <w:pPr>
        <w:pStyle w:val="Bullets"/>
      </w:pPr>
      <w:r w:rsidRPr="007C69A6">
        <w:t>u</w:t>
      </w:r>
      <w:r w:rsidR="004B1702" w:rsidRPr="007C69A6">
        <w:t>nusual problems requiring specialized sampling procedures; and</w:t>
      </w:r>
    </w:p>
    <w:p w:rsidR="000C573E" w:rsidRPr="007C69A6" w:rsidRDefault="009F238B" w:rsidP="002E5929">
      <w:pPr>
        <w:pStyle w:val="Bullets"/>
      </w:pPr>
      <w:proofErr w:type="gramStart"/>
      <w:r w:rsidRPr="007C69A6">
        <w:t>u</w:t>
      </w:r>
      <w:r w:rsidR="004B1702" w:rsidRPr="007C69A6">
        <w:t>se</w:t>
      </w:r>
      <w:proofErr w:type="gramEnd"/>
      <w:r w:rsidR="004B1702" w:rsidRPr="007C69A6">
        <w:t xml:space="preserve"> of periodic (less frequent than annual) data collection cycles to reduce burden.</w:t>
      </w:r>
    </w:p>
    <w:p w:rsidR="004B1702" w:rsidRPr="007C69A6" w:rsidRDefault="004B1702" w:rsidP="002E5929">
      <w:pPr>
        <w:pStyle w:val="Heading3"/>
      </w:pPr>
      <w:bookmarkStart w:id="29" w:name="_Toc310342880"/>
      <w:bookmarkStart w:id="30" w:name="_Toc319071549"/>
      <w:r w:rsidRPr="007C69A6">
        <w:t>Statistical Methodology for Stratification and Sample Selection</w:t>
      </w:r>
      <w:bookmarkEnd w:id="29"/>
      <w:bookmarkEnd w:id="30"/>
      <w:r w:rsidRPr="007C69A6">
        <w:t xml:space="preserve"> </w:t>
      </w:r>
    </w:p>
    <w:p w:rsidR="00750C48" w:rsidRPr="007C69A6" w:rsidRDefault="00750C48" w:rsidP="00013696">
      <w:pPr>
        <w:spacing w:line="480" w:lineRule="auto"/>
        <w:ind w:firstLine="360"/>
      </w:pPr>
      <w:r w:rsidRPr="007C69A6">
        <w:t xml:space="preserve">The </w:t>
      </w:r>
      <w:r w:rsidR="00062EE1" w:rsidRPr="007C69A6">
        <w:t xml:space="preserve">statistical methodology for stratification and sample selection was discussed </w:t>
      </w:r>
      <w:r w:rsidR="00013696" w:rsidRPr="007C69A6">
        <w:t xml:space="preserve">in Section B.1. </w:t>
      </w:r>
    </w:p>
    <w:p w:rsidR="004B1702" w:rsidRPr="007C69A6" w:rsidRDefault="004B1702" w:rsidP="002E5929">
      <w:pPr>
        <w:pStyle w:val="Heading3"/>
      </w:pPr>
      <w:bookmarkStart w:id="31" w:name="_Toc310342881"/>
      <w:bookmarkStart w:id="32" w:name="_Toc319071550"/>
      <w:r w:rsidRPr="007C69A6">
        <w:t>Estimation Procedures</w:t>
      </w:r>
      <w:bookmarkEnd w:id="31"/>
      <w:bookmarkEnd w:id="32"/>
      <w:r w:rsidRPr="007C69A6">
        <w:t xml:space="preserve"> </w:t>
      </w:r>
    </w:p>
    <w:p w:rsidR="004B1702" w:rsidRPr="007C69A6" w:rsidRDefault="00086BCD" w:rsidP="00056FCA">
      <w:pPr>
        <w:spacing w:line="480" w:lineRule="auto"/>
        <w:ind w:firstLine="360"/>
      </w:pPr>
      <w:r w:rsidRPr="007C69A6">
        <w:t>N</w:t>
      </w:r>
      <w:r w:rsidR="004B1702" w:rsidRPr="007C69A6">
        <w:t xml:space="preserve">ational estimates of the prevalence of LEA practices and procedures for obtaining an approved indirect cost rate will </w:t>
      </w:r>
      <w:r w:rsidR="00AE30C2" w:rsidRPr="007C69A6">
        <w:t xml:space="preserve">be </w:t>
      </w:r>
      <w:r w:rsidR="004B1702" w:rsidRPr="007C69A6">
        <w:t>derived from the study sample</w:t>
      </w:r>
      <w:r w:rsidR="00567780" w:rsidRPr="007C69A6">
        <w:t xml:space="preserve">. </w:t>
      </w:r>
      <w:r w:rsidR="007B4329" w:rsidRPr="007C69A6">
        <w:t>W</w:t>
      </w:r>
      <w:r w:rsidR="004B1702" w:rsidRPr="007C69A6">
        <w:t xml:space="preserve">e will provide a confidence interval around </w:t>
      </w:r>
      <w:r w:rsidR="007B4329" w:rsidRPr="007C69A6">
        <w:t xml:space="preserve">each </w:t>
      </w:r>
      <w:r w:rsidR="004B1702" w:rsidRPr="007C69A6">
        <w:t>estimate to account for sampling variation</w:t>
      </w:r>
      <w:r w:rsidR="00567780" w:rsidRPr="007C69A6">
        <w:t xml:space="preserve">. </w:t>
      </w:r>
    </w:p>
    <w:p w:rsidR="004B1702" w:rsidRPr="007C69A6" w:rsidRDefault="004B1702" w:rsidP="002E5929">
      <w:pPr>
        <w:pStyle w:val="Heading3"/>
      </w:pPr>
      <w:bookmarkStart w:id="33" w:name="_Toc275446168"/>
      <w:bookmarkStart w:id="34" w:name="_Toc275702757"/>
      <w:bookmarkStart w:id="35" w:name="_Toc310342882"/>
      <w:bookmarkStart w:id="36" w:name="_Toc319071551"/>
      <w:r w:rsidRPr="007C69A6">
        <w:t>Degree of Accuracy Needed: Precision, Statistical Power, and Minimum Detectable Differences</w:t>
      </w:r>
      <w:bookmarkEnd w:id="33"/>
      <w:bookmarkEnd w:id="34"/>
      <w:bookmarkEnd w:id="35"/>
      <w:bookmarkEnd w:id="36"/>
    </w:p>
    <w:p w:rsidR="000C573E" w:rsidRPr="007C69A6" w:rsidRDefault="004B1702" w:rsidP="00FD20F5">
      <w:pPr>
        <w:spacing w:line="480" w:lineRule="auto"/>
        <w:ind w:firstLine="360"/>
      </w:pPr>
      <w:r w:rsidRPr="007C69A6">
        <w:t>The sample sizes for this study are sufficient to ensure that the level of precision meets FNS’ needs</w:t>
      </w:r>
      <w:r w:rsidR="00567780" w:rsidRPr="007C69A6">
        <w:t xml:space="preserve">. </w:t>
      </w:r>
      <w:r w:rsidRPr="007C69A6">
        <w:t xml:space="preserve">For public SFAs, the study will provide national estimates with a 95% confidence interval of ±5 percentage points. This sample will </w:t>
      </w:r>
      <w:r w:rsidR="00F849B5" w:rsidRPr="007C69A6">
        <w:t xml:space="preserve">also </w:t>
      </w:r>
      <w:r w:rsidRPr="007C69A6">
        <w:t xml:space="preserve">provide a 90% confidence interval of ±5 percentage points for each subgroup. For private SFAs, the sample has been designed to provide a 95% confidence interval of </w:t>
      </w:r>
      <w:r w:rsidRPr="007C69A6">
        <w:lastRenderedPageBreak/>
        <w:t>±10 percentage points. No subgroup analysis will be conducted for private SFAs. Below we discuss the required sample sizes to meet these precision requirements</w:t>
      </w:r>
      <w:r w:rsidR="00EE29D3">
        <w:t>.</w:t>
      </w:r>
    </w:p>
    <w:p w:rsidR="000C573E" w:rsidRPr="007C69A6" w:rsidRDefault="004B1702" w:rsidP="00944E39">
      <w:pPr>
        <w:spacing w:line="480" w:lineRule="auto"/>
        <w:ind w:firstLine="360"/>
      </w:pPr>
      <w:r w:rsidRPr="007C69A6">
        <w:t>FNS is also interested in estimates of the difference between key subgroups of LEAs in the prevalence of LEA practices and procedures for calculating and applying indirect cost rates</w:t>
      </w:r>
      <w:r w:rsidR="00567780" w:rsidRPr="007C69A6">
        <w:t xml:space="preserve">. </w:t>
      </w:r>
      <w:r w:rsidRPr="007C69A6">
        <w:t>In this context, accuracy is defined in terms of minimum detectable difference (MDDs)</w:t>
      </w:r>
      <w:r w:rsidR="00567780" w:rsidRPr="007C69A6">
        <w:t xml:space="preserve">. </w:t>
      </w:r>
      <w:r w:rsidRPr="007C69A6">
        <w:t xml:space="preserve">The sample size for this study have an MDD of two standard deviations (about 10 percentage points) in prevalence rates between key subgroups with 80% statistical power and </w:t>
      </w:r>
      <w:r w:rsidRPr="007C69A6">
        <w:rPr>
          <w:rFonts w:ascii="Microsoft Sans Serif" w:hAnsi="Microsoft Sans Serif" w:cs="Microsoft Sans Serif"/>
        </w:rPr>
        <w:t>α</w:t>
      </w:r>
      <w:r w:rsidRPr="007C69A6">
        <w:rPr>
          <w:rFonts w:cs="Microsoft Sans Serif"/>
          <w:sz w:val="20"/>
          <w:vertAlign w:val="subscript"/>
        </w:rPr>
        <w:t>2</w:t>
      </w:r>
      <w:r w:rsidRPr="007C69A6">
        <w:t xml:space="preserve"> = .10.</w:t>
      </w:r>
    </w:p>
    <w:p w:rsidR="004B1702" w:rsidRPr="007C69A6" w:rsidRDefault="004B1702" w:rsidP="00367182">
      <w:pPr>
        <w:pStyle w:val="Heading2"/>
      </w:pPr>
      <w:bookmarkStart w:id="37" w:name="_Toc287257054"/>
      <w:bookmarkStart w:id="38" w:name="_Toc287257091"/>
      <w:bookmarkStart w:id="39" w:name="_Toc310342885"/>
      <w:bookmarkStart w:id="40" w:name="_Toc319071552"/>
      <w:proofErr w:type="gramStart"/>
      <w:r w:rsidRPr="007C69A6">
        <w:t>B.3</w:t>
      </w:r>
      <w:r w:rsidRPr="007C69A6">
        <w:tab/>
      </w:r>
      <w:bookmarkEnd w:id="37"/>
      <w:bookmarkEnd w:id="38"/>
      <w:bookmarkEnd w:id="39"/>
      <w:r w:rsidR="00B77DA5" w:rsidRPr="007C69A6">
        <w:t>Describe methods to maximize response rates and to deal with issues of non-response.</w:t>
      </w:r>
      <w:proofErr w:type="gramEnd"/>
      <w:r w:rsidR="00B77DA5" w:rsidRPr="007C69A6">
        <w:t xml:space="preserv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40"/>
    </w:p>
    <w:p w:rsidR="004B1702" w:rsidRPr="007C69A6" w:rsidRDefault="004B1702" w:rsidP="003864D5">
      <w:pPr>
        <w:spacing w:line="480" w:lineRule="auto"/>
        <w:ind w:firstLine="360"/>
      </w:pPr>
      <w:r w:rsidRPr="007C69A6">
        <w:t>We do not anticipate a problem obtaining the necessary response rates</w:t>
      </w:r>
      <w:r w:rsidR="00567780" w:rsidRPr="007C69A6">
        <w:t xml:space="preserve">. </w:t>
      </w:r>
      <w:r w:rsidRPr="007C69A6">
        <w:t>The major factor ensuring high response rates is that SFA participation in the survey in not voluntary</w:t>
      </w:r>
      <w:r w:rsidR="00F849B5" w:rsidRPr="007C69A6">
        <w:t>.</w:t>
      </w:r>
      <w:r w:rsidR="002069B7" w:rsidRPr="007C69A6">
        <w:t xml:space="preserve"> </w:t>
      </w:r>
      <w:r w:rsidR="00F849B5" w:rsidRPr="007C69A6">
        <w:t>HHFK</w:t>
      </w:r>
      <w:r w:rsidRPr="007C69A6">
        <w:t xml:space="preserve"> stipulates that “</w:t>
      </w:r>
      <w:r w:rsidRPr="007C69A6">
        <w:rPr>
          <w:rFonts w:cs="Times"/>
        </w:rPr>
        <w:t xml:space="preserve">States, State educational agencies, local educational agencies, schools, institutions, facilities, and contractors participating in programs authorized under this Act and the Child Nutrition </w:t>
      </w:r>
      <w:r w:rsidRPr="007C69A6">
        <w:t>Act</w:t>
      </w:r>
      <w:r w:rsidRPr="007C69A6">
        <w:rPr>
          <w:rFonts w:cs="Times"/>
        </w:rPr>
        <w:t xml:space="preserve"> of 1966 (42 U.S.C. 1771 et seq.) shall cooperate with officials and contractors acting on behalf of the Secretary, in the conduct of evaluations and studies under those Acts</w:t>
      </w:r>
      <w:r w:rsidRPr="007C69A6">
        <w:rPr>
          <w:rFonts w:ascii="Times" w:hAnsi="Times" w:cs="Times"/>
          <w:sz w:val="20"/>
        </w:rPr>
        <w:t xml:space="preserve">” </w:t>
      </w:r>
      <w:r w:rsidRPr="007C69A6">
        <w:t xml:space="preserve">as a condition of receiving funding. We plan to reference </w:t>
      </w:r>
      <w:r w:rsidR="002333E4" w:rsidRPr="007C69A6">
        <w:t>HHFK</w:t>
      </w:r>
      <w:r w:rsidRPr="007C69A6">
        <w:t xml:space="preserve"> in the invitation </w:t>
      </w:r>
      <w:r w:rsidR="003864D5" w:rsidRPr="007C69A6">
        <w:t>to respondents</w:t>
      </w:r>
      <w:r w:rsidRPr="007C69A6">
        <w:t xml:space="preserve">. </w:t>
      </w:r>
      <w:r w:rsidRPr="007C69A6">
        <w:rPr>
          <w:rFonts w:cs="Helvetica"/>
        </w:rPr>
        <w:t>In addition, every effort will be made to mi</w:t>
      </w:r>
      <w:r w:rsidR="005E0B7D">
        <w:rPr>
          <w:rFonts w:cs="Helvetica"/>
        </w:rPr>
        <w:t xml:space="preserve">nimize the burden placed on web </w:t>
      </w:r>
      <w:r w:rsidRPr="007C69A6">
        <w:rPr>
          <w:rFonts w:cs="Helvetica"/>
        </w:rPr>
        <w:t>survey respondents</w:t>
      </w:r>
      <w:r w:rsidR="00567780" w:rsidRPr="007C69A6">
        <w:rPr>
          <w:rFonts w:cs="Helvetica"/>
        </w:rPr>
        <w:t xml:space="preserve">. </w:t>
      </w:r>
      <w:r w:rsidR="003864D5" w:rsidRPr="007C69A6">
        <w:rPr>
          <w:rFonts w:cs="Helvetica"/>
        </w:rPr>
        <w:t>The</w:t>
      </w:r>
      <w:r w:rsidR="003864D5" w:rsidRPr="007C69A6">
        <w:t xml:space="preserve"> web survey allow</w:t>
      </w:r>
      <w:r w:rsidR="00F849B5" w:rsidRPr="007C69A6">
        <w:t>s</w:t>
      </w:r>
      <w:r w:rsidR="003864D5" w:rsidRPr="007C69A6">
        <w:t xml:space="preserve"> respondents to work within their schedule by starting and stopping completion of the survey as often as they need.</w:t>
      </w:r>
    </w:p>
    <w:p w:rsidR="004B1702" w:rsidRPr="007C69A6" w:rsidRDefault="004B1702" w:rsidP="00367182">
      <w:pPr>
        <w:pStyle w:val="Heading2"/>
      </w:pPr>
      <w:bookmarkStart w:id="41" w:name="_Toc287257055"/>
      <w:bookmarkStart w:id="42" w:name="_Toc287257092"/>
      <w:bookmarkStart w:id="43" w:name="_Toc310342886"/>
      <w:bookmarkStart w:id="44" w:name="_Toc319071553"/>
      <w:r w:rsidRPr="007C69A6">
        <w:t>B.4</w:t>
      </w:r>
      <w:r w:rsidRPr="007C69A6">
        <w:tab/>
      </w:r>
      <w:bookmarkEnd w:id="41"/>
      <w:bookmarkEnd w:id="42"/>
      <w:bookmarkEnd w:id="43"/>
      <w:r w:rsidR="00B77DA5" w:rsidRPr="007C69A6">
        <w:t>Describe any tests of procedures or methods to be undertaken.</w:t>
      </w:r>
      <w:r w:rsidR="002069B7" w:rsidRPr="007C69A6">
        <w:t xml:space="preserve"> </w:t>
      </w:r>
      <w:r w:rsidR="00B77DA5" w:rsidRPr="007C69A6">
        <w:t>Testing is encouraged as an effective means of refining collections of information to minimize burden and improve utility.</w:t>
      </w:r>
      <w:r w:rsidR="002069B7" w:rsidRPr="007C69A6">
        <w:t xml:space="preserve"> </w:t>
      </w:r>
      <w:r w:rsidR="00B77DA5" w:rsidRPr="007C69A6">
        <w:t>Tests must be approved if they call for answers to identical questions from 10 or more respondents. A proposed test or set of tests may be submitted for approval separately or in combination with the main collection of information.</w:t>
      </w:r>
      <w:bookmarkEnd w:id="44"/>
    </w:p>
    <w:p w:rsidR="004B1702" w:rsidRPr="007C69A6" w:rsidRDefault="009B727F" w:rsidP="00056FCA">
      <w:pPr>
        <w:spacing w:line="480" w:lineRule="auto"/>
        <w:ind w:firstLine="360"/>
      </w:pPr>
      <w:r w:rsidRPr="007C69A6">
        <w:t>All instruments</w:t>
      </w:r>
      <w:r w:rsidR="004B1702" w:rsidRPr="007C69A6">
        <w:t xml:space="preserve"> have been based on the SLBCS-II</w:t>
      </w:r>
      <w:r w:rsidR="005E0B7D">
        <w:t xml:space="preserve"> (</w:t>
      </w:r>
      <w:r w:rsidR="005E0B7D" w:rsidRPr="007C69A6">
        <w:rPr>
          <w:szCs w:val="22"/>
        </w:rPr>
        <w:t>OMB No. 0584-0533; Expiration Date: 2/28/2009</w:t>
      </w:r>
      <w:r w:rsidR="005E0B7D">
        <w:t>)</w:t>
      </w:r>
      <w:r w:rsidRPr="007C69A6">
        <w:t>.</w:t>
      </w:r>
      <w:r w:rsidR="004B1702" w:rsidRPr="007C69A6">
        <w:t xml:space="preserve"> A pretest of the </w:t>
      </w:r>
      <w:r w:rsidR="00DA544B" w:rsidRPr="007C69A6">
        <w:t xml:space="preserve">SFA Director and </w:t>
      </w:r>
      <w:r w:rsidR="004B1702" w:rsidRPr="007C69A6">
        <w:t>School District Business</w:t>
      </w:r>
      <w:r w:rsidR="00DA544B" w:rsidRPr="007C69A6">
        <w:t xml:space="preserve"> Manager </w:t>
      </w:r>
      <w:r w:rsidR="004B1702" w:rsidRPr="007C69A6">
        <w:t>web surveys will be conducted with no more than 9 respondents each</w:t>
      </w:r>
      <w:r w:rsidR="00F849B5" w:rsidRPr="007C69A6">
        <w:t xml:space="preserve">, </w:t>
      </w:r>
      <w:r w:rsidR="00013696" w:rsidRPr="007C69A6">
        <w:t>who</w:t>
      </w:r>
      <w:r w:rsidR="00F849B5" w:rsidRPr="007C69A6">
        <w:t xml:space="preserve"> will be </w:t>
      </w:r>
      <w:r w:rsidR="004B1702" w:rsidRPr="007C69A6">
        <w:t>chosen from LEAs/SFAs in Massachusetts (not included in the study sample)</w:t>
      </w:r>
      <w:r w:rsidRPr="007C69A6">
        <w:t>.</w:t>
      </w:r>
    </w:p>
    <w:p w:rsidR="004B1702" w:rsidRPr="007C69A6" w:rsidRDefault="004B1702" w:rsidP="005E0B7D">
      <w:pPr>
        <w:pStyle w:val="Heading2"/>
        <w:keepLines/>
      </w:pPr>
      <w:bookmarkStart w:id="45" w:name="_Toc287257056"/>
      <w:bookmarkStart w:id="46" w:name="_Toc287257093"/>
      <w:bookmarkStart w:id="47" w:name="_Toc310342887"/>
      <w:bookmarkStart w:id="48" w:name="_Toc319071554"/>
      <w:r w:rsidRPr="007C69A6">
        <w:lastRenderedPageBreak/>
        <w:t>B.5</w:t>
      </w:r>
      <w:r w:rsidRPr="007C69A6">
        <w:tab/>
      </w:r>
      <w:bookmarkEnd w:id="45"/>
      <w:bookmarkEnd w:id="46"/>
      <w:bookmarkEnd w:id="47"/>
      <w:r w:rsidR="00B77DA5" w:rsidRPr="007C69A6">
        <w:t>Provide the name and telephone number of individuals consulted on statistical aspects of the design and the name of the agency unit, contractor(s), grantee(s), or other person(s) who will actually collect and/or analyze the information for the agency.</w:t>
      </w:r>
      <w:bookmarkEnd w:id="48"/>
    </w:p>
    <w:tbl>
      <w:tblPr>
        <w:tblW w:w="9360" w:type="dxa"/>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Look w:val="01E0"/>
      </w:tblPr>
      <w:tblGrid>
        <w:gridCol w:w="1530"/>
        <w:gridCol w:w="3870"/>
        <w:gridCol w:w="1350"/>
        <w:gridCol w:w="2610"/>
      </w:tblGrid>
      <w:tr w:rsidR="000C573E" w:rsidRPr="007C69A6" w:rsidTr="00162DA2">
        <w:trPr>
          <w:cantSplit/>
          <w:tblHeader/>
        </w:trPr>
        <w:tc>
          <w:tcPr>
            <w:tcW w:w="1530" w:type="dxa"/>
            <w:shd w:val="clear" w:color="auto" w:fill="C3C6A8"/>
            <w:vAlign w:val="bottom"/>
          </w:tcPr>
          <w:p w:rsidR="004B1702" w:rsidRPr="007C69A6" w:rsidRDefault="004B1702" w:rsidP="005E0B7D">
            <w:pPr>
              <w:keepNext/>
              <w:keepLines/>
              <w:spacing w:line="240" w:lineRule="auto"/>
              <w:rPr>
                <w:rFonts w:ascii="Arial Narrow" w:hAnsi="Arial Narrow" w:cs="Arial"/>
                <w:b/>
                <w:sz w:val="20"/>
              </w:rPr>
            </w:pPr>
            <w:bookmarkStart w:id="49" w:name="_Toc287257057"/>
            <w:r w:rsidRPr="007C69A6">
              <w:rPr>
                <w:rFonts w:ascii="Arial Narrow" w:hAnsi="Arial Narrow" w:cs="Arial"/>
                <w:b/>
                <w:sz w:val="20"/>
              </w:rPr>
              <w:t>Name</w:t>
            </w:r>
            <w:bookmarkEnd w:id="49"/>
          </w:p>
        </w:tc>
        <w:tc>
          <w:tcPr>
            <w:tcW w:w="3870" w:type="dxa"/>
            <w:shd w:val="clear" w:color="auto" w:fill="C3C6A8"/>
            <w:vAlign w:val="bottom"/>
          </w:tcPr>
          <w:p w:rsidR="004B1702" w:rsidRPr="007C69A6" w:rsidRDefault="004B1702" w:rsidP="005E0B7D">
            <w:pPr>
              <w:keepNext/>
              <w:keepLines/>
              <w:spacing w:line="240" w:lineRule="auto"/>
              <w:jc w:val="center"/>
              <w:rPr>
                <w:rFonts w:ascii="Arial Narrow" w:hAnsi="Arial Narrow" w:cs="Arial"/>
                <w:b/>
                <w:sz w:val="20"/>
              </w:rPr>
            </w:pPr>
            <w:bookmarkStart w:id="50" w:name="_Toc287257058"/>
            <w:r w:rsidRPr="007C69A6">
              <w:rPr>
                <w:rFonts w:ascii="Arial Narrow" w:hAnsi="Arial Narrow" w:cs="Arial"/>
                <w:b/>
                <w:sz w:val="20"/>
              </w:rPr>
              <w:t>Affiliation</w:t>
            </w:r>
            <w:bookmarkEnd w:id="50"/>
          </w:p>
        </w:tc>
        <w:tc>
          <w:tcPr>
            <w:tcW w:w="1350" w:type="dxa"/>
            <w:shd w:val="clear" w:color="auto" w:fill="C3C6A8"/>
            <w:vAlign w:val="bottom"/>
          </w:tcPr>
          <w:p w:rsidR="004B1702" w:rsidRPr="007C69A6" w:rsidRDefault="004B1702" w:rsidP="005E0B7D">
            <w:pPr>
              <w:keepNext/>
              <w:keepLines/>
              <w:spacing w:line="240" w:lineRule="auto"/>
              <w:jc w:val="center"/>
              <w:rPr>
                <w:rFonts w:ascii="Arial Narrow" w:hAnsi="Arial Narrow" w:cs="Arial"/>
                <w:b/>
                <w:sz w:val="20"/>
              </w:rPr>
            </w:pPr>
            <w:bookmarkStart w:id="51" w:name="_Toc287257059"/>
            <w:r w:rsidRPr="007C69A6">
              <w:rPr>
                <w:rFonts w:ascii="Arial Narrow" w:hAnsi="Arial Narrow" w:cs="Arial"/>
                <w:b/>
                <w:sz w:val="20"/>
              </w:rPr>
              <w:t>Telephone Number</w:t>
            </w:r>
            <w:bookmarkEnd w:id="51"/>
          </w:p>
        </w:tc>
        <w:tc>
          <w:tcPr>
            <w:tcW w:w="2610" w:type="dxa"/>
            <w:shd w:val="clear" w:color="auto" w:fill="C3C6A8"/>
            <w:vAlign w:val="bottom"/>
          </w:tcPr>
          <w:p w:rsidR="004B1702" w:rsidRPr="007C69A6" w:rsidRDefault="004B1702" w:rsidP="005E0B7D">
            <w:pPr>
              <w:keepNext/>
              <w:keepLines/>
              <w:spacing w:line="240" w:lineRule="auto"/>
              <w:jc w:val="center"/>
              <w:rPr>
                <w:rFonts w:ascii="Arial Narrow" w:hAnsi="Arial Narrow" w:cs="Arial"/>
                <w:b/>
                <w:sz w:val="20"/>
              </w:rPr>
            </w:pPr>
            <w:bookmarkStart w:id="52" w:name="_Toc287257060"/>
            <w:r w:rsidRPr="007C69A6">
              <w:rPr>
                <w:rFonts w:ascii="Arial Narrow" w:hAnsi="Arial Narrow" w:cs="Arial"/>
                <w:b/>
                <w:sz w:val="20"/>
              </w:rPr>
              <w:t>e-mail</w:t>
            </w:r>
            <w:bookmarkEnd w:id="52"/>
          </w:p>
        </w:tc>
      </w:tr>
      <w:tr w:rsidR="000C573E" w:rsidRPr="007C69A6" w:rsidTr="00162DA2">
        <w:trPr>
          <w:cantSplit/>
          <w:trHeight w:val="504"/>
        </w:trPr>
        <w:tc>
          <w:tcPr>
            <w:tcW w:w="1530" w:type="dxa"/>
            <w:vAlign w:val="center"/>
          </w:tcPr>
          <w:p w:rsidR="004B1702" w:rsidRPr="007C69A6" w:rsidRDefault="004B1702" w:rsidP="00543B60">
            <w:pPr>
              <w:spacing w:line="240" w:lineRule="auto"/>
              <w:rPr>
                <w:rFonts w:ascii="Arial Narrow" w:hAnsi="Arial Narrow" w:cs="Arial"/>
                <w:sz w:val="20"/>
              </w:rPr>
            </w:pPr>
            <w:r w:rsidRPr="007C69A6">
              <w:rPr>
                <w:rFonts w:ascii="Arial Narrow" w:hAnsi="Arial Narrow" w:cs="Arial"/>
                <w:sz w:val="20"/>
              </w:rPr>
              <w:t>Frederic Glantz</w:t>
            </w:r>
          </w:p>
        </w:tc>
        <w:tc>
          <w:tcPr>
            <w:tcW w:w="3870" w:type="dxa"/>
            <w:vAlign w:val="center"/>
          </w:tcPr>
          <w:p w:rsidR="004B1702" w:rsidRPr="007C69A6" w:rsidRDefault="004B1702" w:rsidP="00543B60">
            <w:pPr>
              <w:spacing w:line="240" w:lineRule="auto"/>
              <w:rPr>
                <w:rFonts w:ascii="Arial Narrow" w:hAnsi="Arial Narrow" w:cs="Arial"/>
                <w:sz w:val="20"/>
              </w:rPr>
            </w:pPr>
            <w:r w:rsidRPr="007C69A6">
              <w:rPr>
                <w:rFonts w:ascii="Arial Narrow" w:hAnsi="Arial Narrow" w:cs="Arial"/>
                <w:sz w:val="20"/>
              </w:rPr>
              <w:t xml:space="preserve">Principal Investigator, </w:t>
            </w:r>
            <w:proofErr w:type="spellStart"/>
            <w:r w:rsidRPr="007C69A6">
              <w:rPr>
                <w:rFonts w:ascii="Arial Narrow" w:hAnsi="Arial Narrow" w:cs="Arial"/>
                <w:sz w:val="20"/>
              </w:rPr>
              <w:t>Kokopelli</w:t>
            </w:r>
            <w:proofErr w:type="spellEnd"/>
            <w:r w:rsidRPr="007C69A6">
              <w:rPr>
                <w:rFonts w:ascii="Arial Narrow" w:hAnsi="Arial Narrow" w:cs="Arial"/>
                <w:sz w:val="20"/>
              </w:rPr>
              <w:t xml:space="preserve"> Associates LLC</w:t>
            </w:r>
          </w:p>
        </w:tc>
        <w:tc>
          <w:tcPr>
            <w:tcW w:w="1350" w:type="dxa"/>
            <w:vAlign w:val="center"/>
          </w:tcPr>
          <w:p w:rsidR="004B1702" w:rsidRPr="007C69A6" w:rsidRDefault="001A7ADC" w:rsidP="00543B60">
            <w:pPr>
              <w:spacing w:line="240" w:lineRule="auto"/>
              <w:rPr>
                <w:rFonts w:ascii="Arial Narrow" w:hAnsi="Arial Narrow" w:cs="Arial"/>
                <w:sz w:val="20"/>
              </w:rPr>
            </w:pPr>
            <w:r w:rsidRPr="007C69A6">
              <w:rPr>
                <w:rFonts w:ascii="Arial Narrow" w:hAnsi="Arial Narrow" w:cs="Arial"/>
                <w:sz w:val="20"/>
              </w:rPr>
              <w:t>505-983-</w:t>
            </w:r>
            <w:r w:rsidR="004B1702" w:rsidRPr="007C69A6">
              <w:rPr>
                <w:rFonts w:ascii="Arial Narrow" w:hAnsi="Arial Narrow" w:cs="Arial"/>
                <w:sz w:val="20"/>
              </w:rPr>
              <w:t>0785</w:t>
            </w:r>
          </w:p>
        </w:tc>
        <w:tc>
          <w:tcPr>
            <w:tcW w:w="2610" w:type="dxa"/>
            <w:vAlign w:val="center"/>
          </w:tcPr>
          <w:p w:rsidR="004B1702" w:rsidRPr="007C69A6" w:rsidRDefault="004B1702" w:rsidP="00543B60">
            <w:pPr>
              <w:spacing w:line="240" w:lineRule="auto"/>
              <w:rPr>
                <w:rFonts w:ascii="Arial Narrow" w:hAnsi="Arial Narrow" w:cs="Arial"/>
                <w:sz w:val="20"/>
              </w:rPr>
            </w:pPr>
            <w:r w:rsidRPr="007C69A6">
              <w:rPr>
                <w:rFonts w:ascii="Arial Narrow" w:hAnsi="Arial Narrow" w:cs="Arial"/>
                <w:sz w:val="20"/>
              </w:rPr>
              <w:t>fred@kokopelliassociates.com</w:t>
            </w:r>
          </w:p>
        </w:tc>
      </w:tr>
      <w:tr w:rsidR="000C573E" w:rsidRPr="007C69A6" w:rsidTr="00162DA2">
        <w:trPr>
          <w:cantSplit/>
          <w:trHeight w:val="504"/>
        </w:trPr>
        <w:tc>
          <w:tcPr>
            <w:tcW w:w="1530" w:type="dxa"/>
            <w:vAlign w:val="center"/>
          </w:tcPr>
          <w:p w:rsidR="004B1702" w:rsidRPr="007C69A6" w:rsidRDefault="004B1702" w:rsidP="00543B60">
            <w:pPr>
              <w:spacing w:line="240" w:lineRule="auto"/>
              <w:rPr>
                <w:rFonts w:ascii="Arial Narrow" w:hAnsi="Arial Narrow" w:cs="Arial"/>
                <w:sz w:val="20"/>
              </w:rPr>
            </w:pPr>
            <w:r w:rsidRPr="007C69A6">
              <w:rPr>
                <w:rFonts w:ascii="Arial Narrow" w:hAnsi="Arial Narrow" w:cs="Arial"/>
                <w:sz w:val="20"/>
              </w:rPr>
              <w:t xml:space="preserve">K.P. </w:t>
            </w:r>
            <w:proofErr w:type="spellStart"/>
            <w:r w:rsidRPr="007C69A6">
              <w:rPr>
                <w:rFonts w:ascii="Arial Narrow" w:hAnsi="Arial Narrow" w:cs="Arial"/>
                <w:sz w:val="20"/>
              </w:rPr>
              <w:t>Srinath</w:t>
            </w:r>
            <w:proofErr w:type="spellEnd"/>
          </w:p>
        </w:tc>
        <w:tc>
          <w:tcPr>
            <w:tcW w:w="3870" w:type="dxa"/>
            <w:vAlign w:val="center"/>
          </w:tcPr>
          <w:p w:rsidR="004B1702" w:rsidRPr="007C69A6" w:rsidRDefault="004B1702" w:rsidP="00543B60">
            <w:pPr>
              <w:spacing w:line="240" w:lineRule="auto"/>
              <w:rPr>
                <w:rFonts w:ascii="Arial Narrow" w:hAnsi="Arial Narrow" w:cs="Arial"/>
                <w:sz w:val="20"/>
              </w:rPr>
            </w:pPr>
            <w:r w:rsidRPr="007C69A6">
              <w:rPr>
                <w:rFonts w:ascii="Arial Narrow" w:hAnsi="Arial Narrow" w:cs="Arial"/>
                <w:sz w:val="20"/>
              </w:rPr>
              <w:t xml:space="preserve">Sampling Statistician, </w:t>
            </w:r>
            <w:proofErr w:type="spellStart"/>
            <w:r w:rsidRPr="007C69A6">
              <w:rPr>
                <w:rFonts w:ascii="Arial Narrow" w:hAnsi="Arial Narrow" w:cs="Arial"/>
                <w:sz w:val="20"/>
              </w:rPr>
              <w:t>Abt</w:t>
            </w:r>
            <w:proofErr w:type="spellEnd"/>
            <w:r w:rsidRPr="007C69A6">
              <w:rPr>
                <w:rFonts w:ascii="Arial Narrow" w:hAnsi="Arial Narrow" w:cs="Arial"/>
                <w:sz w:val="20"/>
              </w:rPr>
              <w:t xml:space="preserve"> Associates Inc.</w:t>
            </w:r>
          </w:p>
        </w:tc>
        <w:tc>
          <w:tcPr>
            <w:tcW w:w="1350" w:type="dxa"/>
            <w:vAlign w:val="center"/>
          </w:tcPr>
          <w:p w:rsidR="004B1702" w:rsidRPr="007C69A6" w:rsidRDefault="001A7ADC" w:rsidP="00543B60">
            <w:pPr>
              <w:spacing w:line="240" w:lineRule="auto"/>
              <w:rPr>
                <w:rFonts w:ascii="Arial Narrow" w:hAnsi="Arial Narrow" w:cs="Arial"/>
                <w:sz w:val="20"/>
              </w:rPr>
            </w:pPr>
            <w:r w:rsidRPr="007C69A6">
              <w:rPr>
                <w:rFonts w:ascii="Arial Narrow" w:hAnsi="Arial Narrow" w:cs="Arial"/>
                <w:sz w:val="20"/>
              </w:rPr>
              <w:t>301-634-1836</w:t>
            </w:r>
          </w:p>
        </w:tc>
        <w:tc>
          <w:tcPr>
            <w:tcW w:w="2610" w:type="dxa"/>
            <w:vAlign w:val="center"/>
          </w:tcPr>
          <w:p w:rsidR="004B1702" w:rsidRPr="007C69A6" w:rsidRDefault="00251159" w:rsidP="00543B60">
            <w:pPr>
              <w:spacing w:line="240" w:lineRule="auto"/>
              <w:rPr>
                <w:rFonts w:ascii="Arial Narrow" w:hAnsi="Arial Narrow" w:cs="Arial"/>
                <w:sz w:val="20"/>
              </w:rPr>
            </w:pPr>
            <w:r w:rsidRPr="007C69A6">
              <w:rPr>
                <w:rFonts w:ascii="Arial Narrow" w:hAnsi="Arial Narrow" w:cs="Arial"/>
                <w:sz w:val="20"/>
              </w:rPr>
              <w:t>KP_Srinath@abtassoc.com</w:t>
            </w:r>
          </w:p>
        </w:tc>
      </w:tr>
      <w:tr w:rsidR="000C573E" w:rsidRPr="007C69A6" w:rsidTr="00162DA2">
        <w:trPr>
          <w:cantSplit/>
          <w:trHeight w:val="504"/>
        </w:trPr>
        <w:tc>
          <w:tcPr>
            <w:tcW w:w="1530" w:type="dxa"/>
            <w:vAlign w:val="center"/>
          </w:tcPr>
          <w:p w:rsidR="004B1702" w:rsidRPr="007C69A6" w:rsidRDefault="004B1702" w:rsidP="00543B60">
            <w:pPr>
              <w:spacing w:line="240" w:lineRule="auto"/>
              <w:rPr>
                <w:rFonts w:ascii="Arial Narrow" w:hAnsi="Arial Narrow" w:cs="Arial"/>
                <w:sz w:val="20"/>
              </w:rPr>
            </w:pPr>
            <w:r w:rsidRPr="007C69A6">
              <w:rPr>
                <w:rFonts w:ascii="Arial Narrow" w:hAnsi="Arial Narrow" w:cs="Arial"/>
                <w:sz w:val="20"/>
              </w:rPr>
              <w:t xml:space="preserve">Jacob </w:t>
            </w:r>
            <w:proofErr w:type="spellStart"/>
            <w:r w:rsidRPr="007C69A6">
              <w:rPr>
                <w:rFonts w:ascii="Arial Narrow" w:hAnsi="Arial Narrow" w:cs="Arial"/>
                <w:sz w:val="20"/>
              </w:rPr>
              <w:t>Klerman</w:t>
            </w:r>
            <w:proofErr w:type="spellEnd"/>
          </w:p>
        </w:tc>
        <w:tc>
          <w:tcPr>
            <w:tcW w:w="3870" w:type="dxa"/>
            <w:vAlign w:val="center"/>
          </w:tcPr>
          <w:p w:rsidR="004B1702" w:rsidRPr="007C69A6" w:rsidRDefault="004B1702" w:rsidP="00543B60">
            <w:pPr>
              <w:spacing w:line="240" w:lineRule="auto"/>
              <w:rPr>
                <w:rFonts w:ascii="Arial Narrow" w:hAnsi="Arial Narrow" w:cs="Arial"/>
                <w:sz w:val="20"/>
              </w:rPr>
            </w:pPr>
            <w:r w:rsidRPr="007C69A6">
              <w:rPr>
                <w:rFonts w:ascii="Arial Narrow" w:hAnsi="Arial Narrow" w:cs="Arial"/>
                <w:sz w:val="20"/>
              </w:rPr>
              <w:t xml:space="preserve">Director of Analysis, </w:t>
            </w:r>
            <w:proofErr w:type="spellStart"/>
            <w:r w:rsidRPr="007C69A6">
              <w:rPr>
                <w:rFonts w:ascii="Arial Narrow" w:hAnsi="Arial Narrow" w:cs="Arial"/>
                <w:sz w:val="20"/>
              </w:rPr>
              <w:t>Abt</w:t>
            </w:r>
            <w:proofErr w:type="spellEnd"/>
            <w:r w:rsidRPr="007C69A6">
              <w:rPr>
                <w:rFonts w:ascii="Arial Narrow" w:hAnsi="Arial Narrow" w:cs="Arial"/>
                <w:sz w:val="20"/>
              </w:rPr>
              <w:t xml:space="preserve"> Associates Inc.</w:t>
            </w:r>
          </w:p>
        </w:tc>
        <w:tc>
          <w:tcPr>
            <w:tcW w:w="1350" w:type="dxa"/>
            <w:vAlign w:val="center"/>
          </w:tcPr>
          <w:p w:rsidR="004B1702" w:rsidRPr="007C69A6" w:rsidRDefault="004B1702" w:rsidP="00543B60">
            <w:pPr>
              <w:spacing w:line="240" w:lineRule="auto"/>
              <w:rPr>
                <w:rFonts w:ascii="Arial Narrow" w:hAnsi="Arial Narrow" w:cs="Arial"/>
                <w:sz w:val="20"/>
              </w:rPr>
            </w:pPr>
            <w:r w:rsidRPr="007C69A6">
              <w:rPr>
                <w:rFonts w:ascii="Arial Narrow" w:hAnsi="Arial Narrow" w:cs="Arial"/>
                <w:sz w:val="20"/>
              </w:rPr>
              <w:t>617-520-2613</w:t>
            </w:r>
          </w:p>
        </w:tc>
        <w:tc>
          <w:tcPr>
            <w:tcW w:w="2610" w:type="dxa"/>
            <w:vAlign w:val="center"/>
          </w:tcPr>
          <w:p w:rsidR="004B1702" w:rsidRPr="007C69A6" w:rsidRDefault="004B1702" w:rsidP="00543B60">
            <w:pPr>
              <w:spacing w:line="240" w:lineRule="auto"/>
              <w:rPr>
                <w:rFonts w:ascii="Arial Narrow" w:hAnsi="Arial Narrow" w:cs="Arial"/>
                <w:sz w:val="20"/>
              </w:rPr>
            </w:pPr>
            <w:r w:rsidRPr="007C69A6">
              <w:rPr>
                <w:rFonts w:ascii="Arial Narrow" w:hAnsi="Arial Narrow" w:cs="Arial"/>
                <w:sz w:val="20"/>
              </w:rPr>
              <w:t>Jacob_</w:t>
            </w:r>
            <w:r w:rsidR="001A7ADC" w:rsidRPr="007C69A6">
              <w:rPr>
                <w:rFonts w:ascii="Arial Narrow" w:hAnsi="Arial Narrow" w:cs="Arial"/>
                <w:sz w:val="20"/>
              </w:rPr>
              <w:t>K</w:t>
            </w:r>
            <w:r w:rsidRPr="007C69A6">
              <w:rPr>
                <w:rFonts w:ascii="Arial Narrow" w:hAnsi="Arial Narrow" w:cs="Arial"/>
                <w:sz w:val="20"/>
              </w:rPr>
              <w:t>lerman@abtassoc.com</w:t>
            </w:r>
          </w:p>
        </w:tc>
      </w:tr>
      <w:tr w:rsidR="000C573E" w:rsidRPr="007C69A6" w:rsidTr="00162DA2">
        <w:trPr>
          <w:cantSplit/>
          <w:trHeight w:val="504"/>
        </w:trPr>
        <w:tc>
          <w:tcPr>
            <w:tcW w:w="1530" w:type="dxa"/>
            <w:vAlign w:val="center"/>
          </w:tcPr>
          <w:p w:rsidR="004B1702" w:rsidRPr="007C69A6" w:rsidRDefault="004B1702" w:rsidP="00543B60">
            <w:pPr>
              <w:spacing w:line="240" w:lineRule="auto"/>
              <w:rPr>
                <w:rFonts w:ascii="Arial Narrow" w:hAnsi="Arial Narrow" w:cs="Arial"/>
                <w:sz w:val="20"/>
              </w:rPr>
            </w:pPr>
            <w:r w:rsidRPr="007C69A6">
              <w:rPr>
                <w:rFonts w:ascii="Arial Narrow" w:hAnsi="Arial Narrow" w:cs="Arial"/>
                <w:sz w:val="20"/>
              </w:rPr>
              <w:t>Chris Logan</w:t>
            </w:r>
          </w:p>
        </w:tc>
        <w:tc>
          <w:tcPr>
            <w:tcW w:w="3870" w:type="dxa"/>
            <w:vAlign w:val="center"/>
          </w:tcPr>
          <w:p w:rsidR="004B1702" w:rsidRPr="007C69A6" w:rsidRDefault="004B1702" w:rsidP="00543B60">
            <w:pPr>
              <w:spacing w:line="240" w:lineRule="auto"/>
              <w:rPr>
                <w:rFonts w:ascii="Arial Narrow" w:hAnsi="Arial Narrow" w:cs="Arial"/>
                <w:sz w:val="20"/>
              </w:rPr>
            </w:pPr>
            <w:r w:rsidRPr="007C69A6">
              <w:rPr>
                <w:rFonts w:ascii="Arial Narrow" w:hAnsi="Arial Narrow" w:cs="Arial"/>
                <w:sz w:val="20"/>
              </w:rPr>
              <w:t xml:space="preserve">Senior Associate, </w:t>
            </w:r>
            <w:proofErr w:type="spellStart"/>
            <w:r w:rsidRPr="007C69A6">
              <w:rPr>
                <w:rFonts w:ascii="Arial Narrow" w:hAnsi="Arial Narrow" w:cs="Arial"/>
                <w:sz w:val="20"/>
              </w:rPr>
              <w:t>Abt</w:t>
            </w:r>
            <w:proofErr w:type="spellEnd"/>
            <w:r w:rsidRPr="007C69A6">
              <w:rPr>
                <w:rFonts w:ascii="Arial Narrow" w:hAnsi="Arial Narrow" w:cs="Arial"/>
                <w:sz w:val="20"/>
              </w:rPr>
              <w:t xml:space="preserve"> Associates Inc.</w:t>
            </w:r>
          </w:p>
        </w:tc>
        <w:tc>
          <w:tcPr>
            <w:tcW w:w="1350" w:type="dxa"/>
            <w:vAlign w:val="center"/>
          </w:tcPr>
          <w:p w:rsidR="004B1702" w:rsidRPr="007C69A6" w:rsidRDefault="004B1702" w:rsidP="00543B60">
            <w:pPr>
              <w:spacing w:line="240" w:lineRule="auto"/>
              <w:rPr>
                <w:rFonts w:ascii="Arial Narrow" w:hAnsi="Arial Narrow" w:cs="Arial"/>
                <w:sz w:val="20"/>
              </w:rPr>
            </w:pPr>
            <w:r w:rsidRPr="007C69A6">
              <w:rPr>
                <w:rFonts w:ascii="Arial Narrow" w:hAnsi="Arial Narrow" w:cs="Arial"/>
                <w:sz w:val="20"/>
              </w:rPr>
              <w:t>617.349.2817</w:t>
            </w:r>
          </w:p>
        </w:tc>
        <w:tc>
          <w:tcPr>
            <w:tcW w:w="2610" w:type="dxa"/>
            <w:vAlign w:val="center"/>
          </w:tcPr>
          <w:p w:rsidR="004B1702" w:rsidRPr="007C69A6" w:rsidRDefault="001A7ADC" w:rsidP="00543B60">
            <w:pPr>
              <w:spacing w:line="240" w:lineRule="auto"/>
              <w:rPr>
                <w:rFonts w:ascii="Arial Narrow" w:hAnsi="Arial Narrow" w:cs="Arial"/>
                <w:sz w:val="20"/>
              </w:rPr>
            </w:pPr>
            <w:r w:rsidRPr="007C69A6">
              <w:rPr>
                <w:rFonts w:ascii="Arial Narrow" w:hAnsi="Arial Narrow" w:cs="Arial"/>
                <w:sz w:val="20"/>
              </w:rPr>
              <w:t>Chris_L</w:t>
            </w:r>
            <w:r w:rsidR="004B1702" w:rsidRPr="007C69A6">
              <w:rPr>
                <w:rFonts w:ascii="Arial Narrow" w:hAnsi="Arial Narrow" w:cs="Arial"/>
                <w:sz w:val="20"/>
              </w:rPr>
              <w:t>ogan@abtassoc.com</w:t>
            </w:r>
          </w:p>
        </w:tc>
      </w:tr>
      <w:tr w:rsidR="00543B60" w:rsidRPr="00085A28" w:rsidTr="00162DA2">
        <w:trPr>
          <w:cantSplit/>
          <w:trHeight w:val="504"/>
        </w:trPr>
        <w:tc>
          <w:tcPr>
            <w:tcW w:w="1530" w:type="dxa"/>
            <w:vAlign w:val="center"/>
          </w:tcPr>
          <w:p w:rsidR="00543B60" w:rsidRPr="007C69A6" w:rsidRDefault="0019205A" w:rsidP="00543B60">
            <w:pPr>
              <w:spacing w:line="240" w:lineRule="auto"/>
              <w:rPr>
                <w:rFonts w:ascii="Arial Narrow" w:hAnsi="Arial Narrow" w:cs="Arial"/>
                <w:sz w:val="20"/>
              </w:rPr>
            </w:pPr>
            <w:r>
              <w:rPr>
                <w:rFonts w:ascii="Arial Narrow" w:hAnsi="Arial Narrow" w:cs="Arial"/>
                <w:sz w:val="20"/>
              </w:rPr>
              <w:t>Matthew Gregg</w:t>
            </w:r>
          </w:p>
        </w:tc>
        <w:tc>
          <w:tcPr>
            <w:tcW w:w="3870" w:type="dxa"/>
            <w:vAlign w:val="center"/>
          </w:tcPr>
          <w:p w:rsidR="00543B60" w:rsidRPr="000851E0" w:rsidRDefault="00543B60" w:rsidP="00543B60">
            <w:pPr>
              <w:spacing w:line="240" w:lineRule="auto"/>
              <w:rPr>
                <w:rFonts w:ascii="Arial Narrow" w:hAnsi="Arial Narrow" w:cs="Arial"/>
                <w:sz w:val="20"/>
              </w:rPr>
            </w:pPr>
            <w:r w:rsidRPr="007C69A6">
              <w:rPr>
                <w:rFonts w:ascii="Arial Narrow" w:hAnsi="Arial Narrow"/>
                <w:sz w:val="20"/>
              </w:rPr>
              <w:t>Statistician,</w:t>
            </w:r>
            <w:r w:rsidR="001D2E01">
              <w:rPr>
                <w:rFonts w:ascii="Arial Narrow" w:hAnsi="Arial Narrow"/>
                <w:sz w:val="20"/>
              </w:rPr>
              <w:t xml:space="preserve"> </w:t>
            </w:r>
            <w:r w:rsidR="0019205A">
              <w:rPr>
                <w:rFonts w:ascii="Arial Narrow" w:hAnsi="Arial Narrow"/>
                <w:sz w:val="20"/>
              </w:rPr>
              <w:t>USDA/</w:t>
            </w:r>
            <w:r w:rsidRPr="007C69A6">
              <w:rPr>
                <w:rFonts w:ascii="Arial Narrow" w:hAnsi="Arial Narrow"/>
                <w:sz w:val="20"/>
              </w:rPr>
              <w:t>National Agricultural Statistics Service</w:t>
            </w:r>
          </w:p>
        </w:tc>
        <w:tc>
          <w:tcPr>
            <w:tcW w:w="1350" w:type="dxa"/>
            <w:vAlign w:val="center"/>
          </w:tcPr>
          <w:p w:rsidR="00543B60" w:rsidRPr="000851E0" w:rsidRDefault="0019205A" w:rsidP="00543B60">
            <w:pPr>
              <w:spacing w:line="240" w:lineRule="auto"/>
              <w:rPr>
                <w:rFonts w:ascii="Arial Narrow" w:hAnsi="Arial Narrow" w:cs="Arial"/>
                <w:sz w:val="20"/>
              </w:rPr>
            </w:pPr>
            <w:r>
              <w:rPr>
                <w:rFonts w:ascii="Arial Narrow" w:hAnsi="Arial Narrow" w:cs="Arial"/>
                <w:sz w:val="20"/>
              </w:rPr>
              <w:t>202-720-3388</w:t>
            </w:r>
          </w:p>
        </w:tc>
        <w:tc>
          <w:tcPr>
            <w:tcW w:w="2610" w:type="dxa"/>
            <w:vAlign w:val="center"/>
          </w:tcPr>
          <w:p w:rsidR="00543B60" w:rsidRPr="000851E0" w:rsidRDefault="0019205A" w:rsidP="00543B60">
            <w:pPr>
              <w:spacing w:line="240" w:lineRule="auto"/>
              <w:rPr>
                <w:rFonts w:ascii="Arial Narrow" w:hAnsi="Arial Narrow" w:cs="Arial"/>
                <w:sz w:val="20"/>
              </w:rPr>
            </w:pPr>
            <w:r w:rsidRPr="0019205A">
              <w:rPr>
                <w:rFonts w:ascii="Arial Narrow" w:hAnsi="Arial Narrow" w:cs="Arial"/>
                <w:sz w:val="20"/>
              </w:rPr>
              <w:t>Matthew.Gregg@nass.usda.gov</w:t>
            </w:r>
          </w:p>
        </w:tc>
      </w:tr>
    </w:tbl>
    <w:p w:rsidR="0060597B" w:rsidRDefault="0060597B" w:rsidP="000851E0">
      <w:pPr>
        <w:spacing w:line="240" w:lineRule="auto"/>
      </w:pPr>
    </w:p>
    <w:sectPr w:rsidR="0060597B" w:rsidSect="00162DA2">
      <w:footerReference w:type="default" r:id="rId14"/>
      <w:pgSz w:w="12240" w:h="15840" w:code="1"/>
      <w:pgMar w:top="1440" w:right="1440" w:bottom="864" w:left="1440" w:header="864"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F8E" w:rsidRDefault="009E4F8E" w:rsidP="00D979EA">
      <w:r>
        <w:separator/>
      </w:r>
    </w:p>
  </w:endnote>
  <w:endnote w:type="continuationSeparator" w:id="0">
    <w:p w:rsidR="009E4F8E" w:rsidRDefault="009E4F8E"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CD" w:rsidRDefault="005B0446" w:rsidP="001672C9">
    <w:pPr>
      <w:pStyle w:val="Footer"/>
      <w:framePr w:wrap="around" w:vAnchor="text" w:hAnchor="margin" w:xAlign="right" w:y="1"/>
      <w:rPr>
        <w:rStyle w:val="PageNumber"/>
      </w:rPr>
    </w:pPr>
    <w:r>
      <w:rPr>
        <w:rStyle w:val="PageNumber"/>
      </w:rPr>
      <w:fldChar w:fldCharType="begin"/>
    </w:r>
    <w:r w:rsidR="003337CD">
      <w:rPr>
        <w:rStyle w:val="PageNumber"/>
      </w:rPr>
      <w:instrText xml:space="preserve">PAGE  </w:instrText>
    </w:r>
    <w:r>
      <w:rPr>
        <w:rStyle w:val="PageNumber"/>
      </w:rPr>
      <w:fldChar w:fldCharType="end"/>
    </w:r>
  </w:p>
  <w:p w:rsidR="003337CD" w:rsidRDefault="003337CD" w:rsidP="00D405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CD" w:rsidRDefault="003337CD" w:rsidP="00744E2C">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CD" w:rsidRPr="0066134E" w:rsidRDefault="003337CD" w:rsidP="00B77DA5">
    <w:pPr>
      <w:pStyle w:val="Footer"/>
      <w:tabs>
        <w:tab w:val="clear" w:pos="9000"/>
        <w:tab w:val="right" w:pos="9360"/>
      </w:tabs>
    </w:pPr>
    <w:proofErr w:type="spellStart"/>
    <w:r w:rsidRPr="00967D7C">
      <w:rPr>
        <w:color w:val="DA291C"/>
      </w:rPr>
      <w:t>Abt</w:t>
    </w:r>
    <w:proofErr w:type="spellEnd"/>
    <w:r w:rsidRPr="00967D7C">
      <w:rPr>
        <w:color w:val="DA291C"/>
      </w:rPr>
      <w:t xml:space="preserve"> Associates Inc.</w:t>
    </w:r>
    <w:r w:rsidRPr="0066134E">
      <w:tab/>
    </w:r>
    <w:r w:rsidRPr="0066134E">
      <w:rPr>
        <w:rStyle w:val="PageNumber"/>
        <w:b/>
      </w:rPr>
      <w:tab/>
    </w:r>
    <w:r>
      <w:rPr>
        <w:rStyle w:val="PageNumber"/>
        <w:b/>
      </w:rPr>
      <w:t>Contents</w:t>
    </w:r>
    <w:r>
      <w:rPr>
        <w:rStyle w:val="PageNumber"/>
        <w:b/>
      </w:rPr>
      <w:t> </w:t>
    </w:r>
    <w:r>
      <w:rPr>
        <w:rStyle w:val="PageNumber"/>
        <w:rFonts w:cs="Arial"/>
        <w:b/>
      </w:rPr>
      <w:t>▌</w:t>
    </w:r>
    <w:r>
      <w:rPr>
        <w:rStyle w:val="PageNumber"/>
        <w:b/>
      </w:rPr>
      <w:t xml:space="preserve">pg. </w:t>
    </w:r>
    <w:r w:rsidR="005B0446" w:rsidRPr="002064D3">
      <w:rPr>
        <w:rStyle w:val="PageNumber"/>
        <w:b/>
        <w:color w:val="DA291C"/>
      </w:rPr>
      <w:fldChar w:fldCharType="begin"/>
    </w:r>
    <w:r w:rsidRPr="002064D3">
      <w:rPr>
        <w:rStyle w:val="PageNumber"/>
        <w:b/>
        <w:color w:val="DA291C"/>
      </w:rPr>
      <w:instrText xml:space="preserve"> PAGE   \* MERGEFORMAT </w:instrText>
    </w:r>
    <w:r w:rsidR="005B0446" w:rsidRPr="002064D3">
      <w:rPr>
        <w:rStyle w:val="PageNumber"/>
        <w:b/>
        <w:color w:val="DA291C"/>
      </w:rPr>
      <w:fldChar w:fldCharType="separate"/>
    </w:r>
    <w:r w:rsidR="007147CB">
      <w:rPr>
        <w:rStyle w:val="PageNumber"/>
        <w:b/>
        <w:noProof/>
        <w:color w:val="DA291C"/>
      </w:rPr>
      <w:t>i</w:t>
    </w:r>
    <w:r w:rsidR="005B0446" w:rsidRPr="002064D3">
      <w:rPr>
        <w:rStyle w:val="PageNumber"/>
        <w:b/>
        <w:noProof/>
        <w:color w:val="DA291C"/>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CD" w:rsidRPr="0066134E" w:rsidRDefault="003337CD" w:rsidP="00B77DA5">
    <w:pPr>
      <w:pStyle w:val="Footer"/>
      <w:tabs>
        <w:tab w:val="clear" w:pos="9000"/>
        <w:tab w:val="right" w:pos="9360"/>
      </w:tabs>
    </w:pPr>
    <w:proofErr w:type="spellStart"/>
    <w:r w:rsidRPr="00967D7C">
      <w:rPr>
        <w:color w:val="DA291C"/>
      </w:rPr>
      <w:t>Abt</w:t>
    </w:r>
    <w:proofErr w:type="spellEnd"/>
    <w:r w:rsidRPr="00967D7C">
      <w:rPr>
        <w:color w:val="DA291C"/>
      </w:rPr>
      <w:t xml:space="preserve"> Associates Inc.</w:t>
    </w:r>
    <w:r w:rsidRPr="0066134E">
      <w:tab/>
    </w:r>
    <w:r w:rsidRPr="0066134E">
      <w:rPr>
        <w:rStyle w:val="PageNumber"/>
        <w:b/>
      </w:rPr>
      <w:tab/>
    </w:r>
    <w:r>
      <w:rPr>
        <w:rStyle w:val="PageNumber"/>
        <w:b/>
      </w:rPr>
      <w:t xml:space="preserve">Part B. </w:t>
    </w:r>
    <w:r w:rsidRPr="007C2A13">
      <w:rPr>
        <w:rStyle w:val="PageNumber"/>
        <w:b/>
      </w:rPr>
      <w:t>Statistical Methods</w:t>
    </w:r>
    <w:r>
      <w:rPr>
        <w:rStyle w:val="PageNumber"/>
        <w:b/>
      </w:rPr>
      <w:t> </w:t>
    </w:r>
    <w:r>
      <w:rPr>
        <w:rStyle w:val="PageNumber"/>
        <w:rFonts w:cs="Arial"/>
        <w:b/>
      </w:rPr>
      <w:t>▌</w:t>
    </w:r>
    <w:r>
      <w:rPr>
        <w:rStyle w:val="PageNumber"/>
        <w:b/>
      </w:rPr>
      <w:t xml:space="preserve">pg. </w:t>
    </w:r>
    <w:r w:rsidR="005B0446" w:rsidRPr="002064D3">
      <w:rPr>
        <w:rStyle w:val="PageNumber"/>
        <w:b/>
        <w:color w:val="DA291C"/>
      </w:rPr>
      <w:fldChar w:fldCharType="begin"/>
    </w:r>
    <w:r w:rsidRPr="002064D3">
      <w:rPr>
        <w:rStyle w:val="PageNumber"/>
        <w:b/>
        <w:color w:val="DA291C"/>
      </w:rPr>
      <w:instrText xml:space="preserve"> PAGE   \* MERGEFORMAT </w:instrText>
    </w:r>
    <w:r w:rsidR="005B0446" w:rsidRPr="002064D3">
      <w:rPr>
        <w:rStyle w:val="PageNumber"/>
        <w:b/>
        <w:color w:val="DA291C"/>
      </w:rPr>
      <w:fldChar w:fldCharType="separate"/>
    </w:r>
    <w:r w:rsidR="007147CB">
      <w:rPr>
        <w:rStyle w:val="PageNumber"/>
        <w:b/>
        <w:noProof/>
        <w:color w:val="DA291C"/>
      </w:rPr>
      <w:t>7</w:t>
    </w:r>
    <w:r w:rsidR="005B0446"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F8E" w:rsidRDefault="009E4F8E" w:rsidP="00D979EA">
      <w:r>
        <w:separator/>
      </w:r>
    </w:p>
  </w:footnote>
  <w:footnote w:type="continuationSeparator" w:id="0">
    <w:p w:rsidR="009E4F8E" w:rsidRDefault="009E4F8E" w:rsidP="00D979EA">
      <w:r>
        <w:continuationSeparator/>
      </w:r>
    </w:p>
  </w:footnote>
  <w:footnote w:id="1">
    <w:p w:rsidR="003337CD" w:rsidRDefault="003337CD">
      <w:pPr>
        <w:pStyle w:val="FootnoteText"/>
      </w:pPr>
      <w:r>
        <w:rPr>
          <w:rStyle w:val="FootnoteReference"/>
        </w:rPr>
        <w:footnoteRef/>
      </w:r>
      <w:r>
        <w:t xml:space="preserve"> </w:t>
      </w:r>
      <w:r>
        <w:tab/>
      </w:r>
      <w:r w:rsidRPr="009B16C3">
        <w:t xml:space="preserve">The mandatory reporting requirement </w:t>
      </w:r>
      <w:r>
        <w:t xml:space="preserve">in </w:t>
      </w:r>
      <w:r w:rsidRPr="009B16C3">
        <w:t xml:space="preserve">the Healthy Hunger-Free Kids Act of 2010 (HHFKA) </w:t>
      </w:r>
      <w:r>
        <w:t>should ensure a high response rate, but</w:t>
      </w:r>
      <w:r w:rsidRPr="009B16C3">
        <w:t xml:space="preserve"> we expect some portion of the respondents will not provide data within the study schedule. </w:t>
      </w:r>
      <w:r>
        <w:t>F</w:t>
      </w:r>
      <w:r w:rsidRPr="009B16C3">
        <w:t xml:space="preserve">or a recent study, the </w:t>
      </w:r>
      <w:r w:rsidRPr="00303D0B">
        <w:rPr>
          <w:b/>
          <w:i/>
        </w:rPr>
        <w:t>Direct Verification Evaluation</w:t>
      </w:r>
      <w:r>
        <w:t xml:space="preserve"> (OMB No. </w:t>
      </w:r>
      <w:r w:rsidRPr="00303D0B">
        <w:t>0584-0546</w:t>
      </w:r>
      <w:r>
        <w:t>, Exp. 12/31/2010)</w:t>
      </w:r>
      <w:r w:rsidRPr="009B16C3">
        <w:t xml:space="preserve">, response rates for the LEA surveys across five states ranged from 80.8 </w:t>
      </w:r>
      <w:r w:rsidR="00C42284">
        <w:t>%</w:t>
      </w:r>
      <w:r w:rsidRPr="009B16C3">
        <w:t xml:space="preserve"> to 96.2</w:t>
      </w:r>
      <w:r w:rsidR="00C42284">
        <w:t>%</w:t>
      </w:r>
      <w:r w:rsidRPr="009B16C3">
        <w:t>. The survey was conducted by mail and by web with email and telephone follow up. Based on this experience, we expect at least an 80 percent response rate for the LEA Business Manager and School Foodservice Director web surveys.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CD" w:rsidRPr="0005750B" w:rsidRDefault="003337CD" w:rsidP="0005750B">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7CD" w:rsidRDefault="003337CD" w:rsidP="00883197">
    <w:pPr>
      <w:pStyle w:val="Header"/>
    </w:pPr>
    <w:r w:rsidRPr="004B1702">
      <w:t>School Foodservice Indirect Cost Study</w:t>
    </w:r>
    <w:r>
      <w:t xml:space="preserve"> – </w:t>
    </w:r>
    <w:r w:rsidRPr="00883197">
      <w:t>OMB</w:t>
    </w:r>
    <w:r>
      <w:t xml:space="preserve"> Submission Part B (Draft)</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nsid w:val="58FD25F9"/>
    <w:multiLevelType w:val="singleLevel"/>
    <w:tmpl w:val="2640B866"/>
    <w:lvl w:ilvl="0">
      <w:start w:val="1"/>
      <w:numFmt w:val="bullet"/>
      <w:pStyle w:val="TOCTitle"/>
      <w:lvlText w:val=""/>
      <w:lvlJc w:val="left"/>
      <w:pPr>
        <w:tabs>
          <w:tab w:val="num" w:pos="1080"/>
        </w:tabs>
        <w:ind w:left="1080" w:hanging="360"/>
      </w:pPr>
      <w:rPr>
        <w:rFonts w:ascii="Symbol" w:hAnsi="Symbol" w:hint="default"/>
      </w:rPr>
    </w:lvl>
  </w:abstractNum>
  <w:abstractNum w:abstractNumId="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
    <w:nsid w:val="7AD63DA6"/>
    <w:multiLevelType w:val="singleLevel"/>
    <w:tmpl w:val="EBDC119A"/>
    <w:lvl w:ilvl="0">
      <w:start w:val="1"/>
      <w:numFmt w:val="bullet"/>
      <w:pStyle w:val="Bullets"/>
      <w:lvlText w:val=""/>
      <w:lvlJc w:val="left"/>
      <w:pPr>
        <w:ind w:left="360" w:hanging="360"/>
      </w:pPr>
      <w:rPr>
        <w:rFonts w:ascii="Symbol" w:hAnsi="Symbol" w:hint="default"/>
        <w:color w:val="DA291C"/>
        <w:sz w:val="22"/>
      </w:rPr>
    </w:lvl>
  </w:abstractNum>
  <w:abstractNum w:abstractNumId="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activeWritingStyle w:appName="MSWord" w:lang="en-US" w:vendorID="8" w:dllVersion="513" w:checkStyle="1"/>
  <w:proofState w:spelling="clean" w:grammar="clean"/>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8369">
      <o:colormru v:ext="edit" colors="#e1e1ff,#069,#bad1e8,#afd787,#cde6b4,#d1e8ba,#0000ac"/>
    </o:shapedefaults>
  </w:hdrShapeDefaults>
  <w:footnotePr>
    <w:footnote w:id="-1"/>
    <w:footnote w:id="0"/>
  </w:footnotePr>
  <w:endnotePr>
    <w:endnote w:id="-1"/>
    <w:endnote w:id="0"/>
  </w:endnotePr>
  <w:compat/>
  <w:rsids>
    <w:rsidRoot w:val="004B1702"/>
    <w:rsid w:val="00003A2C"/>
    <w:rsid w:val="00006B3A"/>
    <w:rsid w:val="00013696"/>
    <w:rsid w:val="000136F3"/>
    <w:rsid w:val="00016E17"/>
    <w:rsid w:val="00021FAB"/>
    <w:rsid w:val="0002216E"/>
    <w:rsid w:val="00040E00"/>
    <w:rsid w:val="00046728"/>
    <w:rsid w:val="000521B9"/>
    <w:rsid w:val="000525E0"/>
    <w:rsid w:val="00053EEF"/>
    <w:rsid w:val="000543DC"/>
    <w:rsid w:val="00055022"/>
    <w:rsid w:val="00056FCA"/>
    <w:rsid w:val="0005750B"/>
    <w:rsid w:val="0006045E"/>
    <w:rsid w:val="00062EE1"/>
    <w:rsid w:val="0006587B"/>
    <w:rsid w:val="00070322"/>
    <w:rsid w:val="000804A7"/>
    <w:rsid w:val="00082D01"/>
    <w:rsid w:val="000851E0"/>
    <w:rsid w:val="00085A28"/>
    <w:rsid w:val="00086BCD"/>
    <w:rsid w:val="00087856"/>
    <w:rsid w:val="000902AA"/>
    <w:rsid w:val="0009483E"/>
    <w:rsid w:val="00095D40"/>
    <w:rsid w:val="000A00A2"/>
    <w:rsid w:val="000A1C6D"/>
    <w:rsid w:val="000A7D69"/>
    <w:rsid w:val="000B33D1"/>
    <w:rsid w:val="000C0A39"/>
    <w:rsid w:val="000C3040"/>
    <w:rsid w:val="000C573E"/>
    <w:rsid w:val="000D0D50"/>
    <w:rsid w:val="000D53F1"/>
    <w:rsid w:val="000D5777"/>
    <w:rsid w:val="000E6B75"/>
    <w:rsid w:val="000E7F41"/>
    <w:rsid w:val="000F4E09"/>
    <w:rsid w:val="000F53F4"/>
    <w:rsid w:val="000F6DAD"/>
    <w:rsid w:val="001034D7"/>
    <w:rsid w:val="00104F2A"/>
    <w:rsid w:val="00107A04"/>
    <w:rsid w:val="0011170B"/>
    <w:rsid w:val="001178CA"/>
    <w:rsid w:val="0012128E"/>
    <w:rsid w:val="00124D87"/>
    <w:rsid w:val="00127A71"/>
    <w:rsid w:val="00127C15"/>
    <w:rsid w:val="00130288"/>
    <w:rsid w:val="001307A5"/>
    <w:rsid w:val="001329ED"/>
    <w:rsid w:val="001407A3"/>
    <w:rsid w:val="00152153"/>
    <w:rsid w:val="00157E04"/>
    <w:rsid w:val="00160657"/>
    <w:rsid w:val="00160B87"/>
    <w:rsid w:val="00162DA2"/>
    <w:rsid w:val="00163417"/>
    <w:rsid w:val="001672C9"/>
    <w:rsid w:val="001677DC"/>
    <w:rsid w:val="00172119"/>
    <w:rsid w:val="00180641"/>
    <w:rsid w:val="001849A8"/>
    <w:rsid w:val="00186DF1"/>
    <w:rsid w:val="0019205A"/>
    <w:rsid w:val="00194187"/>
    <w:rsid w:val="00196B40"/>
    <w:rsid w:val="001A04CE"/>
    <w:rsid w:val="001A0E0A"/>
    <w:rsid w:val="001A23B5"/>
    <w:rsid w:val="001A403F"/>
    <w:rsid w:val="001A4633"/>
    <w:rsid w:val="001A7084"/>
    <w:rsid w:val="001A7ADC"/>
    <w:rsid w:val="001A7BE0"/>
    <w:rsid w:val="001B4509"/>
    <w:rsid w:val="001C0891"/>
    <w:rsid w:val="001C0EC2"/>
    <w:rsid w:val="001C10AF"/>
    <w:rsid w:val="001C17D5"/>
    <w:rsid w:val="001D2E01"/>
    <w:rsid w:val="001D4FDD"/>
    <w:rsid w:val="001E2CF1"/>
    <w:rsid w:val="001F40F5"/>
    <w:rsid w:val="001F5CE8"/>
    <w:rsid w:val="002006CC"/>
    <w:rsid w:val="00200E58"/>
    <w:rsid w:val="002064D3"/>
    <w:rsid w:val="002069B7"/>
    <w:rsid w:val="002106BF"/>
    <w:rsid w:val="00210E8D"/>
    <w:rsid w:val="0021312C"/>
    <w:rsid w:val="002176B8"/>
    <w:rsid w:val="002216AD"/>
    <w:rsid w:val="00221D99"/>
    <w:rsid w:val="00223A9F"/>
    <w:rsid w:val="0022674D"/>
    <w:rsid w:val="00227977"/>
    <w:rsid w:val="002333E4"/>
    <w:rsid w:val="0023449A"/>
    <w:rsid w:val="00235F88"/>
    <w:rsid w:val="002364E2"/>
    <w:rsid w:val="00245542"/>
    <w:rsid w:val="00250017"/>
    <w:rsid w:val="00251159"/>
    <w:rsid w:val="002553AE"/>
    <w:rsid w:val="00255975"/>
    <w:rsid w:val="00262CDE"/>
    <w:rsid w:val="002672DC"/>
    <w:rsid w:val="002702F7"/>
    <w:rsid w:val="00273EAA"/>
    <w:rsid w:val="00276702"/>
    <w:rsid w:val="0028328D"/>
    <w:rsid w:val="002838F5"/>
    <w:rsid w:val="00285BB6"/>
    <w:rsid w:val="0029491C"/>
    <w:rsid w:val="002976F0"/>
    <w:rsid w:val="002A3B2D"/>
    <w:rsid w:val="002A4078"/>
    <w:rsid w:val="002A5095"/>
    <w:rsid w:val="002A5CE0"/>
    <w:rsid w:val="002B2F3C"/>
    <w:rsid w:val="002C32AB"/>
    <w:rsid w:val="002C3D44"/>
    <w:rsid w:val="002C41F9"/>
    <w:rsid w:val="002C4495"/>
    <w:rsid w:val="002C5AC8"/>
    <w:rsid w:val="002C76AB"/>
    <w:rsid w:val="002D4536"/>
    <w:rsid w:val="002E2A6F"/>
    <w:rsid w:val="002E5929"/>
    <w:rsid w:val="002F48C8"/>
    <w:rsid w:val="002F55CE"/>
    <w:rsid w:val="002F76F5"/>
    <w:rsid w:val="00303D0B"/>
    <w:rsid w:val="00306F63"/>
    <w:rsid w:val="00311707"/>
    <w:rsid w:val="00314A8A"/>
    <w:rsid w:val="00324EC2"/>
    <w:rsid w:val="003279F2"/>
    <w:rsid w:val="003337CD"/>
    <w:rsid w:val="00342BA9"/>
    <w:rsid w:val="003452AA"/>
    <w:rsid w:val="003455BC"/>
    <w:rsid w:val="0034608B"/>
    <w:rsid w:val="00354503"/>
    <w:rsid w:val="003623F0"/>
    <w:rsid w:val="003669AE"/>
    <w:rsid w:val="00367182"/>
    <w:rsid w:val="00370164"/>
    <w:rsid w:val="003711CD"/>
    <w:rsid w:val="00373224"/>
    <w:rsid w:val="00380DB1"/>
    <w:rsid w:val="00383BFC"/>
    <w:rsid w:val="00384611"/>
    <w:rsid w:val="00384CA0"/>
    <w:rsid w:val="003864D5"/>
    <w:rsid w:val="003870BA"/>
    <w:rsid w:val="003874A9"/>
    <w:rsid w:val="003921E3"/>
    <w:rsid w:val="00395A89"/>
    <w:rsid w:val="003A2FA8"/>
    <w:rsid w:val="003A3403"/>
    <w:rsid w:val="003A77FF"/>
    <w:rsid w:val="003B01D1"/>
    <w:rsid w:val="003B4770"/>
    <w:rsid w:val="003B5B87"/>
    <w:rsid w:val="003B764E"/>
    <w:rsid w:val="003C20BF"/>
    <w:rsid w:val="003D0DE0"/>
    <w:rsid w:val="003D2521"/>
    <w:rsid w:val="003D5616"/>
    <w:rsid w:val="003E666B"/>
    <w:rsid w:val="003F3E19"/>
    <w:rsid w:val="00404D1E"/>
    <w:rsid w:val="004052AC"/>
    <w:rsid w:val="00423092"/>
    <w:rsid w:val="004253E8"/>
    <w:rsid w:val="00427EA9"/>
    <w:rsid w:val="004319BC"/>
    <w:rsid w:val="004350B0"/>
    <w:rsid w:val="00436CE5"/>
    <w:rsid w:val="00447223"/>
    <w:rsid w:val="00450FDE"/>
    <w:rsid w:val="004533A4"/>
    <w:rsid w:val="00467B10"/>
    <w:rsid w:val="00470AB4"/>
    <w:rsid w:val="00472E16"/>
    <w:rsid w:val="00472EA8"/>
    <w:rsid w:val="004734DF"/>
    <w:rsid w:val="00486943"/>
    <w:rsid w:val="00495B91"/>
    <w:rsid w:val="004A5408"/>
    <w:rsid w:val="004B1702"/>
    <w:rsid w:val="004C18DF"/>
    <w:rsid w:val="004C29BB"/>
    <w:rsid w:val="004C29E5"/>
    <w:rsid w:val="004C2B46"/>
    <w:rsid w:val="004C72B5"/>
    <w:rsid w:val="004D4C6D"/>
    <w:rsid w:val="004E01A4"/>
    <w:rsid w:val="004F4566"/>
    <w:rsid w:val="004F6742"/>
    <w:rsid w:val="004F709B"/>
    <w:rsid w:val="00502A8D"/>
    <w:rsid w:val="00503049"/>
    <w:rsid w:val="00532090"/>
    <w:rsid w:val="00534B03"/>
    <w:rsid w:val="00534C33"/>
    <w:rsid w:val="00535E00"/>
    <w:rsid w:val="00536DB4"/>
    <w:rsid w:val="0053770E"/>
    <w:rsid w:val="0054025D"/>
    <w:rsid w:val="00543B60"/>
    <w:rsid w:val="0054668E"/>
    <w:rsid w:val="0055123E"/>
    <w:rsid w:val="00554B8D"/>
    <w:rsid w:val="0056261A"/>
    <w:rsid w:val="00567780"/>
    <w:rsid w:val="005720B7"/>
    <w:rsid w:val="00573B71"/>
    <w:rsid w:val="00574572"/>
    <w:rsid w:val="00577B7D"/>
    <w:rsid w:val="00582909"/>
    <w:rsid w:val="00585CA4"/>
    <w:rsid w:val="00597948"/>
    <w:rsid w:val="005A7A76"/>
    <w:rsid w:val="005B0446"/>
    <w:rsid w:val="005B1AC5"/>
    <w:rsid w:val="005B59A1"/>
    <w:rsid w:val="005B6A25"/>
    <w:rsid w:val="005C4647"/>
    <w:rsid w:val="005C492E"/>
    <w:rsid w:val="005E0B7D"/>
    <w:rsid w:val="005E0CF2"/>
    <w:rsid w:val="005E2AEA"/>
    <w:rsid w:val="005E3EC5"/>
    <w:rsid w:val="005E6B70"/>
    <w:rsid w:val="005F0195"/>
    <w:rsid w:val="005F46C4"/>
    <w:rsid w:val="005F748E"/>
    <w:rsid w:val="005F7A6F"/>
    <w:rsid w:val="006000F2"/>
    <w:rsid w:val="00601D62"/>
    <w:rsid w:val="0060597B"/>
    <w:rsid w:val="006122D8"/>
    <w:rsid w:val="0061247A"/>
    <w:rsid w:val="006135EC"/>
    <w:rsid w:val="00615325"/>
    <w:rsid w:val="00615938"/>
    <w:rsid w:val="00622052"/>
    <w:rsid w:val="00625BC3"/>
    <w:rsid w:val="0063014E"/>
    <w:rsid w:val="006478D6"/>
    <w:rsid w:val="0065112D"/>
    <w:rsid w:val="006517AF"/>
    <w:rsid w:val="0066134E"/>
    <w:rsid w:val="00662414"/>
    <w:rsid w:val="00680967"/>
    <w:rsid w:val="006814BB"/>
    <w:rsid w:val="006840EB"/>
    <w:rsid w:val="006900F9"/>
    <w:rsid w:val="0069342C"/>
    <w:rsid w:val="006936EC"/>
    <w:rsid w:val="006A494D"/>
    <w:rsid w:val="006A541C"/>
    <w:rsid w:val="006A5B3B"/>
    <w:rsid w:val="006B1DA6"/>
    <w:rsid w:val="006B4A35"/>
    <w:rsid w:val="006C5C73"/>
    <w:rsid w:val="006C7A4C"/>
    <w:rsid w:val="006D406B"/>
    <w:rsid w:val="006E2B32"/>
    <w:rsid w:val="006F2B34"/>
    <w:rsid w:val="0070172E"/>
    <w:rsid w:val="007057ED"/>
    <w:rsid w:val="0070672F"/>
    <w:rsid w:val="00706870"/>
    <w:rsid w:val="007105A6"/>
    <w:rsid w:val="007147CB"/>
    <w:rsid w:val="00715417"/>
    <w:rsid w:val="00723F1B"/>
    <w:rsid w:val="00726DD4"/>
    <w:rsid w:val="00730F56"/>
    <w:rsid w:val="00734DA1"/>
    <w:rsid w:val="00744E2C"/>
    <w:rsid w:val="00750C48"/>
    <w:rsid w:val="00752119"/>
    <w:rsid w:val="00754408"/>
    <w:rsid w:val="00755456"/>
    <w:rsid w:val="00761172"/>
    <w:rsid w:val="007631C7"/>
    <w:rsid w:val="00763CCC"/>
    <w:rsid w:val="00771967"/>
    <w:rsid w:val="00776C72"/>
    <w:rsid w:val="0078258F"/>
    <w:rsid w:val="007846BC"/>
    <w:rsid w:val="0079114D"/>
    <w:rsid w:val="00794B6E"/>
    <w:rsid w:val="007969A4"/>
    <w:rsid w:val="007A0114"/>
    <w:rsid w:val="007B1321"/>
    <w:rsid w:val="007B1904"/>
    <w:rsid w:val="007B4329"/>
    <w:rsid w:val="007C2A13"/>
    <w:rsid w:val="007C3124"/>
    <w:rsid w:val="007C69A6"/>
    <w:rsid w:val="007D14CA"/>
    <w:rsid w:val="007D52C5"/>
    <w:rsid w:val="007D6370"/>
    <w:rsid w:val="007E092F"/>
    <w:rsid w:val="007E5EC0"/>
    <w:rsid w:val="007E6DD8"/>
    <w:rsid w:val="007F132B"/>
    <w:rsid w:val="0080098A"/>
    <w:rsid w:val="00801761"/>
    <w:rsid w:val="008111EB"/>
    <w:rsid w:val="008130C9"/>
    <w:rsid w:val="00813D02"/>
    <w:rsid w:val="00814833"/>
    <w:rsid w:val="0081710A"/>
    <w:rsid w:val="0082033D"/>
    <w:rsid w:val="008222AD"/>
    <w:rsid w:val="00822B73"/>
    <w:rsid w:val="008242A7"/>
    <w:rsid w:val="00830609"/>
    <w:rsid w:val="0083104D"/>
    <w:rsid w:val="008349AE"/>
    <w:rsid w:val="00846D77"/>
    <w:rsid w:val="00852480"/>
    <w:rsid w:val="00856632"/>
    <w:rsid w:val="008629FD"/>
    <w:rsid w:val="0086643C"/>
    <w:rsid w:val="00867308"/>
    <w:rsid w:val="00880700"/>
    <w:rsid w:val="00883197"/>
    <w:rsid w:val="00887278"/>
    <w:rsid w:val="00896919"/>
    <w:rsid w:val="008A174D"/>
    <w:rsid w:val="008A7D96"/>
    <w:rsid w:val="008B0543"/>
    <w:rsid w:val="008B1B0B"/>
    <w:rsid w:val="008C0888"/>
    <w:rsid w:val="008C3505"/>
    <w:rsid w:val="008D25DD"/>
    <w:rsid w:val="008D30EA"/>
    <w:rsid w:val="008D55C8"/>
    <w:rsid w:val="008E20DE"/>
    <w:rsid w:val="008F1770"/>
    <w:rsid w:val="009013C5"/>
    <w:rsid w:val="00902EE4"/>
    <w:rsid w:val="00904F73"/>
    <w:rsid w:val="009061A4"/>
    <w:rsid w:val="00912E02"/>
    <w:rsid w:val="0092104C"/>
    <w:rsid w:val="00932EE2"/>
    <w:rsid w:val="00942024"/>
    <w:rsid w:val="00944550"/>
    <w:rsid w:val="00944E39"/>
    <w:rsid w:val="009550AD"/>
    <w:rsid w:val="009565D4"/>
    <w:rsid w:val="009657FC"/>
    <w:rsid w:val="00967D7C"/>
    <w:rsid w:val="00977D73"/>
    <w:rsid w:val="0099262A"/>
    <w:rsid w:val="00997E21"/>
    <w:rsid w:val="009A05F3"/>
    <w:rsid w:val="009A6BAA"/>
    <w:rsid w:val="009B16C3"/>
    <w:rsid w:val="009B56DA"/>
    <w:rsid w:val="009B727F"/>
    <w:rsid w:val="009C05F7"/>
    <w:rsid w:val="009D0892"/>
    <w:rsid w:val="009D13BB"/>
    <w:rsid w:val="009D5028"/>
    <w:rsid w:val="009D50EB"/>
    <w:rsid w:val="009E32F5"/>
    <w:rsid w:val="009E3D98"/>
    <w:rsid w:val="009E47ED"/>
    <w:rsid w:val="009E4F8E"/>
    <w:rsid w:val="009E6279"/>
    <w:rsid w:val="009F238B"/>
    <w:rsid w:val="009F2649"/>
    <w:rsid w:val="009F704C"/>
    <w:rsid w:val="00A0215D"/>
    <w:rsid w:val="00A02178"/>
    <w:rsid w:val="00A06666"/>
    <w:rsid w:val="00A105E0"/>
    <w:rsid w:val="00A3018B"/>
    <w:rsid w:val="00A3128D"/>
    <w:rsid w:val="00A324EA"/>
    <w:rsid w:val="00A33A46"/>
    <w:rsid w:val="00A45B43"/>
    <w:rsid w:val="00A4794A"/>
    <w:rsid w:val="00A533DE"/>
    <w:rsid w:val="00A53E2B"/>
    <w:rsid w:val="00A6307F"/>
    <w:rsid w:val="00A6706F"/>
    <w:rsid w:val="00A70707"/>
    <w:rsid w:val="00A815A4"/>
    <w:rsid w:val="00A817CE"/>
    <w:rsid w:val="00A84EFF"/>
    <w:rsid w:val="00A928FA"/>
    <w:rsid w:val="00A961A7"/>
    <w:rsid w:val="00A96993"/>
    <w:rsid w:val="00AA7B0B"/>
    <w:rsid w:val="00AB32CF"/>
    <w:rsid w:val="00AC59EB"/>
    <w:rsid w:val="00AD2235"/>
    <w:rsid w:val="00AD44C7"/>
    <w:rsid w:val="00AE30C2"/>
    <w:rsid w:val="00AE3816"/>
    <w:rsid w:val="00AE4D43"/>
    <w:rsid w:val="00B02599"/>
    <w:rsid w:val="00B14060"/>
    <w:rsid w:val="00B16B3C"/>
    <w:rsid w:val="00B24D86"/>
    <w:rsid w:val="00B25EE3"/>
    <w:rsid w:val="00B269D4"/>
    <w:rsid w:val="00B3357C"/>
    <w:rsid w:val="00B336DF"/>
    <w:rsid w:val="00B35D3D"/>
    <w:rsid w:val="00B51376"/>
    <w:rsid w:val="00B61C4A"/>
    <w:rsid w:val="00B61EC9"/>
    <w:rsid w:val="00B64C24"/>
    <w:rsid w:val="00B679AD"/>
    <w:rsid w:val="00B7744A"/>
    <w:rsid w:val="00B77DA5"/>
    <w:rsid w:val="00B82D4D"/>
    <w:rsid w:val="00B87EE6"/>
    <w:rsid w:val="00B9260A"/>
    <w:rsid w:val="00B96ABD"/>
    <w:rsid w:val="00BB5ACD"/>
    <w:rsid w:val="00BC1050"/>
    <w:rsid w:val="00BD42E3"/>
    <w:rsid w:val="00BF18DC"/>
    <w:rsid w:val="00C04B4F"/>
    <w:rsid w:val="00C13DE2"/>
    <w:rsid w:val="00C14408"/>
    <w:rsid w:val="00C14776"/>
    <w:rsid w:val="00C17F58"/>
    <w:rsid w:val="00C2229B"/>
    <w:rsid w:val="00C269C3"/>
    <w:rsid w:val="00C306C4"/>
    <w:rsid w:val="00C307E7"/>
    <w:rsid w:val="00C344BC"/>
    <w:rsid w:val="00C34A92"/>
    <w:rsid w:val="00C35829"/>
    <w:rsid w:val="00C370A7"/>
    <w:rsid w:val="00C418C1"/>
    <w:rsid w:val="00C42284"/>
    <w:rsid w:val="00C541FE"/>
    <w:rsid w:val="00C57E90"/>
    <w:rsid w:val="00C62F1C"/>
    <w:rsid w:val="00C6380F"/>
    <w:rsid w:val="00C744A3"/>
    <w:rsid w:val="00C81548"/>
    <w:rsid w:val="00C81DB5"/>
    <w:rsid w:val="00C900FF"/>
    <w:rsid w:val="00C91C6E"/>
    <w:rsid w:val="00CA4D0B"/>
    <w:rsid w:val="00CB3FC8"/>
    <w:rsid w:val="00CB442A"/>
    <w:rsid w:val="00CB7523"/>
    <w:rsid w:val="00CB7992"/>
    <w:rsid w:val="00CC279B"/>
    <w:rsid w:val="00CC3F89"/>
    <w:rsid w:val="00CD4B2E"/>
    <w:rsid w:val="00CD4DE4"/>
    <w:rsid w:val="00CD6527"/>
    <w:rsid w:val="00CD6B3F"/>
    <w:rsid w:val="00CF3E63"/>
    <w:rsid w:val="00CF561E"/>
    <w:rsid w:val="00D06C93"/>
    <w:rsid w:val="00D074DF"/>
    <w:rsid w:val="00D143BA"/>
    <w:rsid w:val="00D20DD2"/>
    <w:rsid w:val="00D24FA0"/>
    <w:rsid w:val="00D34EEE"/>
    <w:rsid w:val="00D36475"/>
    <w:rsid w:val="00D37BAF"/>
    <w:rsid w:val="00D405A9"/>
    <w:rsid w:val="00D51B1E"/>
    <w:rsid w:val="00D551F9"/>
    <w:rsid w:val="00D63838"/>
    <w:rsid w:val="00D70D74"/>
    <w:rsid w:val="00D8085E"/>
    <w:rsid w:val="00D82417"/>
    <w:rsid w:val="00D84F00"/>
    <w:rsid w:val="00D94957"/>
    <w:rsid w:val="00D96598"/>
    <w:rsid w:val="00D979EA"/>
    <w:rsid w:val="00DA02B9"/>
    <w:rsid w:val="00DA42EA"/>
    <w:rsid w:val="00DA544B"/>
    <w:rsid w:val="00DA677E"/>
    <w:rsid w:val="00DA7FEA"/>
    <w:rsid w:val="00DB0BF5"/>
    <w:rsid w:val="00DB269B"/>
    <w:rsid w:val="00DC02B5"/>
    <w:rsid w:val="00DC2F37"/>
    <w:rsid w:val="00DC5BE0"/>
    <w:rsid w:val="00DD27D1"/>
    <w:rsid w:val="00DD737B"/>
    <w:rsid w:val="00DE221A"/>
    <w:rsid w:val="00DE2334"/>
    <w:rsid w:val="00DE5C1E"/>
    <w:rsid w:val="00DE5D97"/>
    <w:rsid w:val="00DF1EF3"/>
    <w:rsid w:val="00DF68F0"/>
    <w:rsid w:val="00DF6CDE"/>
    <w:rsid w:val="00E0113D"/>
    <w:rsid w:val="00E039CB"/>
    <w:rsid w:val="00E11110"/>
    <w:rsid w:val="00E1423B"/>
    <w:rsid w:val="00E237E8"/>
    <w:rsid w:val="00E317E1"/>
    <w:rsid w:val="00E33231"/>
    <w:rsid w:val="00E34DC0"/>
    <w:rsid w:val="00E36C5C"/>
    <w:rsid w:val="00E567DA"/>
    <w:rsid w:val="00E61805"/>
    <w:rsid w:val="00E6186E"/>
    <w:rsid w:val="00E62A63"/>
    <w:rsid w:val="00E72F03"/>
    <w:rsid w:val="00E7429A"/>
    <w:rsid w:val="00E75D89"/>
    <w:rsid w:val="00E84434"/>
    <w:rsid w:val="00E85491"/>
    <w:rsid w:val="00E87675"/>
    <w:rsid w:val="00EA0512"/>
    <w:rsid w:val="00EA2FBB"/>
    <w:rsid w:val="00EB30F5"/>
    <w:rsid w:val="00EB5C8B"/>
    <w:rsid w:val="00EC3CC1"/>
    <w:rsid w:val="00EC47CA"/>
    <w:rsid w:val="00EC7DCF"/>
    <w:rsid w:val="00EC7EBB"/>
    <w:rsid w:val="00ED263C"/>
    <w:rsid w:val="00ED2A92"/>
    <w:rsid w:val="00ED503D"/>
    <w:rsid w:val="00EE11FD"/>
    <w:rsid w:val="00EE1D07"/>
    <w:rsid w:val="00EE29D3"/>
    <w:rsid w:val="00EF68DE"/>
    <w:rsid w:val="00F13235"/>
    <w:rsid w:val="00F135EA"/>
    <w:rsid w:val="00F1494E"/>
    <w:rsid w:val="00F23798"/>
    <w:rsid w:val="00F260AC"/>
    <w:rsid w:val="00F26DFB"/>
    <w:rsid w:val="00F27043"/>
    <w:rsid w:val="00F32C54"/>
    <w:rsid w:val="00F32E6E"/>
    <w:rsid w:val="00F32FC5"/>
    <w:rsid w:val="00F4263A"/>
    <w:rsid w:val="00F44CBD"/>
    <w:rsid w:val="00F47332"/>
    <w:rsid w:val="00F47CBF"/>
    <w:rsid w:val="00F47E96"/>
    <w:rsid w:val="00F50A3A"/>
    <w:rsid w:val="00F60BBB"/>
    <w:rsid w:val="00F62A1E"/>
    <w:rsid w:val="00F64DB9"/>
    <w:rsid w:val="00F65513"/>
    <w:rsid w:val="00F7249B"/>
    <w:rsid w:val="00F74331"/>
    <w:rsid w:val="00F77187"/>
    <w:rsid w:val="00F849B5"/>
    <w:rsid w:val="00F85399"/>
    <w:rsid w:val="00F93183"/>
    <w:rsid w:val="00F964A7"/>
    <w:rsid w:val="00F9672A"/>
    <w:rsid w:val="00F9770C"/>
    <w:rsid w:val="00FA035F"/>
    <w:rsid w:val="00FA2CB1"/>
    <w:rsid w:val="00FA2FFB"/>
    <w:rsid w:val="00FA596C"/>
    <w:rsid w:val="00FA686C"/>
    <w:rsid w:val="00FA6932"/>
    <w:rsid w:val="00FB3972"/>
    <w:rsid w:val="00FB6E74"/>
    <w:rsid w:val="00FB70DE"/>
    <w:rsid w:val="00FC2BD1"/>
    <w:rsid w:val="00FC34B5"/>
    <w:rsid w:val="00FD17C2"/>
    <w:rsid w:val="00FD20F5"/>
    <w:rsid w:val="00FD634F"/>
    <w:rsid w:val="00FD6B90"/>
    <w:rsid w:val="00FE0A7C"/>
    <w:rsid w:val="00FE2611"/>
    <w:rsid w:val="00FE3706"/>
    <w:rsid w:val="00FF2067"/>
    <w:rsid w:val="00FF3FFA"/>
    <w:rsid w:val="00FF7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702"/>
    <w:pPr>
      <w:spacing w:line="264" w:lineRule="auto"/>
    </w:pPr>
    <w:rPr>
      <w:sz w:val="22"/>
    </w:rPr>
  </w:style>
  <w:style w:type="paragraph" w:styleId="Heading1">
    <w:name w:val="heading 1"/>
    <w:basedOn w:val="Normal"/>
    <w:next w:val="BodyText"/>
    <w:qFormat/>
    <w:rsid w:val="00085A28"/>
    <w:pPr>
      <w:keepNext/>
      <w:keepLines/>
      <w:pageBreakBefore/>
      <w:pBdr>
        <w:top w:val="single" w:sz="6" w:space="3" w:color="DA291C"/>
        <w:bottom w:val="single" w:sz="6" w:space="3" w:color="DA291C"/>
      </w:pBdr>
      <w:shd w:val="clear" w:color="auto" w:fill="DA291C"/>
      <w:spacing w:after="2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367182"/>
    <w:pPr>
      <w:keepNext/>
      <w:pBdr>
        <w:top w:val="single" w:sz="6" w:space="1" w:color="D0D3D4"/>
        <w:bottom w:val="single" w:sz="6" w:space="1" w:color="D0D3D4"/>
      </w:pBdr>
      <w:shd w:val="clear" w:color="auto" w:fill="D0D3D4"/>
      <w:spacing w:after="240" w:line="240" w:lineRule="auto"/>
      <w:ind w:left="720" w:hanging="720"/>
      <w:outlineLvl w:val="1"/>
    </w:pPr>
    <w:rPr>
      <w:rFonts w:ascii="Arial" w:hAnsi="Arial" w:cs="Arial"/>
      <w:b/>
      <w:bCs/>
      <w:iCs/>
      <w:color w:val="000000" w:themeColor="text1"/>
      <w:szCs w:val="28"/>
    </w:rPr>
  </w:style>
  <w:style w:type="paragraph" w:styleId="Heading3">
    <w:name w:val="heading 3"/>
    <w:basedOn w:val="Normal"/>
    <w:next w:val="BodyText"/>
    <w:qFormat/>
    <w:rsid w:val="002E5929"/>
    <w:pPr>
      <w:keepNext/>
      <w:spacing w:line="480" w:lineRule="auto"/>
      <w:outlineLvl w:val="2"/>
    </w:pPr>
    <w:rPr>
      <w:rFonts w:ascii="Arial" w:hAnsi="Arial"/>
      <w:b/>
      <w:color w:val="DA291C"/>
      <w:sz w:val="20"/>
    </w:rPr>
  </w:style>
  <w:style w:type="paragraph" w:styleId="Heading4">
    <w:name w:val="heading 4"/>
    <w:basedOn w:val="Normal"/>
    <w:next w:val="BodyText"/>
    <w:qFormat/>
    <w:rsid w:val="004B1702"/>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2E5929"/>
    <w:pPr>
      <w:spacing w:line="480" w:lineRule="auto"/>
      <w:ind w:firstLine="360"/>
    </w:pPr>
  </w:style>
  <w:style w:type="character" w:customStyle="1" w:styleId="BodyTextChar">
    <w:name w:val="Body Text Char"/>
    <w:basedOn w:val="DefaultParagraphFont"/>
    <w:link w:val="BodyText"/>
    <w:rsid w:val="002E5929"/>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4B1702"/>
  </w:style>
  <w:style w:type="paragraph" w:customStyle="1" w:styleId="Bullets">
    <w:name w:val="Bullets"/>
    <w:basedOn w:val="BodyText"/>
    <w:link w:val="BulletsCharChar"/>
    <w:rsid w:val="002E5929"/>
    <w:pPr>
      <w:numPr>
        <w:numId w:val="3"/>
      </w:numPr>
    </w:pPr>
  </w:style>
  <w:style w:type="paragraph" w:customStyle="1" w:styleId="RefNumbers">
    <w:name w:val="Ref Numbers"/>
    <w:basedOn w:val="BodyText"/>
    <w:rsid w:val="00EA2FBB"/>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162DA2"/>
    <w:pPr>
      <w:tabs>
        <w:tab w:val="left" w:pos="900"/>
        <w:tab w:val="right" w:leader="dot" w:pos="9180"/>
      </w:tabs>
      <w:spacing w:before="240" w:line="264" w:lineRule="auto"/>
      <w:ind w:right="547" w:firstLine="0"/>
    </w:pPr>
    <w:rPr>
      <w:b/>
      <w:noProof/>
    </w:rPr>
  </w:style>
  <w:style w:type="character" w:styleId="CommentReference">
    <w:name w:val="annotation reference"/>
    <w:basedOn w:val="DefaultParagraphFont"/>
    <w:semiHidden/>
    <w:rsid w:val="00EA2FBB"/>
    <w:rPr>
      <w:sz w:val="16"/>
    </w:rPr>
  </w:style>
  <w:style w:type="paragraph" w:styleId="TOC2">
    <w:name w:val="toc 2"/>
    <w:basedOn w:val="BodyText"/>
    <w:next w:val="BodyText"/>
    <w:uiPriority w:val="39"/>
    <w:rsid w:val="00162DA2"/>
    <w:pPr>
      <w:tabs>
        <w:tab w:val="left" w:pos="1080"/>
        <w:tab w:val="right" w:leader="dot" w:pos="9180"/>
      </w:tabs>
      <w:spacing w:before="240" w:line="264" w:lineRule="auto"/>
      <w:ind w:left="1094" w:right="547" w:hanging="547"/>
    </w:pPr>
    <w:rPr>
      <w:noProof/>
    </w:rPr>
  </w:style>
  <w:style w:type="paragraph" w:styleId="TOC3">
    <w:name w:val="toc 3"/>
    <w:basedOn w:val="BodyText"/>
    <w:next w:val="BodyText"/>
    <w:uiPriority w:val="39"/>
    <w:rsid w:val="00162DA2"/>
    <w:pPr>
      <w:tabs>
        <w:tab w:val="right" w:leader="dot" w:pos="9180"/>
      </w:tabs>
      <w:spacing w:line="264" w:lineRule="auto"/>
      <w:ind w:left="1620" w:right="547" w:hanging="7"/>
    </w:pPr>
    <w:rPr>
      <w:noProof/>
    </w:rPr>
  </w:style>
  <w:style w:type="paragraph" w:styleId="TOC4">
    <w:name w:val="toc 4"/>
    <w:basedOn w:val="BodyText"/>
    <w:next w:val="BodyText"/>
    <w:semiHidden/>
    <w:rsid w:val="00EA2FBB"/>
    <w:pPr>
      <w:ind w:left="1728"/>
    </w:pPr>
  </w:style>
  <w:style w:type="paragraph" w:styleId="TOC5">
    <w:name w:val="toc 5"/>
    <w:basedOn w:val="Normal"/>
    <w:next w:val="Normal"/>
    <w:autoRedefine/>
    <w:semiHidden/>
    <w:rsid w:val="00EA2FBB"/>
    <w:pPr>
      <w:ind w:left="960"/>
    </w:pPr>
  </w:style>
  <w:style w:type="paragraph" w:styleId="TOC6">
    <w:name w:val="toc 6"/>
    <w:basedOn w:val="Normal"/>
    <w:next w:val="Normal"/>
    <w:autoRedefine/>
    <w:semiHidden/>
    <w:rsid w:val="00EA2FBB"/>
    <w:pPr>
      <w:ind w:left="1200"/>
    </w:pPr>
  </w:style>
  <w:style w:type="paragraph" w:styleId="TOC7">
    <w:name w:val="toc 7"/>
    <w:basedOn w:val="Normal"/>
    <w:next w:val="Normal"/>
    <w:autoRedefine/>
    <w:semiHidden/>
    <w:rsid w:val="00EA2FBB"/>
    <w:pPr>
      <w:ind w:left="1440"/>
    </w:pPr>
  </w:style>
  <w:style w:type="paragraph" w:styleId="TOC8">
    <w:name w:val="toc 8"/>
    <w:basedOn w:val="Normal"/>
    <w:next w:val="Normal"/>
    <w:autoRedefine/>
    <w:semiHidden/>
    <w:rsid w:val="00EA2FBB"/>
    <w:pPr>
      <w:ind w:left="1680"/>
    </w:pPr>
  </w:style>
  <w:style w:type="paragraph" w:styleId="TOC9">
    <w:name w:val="toc 9"/>
    <w:basedOn w:val="Normal"/>
    <w:next w:val="Normal"/>
    <w:autoRedefine/>
    <w:semiHidden/>
    <w:rsid w:val="00EA2FBB"/>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EA2FBB"/>
    <w:pPr>
      <w:spacing w:after="120"/>
      <w:ind w:left="360" w:hanging="360"/>
    </w:pPr>
    <w:rPr>
      <w:sz w:val="20"/>
    </w:rPr>
  </w:style>
  <w:style w:type="paragraph" w:styleId="Index1">
    <w:name w:val="index 1"/>
    <w:basedOn w:val="Normal"/>
    <w:next w:val="Normal"/>
    <w:autoRedefine/>
    <w:semiHidden/>
    <w:rsid w:val="00EA2FBB"/>
    <w:pPr>
      <w:ind w:left="220" w:hanging="220"/>
    </w:pPr>
    <w:rPr>
      <w:sz w:val="20"/>
    </w:rPr>
  </w:style>
  <w:style w:type="paragraph" w:styleId="Index2">
    <w:name w:val="index 2"/>
    <w:basedOn w:val="Normal"/>
    <w:next w:val="Normal"/>
    <w:autoRedefine/>
    <w:semiHidden/>
    <w:rsid w:val="00EA2FBB"/>
    <w:pPr>
      <w:ind w:left="440" w:hanging="220"/>
    </w:pPr>
    <w:rPr>
      <w:sz w:val="20"/>
    </w:rPr>
  </w:style>
  <w:style w:type="paragraph" w:styleId="Index3">
    <w:name w:val="index 3"/>
    <w:basedOn w:val="Normal"/>
    <w:next w:val="Normal"/>
    <w:autoRedefine/>
    <w:semiHidden/>
    <w:rsid w:val="00EA2FBB"/>
    <w:pPr>
      <w:ind w:left="660" w:hanging="220"/>
    </w:pPr>
    <w:rPr>
      <w:sz w:val="20"/>
    </w:rPr>
  </w:style>
  <w:style w:type="paragraph" w:customStyle="1" w:styleId="Numbers">
    <w:name w:val="Numbers"/>
    <w:basedOn w:val="BodyText"/>
    <w:rsid w:val="00EA2FBB"/>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7C2A13"/>
    <w:pPr>
      <w:spacing w:before="240"/>
    </w:pPr>
    <w:rPr>
      <w:rFonts w:ascii="Arial" w:hAnsi="Arial"/>
      <w:b/>
      <w:color w:val="898D8D"/>
      <w:sz w:val="24"/>
    </w:rPr>
  </w:style>
  <w:style w:type="paragraph" w:customStyle="1" w:styleId="ReportTitle-TOCPage">
    <w:name w:val="Report Title - TOC Page"/>
    <w:basedOn w:val="Normal"/>
    <w:next w:val="BodyText"/>
    <w:rsid w:val="00162DA2"/>
    <w:pPr>
      <w:pBdr>
        <w:top w:val="single" w:sz="2" w:space="2" w:color="DA291C"/>
        <w:bottom w:val="single" w:sz="2" w:space="2" w:color="DA291C"/>
      </w:pBdr>
      <w:shd w:val="clear" w:color="auto" w:fill="DA291C"/>
      <w:tabs>
        <w:tab w:val="left" w:pos="1170"/>
      </w:tabs>
    </w:pPr>
    <w:rPr>
      <w:rFonts w:ascii="Arial" w:hAnsi="Arial" w:cs="Arial"/>
      <w:b/>
      <w:color w:val="F0F4F6" w:themeColor="background1" w:themeTint="33"/>
      <w:sz w:val="24"/>
      <w:szCs w:val="24"/>
    </w:rPr>
  </w:style>
  <w:style w:type="paragraph" w:styleId="Caption">
    <w:name w:val="caption"/>
    <w:basedOn w:val="Normal"/>
    <w:next w:val="Normal"/>
    <w:qFormat/>
    <w:rsid w:val="0079114D"/>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BodyText"/>
    <w:rsid w:val="004B1702"/>
    <w:pPr>
      <w:keepNext/>
      <w:keepLines/>
      <w:tabs>
        <w:tab w:val="left" w:pos="720"/>
        <w:tab w:val="left" w:pos="1080"/>
        <w:tab w:val="left" w:pos="1440"/>
        <w:tab w:val="left" w:pos="1800"/>
      </w:tabs>
      <w:spacing w:after="360"/>
      <w:outlineLvl w:val="0"/>
    </w:pPr>
    <w:rPr>
      <w:rFonts w:ascii="Arial Bold" w:hAnsi="Arial Bold"/>
      <w:b/>
      <w:smallCaps/>
      <w:sz w:val="28"/>
    </w:rPr>
  </w:style>
  <w:style w:type="paragraph" w:customStyle="1" w:styleId="full-govpro">
    <w:name w:val="full-govpro"/>
    <w:rsid w:val="004B1702"/>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link w:val="AbtHeadBChar"/>
    <w:rsid w:val="004B1702"/>
    <w:pPr>
      <w:keepNext/>
      <w:keepLines/>
      <w:tabs>
        <w:tab w:val="left" w:pos="720"/>
        <w:tab w:val="left" w:pos="1080"/>
        <w:tab w:val="left" w:pos="1440"/>
        <w:tab w:val="left" w:pos="1800"/>
      </w:tabs>
      <w:spacing w:after="280"/>
      <w:outlineLvl w:val="1"/>
    </w:pPr>
    <w:rPr>
      <w:rFonts w:ascii="Arial" w:hAnsi="Arial"/>
      <w:b/>
      <w:sz w:val="24"/>
    </w:rPr>
  </w:style>
  <w:style w:type="character" w:customStyle="1" w:styleId="AbtHeadBChar">
    <w:name w:val="AbtHead B Char"/>
    <w:link w:val="AbtHeadB"/>
    <w:rsid w:val="004B1702"/>
    <w:rPr>
      <w:rFonts w:ascii="Arial" w:hAnsi="Arial"/>
      <w:b/>
      <w:sz w:val="24"/>
    </w:rPr>
  </w:style>
  <w:style w:type="paragraph" w:customStyle="1" w:styleId="AbtHeadC">
    <w:name w:val="AbtHead C"/>
    <w:basedOn w:val="Normal"/>
    <w:next w:val="BodyText"/>
    <w:link w:val="AbtHeadCChar"/>
    <w:rsid w:val="004B1702"/>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link w:val="TableChar"/>
    <w:rsid w:val="004B1702"/>
    <w:pPr>
      <w:tabs>
        <w:tab w:val="left" w:pos="720"/>
        <w:tab w:val="left" w:pos="1080"/>
        <w:tab w:val="left" w:pos="1440"/>
        <w:tab w:val="left" w:pos="1800"/>
      </w:tabs>
    </w:pPr>
    <w:rPr>
      <w:rFonts w:ascii="Arial Narrow" w:hAnsi="Arial Narrow"/>
      <w:sz w:val="18"/>
    </w:rPr>
  </w:style>
  <w:style w:type="paragraph" w:customStyle="1" w:styleId="ExhibitColumnHeads">
    <w:name w:val="Exhibit Column Heads"/>
    <w:basedOn w:val="Normal"/>
    <w:rsid w:val="004B1702"/>
    <w:pPr>
      <w:tabs>
        <w:tab w:val="left" w:pos="432"/>
      </w:tabs>
      <w:spacing w:line="240" w:lineRule="auto"/>
      <w:jc w:val="center"/>
    </w:pPr>
    <w:rPr>
      <w:rFonts w:ascii="Arial Narrow" w:hAnsi="Arial Narrow" w:cs="Arial"/>
      <w:b/>
      <w:sz w:val="18"/>
      <w:szCs w:val="24"/>
    </w:rPr>
  </w:style>
  <w:style w:type="paragraph" w:customStyle="1" w:styleId="ExhibitTitle">
    <w:name w:val="Exhibit Title"/>
    <w:basedOn w:val="Caption"/>
    <w:next w:val="Normal"/>
    <w:rsid w:val="004B1702"/>
    <w:pPr>
      <w:tabs>
        <w:tab w:val="clear" w:pos="1440"/>
        <w:tab w:val="left" w:pos="432"/>
      </w:tabs>
      <w:spacing w:after="40" w:line="240" w:lineRule="auto"/>
      <w:ind w:left="0" w:firstLine="0"/>
    </w:pPr>
    <w:rPr>
      <w:color w:val="FFFFFF"/>
      <w:szCs w:val="24"/>
    </w:rPr>
  </w:style>
  <w:style w:type="character" w:customStyle="1" w:styleId="Head4">
    <w:name w:val="Head4"/>
    <w:rsid w:val="004B1702"/>
    <w:rPr>
      <w:rFonts w:ascii="Arial" w:hAnsi="Arial" w:cs="Arial"/>
      <w:b/>
      <w:color w:val="006699"/>
      <w:sz w:val="20"/>
      <w:szCs w:val="20"/>
    </w:rPr>
  </w:style>
  <w:style w:type="character" w:customStyle="1" w:styleId="TableChar">
    <w:name w:val="Table Char"/>
    <w:link w:val="Table"/>
    <w:rsid w:val="004B1702"/>
    <w:rPr>
      <w:rFonts w:ascii="Arial Narrow" w:hAnsi="Arial Narrow"/>
      <w:sz w:val="18"/>
    </w:rPr>
  </w:style>
  <w:style w:type="paragraph" w:customStyle="1" w:styleId="TOCTitle">
    <w:name w:val="TOC Title"/>
    <w:basedOn w:val="Normal"/>
    <w:next w:val="Normal"/>
    <w:uiPriority w:val="99"/>
    <w:rsid w:val="004B1702"/>
    <w:pPr>
      <w:numPr>
        <w:numId w:val="6"/>
      </w:numPr>
      <w:tabs>
        <w:tab w:val="clear" w:pos="1080"/>
      </w:tabs>
      <w:autoSpaceDE w:val="0"/>
      <w:autoSpaceDN w:val="0"/>
      <w:adjustRightInd w:val="0"/>
      <w:spacing w:line="240" w:lineRule="auto"/>
      <w:ind w:left="0" w:firstLine="0"/>
    </w:pPr>
    <w:rPr>
      <w:rFonts w:ascii="Garamond" w:hAnsi="Garamond"/>
      <w:color w:val="000000"/>
      <w:sz w:val="24"/>
      <w:szCs w:val="24"/>
    </w:rPr>
  </w:style>
  <w:style w:type="paragraph" w:customStyle="1" w:styleId="P1-StandPara">
    <w:name w:val="P1-Stand Para"/>
    <w:basedOn w:val="Normal"/>
    <w:uiPriority w:val="99"/>
    <w:rsid w:val="004B1702"/>
    <w:pPr>
      <w:spacing w:line="480" w:lineRule="auto"/>
      <w:ind w:firstLine="1152"/>
    </w:pPr>
    <w:rPr>
      <w:rFonts w:ascii="Garamond" w:hAnsi="Garamond" w:cs="Garamond"/>
      <w:sz w:val="24"/>
      <w:szCs w:val="24"/>
    </w:rPr>
  </w:style>
  <w:style w:type="paragraph" w:customStyle="1" w:styleId="TH-TableHeading">
    <w:name w:val="TH-Table Heading"/>
    <w:basedOn w:val="Heading1"/>
    <w:uiPriority w:val="99"/>
    <w:rsid w:val="004B1702"/>
    <w:pPr>
      <w:keepLines w:val="0"/>
      <w:pageBreakBefore w:val="0"/>
      <w:pBdr>
        <w:top w:val="none" w:sz="0" w:space="0" w:color="auto"/>
        <w:bottom w:val="none" w:sz="0" w:space="0" w:color="auto"/>
      </w:pBdr>
      <w:shd w:val="clear" w:color="auto" w:fill="auto"/>
      <w:tabs>
        <w:tab w:val="left" w:pos="1440"/>
      </w:tabs>
      <w:spacing w:line="240" w:lineRule="atLeast"/>
      <w:jc w:val="center"/>
    </w:pPr>
    <w:rPr>
      <w:rFonts w:ascii="Franklin Gothic Medium" w:hAnsi="Franklin Gothic Medium" w:cs="Franklin Gothic Medium"/>
      <w:bCs/>
      <w:color w:val="auto"/>
      <w:kern w:val="0"/>
      <w:sz w:val="20"/>
    </w:rPr>
  </w:style>
  <w:style w:type="paragraph" w:customStyle="1" w:styleId="TX-TableText">
    <w:name w:val="TX-Table Text"/>
    <w:basedOn w:val="Normal"/>
    <w:uiPriority w:val="99"/>
    <w:rsid w:val="004B1702"/>
    <w:pPr>
      <w:spacing w:line="240" w:lineRule="atLeast"/>
    </w:pPr>
    <w:rPr>
      <w:rFonts w:ascii="Franklin Gothic Medium" w:hAnsi="Franklin Gothic Medium" w:cs="Franklin Gothic Medium"/>
      <w:sz w:val="20"/>
    </w:rPr>
  </w:style>
  <w:style w:type="character" w:customStyle="1" w:styleId="BulletsCharChar">
    <w:name w:val="Bullets Char Char"/>
    <w:link w:val="Bullets"/>
    <w:rsid w:val="002E5929"/>
    <w:rPr>
      <w:sz w:val="22"/>
    </w:rPr>
  </w:style>
  <w:style w:type="character" w:customStyle="1" w:styleId="AbtHeadCChar">
    <w:name w:val="AbtHead C Char"/>
    <w:link w:val="AbtHeadC"/>
    <w:rsid w:val="004B1702"/>
    <w:rPr>
      <w:rFonts w:ascii="Arial" w:hAnsi="Arial"/>
      <w:b/>
    </w:rPr>
  </w:style>
  <w:style w:type="character" w:customStyle="1" w:styleId="CommentTextChar">
    <w:name w:val="Comment Text Char"/>
    <w:basedOn w:val="DefaultParagraphFont"/>
    <w:link w:val="CommentText"/>
    <w:uiPriority w:val="99"/>
    <w:rsid w:val="001329ED"/>
  </w:style>
  <w:style w:type="paragraph" w:styleId="Revision">
    <w:name w:val="Revision"/>
    <w:hidden/>
    <w:uiPriority w:val="99"/>
    <w:semiHidden/>
    <w:rsid w:val="002006CC"/>
    <w:rPr>
      <w:sz w:val="22"/>
    </w:rPr>
  </w:style>
  <w:style w:type="character" w:customStyle="1" w:styleId="Heading2Char">
    <w:name w:val="Heading 2 Char"/>
    <w:basedOn w:val="DefaultParagraphFont"/>
    <w:link w:val="Heading2"/>
    <w:rsid w:val="00367182"/>
    <w:rPr>
      <w:rFonts w:ascii="Arial" w:hAnsi="Arial" w:cs="Arial"/>
      <w:b/>
      <w:bCs/>
      <w:iCs/>
      <w:color w:val="000000" w:themeColor="text1"/>
      <w:sz w:val="22"/>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1702"/>
    <w:pPr>
      <w:spacing w:line="264" w:lineRule="auto"/>
    </w:pPr>
    <w:rPr>
      <w:sz w:val="22"/>
    </w:rPr>
  </w:style>
  <w:style w:type="paragraph" w:styleId="Heading1">
    <w:name w:val="heading 1"/>
    <w:basedOn w:val="Normal"/>
    <w:next w:val="BodyText"/>
    <w:qFormat/>
    <w:rsid w:val="00085A28"/>
    <w:pPr>
      <w:keepNext/>
      <w:keepLines/>
      <w:pageBreakBefore/>
      <w:pBdr>
        <w:top w:val="single" w:sz="6" w:space="3" w:color="DA291C"/>
        <w:bottom w:val="single" w:sz="6" w:space="3" w:color="DA291C"/>
      </w:pBdr>
      <w:shd w:val="clear" w:color="auto" w:fill="DA291C"/>
      <w:spacing w:after="2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367182"/>
    <w:pPr>
      <w:keepNext/>
      <w:pBdr>
        <w:top w:val="single" w:sz="6" w:space="1" w:color="D0D3D4"/>
        <w:bottom w:val="single" w:sz="6" w:space="1" w:color="D0D3D4"/>
      </w:pBdr>
      <w:shd w:val="clear" w:color="auto" w:fill="D0D3D4"/>
      <w:spacing w:after="240" w:line="240" w:lineRule="auto"/>
      <w:ind w:left="720" w:hanging="720"/>
      <w:outlineLvl w:val="1"/>
    </w:pPr>
    <w:rPr>
      <w:rFonts w:ascii="Arial" w:hAnsi="Arial" w:cs="Arial"/>
      <w:b/>
      <w:bCs/>
      <w:iCs/>
      <w:color w:val="000000" w:themeColor="text1"/>
      <w:szCs w:val="28"/>
    </w:rPr>
  </w:style>
  <w:style w:type="paragraph" w:styleId="Heading3">
    <w:name w:val="heading 3"/>
    <w:basedOn w:val="Normal"/>
    <w:next w:val="BodyText"/>
    <w:qFormat/>
    <w:rsid w:val="002E5929"/>
    <w:pPr>
      <w:keepNext/>
      <w:spacing w:line="480" w:lineRule="auto"/>
      <w:outlineLvl w:val="2"/>
    </w:pPr>
    <w:rPr>
      <w:rFonts w:ascii="Arial" w:hAnsi="Arial"/>
      <w:b/>
      <w:color w:val="DA291C"/>
      <w:sz w:val="20"/>
    </w:rPr>
  </w:style>
  <w:style w:type="paragraph" w:styleId="Heading4">
    <w:name w:val="heading 4"/>
    <w:basedOn w:val="Normal"/>
    <w:next w:val="BodyText"/>
    <w:qFormat/>
    <w:rsid w:val="004B1702"/>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2E5929"/>
    <w:pPr>
      <w:spacing w:line="480" w:lineRule="auto"/>
      <w:ind w:firstLine="360"/>
    </w:pPr>
  </w:style>
  <w:style w:type="character" w:customStyle="1" w:styleId="BodyTextChar">
    <w:name w:val="Body Text Char"/>
    <w:basedOn w:val="DefaultParagraphFont"/>
    <w:link w:val="BodyText"/>
    <w:rsid w:val="002E5929"/>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4B1702"/>
  </w:style>
  <w:style w:type="paragraph" w:customStyle="1" w:styleId="Bullets">
    <w:name w:val="Bullets"/>
    <w:basedOn w:val="BodyText"/>
    <w:link w:val="BulletsCharChar"/>
    <w:rsid w:val="002E5929"/>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162DA2"/>
    <w:pPr>
      <w:tabs>
        <w:tab w:val="left" w:pos="900"/>
        <w:tab w:val="right" w:leader="dot" w:pos="9180"/>
      </w:tabs>
      <w:spacing w:before="240" w:line="264" w:lineRule="auto"/>
      <w:ind w:right="547" w:firstLine="0"/>
    </w:pPr>
    <w:rPr>
      <w:b/>
      <w:noProof/>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162DA2"/>
    <w:pPr>
      <w:tabs>
        <w:tab w:val="left" w:pos="1080"/>
        <w:tab w:val="right" w:leader="dot" w:pos="9180"/>
      </w:tabs>
      <w:spacing w:before="240" w:line="264" w:lineRule="auto"/>
      <w:ind w:left="1094" w:right="547" w:hanging="547"/>
    </w:pPr>
    <w:rPr>
      <w:noProof/>
    </w:rPr>
  </w:style>
  <w:style w:type="paragraph" w:styleId="TOC3">
    <w:name w:val="toc 3"/>
    <w:basedOn w:val="BodyText"/>
    <w:next w:val="BodyText"/>
    <w:uiPriority w:val="39"/>
    <w:rsid w:val="00162DA2"/>
    <w:pPr>
      <w:tabs>
        <w:tab w:val="right" w:leader="dot" w:pos="9180"/>
      </w:tabs>
      <w:spacing w:line="264" w:lineRule="auto"/>
      <w:ind w:left="1620" w:right="547" w:hanging="7"/>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7C2A13"/>
    <w:pPr>
      <w:spacing w:before="240"/>
    </w:pPr>
    <w:rPr>
      <w:rFonts w:ascii="Arial" w:hAnsi="Arial"/>
      <w:b/>
      <w:color w:val="898D8D"/>
      <w:sz w:val="24"/>
    </w:rPr>
  </w:style>
  <w:style w:type="paragraph" w:customStyle="1" w:styleId="ReportTitle-TOCPage">
    <w:name w:val="Report Title - TOC Page"/>
    <w:basedOn w:val="Normal"/>
    <w:next w:val="BodyText"/>
    <w:rsid w:val="00162DA2"/>
    <w:pPr>
      <w:pBdr>
        <w:top w:val="single" w:sz="2" w:space="2" w:color="DA291C"/>
        <w:bottom w:val="single" w:sz="2" w:space="2" w:color="DA291C"/>
      </w:pBdr>
      <w:shd w:val="clear" w:color="auto" w:fill="DA291C"/>
      <w:tabs>
        <w:tab w:val="left" w:pos="1170"/>
      </w:tabs>
    </w:pPr>
    <w:rPr>
      <w:rFonts w:ascii="Arial" w:hAnsi="Arial" w:cs="Arial"/>
      <w:b/>
      <w:color w:val="F0F4F6" w:themeColor="background1" w:themeTint="33"/>
      <w:sz w:val="24"/>
      <w:szCs w:val="24"/>
    </w:rPr>
  </w:style>
  <w:style w:type="paragraph" w:styleId="Caption">
    <w:name w:val="caption"/>
    <w:basedOn w:val="Normal"/>
    <w:next w:val="Normal"/>
    <w:qFormat/>
    <w:rsid w:val="0079114D"/>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BodyText"/>
    <w:rsid w:val="004B1702"/>
    <w:pPr>
      <w:keepNext/>
      <w:keepLines/>
      <w:tabs>
        <w:tab w:val="left" w:pos="720"/>
        <w:tab w:val="left" w:pos="1080"/>
        <w:tab w:val="left" w:pos="1440"/>
        <w:tab w:val="left" w:pos="1800"/>
      </w:tabs>
      <w:spacing w:after="360"/>
      <w:outlineLvl w:val="0"/>
    </w:pPr>
    <w:rPr>
      <w:rFonts w:ascii="Arial Bold" w:hAnsi="Arial Bold"/>
      <w:b/>
      <w:smallCaps/>
      <w:sz w:val="28"/>
    </w:rPr>
  </w:style>
  <w:style w:type="paragraph" w:customStyle="1" w:styleId="full-govpro">
    <w:name w:val="full-govpro"/>
    <w:rsid w:val="004B1702"/>
    <w:pPr>
      <w:tabs>
        <w:tab w:val="left" w:pos="720"/>
        <w:tab w:val="left" w:pos="1080"/>
        <w:tab w:val="left" w:pos="1440"/>
        <w:tab w:val="left" w:pos="1800"/>
      </w:tabs>
      <w:spacing w:line="264" w:lineRule="auto"/>
    </w:pPr>
    <w:rPr>
      <w:sz w:val="22"/>
    </w:rPr>
  </w:style>
  <w:style w:type="paragraph" w:customStyle="1" w:styleId="AbtHeadB">
    <w:name w:val="AbtHead B"/>
    <w:basedOn w:val="Normal"/>
    <w:next w:val="BodyText"/>
    <w:link w:val="AbtHeadBChar"/>
    <w:rsid w:val="004B1702"/>
    <w:pPr>
      <w:keepNext/>
      <w:keepLines/>
      <w:tabs>
        <w:tab w:val="left" w:pos="720"/>
        <w:tab w:val="left" w:pos="1080"/>
        <w:tab w:val="left" w:pos="1440"/>
        <w:tab w:val="left" w:pos="1800"/>
      </w:tabs>
      <w:spacing w:after="280"/>
      <w:outlineLvl w:val="1"/>
    </w:pPr>
    <w:rPr>
      <w:rFonts w:ascii="Arial" w:hAnsi="Arial"/>
      <w:b/>
      <w:sz w:val="24"/>
    </w:rPr>
  </w:style>
  <w:style w:type="character" w:customStyle="1" w:styleId="AbtHeadBChar">
    <w:name w:val="AbtHead B Char"/>
    <w:link w:val="AbtHeadB"/>
    <w:rsid w:val="004B1702"/>
    <w:rPr>
      <w:rFonts w:ascii="Arial" w:hAnsi="Arial"/>
      <w:b/>
      <w:sz w:val="24"/>
    </w:rPr>
  </w:style>
  <w:style w:type="paragraph" w:customStyle="1" w:styleId="AbtHeadC">
    <w:name w:val="AbtHead C"/>
    <w:basedOn w:val="Normal"/>
    <w:next w:val="BodyText"/>
    <w:link w:val="AbtHeadCChar"/>
    <w:rsid w:val="004B1702"/>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link w:val="TableChar"/>
    <w:rsid w:val="004B1702"/>
    <w:pPr>
      <w:tabs>
        <w:tab w:val="left" w:pos="720"/>
        <w:tab w:val="left" w:pos="1080"/>
        <w:tab w:val="left" w:pos="1440"/>
        <w:tab w:val="left" w:pos="1800"/>
      </w:tabs>
    </w:pPr>
    <w:rPr>
      <w:rFonts w:ascii="Arial Narrow" w:hAnsi="Arial Narrow"/>
      <w:sz w:val="18"/>
    </w:rPr>
  </w:style>
  <w:style w:type="paragraph" w:customStyle="1" w:styleId="ExhibitColumnHeads">
    <w:name w:val="Exhibit Column Heads"/>
    <w:basedOn w:val="Normal"/>
    <w:rsid w:val="004B1702"/>
    <w:pPr>
      <w:tabs>
        <w:tab w:val="left" w:pos="432"/>
      </w:tabs>
      <w:spacing w:line="240" w:lineRule="auto"/>
      <w:jc w:val="center"/>
    </w:pPr>
    <w:rPr>
      <w:rFonts w:ascii="Arial Narrow" w:hAnsi="Arial Narrow" w:cs="Arial"/>
      <w:b/>
      <w:sz w:val="18"/>
      <w:szCs w:val="24"/>
    </w:rPr>
  </w:style>
  <w:style w:type="paragraph" w:customStyle="1" w:styleId="ExhibitTitle">
    <w:name w:val="Exhibit Title"/>
    <w:basedOn w:val="Caption"/>
    <w:next w:val="Normal"/>
    <w:rsid w:val="004B1702"/>
    <w:pPr>
      <w:tabs>
        <w:tab w:val="clear" w:pos="1440"/>
        <w:tab w:val="left" w:pos="432"/>
      </w:tabs>
      <w:spacing w:after="40" w:line="240" w:lineRule="auto"/>
      <w:ind w:left="0" w:firstLine="0"/>
    </w:pPr>
    <w:rPr>
      <w:color w:val="FFFFFF"/>
      <w:szCs w:val="24"/>
    </w:rPr>
  </w:style>
  <w:style w:type="character" w:customStyle="1" w:styleId="Head4">
    <w:name w:val="Head4"/>
    <w:rsid w:val="004B1702"/>
    <w:rPr>
      <w:rFonts w:ascii="Arial" w:hAnsi="Arial" w:cs="Arial"/>
      <w:b/>
      <w:color w:val="006699"/>
      <w:sz w:val="20"/>
      <w:szCs w:val="20"/>
    </w:rPr>
  </w:style>
  <w:style w:type="character" w:customStyle="1" w:styleId="TableChar">
    <w:name w:val="Table Char"/>
    <w:link w:val="Table"/>
    <w:rsid w:val="004B1702"/>
    <w:rPr>
      <w:rFonts w:ascii="Arial Narrow" w:hAnsi="Arial Narrow"/>
      <w:sz w:val="18"/>
    </w:rPr>
  </w:style>
  <w:style w:type="paragraph" w:customStyle="1" w:styleId="TOCTitle">
    <w:name w:val="TOC Title"/>
    <w:basedOn w:val="Normal"/>
    <w:next w:val="Normal"/>
    <w:uiPriority w:val="99"/>
    <w:rsid w:val="004B1702"/>
    <w:pPr>
      <w:numPr>
        <w:numId w:val="6"/>
      </w:numPr>
      <w:tabs>
        <w:tab w:val="clear" w:pos="1080"/>
      </w:tabs>
      <w:autoSpaceDE w:val="0"/>
      <w:autoSpaceDN w:val="0"/>
      <w:adjustRightInd w:val="0"/>
      <w:spacing w:line="240" w:lineRule="auto"/>
      <w:ind w:left="0" w:firstLine="0"/>
    </w:pPr>
    <w:rPr>
      <w:rFonts w:ascii="Garamond" w:hAnsi="Garamond"/>
      <w:color w:val="000000"/>
      <w:sz w:val="24"/>
      <w:szCs w:val="24"/>
    </w:rPr>
  </w:style>
  <w:style w:type="paragraph" w:customStyle="1" w:styleId="P1-StandPara">
    <w:name w:val="P1-Stand Para"/>
    <w:basedOn w:val="Normal"/>
    <w:uiPriority w:val="99"/>
    <w:rsid w:val="004B1702"/>
    <w:pPr>
      <w:spacing w:line="480" w:lineRule="auto"/>
      <w:ind w:firstLine="1152"/>
    </w:pPr>
    <w:rPr>
      <w:rFonts w:ascii="Garamond" w:hAnsi="Garamond" w:cs="Garamond"/>
      <w:sz w:val="24"/>
      <w:szCs w:val="24"/>
    </w:rPr>
  </w:style>
  <w:style w:type="paragraph" w:customStyle="1" w:styleId="TH-TableHeading">
    <w:name w:val="TH-Table Heading"/>
    <w:basedOn w:val="Heading1"/>
    <w:uiPriority w:val="99"/>
    <w:rsid w:val="004B1702"/>
    <w:pPr>
      <w:keepLines w:val="0"/>
      <w:pageBreakBefore w:val="0"/>
      <w:pBdr>
        <w:top w:val="none" w:sz="0" w:space="0" w:color="auto"/>
        <w:bottom w:val="none" w:sz="0" w:space="0" w:color="auto"/>
      </w:pBdr>
      <w:shd w:val="clear" w:color="auto" w:fill="auto"/>
      <w:tabs>
        <w:tab w:val="left" w:pos="1440"/>
      </w:tabs>
      <w:spacing w:line="240" w:lineRule="atLeast"/>
      <w:jc w:val="center"/>
    </w:pPr>
    <w:rPr>
      <w:rFonts w:ascii="Franklin Gothic Medium" w:hAnsi="Franklin Gothic Medium" w:cs="Franklin Gothic Medium"/>
      <w:bCs/>
      <w:color w:val="auto"/>
      <w:kern w:val="0"/>
      <w:sz w:val="20"/>
    </w:rPr>
  </w:style>
  <w:style w:type="paragraph" w:customStyle="1" w:styleId="TX-TableText">
    <w:name w:val="TX-Table Text"/>
    <w:basedOn w:val="Normal"/>
    <w:uiPriority w:val="99"/>
    <w:rsid w:val="004B1702"/>
    <w:pPr>
      <w:spacing w:line="240" w:lineRule="atLeast"/>
    </w:pPr>
    <w:rPr>
      <w:rFonts w:ascii="Franklin Gothic Medium" w:hAnsi="Franklin Gothic Medium" w:cs="Franklin Gothic Medium"/>
      <w:sz w:val="20"/>
    </w:rPr>
  </w:style>
  <w:style w:type="character" w:customStyle="1" w:styleId="BulletsCharChar">
    <w:name w:val="Bullets Char Char"/>
    <w:link w:val="Bullets"/>
    <w:rsid w:val="002E5929"/>
    <w:rPr>
      <w:sz w:val="22"/>
    </w:rPr>
  </w:style>
  <w:style w:type="character" w:customStyle="1" w:styleId="AbtHeadCChar">
    <w:name w:val="AbtHead C Char"/>
    <w:link w:val="AbtHeadC"/>
    <w:rsid w:val="004B1702"/>
    <w:rPr>
      <w:rFonts w:ascii="Arial" w:hAnsi="Arial"/>
      <w:b/>
    </w:rPr>
  </w:style>
  <w:style w:type="character" w:customStyle="1" w:styleId="CommentTextChar">
    <w:name w:val="Comment Text Char"/>
    <w:basedOn w:val="DefaultParagraphFont"/>
    <w:link w:val="CommentText"/>
    <w:uiPriority w:val="99"/>
    <w:rsid w:val="001329ED"/>
  </w:style>
  <w:style w:type="paragraph" w:styleId="Revision">
    <w:name w:val="Revision"/>
    <w:hidden/>
    <w:uiPriority w:val="99"/>
    <w:semiHidden/>
    <w:rsid w:val="002006CC"/>
    <w:rPr>
      <w:sz w:val="22"/>
    </w:rPr>
  </w:style>
  <w:style w:type="character" w:customStyle="1" w:styleId="Heading2Char">
    <w:name w:val="Heading 2 Char"/>
    <w:basedOn w:val="DefaultParagraphFont"/>
    <w:link w:val="Heading2"/>
    <w:rsid w:val="00367182"/>
    <w:rPr>
      <w:rFonts w:ascii="Arial" w:hAnsi="Arial" w:cs="Arial"/>
      <w:b/>
      <w:bCs/>
      <w:iCs/>
      <w:color w:val="000000" w:themeColor="text1"/>
      <w:sz w:val="22"/>
      <w:szCs w:val="28"/>
      <w:shd w:val="clear" w:color="auto" w:fill="D0D3D4"/>
    </w:rPr>
  </w:style>
</w:styles>
</file>

<file path=word/webSettings.xml><?xml version="1.0" encoding="utf-8"?>
<w:webSettings xmlns:r="http://schemas.openxmlformats.org/officeDocument/2006/relationships" xmlns:w="http://schemas.openxmlformats.org/wordprocessingml/2006/main">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33136">
      <w:bodyDiv w:val="1"/>
      <w:marLeft w:val="0"/>
      <w:marRight w:val="0"/>
      <w:marTop w:val="0"/>
      <w:marBottom w:val="0"/>
      <w:divBdr>
        <w:top w:val="none" w:sz="0" w:space="0" w:color="auto"/>
        <w:left w:val="none" w:sz="0" w:space="0" w:color="auto"/>
        <w:bottom w:val="none" w:sz="0" w:space="0" w:color="auto"/>
        <w:right w:val="none" w:sz="0" w:space="0" w:color="auto"/>
      </w:divBdr>
    </w:div>
    <w:div w:id="191261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tonk\AppData\Local\Microsoft\Windows\Temporary%20Internet%20Files\Content.Outlook\CX1NZZ7P\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99C63-2E52-4332-96B8-8E1F8D11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9</Pages>
  <Words>2323</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SFIC Study OMB Part B</vt:lpstr>
    </vt:vector>
  </TitlesOfParts>
  <Company>Abt Associates Inc.</Company>
  <LinksUpToDate>false</LinksUpToDate>
  <CharactersWithSpaces>15788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SFIC Study OMB Part B</dc:title>
  <dc:subject>School Foodservice Indirect Cost Study (FNS)</dc:subject>
  <dc:creator>Fred Glantz;Carissa_Climaco@abtassoc.com</dc:creator>
  <cp:lastModifiedBy>jendahl</cp:lastModifiedBy>
  <cp:revision>2</cp:revision>
  <cp:lastPrinted>2012-03-12T19:17:00Z</cp:lastPrinted>
  <dcterms:created xsi:type="dcterms:W3CDTF">2012-04-11T22:02:00Z</dcterms:created>
  <dcterms:modified xsi:type="dcterms:W3CDTF">2012-04-11T22:02:00Z</dcterms:modified>
</cp:coreProperties>
</file>