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CF1" w:rsidRPr="007C69A6" w:rsidRDefault="001E2CF1" w:rsidP="004F4566">
      <w:pPr>
        <w:pStyle w:val="CoverTextRed16pt"/>
        <w:tabs>
          <w:tab w:val="clear" w:pos="6660"/>
          <w:tab w:val="left" w:pos="5580"/>
        </w:tabs>
        <w:ind w:left="5580" w:right="360"/>
        <w:rPr>
          <w:noProof/>
        </w:rPr>
      </w:pPr>
      <w:r w:rsidRPr="007C69A6">
        <w:rPr>
          <w:noProof/>
        </w:rPr>
        <w:drawing>
          <wp:anchor distT="0" distB="0" distL="114300" distR="114300" simplePos="0" relativeHeight="251664384" behindDoc="0" locked="0" layoutInCell="1" allowOverlap="1">
            <wp:simplePos x="0" y="0"/>
            <wp:positionH relativeFrom="column">
              <wp:posOffset>200660</wp:posOffset>
            </wp:positionH>
            <wp:positionV relativeFrom="paragraph">
              <wp:posOffset>-366395</wp:posOffset>
            </wp:positionV>
            <wp:extent cx="1196340" cy="1196340"/>
            <wp:effectExtent l="0" t="0" r="3810" b="381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6340" cy="1196340"/>
                    </a:xfrm>
                    <a:prstGeom prst="rect">
                      <a:avLst/>
                    </a:prstGeom>
                    <a:noFill/>
                    <a:ln>
                      <a:noFill/>
                    </a:ln>
                  </pic:spPr>
                </pic:pic>
              </a:graphicData>
            </a:graphic>
          </wp:anchor>
        </w:drawing>
      </w:r>
      <w:r w:rsidR="0009483E" w:rsidRPr="007C69A6">
        <w:rPr>
          <w:noProof/>
        </w:rPr>
        <w:t>OMB Submis</w:t>
      </w:r>
      <w:r w:rsidR="004B1702" w:rsidRPr="007C69A6">
        <w:rPr>
          <w:noProof/>
        </w:rPr>
        <w:t>sion</w:t>
      </w:r>
    </w:p>
    <w:p w:rsidR="00883197" w:rsidRPr="007C69A6" w:rsidRDefault="00883197" w:rsidP="004F4566">
      <w:pPr>
        <w:pStyle w:val="CoverTextRed16pt"/>
        <w:tabs>
          <w:tab w:val="clear" w:pos="6660"/>
          <w:tab w:val="left" w:pos="5580"/>
        </w:tabs>
        <w:ind w:left="5580" w:right="360"/>
        <w:rPr>
          <w:noProof/>
        </w:rPr>
      </w:pPr>
      <w:r w:rsidRPr="007C69A6">
        <w:rPr>
          <w:noProof/>
        </w:rPr>
        <w:t>(Part A)</w:t>
      </w:r>
    </w:p>
    <w:p w:rsidR="009565D4" w:rsidRPr="007C69A6" w:rsidRDefault="009565D4" w:rsidP="002069B7">
      <w:pPr>
        <w:pStyle w:val="CoverText-Address"/>
        <w:ind w:right="270"/>
        <w:rPr>
          <w:noProof/>
        </w:rPr>
      </w:pPr>
    </w:p>
    <w:p w:rsidR="009565D4" w:rsidRPr="007C69A6" w:rsidRDefault="009565D4" w:rsidP="002069B7">
      <w:pPr>
        <w:pStyle w:val="CoverText-Address"/>
        <w:ind w:right="270"/>
        <w:rPr>
          <w:noProof/>
        </w:rPr>
      </w:pPr>
    </w:p>
    <w:p w:rsidR="009565D4" w:rsidRPr="007C69A6" w:rsidRDefault="009565D4" w:rsidP="002069B7">
      <w:pPr>
        <w:pStyle w:val="CoverText-Address"/>
        <w:ind w:right="270"/>
        <w:rPr>
          <w:noProof/>
        </w:rPr>
      </w:pPr>
    </w:p>
    <w:p w:rsidR="009565D4" w:rsidRPr="007C69A6" w:rsidRDefault="004B1702" w:rsidP="004F4566">
      <w:pPr>
        <w:pStyle w:val="CoverTextRed16pt"/>
        <w:ind w:left="5580" w:right="360"/>
        <w:rPr>
          <w:noProof/>
        </w:rPr>
      </w:pPr>
      <w:r w:rsidRPr="007C69A6">
        <w:rPr>
          <w:noProof/>
        </w:rPr>
        <w:t>School Foodservice Indirect Cost Study</w:t>
      </w:r>
    </w:p>
    <w:p w:rsidR="009565D4" w:rsidRPr="007C69A6" w:rsidRDefault="009565D4" w:rsidP="00447223">
      <w:pPr>
        <w:pStyle w:val="CoverTextRed16pt"/>
        <w:ind w:right="360"/>
      </w:pPr>
    </w:p>
    <w:p w:rsidR="001E2CF1" w:rsidRPr="007C69A6" w:rsidRDefault="001E2CF1" w:rsidP="00447223">
      <w:pPr>
        <w:pStyle w:val="CoverText-Address"/>
        <w:ind w:right="360"/>
      </w:pPr>
    </w:p>
    <w:p w:rsidR="002E2A6F" w:rsidRPr="007C69A6" w:rsidRDefault="002E2A6F" w:rsidP="002069B7">
      <w:pPr>
        <w:pStyle w:val="CoverTextGreyBold"/>
        <w:ind w:left="5940" w:right="360"/>
      </w:pPr>
      <w:r w:rsidRPr="007C69A6">
        <w:t>Contract # GS-10F-0086K</w:t>
      </w:r>
    </w:p>
    <w:p w:rsidR="002E2A6F" w:rsidRPr="007C69A6" w:rsidRDefault="002E2A6F" w:rsidP="002069B7">
      <w:pPr>
        <w:pStyle w:val="CoverTextGreyBold"/>
        <w:ind w:left="5940" w:right="360"/>
      </w:pPr>
      <w:r w:rsidRPr="007C69A6">
        <w:t>Order # AG-3198-D-11-0047</w:t>
      </w:r>
    </w:p>
    <w:p w:rsidR="009565D4" w:rsidRPr="007C69A6" w:rsidRDefault="009565D4" w:rsidP="00447223">
      <w:pPr>
        <w:pStyle w:val="CoverText-Address"/>
        <w:ind w:right="360"/>
      </w:pPr>
    </w:p>
    <w:p w:rsidR="004B1702" w:rsidRPr="007C69A6" w:rsidRDefault="004B1702" w:rsidP="00447223">
      <w:pPr>
        <w:pStyle w:val="CoverText-Address"/>
        <w:ind w:right="360"/>
      </w:pPr>
    </w:p>
    <w:p w:rsidR="004B1702" w:rsidRPr="007C69A6" w:rsidRDefault="004B1702" w:rsidP="00447223">
      <w:pPr>
        <w:pStyle w:val="CoverText-Address"/>
        <w:ind w:right="360"/>
      </w:pPr>
    </w:p>
    <w:p w:rsidR="009565D4" w:rsidRPr="007C69A6" w:rsidRDefault="009565D4" w:rsidP="00447223">
      <w:pPr>
        <w:pStyle w:val="CoverText-Address"/>
        <w:ind w:right="360"/>
      </w:pPr>
    </w:p>
    <w:p w:rsidR="009565D4" w:rsidRPr="007C69A6" w:rsidRDefault="009565D4" w:rsidP="00447223">
      <w:pPr>
        <w:pStyle w:val="CoverText-Address"/>
        <w:ind w:right="360"/>
      </w:pPr>
    </w:p>
    <w:p w:rsidR="004B1702" w:rsidRPr="007C69A6" w:rsidRDefault="004B1702" w:rsidP="00447223">
      <w:pPr>
        <w:pStyle w:val="CoverText-Address"/>
        <w:ind w:right="360"/>
      </w:pPr>
    </w:p>
    <w:p w:rsidR="009565D4" w:rsidRPr="007C69A6" w:rsidRDefault="009565D4" w:rsidP="00447223">
      <w:pPr>
        <w:pStyle w:val="CoverText-Address"/>
        <w:ind w:right="360"/>
      </w:pPr>
    </w:p>
    <w:p w:rsidR="009565D4" w:rsidRPr="007C69A6" w:rsidRDefault="00BC260A" w:rsidP="00447223">
      <w:pPr>
        <w:pStyle w:val="CoverText-Address"/>
        <w:ind w:right="360"/>
      </w:pPr>
      <w:r>
        <w:t>March</w:t>
      </w:r>
      <w:r w:rsidR="00680967" w:rsidRPr="007C69A6">
        <w:t xml:space="preserve"> </w:t>
      </w:r>
      <w:r w:rsidR="003B1642">
        <w:t>26</w:t>
      </w:r>
      <w:r w:rsidR="00883197" w:rsidRPr="007C69A6">
        <w:t>, 201</w:t>
      </w:r>
      <w:r>
        <w:t>2</w:t>
      </w:r>
    </w:p>
    <w:p w:rsidR="009565D4" w:rsidRPr="007C69A6" w:rsidRDefault="009565D4" w:rsidP="00447223">
      <w:pPr>
        <w:pStyle w:val="CoverText-Address"/>
        <w:ind w:right="360"/>
      </w:pPr>
    </w:p>
    <w:p w:rsidR="001E2CF1" w:rsidRPr="007C69A6" w:rsidRDefault="001E2CF1" w:rsidP="00447223">
      <w:pPr>
        <w:tabs>
          <w:tab w:val="left" w:pos="720"/>
          <w:tab w:val="left" w:pos="1080"/>
          <w:tab w:val="left" w:pos="1440"/>
          <w:tab w:val="left" w:pos="1800"/>
          <w:tab w:val="left" w:pos="6660"/>
        </w:tabs>
        <w:ind w:left="6490" w:right="360"/>
        <w:jc w:val="right"/>
        <w:rPr>
          <w:rFonts w:ascii="Arial" w:hAnsi="Arial"/>
          <w:szCs w:val="24"/>
        </w:rPr>
      </w:pPr>
    </w:p>
    <w:p w:rsidR="004B1702" w:rsidRPr="007C69A6" w:rsidRDefault="004B1702" w:rsidP="00447223">
      <w:pPr>
        <w:tabs>
          <w:tab w:val="left" w:pos="720"/>
          <w:tab w:val="left" w:pos="1080"/>
          <w:tab w:val="left" w:pos="1440"/>
          <w:tab w:val="left" w:pos="1800"/>
          <w:tab w:val="left" w:pos="6660"/>
        </w:tabs>
        <w:ind w:left="6490" w:right="360"/>
        <w:jc w:val="right"/>
        <w:rPr>
          <w:rFonts w:ascii="Arial" w:hAnsi="Arial"/>
          <w:szCs w:val="24"/>
        </w:rPr>
      </w:pPr>
    </w:p>
    <w:p w:rsidR="004B1702" w:rsidRPr="007C69A6" w:rsidRDefault="004B1702" w:rsidP="00447223">
      <w:pPr>
        <w:tabs>
          <w:tab w:val="left" w:pos="720"/>
          <w:tab w:val="left" w:pos="1080"/>
          <w:tab w:val="left" w:pos="1440"/>
          <w:tab w:val="left" w:pos="1800"/>
          <w:tab w:val="left" w:pos="6660"/>
        </w:tabs>
        <w:ind w:left="6490" w:right="360"/>
        <w:jc w:val="right"/>
        <w:rPr>
          <w:rFonts w:ascii="Arial" w:hAnsi="Arial"/>
          <w:szCs w:val="24"/>
        </w:rPr>
      </w:pPr>
    </w:p>
    <w:p w:rsidR="004B1702" w:rsidRPr="007C69A6" w:rsidRDefault="004B1702" w:rsidP="00447223">
      <w:pPr>
        <w:tabs>
          <w:tab w:val="left" w:pos="720"/>
          <w:tab w:val="left" w:pos="1080"/>
          <w:tab w:val="left" w:pos="1440"/>
          <w:tab w:val="left" w:pos="1800"/>
          <w:tab w:val="left" w:pos="6660"/>
        </w:tabs>
        <w:ind w:left="6490" w:right="360"/>
        <w:jc w:val="right"/>
        <w:rPr>
          <w:rFonts w:ascii="Arial" w:hAnsi="Arial"/>
          <w:szCs w:val="24"/>
        </w:rPr>
      </w:pPr>
    </w:p>
    <w:p w:rsidR="004B1702" w:rsidRPr="007C69A6" w:rsidRDefault="004B1702" w:rsidP="00447223">
      <w:pPr>
        <w:tabs>
          <w:tab w:val="left" w:pos="720"/>
          <w:tab w:val="left" w:pos="1080"/>
          <w:tab w:val="left" w:pos="1440"/>
          <w:tab w:val="left" w:pos="1800"/>
          <w:tab w:val="left" w:pos="6660"/>
        </w:tabs>
        <w:ind w:left="6490" w:right="360"/>
        <w:jc w:val="right"/>
        <w:rPr>
          <w:rFonts w:ascii="Arial" w:hAnsi="Arial"/>
          <w:szCs w:val="24"/>
        </w:rPr>
      </w:pPr>
    </w:p>
    <w:p w:rsidR="009565D4" w:rsidRPr="007C69A6" w:rsidRDefault="001E2CF1" w:rsidP="00EC7DCF">
      <w:pPr>
        <w:pStyle w:val="CoverText11pt"/>
        <w:ind w:right="360"/>
      </w:pPr>
      <w:r w:rsidRPr="007C69A6">
        <w:t>Prepared for:</w:t>
      </w:r>
    </w:p>
    <w:p w:rsidR="009565D4" w:rsidRPr="007C69A6" w:rsidRDefault="00883197" w:rsidP="00EC7DCF">
      <w:pPr>
        <w:pStyle w:val="CoverText11pt"/>
        <w:ind w:right="360"/>
        <w:rPr>
          <w:i w:val="0"/>
        </w:rPr>
      </w:pPr>
      <w:r w:rsidRPr="007C69A6">
        <w:rPr>
          <w:i w:val="0"/>
        </w:rPr>
        <w:t>John Endahl</w:t>
      </w:r>
    </w:p>
    <w:p w:rsidR="00883197" w:rsidRPr="007C69A6" w:rsidRDefault="00883197" w:rsidP="00EC7DCF">
      <w:pPr>
        <w:pStyle w:val="CoverText-Address"/>
        <w:ind w:left="5580" w:right="360"/>
        <w:rPr>
          <w:b/>
          <w:color w:val="DA291C"/>
        </w:rPr>
      </w:pPr>
      <w:r w:rsidRPr="007C69A6">
        <w:rPr>
          <w:b/>
          <w:color w:val="DA291C"/>
        </w:rPr>
        <w:t>Office of Research and Analysis</w:t>
      </w:r>
    </w:p>
    <w:p w:rsidR="00883197" w:rsidRPr="007C69A6" w:rsidRDefault="00883197" w:rsidP="002069B7">
      <w:pPr>
        <w:pStyle w:val="CoverText-Address"/>
        <w:ind w:left="5490" w:right="360"/>
      </w:pPr>
      <w:r w:rsidRPr="007C69A6">
        <w:rPr>
          <w:b/>
          <w:color w:val="DA291C"/>
        </w:rPr>
        <w:t>Food and Nutrition Service/USDA</w:t>
      </w:r>
    </w:p>
    <w:p w:rsidR="00883197" w:rsidRPr="007C69A6" w:rsidRDefault="00883197" w:rsidP="00EC7DCF">
      <w:pPr>
        <w:pStyle w:val="CoverText-Address"/>
        <w:ind w:left="5580" w:right="360"/>
      </w:pPr>
      <w:r w:rsidRPr="007C69A6">
        <w:t>3101 Park Center Dr, Rm 1004</w:t>
      </w:r>
    </w:p>
    <w:p w:rsidR="00883197" w:rsidRPr="007C69A6" w:rsidRDefault="00883197" w:rsidP="00EC7DCF">
      <w:pPr>
        <w:pStyle w:val="CoverText-Address"/>
        <w:ind w:left="6390" w:right="360"/>
      </w:pPr>
      <w:r w:rsidRPr="007C69A6">
        <w:t>Alexandria, VA</w:t>
      </w:r>
      <w:r w:rsidR="002069B7" w:rsidRPr="007C69A6">
        <w:t xml:space="preserve"> </w:t>
      </w:r>
      <w:r w:rsidRPr="007C69A6">
        <w:t>22302</w:t>
      </w:r>
    </w:p>
    <w:p w:rsidR="009565D4" w:rsidRPr="007C69A6" w:rsidRDefault="009565D4" w:rsidP="00447223">
      <w:pPr>
        <w:pStyle w:val="CoverText-Address"/>
        <w:ind w:right="360"/>
      </w:pPr>
    </w:p>
    <w:p w:rsidR="009565D4" w:rsidRPr="007C69A6" w:rsidRDefault="009565D4" w:rsidP="00447223">
      <w:pPr>
        <w:pStyle w:val="CoverText-Address"/>
        <w:ind w:right="360"/>
      </w:pPr>
    </w:p>
    <w:p w:rsidR="001E2CF1" w:rsidRPr="007C69A6" w:rsidRDefault="001E2CF1" w:rsidP="00447223">
      <w:pPr>
        <w:pStyle w:val="CoverText-Address"/>
        <w:ind w:right="360"/>
      </w:pPr>
    </w:p>
    <w:p w:rsidR="001E2CF1" w:rsidRPr="007C69A6" w:rsidRDefault="00AD44C7" w:rsidP="00447223">
      <w:pPr>
        <w:pStyle w:val="CoverText11pt"/>
        <w:ind w:right="360"/>
      </w:pPr>
      <w:r w:rsidRPr="007C69A6">
        <w:t>Prepared</w:t>
      </w:r>
      <w:r w:rsidR="001E2CF1" w:rsidRPr="007C69A6">
        <w:t xml:space="preserve"> by:</w:t>
      </w:r>
    </w:p>
    <w:p w:rsidR="001E2CF1" w:rsidRPr="007C69A6" w:rsidRDefault="001E2CF1" w:rsidP="00447223">
      <w:pPr>
        <w:pStyle w:val="CoverText-Address"/>
        <w:ind w:right="360"/>
        <w:rPr>
          <w:b/>
          <w:color w:val="DA291C"/>
        </w:rPr>
      </w:pPr>
      <w:r w:rsidRPr="007C69A6">
        <w:rPr>
          <w:b/>
          <w:color w:val="DA291C"/>
        </w:rPr>
        <w:t>Abt Associates Inc.</w:t>
      </w:r>
    </w:p>
    <w:p w:rsidR="001E2CF1" w:rsidRPr="007C69A6" w:rsidRDefault="004B1702" w:rsidP="00447223">
      <w:pPr>
        <w:pStyle w:val="CoverText-Address"/>
        <w:ind w:right="360"/>
      </w:pPr>
      <w:r w:rsidRPr="007C69A6">
        <w:t>55 Wheeler Street</w:t>
      </w:r>
    </w:p>
    <w:p w:rsidR="004B1702" w:rsidRPr="007C69A6" w:rsidRDefault="004B1702" w:rsidP="00447223">
      <w:pPr>
        <w:pStyle w:val="CoverText-Address"/>
        <w:ind w:right="360"/>
      </w:pPr>
      <w:r w:rsidRPr="007C69A6">
        <w:t>Cambridge, MA 02138</w:t>
      </w:r>
    </w:p>
    <w:p w:rsidR="002069B7" w:rsidRPr="007C69A6" w:rsidRDefault="002069B7" w:rsidP="00447223">
      <w:pPr>
        <w:pStyle w:val="CoverText-Address"/>
        <w:ind w:right="360"/>
      </w:pPr>
    </w:p>
    <w:p w:rsidR="002069B7" w:rsidRPr="007C69A6" w:rsidRDefault="002069B7" w:rsidP="002069B7">
      <w:pPr>
        <w:pStyle w:val="CoverText11pt"/>
        <w:ind w:right="360"/>
      </w:pPr>
      <w:r w:rsidRPr="007C69A6">
        <w:t>In Partnership with:</w:t>
      </w:r>
    </w:p>
    <w:p w:rsidR="002069B7" w:rsidRPr="007C69A6" w:rsidRDefault="00535E00" w:rsidP="002069B7">
      <w:pPr>
        <w:pStyle w:val="CoverText-Address"/>
        <w:ind w:left="5670" w:right="360"/>
        <w:rPr>
          <w:b/>
          <w:color w:val="DA291C"/>
        </w:rPr>
      </w:pPr>
      <w:r>
        <w:rPr>
          <w:b/>
          <w:color w:val="DA291C"/>
        </w:rPr>
        <w:t>Kokopelli Associates LLC</w:t>
      </w:r>
    </w:p>
    <w:p w:rsidR="00157E04" w:rsidRPr="007C69A6" w:rsidRDefault="00157E04" w:rsidP="00447223">
      <w:pPr>
        <w:ind w:right="360"/>
        <w:sectPr w:rsidR="00157E04" w:rsidRPr="007C69A6" w:rsidSect="0021312C">
          <w:headerReference w:type="default" r:id="rId9"/>
          <w:footerReference w:type="even" r:id="rId10"/>
          <w:footerReference w:type="default" r:id="rId11"/>
          <w:pgSz w:w="12240" w:h="15840" w:code="1"/>
          <w:pgMar w:top="1440" w:right="1440" w:bottom="1008" w:left="1440" w:header="720" w:footer="720" w:gutter="0"/>
          <w:pgNumType w:fmt="lowerRoman" w:start="1"/>
          <w:cols w:space="720"/>
          <w:docGrid w:linePitch="299"/>
        </w:sectPr>
      </w:pPr>
    </w:p>
    <w:p w:rsidR="007B1904" w:rsidRPr="00793E01" w:rsidRDefault="007C2A13" w:rsidP="00793E01">
      <w:pPr>
        <w:pStyle w:val="ReportTitle-TOCPage"/>
      </w:pPr>
      <w:r w:rsidRPr="00793E01">
        <w:lastRenderedPageBreak/>
        <w:t>School Foodservice Indirect Cost Study – OMB</w:t>
      </w:r>
      <w:r w:rsidR="00FA2CB1" w:rsidRPr="00793E01">
        <w:t xml:space="preserve"> Clearance Package</w:t>
      </w:r>
    </w:p>
    <w:p w:rsidR="00752119" w:rsidRPr="007C69A6" w:rsidRDefault="00752119" w:rsidP="00EE4BDB">
      <w:pPr>
        <w:pStyle w:val="TOCHeader"/>
        <w:spacing w:after="240"/>
      </w:pPr>
      <w:r w:rsidRPr="007C69A6">
        <w:t>Table of Contents</w:t>
      </w:r>
    </w:p>
    <w:p w:rsidR="00793E01" w:rsidRDefault="0032042B">
      <w:pPr>
        <w:pStyle w:val="TOC1"/>
        <w:rPr>
          <w:rFonts w:asciiTheme="minorHAnsi" w:eastAsiaTheme="minorEastAsia" w:hAnsiTheme="minorHAnsi" w:cstheme="minorBidi"/>
          <w:b w:val="0"/>
          <w:szCs w:val="22"/>
        </w:rPr>
      </w:pPr>
      <w:r w:rsidRPr="0032042B">
        <w:fldChar w:fldCharType="begin"/>
      </w:r>
      <w:r w:rsidR="001178CA" w:rsidRPr="007C69A6">
        <w:instrText xml:space="preserve"> TOC \o "1-3" \h \z \u </w:instrText>
      </w:r>
      <w:r w:rsidRPr="0032042B">
        <w:fldChar w:fldCharType="separate"/>
      </w:r>
      <w:hyperlink w:anchor="_Toc319071813" w:history="1">
        <w:r w:rsidR="00793E01" w:rsidRPr="004D79C9">
          <w:rPr>
            <w:rStyle w:val="Hyperlink"/>
          </w:rPr>
          <w:t>Part A.</w:t>
        </w:r>
        <w:r w:rsidR="00793E01">
          <w:rPr>
            <w:rFonts w:asciiTheme="minorHAnsi" w:eastAsiaTheme="minorEastAsia" w:hAnsiTheme="minorHAnsi" w:cstheme="minorBidi"/>
            <w:b w:val="0"/>
            <w:szCs w:val="22"/>
          </w:rPr>
          <w:tab/>
        </w:r>
        <w:r w:rsidR="00793E01" w:rsidRPr="004D79C9">
          <w:rPr>
            <w:rStyle w:val="Hyperlink"/>
          </w:rPr>
          <w:t>Justification</w:t>
        </w:r>
        <w:r w:rsidR="00793E01">
          <w:rPr>
            <w:webHidden/>
          </w:rPr>
          <w:tab/>
        </w:r>
        <w:r>
          <w:rPr>
            <w:webHidden/>
          </w:rPr>
          <w:fldChar w:fldCharType="begin"/>
        </w:r>
        <w:r w:rsidR="00793E01">
          <w:rPr>
            <w:webHidden/>
          </w:rPr>
          <w:instrText xml:space="preserve"> PAGEREF _Toc319071813 \h </w:instrText>
        </w:r>
        <w:r>
          <w:rPr>
            <w:webHidden/>
          </w:rPr>
        </w:r>
        <w:r>
          <w:rPr>
            <w:webHidden/>
          </w:rPr>
          <w:fldChar w:fldCharType="separate"/>
        </w:r>
        <w:r w:rsidR="002B340A">
          <w:rPr>
            <w:webHidden/>
          </w:rPr>
          <w:t>1</w:t>
        </w:r>
        <w:r>
          <w:rPr>
            <w:webHidden/>
          </w:rPr>
          <w:fldChar w:fldCharType="end"/>
        </w:r>
      </w:hyperlink>
    </w:p>
    <w:p w:rsidR="00793E01" w:rsidRDefault="0032042B">
      <w:pPr>
        <w:pStyle w:val="TOC2"/>
        <w:rPr>
          <w:rFonts w:asciiTheme="minorHAnsi" w:eastAsiaTheme="minorEastAsia" w:hAnsiTheme="minorHAnsi" w:cstheme="minorBidi"/>
          <w:szCs w:val="22"/>
        </w:rPr>
      </w:pPr>
      <w:hyperlink w:anchor="_Toc319071814" w:history="1">
        <w:r w:rsidR="00793E01" w:rsidRPr="004D79C9">
          <w:rPr>
            <w:rStyle w:val="Hyperlink"/>
          </w:rPr>
          <w:t>A.1</w:t>
        </w:r>
        <w:r w:rsidR="00793E01">
          <w:rPr>
            <w:rFonts w:asciiTheme="minorHAnsi" w:eastAsiaTheme="minorEastAsia" w:hAnsiTheme="minorHAnsi" w:cstheme="minorBidi"/>
            <w:szCs w:val="22"/>
          </w:rPr>
          <w:tab/>
        </w:r>
        <w:r w:rsidR="005E03F6" w:rsidRPr="007C69A6">
          <w:t>Explanation of Circumstances That Make Collection of Data Necessary</w:t>
        </w:r>
        <w:r w:rsidR="00793E01" w:rsidRPr="004D79C9">
          <w:rPr>
            <w:rStyle w:val="Hyperlink"/>
          </w:rPr>
          <w:t>.</w:t>
        </w:r>
        <w:r w:rsidR="00793E01">
          <w:rPr>
            <w:webHidden/>
          </w:rPr>
          <w:tab/>
        </w:r>
        <w:r>
          <w:rPr>
            <w:webHidden/>
          </w:rPr>
          <w:fldChar w:fldCharType="begin"/>
        </w:r>
        <w:r w:rsidR="00793E01">
          <w:rPr>
            <w:webHidden/>
          </w:rPr>
          <w:instrText xml:space="preserve"> PAGEREF _Toc319071814 \h </w:instrText>
        </w:r>
        <w:r>
          <w:rPr>
            <w:webHidden/>
          </w:rPr>
        </w:r>
        <w:r>
          <w:rPr>
            <w:webHidden/>
          </w:rPr>
          <w:fldChar w:fldCharType="separate"/>
        </w:r>
        <w:r w:rsidR="002B340A">
          <w:rPr>
            <w:webHidden/>
          </w:rPr>
          <w:t>1</w:t>
        </w:r>
        <w:r>
          <w:rPr>
            <w:webHidden/>
          </w:rPr>
          <w:fldChar w:fldCharType="end"/>
        </w:r>
      </w:hyperlink>
    </w:p>
    <w:p w:rsidR="00793E01" w:rsidRDefault="0032042B">
      <w:pPr>
        <w:pStyle w:val="TOC3"/>
        <w:rPr>
          <w:rFonts w:asciiTheme="minorHAnsi" w:eastAsiaTheme="minorEastAsia" w:hAnsiTheme="minorHAnsi" w:cstheme="minorBidi"/>
          <w:szCs w:val="22"/>
        </w:rPr>
      </w:pPr>
      <w:hyperlink w:anchor="_Toc319071815" w:history="1">
        <w:r w:rsidR="00793E01" w:rsidRPr="004D79C9">
          <w:rPr>
            <w:rStyle w:val="Hyperlink"/>
          </w:rPr>
          <w:t>Evaluation Objectives</w:t>
        </w:r>
        <w:r w:rsidR="00793E01">
          <w:rPr>
            <w:webHidden/>
          </w:rPr>
          <w:tab/>
        </w:r>
        <w:r>
          <w:rPr>
            <w:webHidden/>
          </w:rPr>
          <w:fldChar w:fldCharType="begin"/>
        </w:r>
        <w:r w:rsidR="00793E01">
          <w:rPr>
            <w:webHidden/>
          </w:rPr>
          <w:instrText xml:space="preserve"> PAGEREF _Toc319071815 \h </w:instrText>
        </w:r>
        <w:r>
          <w:rPr>
            <w:webHidden/>
          </w:rPr>
        </w:r>
        <w:r>
          <w:rPr>
            <w:webHidden/>
          </w:rPr>
          <w:fldChar w:fldCharType="separate"/>
        </w:r>
        <w:r w:rsidR="002B340A">
          <w:rPr>
            <w:webHidden/>
          </w:rPr>
          <w:t>3</w:t>
        </w:r>
        <w:r>
          <w:rPr>
            <w:webHidden/>
          </w:rPr>
          <w:fldChar w:fldCharType="end"/>
        </w:r>
      </w:hyperlink>
    </w:p>
    <w:p w:rsidR="00793E01" w:rsidRDefault="0032042B">
      <w:pPr>
        <w:pStyle w:val="TOC2"/>
        <w:rPr>
          <w:rFonts w:asciiTheme="minorHAnsi" w:eastAsiaTheme="minorEastAsia" w:hAnsiTheme="minorHAnsi" w:cstheme="minorBidi"/>
          <w:szCs w:val="22"/>
        </w:rPr>
      </w:pPr>
      <w:hyperlink w:anchor="_Toc319071816" w:history="1">
        <w:r w:rsidR="00793E01" w:rsidRPr="004D79C9">
          <w:rPr>
            <w:rStyle w:val="Hyperlink"/>
          </w:rPr>
          <w:t>A.2</w:t>
        </w:r>
        <w:r w:rsidR="00793E01">
          <w:rPr>
            <w:rFonts w:asciiTheme="minorHAnsi" w:eastAsiaTheme="minorEastAsia" w:hAnsiTheme="minorHAnsi" w:cstheme="minorBidi"/>
            <w:szCs w:val="22"/>
          </w:rPr>
          <w:tab/>
        </w:r>
        <w:r w:rsidR="000A5ABC" w:rsidRPr="007C69A6">
          <w:t>How the Information Will Be Used, By Whom, and For What Purpose</w:t>
        </w:r>
        <w:r w:rsidR="00793E01" w:rsidRPr="004D79C9">
          <w:rPr>
            <w:rStyle w:val="Hyperlink"/>
          </w:rPr>
          <w:t>.</w:t>
        </w:r>
        <w:r w:rsidR="00793E01">
          <w:rPr>
            <w:webHidden/>
          </w:rPr>
          <w:tab/>
        </w:r>
        <w:r>
          <w:rPr>
            <w:webHidden/>
          </w:rPr>
          <w:fldChar w:fldCharType="begin"/>
        </w:r>
        <w:r w:rsidR="00793E01">
          <w:rPr>
            <w:webHidden/>
          </w:rPr>
          <w:instrText xml:space="preserve"> PAGEREF _Toc319071816 \h </w:instrText>
        </w:r>
        <w:r>
          <w:rPr>
            <w:webHidden/>
          </w:rPr>
        </w:r>
        <w:r>
          <w:rPr>
            <w:webHidden/>
          </w:rPr>
          <w:fldChar w:fldCharType="separate"/>
        </w:r>
        <w:r w:rsidR="002B340A">
          <w:rPr>
            <w:webHidden/>
          </w:rPr>
          <w:t>4</w:t>
        </w:r>
        <w:r>
          <w:rPr>
            <w:webHidden/>
          </w:rPr>
          <w:fldChar w:fldCharType="end"/>
        </w:r>
      </w:hyperlink>
    </w:p>
    <w:p w:rsidR="00793E01" w:rsidRDefault="0032042B">
      <w:pPr>
        <w:pStyle w:val="TOC3"/>
        <w:rPr>
          <w:rFonts w:asciiTheme="minorHAnsi" w:eastAsiaTheme="minorEastAsia" w:hAnsiTheme="minorHAnsi" w:cstheme="minorBidi"/>
          <w:szCs w:val="22"/>
        </w:rPr>
      </w:pPr>
      <w:hyperlink w:anchor="_Toc319071817" w:history="1">
        <w:r w:rsidR="00793E01" w:rsidRPr="004D79C9">
          <w:rPr>
            <w:rStyle w:val="Hyperlink"/>
          </w:rPr>
          <w:t>Data Collection and Instrumentation</w:t>
        </w:r>
        <w:r w:rsidR="00793E01">
          <w:rPr>
            <w:webHidden/>
          </w:rPr>
          <w:tab/>
        </w:r>
        <w:r>
          <w:rPr>
            <w:webHidden/>
          </w:rPr>
          <w:fldChar w:fldCharType="begin"/>
        </w:r>
        <w:r w:rsidR="00793E01">
          <w:rPr>
            <w:webHidden/>
          </w:rPr>
          <w:instrText xml:space="preserve"> PAGEREF _Toc319071817 \h </w:instrText>
        </w:r>
        <w:r>
          <w:rPr>
            <w:webHidden/>
          </w:rPr>
        </w:r>
        <w:r>
          <w:rPr>
            <w:webHidden/>
          </w:rPr>
          <w:fldChar w:fldCharType="separate"/>
        </w:r>
        <w:r w:rsidR="002B340A">
          <w:rPr>
            <w:webHidden/>
          </w:rPr>
          <w:t>5</w:t>
        </w:r>
        <w:r>
          <w:rPr>
            <w:webHidden/>
          </w:rPr>
          <w:fldChar w:fldCharType="end"/>
        </w:r>
      </w:hyperlink>
    </w:p>
    <w:p w:rsidR="00793E01" w:rsidRDefault="0032042B">
      <w:pPr>
        <w:pStyle w:val="TOC2"/>
        <w:rPr>
          <w:rFonts w:asciiTheme="minorHAnsi" w:eastAsiaTheme="minorEastAsia" w:hAnsiTheme="minorHAnsi" w:cstheme="minorBidi"/>
          <w:szCs w:val="22"/>
        </w:rPr>
      </w:pPr>
      <w:hyperlink w:anchor="_Toc319071818" w:history="1">
        <w:r w:rsidR="00793E01" w:rsidRPr="004D79C9">
          <w:rPr>
            <w:rStyle w:val="Hyperlink"/>
          </w:rPr>
          <w:t>A.3</w:t>
        </w:r>
        <w:r w:rsidR="00793E01">
          <w:rPr>
            <w:rFonts w:asciiTheme="minorHAnsi" w:eastAsiaTheme="minorEastAsia" w:hAnsiTheme="minorHAnsi" w:cstheme="minorBidi"/>
            <w:szCs w:val="22"/>
          </w:rPr>
          <w:tab/>
        </w:r>
        <w:r w:rsidR="000A5ABC" w:rsidRPr="007C69A6">
          <w:t>Uses of Improved Information Technology to Reduce Burden</w:t>
        </w:r>
        <w:r w:rsidR="00793E01">
          <w:rPr>
            <w:webHidden/>
          </w:rPr>
          <w:tab/>
        </w:r>
        <w:r>
          <w:rPr>
            <w:webHidden/>
          </w:rPr>
          <w:fldChar w:fldCharType="begin"/>
        </w:r>
        <w:r w:rsidR="00793E01">
          <w:rPr>
            <w:webHidden/>
          </w:rPr>
          <w:instrText xml:space="preserve"> PAGEREF _Toc319071818 \h </w:instrText>
        </w:r>
        <w:r>
          <w:rPr>
            <w:webHidden/>
          </w:rPr>
        </w:r>
        <w:r>
          <w:rPr>
            <w:webHidden/>
          </w:rPr>
          <w:fldChar w:fldCharType="separate"/>
        </w:r>
        <w:r w:rsidR="002B340A">
          <w:rPr>
            <w:webHidden/>
          </w:rPr>
          <w:t>7</w:t>
        </w:r>
        <w:r>
          <w:rPr>
            <w:webHidden/>
          </w:rPr>
          <w:fldChar w:fldCharType="end"/>
        </w:r>
      </w:hyperlink>
    </w:p>
    <w:p w:rsidR="00793E01" w:rsidRDefault="0032042B">
      <w:pPr>
        <w:pStyle w:val="TOC2"/>
        <w:rPr>
          <w:rFonts w:asciiTheme="minorHAnsi" w:eastAsiaTheme="minorEastAsia" w:hAnsiTheme="minorHAnsi" w:cstheme="minorBidi"/>
          <w:szCs w:val="22"/>
        </w:rPr>
      </w:pPr>
      <w:hyperlink w:anchor="_Toc319071819" w:history="1">
        <w:r w:rsidR="00793E01" w:rsidRPr="004D79C9">
          <w:rPr>
            <w:rStyle w:val="Hyperlink"/>
          </w:rPr>
          <w:t>A.4</w:t>
        </w:r>
        <w:r w:rsidR="00793E01">
          <w:rPr>
            <w:rFonts w:asciiTheme="minorHAnsi" w:eastAsiaTheme="minorEastAsia" w:hAnsiTheme="minorHAnsi" w:cstheme="minorBidi"/>
            <w:szCs w:val="22"/>
          </w:rPr>
          <w:tab/>
        </w:r>
        <w:r w:rsidR="000A5ABC" w:rsidRPr="007C69A6">
          <w:t>Efforts to Identify and Avoid Duplication</w:t>
        </w:r>
        <w:r w:rsidR="00793E01" w:rsidRPr="004D79C9">
          <w:rPr>
            <w:rStyle w:val="Hyperlink"/>
          </w:rPr>
          <w:t>.</w:t>
        </w:r>
        <w:r w:rsidR="00793E01">
          <w:rPr>
            <w:webHidden/>
          </w:rPr>
          <w:tab/>
        </w:r>
        <w:r>
          <w:rPr>
            <w:webHidden/>
          </w:rPr>
          <w:fldChar w:fldCharType="begin"/>
        </w:r>
        <w:r w:rsidR="00793E01">
          <w:rPr>
            <w:webHidden/>
          </w:rPr>
          <w:instrText xml:space="preserve"> PAGEREF _Toc319071819 \h </w:instrText>
        </w:r>
        <w:r>
          <w:rPr>
            <w:webHidden/>
          </w:rPr>
        </w:r>
        <w:r>
          <w:rPr>
            <w:webHidden/>
          </w:rPr>
          <w:fldChar w:fldCharType="separate"/>
        </w:r>
        <w:r w:rsidR="002B340A">
          <w:rPr>
            <w:webHidden/>
          </w:rPr>
          <w:t>8</w:t>
        </w:r>
        <w:r>
          <w:rPr>
            <w:webHidden/>
          </w:rPr>
          <w:fldChar w:fldCharType="end"/>
        </w:r>
      </w:hyperlink>
    </w:p>
    <w:p w:rsidR="00793E01" w:rsidRDefault="0032042B">
      <w:pPr>
        <w:pStyle w:val="TOC2"/>
        <w:rPr>
          <w:rFonts w:asciiTheme="minorHAnsi" w:eastAsiaTheme="minorEastAsia" w:hAnsiTheme="minorHAnsi" w:cstheme="minorBidi"/>
          <w:szCs w:val="22"/>
        </w:rPr>
      </w:pPr>
      <w:hyperlink w:anchor="_Toc319071820" w:history="1">
        <w:r w:rsidR="00793E01" w:rsidRPr="004D79C9">
          <w:rPr>
            <w:rStyle w:val="Hyperlink"/>
          </w:rPr>
          <w:t>A.5</w:t>
        </w:r>
        <w:r w:rsidR="00793E01">
          <w:rPr>
            <w:rFonts w:asciiTheme="minorHAnsi" w:eastAsiaTheme="minorEastAsia" w:hAnsiTheme="minorHAnsi" w:cstheme="minorBidi"/>
            <w:szCs w:val="22"/>
          </w:rPr>
          <w:tab/>
        </w:r>
        <w:r w:rsidR="000A5ABC" w:rsidRPr="007C69A6">
          <w:t>Efforts to Minimize Burden on Small Businesses or Other Entities</w:t>
        </w:r>
        <w:r w:rsidR="00793E01" w:rsidRPr="004D79C9">
          <w:rPr>
            <w:rStyle w:val="Hyperlink"/>
          </w:rPr>
          <w:t>.</w:t>
        </w:r>
        <w:r w:rsidR="00793E01">
          <w:rPr>
            <w:webHidden/>
          </w:rPr>
          <w:tab/>
        </w:r>
        <w:r>
          <w:rPr>
            <w:webHidden/>
          </w:rPr>
          <w:fldChar w:fldCharType="begin"/>
        </w:r>
        <w:r w:rsidR="00793E01">
          <w:rPr>
            <w:webHidden/>
          </w:rPr>
          <w:instrText xml:space="preserve"> PAGEREF _Toc319071820 \h </w:instrText>
        </w:r>
        <w:r>
          <w:rPr>
            <w:webHidden/>
          </w:rPr>
        </w:r>
        <w:r>
          <w:rPr>
            <w:webHidden/>
          </w:rPr>
          <w:fldChar w:fldCharType="separate"/>
        </w:r>
        <w:r w:rsidR="002B340A">
          <w:rPr>
            <w:webHidden/>
          </w:rPr>
          <w:t>8</w:t>
        </w:r>
        <w:r>
          <w:rPr>
            <w:webHidden/>
          </w:rPr>
          <w:fldChar w:fldCharType="end"/>
        </w:r>
      </w:hyperlink>
    </w:p>
    <w:p w:rsidR="00793E01" w:rsidRDefault="0032042B">
      <w:pPr>
        <w:pStyle w:val="TOC2"/>
        <w:rPr>
          <w:rFonts w:asciiTheme="minorHAnsi" w:eastAsiaTheme="minorEastAsia" w:hAnsiTheme="minorHAnsi" w:cstheme="minorBidi"/>
          <w:szCs w:val="22"/>
        </w:rPr>
      </w:pPr>
      <w:hyperlink w:anchor="_Toc319071821" w:history="1">
        <w:r w:rsidR="00793E01" w:rsidRPr="004D79C9">
          <w:rPr>
            <w:rStyle w:val="Hyperlink"/>
          </w:rPr>
          <w:t>A.6</w:t>
        </w:r>
        <w:r w:rsidR="00793E01">
          <w:rPr>
            <w:rFonts w:asciiTheme="minorHAnsi" w:eastAsiaTheme="minorEastAsia" w:hAnsiTheme="minorHAnsi" w:cstheme="minorBidi"/>
            <w:szCs w:val="22"/>
          </w:rPr>
          <w:tab/>
        </w:r>
        <w:r w:rsidR="000A5ABC" w:rsidRPr="007C69A6">
          <w:t>Consequences of Less Frequent Data Collection</w:t>
        </w:r>
        <w:r w:rsidR="00793E01" w:rsidRPr="004D79C9">
          <w:rPr>
            <w:rStyle w:val="Hyperlink"/>
          </w:rPr>
          <w:t>.</w:t>
        </w:r>
        <w:r w:rsidR="00793E01">
          <w:rPr>
            <w:webHidden/>
          </w:rPr>
          <w:tab/>
        </w:r>
        <w:r>
          <w:rPr>
            <w:webHidden/>
          </w:rPr>
          <w:fldChar w:fldCharType="begin"/>
        </w:r>
        <w:r w:rsidR="00793E01">
          <w:rPr>
            <w:webHidden/>
          </w:rPr>
          <w:instrText xml:space="preserve"> PAGEREF _Toc319071821 \h </w:instrText>
        </w:r>
        <w:r>
          <w:rPr>
            <w:webHidden/>
          </w:rPr>
        </w:r>
        <w:r>
          <w:rPr>
            <w:webHidden/>
          </w:rPr>
          <w:fldChar w:fldCharType="separate"/>
        </w:r>
        <w:r w:rsidR="002B340A">
          <w:rPr>
            <w:webHidden/>
          </w:rPr>
          <w:t>8</w:t>
        </w:r>
        <w:r>
          <w:rPr>
            <w:webHidden/>
          </w:rPr>
          <w:fldChar w:fldCharType="end"/>
        </w:r>
      </w:hyperlink>
    </w:p>
    <w:p w:rsidR="00793E01" w:rsidRDefault="0032042B">
      <w:pPr>
        <w:pStyle w:val="TOC2"/>
        <w:rPr>
          <w:rFonts w:asciiTheme="minorHAnsi" w:eastAsiaTheme="minorEastAsia" w:hAnsiTheme="minorHAnsi" w:cstheme="minorBidi"/>
          <w:szCs w:val="22"/>
        </w:rPr>
      </w:pPr>
      <w:hyperlink w:anchor="_Toc319071822" w:history="1">
        <w:r w:rsidR="00793E01" w:rsidRPr="004D79C9">
          <w:rPr>
            <w:rStyle w:val="Hyperlink"/>
          </w:rPr>
          <w:t>A.7</w:t>
        </w:r>
        <w:r w:rsidR="00793E01">
          <w:rPr>
            <w:rFonts w:asciiTheme="minorHAnsi" w:eastAsiaTheme="minorEastAsia" w:hAnsiTheme="minorHAnsi" w:cstheme="minorBidi"/>
            <w:szCs w:val="22"/>
          </w:rPr>
          <w:tab/>
        </w:r>
        <w:r w:rsidR="000A5ABC" w:rsidRPr="007C69A6">
          <w:t>Special Circumstances Requiring Collection of Information in a Manner Inconsistent with Section 1320.5(d)(2) of the Code of Federal Regulations</w:t>
        </w:r>
        <w:r w:rsidR="00793E01">
          <w:rPr>
            <w:webHidden/>
          </w:rPr>
          <w:tab/>
        </w:r>
        <w:r>
          <w:rPr>
            <w:webHidden/>
          </w:rPr>
          <w:fldChar w:fldCharType="begin"/>
        </w:r>
        <w:r w:rsidR="00793E01">
          <w:rPr>
            <w:webHidden/>
          </w:rPr>
          <w:instrText xml:space="preserve"> PAGEREF _Toc319071822 \h </w:instrText>
        </w:r>
        <w:r>
          <w:rPr>
            <w:webHidden/>
          </w:rPr>
        </w:r>
        <w:r>
          <w:rPr>
            <w:webHidden/>
          </w:rPr>
          <w:fldChar w:fldCharType="separate"/>
        </w:r>
        <w:r w:rsidR="002B340A">
          <w:rPr>
            <w:webHidden/>
          </w:rPr>
          <w:t>8</w:t>
        </w:r>
        <w:r>
          <w:rPr>
            <w:webHidden/>
          </w:rPr>
          <w:fldChar w:fldCharType="end"/>
        </w:r>
      </w:hyperlink>
    </w:p>
    <w:p w:rsidR="00793E01" w:rsidRDefault="0032042B">
      <w:pPr>
        <w:pStyle w:val="TOC2"/>
        <w:rPr>
          <w:rFonts w:asciiTheme="minorHAnsi" w:eastAsiaTheme="minorEastAsia" w:hAnsiTheme="minorHAnsi" w:cstheme="minorBidi"/>
          <w:szCs w:val="22"/>
        </w:rPr>
      </w:pPr>
      <w:hyperlink w:anchor="_Toc319071831" w:history="1">
        <w:r w:rsidR="00793E01" w:rsidRPr="004D79C9">
          <w:rPr>
            <w:rStyle w:val="Hyperlink"/>
          </w:rPr>
          <w:t>A.8</w:t>
        </w:r>
        <w:r w:rsidR="00793E01">
          <w:rPr>
            <w:rFonts w:asciiTheme="minorHAnsi" w:eastAsiaTheme="minorEastAsia" w:hAnsiTheme="minorHAnsi" w:cstheme="minorBidi"/>
            <w:szCs w:val="22"/>
          </w:rPr>
          <w:tab/>
        </w:r>
        <w:r w:rsidR="00E87DE3" w:rsidRPr="007C69A6">
          <w:t>Federal Register Comments and Efforts to Consult with Persons Outside the Agency</w:t>
        </w:r>
        <w:r w:rsidR="00793E01" w:rsidRPr="004D79C9">
          <w:rPr>
            <w:rStyle w:val="Hyperlink"/>
          </w:rPr>
          <w:t>.</w:t>
        </w:r>
        <w:r w:rsidR="00793E01">
          <w:rPr>
            <w:webHidden/>
          </w:rPr>
          <w:tab/>
        </w:r>
        <w:r>
          <w:rPr>
            <w:webHidden/>
          </w:rPr>
          <w:fldChar w:fldCharType="begin"/>
        </w:r>
        <w:r w:rsidR="00793E01">
          <w:rPr>
            <w:webHidden/>
          </w:rPr>
          <w:instrText xml:space="preserve"> PAGEREF _Toc319071831 \h </w:instrText>
        </w:r>
        <w:r>
          <w:rPr>
            <w:webHidden/>
          </w:rPr>
        </w:r>
        <w:r>
          <w:rPr>
            <w:webHidden/>
          </w:rPr>
          <w:fldChar w:fldCharType="separate"/>
        </w:r>
        <w:r w:rsidR="002B340A">
          <w:rPr>
            <w:webHidden/>
          </w:rPr>
          <w:t>9</w:t>
        </w:r>
        <w:r>
          <w:rPr>
            <w:webHidden/>
          </w:rPr>
          <w:fldChar w:fldCharType="end"/>
        </w:r>
      </w:hyperlink>
    </w:p>
    <w:p w:rsidR="00793E01" w:rsidRDefault="0032042B">
      <w:pPr>
        <w:pStyle w:val="TOC3"/>
        <w:rPr>
          <w:rFonts w:asciiTheme="minorHAnsi" w:eastAsiaTheme="minorEastAsia" w:hAnsiTheme="minorHAnsi" w:cstheme="minorBidi"/>
          <w:szCs w:val="22"/>
        </w:rPr>
      </w:pPr>
      <w:hyperlink w:anchor="_Toc319071832" w:history="1">
        <w:r w:rsidR="00793E01" w:rsidRPr="004D79C9">
          <w:rPr>
            <w:rStyle w:val="Hyperlink"/>
          </w:rPr>
          <w:t xml:space="preserve">Consultations </w:t>
        </w:r>
        <w:r w:rsidR="00E87DE3">
          <w:rPr>
            <w:rStyle w:val="Hyperlink"/>
          </w:rPr>
          <w:t>O</w:t>
        </w:r>
        <w:r w:rsidR="00793E01" w:rsidRPr="004D79C9">
          <w:rPr>
            <w:rStyle w:val="Hyperlink"/>
          </w:rPr>
          <w:t>utside the Agency</w:t>
        </w:r>
        <w:r w:rsidR="00793E01">
          <w:rPr>
            <w:webHidden/>
          </w:rPr>
          <w:tab/>
        </w:r>
        <w:r>
          <w:rPr>
            <w:webHidden/>
          </w:rPr>
          <w:fldChar w:fldCharType="begin"/>
        </w:r>
        <w:r w:rsidR="00793E01">
          <w:rPr>
            <w:webHidden/>
          </w:rPr>
          <w:instrText xml:space="preserve"> PAGEREF _Toc319071832 \h </w:instrText>
        </w:r>
        <w:r>
          <w:rPr>
            <w:webHidden/>
          </w:rPr>
        </w:r>
        <w:r>
          <w:rPr>
            <w:webHidden/>
          </w:rPr>
          <w:fldChar w:fldCharType="separate"/>
        </w:r>
        <w:r w:rsidR="002B340A">
          <w:rPr>
            <w:webHidden/>
          </w:rPr>
          <w:t>9</w:t>
        </w:r>
        <w:r>
          <w:rPr>
            <w:webHidden/>
          </w:rPr>
          <w:fldChar w:fldCharType="end"/>
        </w:r>
      </w:hyperlink>
    </w:p>
    <w:p w:rsidR="00793E01" w:rsidRDefault="0032042B">
      <w:pPr>
        <w:pStyle w:val="TOC2"/>
        <w:rPr>
          <w:rFonts w:asciiTheme="minorHAnsi" w:eastAsiaTheme="minorEastAsia" w:hAnsiTheme="minorHAnsi" w:cstheme="minorBidi"/>
          <w:szCs w:val="22"/>
        </w:rPr>
      </w:pPr>
      <w:hyperlink w:anchor="_Toc319071833" w:history="1">
        <w:r w:rsidR="00793E01" w:rsidRPr="004D79C9">
          <w:rPr>
            <w:rStyle w:val="Hyperlink"/>
          </w:rPr>
          <w:t xml:space="preserve">A.9 </w:t>
        </w:r>
        <w:r w:rsidR="00793E01">
          <w:rPr>
            <w:rFonts w:asciiTheme="minorHAnsi" w:eastAsiaTheme="minorEastAsia" w:hAnsiTheme="minorHAnsi" w:cstheme="minorBidi"/>
            <w:szCs w:val="22"/>
          </w:rPr>
          <w:tab/>
        </w:r>
        <w:r w:rsidR="00E87DE3" w:rsidRPr="007C69A6">
          <w:t>Payments to Respondents</w:t>
        </w:r>
        <w:r w:rsidR="00793E01" w:rsidRPr="004D79C9">
          <w:rPr>
            <w:rStyle w:val="Hyperlink"/>
          </w:rPr>
          <w:t>.</w:t>
        </w:r>
        <w:r w:rsidR="00793E01">
          <w:rPr>
            <w:webHidden/>
          </w:rPr>
          <w:tab/>
        </w:r>
        <w:r>
          <w:rPr>
            <w:webHidden/>
          </w:rPr>
          <w:fldChar w:fldCharType="begin"/>
        </w:r>
        <w:r w:rsidR="00793E01">
          <w:rPr>
            <w:webHidden/>
          </w:rPr>
          <w:instrText xml:space="preserve"> PAGEREF _Toc319071833 \h </w:instrText>
        </w:r>
        <w:r>
          <w:rPr>
            <w:webHidden/>
          </w:rPr>
        </w:r>
        <w:r>
          <w:rPr>
            <w:webHidden/>
          </w:rPr>
          <w:fldChar w:fldCharType="separate"/>
        </w:r>
        <w:r w:rsidR="002B340A">
          <w:rPr>
            <w:webHidden/>
          </w:rPr>
          <w:t>10</w:t>
        </w:r>
        <w:r>
          <w:rPr>
            <w:webHidden/>
          </w:rPr>
          <w:fldChar w:fldCharType="end"/>
        </w:r>
      </w:hyperlink>
    </w:p>
    <w:p w:rsidR="00793E01" w:rsidRDefault="0032042B">
      <w:pPr>
        <w:pStyle w:val="TOC2"/>
        <w:rPr>
          <w:rFonts w:asciiTheme="minorHAnsi" w:eastAsiaTheme="minorEastAsia" w:hAnsiTheme="minorHAnsi" w:cstheme="minorBidi"/>
          <w:szCs w:val="22"/>
        </w:rPr>
      </w:pPr>
      <w:hyperlink w:anchor="_Toc319071834" w:history="1">
        <w:r w:rsidR="00793E01" w:rsidRPr="004D79C9">
          <w:rPr>
            <w:rStyle w:val="Hyperlink"/>
          </w:rPr>
          <w:t>A.10</w:t>
        </w:r>
        <w:r w:rsidR="00793E01">
          <w:rPr>
            <w:rFonts w:asciiTheme="minorHAnsi" w:eastAsiaTheme="minorEastAsia" w:hAnsiTheme="minorHAnsi" w:cstheme="minorBidi"/>
            <w:szCs w:val="22"/>
          </w:rPr>
          <w:tab/>
        </w:r>
        <w:r w:rsidR="00E87DE3" w:rsidRPr="007C69A6">
          <w:t>Assurances of Confidentiality</w:t>
        </w:r>
        <w:r w:rsidR="00793E01" w:rsidRPr="004D79C9">
          <w:rPr>
            <w:rStyle w:val="Hyperlink"/>
          </w:rPr>
          <w:t>.</w:t>
        </w:r>
        <w:r w:rsidR="00793E01">
          <w:rPr>
            <w:webHidden/>
          </w:rPr>
          <w:tab/>
        </w:r>
        <w:r>
          <w:rPr>
            <w:webHidden/>
          </w:rPr>
          <w:fldChar w:fldCharType="begin"/>
        </w:r>
        <w:r w:rsidR="00793E01">
          <w:rPr>
            <w:webHidden/>
          </w:rPr>
          <w:instrText xml:space="preserve"> PAGEREF _Toc319071834 \h </w:instrText>
        </w:r>
        <w:r>
          <w:rPr>
            <w:webHidden/>
          </w:rPr>
        </w:r>
        <w:r>
          <w:rPr>
            <w:webHidden/>
          </w:rPr>
          <w:fldChar w:fldCharType="separate"/>
        </w:r>
        <w:r w:rsidR="002B340A">
          <w:rPr>
            <w:webHidden/>
          </w:rPr>
          <w:t>10</w:t>
        </w:r>
        <w:r>
          <w:rPr>
            <w:webHidden/>
          </w:rPr>
          <w:fldChar w:fldCharType="end"/>
        </w:r>
      </w:hyperlink>
    </w:p>
    <w:p w:rsidR="00793E01" w:rsidRDefault="0032042B">
      <w:pPr>
        <w:pStyle w:val="TOC3"/>
        <w:rPr>
          <w:rFonts w:asciiTheme="minorHAnsi" w:eastAsiaTheme="minorEastAsia" w:hAnsiTheme="minorHAnsi" w:cstheme="minorBidi"/>
          <w:szCs w:val="22"/>
        </w:rPr>
      </w:pPr>
      <w:hyperlink w:anchor="_Toc319071835" w:history="1">
        <w:r w:rsidR="00793E01" w:rsidRPr="004D79C9">
          <w:rPr>
            <w:rStyle w:val="Hyperlink"/>
          </w:rPr>
          <w:t>Procedures to Ensure Confidentiality</w:t>
        </w:r>
        <w:r w:rsidR="00793E01">
          <w:rPr>
            <w:webHidden/>
          </w:rPr>
          <w:tab/>
        </w:r>
        <w:r>
          <w:rPr>
            <w:webHidden/>
          </w:rPr>
          <w:fldChar w:fldCharType="begin"/>
        </w:r>
        <w:r w:rsidR="00793E01">
          <w:rPr>
            <w:webHidden/>
          </w:rPr>
          <w:instrText xml:space="preserve"> PAGEREF _Toc319071835 \h </w:instrText>
        </w:r>
        <w:r>
          <w:rPr>
            <w:webHidden/>
          </w:rPr>
        </w:r>
        <w:r>
          <w:rPr>
            <w:webHidden/>
          </w:rPr>
          <w:fldChar w:fldCharType="separate"/>
        </w:r>
        <w:r w:rsidR="002B340A">
          <w:rPr>
            <w:webHidden/>
          </w:rPr>
          <w:t>10</w:t>
        </w:r>
        <w:r>
          <w:rPr>
            <w:webHidden/>
          </w:rPr>
          <w:fldChar w:fldCharType="end"/>
        </w:r>
      </w:hyperlink>
    </w:p>
    <w:p w:rsidR="00793E01" w:rsidRDefault="0032042B">
      <w:pPr>
        <w:pStyle w:val="TOC3"/>
        <w:rPr>
          <w:rFonts w:asciiTheme="minorHAnsi" w:eastAsiaTheme="minorEastAsia" w:hAnsiTheme="minorHAnsi" w:cstheme="minorBidi"/>
          <w:szCs w:val="22"/>
        </w:rPr>
      </w:pPr>
      <w:hyperlink w:anchor="_Toc319071836" w:history="1">
        <w:r w:rsidR="00793E01" w:rsidRPr="004D79C9">
          <w:rPr>
            <w:rStyle w:val="Hyperlink"/>
          </w:rPr>
          <w:t>Institutional Review Board</w:t>
        </w:r>
        <w:r w:rsidR="00793E01">
          <w:rPr>
            <w:webHidden/>
          </w:rPr>
          <w:tab/>
        </w:r>
        <w:r>
          <w:rPr>
            <w:webHidden/>
          </w:rPr>
          <w:fldChar w:fldCharType="begin"/>
        </w:r>
        <w:r w:rsidR="00793E01">
          <w:rPr>
            <w:webHidden/>
          </w:rPr>
          <w:instrText xml:space="preserve"> PAGEREF _Toc319071836 \h </w:instrText>
        </w:r>
        <w:r>
          <w:rPr>
            <w:webHidden/>
          </w:rPr>
        </w:r>
        <w:r>
          <w:rPr>
            <w:webHidden/>
          </w:rPr>
          <w:fldChar w:fldCharType="separate"/>
        </w:r>
        <w:r w:rsidR="002B340A">
          <w:rPr>
            <w:webHidden/>
          </w:rPr>
          <w:t>11</w:t>
        </w:r>
        <w:r>
          <w:rPr>
            <w:webHidden/>
          </w:rPr>
          <w:fldChar w:fldCharType="end"/>
        </w:r>
      </w:hyperlink>
    </w:p>
    <w:p w:rsidR="00793E01" w:rsidRDefault="0032042B">
      <w:pPr>
        <w:pStyle w:val="TOC2"/>
        <w:rPr>
          <w:rFonts w:asciiTheme="minorHAnsi" w:eastAsiaTheme="minorEastAsia" w:hAnsiTheme="minorHAnsi" w:cstheme="minorBidi"/>
          <w:szCs w:val="22"/>
        </w:rPr>
      </w:pPr>
      <w:hyperlink w:anchor="_Toc319071837" w:history="1">
        <w:r w:rsidR="00793E01" w:rsidRPr="004D79C9">
          <w:rPr>
            <w:rStyle w:val="Hyperlink"/>
          </w:rPr>
          <w:t>A.11</w:t>
        </w:r>
        <w:r w:rsidR="00793E01">
          <w:rPr>
            <w:rFonts w:asciiTheme="minorHAnsi" w:eastAsiaTheme="minorEastAsia" w:hAnsiTheme="minorHAnsi" w:cstheme="minorBidi"/>
            <w:szCs w:val="22"/>
          </w:rPr>
          <w:tab/>
        </w:r>
        <w:r w:rsidR="00E87DE3" w:rsidRPr="007C69A6">
          <w:t>Questions of a Sensitive Nature</w:t>
        </w:r>
        <w:r w:rsidR="00793E01">
          <w:rPr>
            <w:webHidden/>
          </w:rPr>
          <w:tab/>
        </w:r>
        <w:r>
          <w:rPr>
            <w:webHidden/>
          </w:rPr>
          <w:fldChar w:fldCharType="begin"/>
        </w:r>
        <w:r w:rsidR="00793E01">
          <w:rPr>
            <w:webHidden/>
          </w:rPr>
          <w:instrText xml:space="preserve"> PAGEREF _Toc319071837 \h </w:instrText>
        </w:r>
        <w:r>
          <w:rPr>
            <w:webHidden/>
          </w:rPr>
        </w:r>
        <w:r>
          <w:rPr>
            <w:webHidden/>
          </w:rPr>
          <w:fldChar w:fldCharType="separate"/>
        </w:r>
        <w:r w:rsidR="002B340A">
          <w:rPr>
            <w:webHidden/>
          </w:rPr>
          <w:t>12</w:t>
        </w:r>
        <w:r>
          <w:rPr>
            <w:webHidden/>
          </w:rPr>
          <w:fldChar w:fldCharType="end"/>
        </w:r>
      </w:hyperlink>
    </w:p>
    <w:p w:rsidR="00793E01" w:rsidRDefault="0032042B">
      <w:pPr>
        <w:pStyle w:val="TOC2"/>
        <w:rPr>
          <w:rFonts w:asciiTheme="minorHAnsi" w:eastAsiaTheme="minorEastAsia" w:hAnsiTheme="minorHAnsi" w:cstheme="minorBidi"/>
          <w:szCs w:val="22"/>
        </w:rPr>
      </w:pPr>
      <w:hyperlink w:anchor="_Toc319071838" w:history="1">
        <w:r w:rsidR="00793E01" w:rsidRPr="004D79C9">
          <w:rPr>
            <w:rStyle w:val="Hyperlink"/>
          </w:rPr>
          <w:t>A.12</w:t>
        </w:r>
        <w:r w:rsidR="00793E01">
          <w:rPr>
            <w:rFonts w:asciiTheme="minorHAnsi" w:eastAsiaTheme="minorEastAsia" w:hAnsiTheme="minorHAnsi" w:cstheme="minorBidi"/>
            <w:szCs w:val="22"/>
          </w:rPr>
          <w:tab/>
        </w:r>
        <w:r w:rsidR="00E87DE3" w:rsidRPr="007C69A6">
          <w:t>Estimates of Respondent Burden</w:t>
        </w:r>
        <w:r w:rsidR="00793E01">
          <w:rPr>
            <w:webHidden/>
          </w:rPr>
          <w:tab/>
        </w:r>
        <w:r>
          <w:rPr>
            <w:webHidden/>
          </w:rPr>
          <w:fldChar w:fldCharType="begin"/>
        </w:r>
        <w:r w:rsidR="00793E01">
          <w:rPr>
            <w:webHidden/>
          </w:rPr>
          <w:instrText xml:space="preserve"> PAGEREF _Toc319071838 \h </w:instrText>
        </w:r>
        <w:r>
          <w:rPr>
            <w:webHidden/>
          </w:rPr>
        </w:r>
        <w:r>
          <w:rPr>
            <w:webHidden/>
          </w:rPr>
          <w:fldChar w:fldCharType="separate"/>
        </w:r>
        <w:r w:rsidR="002B340A">
          <w:rPr>
            <w:webHidden/>
          </w:rPr>
          <w:t>12</w:t>
        </w:r>
        <w:r>
          <w:rPr>
            <w:webHidden/>
          </w:rPr>
          <w:fldChar w:fldCharType="end"/>
        </w:r>
      </w:hyperlink>
    </w:p>
    <w:p w:rsidR="00793E01" w:rsidRDefault="0032042B">
      <w:pPr>
        <w:pStyle w:val="TOC2"/>
        <w:rPr>
          <w:rFonts w:asciiTheme="minorHAnsi" w:eastAsiaTheme="minorEastAsia" w:hAnsiTheme="minorHAnsi" w:cstheme="minorBidi"/>
          <w:szCs w:val="22"/>
        </w:rPr>
      </w:pPr>
      <w:hyperlink w:anchor="_Toc319071841" w:history="1">
        <w:r w:rsidR="00793E01" w:rsidRPr="004D79C9">
          <w:rPr>
            <w:rStyle w:val="Hyperlink"/>
          </w:rPr>
          <w:t>A.13</w:t>
        </w:r>
        <w:r w:rsidR="00793E01">
          <w:rPr>
            <w:rFonts w:asciiTheme="minorHAnsi" w:eastAsiaTheme="minorEastAsia" w:hAnsiTheme="minorHAnsi" w:cstheme="minorBidi"/>
            <w:szCs w:val="22"/>
          </w:rPr>
          <w:tab/>
        </w:r>
        <w:r w:rsidR="00E87DE3" w:rsidRPr="007C69A6">
          <w:t>Estimates of Other Annual Costs to Respondents</w:t>
        </w:r>
        <w:r w:rsidR="00793E01" w:rsidRPr="004D79C9">
          <w:rPr>
            <w:rStyle w:val="Hyperlink"/>
          </w:rPr>
          <w:t>.</w:t>
        </w:r>
        <w:r w:rsidR="00793E01">
          <w:rPr>
            <w:webHidden/>
          </w:rPr>
          <w:tab/>
        </w:r>
        <w:r>
          <w:rPr>
            <w:webHidden/>
          </w:rPr>
          <w:fldChar w:fldCharType="begin"/>
        </w:r>
        <w:r w:rsidR="00793E01">
          <w:rPr>
            <w:webHidden/>
          </w:rPr>
          <w:instrText xml:space="preserve"> PAGEREF _Toc319071841 \h </w:instrText>
        </w:r>
        <w:r>
          <w:rPr>
            <w:webHidden/>
          </w:rPr>
        </w:r>
        <w:r>
          <w:rPr>
            <w:webHidden/>
          </w:rPr>
          <w:fldChar w:fldCharType="separate"/>
        </w:r>
        <w:r w:rsidR="002B340A">
          <w:rPr>
            <w:webHidden/>
          </w:rPr>
          <w:t>13</w:t>
        </w:r>
        <w:r>
          <w:rPr>
            <w:webHidden/>
          </w:rPr>
          <w:fldChar w:fldCharType="end"/>
        </w:r>
      </w:hyperlink>
    </w:p>
    <w:p w:rsidR="00793E01" w:rsidRDefault="0032042B">
      <w:pPr>
        <w:pStyle w:val="TOC2"/>
        <w:rPr>
          <w:rFonts w:asciiTheme="minorHAnsi" w:eastAsiaTheme="minorEastAsia" w:hAnsiTheme="minorHAnsi" w:cstheme="minorBidi"/>
          <w:szCs w:val="22"/>
        </w:rPr>
      </w:pPr>
      <w:hyperlink w:anchor="_Toc319071842" w:history="1">
        <w:r w:rsidR="00793E01" w:rsidRPr="004D79C9">
          <w:rPr>
            <w:rStyle w:val="Hyperlink"/>
          </w:rPr>
          <w:t>A.14</w:t>
        </w:r>
        <w:r w:rsidR="00793E01">
          <w:rPr>
            <w:rFonts w:asciiTheme="minorHAnsi" w:eastAsiaTheme="minorEastAsia" w:hAnsiTheme="minorHAnsi" w:cstheme="minorBidi"/>
            <w:szCs w:val="22"/>
          </w:rPr>
          <w:tab/>
        </w:r>
        <w:r w:rsidR="00E87DE3" w:rsidRPr="007C69A6">
          <w:t>Estimates of Annualized Government Costs</w:t>
        </w:r>
        <w:r w:rsidR="00793E01">
          <w:rPr>
            <w:webHidden/>
          </w:rPr>
          <w:tab/>
        </w:r>
        <w:r>
          <w:rPr>
            <w:webHidden/>
          </w:rPr>
          <w:fldChar w:fldCharType="begin"/>
        </w:r>
        <w:r w:rsidR="00793E01">
          <w:rPr>
            <w:webHidden/>
          </w:rPr>
          <w:instrText xml:space="preserve"> PAGEREF _Toc319071842 \h </w:instrText>
        </w:r>
        <w:r>
          <w:rPr>
            <w:webHidden/>
          </w:rPr>
        </w:r>
        <w:r>
          <w:rPr>
            <w:webHidden/>
          </w:rPr>
          <w:fldChar w:fldCharType="separate"/>
        </w:r>
        <w:r w:rsidR="002B340A">
          <w:rPr>
            <w:webHidden/>
          </w:rPr>
          <w:t>14</w:t>
        </w:r>
        <w:r>
          <w:rPr>
            <w:webHidden/>
          </w:rPr>
          <w:fldChar w:fldCharType="end"/>
        </w:r>
      </w:hyperlink>
    </w:p>
    <w:p w:rsidR="00793E01" w:rsidRDefault="0032042B">
      <w:pPr>
        <w:pStyle w:val="TOC2"/>
        <w:rPr>
          <w:rFonts w:asciiTheme="minorHAnsi" w:eastAsiaTheme="minorEastAsia" w:hAnsiTheme="minorHAnsi" w:cstheme="minorBidi"/>
          <w:szCs w:val="22"/>
        </w:rPr>
      </w:pPr>
      <w:hyperlink w:anchor="_Toc319071843" w:history="1">
        <w:r w:rsidR="00793E01" w:rsidRPr="004D79C9">
          <w:rPr>
            <w:rStyle w:val="Hyperlink"/>
          </w:rPr>
          <w:t>A.15</w:t>
        </w:r>
        <w:r w:rsidR="00793E01">
          <w:rPr>
            <w:rFonts w:asciiTheme="minorHAnsi" w:eastAsiaTheme="minorEastAsia" w:hAnsiTheme="minorHAnsi" w:cstheme="minorBidi"/>
            <w:szCs w:val="22"/>
          </w:rPr>
          <w:tab/>
        </w:r>
        <w:r w:rsidR="00E87DE3" w:rsidRPr="007C69A6">
          <w:t>Changes in Hour Burden</w:t>
        </w:r>
        <w:r w:rsidR="00793E01" w:rsidRPr="004D79C9">
          <w:rPr>
            <w:rStyle w:val="Hyperlink"/>
          </w:rPr>
          <w:t>.</w:t>
        </w:r>
        <w:r w:rsidR="00793E01">
          <w:rPr>
            <w:webHidden/>
          </w:rPr>
          <w:tab/>
        </w:r>
        <w:r>
          <w:rPr>
            <w:webHidden/>
          </w:rPr>
          <w:fldChar w:fldCharType="begin"/>
        </w:r>
        <w:r w:rsidR="00793E01">
          <w:rPr>
            <w:webHidden/>
          </w:rPr>
          <w:instrText xml:space="preserve"> PAGEREF _Toc319071843 \h </w:instrText>
        </w:r>
        <w:r>
          <w:rPr>
            <w:webHidden/>
          </w:rPr>
        </w:r>
        <w:r>
          <w:rPr>
            <w:webHidden/>
          </w:rPr>
          <w:fldChar w:fldCharType="separate"/>
        </w:r>
        <w:r w:rsidR="002B340A">
          <w:rPr>
            <w:webHidden/>
          </w:rPr>
          <w:t>14</w:t>
        </w:r>
        <w:r>
          <w:rPr>
            <w:webHidden/>
          </w:rPr>
          <w:fldChar w:fldCharType="end"/>
        </w:r>
      </w:hyperlink>
    </w:p>
    <w:p w:rsidR="00793E01" w:rsidRDefault="0032042B">
      <w:pPr>
        <w:pStyle w:val="TOC2"/>
        <w:rPr>
          <w:rFonts w:asciiTheme="minorHAnsi" w:eastAsiaTheme="minorEastAsia" w:hAnsiTheme="minorHAnsi" w:cstheme="minorBidi"/>
          <w:szCs w:val="22"/>
        </w:rPr>
      </w:pPr>
      <w:hyperlink w:anchor="_Toc319071844" w:history="1">
        <w:r w:rsidR="00793E01" w:rsidRPr="004D79C9">
          <w:rPr>
            <w:rStyle w:val="Hyperlink"/>
          </w:rPr>
          <w:t>A.16</w:t>
        </w:r>
        <w:r w:rsidR="00793E01">
          <w:rPr>
            <w:rFonts w:asciiTheme="minorHAnsi" w:eastAsiaTheme="minorEastAsia" w:hAnsiTheme="minorHAnsi" w:cstheme="minorBidi"/>
            <w:szCs w:val="22"/>
          </w:rPr>
          <w:tab/>
        </w:r>
        <w:r w:rsidR="00E87DE3" w:rsidRPr="007C69A6">
          <w:t>Time Schedule, Publication, and Analysis Plans</w:t>
        </w:r>
        <w:r w:rsidR="00793E01">
          <w:rPr>
            <w:webHidden/>
          </w:rPr>
          <w:tab/>
        </w:r>
        <w:r>
          <w:rPr>
            <w:webHidden/>
          </w:rPr>
          <w:fldChar w:fldCharType="begin"/>
        </w:r>
        <w:r w:rsidR="00793E01">
          <w:rPr>
            <w:webHidden/>
          </w:rPr>
          <w:instrText xml:space="preserve"> PAGEREF _Toc319071844 \h </w:instrText>
        </w:r>
        <w:r>
          <w:rPr>
            <w:webHidden/>
          </w:rPr>
        </w:r>
        <w:r>
          <w:rPr>
            <w:webHidden/>
          </w:rPr>
          <w:fldChar w:fldCharType="separate"/>
        </w:r>
        <w:r w:rsidR="002B340A">
          <w:rPr>
            <w:webHidden/>
          </w:rPr>
          <w:t>14</w:t>
        </w:r>
        <w:r>
          <w:rPr>
            <w:webHidden/>
          </w:rPr>
          <w:fldChar w:fldCharType="end"/>
        </w:r>
      </w:hyperlink>
    </w:p>
    <w:p w:rsidR="00793E01" w:rsidRDefault="0032042B">
      <w:pPr>
        <w:pStyle w:val="TOC2"/>
        <w:rPr>
          <w:rFonts w:asciiTheme="minorHAnsi" w:eastAsiaTheme="minorEastAsia" w:hAnsiTheme="minorHAnsi" w:cstheme="minorBidi"/>
          <w:szCs w:val="22"/>
        </w:rPr>
      </w:pPr>
      <w:hyperlink w:anchor="_Toc319071845" w:history="1">
        <w:r w:rsidR="00793E01" w:rsidRPr="004D79C9">
          <w:rPr>
            <w:rStyle w:val="Hyperlink"/>
          </w:rPr>
          <w:t>A.17</w:t>
        </w:r>
        <w:r w:rsidR="00793E01">
          <w:rPr>
            <w:rFonts w:asciiTheme="minorHAnsi" w:eastAsiaTheme="minorEastAsia" w:hAnsiTheme="minorHAnsi" w:cstheme="minorBidi"/>
            <w:szCs w:val="22"/>
          </w:rPr>
          <w:tab/>
        </w:r>
        <w:r w:rsidR="00E87DE3" w:rsidRPr="007C69A6">
          <w:t>Display of Expiration Date for OMB Approval</w:t>
        </w:r>
        <w:r w:rsidR="00793E01">
          <w:rPr>
            <w:webHidden/>
          </w:rPr>
          <w:tab/>
        </w:r>
        <w:r>
          <w:rPr>
            <w:webHidden/>
          </w:rPr>
          <w:fldChar w:fldCharType="begin"/>
        </w:r>
        <w:r w:rsidR="00793E01">
          <w:rPr>
            <w:webHidden/>
          </w:rPr>
          <w:instrText xml:space="preserve"> PAGEREF _Toc319071845 \h </w:instrText>
        </w:r>
        <w:r>
          <w:rPr>
            <w:webHidden/>
          </w:rPr>
        </w:r>
        <w:r>
          <w:rPr>
            <w:webHidden/>
          </w:rPr>
          <w:fldChar w:fldCharType="separate"/>
        </w:r>
        <w:r w:rsidR="002B340A">
          <w:rPr>
            <w:webHidden/>
          </w:rPr>
          <w:t>15</w:t>
        </w:r>
        <w:r>
          <w:rPr>
            <w:webHidden/>
          </w:rPr>
          <w:fldChar w:fldCharType="end"/>
        </w:r>
      </w:hyperlink>
    </w:p>
    <w:p w:rsidR="00793E01" w:rsidRDefault="0032042B">
      <w:pPr>
        <w:pStyle w:val="TOC2"/>
        <w:rPr>
          <w:rFonts w:asciiTheme="minorHAnsi" w:eastAsiaTheme="minorEastAsia" w:hAnsiTheme="minorHAnsi" w:cstheme="minorBidi"/>
          <w:szCs w:val="22"/>
        </w:rPr>
      </w:pPr>
      <w:hyperlink w:anchor="_Toc319071846" w:history="1">
        <w:r w:rsidR="00793E01" w:rsidRPr="004D79C9">
          <w:rPr>
            <w:rStyle w:val="Hyperlink"/>
          </w:rPr>
          <w:t>A.18</w:t>
        </w:r>
        <w:r w:rsidR="00793E01">
          <w:rPr>
            <w:rFonts w:asciiTheme="minorHAnsi" w:eastAsiaTheme="minorEastAsia" w:hAnsiTheme="minorHAnsi" w:cstheme="minorBidi"/>
            <w:szCs w:val="22"/>
          </w:rPr>
          <w:tab/>
        </w:r>
        <w:r w:rsidR="00E87DE3" w:rsidRPr="007C69A6">
          <w:t>Exceptions to Certification Statement</w:t>
        </w:r>
        <w:r w:rsidR="00793E01">
          <w:rPr>
            <w:webHidden/>
          </w:rPr>
          <w:tab/>
        </w:r>
        <w:r>
          <w:rPr>
            <w:webHidden/>
          </w:rPr>
          <w:fldChar w:fldCharType="begin"/>
        </w:r>
        <w:r w:rsidR="00793E01">
          <w:rPr>
            <w:webHidden/>
          </w:rPr>
          <w:instrText xml:space="preserve"> PAGEREF _Toc319071846 \h </w:instrText>
        </w:r>
        <w:r>
          <w:rPr>
            <w:webHidden/>
          </w:rPr>
        </w:r>
        <w:r>
          <w:rPr>
            <w:webHidden/>
          </w:rPr>
          <w:fldChar w:fldCharType="separate"/>
        </w:r>
        <w:r w:rsidR="002B340A">
          <w:rPr>
            <w:webHidden/>
          </w:rPr>
          <w:t>15</w:t>
        </w:r>
        <w:r>
          <w:rPr>
            <w:webHidden/>
          </w:rPr>
          <w:fldChar w:fldCharType="end"/>
        </w:r>
      </w:hyperlink>
    </w:p>
    <w:p w:rsidR="00085A28" w:rsidRPr="007C69A6" w:rsidRDefault="0032042B" w:rsidP="002069B7">
      <w:pPr>
        <w:pStyle w:val="BodyText"/>
        <w:spacing w:line="360" w:lineRule="auto"/>
      </w:pPr>
      <w:r w:rsidRPr="007C69A6">
        <w:fldChar w:fldCharType="end"/>
      </w:r>
    </w:p>
    <w:p w:rsidR="006B1DA6" w:rsidRPr="007C69A6" w:rsidRDefault="006B1DA6" w:rsidP="002E5929">
      <w:pPr>
        <w:pStyle w:val="BodyText"/>
        <w:sectPr w:rsidR="006B1DA6" w:rsidRPr="007C69A6" w:rsidSect="00793E01">
          <w:headerReference w:type="default" r:id="rId12"/>
          <w:footerReference w:type="default" r:id="rId13"/>
          <w:pgSz w:w="12240" w:h="15840" w:code="1"/>
          <w:pgMar w:top="1440" w:right="1440" w:bottom="720" w:left="1440" w:header="864" w:footer="720" w:gutter="0"/>
          <w:pgNumType w:fmt="lowerRoman" w:start="1"/>
          <w:cols w:space="720"/>
          <w:docGrid w:linePitch="299"/>
        </w:sectPr>
      </w:pPr>
    </w:p>
    <w:p w:rsidR="004B1702" w:rsidRPr="007C69A6" w:rsidRDefault="004B1702" w:rsidP="00085A28">
      <w:pPr>
        <w:pStyle w:val="Heading1"/>
      </w:pPr>
      <w:bookmarkStart w:id="0" w:name="_Toc310342838"/>
      <w:bookmarkStart w:id="1" w:name="_Toc319071813"/>
      <w:r w:rsidRPr="007C69A6">
        <w:t>Part A.</w:t>
      </w:r>
      <w:r w:rsidRPr="007C69A6">
        <w:tab/>
        <w:t>Justification</w:t>
      </w:r>
      <w:bookmarkEnd w:id="0"/>
      <w:bookmarkEnd w:id="1"/>
    </w:p>
    <w:p w:rsidR="004B1702" w:rsidRPr="007C69A6" w:rsidRDefault="004B1702" w:rsidP="00367182">
      <w:pPr>
        <w:pStyle w:val="Heading2"/>
      </w:pPr>
      <w:bookmarkStart w:id="2" w:name="_Toc310342839"/>
      <w:bookmarkStart w:id="3" w:name="_Toc280179132"/>
      <w:bookmarkStart w:id="4" w:name="_Toc280179163"/>
      <w:bookmarkStart w:id="5" w:name="_Toc319071814"/>
      <w:r w:rsidRPr="007C69A6">
        <w:t>A.1</w:t>
      </w:r>
      <w:r w:rsidRPr="007C69A6">
        <w:tab/>
      </w:r>
      <w:bookmarkEnd w:id="2"/>
      <w:bookmarkEnd w:id="3"/>
      <w:bookmarkEnd w:id="4"/>
      <w:r w:rsidR="00D94957" w:rsidRPr="007C69A6">
        <w:t>Explain the circumstances that make the collection of information necessary.</w:t>
      </w:r>
      <w:r w:rsidR="002069B7" w:rsidRPr="007C69A6">
        <w:t xml:space="preserve"> </w:t>
      </w:r>
      <w:r w:rsidR="00D94957" w:rsidRPr="007C69A6">
        <w:t>Identify any legal or administrative requirements that necessitate the collection.</w:t>
      </w:r>
      <w:r w:rsidR="002069B7" w:rsidRPr="007C69A6">
        <w:t xml:space="preserve"> </w:t>
      </w:r>
      <w:r w:rsidR="00D94957" w:rsidRPr="007C69A6">
        <w:t>Attach a copy of the appropriate section of each statute and regulation mandating or authorizing the collection of information.</w:t>
      </w:r>
      <w:bookmarkEnd w:id="5"/>
    </w:p>
    <w:p w:rsidR="003452AA" w:rsidRPr="007C69A6" w:rsidRDefault="00DF1EF3" w:rsidP="002E5929">
      <w:pPr>
        <w:pStyle w:val="BodyText"/>
      </w:pPr>
      <w:bookmarkStart w:id="6" w:name="_Toc280179136"/>
      <w:bookmarkStart w:id="7" w:name="_Toc280179167"/>
      <w:r>
        <w:t xml:space="preserve">This is a new information collection request.  </w:t>
      </w:r>
      <w:r w:rsidR="003452AA" w:rsidRPr="007C69A6">
        <w:t>School Food</w:t>
      </w:r>
      <w:r w:rsidR="00163417" w:rsidRPr="007C69A6">
        <w:t>service</w:t>
      </w:r>
      <w:r w:rsidR="003452AA" w:rsidRPr="007C69A6">
        <w:t xml:space="preserve"> Authorities (SFAs) and other school district grants and programs often use a variety of resources that are provided or purchased by the school district, including:</w:t>
      </w:r>
    </w:p>
    <w:p w:rsidR="003452AA" w:rsidRPr="007C69A6" w:rsidRDefault="003452AA" w:rsidP="002E5929">
      <w:pPr>
        <w:pStyle w:val="Bullets"/>
      </w:pPr>
      <w:r w:rsidRPr="007C69A6">
        <w:t>administrative or support functions performed by school district personnel (e.g., accounting, data processing, payroll, personnel, purchasing, storage, and transportation);</w:t>
      </w:r>
    </w:p>
    <w:p w:rsidR="003452AA" w:rsidRPr="007C69A6" w:rsidRDefault="003452AA" w:rsidP="002E5929">
      <w:pPr>
        <w:pStyle w:val="Bullets"/>
      </w:pPr>
      <w:r w:rsidRPr="007C69A6">
        <w:t>facilities, equipment, supplies, and services (e.g., energy, communications and transportation) provided or purchased by the school district; and</w:t>
      </w:r>
    </w:p>
    <w:p w:rsidR="003452AA" w:rsidRPr="007C69A6" w:rsidRDefault="003452AA" w:rsidP="002E5929">
      <w:pPr>
        <w:pStyle w:val="Bullets"/>
      </w:pPr>
      <w:proofErr w:type="gramStart"/>
      <w:r w:rsidRPr="007C69A6">
        <w:t>employee</w:t>
      </w:r>
      <w:proofErr w:type="gramEnd"/>
      <w:r w:rsidRPr="007C69A6">
        <w:t xml:space="preserve"> benefits, payroll taxes and insurance.</w:t>
      </w:r>
    </w:p>
    <w:p w:rsidR="003452AA" w:rsidRPr="007C69A6" w:rsidRDefault="003452AA" w:rsidP="00D82417">
      <w:pPr>
        <w:spacing w:line="480" w:lineRule="auto"/>
        <w:ind w:firstLine="360"/>
        <w:rPr>
          <w:szCs w:val="22"/>
        </w:rPr>
      </w:pPr>
      <w:r w:rsidRPr="007C69A6">
        <w:t>Indirect costs represent the expenses incurred by the school district that are not practical to identify with specific functions (such as foodservice), but are necessary for the general operation of the organization</w:t>
      </w:r>
      <w:r w:rsidR="00902EE4" w:rsidRPr="007C69A6">
        <w:t>.</w:t>
      </w:r>
      <w:r w:rsidRPr="007C69A6">
        <w:t xml:space="preserve"> Indirect costs represent overhead-type expenses. Many school districts use cost allocation plans or </w:t>
      </w:r>
      <w:r w:rsidRPr="007C69A6">
        <w:rPr>
          <w:b/>
          <w:i/>
        </w:rPr>
        <w:t xml:space="preserve">indirect cost </w:t>
      </w:r>
      <w:r w:rsidRPr="007C69A6">
        <w:t>rates to distribute such costs to benefiting activities.</w:t>
      </w:r>
      <w:r w:rsidRPr="007C69A6">
        <w:rPr>
          <w:rStyle w:val="FootnoteReference"/>
          <w:rFonts w:ascii="Garamond" w:hAnsi="Garamond"/>
          <w:sz w:val="24"/>
          <w:szCs w:val="24"/>
        </w:rPr>
        <w:footnoteReference w:id="1"/>
      </w:r>
      <w:r w:rsidRPr="007C69A6">
        <w:t xml:space="preserve"> An indirect cost rate is the ratio of an organization’s (in this case the school district) indirect costs to its direct costs</w:t>
      </w:r>
      <w:r w:rsidR="00887278" w:rsidRPr="007C69A6">
        <w:t xml:space="preserve"> (or another appropriate base such as labor hours)</w:t>
      </w:r>
      <w:r w:rsidRPr="007C69A6">
        <w:t>, computed for the purpose of allocating indirect costs to grants and programs operated by the organization.</w:t>
      </w:r>
      <w:r w:rsidR="00563968">
        <w:rPr>
          <w:rStyle w:val="FootnoteReference"/>
        </w:rPr>
        <w:footnoteReference w:id="2"/>
      </w:r>
    </w:p>
    <w:p w:rsidR="004B1702" w:rsidRPr="007C69A6" w:rsidRDefault="004B1702" w:rsidP="00D82417">
      <w:pPr>
        <w:spacing w:line="480" w:lineRule="auto"/>
        <w:ind w:firstLine="360"/>
        <w:rPr>
          <w:rFonts w:cs="BookmanOldStyle"/>
          <w:color w:val="000000"/>
        </w:rPr>
      </w:pPr>
      <w:r w:rsidRPr="007C69A6">
        <w:rPr>
          <w:szCs w:val="22"/>
        </w:rPr>
        <w:t xml:space="preserve">In </w:t>
      </w:r>
      <w:r w:rsidR="00563968">
        <w:rPr>
          <w:szCs w:val="22"/>
        </w:rPr>
        <w:t>school year (</w:t>
      </w:r>
      <w:r w:rsidRPr="007C69A6">
        <w:rPr>
          <w:szCs w:val="22"/>
        </w:rPr>
        <w:t>SY</w:t>
      </w:r>
      <w:r w:rsidR="00563968">
        <w:rPr>
          <w:szCs w:val="22"/>
        </w:rPr>
        <w:t>)</w:t>
      </w:r>
      <w:r w:rsidRPr="007C69A6">
        <w:rPr>
          <w:szCs w:val="22"/>
        </w:rPr>
        <w:t xml:space="preserve"> 1992-93, the </w:t>
      </w:r>
      <w:r w:rsidRPr="007C69A6">
        <w:rPr>
          <w:i/>
          <w:szCs w:val="22"/>
        </w:rPr>
        <w:t xml:space="preserve">School Lunch and Breakfast Cost Study-I </w:t>
      </w:r>
      <w:r w:rsidRPr="007C69A6">
        <w:rPr>
          <w:szCs w:val="22"/>
        </w:rPr>
        <w:t xml:space="preserve">(SLBCS-I) </w:t>
      </w:r>
      <w:r w:rsidR="004052AC" w:rsidRPr="007C69A6">
        <w:rPr>
          <w:szCs w:val="22"/>
        </w:rPr>
        <w:t xml:space="preserve">(OMB No. </w:t>
      </w:r>
      <w:r w:rsidR="00306F63" w:rsidRPr="007C69A6">
        <w:rPr>
          <w:szCs w:val="22"/>
        </w:rPr>
        <w:t>0584-0440</w:t>
      </w:r>
      <w:r w:rsidR="004052AC" w:rsidRPr="007C69A6">
        <w:rPr>
          <w:szCs w:val="22"/>
        </w:rPr>
        <w:t xml:space="preserve">; Expiration Date: </w:t>
      </w:r>
      <w:r w:rsidR="00306F63" w:rsidRPr="007C69A6">
        <w:rPr>
          <w:szCs w:val="22"/>
        </w:rPr>
        <w:t>4/1994</w:t>
      </w:r>
      <w:r w:rsidR="004052AC" w:rsidRPr="007C69A6">
        <w:rPr>
          <w:szCs w:val="22"/>
        </w:rPr>
        <w:t xml:space="preserve">) </w:t>
      </w:r>
      <w:r w:rsidRPr="007C69A6">
        <w:rPr>
          <w:szCs w:val="22"/>
        </w:rPr>
        <w:t>estimated that nearly 90% of school districts that had an applicable indirect cost rate did not apply this rate to their school foodservice operations. The 10% of school districts that did apply their indirect cost rate to school foodservice operations reported recovering all of the indirect costs that were charged to school foodservice. That is, all of the indirect costs that were</w:t>
      </w:r>
      <w:r w:rsidR="008242A7" w:rsidRPr="007C69A6">
        <w:rPr>
          <w:szCs w:val="22"/>
        </w:rPr>
        <w:t xml:space="preserve"> </w:t>
      </w:r>
      <w:r w:rsidRPr="007C69A6">
        <w:rPr>
          <w:szCs w:val="22"/>
        </w:rPr>
        <w:t>charged to foodservice were actually transferred from the foodservice account to the school districts’ general funds. For these districts, indirect costs represented a line-item cost that had to be covered by foodservice revenues. The second study in this line of research (SLBCS-II</w:t>
      </w:r>
      <w:r w:rsidR="008242A7" w:rsidRPr="007C69A6">
        <w:rPr>
          <w:szCs w:val="22"/>
        </w:rPr>
        <w:t xml:space="preserve">, </w:t>
      </w:r>
      <w:r w:rsidR="004052AC" w:rsidRPr="007C69A6">
        <w:rPr>
          <w:szCs w:val="22"/>
        </w:rPr>
        <w:t xml:space="preserve">OMB No. 0584-0533; Expiration Date: 2/28/2009) </w:t>
      </w:r>
      <w:r w:rsidRPr="007C69A6">
        <w:rPr>
          <w:szCs w:val="22"/>
        </w:rPr>
        <w:t>estimated that by SY 2005-06, 95% of districts had an applicable indirect cost rate, and 83% of these districts calculated the indirect costs that were attributable to school foodservice, and 56% of districts that calculated the indirect costs attributable to foodservice charged all, or some, of these costs to the foodservice account. Similarly, the School Nutrition Association surveyed its membership and reported that in SY 2004-05 52% of the 972 SFA directors that responded to the web survey were being charged for indirect costs.</w:t>
      </w:r>
      <w:r w:rsidRPr="007C69A6">
        <w:rPr>
          <w:rStyle w:val="FootnoteReference"/>
          <w:szCs w:val="22"/>
        </w:rPr>
        <w:footnoteReference w:id="3"/>
      </w:r>
      <w:r w:rsidRPr="007C69A6">
        <w:rPr>
          <w:color w:val="000000"/>
          <w:szCs w:val="22"/>
        </w:rPr>
        <w:t xml:space="preserve"> </w:t>
      </w:r>
    </w:p>
    <w:p w:rsidR="004B1702" w:rsidRPr="007C69A6" w:rsidRDefault="004B1702" w:rsidP="00D82417">
      <w:pPr>
        <w:spacing w:line="480" w:lineRule="auto"/>
        <w:ind w:firstLine="360"/>
      </w:pPr>
      <w:r w:rsidRPr="007C69A6">
        <w:t xml:space="preserve">The issue of indirect costs in the National School Lunch and </w:t>
      </w:r>
      <w:r w:rsidR="00311707" w:rsidRPr="007C69A6">
        <w:t xml:space="preserve">School </w:t>
      </w:r>
      <w:r w:rsidRPr="007C69A6">
        <w:t>Breakfast Programs (NSLP and SBP) has taken on increasing importance over the last 10-15 years as school budgets have become much tighter</w:t>
      </w:r>
      <w:r w:rsidR="00567780" w:rsidRPr="007C69A6">
        <w:t xml:space="preserve">. </w:t>
      </w:r>
      <w:r w:rsidRPr="007C69A6">
        <w:t>In light of this there has been increasing concern regarding the manner in which school districts treat foodservice indirect costs</w:t>
      </w:r>
      <w:r w:rsidR="00567780" w:rsidRPr="007C69A6">
        <w:t xml:space="preserve">. </w:t>
      </w:r>
      <w:r w:rsidRPr="007C69A6">
        <w:t>Congress recognized the importance of the issue of indirect costs in school foodservice</w:t>
      </w:r>
      <w:r w:rsidR="00601D62" w:rsidRPr="007C69A6">
        <w:t>,</w:t>
      </w:r>
      <w:r w:rsidRPr="007C69A6">
        <w:t xml:space="preserve"> and in</w:t>
      </w:r>
      <w:r w:rsidR="00306F63" w:rsidRPr="007C69A6">
        <w:t xml:space="preserve"> Section 307 of</w:t>
      </w:r>
      <w:r w:rsidRPr="007C69A6">
        <w:t xml:space="preserve"> The Healthy Hunger Free </w:t>
      </w:r>
      <w:r w:rsidR="00311707" w:rsidRPr="007C69A6">
        <w:t xml:space="preserve">Kids </w:t>
      </w:r>
      <w:r w:rsidRPr="007C69A6">
        <w:t>Act of 2010 (</w:t>
      </w:r>
      <w:r w:rsidR="00250017" w:rsidRPr="007C69A6">
        <w:t>HHF</w:t>
      </w:r>
      <w:r w:rsidR="00171355">
        <w:t>K</w:t>
      </w:r>
      <w:r w:rsidR="00250017" w:rsidRPr="007C69A6">
        <w:t xml:space="preserve">, </w:t>
      </w:r>
      <w:r w:rsidRPr="007C69A6">
        <w:t>P.L. 111-296) mandated that USDA “conduct a study to assess the extent to which school food authorities participating in the National School Lunch Program … pay indirect costs.”</w:t>
      </w:r>
    </w:p>
    <w:p w:rsidR="004B1702" w:rsidRPr="007C69A6" w:rsidRDefault="004B1702" w:rsidP="00D94957">
      <w:pPr>
        <w:pStyle w:val="BodyText"/>
      </w:pPr>
      <w:r w:rsidRPr="007C69A6">
        <w:t xml:space="preserve">The objective of the </w:t>
      </w:r>
      <w:r w:rsidRPr="007C69A6">
        <w:rPr>
          <w:i/>
        </w:rPr>
        <w:t>School Foodservice Indirect Cost Study</w:t>
      </w:r>
      <w:r w:rsidR="008242A7" w:rsidRPr="007C69A6">
        <w:t xml:space="preserve"> </w:t>
      </w:r>
      <w:r w:rsidR="00A815A4" w:rsidRPr="007C69A6">
        <w:t xml:space="preserve">is </w:t>
      </w:r>
      <w:r w:rsidRPr="007C69A6">
        <w:t>to provide USDA and Congress the necessary information to assess the extent to which school districts identify, treat, and charge indirect costs attributable to their foodservice operations</w:t>
      </w:r>
      <w:r w:rsidR="00567780" w:rsidRPr="007C69A6">
        <w:t xml:space="preserve">. </w:t>
      </w:r>
      <w:r w:rsidR="008242A7" w:rsidRPr="007C69A6">
        <w:t>The study will also</w:t>
      </w:r>
      <w:r w:rsidRPr="007C69A6">
        <w:t xml:space="preserve"> </w:t>
      </w:r>
      <w:r w:rsidR="008242A7" w:rsidRPr="007C69A6">
        <w:t xml:space="preserve">examine </w:t>
      </w:r>
      <w:r w:rsidRPr="007C69A6">
        <w:t>whether school districts treat indirect costs attributable to their food service operations the same way that they treat indirect costs attributable to other grant programs</w:t>
      </w:r>
      <w:r w:rsidR="00567780" w:rsidRPr="007C69A6">
        <w:t xml:space="preserve">. </w:t>
      </w:r>
    </w:p>
    <w:p w:rsidR="004B1702" w:rsidRPr="007C69A6" w:rsidRDefault="004B1702" w:rsidP="002E5929">
      <w:pPr>
        <w:pStyle w:val="Heading3"/>
      </w:pPr>
      <w:bookmarkStart w:id="8" w:name="_Toc310342840"/>
      <w:bookmarkStart w:id="9" w:name="_Toc319071815"/>
      <w:r w:rsidRPr="007C69A6">
        <w:t>Evaluation Objective</w:t>
      </w:r>
      <w:bookmarkEnd w:id="6"/>
      <w:bookmarkEnd w:id="7"/>
      <w:r w:rsidRPr="007C69A6">
        <w:t>s</w:t>
      </w:r>
      <w:bookmarkEnd w:id="8"/>
      <w:bookmarkEnd w:id="9"/>
    </w:p>
    <w:p w:rsidR="004B1702" w:rsidRPr="007C69A6" w:rsidRDefault="004B1702" w:rsidP="00B24D86">
      <w:pPr>
        <w:spacing w:line="480" w:lineRule="auto"/>
        <w:ind w:firstLine="360"/>
      </w:pPr>
      <w:r w:rsidRPr="007C69A6">
        <w:t>While the concept of establishing indirect cost rates and including indirect costs in the prices charged to customers is well established and straightforward in the private sector, it is somewhat less straightforward in the public sector, especially as it pertains to the NSLP and SBP. To address the congressional mandate, it is necessary to examine several key questions related to the reporting and recovery of indirect costs attributable to school foodservice, including:</w:t>
      </w:r>
    </w:p>
    <w:p w:rsidR="004B1702" w:rsidRPr="007C69A6" w:rsidRDefault="004B1702" w:rsidP="002E5929">
      <w:pPr>
        <w:pStyle w:val="Bullets"/>
      </w:pPr>
      <w:r w:rsidRPr="007C69A6">
        <w:t>Does the school district have an indirect cost rate? The SLBCS-II reported that nearly all (95%) school districts had an indirect cost rate in SY 2005-06. Given the increased fiscal pressure that most school districts have experienced over the last five or six years it is possible that this proportion might have increased since SLBCS-II.</w:t>
      </w:r>
    </w:p>
    <w:p w:rsidR="004B1702" w:rsidRPr="007C69A6" w:rsidRDefault="004B1702" w:rsidP="002E5929">
      <w:pPr>
        <w:pStyle w:val="Bullets"/>
      </w:pPr>
      <w:r w:rsidRPr="007C69A6">
        <w:t xml:space="preserve">If a school district has an indirect cost rate, does it calculate the indirect costs that are attributable to school foodservice? SLBCS-II reported that the vast majority (79%) of all school districts (83% of school districts with an indirect cost rate) actually calculate the indirect costs attributable to food service. </w:t>
      </w:r>
    </w:p>
    <w:p w:rsidR="004B1702" w:rsidRPr="007C69A6" w:rsidRDefault="004B1702" w:rsidP="002E5929">
      <w:pPr>
        <w:pStyle w:val="Bullets"/>
      </w:pPr>
      <w:r w:rsidRPr="007C69A6">
        <w:t>If a school district calculates the indirect costs attributable to food service, does it charge any, or all, of these costs to the foodservice account? In this context, “charging” indirect costs means that they appear as an expense on the foodservice financial statement. SLBCS-II reported that only 9% of all school districts (56% of districts that calculated the indirect costs attributable to foodservice) charged the full amount to foodservice, and 7% of school districts charged some but not all indirect costs to foodservice.</w:t>
      </w:r>
    </w:p>
    <w:p w:rsidR="00E85491" w:rsidRPr="007C69A6" w:rsidRDefault="004B1702" w:rsidP="002E5929">
      <w:pPr>
        <w:pStyle w:val="Bullets"/>
      </w:pPr>
      <w:r w:rsidRPr="007C69A6">
        <w:t xml:space="preserve">If a school district charges any or all of the calculated indirect costs to the foodservice account, does the district actually recover these charges (i.e., does the SFA transfer funds from the food service account to the school district general fund)? SLBCS-II reported that only 4% of all school districts (44% of school districts that charged all indirect costs to the foodservice account) recovered all of these indirect costs. </w:t>
      </w:r>
    </w:p>
    <w:p w:rsidR="004B1702" w:rsidRPr="007C69A6" w:rsidRDefault="004B1702" w:rsidP="00B24D86">
      <w:pPr>
        <w:spacing w:line="480" w:lineRule="auto"/>
        <w:ind w:firstLine="360"/>
      </w:pPr>
      <w:r w:rsidRPr="007C69A6">
        <w:t>These questions are at the heart of what is required to meet the Congressional mandate. Other important</w:t>
      </w:r>
      <w:r w:rsidR="00904F73" w:rsidRPr="007C69A6">
        <w:t xml:space="preserve"> </w:t>
      </w:r>
      <w:r w:rsidRPr="007C69A6">
        <w:t xml:space="preserve">questions must be addressed to fully meet the requirements of </w:t>
      </w:r>
      <w:r w:rsidR="00904F73" w:rsidRPr="007C69A6">
        <w:t>this</w:t>
      </w:r>
      <w:r w:rsidRPr="007C69A6">
        <w:t xml:space="preserve"> mandate, including:</w:t>
      </w:r>
    </w:p>
    <w:p w:rsidR="004B1702" w:rsidRPr="007C69A6" w:rsidRDefault="004B1702" w:rsidP="002E5929">
      <w:pPr>
        <w:pStyle w:val="Bullets"/>
      </w:pPr>
      <w:r w:rsidRPr="007C69A6">
        <w:t>What is the role of the State departments of education in establishing or approving school districts’ indirect cost rates?</w:t>
      </w:r>
    </w:p>
    <w:p w:rsidR="004B1702" w:rsidRPr="007C69A6" w:rsidRDefault="004B1702" w:rsidP="002E5929">
      <w:pPr>
        <w:pStyle w:val="Bullets"/>
      </w:pPr>
      <w:r w:rsidRPr="007C69A6">
        <w:t>Are the indirect costs charged or recovered by school districts from foodservice consistent with Federal and State allocation requirements?</w:t>
      </w:r>
    </w:p>
    <w:p w:rsidR="004B1702" w:rsidRPr="007C69A6" w:rsidRDefault="004B1702" w:rsidP="002E5929">
      <w:pPr>
        <w:pStyle w:val="Bullets"/>
      </w:pPr>
      <w:r w:rsidRPr="007C69A6">
        <w:t>What are the types and amounts of indirect costs charged and recovered by school districts from the foodservice account?</w:t>
      </w:r>
    </w:p>
    <w:p w:rsidR="004B1702" w:rsidRPr="007C69A6" w:rsidRDefault="004B1702" w:rsidP="002E5929">
      <w:pPr>
        <w:pStyle w:val="Bullets"/>
      </w:pPr>
      <w:r w:rsidRPr="007C69A6">
        <w:t>What are the types and amounts of indirect costs that school districts could, but do not, charge and recover from the foodservice account?</w:t>
      </w:r>
    </w:p>
    <w:p w:rsidR="00904F73" w:rsidRPr="007C69A6" w:rsidRDefault="004B1702" w:rsidP="002E5929">
      <w:pPr>
        <w:pStyle w:val="Bullets"/>
      </w:pPr>
      <w:r w:rsidRPr="007C69A6">
        <w:t xml:space="preserve">What is the impact of school districts charging and recovering indirect costs from the nonprofit food service accounts? </w:t>
      </w:r>
    </w:p>
    <w:p w:rsidR="004B1702" w:rsidRPr="007C69A6" w:rsidRDefault="004B1702" w:rsidP="00367182">
      <w:pPr>
        <w:pStyle w:val="Heading2"/>
      </w:pPr>
      <w:bookmarkStart w:id="10" w:name="_Toc280179137"/>
      <w:bookmarkStart w:id="11" w:name="_Toc280179168"/>
      <w:bookmarkStart w:id="12" w:name="_Toc310342841"/>
      <w:bookmarkStart w:id="13" w:name="_Toc319071816"/>
      <w:r w:rsidRPr="007C69A6">
        <w:t>A.2</w:t>
      </w:r>
      <w:r w:rsidRPr="007C69A6">
        <w:tab/>
      </w:r>
      <w:bookmarkEnd w:id="10"/>
      <w:bookmarkEnd w:id="11"/>
      <w:bookmarkEnd w:id="12"/>
      <w:r w:rsidR="00D94957" w:rsidRPr="007C69A6">
        <w:t>Indicate how, by whom, how frequently, and for what purpose the information is to be used.</w:t>
      </w:r>
      <w:r w:rsidR="002069B7" w:rsidRPr="007C69A6">
        <w:t xml:space="preserve"> </w:t>
      </w:r>
      <w:r w:rsidR="00D94957" w:rsidRPr="007C69A6">
        <w:t>Except for a new collection, indicate the actual use the agency has made of the information received from the current collection.</w:t>
      </w:r>
      <w:bookmarkEnd w:id="13"/>
    </w:p>
    <w:p w:rsidR="004B1702" w:rsidRPr="007C69A6" w:rsidRDefault="004B1702" w:rsidP="00EF68DE">
      <w:pPr>
        <w:spacing w:line="480" w:lineRule="auto"/>
        <w:ind w:firstLine="360"/>
      </w:pPr>
      <w:r w:rsidRPr="007C69A6">
        <w:t xml:space="preserve">Many of the research </w:t>
      </w:r>
      <w:r w:rsidR="00E87675" w:rsidRPr="007C69A6">
        <w:t xml:space="preserve">questions that will be addressed by the </w:t>
      </w:r>
      <w:r w:rsidR="00F0679F">
        <w:rPr>
          <w:i/>
        </w:rPr>
        <w:t>School Foodservice I</w:t>
      </w:r>
      <w:r w:rsidRPr="007C69A6">
        <w:rPr>
          <w:i/>
        </w:rPr>
        <w:t>ndirect Cost Study</w:t>
      </w:r>
      <w:r w:rsidRPr="007C69A6">
        <w:t xml:space="preserve"> will </w:t>
      </w:r>
      <w:r w:rsidR="00A815A4" w:rsidRPr="007C69A6">
        <w:t xml:space="preserve">be answered by </w:t>
      </w:r>
      <w:r w:rsidRPr="007C69A6">
        <w:t xml:space="preserve">a survey of </w:t>
      </w:r>
      <w:r w:rsidRPr="007C69A6">
        <w:rPr>
          <w:i/>
        </w:rPr>
        <w:t>all</w:t>
      </w:r>
      <w:r w:rsidRPr="007C69A6">
        <w:t xml:space="preserve"> States </w:t>
      </w:r>
      <w:r w:rsidR="001F719F">
        <w:t xml:space="preserve">and the District of Columbia, </w:t>
      </w:r>
      <w:r w:rsidRPr="007C69A6">
        <w:t xml:space="preserve">and a survey of a </w:t>
      </w:r>
      <w:r w:rsidRPr="007C69A6">
        <w:rPr>
          <w:i/>
        </w:rPr>
        <w:t xml:space="preserve">sample </w:t>
      </w:r>
      <w:r w:rsidRPr="007C69A6">
        <w:t xml:space="preserve">of SFAs and their corresponding school districts. The target population for this survey is </w:t>
      </w:r>
      <w:r w:rsidRPr="007C69A6">
        <w:rPr>
          <w:i/>
        </w:rPr>
        <w:t>all public and private SFAs participating in the NSLP and SPB</w:t>
      </w:r>
      <w:r w:rsidRPr="007C69A6">
        <w:t xml:space="preserve">. We will select a nationally representative probability sample from this population. For public SFAs, the sampling plan has been designed to provide national estimates with a 95% confidence interval of ±5 percentage points. </w:t>
      </w:r>
      <w:r w:rsidR="00EF68DE" w:rsidRPr="007C69A6">
        <w:t>The initial sample will include 2,373 public SFAs.</w:t>
      </w:r>
      <w:r w:rsidR="002069B7" w:rsidRPr="007C69A6">
        <w:t xml:space="preserve"> </w:t>
      </w:r>
      <w:r w:rsidRPr="007C69A6">
        <w:t xml:space="preserve">This sample will </w:t>
      </w:r>
      <w:r w:rsidR="00EF68DE" w:rsidRPr="007C69A6">
        <w:t xml:space="preserve">also </w:t>
      </w:r>
      <w:r w:rsidRPr="007C69A6">
        <w:t>allow for the types of subgroup analyses needed to answer the questions posed by Congress. Specifically, this sample will provide a 90% confidence interval of ±5 percentage points</w:t>
      </w:r>
      <w:r w:rsidR="00EF68DE" w:rsidRPr="007C69A6">
        <w:t xml:space="preserve"> for the key subgroups identified by FNS</w:t>
      </w:r>
      <w:r w:rsidRPr="007C69A6">
        <w:t>.</w:t>
      </w:r>
      <w:r w:rsidRPr="007C69A6">
        <w:rPr>
          <w:rStyle w:val="FootnoteReference"/>
          <w:rFonts w:ascii="Garamond" w:hAnsi="Garamond"/>
          <w:sz w:val="24"/>
          <w:szCs w:val="24"/>
        </w:rPr>
        <w:footnoteReference w:id="4"/>
      </w:r>
      <w:r w:rsidRPr="007C69A6">
        <w:t xml:space="preserve"> For private SFAs, the sample will provide a 95% confidence interval of ±10 percentage points. </w:t>
      </w:r>
      <w:r w:rsidR="00EF68DE" w:rsidRPr="007C69A6">
        <w:t xml:space="preserve">The initial sample will include 125 private SFAs. </w:t>
      </w:r>
      <w:r w:rsidRPr="007C69A6">
        <w:t>No subgroup analysis will be conducted for private SFAs</w:t>
      </w:r>
      <w:r w:rsidR="00AE3816" w:rsidRPr="007C69A6">
        <w:t>.</w:t>
      </w:r>
      <w:r w:rsidRPr="007C69A6">
        <w:t xml:space="preserve"> </w:t>
      </w:r>
      <w:r w:rsidR="00A815A4" w:rsidRPr="007C69A6">
        <w:t xml:space="preserve">Assuming </w:t>
      </w:r>
      <w:r w:rsidRPr="007C69A6">
        <w:t>an 80</w:t>
      </w:r>
      <w:r w:rsidR="00EF68DE" w:rsidRPr="007C69A6">
        <w:t xml:space="preserve">% </w:t>
      </w:r>
      <w:r w:rsidRPr="007C69A6">
        <w:t>response rate, this provide</w:t>
      </w:r>
      <w:r w:rsidR="00902EE4" w:rsidRPr="007C69A6">
        <w:t>s</w:t>
      </w:r>
      <w:r w:rsidRPr="007C69A6">
        <w:t xml:space="preserve"> an analytic sample of 1,8</w:t>
      </w:r>
      <w:r w:rsidR="00883197" w:rsidRPr="007C69A6">
        <w:t>9</w:t>
      </w:r>
      <w:r w:rsidR="00BE6F64">
        <w:t>8</w:t>
      </w:r>
      <w:r w:rsidR="00883197" w:rsidRPr="007C69A6">
        <w:t xml:space="preserve"> public and 100 private SFAs.</w:t>
      </w:r>
    </w:p>
    <w:p w:rsidR="004B1702" w:rsidRPr="007C69A6" w:rsidRDefault="004B1702" w:rsidP="002E5929">
      <w:pPr>
        <w:pStyle w:val="Heading3"/>
      </w:pPr>
      <w:bookmarkStart w:id="14" w:name="_Toc310342843"/>
      <w:bookmarkStart w:id="15" w:name="_Toc319071817"/>
      <w:r w:rsidRPr="007C69A6">
        <w:t>Data Collection and Instrumentation</w:t>
      </w:r>
      <w:bookmarkEnd w:id="14"/>
      <w:bookmarkEnd w:id="15"/>
    </w:p>
    <w:p w:rsidR="00DB0BF5" w:rsidRPr="007C69A6" w:rsidRDefault="004B1702" w:rsidP="006478D6">
      <w:pPr>
        <w:spacing w:line="480" w:lineRule="auto"/>
        <w:ind w:firstLine="360"/>
      </w:pPr>
      <w:r w:rsidRPr="007C69A6">
        <w:t>The</w:t>
      </w:r>
      <w:r w:rsidR="00904F73" w:rsidRPr="007C69A6">
        <w:t xml:space="preserve"> </w:t>
      </w:r>
      <w:r w:rsidR="00F7249B" w:rsidRPr="007C69A6">
        <w:t>study instruments</w:t>
      </w:r>
      <w:r w:rsidRPr="007C69A6">
        <w:t xml:space="preserve"> </w:t>
      </w:r>
      <w:r w:rsidR="00306F63" w:rsidRPr="007C69A6">
        <w:t>(</w:t>
      </w:r>
      <w:r w:rsidR="00306F63" w:rsidRPr="00C269C3">
        <w:t>Appendix</w:t>
      </w:r>
      <w:r w:rsidR="00306F63" w:rsidRPr="007C69A6">
        <w:t xml:space="preserve"> </w:t>
      </w:r>
      <w:r w:rsidR="00373A24">
        <w:t xml:space="preserve">A and Appendix </w:t>
      </w:r>
      <w:r w:rsidR="00306F63" w:rsidRPr="007C69A6">
        <w:t xml:space="preserve">B) </w:t>
      </w:r>
      <w:r w:rsidRPr="007C69A6">
        <w:t xml:space="preserve">examine indirect costs from three perspectives: a) the State; b) the SFA; and c) the school district. </w:t>
      </w:r>
      <w:r w:rsidR="00DB0BF5" w:rsidRPr="007C69A6">
        <w:t xml:space="preserve">At the State-level, telephone interviews will be </w:t>
      </w:r>
      <w:r w:rsidR="002A5095" w:rsidRPr="007C69A6">
        <w:t xml:space="preserve">conducted </w:t>
      </w:r>
      <w:r w:rsidR="00DB0BF5" w:rsidRPr="007C69A6">
        <w:t xml:space="preserve">with </w:t>
      </w:r>
      <w:r w:rsidR="00C2229B" w:rsidRPr="007C69A6">
        <w:t xml:space="preserve">the State Child Nutrition (CN) Directors and </w:t>
      </w:r>
      <w:r w:rsidR="00F47CBF" w:rsidRPr="007C69A6">
        <w:t xml:space="preserve">the </w:t>
      </w:r>
      <w:r w:rsidR="00D84F00" w:rsidRPr="007C69A6">
        <w:t xml:space="preserve">State </w:t>
      </w:r>
      <w:r w:rsidR="00F9770C" w:rsidRPr="007C69A6">
        <w:t>Education Agency (</w:t>
      </w:r>
      <w:r w:rsidR="00163417" w:rsidRPr="007C69A6">
        <w:t>SEA</w:t>
      </w:r>
      <w:r w:rsidR="00F9770C" w:rsidRPr="007C69A6">
        <w:t>)</w:t>
      </w:r>
      <w:r w:rsidR="00A6307F" w:rsidRPr="007C69A6">
        <w:t xml:space="preserve"> Finance Officers in all 50 states and the District of Columbia.</w:t>
      </w:r>
      <w:r w:rsidR="00F47CBF" w:rsidRPr="007C69A6">
        <w:t xml:space="preserve"> Respondents within each state will be asked </w:t>
      </w:r>
      <w:r w:rsidR="00F60BBB" w:rsidRPr="007C69A6">
        <w:t>how indirect costs are allocated in the financial reporting of public school districts and private schools, and how each respondent’s agency is involved with this process</w:t>
      </w:r>
      <w:r w:rsidR="00771967" w:rsidRPr="007C69A6">
        <w:t xml:space="preserve">. </w:t>
      </w:r>
      <w:r w:rsidR="00F60BBB" w:rsidRPr="007C69A6">
        <w:t>With only 50 states and the District of Columbia to contact, the interviews will be conducted by telephone</w:t>
      </w:r>
      <w:r w:rsidR="006478D6" w:rsidRPr="007C69A6">
        <w:t xml:space="preserve">. </w:t>
      </w:r>
      <w:r w:rsidR="00F60BBB" w:rsidRPr="007C69A6">
        <w:t xml:space="preserve">For the public and private SFAs and school districts, </w:t>
      </w:r>
      <w:r w:rsidR="002976F0" w:rsidRPr="007C69A6">
        <w:t>respondents will be asked if and how indirect costs are applied to the financial reporting for school foodservice</w:t>
      </w:r>
      <w:r w:rsidR="00245542" w:rsidRPr="007C69A6">
        <w:t xml:space="preserve"> and to obtain copies of the </w:t>
      </w:r>
      <w:r w:rsidR="00171355">
        <w:t>Local Education Agency’s (</w:t>
      </w:r>
      <w:r w:rsidR="00245542" w:rsidRPr="007C69A6">
        <w:t>LEA</w:t>
      </w:r>
      <w:r w:rsidR="00171355">
        <w:t>)</w:t>
      </w:r>
      <w:r w:rsidR="00245542" w:rsidRPr="007C69A6">
        <w:t xml:space="preserve"> indirect cost allocation plans</w:t>
      </w:r>
      <w:r w:rsidR="002976F0" w:rsidRPr="007C69A6">
        <w:t xml:space="preserve">. </w:t>
      </w:r>
      <w:r w:rsidR="00601D62" w:rsidRPr="007C69A6">
        <w:t>With plans to have</w:t>
      </w:r>
      <w:r w:rsidR="00F60BBB" w:rsidRPr="007C69A6">
        <w:t xml:space="preserve"> nearly 2,000 completed surveys, </w:t>
      </w:r>
      <w:r w:rsidR="002976F0" w:rsidRPr="007C69A6">
        <w:t>data collection will be done through web surveys.</w:t>
      </w:r>
      <w:r w:rsidR="00306F63" w:rsidRPr="007C69A6">
        <w:t xml:space="preserve"> (Screen shots of the initial page of the web surveys that display the required OMB approval number and </w:t>
      </w:r>
      <w:r w:rsidR="00021FAB" w:rsidRPr="007C69A6">
        <w:t>respondent</w:t>
      </w:r>
      <w:r w:rsidR="00306F63" w:rsidRPr="007C69A6">
        <w:t xml:space="preserve"> burden statement</w:t>
      </w:r>
      <w:r w:rsidR="00021FAB" w:rsidRPr="007C69A6">
        <w:t xml:space="preserve"> are in </w:t>
      </w:r>
      <w:r w:rsidR="00021FAB" w:rsidRPr="00C269C3">
        <w:t>Appendix</w:t>
      </w:r>
      <w:r w:rsidR="00021FAB" w:rsidRPr="007C69A6">
        <w:t xml:space="preserve"> C</w:t>
      </w:r>
      <w:r w:rsidR="00373A24">
        <w:t xml:space="preserve"> and Appendix D</w:t>
      </w:r>
      <w:r w:rsidR="00021FAB" w:rsidRPr="007C69A6">
        <w:t>.)</w:t>
      </w:r>
    </w:p>
    <w:p w:rsidR="000F4E09" w:rsidRPr="007C69A6" w:rsidRDefault="00D82417" w:rsidP="006478D6">
      <w:pPr>
        <w:spacing w:line="480" w:lineRule="auto"/>
        <w:ind w:firstLine="360"/>
      </w:pPr>
      <w:r w:rsidRPr="007C69A6">
        <w:t>This one-time d</w:t>
      </w:r>
      <w:r w:rsidR="004B1702" w:rsidRPr="007C69A6">
        <w:t xml:space="preserve">ata collection will begin on or about </w:t>
      </w:r>
      <w:r w:rsidR="002B340A">
        <w:t>7</w:t>
      </w:r>
      <w:r w:rsidR="004B1702" w:rsidRPr="007C69A6">
        <w:t>/</w:t>
      </w:r>
      <w:r w:rsidR="002B340A">
        <w:t>23</w:t>
      </w:r>
      <w:r w:rsidR="004B1702" w:rsidRPr="007C69A6">
        <w:t>/12. Data collection will be staged such that the State</w:t>
      </w:r>
      <w:r w:rsidR="00163417" w:rsidRPr="007C69A6">
        <w:t xml:space="preserve">-level surveys are completed before </w:t>
      </w:r>
      <w:r w:rsidR="004B1702" w:rsidRPr="007C69A6">
        <w:t xml:space="preserve">the School District </w:t>
      </w:r>
      <w:r w:rsidR="00163417" w:rsidRPr="007C69A6">
        <w:t xml:space="preserve">Business Manager and </w:t>
      </w:r>
      <w:r w:rsidR="004B1702" w:rsidRPr="007C69A6">
        <w:t>SFA Director web surveys begin.</w:t>
      </w:r>
      <w:r w:rsidR="00163417" w:rsidRPr="007C69A6">
        <w:t xml:space="preserve"> A</w:t>
      </w:r>
      <w:r w:rsidR="000F4E09" w:rsidRPr="007C69A6">
        <w:t xml:space="preserve">s the State </w:t>
      </w:r>
      <w:r w:rsidR="00163417" w:rsidRPr="007C69A6">
        <w:t xml:space="preserve">CN Director and SEA </w:t>
      </w:r>
      <w:r w:rsidR="000F4E09" w:rsidRPr="007C69A6">
        <w:t xml:space="preserve">Finance Officer </w:t>
      </w:r>
      <w:r w:rsidR="00163417" w:rsidRPr="007C69A6">
        <w:t>surveys</w:t>
      </w:r>
      <w:r w:rsidR="000F4E09" w:rsidRPr="007C69A6">
        <w:t xml:space="preserve"> are completed in each State</w:t>
      </w:r>
      <w:r w:rsidR="00163417" w:rsidRPr="007C69A6">
        <w:t>, the school district and SFA director web surveys will be sent out on a rolling basis</w:t>
      </w:r>
      <w:r w:rsidR="00771967" w:rsidRPr="007C69A6">
        <w:t xml:space="preserve">. </w:t>
      </w:r>
      <w:r w:rsidR="000F4E09" w:rsidRPr="007C69A6">
        <w:t>This will allow the telephone interviewers to remind the State CN Director and S</w:t>
      </w:r>
      <w:r w:rsidR="00163417" w:rsidRPr="007C69A6">
        <w:t>EA</w:t>
      </w:r>
      <w:r w:rsidR="000F4E09" w:rsidRPr="007C69A6">
        <w:t xml:space="preserve"> Finance Officer that the web survey is about to begin in his/her State. By doing this we hope that they are prepared for any questions that they might receive from </w:t>
      </w:r>
      <w:r w:rsidR="00163417" w:rsidRPr="007C69A6">
        <w:t xml:space="preserve">SFA directors and/or </w:t>
      </w:r>
      <w:r w:rsidR="000F4E09" w:rsidRPr="007C69A6">
        <w:t>school district bu</w:t>
      </w:r>
      <w:r w:rsidR="00163417" w:rsidRPr="007C69A6">
        <w:t>siness</w:t>
      </w:r>
      <w:r w:rsidR="000F4E09" w:rsidRPr="007C69A6">
        <w:t xml:space="preserve"> managers</w:t>
      </w:r>
      <w:r w:rsidR="00163417" w:rsidRPr="007C69A6">
        <w:t xml:space="preserve"> whe</w:t>
      </w:r>
      <w:r w:rsidR="000F4E09" w:rsidRPr="007C69A6">
        <w:t xml:space="preserve">n they receive the web survey to complete. </w:t>
      </w:r>
    </w:p>
    <w:p w:rsidR="000F4E09" w:rsidRPr="007C69A6" w:rsidRDefault="000F4E09" w:rsidP="00B24D86">
      <w:pPr>
        <w:spacing w:line="480" w:lineRule="auto"/>
        <w:ind w:firstLine="360"/>
      </w:pPr>
      <w:r w:rsidRPr="007C69A6">
        <w:t xml:space="preserve">We will </w:t>
      </w:r>
      <w:r w:rsidR="00373224" w:rsidRPr="007C69A6">
        <w:t xml:space="preserve">email </w:t>
      </w:r>
      <w:r w:rsidRPr="007C69A6">
        <w:t xml:space="preserve">the school district </w:t>
      </w:r>
      <w:r w:rsidR="00F7249B" w:rsidRPr="007C69A6">
        <w:t>business managers</w:t>
      </w:r>
      <w:r w:rsidRPr="007C69A6">
        <w:t xml:space="preserve"> and SFA directors links to the web survey</w:t>
      </w:r>
      <w:r w:rsidR="00771967" w:rsidRPr="007C69A6">
        <w:t xml:space="preserve">. </w:t>
      </w:r>
      <w:r w:rsidR="00373224" w:rsidRPr="007C69A6">
        <w:t>As data collection progresses, a series of mail and email reminders will be sent to those who have not yet completed the surveys. Follow</w:t>
      </w:r>
      <w:r w:rsidR="00F7249B" w:rsidRPr="007C69A6">
        <w:t>-</w:t>
      </w:r>
      <w:r w:rsidR="00373224" w:rsidRPr="007C69A6">
        <w:t xml:space="preserve">up </w:t>
      </w:r>
      <w:r w:rsidRPr="007C69A6">
        <w:t xml:space="preserve">will also </w:t>
      </w:r>
      <w:r w:rsidR="00373224" w:rsidRPr="007C69A6">
        <w:t>include up to 10</w:t>
      </w:r>
      <w:r w:rsidRPr="007C69A6">
        <w:t xml:space="preserve"> telephone reminders in order to increase the response rate</w:t>
      </w:r>
      <w:r w:rsidR="00771967" w:rsidRPr="007C69A6">
        <w:t xml:space="preserve">. </w:t>
      </w:r>
      <w:r w:rsidRPr="007C69A6">
        <w:t xml:space="preserve">On the </w:t>
      </w:r>
      <w:r w:rsidR="00373224" w:rsidRPr="007C69A6">
        <w:t>10th</w:t>
      </w:r>
      <w:r w:rsidRPr="007C69A6">
        <w:t xml:space="preserve"> phone reminder, the caller will offer the respondent an opportunity to complete the interview by phone with one of Abt’s trained mid-level analysts. In this way, the time spent by the mid-level analysts to contact and schedule an interview is eliminated or reduced, making the follow-up telephone interviews substantially more cost effective.</w:t>
      </w:r>
      <w:r w:rsidR="00373A24">
        <w:t xml:space="preserve">  (Sample notification emails, email and mail reminders, and telephone reminder scripts are in Appendix E and Appendix F.)</w:t>
      </w:r>
    </w:p>
    <w:p w:rsidR="00F74331" w:rsidRPr="007C69A6" w:rsidRDefault="004B1702" w:rsidP="00B24D86">
      <w:pPr>
        <w:spacing w:line="480" w:lineRule="auto"/>
        <w:ind w:firstLine="360"/>
      </w:pPr>
      <w:r w:rsidRPr="007C69A6">
        <w:t>Data collection</w:t>
      </w:r>
      <w:r w:rsidR="002B340A">
        <w:t xml:space="preserve"> is expected to continue over lat</w:t>
      </w:r>
      <w:r w:rsidRPr="007C69A6">
        <w:t>e summer (</w:t>
      </w:r>
      <w:r w:rsidR="00F7249B" w:rsidRPr="007C69A6">
        <w:t xml:space="preserve">many </w:t>
      </w:r>
      <w:r w:rsidRPr="007C69A6">
        <w:t xml:space="preserve">respondents are likely to be 12-month personnel) </w:t>
      </w:r>
      <w:r w:rsidR="002B340A">
        <w:t xml:space="preserve">and into the school year </w:t>
      </w:r>
      <w:r w:rsidRPr="007C69A6">
        <w:t>and be completed by 1</w:t>
      </w:r>
      <w:r w:rsidR="002B340A">
        <w:t>2</w:t>
      </w:r>
      <w:r w:rsidRPr="007C69A6">
        <w:t>/</w:t>
      </w:r>
      <w:r w:rsidR="002B340A">
        <w:t>21</w:t>
      </w:r>
      <w:r w:rsidRPr="007C69A6">
        <w:t>/12.</w:t>
      </w:r>
      <w:r w:rsidR="002069B7" w:rsidRPr="007C69A6">
        <w:t xml:space="preserve"> </w:t>
      </w:r>
      <w:r w:rsidR="00245542" w:rsidRPr="007C69A6">
        <w:t xml:space="preserve">There will also be a follow-up web survey to request copies of </w:t>
      </w:r>
      <w:r w:rsidR="00A815A4" w:rsidRPr="007C69A6">
        <w:t>t</w:t>
      </w:r>
      <w:r w:rsidR="00245542" w:rsidRPr="007C69A6">
        <w:t xml:space="preserve">he SFAs’ final expenditure and revenue reports. </w:t>
      </w:r>
      <w:r w:rsidR="00124D87" w:rsidRPr="007C69A6">
        <w:t>Instruments are discussed below.</w:t>
      </w:r>
    </w:p>
    <w:p w:rsidR="004B1702" w:rsidRPr="007C69A6" w:rsidRDefault="004B1702" w:rsidP="00B24D86">
      <w:pPr>
        <w:spacing w:line="480" w:lineRule="auto"/>
        <w:ind w:firstLine="360"/>
      </w:pPr>
      <w:proofErr w:type="gramStart"/>
      <w:r w:rsidRPr="007C69A6">
        <w:rPr>
          <w:rFonts w:ascii="Arial" w:hAnsi="Arial" w:cs="Arial"/>
          <w:b/>
          <w:sz w:val="20"/>
        </w:rPr>
        <w:t>State</w:t>
      </w:r>
      <w:r w:rsidR="000F4E09" w:rsidRPr="007C69A6">
        <w:rPr>
          <w:rFonts w:ascii="Arial" w:hAnsi="Arial" w:cs="Arial"/>
          <w:b/>
          <w:sz w:val="20"/>
        </w:rPr>
        <w:t xml:space="preserve"> </w:t>
      </w:r>
      <w:r w:rsidR="00601D62" w:rsidRPr="007C69A6">
        <w:rPr>
          <w:rFonts w:ascii="Arial" w:hAnsi="Arial" w:cs="Arial"/>
          <w:b/>
          <w:sz w:val="20"/>
        </w:rPr>
        <w:t>CN Director/</w:t>
      </w:r>
      <w:r w:rsidR="000F4E09" w:rsidRPr="007C69A6">
        <w:rPr>
          <w:rFonts w:ascii="Arial" w:hAnsi="Arial" w:cs="Arial"/>
          <w:b/>
          <w:sz w:val="20"/>
        </w:rPr>
        <w:t xml:space="preserve">Finance Officer </w:t>
      </w:r>
      <w:r w:rsidRPr="007C69A6">
        <w:rPr>
          <w:rFonts w:ascii="Arial" w:hAnsi="Arial" w:cs="Arial"/>
          <w:b/>
          <w:sz w:val="20"/>
        </w:rPr>
        <w:t>Survey.</w:t>
      </w:r>
      <w:proofErr w:type="gramEnd"/>
      <w:r w:rsidRPr="007C69A6">
        <w:rPr>
          <w:rFonts w:ascii="Arial"/>
          <w:b/>
          <w:sz w:val="20"/>
        </w:rPr>
        <w:t xml:space="preserve"> </w:t>
      </w:r>
      <w:r w:rsidR="00BE6F64">
        <w:t xml:space="preserve">We have </w:t>
      </w:r>
      <w:r w:rsidR="00601D62" w:rsidRPr="007C69A6">
        <w:t>develop</w:t>
      </w:r>
      <w:r w:rsidR="00BE6F64">
        <w:t>ed</w:t>
      </w:r>
      <w:r w:rsidR="00601D62" w:rsidRPr="007C69A6">
        <w:t xml:space="preserve"> </w:t>
      </w:r>
      <w:r w:rsidRPr="007C69A6">
        <w:t>new telephone survey instrument</w:t>
      </w:r>
      <w:r w:rsidR="00601D62" w:rsidRPr="007C69A6">
        <w:t>s</w:t>
      </w:r>
      <w:r w:rsidRPr="007C69A6">
        <w:t xml:space="preserve"> for </w:t>
      </w:r>
      <w:r w:rsidR="00601D62" w:rsidRPr="007C69A6">
        <w:t>State CN Directors and SEA</w:t>
      </w:r>
      <w:r w:rsidRPr="007C69A6">
        <w:t xml:space="preserve"> Finance Officers to obtain the information needed to address the study's research questions related to the State's role in setting and/or approving school districts' indirect cost rates</w:t>
      </w:r>
      <w:r w:rsidR="00601D62" w:rsidRPr="007C69A6">
        <w:t xml:space="preserve"> and in providing information and guidance to SFAs on the use and implementation of school districts' indirect cost rates.</w:t>
      </w:r>
      <w:r w:rsidR="008B0B93">
        <w:t xml:space="preserve"> The</w:t>
      </w:r>
      <w:r w:rsidRPr="007C69A6">
        <w:t xml:space="preserve"> instrument</w:t>
      </w:r>
      <w:r w:rsidR="00BE6F64">
        <w:t>s</w:t>
      </w:r>
      <w:r w:rsidRPr="007C69A6">
        <w:t xml:space="preserve"> address the following areas:</w:t>
      </w:r>
    </w:p>
    <w:p w:rsidR="004B1702" w:rsidRPr="007C69A6" w:rsidRDefault="004B1702" w:rsidP="002E5929">
      <w:pPr>
        <w:pStyle w:val="Bullets"/>
      </w:pPr>
      <w:r w:rsidRPr="007C69A6">
        <w:t>The role of the SEA in establishing and/or approving school district indirect cost rates</w:t>
      </w:r>
      <w:r w:rsidR="002A5095" w:rsidRPr="007C69A6">
        <w:t xml:space="preserve"> and indirect cost bases</w:t>
      </w:r>
      <w:r w:rsidRPr="007C69A6">
        <w:t>,</w:t>
      </w:r>
      <w:r w:rsidR="00F7249B" w:rsidRPr="007C69A6">
        <w:t xml:space="preserve"> an</w:t>
      </w:r>
      <w:r w:rsidR="00C615FF">
        <w:t>d providing guidance to SFAs;</w:t>
      </w:r>
    </w:p>
    <w:p w:rsidR="004B1702" w:rsidRPr="007C69A6" w:rsidRDefault="004B1702" w:rsidP="002E5929">
      <w:pPr>
        <w:pStyle w:val="Bullets"/>
      </w:pPr>
      <w:r w:rsidRPr="007C69A6">
        <w:t>The use of restricted and u</w:t>
      </w:r>
      <w:r w:rsidR="00C615FF">
        <w:t>nrestricted indirect cost rates;</w:t>
      </w:r>
    </w:p>
    <w:p w:rsidR="004B1702" w:rsidRPr="007C69A6" w:rsidRDefault="004B1702" w:rsidP="002E5929">
      <w:pPr>
        <w:pStyle w:val="Bullets"/>
      </w:pPr>
      <w:r w:rsidRPr="007C69A6">
        <w:t>The support functions inc</w:t>
      </w:r>
      <w:r w:rsidR="00C615FF">
        <w:t>luded in the indirect cost pool;</w:t>
      </w:r>
      <w:r w:rsidRPr="007C69A6">
        <w:t xml:space="preserve"> and</w:t>
      </w:r>
    </w:p>
    <w:p w:rsidR="004B1702" w:rsidRPr="007C69A6" w:rsidRDefault="004B1702" w:rsidP="002E5929">
      <w:pPr>
        <w:pStyle w:val="Bullets"/>
      </w:pPr>
      <w:r w:rsidRPr="007C69A6">
        <w:t>Procedures for adjusting for indirect cost rates to account for under- or over-recovery of indirect costs.</w:t>
      </w:r>
    </w:p>
    <w:p w:rsidR="004B1702" w:rsidRPr="007C69A6" w:rsidRDefault="00F7249B" w:rsidP="002E5929">
      <w:pPr>
        <w:pStyle w:val="BodyText"/>
      </w:pPr>
      <w:r w:rsidRPr="007C69A6">
        <w:t>The</w:t>
      </w:r>
      <w:r w:rsidR="004B1702" w:rsidRPr="007C69A6">
        <w:t xml:space="preserve"> State Finance Officer survey will also obtain information regarding the establishment of the specific indirect cost rates for the school districts that are included in the study sample. </w:t>
      </w:r>
    </w:p>
    <w:p w:rsidR="000C573E" w:rsidRPr="007C69A6" w:rsidRDefault="004B1702" w:rsidP="00902EE4">
      <w:pPr>
        <w:spacing w:line="480" w:lineRule="auto"/>
        <w:ind w:firstLine="360"/>
      </w:pPr>
      <w:proofErr w:type="gramStart"/>
      <w:r w:rsidRPr="007C69A6">
        <w:rPr>
          <w:rFonts w:ascii="Arial" w:hAnsi="Arial" w:cs="Arial"/>
          <w:b/>
          <w:sz w:val="20"/>
        </w:rPr>
        <w:t>SFA/School District Survey.</w:t>
      </w:r>
      <w:proofErr w:type="gramEnd"/>
      <w:r w:rsidRPr="007C69A6">
        <w:rPr>
          <w:rFonts w:ascii="Arial"/>
          <w:b/>
          <w:sz w:val="20"/>
        </w:rPr>
        <w:t xml:space="preserve"> </w:t>
      </w:r>
      <w:r w:rsidR="00CB7523" w:rsidRPr="007C69A6">
        <w:t>For S</w:t>
      </w:r>
      <w:r w:rsidRPr="007C69A6">
        <w:t>LBCS-II</w:t>
      </w:r>
      <w:r w:rsidR="00BE6F64">
        <w:t xml:space="preserve"> </w:t>
      </w:r>
      <w:r w:rsidR="00BE6F64">
        <w:rPr>
          <w:szCs w:val="22"/>
        </w:rPr>
        <w:t>(</w:t>
      </w:r>
      <w:r w:rsidR="00BE6F64" w:rsidRPr="007C69A6">
        <w:rPr>
          <w:szCs w:val="22"/>
        </w:rPr>
        <w:t>OMB No. 0584-0533; E</w:t>
      </w:r>
      <w:r w:rsidR="00D5521E">
        <w:rPr>
          <w:szCs w:val="22"/>
        </w:rPr>
        <w:t xml:space="preserve">xpiration Date: </w:t>
      </w:r>
      <w:r w:rsidR="00BE6F64" w:rsidRPr="007C69A6">
        <w:rPr>
          <w:szCs w:val="22"/>
        </w:rPr>
        <w:t>2/28/2009)</w:t>
      </w:r>
      <w:r w:rsidR="00F7249B" w:rsidRPr="007C69A6">
        <w:t xml:space="preserve">, </w:t>
      </w:r>
      <w:r w:rsidR="000F4E09" w:rsidRPr="007C69A6">
        <w:t xml:space="preserve">Abt </w:t>
      </w:r>
      <w:r w:rsidRPr="007C69A6">
        <w:t xml:space="preserve">developed an Indirect Cost Interview Guide that was administered in person to school district business managers. This instrument </w:t>
      </w:r>
      <w:r w:rsidR="00D5521E">
        <w:t>ha</w:t>
      </w:r>
      <w:r w:rsidR="00BE6F64">
        <w:t xml:space="preserve">s </w:t>
      </w:r>
      <w:r w:rsidR="00F7249B" w:rsidRPr="007C69A6">
        <w:t>be</w:t>
      </w:r>
      <w:r w:rsidR="00D5521E">
        <w:t>en</w:t>
      </w:r>
      <w:r w:rsidR="00F7249B" w:rsidRPr="007C69A6">
        <w:t xml:space="preserve"> adapted for use as a web survey </w:t>
      </w:r>
      <w:r w:rsidRPr="007C69A6">
        <w:t xml:space="preserve">to obtain the information </w:t>
      </w:r>
      <w:r w:rsidR="000F4E09" w:rsidRPr="007C69A6">
        <w:t xml:space="preserve">needed </w:t>
      </w:r>
      <w:r w:rsidR="00CC3F89" w:rsidRPr="007C69A6">
        <w:t>for</w:t>
      </w:r>
      <w:r w:rsidRPr="007C69A6">
        <w:t xml:space="preserve"> the </w:t>
      </w:r>
      <w:r w:rsidRPr="007C69A6">
        <w:rPr>
          <w:i/>
        </w:rPr>
        <w:t>School Foodservice Indirect Cost Study</w:t>
      </w:r>
      <w:r w:rsidR="00CC3F89" w:rsidRPr="007C69A6">
        <w:rPr>
          <w:i/>
        </w:rPr>
        <w:t xml:space="preserve">. </w:t>
      </w:r>
      <w:r w:rsidR="000F4E09" w:rsidRPr="007C69A6">
        <w:t>S</w:t>
      </w:r>
      <w:r w:rsidRPr="007C69A6">
        <w:t>ome research questions at the</w:t>
      </w:r>
      <w:r w:rsidR="00601D62" w:rsidRPr="007C69A6">
        <w:t xml:space="preserve"> SFA/school</w:t>
      </w:r>
      <w:r w:rsidRPr="007C69A6">
        <w:t xml:space="preserve"> district levels can be answered by either the SFA director or the school district business manager. For example, in larger SFAs both the SFA director and the school district business manager </w:t>
      </w:r>
      <w:r w:rsidR="000F4E09" w:rsidRPr="007C69A6">
        <w:t xml:space="preserve">are </w:t>
      </w:r>
      <w:r w:rsidR="003921E3" w:rsidRPr="007C69A6">
        <w:t>both likely to be involved with business matters</w:t>
      </w:r>
      <w:r w:rsidR="00622052" w:rsidRPr="007C69A6">
        <w:t xml:space="preserve"> and </w:t>
      </w:r>
      <w:r w:rsidRPr="007C69A6">
        <w:t xml:space="preserve">know if the district has an indirect cost rate that is applied to school food service and whether or not any of the indirect costs that are attributable to foodservice are actually recovered by the school district. In smaller SFAs, the SFA director may be primarily responsible for supervising meal production, and might have little, if anything, to do with the business aspects of the SFA. In such districts, the school district business manager is the </w:t>
      </w:r>
      <w:r w:rsidRPr="007C69A6">
        <w:rPr>
          <w:i/>
        </w:rPr>
        <w:t>de facto</w:t>
      </w:r>
      <w:r w:rsidRPr="007C69A6">
        <w:t xml:space="preserve"> SFA director for purposes of gathering information about food service indirect costs. The school district business manager will be able to answer questions regarding the district’s indirect cost rate as well as whether foodservice is charged for any indirect costs and if such charges are recovered by the school district, while the SFA director may or may not be able to answer questions related to foodservice indirect costs. Therefore, the study will obtain most of the information regarding foodservice indirect costs from the school district business manager web survey. </w:t>
      </w:r>
      <w:r w:rsidR="00CC3F89" w:rsidRPr="007C69A6">
        <w:t xml:space="preserve">However, the study will </w:t>
      </w:r>
      <w:r w:rsidR="00D5521E">
        <w:t>include</w:t>
      </w:r>
      <w:r w:rsidR="00CC3F89" w:rsidRPr="007C69A6">
        <w:t xml:space="preserve"> a</w:t>
      </w:r>
      <w:r w:rsidRPr="007C69A6">
        <w:t xml:space="preserve"> brief </w:t>
      </w:r>
      <w:r w:rsidR="00CC3F89" w:rsidRPr="007C69A6">
        <w:t xml:space="preserve">web </w:t>
      </w:r>
      <w:r w:rsidRPr="007C69A6">
        <w:t xml:space="preserve">survey </w:t>
      </w:r>
      <w:r w:rsidR="00CC3F89" w:rsidRPr="007C69A6">
        <w:t xml:space="preserve">of SFA directors to </w:t>
      </w:r>
      <w:r w:rsidRPr="007C69A6">
        <w:t>obtain information regarding the</w:t>
      </w:r>
      <w:r w:rsidR="00CC3F89" w:rsidRPr="007C69A6">
        <w:t xml:space="preserve">ir </w:t>
      </w:r>
      <w:r w:rsidRPr="007C69A6">
        <w:t>knowledge of indirect costs attributable to foodservice.</w:t>
      </w:r>
    </w:p>
    <w:p w:rsidR="004B1702" w:rsidRPr="007C69A6" w:rsidRDefault="004B1702" w:rsidP="00B24D86">
      <w:pPr>
        <w:spacing w:line="480" w:lineRule="auto"/>
        <w:ind w:firstLine="360"/>
      </w:pPr>
      <w:r w:rsidRPr="007C69A6">
        <w:t>Our experience in SLBCS-II indicates that in many school districts, the school district business managers responded to questions regarding the establishment of indirect cost rates by saying that they simply took what the State gave them and used it without modification. This will enable us to reduce the length of the school district business manager web survey (and reduce respondent burden) by asking respondents if they simply use what the State gives them. If a respondent says yes, then the web survey instrument will skip over detailed questions regarding the establishment of indirect cost rate. In these cases we will fill in the information obtained from the State for these school districts.</w:t>
      </w:r>
    </w:p>
    <w:p w:rsidR="002069B7" w:rsidRPr="007C69A6" w:rsidRDefault="00D5521E" w:rsidP="00B24D86">
      <w:pPr>
        <w:spacing w:line="480" w:lineRule="auto"/>
        <w:ind w:firstLine="360"/>
      </w:pPr>
      <w:r>
        <w:t xml:space="preserve">Copies of data collection instruments are in Appendix A and Appendix B. </w:t>
      </w:r>
      <w:r w:rsidR="002069B7" w:rsidRPr="007C69A6">
        <w:t xml:space="preserve">Notification letters to FNS Regional Offices about the study and recruitment letters </w:t>
      </w:r>
      <w:r w:rsidR="0009483E" w:rsidRPr="007C69A6">
        <w:t xml:space="preserve">for respondents are found is </w:t>
      </w:r>
      <w:r w:rsidR="0009483E" w:rsidRPr="00C269C3">
        <w:t>Appendix</w:t>
      </w:r>
      <w:r w:rsidR="0009483E" w:rsidRPr="007C69A6">
        <w:t xml:space="preserve"> </w:t>
      </w:r>
      <w:r w:rsidR="00373A24">
        <w:t>E</w:t>
      </w:r>
      <w:r w:rsidR="0009483E" w:rsidRPr="007C69A6">
        <w:t>.</w:t>
      </w:r>
    </w:p>
    <w:p w:rsidR="004B1702" w:rsidRPr="007C69A6" w:rsidRDefault="004B1702" w:rsidP="00367182">
      <w:pPr>
        <w:pStyle w:val="Heading2"/>
      </w:pPr>
      <w:bookmarkStart w:id="16" w:name="_Toc280179140"/>
      <w:bookmarkStart w:id="17" w:name="_Toc280179171"/>
      <w:bookmarkStart w:id="18" w:name="_Toc310342844"/>
      <w:bookmarkStart w:id="19" w:name="_Toc319071818"/>
      <w:r w:rsidRPr="007C69A6">
        <w:t>A.3</w:t>
      </w:r>
      <w:r w:rsidRPr="007C69A6">
        <w:tab/>
      </w:r>
      <w:bookmarkEnd w:id="16"/>
      <w:bookmarkEnd w:id="17"/>
      <w:bookmarkEnd w:id="18"/>
      <w:r w:rsidR="009C05F7" w:rsidRPr="007C69A6">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2069B7" w:rsidRPr="007C69A6">
        <w:t xml:space="preserve"> </w:t>
      </w:r>
      <w:r w:rsidR="009C05F7" w:rsidRPr="007C69A6">
        <w:t>Also, describe any consideration of using information technology to reduce burden.</w:t>
      </w:r>
      <w:bookmarkEnd w:id="19"/>
    </w:p>
    <w:p w:rsidR="004B1702" w:rsidRPr="007C69A6" w:rsidRDefault="007C3124" w:rsidP="00B24D86">
      <w:pPr>
        <w:spacing w:line="480" w:lineRule="auto"/>
        <w:ind w:firstLine="360"/>
      </w:pPr>
      <w:r>
        <w:t>FNS</w:t>
      </w:r>
      <w:r w:rsidR="004B1702" w:rsidRPr="007C69A6">
        <w:t xml:space="preserve"> strives to comply with the E-Government Act of 2002 (P</w:t>
      </w:r>
      <w:r w:rsidR="00CC3F89" w:rsidRPr="007C69A6">
        <w:t>. L.</w:t>
      </w:r>
      <w:r w:rsidR="004B1702" w:rsidRPr="007C69A6">
        <w:t xml:space="preserve"> 107-347</w:t>
      </w:r>
      <w:r w:rsidR="00F135EA" w:rsidRPr="007C69A6">
        <w:t>)</w:t>
      </w:r>
      <w:r w:rsidR="004B1702" w:rsidRPr="007C69A6">
        <w:t xml:space="preserve"> by using web-based surveys</w:t>
      </w:r>
      <w:r w:rsidR="00373A24">
        <w:t xml:space="preserve"> at www.opinionport.com</w:t>
      </w:r>
      <w:r w:rsidR="00373A24" w:rsidRPr="007C69A6">
        <w:t xml:space="preserve">. </w:t>
      </w:r>
      <w:r w:rsidR="00373A24">
        <w:t xml:space="preserve"> (Paper versions of the web-based surveys are in Appendix A and Appendix B.  </w:t>
      </w:r>
      <w:r w:rsidR="00373A24" w:rsidRPr="00373A24">
        <w:t>Screen shots of the initial page of the web surveys Appendix C and Appendix D</w:t>
      </w:r>
      <w:r w:rsidR="00373A24">
        <w:t xml:space="preserve">.) </w:t>
      </w:r>
      <w:r w:rsidR="00373A24" w:rsidRPr="00373A24">
        <w:t xml:space="preserve"> </w:t>
      </w:r>
      <w:r w:rsidR="004B1702" w:rsidRPr="007C69A6">
        <w:t>By including programmed skip patterns, consistency and data range checks, this technology reduces data entry error</w:t>
      </w:r>
      <w:r w:rsidR="00AC1A6F">
        <w:t>s</w:t>
      </w:r>
      <w:r w:rsidR="004B1702" w:rsidRPr="007C69A6">
        <w:t xml:space="preserve"> that often necessitate callbacks to respondents to clarify the responses recorded by an interviewer using pencil and paper to conduct an interview.</w:t>
      </w:r>
      <w:r w:rsidR="00FC6DE5">
        <w:t xml:space="preserve"> </w:t>
      </w:r>
      <w:r>
        <w:t xml:space="preserve">Out of </w:t>
      </w:r>
      <w:r w:rsidR="00FC6DE5">
        <w:t>4,098</w:t>
      </w:r>
      <w:r>
        <w:t xml:space="preserve"> respondents </w:t>
      </w:r>
      <w:r w:rsidR="001F719F">
        <w:t xml:space="preserve">it is estimated that </w:t>
      </w:r>
      <w:r w:rsidR="00FC6DE5">
        <w:t>3,996,</w:t>
      </w:r>
      <w:r>
        <w:t xml:space="preserve"> or</w:t>
      </w:r>
      <w:r w:rsidR="00CA1546">
        <w:t xml:space="preserve"> 97.5%</w:t>
      </w:r>
      <w:r w:rsidR="00FC6DE5">
        <w:t>,</w:t>
      </w:r>
      <w:r w:rsidR="001F719F">
        <w:t xml:space="preserve"> will respond</w:t>
      </w:r>
      <w:r>
        <w:t xml:space="preserve"> electronically.</w:t>
      </w:r>
    </w:p>
    <w:p w:rsidR="004B1702" w:rsidRPr="007C69A6" w:rsidRDefault="00124D87" w:rsidP="00367182">
      <w:pPr>
        <w:pStyle w:val="Heading2"/>
      </w:pPr>
      <w:bookmarkStart w:id="20" w:name="_Toc280179141"/>
      <w:bookmarkStart w:id="21" w:name="_Toc280179172"/>
      <w:bookmarkStart w:id="22" w:name="_Toc310342845"/>
      <w:bookmarkStart w:id="23" w:name="_Toc319071819"/>
      <w:proofErr w:type="gramStart"/>
      <w:r w:rsidRPr="007C69A6">
        <w:t>A.4</w:t>
      </w:r>
      <w:r w:rsidRPr="007C69A6">
        <w:tab/>
      </w:r>
      <w:bookmarkEnd w:id="20"/>
      <w:bookmarkEnd w:id="21"/>
      <w:bookmarkEnd w:id="22"/>
      <w:r w:rsidR="009C05F7" w:rsidRPr="007C69A6">
        <w:t>Describe efforts to identify duplication.</w:t>
      </w:r>
      <w:proofErr w:type="gramEnd"/>
      <w:r w:rsidR="002069B7" w:rsidRPr="007C69A6">
        <w:t xml:space="preserve"> </w:t>
      </w:r>
      <w:r w:rsidR="009C05F7" w:rsidRPr="007C69A6">
        <w:t>Show specifically why any similar information already available cannot be used or modified for use for the purpose described in item 2 above.</w:t>
      </w:r>
      <w:bookmarkEnd w:id="23"/>
    </w:p>
    <w:p w:rsidR="004B1702" w:rsidRPr="007C69A6" w:rsidRDefault="004B1702" w:rsidP="00B24D86">
      <w:pPr>
        <w:spacing w:line="480" w:lineRule="auto"/>
        <w:ind w:firstLine="360"/>
      </w:pPr>
      <w:r w:rsidRPr="007C69A6">
        <w:t>Efforts to identify duplication included a review of FNS reporting requirements, State administrative agency reporting requirements, and special studies by government and private agencies. It was concluded that no existing data sources provides the data needed to answer the study’s research questions.</w:t>
      </w:r>
    </w:p>
    <w:p w:rsidR="004B1702" w:rsidRPr="007C69A6" w:rsidRDefault="00124D87" w:rsidP="00367182">
      <w:pPr>
        <w:pStyle w:val="Heading2"/>
      </w:pPr>
      <w:bookmarkStart w:id="24" w:name="_Toc319071820"/>
      <w:r w:rsidRPr="007C69A6">
        <w:t>A.5</w:t>
      </w:r>
      <w:r w:rsidRPr="007C69A6">
        <w:tab/>
      </w:r>
      <w:r w:rsidR="009C05F7" w:rsidRPr="007C69A6">
        <w:t>If the collection of information impacts small businesses or other small entities, describe any methods used to minimize burden.</w:t>
      </w:r>
      <w:bookmarkEnd w:id="24"/>
    </w:p>
    <w:p w:rsidR="004B1702" w:rsidRPr="007C69A6" w:rsidRDefault="004B1702" w:rsidP="00582909">
      <w:pPr>
        <w:spacing w:line="480" w:lineRule="auto"/>
        <w:ind w:firstLine="360"/>
      </w:pPr>
      <w:r w:rsidRPr="007C69A6">
        <w:t>Information being requested or required has been held to the minimum required for the intended use. Although smaller school districts and SFAs are involved in this data collection effort, they deliver the same program benefits and perform the same function as any other school district or SFA</w:t>
      </w:r>
      <w:r w:rsidR="00567780" w:rsidRPr="007C69A6">
        <w:t xml:space="preserve">. </w:t>
      </w:r>
      <w:r w:rsidRPr="007C69A6">
        <w:t>Thus, they maintain the same kinds of information on file</w:t>
      </w:r>
      <w:r w:rsidR="00567780" w:rsidRPr="007C69A6">
        <w:t xml:space="preserve">. </w:t>
      </w:r>
      <w:r w:rsidR="00CC3F89" w:rsidRPr="007C69A6">
        <w:t>HHF</w:t>
      </w:r>
      <w:r w:rsidR="00021FAB" w:rsidRPr="007C69A6">
        <w:t>K</w:t>
      </w:r>
      <w:r w:rsidRPr="007C69A6">
        <w:t xml:space="preserve"> makes participation in </w:t>
      </w:r>
      <w:r w:rsidR="009D5028" w:rsidRPr="007C69A6">
        <w:t xml:space="preserve">evaluations of school nutrition programs such as </w:t>
      </w:r>
      <w:r w:rsidRPr="007C69A6">
        <w:t xml:space="preserve">the </w:t>
      </w:r>
      <w:r w:rsidRPr="007C69A6">
        <w:rPr>
          <w:i/>
        </w:rPr>
        <w:t xml:space="preserve">School Foodservice Indirect Cost Study </w:t>
      </w:r>
      <w:r w:rsidR="00FC6DE5">
        <w:t>mandatory.</w:t>
      </w:r>
      <w:r w:rsidR="007C3124">
        <w:t xml:space="preserve"> Out of </w:t>
      </w:r>
      <w:r w:rsidR="00FC6DE5">
        <w:t>4,098</w:t>
      </w:r>
      <w:r w:rsidR="007C3124">
        <w:t xml:space="preserve"> respondents in this study, </w:t>
      </w:r>
      <w:r w:rsidR="001F719F">
        <w:t xml:space="preserve">it is estimated that </w:t>
      </w:r>
      <w:r w:rsidR="00BC260A">
        <w:t>651</w:t>
      </w:r>
      <w:r w:rsidR="007C3124">
        <w:t xml:space="preserve"> are considered small entities.</w:t>
      </w:r>
    </w:p>
    <w:p w:rsidR="004B1702" w:rsidRPr="007C69A6" w:rsidRDefault="004B1702" w:rsidP="00367182">
      <w:pPr>
        <w:pStyle w:val="Heading2"/>
      </w:pPr>
      <w:bookmarkStart w:id="25" w:name="_Toc280179143"/>
      <w:bookmarkStart w:id="26" w:name="_Toc280179174"/>
      <w:bookmarkStart w:id="27" w:name="_Toc310342847"/>
      <w:bookmarkStart w:id="28" w:name="_Toc319071821"/>
      <w:r w:rsidRPr="007C69A6">
        <w:t>A.6</w:t>
      </w:r>
      <w:r w:rsidRPr="007C69A6">
        <w:tab/>
      </w:r>
      <w:bookmarkEnd w:id="25"/>
      <w:bookmarkEnd w:id="26"/>
      <w:bookmarkEnd w:id="27"/>
      <w:r w:rsidR="009C05F7" w:rsidRPr="007C69A6">
        <w:t>Describe the consequence to Federal program or policy activities if the collection is not conducted or is conducted less frequently, as well as any technical or legal obstacles to reducing burden.</w:t>
      </w:r>
      <w:bookmarkEnd w:id="28"/>
    </w:p>
    <w:p w:rsidR="004B1702" w:rsidRPr="007C69A6" w:rsidRDefault="004B1702" w:rsidP="00582909">
      <w:pPr>
        <w:spacing w:line="480" w:lineRule="auto"/>
        <w:ind w:firstLine="360"/>
      </w:pPr>
      <w:r w:rsidRPr="007C69A6">
        <w:t>The data collection for the proposed study will be conducted once in 2012. Without this effort, FNS will not have the data necessary to address the questions posed by Congress</w:t>
      </w:r>
      <w:r w:rsidR="00CC3F89" w:rsidRPr="007C69A6">
        <w:t>.</w:t>
      </w:r>
    </w:p>
    <w:p w:rsidR="001407A3" w:rsidRPr="007C69A6" w:rsidRDefault="004B1702" w:rsidP="00367182">
      <w:pPr>
        <w:pStyle w:val="Heading2"/>
        <w:spacing w:before="240" w:after="0"/>
        <w:ind w:left="719" w:hanging="719"/>
      </w:pPr>
      <w:bookmarkStart w:id="29" w:name="_Toc280179144"/>
      <w:bookmarkStart w:id="30" w:name="_Toc280179175"/>
      <w:bookmarkStart w:id="31" w:name="_Toc310342848"/>
      <w:bookmarkStart w:id="32" w:name="_Toc319071822"/>
      <w:r w:rsidRPr="007C69A6">
        <w:t>A.7</w:t>
      </w:r>
      <w:r w:rsidRPr="007C69A6">
        <w:tab/>
      </w:r>
      <w:bookmarkEnd w:id="29"/>
      <w:bookmarkEnd w:id="30"/>
      <w:bookmarkEnd w:id="31"/>
      <w:r w:rsidR="009C05F7" w:rsidRPr="007C69A6">
        <w:t>Explain any special circumstances that would cause an information collection to be conducted in a manner:</w:t>
      </w:r>
      <w:bookmarkEnd w:id="32"/>
    </w:p>
    <w:p w:rsidR="001407A3" w:rsidRPr="007C69A6" w:rsidRDefault="009C05F7" w:rsidP="00367182">
      <w:pPr>
        <w:pStyle w:val="Heading2"/>
        <w:keepNext w:val="0"/>
        <w:spacing w:after="120"/>
        <w:ind w:left="1080" w:hanging="361"/>
      </w:pPr>
      <w:bookmarkStart w:id="33" w:name="_Toc319071823"/>
      <w:r w:rsidRPr="007C69A6">
        <w:t>•</w:t>
      </w:r>
      <w:r w:rsidRPr="007C69A6">
        <w:tab/>
      </w:r>
      <w:proofErr w:type="gramStart"/>
      <w:r w:rsidRPr="007C69A6">
        <w:t>requiring</w:t>
      </w:r>
      <w:proofErr w:type="gramEnd"/>
      <w:r w:rsidRPr="007C69A6">
        <w:t xml:space="preserve"> respondents to report information to the agency more often than quarterly;</w:t>
      </w:r>
      <w:bookmarkEnd w:id="33"/>
    </w:p>
    <w:p w:rsidR="001407A3" w:rsidRPr="007C69A6" w:rsidRDefault="009C05F7" w:rsidP="00367182">
      <w:pPr>
        <w:pStyle w:val="Heading2"/>
        <w:keepNext w:val="0"/>
        <w:spacing w:after="120"/>
        <w:ind w:left="1080" w:hanging="361"/>
      </w:pPr>
      <w:bookmarkStart w:id="34" w:name="_Toc319071824"/>
      <w:r w:rsidRPr="007C69A6">
        <w:t>•</w:t>
      </w:r>
      <w:r w:rsidRPr="007C69A6">
        <w:tab/>
      </w:r>
      <w:proofErr w:type="gramStart"/>
      <w:r w:rsidRPr="007C69A6">
        <w:t>requiring</w:t>
      </w:r>
      <w:proofErr w:type="gramEnd"/>
      <w:r w:rsidRPr="007C69A6">
        <w:t xml:space="preserve"> respondents to prepare a written response to a collection of information in fewer than 30 days after receipt of it;</w:t>
      </w:r>
      <w:bookmarkEnd w:id="34"/>
    </w:p>
    <w:p w:rsidR="001407A3" w:rsidRPr="007C69A6" w:rsidRDefault="009C05F7" w:rsidP="00367182">
      <w:pPr>
        <w:pStyle w:val="Heading2"/>
        <w:keepNext w:val="0"/>
        <w:spacing w:after="120"/>
        <w:ind w:left="1080" w:hanging="361"/>
      </w:pPr>
      <w:bookmarkStart w:id="35" w:name="_Toc319071825"/>
      <w:r w:rsidRPr="007C69A6">
        <w:t>•</w:t>
      </w:r>
      <w:r w:rsidRPr="007C69A6">
        <w:tab/>
      </w:r>
      <w:proofErr w:type="gramStart"/>
      <w:r w:rsidRPr="007C69A6">
        <w:t>requiring</w:t>
      </w:r>
      <w:proofErr w:type="gramEnd"/>
      <w:r w:rsidRPr="007C69A6">
        <w:t xml:space="preserve"> respondents to submit more than an original and two copies of any document;</w:t>
      </w:r>
      <w:bookmarkEnd w:id="35"/>
    </w:p>
    <w:p w:rsidR="001407A3" w:rsidRPr="007C69A6" w:rsidRDefault="009C05F7" w:rsidP="00367182">
      <w:pPr>
        <w:pStyle w:val="Heading2"/>
        <w:keepNext w:val="0"/>
        <w:spacing w:after="120"/>
        <w:ind w:left="1080" w:hanging="361"/>
      </w:pPr>
      <w:bookmarkStart w:id="36" w:name="_Toc319071826"/>
      <w:r w:rsidRPr="007C69A6">
        <w:t>•</w:t>
      </w:r>
      <w:r w:rsidRPr="007C69A6">
        <w:tab/>
        <w:t>requiring respondents to retain records, other than health, medical, government contract, grant-in-aid, or tax records for more than three years;</w:t>
      </w:r>
      <w:bookmarkEnd w:id="36"/>
    </w:p>
    <w:p w:rsidR="001407A3" w:rsidRPr="007C69A6" w:rsidRDefault="009C05F7" w:rsidP="00367182">
      <w:pPr>
        <w:pStyle w:val="Heading2"/>
        <w:keepNext w:val="0"/>
        <w:spacing w:after="120"/>
        <w:ind w:left="1080" w:hanging="361"/>
      </w:pPr>
      <w:bookmarkStart w:id="37" w:name="_Toc319071827"/>
      <w:r w:rsidRPr="007C69A6">
        <w:t>•</w:t>
      </w:r>
      <w:r w:rsidRPr="007C69A6">
        <w:tab/>
      </w:r>
      <w:proofErr w:type="gramStart"/>
      <w:r w:rsidRPr="007C69A6">
        <w:t>in</w:t>
      </w:r>
      <w:proofErr w:type="gramEnd"/>
      <w:r w:rsidRPr="007C69A6">
        <w:t xml:space="preserve"> connection with a statistical surveys, that is not designed to produce valid and reliable results that can be generalized to the universe of study;</w:t>
      </w:r>
      <w:bookmarkEnd w:id="37"/>
    </w:p>
    <w:p w:rsidR="001407A3" w:rsidRPr="007C69A6" w:rsidRDefault="009C05F7" w:rsidP="00367182">
      <w:pPr>
        <w:pStyle w:val="Heading2"/>
        <w:keepNext w:val="0"/>
        <w:spacing w:after="120"/>
        <w:ind w:left="1080" w:hanging="361"/>
      </w:pPr>
      <w:bookmarkStart w:id="38" w:name="_Toc319071828"/>
      <w:r w:rsidRPr="007C69A6">
        <w:t>•</w:t>
      </w:r>
      <w:r w:rsidRPr="007C69A6">
        <w:tab/>
        <w:t>requiring the use of a statistical data classification that has not been reviewed and approved by OMB;</w:t>
      </w:r>
      <w:bookmarkEnd w:id="38"/>
    </w:p>
    <w:p w:rsidR="001407A3" w:rsidRPr="007C69A6" w:rsidRDefault="009C05F7" w:rsidP="00367182">
      <w:pPr>
        <w:pStyle w:val="Heading2"/>
        <w:keepNext w:val="0"/>
        <w:spacing w:after="120"/>
        <w:ind w:left="1080" w:hanging="361"/>
      </w:pPr>
      <w:bookmarkStart w:id="39" w:name="_Toc319071829"/>
      <w:r w:rsidRPr="007C69A6">
        <w:t>•</w:t>
      </w:r>
      <w:r w:rsidRPr="007C69A6">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bookmarkEnd w:id="39"/>
    </w:p>
    <w:p w:rsidR="004B1702" w:rsidRPr="007C69A6" w:rsidRDefault="009C05F7" w:rsidP="00367182">
      <w:pPr>
        <w:pStyle w:val="Heading2"/>
        <w:keepNext w:val="0"/>
        <w:ind w:left="1080" w:hanging="361"/>
      </w:pPr>
      <w:bookmarkStart w:id="40" w:name="_Toc319071830"/>
      <w:r w:rsidRPr="007C69A6">
        <w:t>•</w:t>
      </w:r>
      <w:r w:rsidRPr="007C69A6">
        <w:tab/>
        <w:t>requiring respondents to submit proprietary trade secret, or other confidential information unless the agency can demonstrate that it has instituted procedures to protect the information's confidentiality to the extent permitted by law.</w:t>
      </w:r>
      <w:bookmarkEnd w:id="40"/>
    </w:p>
    <w:p w:rsidR="004B1702" w:rsidRPr="007C69A6" w:rsidRDefault="004B1702" w:rsidP="00582909">
      <w:pPr>
        <w:spacing w:line="480" w:lineRule="auto"/>
        <w:ind w:firstLine="360"/>
      </w:pPr>
      <w:r w:rsidRPr="007C69A6">
        <w:t>There are no other special circumstances</w:t>
      </w:r>
      <w:r w:rsidR="00582909" w:rsidRPr="007C69A6">
        <w:t>;</w:t>
      </w:r>
      <w:r w:rsidR="00567780" w:rsidRPr="007C69A6">
        <w:t xml:space="preserve"> </w:t>
      </w:r>
      <w:r w:rsidRPr="007C69A6">
        <w:t xml:space="preserve">information </w:t>
      </w:r>
      <w:r w:rsidR="00582909" w:rsidRPr="007C69A6">
        <w:t xml:space="preserve">collection </w:t>
      </w:r>
      <w:r w:rsidRPr="007C69A6">
        <w:t>is consistent with 5 CFR 1320.5.</w:t>
      </w:r>
    </w:p>
    <w:p w:rsidR="004B1702" w:rsidRPr="007C69A6" w:rsidRDefault="004B1702" w:rsidP="00367182">
      <w:pPr>
        <w:pStyle w:val="Heading2"/>
      </w:pPr>
      <w:bookmarkStart w:id="41" w:name="_Toc280179145"/>
      <w:bookmarkStart w:id="42" w:name="_Toc280179176"/>
      <w:bookmarkStart w:id="43" w:name="_Toc310342849"/>
      <w:bookmarkStart w:id="44" w:name="_Toc319071831"/>
      <w:r w:rsidRPr="007C69A6">
        <w:t>A.8</w:t>
      </w:r>
      <w:r w:rsidRPr="007C69A6">
        <w:tab/>
      </w:r>
      <w:bookmarkEnd w:id="41"/>
      <w:bookmarkEnd w:id="42"/>
      <w:bookmarkEnd w:id="43"/>
      <w:r w:rsidR="001407A3" w:rsidRPr="007C69A6">
        <w:t>If applicable, provide a copy and identify the date and page number of publication in the Federal Register of the agency's notice, soliciting comments on the information collection prior to submission to OMB.</w:t>
      </w:r>
      <w:r w:rsidR="002069B7" w:rsidRPr="007C69A6">
        <w:t xml:space="preserve"> </w:t>
      </w:r>
      <w:r w:rsidR="001407A3" w:rsidRPr="007C69A6">
        <w:t>Summarize public comments received in response to that notice and describe actions taken by the agency in response to these comments.</w:t>
      </w:r>
      <w:r w:rsidR="002069B7" w:rsidRPr="007C69A6">
        <w:br/>
      </w:r>
      <w:r w:rsidR="002069B7" w:rsidRPr="007C69A6">
        <w:br/>
      </w:r>
      <w:r w:rsidR="001407A3" w:rsidRPr="007C69A6">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bookmarkEnd w:id="44"/>
    </w:p>
    <w:p w:rsidR="00AE3816" w:rsidRPr="007C69A6" w:rsidRDefault="004B1702" w:rsidP="00C306C4">
      <w:pPr>
        <w:spacing w:line="480" w:lineRule="auto"/>
        <w:ind w:firstLine="360"/>
      </w:pPr>
      <w:r w:rsidRPr="007C69A6">
        <w:t xml:space="preserve">An announcement was published in the </w:t>
      </w:r>
      <w:r w:rsidRPr="007C69A6">
        <w:rPr>
          <w:i/>
        </w:rPr>
        <w:t>Federal Register</w:t>
      </w:r>
      <w:r w:rsidRPr="007C69A6">
        <w:t xml:space="preserve"> </w:t>
      </w:r>
      <w:r w:rsidR="00582909" w:rsidRPr="007C69A6">
        <w:t xml:space="preserve">(Volume 76, No. 195, Page 62341) </w:t>
      </w:r>
      <w:r w:rsidRPr="007C69A6">
        <w:t xml:space="preserve">on </w:t>
      </w:r>
      <w:r w:rsidR="00883197" w:rsidRPr="007C69A6">
        <w:t>October 7, 2011</w:t>
      </w:r>
      <w:r w:rsidRPr="007C69A6">
        <w:t xml:space="preserve">, and specified a 60-day period for comment ending on </w:t>
      </w:r>
      <w:r w:rsidR="00883197" w:rsidRPr="007C69A6">
        <w:t>December 6</w:t>
      </w:r>
      <w:r w:rsidR="00932EE2" w:rsidRPr="007C69A6">
        <w:t>, 2011</w:t>
      </w:r>
      <w:r w:rsidRPr="007C69A6">
        <w:t xml:space="preserve">. Comments from consultants and public comments received by FNS </w:t>
      </w:r>
      <w:r w:rsidR="009D5028" w:rsidRPr="007C69A6">
        <w:t xml:space="preserve">and responses to those comments </w:t>
      </w:r>
      <w:r w:rsidRPr="007C69A6">
        <w:t xml:space="preserve">are included in Appendix </w:t>
      </w:r>
      <w:r w:rsidR="00373A24">
        <w:t>G</w:t>
      </w:r>
      <w:r w:rsidRPr="007C69A6">
        <w:t>.</w:t>
      </w:r>
    </w:p>
    <w:p w:rsidR="004B1702" w:rsidRPr="007C69A6" w:rsidRDefault="00DD737B" w:rsidP="002E5929">
      <w:pPr>
        <w:pStyle w:val="Heading3"/>
      </w:pPr>
      <w:bookmarkStart w:id="45" w:name="_Toc280179146"/>
      <w:bookmarkStart w:id="46" w:name="_Toc280179177"/>
      <w:bookmarkStart w:id="47" w:name="_Toc310342850"/>
      <w:bookmarkStart w:id="48" w:name="_Toc319071832"/>
      <w:r w:rsidRPr="007C69A6">
        <w:t xml:space="preserve">Consultations </w:t>
      </w:r>
      <w:r w:rsidR="007C69A6" w:rsidRPr="007C69A6">
        <w:t>outside</w:t>
      </w:r>
      <w:r w:rsidR="004B1702" w:rsidRPr="007C69A6">
        <w:t xml:space="preserve"> the Agency</w:t>
      </w:r>
      <w:bookmarkEnd w:id="45"/>
      <w:bookmarkEnd w:id="46"/>
      <w:bookmarkEnd w:id="47"/>
      <w:bookmarkEnd w:id="48"/>
    </w:p>
    <w:p w:rsidR="004B1702" w:rsidRPr="007C69A6" w:rsidRDefault="00830609" w:rsidP="00C306C4">
      <w:pPr>
        <w:spacing w:line="480" w:lineRule="auto"/>
        <w:ind w:firstLine="360"/>
      </w:pPr>
      <w:r w:rsidRPr="007C69A6">
        <w:t>T</w:t>
      </w:r>
      <w:r w:rsidR="00CA1546">
        <w:t xml:space="preserve">he </w:t>
      </w:r>
      <w:r w:rsidR="004B1702" w:rsidRPr="007C69A6">
        <w:t xml:space="preserve">contractor contributed to the design of the </w:t>
      </w:r>
      <w:r w:rsidR="004B1702" w:rsidRPr="007C69A6">
        <w:rPr>
          <w:i/>
        </w:rPr>
        <w:t>School Foodservice Indirect Cost Study</w:t>
      </w:r>
      <w:r w:rsidR="004B1702" w:rsidRPr="007C69A6">
        <w:t>, including survey instrument design</w:t>
      </w:r>
      <w:r w:rsidR="00567780" w:rsidRPr="007C69A6">
        <w:t xml:space="preserve">. </w:t>
      </w:r>
      <w:r w:rsidR="004B1702" w:rsidRPr="007C69A6">
        <w:t xml:space="preserve">Key </w:t>
      </w:r>
      <w:r w:rsidRPr="007C69A6">
        <w:t>contractor</w:t>
      </w:r>
      <w:r w:rsidR="004B1702" w:rsidRPr="007C69A6">
        <w:t xml:space="preserve"> staff included: Frederic Glantz (Principal Investigator), Christopher Logan (Sr. Technical Advisor), </w:t>
      </w:r>
      <w:proofErr w:type="gramStart"/>
      <w:r w:rsidR="004B1702" w:rsidRPr="007C69A6">
        <w:t>K.P</w:t>
      </w:r>
      <w:proofErr w:type="gramEnd"/>
      <w:r w:rsidR="004B1702" w:rsidRPr="007C69A6">
        <w:t>. Srinath (Sampling Statistician)</w:t>
      </w:r>
      <w:r w:rsidR="00567780" w:rsidRPr="007C69A6">
        <w:t xml:space="preserve">. </w:t>
      </w:r>
      <w:r w:rsidR="004B1702" w:rsidRPr="007C69A6">
        <w:t>In addition, FNS has consulted wit</w:t>
      </w:r>
      <w:r w:rsidR="005C492E" w:rsidRPr="007C69A6">
        <w:t>h the Chair of the Food and Nutrition Committee for the Association of School Business Officials, International, Barbara Nissel (external reviewer)</w:t>
      </w:r>
      <w:r w:rsidR="00CC3F89" w:rsidRPr="007C69A6">
        <w:t xml:space="preserve"> and </w:t>
      </w:r>
      <w:r w:rsidR="00AC1A6F">
        <w:t>Matt</w:t>
      </w:r>
      <w:r w:rsidR="00B70C3B">
        <w:t>hew</w:t>
      </w:r>
      <w:r w:rsidR="00AC1A6F">
        <w:t xml:space="preserve"> Gregg</w:t>
      </w:r>
      <w:r w:rsidR="00CC3F89" w:rsidRPr="007C69A6">
        <w:t xml:space="preserve"> (Statistician, National Agricultural Statistics Service)</w:t>
      </w:r>
      <w:r w:rsidR="00932EE2" w:rsidRPr="007C69A6">
        <w:t>.</w:t>
      </w:r>
    </w:p>
    <w:p w:rsidR="004B1702" w:rsidRPr="007C69A6" w:rsidRDefault="004B1702" w:rsidP="00367182">
      <w:pPr>
        <w:pStyle w:val="Heading2"/>
      </w:pPr>
      <w:bookmarkStart w:id="49" w:name="_Toc280179147"/>
      <w:bookmarkStart w:id="50" w:name="_Toc280179178"/>
      <w:bookmarkStart w:id="51" w:name="_Toc310342851"/>
      <w:bookmarkStart w:id="52" w:name="_Toc319071833"/>
      <w:r w:rsidRPr="007C69A6">
        <w:t xml:space="preserve">A.9 </w:t>
      </w:r>
      <w:r w:rsidRPr="007C69A6">
        <w:tab/>
      </w:r>
      <w:bookmarkEnd w:id="49"/>
      <w:bookmarkEnd w:id="50"/>
      <w:bookmarkEnd w:id="51"/>
      <w:r w:rsidR="001407A3" w:rsidRPr="007C69A6">
        <w:t>Explain any decision to provide any payment or gift to respondents, other than reenumeration of contractors or grantees.</w:t>
      </w:r>
      <w:bookmarkEnd w:id="52"/>
    </w:p>
    <w:p w:rsidR="004B1702" w:rsidRPr="007C69A6" w:rsidRDefault="004B1702" w:rsidP="00124D87">
      <w:pPr>
        <w:spacing w:line="480" w:lineRule="auto"/>
        <w:ind w:firstLine="360"/>
      </w:pPr>
      <w:r w:rsidRPr="007C69A6">
        <w:t xml:space="preserve">No </w:t>
      </w:r>
      <w:r w:rsidR="00E87675" w:rsidRPr="007C69A6">
        <w:t>p</w:t>
      </w:r>
      <w:r w:rsidRPr="007C69A6">
        <w:t>ayments will be made to respondents.</w:t>
      </w:r>
    </w:p>
    <w:p w:rsidR="004B1702" w:rsidRPr="007C69A6" w:rsidRDefault="004B1702" w:rsidP="00367182">
      <w:pPr>
        <w:pStyle w:val="Heading2"/>
      </w:pPr>
      <w:bookmarkStart w:id="53" w:name="_Toc280179148"/>
      <w:bookmarkStart w:id="54" w:name="_Toc280179179"/>
      <w:bookmarkStart w:id="55" w:name="_Toc310342852"/>
      <w:bookmarkStart w:id="56" w:name="_Toc319071834"/>
      <w:r w:rsidRPr="007C69A6">
        <w:t>A.10</w:t>
      </w:r>
      <w:bookmarkEnd w:id="53"/>
      <w:bookmarkEnd w:id="54"/>
      <w:bookmarkEnd w:id="55"/>
      <w:r w:rsidR="005B59A1" w:rsidRPr="007C69A6">
        <w:tab/>
      </w:r>
      <w:r w:rsidR="001407A3" w:rsidRPr="007C69A6">
        <w:t>Describe any assurance of confidentiality provided to respondents and the basis for the assurance in statute, regulation, or agency policy.</w:t>
      </w:r>
      <w:bookmarkEnd w:id="56"/>
    </w:p>
    <w:p w:rsidR="00601D62" w:rsidRPr="007C69A6" w:rsidRDefault="004B1702" w:rsidP="00124D87">
      <w:pPr>
        <w:spacing w:line="480" w:lineRule="auto"/>
        <w:ind w:firstLine="360"/>
      </w:pPr>
      <w:r w:rsidRPr="007C69A6">
        <w:t xml:space="preserve">The individuals </w:t>
      </w:r>
      <w:r w:rsidR="00601D62" w:rsidRPr="007C69A6">
        <w:t xml:space="preserve">at the SFA/school district level </w:t>
      </w:r>
      <w:r w:rsidRPr="007C69A6">
        <w:t xml:space="preserve">participating in this study will be assured that the information they provide will not be released in a form that identifies them. No identifying information will be attached to any reports or data supplied to USDA or any other researchers. </w:t>
      </w:r>
      <w:r w:rsidR="00601D62" w:rsidRPr="007C69A6">
        <w:t xml:space="preserve">For </w:t>
      </w:r>
      <w:r w:rsidR="00BB5ACD" w:rsidRPr="007C69A6">
        <w:t xml:space="preserve">data collected through the </w:t>
      </w:r>
      <w:r w:rsidR="00601D62" w:rsidRPr="007C69A6">
        <w:t xml:space="preserve">state-level surveys, </w:t>
      </w:r>
      <w:r w:rsidR="00BB5ACD" w:rsidRPr="007C69A6">
        <w:t>the State CN Director and the SEA Finance Officers are publicly known, but the individual respondents will not be identified by name.</w:t>
      </w:r>
    </w:p>
    <w:p w:rsidR="004B1702" w:rsidRPr="007C69A6" w:rsidRDefault="004B1702" w:rsidP="002E5929">
      <w:pPr>
        <w:pStyle w:val="Heading3"/>
      </w:pPr>
      <w:bookmarkStart w:id="57" w:name="_Toc310342853"/>
      <w:bookmarkStart w:id="58" w:name="_Toc319071835"/>
      <w:r w:rsidRPr="007C69A6">
        <w:t>Procedures to Ensure Confidentiality</w:t>
      </w:r>
      <w:bookmarkEnd w:id="57"/>
      <w:bookmarkEnd w:id="58"/>
    </w:p>
    <w:p w:rsidR="00124D87" w:rsidRPr="007C69A6" w:rsidRDefault="004B1702" w:rsidP="00830609">
      <w:pPr>
        <w:spacing w:line="480" w:lineRule="auto"/>
        <w:ind w:firstLine="360"/>
      </w:pPr>
      <w:r w:rsidRPr="007C69A6">
        <w:t>The contractor</w:t>
      </w:r>
      <w:r w:rsidR="00830609" w:rsidRPr="007C69A6">
        <w:t xml:space="preserve"> </w:t>
      </w:r>
      <w:r w:rsidRPr="007C69A6">
        <w:t xml:space="preserve">has extensive experience in data collection efforts requiring strict procedures for maintaining the </w:t>
      </w:r>
      <w:r w:rsidR="008B0B93">
        <w:t>privacy</w:t>
      </w:r>
      <w:r w:rsidRPr="008B0B93">
        <w:t>,</w:t>
      </w:r>
      <w:r w:rsidRPr="007C69A6">
        <w:t xml:space="preserve"> security, and integrity of data. The following data handling and reporting procedures will be employed to maintain the privacy of survey participants</w:t>
      </w:r>
      <w:r w:rsidR="00830609" w:rsidRPr="007C69A6">
        <w:t>.</w:t>
      </w:r>
      <w:r w:rsidR="002069B7" w:rsidRPr="007C69A6">
        <w:t xml:space="preserve"> </w:t>
      </w:r>
      <w:r w:rsidRPr="007C69A6">
        <w:t xml:space="preserve">All project </w:t>
      </w:r>
      <w:r w:rsidR="00E87675" w:rsidRPr="007C69A6">
        <w:t xml:space="preserve">staff </w:t>
      </w:r>
      <w:r w:rsidRPr="007C69A6">
        <w:t>will be required to sign a confidentiality and nondisclosure agreement</w:t>
      </w:r>
      <w:r w:rsidR="00373A24">
        <w:t xml:space="preserve"> (Appendix H)</w:t>
      </w:r>
      <w:r w:rsidR="00CA1546">
        <w:t>.</w:t>
      </w:r>
      <w:r w:rsidRPr="007C69A6">
        <w:t xml:space="preserve"> In this agreement, staff pledges to maintain the </w:t>
      </w:r>
      <w:r w:rsidR="008B0B93">
        <w:t>privacy</w:t>
      </w:r>
      <w:r w:rsidRPr="007C69A6">
        <w:t xml:space="preserve"> of all information collected from the respondents and will not disclose it to anyone other than authorized representatives of the </w:t>
      </w:r>
      <w:r w:rsidR="00BB5ACD" w:rsidRPr="007C69A6">
        <w:t>study</w:t>
      </w:r>
      <w:r w:rsidRPr="007C69A6">
        <w:t>. Issues of</w:t>
      </w:r>
      <w:r w:rsidR="008B0B93">
        <w:t xml:space="preserve"> privacy will be</w:t>
      </w:r>
      <w:r w:rsidRPr="007C69A6">
        <w:t xml:space="preserve"> discussed during training sessions provided to staff working in the project.</w:t>
      </w:r>
    </w:p>
    <w:p w:rsidR="004B1702" w:rsidRPr="007C69A6" w:rsidRDefault="00BB5ACD" w:rsidP="002E5929">
      <w:pPr>
        <w:pStyle w:val="Bullets"/>
      </w:pPr>
      <w:r w:rsidRPr="007C69A6">
        <w:t>I</w:t>
      </w:r>
      <w:r w:rsidR="004B1702" w:rsidRPr="007C69A6">
        <w:t>n the central office, documents containing respondent information are kept in locked file cabinets. At the close of the study, such documents are shredded.</w:t>
      </w:r>
    </w:p>
    <w:p w:rsidR="004B1702" w:rsidRPr="007C69A6" w:rsidRDefault="004B1702" w:rsidP="002E5929">
      <w:pPr>
        <w:pStyle w:val="Bullets"/>
      </w:pPr>
      <w:r w:rsidRPr="007C69A6">
        <w:t>Data gathered from the interviews will be combined into master respondent files. Immediately after each file is created, it will be assigned a unique identification number. Any identifying information will be removed from the survey data and replaced with the identification number.</w:t>
      </w:r>
    </w:p>
    <w:p w:rsidR="00AE3816" w:rsidRPr="007C69A6" w:rsidRDefault="004B1702" w:rsidP="002E5929">
      <w:pPr>
        <w:pStyle w:val="Bullets"/>
      </w:pPr>
      <w:r w:rsidRPr="007C69A6">
        <w:t xml:space="preserve">Any respondent-identifying information will be contained only in a master list to be created and protected in secure storage, to which only a limited number of project staff pledged to maintain </w:t>
      </w:r>
      <w:r w:rsidR="008B0B93">
        <w:t>privacy w</w:t>
      </w:r>
      <w:r w:rsidRPr="007C69A6">
        <w:t>ill have access.</w:t>
      </w:r>
    </w:p>
    <w:p w:rsidR="00AE3816" w:rsidRPr="007C69A6" w:rsidRDefault="00830609" w:rsidP="00FA2CB1">
      <w:pPr>
        <w:spacing w:line="480" w:lineRule="auto"/>
        <w:ind w:firstLine="360"/>
      </w:pPr>
      <w:r w:rsidRPr="007C69A6">
        <w:t>There are also</w:t>
      </w:r>
      <w:r w:rsidR="004B1702" w:rsidRPr="007C69A6">
        <w:t xml:space="preserve"> a number of procedures to ensure the</w:t>
      </w:r>
      <w:r w:rsidR="008B0B93">
        <w:t xml:space="preserve"> privacy </w:t>
      </w:r>
      <w:r w:rsidR="004B1702" w:rsidRPr="007C69A6">
        <w:t>and security of electronic data during the data collection and processing period. Standard backup procedures will be implemented for the central office computer system to protect project data from user error or disk or other system failure. Backups and inactive files will be maintained on tape or compact disks. The system servers will be maintained inside a secure locked area accessible only to authorized systems personnel. Files will be accessible only by authorized personnel who have been provided project logons and passwords. Access to any of the study files (active, backup, or inactive) on any network multi-user system will be under the central control of the database manager. The database manager will ensure that the appropriate network partitions used in the study are appropriately protected (by password access, decryption, or protected or hidden directory partitioning) from access by unauthorized users. All organizations using data on study participants will maintain security, virus, and firewall technology to monitor for any unauthorized access attempts and any other security breaches.</w:t>
      </w:r>
    </w:p>
    <w:p w:rsidR="004B1702" w:rsidRPr="007C69A6" w:rsidRDefault="004B1702" w:rsidP="002E5929">
      <w:pPr>
        <w:pStyle w:val="Heading3"/>
      </w:pPr>
      <w:bookmarkStart w:id="59" w:name="_Toc280179149"/>
      <w:bookmarkStart w:id="60" w:name="_Toc280179180"/>
      <w:bookmarkStart w:id="61" w:name="_Toc310342854"/>
      <w:bookmarkStart w:id="62" w:name="_Toc319071836"/>
      <w:r w:rsidRPr="007C69A6">
        <w:t>Institutional Review Board</w:t>
      </w:r>
      <w:bookmarkEnd w:id="59"/>
      <w:bookmarkEnd w:id="60"/>
      <w:bookmarkEnd w:id="61"/>
      <w:bookmarkEnd w:id="62"/>
      <w:r w:rsidR="002069B7" w:rsidRPr="007C69A6">
        <w:t xml:space="preserve"> </w:t>
      </w:r>
    </w:p>
    <w:p w:rsidR="004B1702" w:rsidRPr="007C69A6" w:rsidRDefault="004B1702" w:rsidP="0060597B">
      <w:pPr>
        <w:spacing w:line="480" w:lineRule="auto"/>
        <w:ind w:firstLine="360"/>
      </w:pPr>
      <w:r w:rsidRPr="007C69A6">
        <w:t>Abt Associates maintains its own Institutional Review Board (IRB), which conducts prospective reviews of proposed research and monitors continuing research for the purpose of safeguarding research participants’ rights and welfare</w:t>
      </w:r>
      <w:r w:rsidR="00567780" w:rsidRPr="007C69A6">
        <w:t xml:space="preserve">. </w:t>
      </w:r>
      <w:r w:rsidRPr="007C69A6">
        <w:t xml:space="preserve">All </w:t>
      </w:r>
      <w:r w:rsidR="00830609" w:rsidRPr="007C69A6">
        <w:t xml:space="preserve">Abt </w:t>
      </w:r>
      <w:r w:rsidRPr="007C69A6">
        <w:t>research involving interactions or interventions with human subjects is within the purview of the Abt IRB</w:t>
      </w:r>
      <w:r w:rsidR="00830609" w:rsidRPr="007C69A6">
        <w:t>, which is</w:t>
      </w:r>
      <w:r w:rsidRPr="007C69A6">
        <w:t xml:space="preserve"> responsible for ensuring that the organization’s research:</w:t>
      </w:r>
      <w:r w:rsidR="002069B7" w:rsidRPr="007C69A6">
        <w:t xml:space="preserve"> </w:t>
      </w:r>
      <w:r w:rsidRPr="007C69A6">
        <w:t>1) meets only the highest ethical standards; and 2) receives fair, timely, and collegial review by an external panel</w:t>
      </w:r>
      <w:r w:rsidR="00567780" w:rsidRPr="007C69A6">
        <w:t xml:space="preserve">. </w:t>
      </w:r>
      <w:r w:rsidRPr="007C69A6">
        <w:t>Abt Associates’ IRB currently holds a federal-wide assurance (FWA) of compliance from the U.S. Department of Health and Human Services’ Office of Human Research Protections (DHHS/OHRP)</w:t>
      </w:r>
      <w:r w:rsidR="00567780" w:rsidRPr="007C69A6">
        <w:t xml:space="preserve">. </w:t>
      </w:r>
      <w:r w:rsidRPr="007C69A6">
        <w:t>The FWA covers all federally supported or conducted research involving human subjects</w:t>
      </w:r>
      <w:r w:rsidR="00567780" w:rsidRPr="007C69A6">
        <w:t xml:space="preserve">. </w:t>
      </w:r>
      <w:r w:rsidR="005C492E" w:rsidRPr="007C69A6">
        <w:t>S</w:t>
      </w:r>
      <w:r w:rsidRPr="007C69A6">
        <w:t xml:space="preserve">tudy materials </w:t>
      </w:r>
      <w:r w:rsidR="00A70707" w:rsidRPr="007C69A6">
        <w:t xml:space="preserve">and protocols </w:t>
      </w:r>
      <w:r w:rsidRPr="007C69A6">
        <w:t xml:space="preserve">for the </w:t>
      </w:r>
      <w:r w:rsidRPr="007C69A6">
        <w:rPr>
          <w:i/>
        </w:rPr>
        <w:t xml:space="preserve">School Foodservice Indirect Cost Study </w:t>
      </w:r>
      <w:r w:rsidR="005C492E" w:rsidRPr="007C69A6">
        <w:t>have</w:t>
      </w:r>
      <w:r w:rsidRPr="007C69A6">
        <w:t xml:space="preserve"> be</w:t>
      </w:r>
      <w:r w:rsidR="005C492E" w:rsidRPr="007C69A6">
        <w:t>en</w:t>
      </w:r>
      <w:r w:rsidRPr="007C69A6">
        <w:t xml:space="preserve"> submitted to </w:t>
      </w:r>
      <w:r w:rsidR="005C492E" w:rsidRPr="007C69A6">
        <w:t xml:space="preserve">Abt’s IRB, and because the study does not involve human subjects (any student data will be used at the aggregate level, and interviews/surveys with professional stakeholders will elicit descriptive, non-sensitive information), the determination was made </w:t>
      </w:r>
      <w:r w:rsidR="00A70707" w:rsidRPr="007C69A6">
        <w:t xml:space="preserve">that the study will be exempt from IRB review. </w:t>
      </w:r>
      <w:r w:rsidR="00373A24">
        <w:t>(</w:t>
      </w:r>
      <w:r w:rsidR="00B40DB9">
        <w:t xml:space="preserve">The exemption determination is in </w:t>
      </w:r>
      <w:r w:rsidR="00373A24">
        <w:t>Appendix I</w:t>
      </w:r>
      <w:r w:rsidR="00B40DB9">
        <w:t>.</w:t>
      </w:r>
      <w:r w:rsidR="00373A24">
        <w:t xml:space="preserve">) </w:t>
      </w:r>
      <w:r w:rsidR="00A70707" w:rsidRPr="007C69A6">
        <w:t>Should there be any changes made to the study protocols to involve human subjects,</w:t>
      </w:r>
      <w:r w:rsidR="00DE5D97" w:rsidRPr="007C69A6">
        <w:t xml:space="preserve"> all study materials and instruments for the </w:t>
      </w:r>
      <w:r w:rsidR="00DE5D97" w:rsidRPr="007C69A6">
        <w:rPr>
          <w:i/>
        </w:rPr>
        <w:t xml:space="preserve">School Foodservice Indirect Cost Study </w:t>
      </w:r>
      <w:r w:rsidR="00DE5D97" w:rsidRPr="007C69A6">
        <w:t xml:space="preserve">will be submitted to </w:t>
      </w:r>
      <w:r w:rsidR="00BC1050" w:rsidRPr="007C69A6">
        <w:t xml:space="preserve">Abt’s IRB for </w:t>
      </w:r>
      <w:r w:rsidR="00DE5D97" w:rsidRPr="007C69A6">
        <w:t>review</w:t>
      </w:r>
      <w:r w:rsidR="005B362B">
        <w:t>.</w:t>
      </w:r>
    </w:p>
    <w:p w:rsidR="004B1702" w:rsidRPr="007C69A6" w:rsidRDefault="004B1702" w:rsidP="00367182">
      <w:pPr>
        <w:pStyle w:val="Heading2"/>
      </w:pPr>
      <w:bookmarkStart w:id="63" w:name="_Toc280179150"/>
      <w:bookmarkStart w:id="64" w:name="_Toc280179181"/>
      <w:bookmarkStart w:id="65" w:name="_Toc310342855"/>
      <w:bookmarkStart w:id="66" w:name="_Toc319071837"/>
      <w:r w:rsidRPr="007C69A6">
        <w:t>A.11</w:t>
      </w:r>
      <w:r w:rsidRPr="007C69A6">
        <w:tab/>
      </w:r>
      <w:bookmarkEnd w:id="63"/>
      <w:bookmarkEnd w:id="64"/>
      <w:bookmarkEnd w:id="65"/>
      <w:r w:rsidR="001407A3" w:rsidRPr="007C69A6">
        <w:t>Provide additional justification for any questions of a sensitive nature, such as sexual behavior or attitudes, religious beliefs, and other matters that are commonly considered private.</w:t>
      </w:r>
      <w:r w:rsidR="002069B7" w:rsidRPr="007C69A6">
        <w:t xml:space="preserve"> </w:t>
      </w:r>
      <w:r w:rsidR="001407A3" w:rsidRPr="007C69A6">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66"/>
    </w:p>
    <w:p w:rsidR="004B1702" w:rsidRPr="007C69A6" w:rsidRDefault="004B1702" w:rsidP="000851E0">
      <w:pPr>
        <w:spacing w:line="480" w:lineRule="auto"/>
        <w:ind w:firstLine="360"/>
      </w:pPr>
      <w:r w:rsidRPr="007C69A6">
        <w:t>There are no personally sensitive questions contained in the data collection instruments</w:t>
      </w:r>
      <w:r w:rsidR="001A7ADC" w:rsidRPr="007C69A6">
        <w:t>.</w:t>
      </w:r>
    </w:p>
    <w:p w:rsidR="001407A3" w:rsidRPr="007C69A6" w:rsidRDefault="004B1702" w:rsidP="00367182">
      <w:pPr>
        <w:pStyle w:val="Heading2"/>
        <w:spacing w:after="0"/>
      </w:pPr>
      <w:bookmarkStart w:id="67" w:name="_Toc280179151"/>
      <w:bookmarkStart w:id="68" w:name="_Toc280179182"/>
      <w:bookmarkStart w:id="69" w:name="_Toc310342856"/>
      <w:bookmarkStart w:id="70" w:name="_Toc319071838"/>
      <w:r w:rsidRPr="007C69A6">
        <w:t>A.12</w:t>
      </w:r>
      <w:r w:rsidRPr="007C69A6">
        <w:tab/>
      </w:r>
      <w:bookmarkEnd w:id="67"/>
      <w:bookmarkEnd w:id="68"/>
      <w:bookmarkEnd w:id="69"/>
      <w:r w:rsidR="001407A3" w:rsidRPr="007C69A6">
        <w:t>Provide estimates of the hour burden of the collection of information.</w:t>
      </w:r>
      <w:r w:rsidR="002069B7" w:rsidRPr="007C69A6">
        <w:t xml:space="preserve"> </w:t>
      </w:r>
      <w:r w:rsidR="001407A3" w:rsidRPr="007C69A6">
        <w:t>The statement should:</w:t>
      </w:r>
      <w:bookmarkEnd w:id="70"/>
    </w:p>
    <w:p w:rsidR="001407A3" w:rsidRPr="007C69A6" w:rsidRDefault="001407A3" w:rsidP="00367182">
      <w:pPr>
        <w:pStyle w:val="Heading2"/>
        <w:spacing w:after="120"/>
        <w:ind w:left="1080" w:hanging="360"/>
      </w:pPr>
      <w:bookmarkStart w:id="71" w:name="_Toc319071839"/>
      <w:r w:rsidRPr="007C69A6">
        <w:t>•</w:t>
      </w:r>
      <w:r w:rsidRPr="007C69A6">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bookmarkEnd w:id="71"/>
    </w:p>
    <w:p w:rsidR="004B1702" w:rsidRPr="007C69A6" w:rsidRDefault="001407A3" w:rsidP="00367182">
      <w:pPr>
        <w:pStyle w:val="Heading2"/>
        <w:ind w:left="1080" w:hanging="360"/>
      </w:pPr>
      <w:bookmarkStart w:id="72" w:name="_Toc319071840"/>
      <w:r w:rsidRPr="007C69A6">
        <w:t>•</w:t>
      </w:r>
      <w:r w:rsidRPr="007C69A6">
        <w:tab/>
        <w:t>Provide estimates of annualized cost to respondents for the hour burdens for collections of information, identifying and using appropriate wage rate categories.</w:t>
      </w:r>
      <w:bookmarkEnd w:id="72"/>
    </w:p>
    <w:p w:rsidR="00E87675" w:rsidRPr="007C69A6" w:rsidRDefault="00F45A23" w:rsidP="00FA2CB1">
      <w:pPr>
        <w:spacing w:line="480" w:lineRule="auto"/>
        <w:ind w:firstLine="360"/>
        <w:rPr>
          <w:b/>
        </w:rPr>
      </w:pPr>
      <w:r>
        <w:t xml:space="preserve">The affected </w:t>
      </w:r>
      <w:proofErr w:type="gramStart"/>
      <w:r>
        <w:t>public are</w:t>
      </w:r>
      <w:proofErr w:type="gramEnd"/>
      <w:r>
        <w:t xml:space="preserve"> State and Local Governments, including state agencies and local education agencies, and Not-for-profit institutions, including private schools. </w:t>
      </w:r>
      <w:r w:rsidR="004B1702" w:rsidRPr="007C69A6">
        <w:t>Exhibit A.1 shows sample sizes, estimated burden, and estimated annualized cost of respondent burden for each part of the data c</w:t>
      </w:r>
      <w:r w:rsidR="001A7ADC" w:rsidRPr="007C69A6">
        <w:t xml:space="preserve">ollection and for </w:t>
      </w:r>
      <w:r w:rsidR="00A815A4" w:rsidRPr="007C69A6">
        <w:t>all data collection.</w:t>
      </w:r>
      <w:r w:rsidR="002069B7" w:rsidRPr="007C69A6">
        <w:t xml:space="preserve"> </w:t>
      </w:r>
      <w:r w:rsidR="0012128E" w:rsidRPr="007C69A6">
        <w:t xml:space="preserve">Estimated response times are based on response times for similar instruments used in the </w:t>
      </w:r>
      <w:r w:rsidR="0012128E" w:rsidRPr="007C69A6">
        <w:rPr>
          <w:i/>
        </w:rPr>
        <w:t>School Lunch and Breakfast Cost Study-II</w:t>
      </w:r>
      <w:r w:rsidR="0012128E" w:rsidRPr="007C69A6">
        <w:t>.</w:t>
      </w:r>
      <w:r w:rsidR="002069B7" w:rsidRPr="007C69A6">
        <w:t xml:space="preserve"> </w:t>
      </w:r>
      <w:r w:rsidR="00502A8D" w:rsidRPr="007C69A6">
        <w:t>Annualized cost of respondent burden is the product of each type of respondent’s annual burden and average hourly wage rate.</w:t>
      </w:r>
      <w:r w:rsidR="002069B7" w:rsidRPr="007C69A6">
        <w:t xml:space="preserve"> </w:t>
      </w:r>
      <w:r w:rsidR="00A815A4" w:rsidRPr="007C69A6">
        <w:t>As shown in the Exhibit, the total estimated burden across all data collection components is 3,</w:t>
      </w:r>
      <w:r>
        <w:t>159</w:t>
      </w:r>
      <w:r w:rsidR="00FA596C" w:rsidRPr="007C69A6">
        <w:t xml:space="preserve"> </w:t>
      </w:r>
      <w:r w:rsidR="00A815A4" w:rsidRPr="007C69A6">
        <w:t>hours.</w:t>
      </w:r>
    </w:p>
    <w:p w:rsidR="00C541FE" w:rsidRDefault="00C541FE" w:rsidP="00B70C3B">
      <w:pPr>
        <w:pStyle w:val="Caption"/>
        <w:widowControl/>
      </w:pPr>
      <w:r w:rsidRPr="007C69A6">
        <w:t>Exhibit A.1.</w:t>
      </w:r>
      <w:r w:rsidRPr="007C69A6">
        <w:tab/>
        <w:t>Estimates of Respondent Burden</w:t>
      </w:r>
      <w:r w:rsidR="00B70C3B">
        <w:t xml:space="preserve"> and Annualized Cost to R</w:t>
      </w:r>
      <w:r>
        <w:t>espondents</w:t>
      </w:r>
    </w:p>
    <w:tbl>
      <w:tblPr>
        <w:tblW w:w="9560" w:type="dxa"/>
        <w:tblInd w:w="9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43" w:type="dxa"/>
          <w:right w:w="43" w:type="dxa"/>
        </w:tblCellMar>
        <w:tblLook w:val="04A0"/>
      </w:tblPr>
      <w:tblGrid>
        <w:gridCol w:w="579"/>
        <w:gridCol w:w="271"/>
        <w:gridCol w:w="1080"/>
        <w:gridCol w:w="1038"/>
        <w:gridCol w:w="906"/>
        <w:gridCol w:w="1129"/>
        <w:gridCol w:w="949"/>
        <w:gridCol w:w="950"/>
        <w:gridCol w:w="878"/>
        <w:gridCol w:w="720"/>
        <w:gridCol w:w="1060"/>
      </w:tblGrid>
      <w:tr w:rsidR="00CF6909" w:rsidRPr="00875B20" w:rsidTr="00CF6909">
        <w:tc>
          <w:tcPr>
            <w:tcW w:w="850" w:type="dxa"/>
            <w:gridSpan w:val="2"/>
            <w:shd w:val="clear" w:color="auto" w:fill="C3C6A8"/>
            <w:vAlign w:val="bottom"/>
            <w:hideMark/>
          </w:tcPr>
          <w:p w:rsidR="00CF6909" w:rsidRPr="00875B20" w:rsidRDefault="00CF6909" w:rsidP="00B70C3B">
            <w:pPr>
              <w:keepNext/>
              <w:keepLines/>
              <w:spacing w:line="240" w:lineRule="auto"/>
              <w:jc w:val="center"/>
              <w:rPr>
                <w:rFonts w:ascii="Arial Narrow" w:hAnsi="Arial Narrow" w:cs="Arial"/>
                <w:b/>
                <w:bCs/>
                <w:color w:val="000000"/>
                <w:sz w:val="16"/>
                <w:szCs w:val="16"/>
              </w:rPr>
            </w:pPr>
            <w:r w:rsidRPr="00875B20">
              <w:rPr>
                <w:rFonts w:ascii="Arial Narrow" w:hAnsi="Arial Narrow" w:cs="Arial"/>
                <w:b/>
                <w:bCs/>
                <w:color w:val="000000"/>
                <w:sz w:val="16"/>
                <w:szCs w:val="16"/>
              </w:rPr>
              <w:t>Affected Public</w:t>
            </w:r>
          </w:p>
        </w:tc>
        <w:tc>
          <w:tcPr>
            <w:tcW w:w="2118" w:type="dxa"/>
            <w:gridSpan w:val="2"/>
            <w:tcBorders>
              <w:bottom w:val="single" w:sz="4" w:space="0" w:color="7F7F7F" w:themeColor="text1" w:themeTint="80"/>
            </w:tcBorders>
            <w:shd w:val="clear" w:color="auto" w:fill="C3C6A8"/>
            <w:vAlign w:val="bottom"/>
            <w:hideMark/>
          </w:tcPr>
          <w:p w:rsidR="00CF6909" w:rsidRPr="00875B20" w:rsidRDefault="00CF6909" w:rsidP="00B70C3B">
            <w:pPr>
              <w:keepNext/>
              <w:keepLines/>
              <w:spacing w:line="240" w:lineRule="auto"/>
              <w:jc w:val="center"/>
              <w:rPr>
                <w:rFonts w:ascii="Arial Narrow" w:hAnsi="Arial Narrow" w:cs="Arial"/>
                <w:b/>
                <w:bCs/>
                <w:color w:val="000000"/>
                <w:sz w:val="16"/>
                <w:szCs w:val="16"/>
              </w:rPr>
            </w:pPr>
            <w:r w:rsidRPr="00875B20">
              <w:rPr>
                <w:rFonts w:ascii="Arial Narrow" w:hAnsi="Arial Narrow" w:cs="Arial"/>
                <w:b/>
                <w:bCs/>
                <w:color w:val="000000"/>
                <w:sz w:val="16"/>
                <w:szCs w:val="16"/>
              </w:rPr>
              <w:t>Data Collection Activity</w:t>
            </w:r>
          </w:p>
        </w:tc>
        <w:tc>
          <w:tcPr>
            <w:tcW w:w="906" w:type="dxa"/>
            <w:tcBorders>
              <w:bottom w:val="single" w:sz="4" w:space="0" w:color="7F7F7F" w:themeColor="text1" w:themeTint="80"/>
            </w:tcBorders>
            <w:shd w:val="clear" w:color="auto" w:fill="C3C6A8"/>
            <w:vAlign w:val="bottom"/>
            <w:hideMark/>
          </w:tcPr>
          <w:p w:rsidR="00CF6909" w:rsidRPr="00875B20" w:rsidRDefault="00CF6909" w:rsidP="00B70C3B">
            <w:pPr>
              <w:keepNext/>
              <w:keepLines/>
              <w:spacing w:line="240" w:lineRule="auto"/>
              <w:jc w:val="center"/>
              <w:rPr>
                <w:rFonts w:ascii="Arial Narrow" w:hAnsi="Arial Narrow" w:cs="Arial"/>
                <w:b/>
                <w:bCs/>
                <w:color w:val="000000"/>
                <w:sz w:val="16"/>
                <w:szCs w:val="16"/>
              </w:rPr>
            </w:pPr>
            <w:r w:rsidRPr="00875B20">
              <w:rPr>
                <w:rFonts w:ascii="Arial Narrow" w:hAnsi="Arial Narrow" w:cs="Arial"/>
                <w:b/>
                <w:bCs/>
                <w:color w:val="000000"/>
                <w:sz w:val="16"/>
                <w:szCs w:val="16"/>
              </w:rPr>
              <w:t>Respondents</w:t>
            </w:r>
          </w:p>
        </w:tc>
        <w:tc>
          <w:tcPr>
            <w:tcW w:w="1129" w:type="dxa"/>
            <w:tcBorders>
              <w:bottom w:val="single" w:sz="4" w:space="0" w:color="7F7F7F" w:themeColor="text1" w:themeTint="80"/>
            </w:tcBorders>
            <w:shd w:val="clear" w:color="auto" w:fill="C3C6A8"/>
            <w:vAlign w:val="bottom"/>
            <w:hideMark/>
          </w:tcPr>
          <w:p w:rsidR="00CF6909" w:rsidRPr="00875B20" w:rsidRDefault="00CF6909" w:rsidP="00B70C3B">
            <w:pPr>
              <w:keepNext/>
              <w:keepLines/>
              <w:spacing w:line="240" w:lineRule="auto"/>
              <w:jc w:val="center"/>
              <w:rPr>
                <w:rFonts w:ascii="Arial Narrow" w:hAnsi="Arial Narrow" w:cs="Arial"/>
                <w:b/>
                <w:bCs/>
                <w:color w:val="000000"/>
                <w:sz w:val="16"/>
                <w:szCs w:val="16"/>
              </w:rPr>
            </w:pPr>
            <w:r w:rsidRPr="00875B20">
              <w:rPr>
                <w:rFonts w:ascii="Arial Narrow" w:hAnsi="Arial Narrow" w:cs="Arial"/>
                <w:b/>
                <w:bCs/>
                <w:color w:val="000000"/>
                <w:sz w:val="16"/>
                <w:szCs w:val="16"/>
              </w:rPr>
              <w:t>Estimated Number of Respondents</w:t>
            </w:r>
          </w:p>
        </w:tc>
        <w:tc>
          <w:tcPr>
            <w:tcW w:w="949" w:type="dxa"/>
            <w:tcBorders>
              <w:bottom w:val="single" w:sz="4" w:space="0" w:color="7F7F7F" w:themeColor="text1" w:themeTint="80"/>
            </w:tcBorders>
            <w:shd w:val="clear" w:color="auto" w:fill="C3C6A8"/>
            <w:vAlign w:val="bottom"/>
            <w:hideMark/>
          </w:tcPr>
          <w:p w:rsidR="00CF6909" w:rsidRPr="00875B20" w:rsidRDefault="00CF6909" w:rsidP="00B70C3B">
            <w:pPr>
              <w:keepNext/>
              <w:keepLines/>
              <w:spacing w:line="240" w:lineRule="auto"/>
              <w:jc w:val="center"/>
              <w:rPr>
                <w:rFonts w:ascii="Arial Narrow" w:hAnsi="Arial Narrow" w:cs="Arial"/>
                <w:b/>
                <w:bCs/>
                <w:color w:val="000000"/>
                <w:sz w:val="16"/>
                <w:szCs w:val="16"/>
              </w:rPr>
            </w:pPr>
            <w:r w:rsidRPr="00875B20">
              <w:rPr>
                <w:rFonts w:ascii="Arial Narrow" w:hAnsi="Arial Narrow" w:cs="Arial"/>
                <w:b/>
                <w:bCs/>
                <w:color w:val="000000"/>
                <w:sz w:val="16"/>
                <w:szCs w:val="16"/>
              </w:rPr>
              <w:t>Frequency of Response</w:t>
            </w:r>
          </w:p>
        </w:tc>
        <w:tc>
          <w:tcPr>
            <w:tcW w:w="950" w:type="dxa"/>
            <w:tcBorders>
              <w:bottom w:val="single" w:sz="4" w:space="0" w:color="7F7F7F" w:themeColor="text1" w:themeTint="80"/>
            </w:tcBorders>
            <w:shd w:val="clear" w:color="auto" w:fill="C3C6A8"/>
            <w:vAlign w:val="bottom"/>
            <w:hideMark/>
          </w:tcPr>
          <w:p w:rsidR="00CF6909" w:rsidRPr="00875B20" w:rsidRDefault="00CF6909" w:rsidP="00B70C3B">
            <w:pPr>
              <w:keepNext/>
              <w:keepLines/>
              <w:spacing w:line="240" w:lineRule="auto"/>
              <w:jc w:val="center"/>
              <w:rPr>
                <w:rFonts w:ascii="Arial Narrow" w:hAnsi="Arial Narrow" w:cs="Arial"/>
                <w:b/>
                <w:bCs/>
                <w:color w:val="000000"/>
                <w:sz w:val="16"/>
                <w:szCs w:val="16"/>
              </w:rPr>
            </w:pPr>
            <w:r w:rsidRPr="00875B20">
              <w:rPr>
                <w:rFonts w:ascii="Arial Narrow" w:hAnsi="Arial Narrow" w:cs="Arial"/>
                <w:b/>
                <w:bCs/>
                <w:color w:val="000000"/>
                <w:sz w:val="16"/>
                <w:szCs w:val="16"/>
              </w:rPr>
              <w:t>Total Annual Responses</w:t>
            </w:r>
          </w:p>
        </w:tc>
        <w:tc>
          <w:tcPr>
            <w:tcW w:w="878" w:type="dxa"/>
            <w:tcBorders>
              <w:bottom w:val="single" w:sz="4" w:space="0" w:color="7F7F7F" w:themeColor="text1" w:themeTint="80"/>
            </w:tcBorders>
            <w:shd w:val="clear" w:color="auto" w:fill="C3C6A8"/>
            <w:vAlign w:val="bottom"/>
            <w:hideMark/>
          </w:tcPr>
          <w:p w:rsidR="00CF6909" w:rsidRPr="00875B20" w:rsidRDefault="00CF6909" w:rsidP="00B70C3B">
            <w:pPr>
              <w:keepNext/>
              <w:keepLines/>
              <w:spacing w:line="240" w:lineRule="auto"/>
              <w:jc w:val="center"/>
              <w:rPr>
                <w:rFonts w:ascii="Arial Narrow" w:hAnsi="Arial Narrow" w:cs="Arial"/>
                <w:b/>
                <w:bCs/>
                <w:color w:val="000000"/>
                <w:sz w:val="16"/>
                <w:szCs w:val="16"/>
              </w:rPr>
            </w:pPr>
            <w:r w:rsidRPr="00875B20">
              <w:rPr>
                <w:rFonts w:ascii="Arial Narrow" w:hAnsi="Arial Narrow" w:cs="Arial"/>
                <w:b/>
                <w:bCs/>
                <w:color w:val="000000"/>
                <w:sz w:val="16"/>
                <w:szCs w:val="16"/>
              </w:rPr>
              <w:t>Average Burden Hours per Response</w:t>
            </w:r>
          </w:p>
        </w:tc>
        <w:tc>
          <w:tcPr>
            <w:tcW w:w="720" w:type="dxa"/>
            <w:tcBorders>
              <w:bottom w:val="single" w:sz="4" w:space="0" w:color="7F7F7F" w:themeColor="text1" w:themeTint="80"/>
            </w:tcBorders>
            <w:shd w:val="clear" w:color="auto" w:fill="C3C6A8"/>
            <w:vAlign w:val="bottom"/>
            <w:hideMark/>
          </w:tcPr>
          <w:p w:rsidR="00CF6909" w:rsidRPr="00875B20" w:rsidRDefault="00CF6909" w:rsidP="00B70C3B">
            <w:pPr>
              <w:keepNext/>
              <w:keepLines/>
              <w:spacing w:line="240" w:lineRule="auto"/>
              <w:jc w:val="center"/>
              <w:rPr>
                <w:rFonts w:ascii="Arial Narrow" w:hAnsi="Arial Narrow" w:cs="Arial"/>
                <w:b/>
                <w:bCs/>
                <w:color w:val="000000"/>
                <w:sz w:val="16"/>
                <w:szCs w:val="16"/>
              </w:rPr>
            </w:pPr>
            <w:r w:rsidRPr="00875B20">
              <w:rPr>
                <w:rFonts w:ascii="Arial Narrow" w:hAnsi="Arial Narrow" w:cs="Arial"/>
                <w:b/>
                <w:bCs/>
                <w:color w:val="000000"/>
                <w:sz w:val="16"/>
                <w:szCs w:val="16"/>
              </w:rPr>
              <w:t>Total Annual Burden Estimate (hours)</w:t>
            </w:r>
          </w:p>
        </w:tc>
        <w:tc>
          <w:tcPr>
            <w:tcW w:w="1060" w:type="dxa"/>
            <w:tcBorders>
              <w:bottom w:val="single" w:sz="4" w:space="0" w:color="7F7F7F" w:themeColor="text1" w:themeTint="80"/>
            </w:tcBorders>
            <w:shd w:val="clear" w:color="auto" w:fill="C3C6A8"/>
            <w:vAlign w:val="bottom"/>
            <w:hideMark/>
          </w:tcPr>
          <w:p w:rsidR="00CF6909" w:rsidRPr="00875B20" w:rsidRDefault="00CF6909" w:rsidP="00B70C3B">
            <w:pPr>
              <w:keepNext/>
              <w:keepLines/>
              <w:spacing w:line="240" w:lineRule="auto"/>
              <w:jc w:val="center"/>
              <w:rPr>
                <w:rFonts w:ascii="Arial Narrow" w:hAnsi="Arial Narrow" w:cs="Arial"/>
                <w:b/>
                <w:bCs/>
                <w:color w:val="000000"/>
                <w:sz w:val="16"/>
                <w:szCs w:val="16"/>
              </w:rPr>
            </w:pPr>
            <w:r w:rsidRPr="00875B20">
              <w:rPr>
                <w:rFonts w:ascii="Arial Narrow" w:hAnsi="Arial Narrow" w:cs="Arial"/>
                <w:b/>
                <w:bCs/>
                <w:color w:val="000000"/>
                <w:sz w:val="16"/>
                <w:szCs w:val="16"/>
              </w:rPr>
              <w:t>Total</w:t>
            </w:r>
            <w:r w:rsidRPr="00875B20">
              <w:rPr>
                <w:rFonts w:ascii="Arial Narrow" w:hAnsi="Arial Narrow" w:cs="Arial"/>
                <w:b/>
                <w:bCs/>
                <w:color w:val="000000"/>
                <w:sz w:val="16"/>
                <w:szCs w:val="16"/>
              </w:rPr>
              <w:br/>
              <w:t>Annualized Cost of Respondent Burden</w:t>
            </w:r>
          </w:p>
        </w:tc>
      </w:tr>
      <w:tr w:rsidR="00CF6909" w:rsidRPr="00875B20" w:rsidTr="00CF6909">
        <w:tc>
          <w:tcPr>
            <w:tcW w:w="579" w:type="dxa"/>
            <w:vMerge w:val="restart"/>
            <w:shd w:val="clear" w:color="auto" w:fill="auto"/>
            <w:textDirection w:val="btLr"/>
            <w:vAlign w:val="center"/>
            <w:hideMark/>
          </w:tcPr>
          <w:p w:rsidR="00CF6909" w:rsidRPr="00875B20" w:rsidRDefault="00CF6909" w:rsidP="00B70C3B">
            <w:pPr>
              <w:keepNext/>
              <w:keepLines/>
              <w:spacing w:line="240" w:lineRule="auto"/>
              <w:jc w:val="center"/>
              <w:rPr>
                <w:rFonts w:ascii="Arial Narrow" w:hAnsi="Arial Narrow" w:cs="Arial"/>
                <w:b/>
                <w:bCs/>
                <w:color w:val="000000"/>
                <w:sz w:val="16"/>
                <w:szCs w:val="16"/>
              </w:rPr>
            </w:pPr>
            <w:r w:rsidRPr="00875B20">
              <w:rPr>
                <w:rFonts w:ascii="Arial Narrow" w:hAnsi="Arial Narrow" w:cs="Arial"/>
                <w:b/>
                <w:bCs/>
                <w:color w:val="000000"/>
                <w:sz w:val="16"/>
                <w:szCs w:val="16"/>
              </w:rPr>
              <w:t>State, Local, and Tribal Governments</w:t>
            </w:r>
          </w:p>
        </w:tc>
        <w:tc>
          <w:tcPr>
            <w:tcW w:w="271" w:type="dxa"/>
            <w:vMerge w:val="restart"/>
            <w:shd w:val="clear" w:color="auto" w:fill="auto"/>
            <w:noWrap/>
            <w:textDirection w:val="btLr"/>
            <w:vAlign w:val="center"/>
            <w:hideMark/>
          </w:tcPr>
          <w:p w:rsidR="00CF6909" w:rsidRPr="00875B20" w:rsidRDefault="00CF6909" w:rsidP="00B70C3B">
            <w:pPr>
              <w:keepNext/>
              <w:keepLines/>
              <w:spacing w:line="240" w:lineRule="auto"/>
              <w:jc w:val="center"/>
              <w:rPr>
                <w:rFonts w:ascii="Arial Narrow" w:hAnsi="Arial Narrow" w:cs="Arial"/>
                <w:b/>
                <w:bCs/>
                <w:color w:val="000000"/>
                <w:sz w:val="16"/>
                <w:szCs w:val="16"/>
              </w:rPr>
            </w:pPr>
            <w:r w:rsidRPr="00875B20">
              <w:rPr>
                <w:rFonts w:ascii="Arial Narrow" w:hAnsi="Arial Narrow" w:cs="Arial"/>
                <w:b/>
                <w:bCs/>
                <w:color w:val="000000"/>
                <w:sz w:val="16"/>
                <w:szCs w:val="16"/>
              </w:rPr>
              <w:t>State</w:t>
            </w:r>
          </w:p>
        </w:tc>
        <w:tc>
          <w:tcPr>
            <w:tcW w:w="2118" w:type="dxa"/>
            <w:gridSpan w:val="2"/>
            <w:tcBorders>
              <w:bottom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Telephone Survey</w:t>
            </w:r>
          </w:p>
        </w:tc>
        <w:tc>
          <w:tcPr>
            <w:tcW w:w="906" w:type="dxa"/>
            <w:tcBorders>
              <w:bottom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State Agency Child Nutrition Directors</w:t>
            </w:r>
          </w:p>
        </w:tc>
        <w:tc>
          <w:tcPr>
            <w:tcW w:w="1129" w:type="dxa"/>
            <w:tcBorders>
              <w:bottom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51 </w:t>
            </w:r>
          </w:p>
        </w:tc>
        <w:tc>
          <w:tcPr>
            <w:tcW w:w="949" w:type="dxa"/>
            <w:tcBorders>
              <w:bottom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 </w:t>
            </w:r>
          </w:p>
        </w:tc>
        <w:tc>
          <w:tcPr>
            <w:tcW w:w="950" w:type="dxa"/>
            <w:tcBorders>
              <w:bottom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51 </w:t>
            </w:r>
          </w:p>
        </w:tc>
        <w:tc>
          <w:tcPr>
            <w:tcW w:w="878" w:type="dxa"/>
            <w:tcBorders>
              <w:bottom w:val="single" w:sz="12" w:space="0" w:color="7F7F7F" w:themeColor="text1" w:themeTint="80"/>
            </w:tcBorders>
            <w:shd w:val="clear" w:color="auto" w:fill="auto"/>
            <w:vAlign w:val="center"/>
            <w:hideMark/>
          </w:tcPr>
          <w:p w:rsidR="00CF6909" w:rsidRPr="00875B20" w:rsidRDefault="001F719F" w:rsidP="00B70C3B">
            <w:pPr>
              <w:keepNext/>
              <w:keepLines/>
              <w:spacing w:line="240" w:lineRule="auto"/>
              <w:jc w:val="center"/>
              <w:rPr>
                <w:rFonts w:ascii="Arial Narrow" w:hAnsi="Arial Narrow" w:cs="Arial"/>
                <w:color w:val="000000"/>
                <w:sz w:val="16"/>
                <w:szCs w:val="16"/>
              </w:rPr>
            </w:pPr>
            <w:r>
              <w:rPr>
                <w:rFonts w:ascii="Arial Narrow" w:hAnsi="Arial Narrow" w:cs="Arial"/>
                <w:color w:val="000000"/>
                <w:sz w:val="16"/>
                <w:szCs w:val="16"/>
              </w:rPr>
              <w:t>0.5</w:t>
            </w:r>
            <w:r w:rsidR="00CF6909" w:rsidRPr="00875B20">
              <w:rPr>
                <w:rFonts w:ascii="Arial Narrow" w:hAnsi="Arial Narrow" w:cs="Arial"/>
                <w:color w:val="000000"/>
                <w:sz w:val="16"/>
                <w:szCs w:val="16"/>
              </w:rPr>
              <w:t xml:space="preserve"> </w:t>
            </w:r>
          </w:p>
        </w:tc>
        <w:tc>
          <w:tcPr>
            <w:tcW w:w="720" w:type="dxa"/>
            <w:tcBorders>
              <w:bottom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26 </w:t>
            </w:r>
          </w:p>
        </w:tc>
        <w:tc>
          <w:tcPr>
            <w:tcW w:w="1060" w:type="dxa"/>
            <w:tcBorders>
              <w:bottom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right"/>
              <w:rPr>
                <w:rFonts w:ascii="Arial Narrow" w:hAnsi="Arial Narrow" w:cs="Arial"/>
                <w:color w:val="000000"/>
                <w:sz w:val="16"/>
                <w:szCs w:val="16"/>
              </w:rPr>
            </w:pPr>
            <w:r w:rsidRPr="00875B20">
              <w:rPr>
                <w:rFonts w:ascii="Arial Narrow" w:hAnsi="Arial Narrow" w:cs="Arial"/>
                <w:color w:val="000000"/>
                <w:sz w:val="16"/>
                <w:szCs w:val="16"/>
              </w:rPr>
              <w:t>$1,004</w:t>
            </w:r>
          </w:p>
        </w:tc>
      </w:tr>
      <w:tr w:rsidR="00CF6909" w:rsidRPr="00875B20" w:rsidTr="00CF6909">
        <w:tc>
          <w:tcPr>
            <w:tcW w:w="579" w:type="dxa"/>
            <w:vMerge/>
            <w:vAlign w:val="center"/>
            <w:hideMark/>
          </w:tcPr>
          <w:p w:rsidR="00CF6909" w:rsidRPr="00875B20" w:rsidRDefault="00CF6909" w:rsidP="00B70C3B">
            <w:pPr>
              <w:keepNext/>
              <w:keepLines/>
              <w:spacing w:line="240" w:lineRule="auto"/>
              <w:rPr>
                <w:rFonts w:ascii="Arial Narrow" w:hAnsi="Arial Narrow" w:cs="Arial"/>
                <w:b/>
                <w:bCs/>
                <w:color w:val="000000"/>
                <w:sz w:val="16"/>
                <w:szCs w:val="16"/>
              </w:rPr>
            </w:pPr>
          </w:p>
        </w:tc>
        <w:tc>
          <w:tcPr>
            <w:tcW w:w="271" w:type="dxa"/>
            <w:vMerge/>
            <w:tcBorders>
              <w:top w:val="single" w:sz="12" w:space="0" w:color="7F7F7F" w:themeColor="text1" w:themeTint="80"/>
            </w:tcBorders>
            <w:vAlign w:val="center"/>
            <w:hideMark/>
          </w:tcPr>
          <w:p w:rsidR="00CF6909" w:rsidRPr="00875B20" w:rsidRDefault="00CF6909" w:rsidP="00B70C3B">
            <w:pPr>
              <w:keepNext/>
              <w:keepLines/>
              <w:spacing w:line="240" w:lineRule="auto"/>
              <w:rPr>
                <w:rFonts w:ascii="Arial Narrow" w:hAnsi="Arial Narrow" w:cs="Arial"/>
                <w:b/>
                <w:bCs/>
                <w:color w:val="000000"/>
                <w:sz w:val="16"/>
                <w:szCs w:val="16"/>
              </w:rPr>
            </w:pPr>
          </w:p>
        </w:tc>
        <w:tc>
          <w:tcPr>
            <w:tcW w:w="2118" w:type="dxa"/>
            <w:gridSpan w:val="2"/>
            <w:tcBorders>
              <w:top w:val="single" w:sz="12" w:space="0" w:color="7F7F7F" w:themeColor="text1" w:themeTint="80"/>
              <w:bottom w:val="single" w:sz="4"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Telephone Survey</w:t>
            </w:r>
          </w:p>
        </w:tc>
        <w:tc>
          <w:tcPr>
            <w:tcW w:w="906" w:type="dxa"/>
            <w:tcBorders>
              <w:top w:val="single" w:sz="12" w:space="0" w:color="7F7F7F" w:themeColor="text1" w:themeTint="80"/>
              <w:bottom w:val="single" w:sz="4"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State Education Agency Financial Officers</w:t>
            </w:r>
          </w:p>
        </w:tc>
        <w:tc>
          <w:tcPr>
            <w:tcW w:w="1129" w:type="dxa"/>
            <w:tcBorders>
              <w:top w:val="single" w:sz="12" w:space="0" w:color="7F7F7F" w:themeColor="text1" w:themeTint="80"/>
              <w:bottom w:val="single" w:sz="4"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51 </w:t>
            </w:r>
          </w:p>
        </w:tc>
        <w:tc>
          <w:tcPr>
            <w:tcW w:w="949" w:type="dxa"/>
            <w:tcBorders>
              <w:top w:val="single" w:sz="12" w:space="0" w:color="7F7F7F" w:themeColor="text1" w:themeTint="80"/>
              <w:bottom w:val="single" w:sz="4"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 </w:t>
            </w:r>
          </w:p>
        </w:tc>
        <w:tc>
          <w:tcPr>
            <w:tcW w:w="950" w:type="dxa"/>
            <w:tcBorders>
              <w:top w:val="single" w:sz="12" w:space="0" w:color="7F7F7F" w:themeColor="text1" w:themeTint="80"/>
              <w:bottom w:val="single" w:sz="4"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51 </w:t>
            </w:r>
          </w:p>
        </w:tc>
        <w:tc>
          <w:tcPr>
            <w:tcW w:w="878" w:type="dxa"/>
            <w:tcBorders>
              <w:top w:val="single" w:sz="12" w:space="0" w:color="7F7F7F" w:themeColor="text1" w:themeTint="80"/>
              <w:bottom w:val="single" w:sz="4"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 </w:t>
            </w:r>
          </w:p>
        </w:tc>
        <w:tc>
          <w:tcPr>
            <w:tcW w:w="720" w:type="dxa"/>
            <w:tcBorders>
              <w:top w:val="single" w:sz="12" w:space="0" w:color="7F7F7F" w:themeColor="text1" w:themeTint="80"/>
              <w:bottom w:val="single" w:sz="4"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51 </w:t>
            </w:r>
          </w:p>
        </w:tc>
        <w:tc>
          <w:tcPr>
            <w:tcW w:w="1060" w:type="dxa"/>
            <w:tcBorders>
              <w:top w:val="single" w:sz="12" w:space="0" w:color="7F7F7F" w:themeColor="text1" w:themeTint="80"/>
              <w:bottom w:val="single" w:sz="4" w:space="0" w:color="7F7F7F" w:themeColor="text1" w:themeTint="80"/>
            </w:tcBorders>
            <w:shd w:val="clear" w:color="auto" w:fill="auto"/>
            <w:vAlign w:val="center"/>
            <w:hideMark/>
          </w:tcPr>
          <w:p w:rsidR="00CF6909" w:rsidRPr="00875B20" w:rsidRDefault="00CF6909" w:rsidP="00B70C3B">
            <w:pPr>
              <w:keepNext/>
              <w:keepLines/>
              <w:spacing w:line="240" w:lineRule="auto"/>
              <w:jc w:val="right"/>
              <w:rPr>
                <w:rFonts w:ascii="Arial Narrow" w:hAnsi="Arial Narrow" w:cs="Arial"/>
                <w:color w:val="000000"/>
                <w:sz w:val="16"/>
                <w:szCs w:val="16"/>
              </w:rPr>
            </w:pPr>
            <w:r w:rsidRPr="00875B20">
              <w:rPr>
                <w:rFonts w:ascii="Arial Narrow" w:hAnsi="Arial Narrow" w:cs="Arial"/>
                <w:color w:val="000000"/>
                <w:sz w:val="16"/>
                <w:szCs w:val="16"/>
              </w:rPr>
              <w:t>$2,109</w:t>
            </w:r>
          </w:p>
        </w:tc>
      </w:tr>
      <w:tr w:rsidR="00CF6909" w:rsidRPr="00875B20" w:rsidTr="00CF6909">
        <w:tc>
          <w:tcPr>
            <w:tcW w:w="579" w:type="dxa"/>
            <w:vMerge/>
            <w:vAlign w:val="center"/>
            <w:hideMark/>
          </w:tcPr>
          <w:p w:rsidR="00CF6909" w:rsidRPr="00875B20" w:rsidRDefault="00CF6909" w:rsidP="00B70C3B">
            <w:pPr>
              <w:keepNext/>
              <w:keepLines/>
              <w:spacing w:line="240" w:lineRule="auto"/>
              <w:rPr>
                <w:rFonts w:ascii="Arial Narrow" w:hAnsi="Arial Narrow" w:cs="Arial"/>
                <w:b/>
                <w:bCs/>
                <w:color w:val="000000"/>
                <w:sz w:val="16"/>
                <w:szCs w:val="16"/>
              </w:rPr>
            </w:pPr>
          </w:p>
        </w:tc>
        <w:tc>
          <w:tcPr>
            <w:tcW w:w="271" w:type="dxa"/>
            <w:vMerge w:val="restart"/>
            <w:shd w:val="clear" w:color="auto" w:fill="auto"/>
            <w:noWrap/>
            <w:textDirection w:val="btLr"/>
            <w:vAlign w:val="center"/>
            <w:hideMark/>
          </w:tcPr>
          <w:p w:rsidR="00CF6909" w:rsidRPr="00875B20" w:rsidRDefault="00CF6909" w:rsidP="00B70C3B">
            <w:pPr>
              <w:keepNext/>
              <w:keepLines/>
              <w:spacing w:line="240" w:lineRule="auto"/>
              <w:jc w:val="center"/>
              <w:rPr>
                <w:rFonts w:ascii="Arial Narrow" w:hAnsi="Arial Narrow" w:cs="Arial"/>
                <w:b/>
                <w:bCs/>
                <w:color w:val="000000"/>
                <w:sz w:val="16"/>
                <w:szCs w:val="16"/>
              </w:rPr>
            </w:pPr>
            <w:r w:rsidRPr="00875B20">
              <w:rPr>
                <w:rFonts w:ascii="Arial Narrow" w:hAnsi="Arial Narrow" w:cs="Arial"/>
                <w:b/>
                <w:bCs/>
                <w:color w:val="000000"/>
                <w:sz w:val="16"/>
                <w:szCs w:val="16"/>
              </w:rPr>
              <w:t>Local &amp; Tribal</w:t>
            </w:r>
          </w:p>
        </w:tc>
        <w:tc>
          <w:tcPr>
            <w:tcW w:w="1080" w:type="dxa"/>
            <w:vMerge w:val="restart"/>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Self Administered Web / Telephone Survey</w:t>
            </w:r>
          </w:p>
        </w:tc>
        <w:tc>
          <w:tcPr>
            <w:tcW w:w="1038"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Pretest</w:t>
            </w:r>
          </w:p>
        </w:tc>
        <w:tc>
          <w:tcPr>
            <w:tcW w:w="906" w:type="dxa"/>
            <w:vMerge w:val="restart"/>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Public LEA School Food Authority Directors</w:t>
            </w:r>
          </w:p>
        </w:tc>
        <w:tc>
          <w:tcPr>
            <w:tcW w:w="1129"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7 </w:t>
            </w:r>
          </w:p>
        </w:tc>
        <w:tc>
          <w:tcPr>
            <w:tcW w:w="949"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 </w:t>
            </w:r>
          </w:p>
        </w:tc>
        <w:tc>
          <w:tcPr>
            <w:tcW w:w="950"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7 </w:t>
            </w:r>
          </w:p>
        </w:tc>
        <w:tc>
          <w:tcPr>
            <w:tcW w:w="878"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0.5 </w:t>
            </w:r>
          </w:p>
        </w:tc>
        <w:tc>
          <w:tcPr>
            <w:tcW w:w="720"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3.5 </w:t>
            </w:r>
          </w:p>
        </w:tc>
        <w:tc>
          <w:tcPr>
            <w:tcW w:w="1060" w:type="dxa"/>
            <w:shd w:val="clear" w:color="auto" w:fill="auto"/>
            <w:vAlign w:val="center"/>
            <w:hideMark/>
          </w:tcPr>
          <w:p w:rsidR="00CF6909" w:rsidRPr="00875B20" w:rsidRDefault="00CF6909" w:rsidP="00B70C3B">
            <w:pPr>
              <w:keepNext/>
              <w:keepLines/>
              <w:spacing w:line="240" w:lineRule="auto"/>
              <w:jc w:val="right"/>
              <w:rPr>
                <w:rFonts w:ascii="Arial Narrow" w:hAnsi="Arial Narrow" w:cs="Arial"/>
                <w:color w:val="000000"/>
                <w:sz w:val="16"/>
                <w:szCs w:val="16"/>
              </w:rPr>
            </w:pPr>
            <w:r w:rsidRPr="00875B20">
              <w:rPr>
                <w:rFonts w:ascii="Arial Narrow" w:hAnsi="Arial Narrow" w:cs="Arial"/>
                <w:color w:val="000000"/>
                <w:sz w:val="16"/>
                <w:szCs w:val="16"/>
              </w:rPr>
              <w:t>$88</w:t>
            </w:r>
          </w:p>
        </w:tc>
      </w:tr>
      <w:tr w:rsidR="00CF6909" w:rsidRPr="00875B20" w:rsidTr="00CF6909">
        <w:tc>
          <w:tcPr>
            <w:tcW w:w="579" w:type="dxa"/>
            <w:vMerge/>
            <w:vAlign w:val="center"/>
            <w:hideMark/>
          </w:tcPr>
          <w:p w:rsidR="00CF6909" w:rsidRPr="00875B20" w:rsidRDefault="00CF6909" w:rsidP="00B70C3B">
            <w:pPr>
              <w:keepNext/>
              <w:keepLines/>
              <w:spacing w:line="240" w:lineRule="auto"/>
              <w:rPr>
                <w:rFonts w:ascii="Arial Narrow" w:hAnsi="Arial Narrow" w:cs="Arial"/>
                <w:b/>
                <w:bCs/>
                <w:color w:val="000000"/>
                <w:sz w:val="16"/>
                <w:szCs w:val="16"/>
              </w:rPr>
            </w:pPr>
          </w:p>
        </w:tc>
        <w:tc>
          <w:tcPr>
            <w:tcW w:w="271" w:type="dxa"/>
            <w:vMerge/>
            <w:vAlign w:val="center"/>
            <w:hideMark/>
          </w:tcPr>
          <w:p w:rsidR="00CF6909" w:rsidRPr="00875B20" w:rsidRDefault="00CF6909" w:rsidP="00B70C3B">
            <w:pPr>
              <w:keepNext/>
              <w:keepLines/>
              <w:spacing w:line="240" w:lineRule="auto"/>
              <w:rPr>
                <w:rFonts w:ascii="Arial Narrow" w:hAnsi="Arial Narrow" w:cs="Arial"/>
                <w:b/>
                <w:bCs/>
                <w:color w:val="000000"/>
                <w:sz w:val="16"/>
                <w:szCs w:val="16"/>
              </w:rPr>
            </w:pPr>
          </w:p>
        </w:tc>
        <w:tc>
          <w:tcPr>
            <w:tcW w:w="1080" w:type="dxa"/>
            <w:vMerge/>
            <w:vAlign w:val="center"/>
            <w:hideMark/>
          </w:tcPr>
          <w:p w:rsidR="00CF6909" w:rsidRPr="00875B20" w:rsidRDefault="00CF6909" w:rsidP="00B70C3B">
            <w:pPr>
              <w:keepNext/>
              <w:keepLines/>
              <w:spacing w:line="240" w:lineRule="auto"/>
              <w:rPr>
                <w:rFonts w:ascii="Arial Narrow" w:hAnsi="Arial Narrow" w:cs="Arial"/>
                <w:color w:val="000000"/>
                <w:sz w:val="16"/>
                <w:szCs w:val="16"/>
              </w:rPr>
            </w:pPr>
          </w:p>
        </w:tc>
        <w:tc>
          <w:tcPr>
            <w:tcW w:w="1038"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Nonresponse</w:t>
            </w:r>
          </w:p>
        </w:tc>
        <w:tc>
          <w:tcPr>
            <w:tcW w:w="906" w:type="dxa"/>
            <w:vMerge/>
            <w:vAlign w:val="center"/>
            <w:hideMark/>
          </w:tcPr>
          <w:p w:rsidR="00CF6909" w:rsidRPr="00875B20" w:rsidRDefault="00CF6909" w:rsidP="00B70C3B">
            <w:pPr>
              <w:keepNext/>
              <w:keepLines/>
              <w:spacing w:line="240" w:lineRule="auto"/>
              <w:rPr>
                <w:rFonts w:ascii="Arial Narrow" w:hAnsi="Arial Narrow" w:cs="Arial"/>
                <w:color w:val="000000"/>
                <w:sz w:val="16"/>
                <w:szCs w:val="16"/>
              </w:rPr>
            </w:pPr>
          </w:p>
        </w:tc>
        <w:tc>
          <w:tcPr>
            <w:tcW w:w="1129"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475 </w:t>
            </w:r>
          </w:p>
        </w:tc>
        <w:tc>
          <w:tcPr>
            <w:tcW w:w="949"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 </w:t>
            </w:r>
          </w:p>
        </w:tc>
        <w:tc>
          <w:tcPr>
            <w:tcW w:w="950"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475 </w:t>
            </w:r>
          </w:p>
        </w:tc>
        <w:tc>
          <w:tcPr>
            <w:tcW w:w="878"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0.07 </w:t>
            </w:r>
          </w:p>
        </w:tc>
        <w:tc>
          <w:tcPr>
            <w:tcW w:w="720"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33.25 </w:t>
            </w:r>
          </w:p>
        </w:tc>
        <w:tc>
          <w:tcPr>
            <w:tcW w:w="1060" w:type="dxa"/>
            <w:shd w:val="clear" w:color="auto" w:fill="auto"/>
            <w:vAlign w:val="center"/>
            <w:hideMark/>
          </w:tcPr>
          <w:p w:rsidR="00CF6909" w:rsidRPr="00875B20" w:rsidRDefault="00CF6909" w:rsidP="00B70C3B">
            <w:pPr>
              <w:keepNext/>
              <w:keepLines/>
              <w:spacing w:line="240" w:lineRule="auto"/>
              <w:jc w:val="right"/>
              <w:rPr>
                <w:rFonts w:ascii="Arial Narrow" w:hAnsi="Arial Narrow" w:cs="Arial"/>
                <w:color w:val="000000"/>
                <w:sz w:val="16"/>
                <w:szCs w:val="16"/>
              </w:rPr>
            </w:pPr>
            <w:r w:rsidRPr="00875B20">
              <w:rPr>
                <w:rFonts w:ascii="Arial Narrow" w:hAnsi="Arial Narrow" w:cs="Arial"/>
                <w:color w:val="000000"/>
                <w:sz w:val="16"/>
                <w:szCs w:val="16"/>
              </w:rPr>
              <w:t>$835</w:t>
            </w:r>
          </w:p>
        </w:tc>
      </w:tr>
      <w:tr w:rsidR="00CF6909" w:rsidRPr="00875B20" w:rsidTr="00CF6909">
        <w:tc>
          <w:tcPr>
            <w:tcW w:w="579" w:type="dxa"/>
            <w:vMerge/>
            <w:vAlign w:val="center"/>
            <w:hideMark/>
          </w:tcPr>
          <w:p w:rsidR="00CF6909" w:rsidRPr="00875B20" w:rsidRDefault="00CF6909" w:rsidP="00B70C3B">
            <w:pPr>
              <w:keepNext/>
              <w:keepLines/>
              <w:spacing w:line="240" w:lineRule="auto"/>
              <w:rPr>
                <w:rFonts w:ascii="Arial Narrow" w:hAnsi="Arial Narrow" w:cs="Arial"/>
                <w:b/>
                <w:bCs/>
                <w:color w:val="000000"/>
                <w:sz w:val="16"/>
                <w:szCs w:val="16"/>
              </w:rPr>
            </w:pPr>
          </w:p>
        </w:tc>
        <w:tc>
          <w:tcPr>
            <w:tcW w:w="271" w:type="dxa"/>
            <w:vMerge/>
            <w:vAlign w:val="center"/>
            <w:hideMark/>
          </w:tcPr>
          <w:p w:rsidR="00CF6909" w:rsidRPr="00875B20" w:rsidRDefault="00CF6909" w:rsidP="00B70C3B">
            <w:pPr>
              <w:keepNext/>
              <w:keepLines/>
              <w:spacing w:line="240" w:lineRule="auto"/>
              <w:rPr>
                <w:rFonts w:ascii="Arial Narrow" w:hAnsi="Arial Narrow" w:cs="Arial"/>
                <w:b/>
                <w:bCs/>
                <w:color w:val="000000"/>
                <w:sz w:val="16"/>
                <w:szCs w:val="16"/>
              </w:rPr>
            </w:pPr>
          </w:p>
        </w:tc>
        <w:tc>
          <w:tcPr>
            <w:tcW w:w="1080" w:type="dxa"/>
            <w:vMerge/>
            <w:tcBorders>
              <w:bottom w:val="single" w:sz="12" w:space="0" w:color="7F7F7F" w:themeColor="text1" w:themeTint="80"/>
            </w:tcBorders>
            <w:vAlign w:val="center"/>
            <w:hideMark/>
          </w:tcPr>
          <w:p w:rsidR="00CF6909" w:rsidRPr="00875B20" w:rsidRDefault="00CF6909" w:rsidP="00B70C3B">
            <w:pPr>
              <w:keepNext/>
              <w:keepLines/>
              <w:spacing w:line="240" w:lineRule="auto"/>
              <w:rPr>
                <w:rFonts w:ascii="Arial Narrow" w:hAnsi="Arial Narrow" w:cs="Arial"/>
                <w:color w:val="000000"/>
                <w:sz w:val="16"/>
                <w:szCs w:val="16"/>
              </w:rPr>
            </w:pPr>
          </w:p>
        </w:tc>
        <w:tc>
          <w:tcPr>
            <w:tcW w:w="1038" w:type="dxa"/>
            <w:tcBorders>
              <w:bottom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Respondent</w:t>
            </w:r>
          </w:p>
        </w:tc>
        <w:tc>
          <w:tcPr>
            <w:tcW w:w="906" w:type="dxa"/>
            <w:vMerge/>
            <w:tcBorders>
              <w:bottom w:val="single" w:sz="12" w:space="0" w:color="7F7F7F" w:themeColor="text1" w:themeTint="80"/>
            </w:tcBorders>
            <w:vAlign w:val="center"/>
            <w:hideMark/>
          </w:tcPr>
          <w:p w:rsidR="00CF6909" w:rsidRPr="00875B20" w:rsidRDefault="00CF6909" w:rsidP="00B70C3B">
            <w:pPr>
              <w:keepNext/>
              <w:keepLines/>
              <w:spacing w:line="240" w:lineRule="auto"/>
              <w:rPr>
                <w:rFonts w:ascii="Arial Narrow" w:hAnsi="Arial Narrow" w:cs="Arial"/>
                <w:color w:val="000000"/>
                <w:sz w:val="16"/>
                <w:szCs w:val="16"/>
              </w:rPr>
            </w:pPr>
          </w:p>
        </w:tc>
        <w:tc>
          <w:tcPr>
            <w:tcW w:w="1129" w:type="dxa"/>
            <w:tcBorders>
              <w:bottom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1,898 </w:t>
            </w:r>
          </w:p>
        </w:tc>
        <w:tc>
          <w:tcPr>
            <w:tcW w:w="949" w:type="dxa"/>
            <w:tcBorders>
              <w:bottom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 </w:t>
            </w:r>
          </w:p>
        </w:tc>
        <w:tc>
          <w:tcPr>
            <w:tcW w:w="950" w:type="dxa"/>
            <w:tcBorders>
              <w:bottom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1,898 </w:t>
            </w:r>
          </w:p>
        </w:tc>
        <w:tc>
          <w:tcPr>
            <w:tcW w:w="878" w:type="dxa"/>
            <w:tcBorders>
              <w:bottom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0.5 </w:t>
            </w:r>
          </w:p>
        </w:tc>
        <w:tc>
          <w:tcPr>
            <w:tcW w:w="720" w:type="dxa"/>
            <w:tcBorders>
              <w:bottom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949.0 </w:t>
            </w:r>
          </w:p>
        </w:tc>
        <w:tc>
          <w:tcPr>
            <w:tcW w:w="1060" w:type="dxa"/>
            <w:tcBorders>
              <w:bottom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right"/>
              <w:rPr>
                <w:rFonts w:ascii="Arial Narrow" w:hAnsi="Arial Narrow" w:cs="Arial"/>
                <w:color w:val="000000"/>
                <w:sz w:val="16"/>
                <w:szCs w:val="16"/>
              </w:rPr>
            </w:pPr>
            <w:r w:rsidRPr="00875B20">
              <w:rPr>
                <w:rFonts w:ascii="Arial Narrow" w:hAnsi="Arial Narrow" w:cs="Arial"/>
                <w:color w:val="000000"/>
                <w:sz w:val="16"/>
                <w:szCs w:val="16"/>
              </w:rPr>
              <w:t>$23,829</w:t>
            </w:r>
          </w:p>
        </w:tc>
      </w:tr>
      <w:tr w:rsidR="00CF6909" w:rsidRPr="00875B20" w:rsidTr="00CF6909">
        <w:tc>
          <w:tcPr>
            <w:tcW w:w="579" w:type="dxa"/>
            <w:vMerge/>
            <w:vAlign w:val="center"/>
            <w:hideMark/>
          </w:tcPr>
          <w:p w:rsidR="00CF6909" w:rsidRPr="00875B20" w:rsidRDefault="00CF6909" w:rsidP="00B70C3B">
            <w:pPr>
              <w:keepNext/>
              <w:keepLines/>
              <w:spacing w:line="240" w:lineRule="auto"/>
              <w:rPr>
                <w:rFonts w:ascii="Arial Narrow" w:hAnsi="Arial Narrow" w:cs="Arial"/>
                <w:b/>
                <w:bCs/>
                <w:color w:val="000000"/>
                <w:sz w:val="16"/>
                <w:szCs w:val="16"/>
              </w:rPr>
            </w:pPr>
          </w:p>
        </w:tc>
        <w:tc>
          <w:tcPr>
            <w:tcW w:w="271" w:type="dxa"/>
            <w:vMerge/>
            <w:vAlign w:val="center"/>
            <w:hideMark/>
          </w:tcPr>
          <w:p w:rsidR="00CF6909" w:rsidRPr="00875B20" w:rsidRDefault="00CF6909" w:rsidP="00B70C3B">
            <w:pPr>
              <w:keepNext/>
              <w:keepLines/>
              <w:spacing w:line="240" w:lineRule="auto"/>
              <w:rPr>
                <w:rFonts w:ascii="Arial Narrow" w:hAnsi="Arial Narrow" w:cs="Arial"/>
                <w:b/>
                <w:bCs/>
                <w:color w:val="000000"/>
                <w:sz w:val="16"/>
                <w:szCs w:val="16"/>
              </w:rPr>
            </w:pPr>
          </w:p>
        </w:tc>
        <w:tc>
          <w:tcPr>
            <w:tcW w:w="1080" w:type="dxa"/>
            <w:vMerge w:val="restart"/>
            <w:tcBorders>
              <w:top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Self Administered Web / Telephone Survey</w:t>
            </w:r>
          </w:p>
        </w:tc>
        <w:tc>
          <w:tcPr>
            <w:tcW w:w="1038" w:type="dxa"/>
            <w:tcBorders>
              <w:top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Pretest</w:t>
            </w:r>
          </w:p>
        </w:tc>
        <w:tc>
          <w:tcPr>
            <w:tcW w:w="906" w:type="dxa"/>
            <w:vMerge w:val="restart"/>
            <w:tcBorders>
              <w:top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Public LEA School District Business Managers</w:t>
            </w:r>
          </w:p>
        </w:tc>
        <w:tc>
          <w:tcPr>
            <w:tcW w:w="1129" w:type="dxa"/>
            <w:tcBorders>
              <w:top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7 </w:t>
            </w:r>
          </w:p>
        </w:tc>
        <w:tc>
          <w:tcPr>
            <w:tcW w:w="949" w:type="dxa"/>
            <w:tcBorders>
              <w:top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 </w:t>
            </w:r>
          </w:p>
        </w:tc>
        <w:tc>
          <w:tcPr>
            <w:tcW w:w="950" w:type="dxa"/>
            <w:tcBorders>
              <w:top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7 </w:t>
            </w:r>
          </w:p>
        </w:tc>
        <w:tc>
          <w:tcPr>
            <w:tcW w:w="878" w:type="dxa"/>
            <w:tcBorders>
              <w:top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 </w:t>
            </w:r>
          </w:p>
        </w:tc>
        <w:tc>
          <w:tcPr>
            <w:tcW w:w="720" w:type="dxa"/>
            <w:tcBorders>
              <w:top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7 </w:t>
            </w:r>
          </w:p>
        </w:tc>
        <w:tc>
          <w:tcPr>
            <w:tcW w:w="1060" w:type="dxa"/>
            <w:tcBorders>
              <w:top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right"/>
              <w:rPr>
                <w:rFonts w:ascii="Arial Narrow" w:hAnsi="Arial Narrow" w:cs="Arial"/>
                <w:color w:val="000000"/>
                <w:sz w:val="16"/>
                <w:szCs w:val="16"/>
              </w:rPr>
            </w:pPr>
            <w:r w:rsidRPr="00875B20">
              <w:rPr>
                <w:rFonts w:ascii="Arial Narrow" w:hAnsi="Arial Narrow" w:cs="Arial"/>
                <w:color w:val="000000"/>
                <w:sz w:val="16"/>
                <w:szCs w:val="16"/>
              </w:rPr>
              <w:t>$303</w:t>
            </w:r>
          </w:p>
        </w:tc>
      </w:tr>
      <w:tr w:rsidR="00CF6909" w:rsidRPr="00875B20" w:rsidTr="00CF6909">
        <w:tc>
          <w:tcPr>
            <w:tcW w:w="579" w:type="dxa"/>
            <w:vMerge/>
            <w:vAlign w:val="center"/>
            <w:hideMark/>
          </w:tcPr>
          <w:p w:rsidR="00CF6909" w:rsidRPr="00875B20" w:rsidRDefault="00CF6909" w:rsidP="00B70C3B">
            <w:pPr>
              <w:keepNext/>
              <w:keepLines/>
              <w:spacing w:line="240" w:lineRule="auto"/>
              <w:rPr>
                <w:rFonts w:ascii="Arial Narrow" w:hAnsi="Arial Narrow" w:cs="Arial"/>
                <w:b/>
                <w:bCs/>
                <w:color w:val="000000"/>
                <w:sz w:val="16"/>
                <w:szCs w:val="16"/>
              </w:rPr>
            </w:pPr>
          </w:p>
        </w:tc>
        <w:tc>
          <w:tcPr>
            <w:tcW w:w="271" w:type="dxa"/>
            <w:vMerge/>
            <w:vAlign w:val="center"/>
            <w:hideMark/>
          </w:tcPr>
          <w:p w:rsidR="00CF6909" w:rsidRPr="00875B20" w:rsidRDefault="00CF6909" w:rsidP="00B70C3B">
            <w:pPr>
              <w:keepNext/>
              <w:keepLines/>
              <w:spacing w:line="240" w:lineRule="auto"/>
              <w:rPr>
                <w:rFonts w:ascii="Arial Narrow" w:hAnsi="Arial Narrow" w:cs="Arial"/>
                <w:b/>
                <w:bCs/>
                <w:color w:val="000000"/>
                <w:sz w:val="16"/>
                <w:szCs w:val="16"/>
              </w:rPr>
            </w:pPr>
          </w:p>
        </w:tc>
        <w:tc>
          <w:tcPr>
            <w:tcW w:w="1080" w:type="dxa"/>
            <w:vMerge/>
            <w:vAlign w:val="center"/>
            <w:hideMark/>
          </w:tcPr>
          <w:p w:rsidR="00CF6909" w:rsidRPr="00875B20" w:rsidRDefault="00CF6909" w:rsidP="00B70C3B">
            <w:pPr>
              <w:keepNext/>
              <w:keepLines/>
              <w:spacing w:line="240" w:lineRule="auto"/>
              <w:rPr>
                <w:rFonts w:ascii="Arial Narrow" w:hAnsi="Arial Narrow" w:cs="Arial"/>
                <w:color w:val="000000"/>
                <w:sz w:val="16"/>
                <w:szCs w:val="16"/>
              </w:rPr>
            </w:pPr>
          </w:p>
        </w:tc>
        <w:tc>
          <w:tcPr>
            <w:tcW w:w="1038"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Nonresponse</w:t>
            </w:r>
          </w:p>
        </w:tc>
        <w:tc>
          <w:tcPr>
            <w:tcW w:w="906" w:type="dxa"/>
            <w:vMerge/>
            <w:vAlign w:val="center"/>
            <w:hideMark/>
          </w:tcPr>
          <w:p w:rsidR="00CF6909" w:rsidRPr="00875B20" w:rsidRDefault="00CF6909" w:rsidP="00B70C3B">
            <w:pPr>
              <w:keepNext/>
              <w:keepLines/>
              <w:spacing w:line="240" w:lineRule="auto"/>
              <w:rPr>
                <w:rFonts w:ascii="Arial Narrow" w:hAnsi="Arial Narrow" w:cs="Arial"/>
                <w:color w:val="000000"/>
                <w:sz w:val="16"/>
                <w:szCs w:val="16"/>
              </w:rPr>
            </w:pPr>
          </w:p>
        </w:tc>
        <w:tc>
          <w:tcPr>
            <w:tcW w:w="1129"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475 </w:t>
            </w:r>
          </w:p>
        </w:tc>
        <w:tc>
          <w:tcPr>
            <w:tcW w:w="949"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 </w:t>
            </w:r>
          </w:p>
        </w:tc>
        <w:tc>
          <w:tcPr>
            <w:tcW w:w="950"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475 </w:t>
            </w:r>
          </w:p>
        </w:tc>
        <w:tc>
          <w:tcPr>
            <w:tcW w:w="878"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0.07 </w:t>
            </w:r>
          </w:p>
        </w:tc>
        <w:tc>
          <w:tcPr>
            <w:tcW w:w="720"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33.25 </w:t>
            </w:r>
          </w:p>
        </w:tc>
        <w:tc>
          <w:tcPr>
            <w:tcW w:w="1060" w:type="dxa"/>
            <w:shd w:val="clear" w:color="auto" w:fill="auto"/>
            <w:vAlign w:val="center"/>
            <w:hideMark/>
          </w:tcPr>
          <w:p w:rsidR="00CF6909" w:rsidRPr="00875B20" w:rsidRDefault="00CF6909" w:rsidP="00B70C3B">
            <w:pPr>
              <w:keepNext/>
              <w:keepLines/>
              <w:spacing w:line="240" w:lineRule="auto"/>
              <w:jc w:val="right"/>
              <w:rPr>
                <w:rFonts w:ascii="Arial Narrow" w:hAnsi="Arial Narrow" w:cs="Arial"/>
                <w:color w:val="000000"/>
                <w:sz w:val="16"/>
                <w:szCs w:val="16"/>
              </w:rPr>
            </w:pPr>
            <w:r w:rsidRPr="00875B20">
              <w:rPr>
                <w:rFonts w:ascii="Arial Narrow" w:hAnsi="Arial Narrow" w:cs="Arial"/>
                <w:color w:val="000000"/>
                <w:sz w:val="16"/>
                <w:szCs w:val="16"/>
              </w:rPr>
              <w:t>$1,438</w:t>
            </w:r>
          </w:p>
        </w:tc>
      </w:tr>
      <w:tr w:rsidR="00CF6909" w:rsidRPr="00875B20" w:rsidTr="00CF6909">
        <w:tc>
          <w:tcPr>
            <w:tcW w:w="579" w:type="dxa"/>
            <w:vMerge/>
            <w:tcBorders>
              <w:bottom w:val="single" w:sz="4" w:space="0" w:color="7F7F7F" w:themeColor="text1" w:themeTint="80"/>
            </w:tcBorders>
            <w:vAlign w:val="center"/>
            <w:hideMark/>
          </w:tcPr>
          <w:p w:rsidR="00CF6909" w:rsidRPr="00875B20" w:rsidRDefault="00CF6909" w:rsidP="00B70C3B">
            <w:pPr>
              <w:keepNext/>
              <w:keepLines/>
              <w:spacing w:line="240" w:lineRule="auto"/>
              <w:rPr>
                <w:rFonts w:ascii="Arial Narrow" w:hAnsi="Arial Narrow" w:cs="Arial"/>
                <w:b/>
                <w:bCs/>
                <w:color w:val="000000"/>
                <w:sz w:val="16"/>
                <w:szCs w:val="16"/>
              </w:rPr>
            </w:pPr>
          </w:p>
        </w:tc>
        <w:tc>
          <w:tcPr>
            <w:tcW w:w="271" w:type="dxa"/>
            <w:vMerge/>
            <w:tcBorders>
              <w:bottom w:val="single" w:sz="4" w:space="0" w:color="7F7F7F" w:themeColor="text1" w:themeTint="80"/>
            </w:tcBorders>
            <w:vAlign w:val="center"/>
            <w:hideMark/>
          </w:tcPr>
          <w:p w:rsidR="00CF6909" w:rsidRPr="00875B20" w:rsidRDefault="00CF6909" w:rsidP="00B70C3B">
            <w:pPr>
              <w:keepNext/>
              <w:keepLines/>
              <w:spacing w:line="240" w:lineRule="auto"/>
              <w:rPr>
                <w:rFonts w:ascii="Arial Narrow" w:hAnsi="Arial Narrow" w:cs="Arial"/>
                <w:b/>
                <w:bCs/>
                <w:color w:val="000000"/>
                <w:sz w:val="16"/>
                <w:szCs w:val="16"/>
              </w:rPr>
            </w:pPr>
          </w:p>
        </w:tc>
        <w:tc>
          <w:tcPr>
            <w:tcW w:w="1080" w:type="dxa"/>
            <w:vMerge/>
            <w:tcBorders>
              <w:bottom w:val="single" w:sz="4" w:space="0" w:color="7F7F7F" w:themeColor="text1" w:themeTint="80"/>
            </w:tcBorders>
            <w:vAlign w:val="center"/>
            <w:hideMark/>
          </w:tcPr>
          <w:p w:rsidR="00CF6909" w:rsidRPr="00875B20" w:rsidRDefault="00CF6909" w:rsidP="00B70C3B">
            <w:pPr>
              <w:keepNext/>
              <w:keepLines/>
              <w:spacing w:line="240" w:lineRule="auto"/>
              <w:rPr>
                <w:rFonts w:ascii="Arial Narrow" w:hAnsi="Arial Narrow" w:cs="Arial"/>
                <w:color w:val="000000"/>
                <w:sz w:val="16"/>
                <w:szCs w:val="16"/>
              </w:rPr>
            </w:pPr>
          </w:p>
        </w:tc>
        <w:tc>
          <w:tcPr>
            <w:tcW w:w="1038" w:type="dxa"/>
            <w:tcBorders>
              <w:bottom w:val="single" w:sz="4"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Respondent</w:t>
            </w:r>
          </w:p>
        </w:tc>
        <w:tc>
          <w:tcPr>
            <w:tcW w:w="906" w:type="dxa"/>
            <w:vMerge/>
            <w:tcBorders>
              <w:bottom w:val="single" w:sz="4" w:space="0" w:color="7F7F7F" w:themeColor="text1" w:themeTint="80"/>
            </w:tcBorders>
            <w:vAlign w:val="center"/>
            <w:hideMark/>
          </w:tcPr>
          <w:p w:rsidR="00CF6909" w:rsidRPr="00875B20" w:rsidRDefault="00CF6909" w:rsidP="00B70C3B">
            <w:pPr>
              <w:keepNext/>
              <w:keepLines/>
              <w:spacing w:line="240" w:lineRule="auto"/>
              <w:rPr>
                <w:rFonts w:ascii="Arial Narrow" w:hAnsi="Arial Narrow" w:cs="Arial"/>
                <w:color w:val="000000"/>
                <w:sz w:val="16"/>
                <w:szCs w:val="16"/>
              </w:rPr>
            </w:pPr>
          </w:p>
        </w:tc>
        <w:tc>
          <w:tcPr>
            <w:tcW w:w="1129" w:type="dxa"/>
            <w:tcBorders>
              <w:bottom w:val="single" w:sz="4"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1,898 </w:t>
            </w:r>
          </w:p>
        </w:tc>
        <w:tc>
          <w:tcPr>
            <w:tcW w:w="949" w:type="dxa"/>
            <w:tcBorders>
              <w:bottom w:val="single" w:sz="4"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 </w:t>
            </w:r>
          </w:p>
        </w:tc>
        <w:tc>
          <w:tcPr>
            <w:tcW w:w="950" w:type="dxa"/>
            <w:tcBorders>
              <w:bottom w:val="single" w:sz="4"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1,898 </w:t>
            </w:r>
          </w:p>
        </w:tc>
        <w:tc>
          <w:tcPr>
            <w:tcW w:w="878" w:type="dxa"/>
            <w:tcBorders>
              <w:bottom w:val="single" w:sz="4"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 </w:t>
            </w:r>
          </w:p>
        </w:tc>
        <w:tc>
          <w:tcPr>
            <w:tcW w:w="720" w:type="dxa"/>
            <w:tcBorders>
              <w:bottom w:val="single" w:sz="4"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1,898 </w:t>
            </w:r>
          </w:p>
        </w:tc>
        <w:tc>
          <w:tcPr>
            <w:tcW w:w="1060" w:type="dxa"/>
            <w:tcBorders>
              <w:bottom w:val="single" w:sz="4" w:space="0" w:color="7F7F7F" w:themeColor="text1" w:themeTint="80"/>
            </w:tcBorders>
            <w:shd w:val="clear" w:color="auto" w:fill="auto"/>
            <w:vAlign w:val="center"/>
            <w:hideMark/>
          </w:tcPr>
          <w:p w:rsidR="00CF6909" w:rsidRPr="00875B20" w:rsidRDefault="00CF6909" w:rsidP="00B70C3B">
            <w:pPr>
              <w:keepNext/>
              <w:keepLines/>
              <w:spacing w:line="240" w:lineRule="auto"/>
              <w:jc w:val="right"/>
              <w:rPr>
                <w:rFonts w:ascii="Arial Narrow" w:hAnsi="Arial Narrow" w:cs="Arial"/>
                <w:color w:val="000000"/>
                <w:sz w:val="16"/>
                <w:szCs w:val="16"/>
              </w:rPr>
            </w:pPr>
            <w:r w:rsidRPr="00875B20">
              <w:rPr>
                <w:rFonts w:ascii="Arial Narrow" w:hAnsi="Arial Narrow" w:cs="Arial"/>
                <w:color w:val="000000"/>
                <w:sz w:val="16"/>
                <w:szCs w:val="16"/>
              </w:rPr>
              <w:t>$82,107</w:t>
            </w:r>
          </w:p>
        </w:tc>
      </w:tr>
      <w:tr w:rsidR="00CF6909" w:rsidRPr="00875B20" w:rsidTr="00CF6909">
        <w:tc>
          <w:tcPr>
            <w:tcW w:w="3874" w:type="dxa"/>
            <w:gridSpan w:val="5"/>
            <w:tcBorders>
              <w:bottom w:val="single" w:sz="12" w:space="0" w:color="7F7F7F" w:themeColor="text1" w:themeTint="80"/>
            </w:tcBorders>
            <w:shd w:val="clear" w:color="000000" w:fill="BFBFBF"/>
            <w:vAlign w:val="center"/>
            <w:hideMark/>
          </w:tcPr>
          <w:p w:rsidR="00CF6909" w:rsidRPr="00875B20" w:rsidRDefault="00CF6909" w:rsidP="00B70C3B">
            <w:pPr>
              <w:keepNext/>
              <w:keepLines/>
              <w:spacing w:line="240" w:lineRule="auto"/>
              <w:rPr>
                <w:rFonts w:ascii="Arial Narrow" w:hAnsi="Arial Narrow" w:cs="Arial"/>
                <w:b/>
                <w:bCs/>
                <w:color w:val="000000"/>
                <w:sz w:val="16"/>
                <w:szCs w:val="16"/>
              </w:rPr>
            </w:pPr>
            <w:r w:rsidRPr="00875B20">
              <w:rPr>
                <w:rFonts w:ascii="Arial Narrow" w:hAnsi="Arial Narrow" w:cs="Arial"/>
                <w:b/>
                <w:bCs/>
                <w:color w:val="000000"/>
                <w:sz w:val="16"/>
                <w:szCs w:val="16"/>
              </w:rPr>
              <w:t>SUBTOTAL</w:t>
            </w:r>
          </w:p>
        </w:tc>
        <w:tc>
          <w:tcPr>
            <w:tcW w:w="1129" w:type="dxa"/>
            <w:tcBorders>
              <w:bottom w:val="single" w:sz="12" w:space="0" w:color="7F7F7F" w:themeColor="text1" w:themeTint="80"/>
            </w:tcBorders>
            <w:shd w:val="clear" w:color="000000" w:fill="BFBFBF"/>
            <w:vAlign w:val="center"/>
            <w:hideMark/>
          </w:tcPr>
          <w:p w:rsidR="00CF6909" w:rsidRPr="00875B20" w:rsidRDefault="00CF6909" w:rsidP="00B70C3B">
            <w:pPr>
              <w:keepNext/>
              <w:keepLines/>
              <w:spacing w:line="240" w:lineRule="auto"/>
              <w:jc w:val="center"/>
              <w:rPr>
                <w:rFonts w:ascii="Arial Narrow" w:hAnsi="Arial Narrow" w:cs="Arial"/>
                <w:b/>
                <w:bCs/>
                <w:color w:val="000000"/>
                <w:sz w:val="16"/>
                <w:szCs w:val="16"/>
              </w:rPr>
            </w:pPr>
            <w:r w:rsidRPr="00875B20">
              <w:rPr>
                <w:rFonts w:ascii="Arial Narrow" w:hAnsi="Arial Narrow" w:cs="Arial"/>
                <w:b/>
                <w:bCs/>
                <w:color w:val="000000"/>
                <w:sz w:val="16"/>
                <w:szCs w:val="16"/>
              </w:rPr>
              <w:t>4,862</w:t>
            </w:r>
          </w:p>
        </w:tc>
        <w:tc>
          <w:tcPr>
            <w:tcW w:w="949" w:type="dxa"/>
            <w:tcBorders>
              <w:bottom w:val="single" w:sz="12" w:space="0" w:color="7F7F7F" w:themeColor="text1" w:themeTint="80"/>
            </w:tcBorders>
            <w:shd w:val="clear" w:color="000000" w:fill="66FFCC"/>
            <w:vAlign w:val="center"/>
            <w:hideMark/>
          </w:tcPr>
          <w:p w:rsidR="00CF6909" w:rsidRPr="00875B20" w:rsidRDefault="00CF6909" w:rsidP="00B70C3B">
            <w:pPr>
              <w:keepNext/>
              <w:keepLines/>
              <w:spacing w:line="240" w:lineRule="auto"/>
              <w:jc w:val="right"/>
              <w:rPr>
                <w:rFonts w:ascii="Arial Narrow" w:hAnsi="Arial Narrow" w:cs="Arial"/>
                <w:b/>
                <w:bCs/>
                <w:color w:val="000000"/>
                <w:sz w:val="16"/>
                <w:szCs w:val="16"/>
              </w:rPr>
            </w:pPr>
          </w:p>
        </w:tc>
        <w:tc>
          <w:tcPr>
            <w:tcW w:w="950" w:type="dxa"/>
            <w:tcBorders>
              <w:bottom w:val="single" w:sz="12" w:space="0" w:color="7F7F7F" w:themeColor="text1" w:themeTint="80"/>
            </w:tcBorders>
            <w:shd w:val="clear" w:color="000000" w:fill="BFBFBF"/>
            <w:vAlign w:val="center"/>
            <w:hideMark/>
          </w:tcPr>
          <w:p w:rsidR="00CF6909" w:rsidRPr="00875B20" w:rsidRDefault="00CF6909" w:rsidP="00B70C3B">
            <w:pPr>
              <w:keepNext/>
              <w:keepLines/>
              <w:spacing w:line="240" w:lineRule="auto"/>
              <w:jc w:val="center"/>
              <w:rPr>
                <w:rFonts w:ascii="Arial Narrow" w:hAnsi="Arial Narrow" w:cs="Arial"/>
                <w:b/>
                <w:bCs/>
                <w:color w:val="000000"/>
                <w:sz w:val="16"/>
                <w:szCs w:val="16"/>
              </w:rPr>
            </w:pPr>
            <w:r w:rsidRPr="00875B20">
              <w:rPr>
                <w:rFonts w:ascii="Arial Narrow" w:hAnsi="Arial Narrow" w:cs="Arial"/>
                <w:b/>
                <w:bCs/>
                <w:color w:val="000000"/>
                <w:sz w:val="16"/>
                <w:szCs w:val="16"/>
              </w:rPr>
              <w:t>4,862</w:t>
            </w:r>
          </w:p>
        </w:tc>
        <w:tc>
          <w:tcPr>
            <w:tcW w:w="878" w:type="dxa"/>
            <w:tcBorders>
              <w:bottom w:val="single" w:sz="12" w:space="0" w:color="7F7F7F" w:themeColor="text1" w:themeTint="80"/>
            </w:tcBorders>
            <w:shd w:val="clear" w:color="000000" w:fill="66FFCC"/>
            <w:vAlign w:val="center"/>
            <w:hideMark/>
          </w:tcPr>
          <w:p w:rsidR="00CF6909" w:rsidRPr="00875B20" w:rsidRDefault="00CF6909" w:rsidP="00B70C3B">
            <w:pPr>
              <w:keepNext/>
              <w:keepLines/>
              <w:spacing w:line="240" w:lineRule="auto"/>
              <w:jc w:val="center"/>
              <w:rPr>
                <w:rFonts w:ascii="Arial Narrow" w:hAnsi="Arial Narrow" w:cs="Arial"/>
                <w:b/>
                <w:bCs/>
                <w:color w:val="000000"/>
                <w:sz w:val="16"/>
                <w:szCs w:val="16"/>
              </w:rPr>
            </w:pPr>
            <w:r w:rsidRPr="00875B20">
              <w:rPr>
                <w:rFonts w:ascii="Arial Narrow" w:hAnsi="Arial Narrow" w:cs="Arial"/>
                <w:b/>
                <w:bCs/>
                <w:color w:val="000000"/>
                <w:sz w:val="16"/>
                <w:szCs w:val="16"/>
              </w:rPr>
              <w:t>0.62</w:t>
            </w:r>
          </w:p>
        </w:tc>
        <w:tc>
          <w:tcPr>
            <w:tcW w:w="720" w:type="dxa"/>
            <w:tcBorders>
              <w:bottom w:val="single" w:sz="12" w:space="0" w:color="7F7F7F" w:themeColor="text1" w:themeTint="80"/>
            </w:tcBorders>
            <w:shd w:val="clear" w:color="000000" w:fill="BFBFBF"/>
            <w:vAlign w:val="center"/>
            <w:hideMark/>
          </w:tcPr>
          <w:p w:rsidR="00CF6909" w:rsidRPr="00875B20" w:rsidRDefault="00CF6909" w:rsidP="00B70C3B">
            <w:pPr>
              <w:keepNext/>
              <w:keepLines/>
              <w:spacing w:line="240" w:lineRule="auto"/>
              <w:jc w:val="center"/>
              <w:rPr>
                <w:rFonts w:ascii="Arial Narrow" w:hAnsi="Arial Narrow" w:cs="Arial"/>
                <w:b/>
                <w:bCs/>
                <w:color w:val="000000"/>
                <w:sz w:val="16"/>
                <w:szCs w:val="16"/>
              </w:rPr>
            </w:pPr>
            <w:r w:rsidRPr="00875B20">
              <w:rPr>
                <w:rFonts w:ascii="Arial Narrow" w:hAnsi="Arial Narrow" w:cs="Arial"/>
                <w:b/>
                <w:bCs/>
                <w:color w:val="000000"/>
                <w:sz w:val="16"/>
                <w:szCs w:val="16"/>
              </w:rPr>
              <w:t>3,001</w:t>
            </w:r>
          </w:p>
        </w:tc>
        <w:tc>
          <w:tcPr>
            <w:tcW w:w="1060" w:type="dxa"/>
            <w:tcBorders>
              <w:bottom w:val="single" w:sz="12" w:space="0" w:color="7F7F7F" w:themeColor="text1" w:themeTint="80"/>
            </w:tcBorders>
            <w:shd w:val="clear" w:color="000000" w:fill="BFBFBF"/>
            <w:vAlign w:val="center"/>
            <w:hideMark/>
          </w:tcPr>
          <w:p w:rsidR="00CF6909" w:rsidRPr="00875B20" w:rsidRDefault="00CF6909" w:rsidP="00B70C3B">
            <w:pPr>
              <w:keepNext/>
              <w:keepLines/>
              <w:spacing w:line="240" w:lineRule="auto"/>
              <w:jc w:val="right"/>
              <w:rPr>
                <w:rFonts w:ascii="Arial Narrow" w:hAnsi="Arial Narrow" w:cs="Arial"/>
                <w:b/>
                <w:bCs/>
                <w:color w:val="000000"/>
                <w:sz w:val="16"/>
                <w:szCs w:val="16"/>
              </w:rPr>
            </w:pPr>
            <w:r w:rsidRPr="00875B20">
              <w:rPr>
                <w:rFonts w:ascii="Arial Narrow" w:hAnsi="Arial Narrow" w:cs="Arial"/>
                <w:b/>
                <w:bCs/>
                <w:color w:val="000000"/>
                <w:sz w:val="16"/>
                <w:szCs w:val="16"/>
              </w:rPr>
              <w:t>$111,713</w:t>
            </w:r>
          </w:p>
        </w:tc>
      </w:tr>
      <w:tr w:rsidR="00CF6909" w:rsidRPr="00875B20" w:rsidTr="00CF6909">
        <w:tc>
          <w:tcPr>
            <w:tcW w:w="850" w:type="dxa"/>
            <w:gridSpan w:val="2"/>
            <w:vMerge w:val="restart"/>
            <w:tcBorders>
              <w:top w:val="single" w:sz="12" w:space="0" w:color="7F7F7F" w:themeColor="text1" w:themeTint="80"/>
            </w:tcBorders>
            <w:shd w:val="clear" w:color="auto" w:fill="auto"/>
            <w:textDirection w:val="btLr"/>
            <w:vAlign w:val="center"/>
            <w:hideMark/>
          </w:tcPr>
          <w:p w:rsidR="00CF6909" w:rsidRPr="00875B20" w:rsidRDefault="00CF6909" w:rsidP="00B70C3B">
            <w:pPr>
              <w:keepNext/>
              <w:keepLines/>
              <w:spacing w:line="240" w:lineRule="auto"/>
              <w:jc w:val="center"/>
              <w:rPr>
                <w:rFonts w:ascii="Arial Narrow" w:hAnsi="Arial Narrow" w:cs="Arial"/>
                <w:b/>
                <w:bCs/>
                <w:color w:val="000000"/>
                <w:sz w:val="16"/>
                <w:szCs w:val="16"/>
              </w:rPr>
            </w:pPr>
            <w:r w:rsidRPr="00875B20">
              <w:rPr>
                <w:rFonts w:ascii="Arial Narrow" w:hAnsi="Arial Narrow" w:cs="Arial"/>
                <w:b/>
                <w:bCs/>
                <w:color w:val="000000"/>
                <w:sz w:val="16"/>
                <w:szCs w:val="16"/>
              </w:rPr>
              <w:t>Not-for-profit institutions</w:t>
            </w:r>
          </w:p>
        </w:tc>
        <w:tc>
          <w:tcPr>
            <w:tcW w:w="1080" w:type="dxa"/>
            <w:vMerge w:val="restart"/>
            <w:tcBorders>
              <w:top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Self Administered Web / Telephone Survey</w:t>
            </w:r>
          </w:p>
        </w:tc>
        <w:tc>
          <w:tcPr>
            <w:tcW w:w="1038" w:type="dxa"/>
            <w:tcBorders>
              <w:top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Pretest</w:t>
            </w:r>
          </w:p>
        </w:tc>
        <w:tc>
          <w:tcPr>
            <w:tcW w:w="906" w:type="dxa"/>
            <w:vMerge w:val="restart"/>
            <w:tcBorders>
              <w:top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Private School Food Authority Directors</w:t>
            </w:r>
          </w:p>
        </w:tc>
        <w:tc>
          <w:tcPr>
            <w:tcW w:w="1129" w:type="dxa"/>
            <w:tcBorders>
              <w:top w:val="single" w:sz="12" w:space="0" w:color="7F7F7F" w:themeColor="text1" w:themeTint="80"/>
            </w:tcBorders>
            <w:shd w:val="clear" w:color="auto" w:fill="auto"/>
            <w:noWrap/>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3 </w:t>
            </w:r>
          </w:p>
        </w:tc>
        <w:tc>
          <w:tcPr>
            <w:tcW w:w="949" w:type="dxa"/>
            <w:tcBorders>
              <w:top w:val="single" w:sz="12" w:space="0" w:color="7F7F7F" w:themeColor="text1" w:themeTint="80"/>
            </w:tcBorders>
            <w:shd w:val="clear" w:color="auto" w:fill="auto"/>
            <w:noWrap/>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 </w:t>
            </w:r>
          </w:p>
        </w:tc>
        <w:tc>
          <w:tcPr>
            <w:tcW w:w="950" w:type="dxa"/>
            <w:tcBorders>
              <w:top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3 </w:t>
            </w:r>
          </w:p>
        </w:tc>
        <w:tc>
          <w:tcPr>
            <w:tcW w:w="878" w:type="dxa"/>
            <w:tcBorders>
              <w:top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0.5 </w:t>
            </w:r>
          </w:p>
        </w:tc>
        <w:tc>
          <w:tcPr>
            <w:tcW w:w="720" w:type="dxa"/>
            <w:tcBorders>
              <w:top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1.5 </w:t>
            </w:r>
          </w:p>
        </w:tc>
        <w:tc>
          <w:tcPr>
            <w:tcW w:w="1060" w:type="dxa"/>
            <w:tcBorders>
              <w:top w:val="single" w:sz="12" w:space="0" w:color="7F7F7F" w:themeColor="text1" w:themeTint="80"/>
            </w:tcBorders>
            <w:shd w:val="clear" w:color="auto" w:fill="auto"/>
            <w:vAlign w:val="center"/>
            <w:hideMark/>
          </w:tcPr>
          <w:p w:rsidR="00CF6909" w:rsidRPr="00875B20" w:rsidRDefault="00CF6909" w:rsidP="00B70C3B">
            <w:pPr>
              <w:keepNext/>
              <w:keepLines/>
              <w:spacing w:line="240" w:lineRule="auto"/>
              <w:jc w:val="right"/>
              <w:rPr>
                <w:rFonts w:ascii="Arial Narrow" w:hAnsi="Arial Narrow" w:cs="Arial"/>
                <w:color w:val="000000"/>
                <w:sz w:val="16"/>
                <w:szCs w:val="16"/>
              </w:rPr>
            </w:pPr>
            <w:r w:rsidRPr="00875B20">
              <w:rPr>
                <w:rFonts w:ascii="Arial Narrow" w:hAnsi="Arial Narrow" w:cs="Arial"/>
                <w:color w:val="000000"/>
                <w:sz w:val="16"/>
                <w:szCs w:val="16"/>
              </w:rPr>
              <w:t>$38</w:t>
            </w:r>
          </w:p>
        </w:tc>
      </w:tr>
      <w:tr w:rsidR="00CF6909" w:rsidRPr="00875B20" w:rsidTr="00CF6909">
        <w:tc>
          <w:tcPr>
            <w:tcW w:w="850" w:type="dxa"/>
            <w:gridSpan w:val="2"/>
            <w:vMerge/>
            <w:vAlign w:val="center"/>
            <w:hideMark/>
          </w:tcPr>
          <w:p w:rsidR="00CF6909" w:rsidRPr="00875B20" w:rsidRDefault="00CF6909" w:rsidP="00B70C3B">
            <w:pPr>
              <w:keepNext/>
              <w:keepLines/>
              <w:spacing w:line="240" w:lineRule="auto"/>
              <w:rPr>
                <w:rFonts w:ascii="Arial Narrow" w:hAnsi="Arial Narrow" w:cs="Arial"/>
                <w:b/>
                <w:bCs/>
                <w:color w:val="000000"/>
                <w:sz w:val="16"/>
                <w:szCs w:val="16"/>
              </w:rPr>
            </w:pPr>
          </w:p>
        </w:tc>
        <w:tc>
          <w:tcPr>
            <w:tcW w:w="1080" w:type="dxa"/>
            <w:vMerge/>
            <w:vAlign w:val="center"/>
            <w:hideMark/>
          </w:tcPr>
          <w:p w:rsidR="00CF6909" w:rsidRPr="00875B20" w:rsidRDefault="00CF6909" w:rsidP="00B70C3B">
            <w:pPr>
              <w:keepNext/>
              <w:keepLines/>
              <w:spacing w:line="240" w:lineRule="auto"/>
              <w:rPr>
                <w:rFonts w:ascii="Arial Narrow" w:hAnsi="Arial Narrow" w:cs="Arial"/>
                <w:color w:val="000000"/>
                <w:sz w:val="16"/>
                <w:szCs w:val="16"/>
              </w:rPr>
            </w:pPr>
          </w:p>
        </w:tc>
        <w:tc>
          <w:tcPr>
            <w:tcW w:w="1038"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Nonresponse</w:t>
            </w:r>
          </w:p>
        </w:tc>
        <w:tc>
          <w:tcPr>
            <w:tcW w:w="906" w:type="dxa"/>
            <w:vMerge/>
            <w:vAlign w:val="center"/>
            <w:hideMark/>
          </w:tcPr>
          <w:p w:rsidR="00CF6909" w:rsidRPr="00875B20" w:rsidRDefault="00CF6909" w:rsidP="00B70C3B">
            <w:pPr>
              <w:keepNext/>
              <w:keepLines/>
              <w:spacing w:line="240" w:lineRule="auto"/>
              <w:rPr>
                <w:rFonts w:ascii="Arial Narrow" w:hAnsi="Arial Narrow" w:cs="Arial"/>
                <w:color w:val="000000"/>
                <w:sz w:val="16"/>
                <w:szCs w:val="16"/>
              </w:rPr>
            </w:pPr>
          </w:p>
        </w:tc>
        <w:tc>
          <w:tcPr>
            <w:tcW w:w="1129" w:type="dxa"/>
            <w:shd w:val="clear" w:color="auto" w:fill="auto"/>
            <w:noWrap/>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25 </w:t>
            </w:r>
          </w:p>
        </w:tc>
        <w:tc>
          <w:tcPr>
            <w:tcW w:w="949" w:type="dxa"/>
            <w:shd w:val="clear" w:color="auto" w:fill="auto"/>
            <w:noWrap/>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 </w:t>
            </w:r>
          </w:p>
        </w:tc>
        <w:tc>
          <w:tcPr>
            <w:tcW w:w="950"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25 </w:t>
            </w:r>
          </w:p>
        </w:tc>
        <w:tc>
          <w:tcPr>
            <w:tcW w:w="878"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0.07 </w:t>
            </w:r>
          </w:p>
        </w:tc>
        <w:tc>
          <w:tcPr>
            <w:tcW w:w="720"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1.75 </w:t>
            </w:r>
          </w:p>
        </w:tc>
        <w:tc>
          <w:tcPr>
            <w:tcW w:w="1060" w:type="dxa"/>
            <w:shd w:val="clear" w:color="auto" w:fill="auto"/>
            <w:vAlign w:val="center"/>
            <w:hideMark/>
          </w:tcPr>
          <w:p w:rsidR="00CF6909" w:rsidRPr="00875B20" w:rsidRDefault="00CF6909" w:rsidP="00B70C3B">
            <w:pPr>
              <w:keepNext/>
              <w:keepLines/>
              <w:spacing w:line="240" w:lineRule="auto"/>
              <w:jc w:val="right"/>
              <w:rPr>
                <w:rFonts w:ascii="Arial Narrow" w:hAnsi="Arial Narrow" w:cs="Arial"/>
                <w:color w:val="000000"/>
                <w:sz w:val="16"/>
                <w:szCs w:val="16"/>
              </w:rPr>
            </w:pPr>
            <w:r w:rsidRPr="00875B20">
              <w:rPr>
                <w:rFonts w:ascii="Arial Narrow" w:hAnsi="Arial Narrow" w:cs="Arial"/>
                <w:color w:val="000000"/>
                <w:sz w:val="16"/>
                <w:szCs w:val="16"/>
              </w:rPr>
              <w:t>$44</w:t>
            </w:r>
          </w:p>
        </w:tc>
      </w:tr>
      <w:tr w:rsidR="00CF6909" w:rsidRPr="00875B20" w:rsidTr="00CF6909">
        <w:tc>
          <w:tcPr>
            <w:tcW w:w="850" w:type="dxa"/>
            <w:gridSpan w:val="2"/>
            <w:vMerge/>
            <w:vAlign w:val="center"/>
            <w:hideMark/>
          </w:tcPr>
          <w:p w:rsidR="00CF6909" w:rsidRPr="00875B20" w:rsidRDefault="00CF6909" w:rsidP="00B70C3B">
            <w:pPr>
              <w:keepNext/>
              <w:keepLines/>
              <w:spacing w:line="240" w:lineRule="auto"/>
              <w:rPr>
                <w:rFonts w:ascii="Arial Narrow" w:hAnsi="Arial Narrow" w:cs="Arial"/>
                <w:b/>
                <w:bCs/>
                <w:color w:val="000000"/>
                <w:sz w:val="16"/>
                <w:szCs w:val="16"/>
              </w:rPr>
            </w:pPr>
          </w:p>
        </w:tc>
        <w:tc>
          <w:tcPr>
            <w:tcW w:w="1080" w:type="dxa"/>
            <w:vMerge/>
            <w:vAlign w:val="center"/>
            <w:hideMark/>
          </w:tcPr>
          <w:p w:rsidR="00CF6909" w:rsidRPr="00875B20" w:rsidRDefault="00CF6909" w:rsidP="00B70C3B">
            <w:pPr>
              <w:keepNext/>
              <w:keepLines/>
              <w:spacing w:line="240" w:lineRule="auto"/>
              <w:rPr>
                <w:rFonts w:ascii="Arial Narrow" w:hAnsi="Arial Narrow" w:cs="Arial"/>
                <w:color w:val="000000"/>
                <w:sz w:val="16"/>
                <w:szCs w:val="16"/>
              </w:rPr>
            </w:pPr>
          </w:p>
        </w:tc>
        <w:tc>
          <w:tcPr>
            <w:tcW w:w="1038"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Respondent</w:t>
            </w:r>
          </w:p>
        </w:tc>
        <w:tc>
          <w:tcPr>
            <w:tcW w:w="906" w:type="dxa"/>
            <w:vMerge/>
            <w:vAlign w:val="center"/>
            <w:hideMark/>
          </w:tcPr>
          <w:p w:rsidR="00CF6909" w:rsidRPr="00875B20" w:rsidRDefault="00CF6909" w:rsidP="00B70C3B">
            <w:pPr>
              <w:keepNext/>
              <w:keepLines/>
              <w:spacing w:line="240" w:lineRule="auto"/>
              <w:rPr>
                <w:rFonts w:ascii="Arial Narrow" w:hAnsi="Arial Narrow" w:cs="Arial"/>
                <w:color w:val="000000"/>
                <w:sz w:val="16"/>
                <w:szCs w:val="16"/>
              </w:rPr>
            </w:pPr>
          </w:p>
        </w:tc>
        <w:tc>
          <w:tcPr>
            <w:tcW w:w="1129"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100 </w:t>
            </w:r>
          </w:p>
        </w:tc>
        <w:tc>
          <w:tcPr>
            <w:tcW w:w="949"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 </w:t>
            </w:r>
          </w:p>
        </w:tc>
        <w:tc>
          <w:tcPr>
            <w:tcW w:w="950"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100 </w:t>
            </w:r>
          </w:p>
        </w:tc>
        <w:tc>
          <w:tcPr>
            <w:tcW w:w="878"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0.5 </w:t>
            </w:r>
          </w:p>
        </w:tc>
        <w:tc>
          <w:tcPr>
            <w:tcW w:w="720"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50.0 </w:t>
            </w:r>
          </w:p>
        </w:tc>
        <w:tc>
          <w:tcPr>
            <w:tcW w:w="1060" w:type="dxa"/>
            <w:shd w:val="clear" w:color="auto" w:fill="auto"/>
            <w:vAlign w:val="center"/>
            <w:hideMark/>
          </w:tcPr>
          <w:p w:rsidR="00CF6909" w:rsidRPr="00875B20" w:rsidRDefault="00CF6909" w:rsidP="00B70C3B">
            <w:pPr>
              <w:keepNext/>
              <w:keepLines/>
              <w:spacing w:line="240" w:lineRule="auto"/>
              <w:jc w:val="right"/>
              <w:rPr>
                <w:rFonts w:ascii="Arial Narrow" w:hAnsi="Arial Narrow" w:cs="Arial"/>
                <w:color w:val="000000"/>
                <w:sz w:val="16"/>
                <w:szCs w:val="16"/>
              </w:rPr>
            </w:pPr>
            <w:r w:rsidRPr="00875B20">
              <w:rPr>
                <w:rFonts w:ascii="Arial Narrow" w:hAnsi="Arial Narrow" w:cs="Arial"/>
                <w:color w:val="000000"/>
                <w:sz w:val="16"/>
                <w:szCs w:val="16"/>
              </w:rPr>
              <w:t>$1,256</w:t>
            </w:r>
          </w:p>
        </w:tc>
      </w:tr>
      <w:tr w:rsidR="00CF6909" w:rsidRPr="00875B20" w:rsidTr="00CF6909">
        <w:tc>
          <w:tcPr>
            <w:tcW w:w="850" w:type="dxa"/>
            <w:gridSpan w:val="2"/>
            <w:vMerge/>
            <w:vAlign w:val="center"/>
            <w:hideMark/>
          </w:tcPr>
          <w:p w:rsidR="00CF6909" w:rsidRPr="00875B20" w:rsidRDefault="00CF6909" w:rsidP="00B70C3B">
            <w:pPr>
              <w:keepNext/>
              <w:keepLines/>
              <w:spacing w:line="240" w:lineRule="auto"/>
              <w:rPr>
                <w:rFonts w:ascii="Arial Narrow" w:hAnsi="Arial Narrow" w:cs="Arial"/>
                <w:b/>
                <w:bCs/>
                <w:color w:val="000000"/>
                <w:sz w:val="16"/>
                <w:szCs w:val="16"/>
              </w:rPr>
            </w:pPr>
          </w:p>
        </w:tc>
        <w:tc>
          <w:tcPr>
            <w:tcW w:w="1080" w:type="dxa"/>
            <w:vMerge w:val="restart"/>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Self Administered Web / Telephone Survey</w:t>
            </w:r>
          </w:p>
        </w:tc>
        <w:tc>
          <w:tcPr>
            <w:tcW w:w="1038"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Pretest</w:t>
            </w:r>
          </w:p>
        </w:tc>
        <w:tc>
          <w:tcPr>
            <w:tcW w:w="906" w:type="dxa"/>
            <w:vMerge w:val="restart"/>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Private School Business Managers</w:t>
            </w:r>
          </w:p>
        </w:tc>
        <w:tc>
          <w:tcPr>
            <w:tcW w:w="1129" w:type="dxa"/>
            <w:shd w:val="clear" w:color="auto" w:fill="auto"/>
            <w:noWrap/>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3 </w:t>
            </w:r>
          </w:p>
        </w:tc>
        <w:tc>
          <w:tcPr>
            <w:tcW w:w="949" w:type="dxa"/>
            <w:shd w:val="clear" w:color="auto" w:fill="auto"/>
            <w:noWrap/>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 </w:t>
            </w:r>
          </w:p>
        </w:tc>
        <w:tc>
          <w:tcPr>
            <w:tcW w:w="950"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3 </w:t>
            </w:r>
          </w:p>
        </w:tc>
        <w:tc>
          <w:tcPr>
            <w:tcW w:w="878"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 </w:t>
            </w:r>
          </w:p>
        </w:tc>
        <w:tc>
          <w:tcPr>
            <w:tcW w:w="720"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3 </w:t>
            </w:r>
          </w:p>
        </w:tc>
        <w:tc>
          <w:tcPr>
            <w:tcW w:w="1060" w:type="dxa"/>
            <w:shd w:val="clear" w:color="auto" w:fill="auto"/>
            <w:vAlign w:val="center"/>
            <w:hideMark/>
          </w:tcPr>
          <w:p w:rsidR="00CF6909" w:rsidRPr="00875B20" w:rsidRDefault="00CF6909" w:rsidP="00B70C3B">
            <w:pPr>
              <w:keepNext/>
              <w:keepLines/>
              <w:spacing w:line="240" w:lineRule="auto"/>
              <w:jc w:val="right"/>
              <w:rPr>
                <w:rFonts w:ascii="Arial Narrow" w:hAnsi="Arial Narrow" w:cs="Arial"/>
                <w:color w:val="000000"/>
                <w:sz w:val="16"/>
                <w:szCs w:val="16"/>
              </w:rPr>
            </w:pPr>
            <w:r w:rsidRPr="00875B20">
              <w:rPr>
                <w:rFonts w:ascii="Arial Narrow" w:hAnsi="Arial Narrow" w:cs="Arial"/>
                <w:color w:val="000000"/>
                <w:sz w:val="16"/>
                <w:szCs w:val="16"/>
              </w:rPr>
              <w:t>$130</w:t>
            </w:r>
          </w:p>
        </w:tc>
      </w:tr>
      <w:tr w:rsidR="00CF6909" w:rsidRPr="00875B20" w:rsidTr="00CF6909">
        <w:tc>
          <w:tcPr>
            <w:tcW w:w="850" w:type="dxa"/>
            <w:gridSpan w:val="2"/>
            <w:vMerge/>
            <w:vAlign w:val="center"/>
            <w:hideMark/>
          </w:tcPr>
          <w:p w:rsidR="00CF6909" w:rsidRPr="00875B20" w:rsidRDefault="00CF6909" w:rsidP="00B70C3B">
            <w:pPr>
              <w:keepNext/>
              <w:keepLines/>
              <w:spacing w:line="240" w:lineRule="auto"/>
              <w:rPr>
                <w:rFonts w:ascii="Arial Narrow" w:hAnsi="Arial Narrow" w:cs="Arial"/>
                <w:b/>
                <w:bCs/>
                <w:color w:val="000000"/>
                <w:sz w:val="16"/>
                <w:szCs w:val="16"/>
              </w:rPr>
            </w:pPr>
          </w:p>
        </w:tc>
        <w:tc>
          <w:tcPr>
            <w:tcW w:w="1080" w:type="dxa"/>
            <w:vMerge/>
            <w:vAlign w:val="center"/>
            <w:hideMark/>
          </w:tcPr>
          <w:p w:rsidR="00CF6909" w:rsidRPr="00875B20" w:rsidRDefault="00CF6909" w:rsidP="00B70C3B">
            <w:pPr>
              <w:keepNext/>
              <w:keepLines/>
              <w:spacing w:line="240" w:lineRule="auto"/>
              <w:rPr>
                <w:rFonts w:ascii="Arial Narrow" w:hAnsi="Arial Narrow" w:cs="Arial"/>
                <w:color w:val="000000"/>
                <w:sz w:val="16"/>
                <w:szCs w:val="16"/>
              </w:rPr>
            </w:pPr>
          </w:p>
        </w:tc>
        <w:tc>
          <w:tcPr>
            <w:tcW w:w="1038"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Nonresponse</w:t>
            </w:r>
          </w:p>
        </w:tc>
        <w:tc>
          <w:tcPr>
            <w:tcW w:w="906" w:type="dxa"/>
            <w:vMerge/>
            <w:vAlign w:val="center"/>
            <w:hideMark/>
          </w:tcPr>
          <w:p w:rsidR="00CF6909" w:rsidRPr="00875B20" w:rsidRDefault="00CF6909" w:rsidP="00B70C3B">
            <w:pPr>
              <w:keepNext/>
              <w:keepLines/>
              <w:spacing w:line="240" w:lineRule="auto"/>
              <w:rPr>
                <w:rFonts w:ascii="Arial Narrow" w:hAnsi="Arial Narrow" w:cs="Arial"/>
                <w:color w:val="000000"/>
                <w:sz w:val="16"/>
                <w:szCs w:val="16"/>
              </w:rPr>
            </w:pPr>
          </w:p>
        </w:tc>
        <w:tc>
          <w:tcPr>
            <w:tcW w:w="1129" w:type="dxa"/>
            <w:shd w:val="clear" w:color="auto" w:fill="auto"/>
            <w:noWrap/>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25 </w:t>
            </w:r>
          </w:p>
        </w:tc>
        <w:tc>
          <w:tcPr>
            <w:tcW w:w="949" w:type="dxa"/>
            <w:shd w:val="clear" w:color="auto" w:fill="auto"/>
            <w:noWrap/>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 </w:t>
            </w:r>
          </w:p>
        </w:tc>
        <w:tc>
          <w:tcPr>
            <w:tcW w:w="950"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25 </w:t>
            </w:r>
          </w:p>
        </w:tc>
        <w:tc>
          <w:tcPr>
            <w:tcW w:w="878"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0.07 </w:t>
            </w:r>
          </w:p>
        </w:tc>
        <w:tc>
          <w:tcPr>
            <w:tcW w:w="720" w:type="dxa"/>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1.75 </w:t>
            </w:r>
          </w:p>
        </w:tc>
        <w:tc>
          <w:tcPr>
            <w:tcW w:w="1060" w:type="dxa"/>
            <w:shd w:val="clear" w:color="auto" w:fill="auto"/>
            <w:vAlign w:val="center"/>
            <w:hideMark/>
          </w:tcPr>
          <w:p w:rsidR="00CF6909" w:rsidRPr="00875B20" w:rsidRDefault="00CF6909" w:rsidP="00B70C3B">
            <w:pPr>
              <w:keepNext/>
              <w:keepLines/>
              <w:spacing w:line="240" w:lineRule="auto"/>
              <w:jc w:val="right"/>
              <w:rPr>
                <w:rFonts w:ascii="Arial Narrow" w:hAnsi="Arial Narrow" w:cs="Arial"/>
                <w:color w:val="000000"/>
                <w:sz w:val="16"/>
                <w:szCs w:val="16"/>
              </w:rPr>
            </w:pPr>
            <w:r w:rsidRPr="00875B20">
              <w:rPr>
                <w:rFonts w:ascii="Arial Narrow" w:hAnsi="Arial Narrow" w:cs="Arial"/>
                <w:color w:val="000000"/>
                <w:sz w:val="16"/>
                <w:szCs w:val="16"/>
              </w:rPr>
              <w:t>$76</w:t>
            </w:r>
          </w:p>
        </w:tc>
      </w:tr>
      <w:tr w:rsidR="00CF6909" w:rsidRPr="00875B20" w:rsidTr="00CF6909">
        <w:tc>
          <w:tcPr>
            <w:tcW w:w="850" w:type="dxa"/>
            <w:gridSpan w:val="2"/>
            <w:vMerge/>
            <w:tcBorders>
              <w:bottom w:val="single" w:sz="4" w:space="0" w:color="7F7F7F" w:themeColor="text1" w:themeTint="80"/>
            </w:tcBorders>
            <w:vAlign w:val="center"/>
            <w:hideMark/>
          </w:tcPr>
          <w:p w:rsidR="00CF6909" w:rsidRPr="00875B20" w:rsidRDefault="00CF6909" w:rsidP="00B70C3B">
            <w:pPr>
              <w:keepNext/>
              <w:keepLines/>
              <w:spacing w:line="240" w:lineRule="auto"/>
              <w:rPr>
                <w:rFonts w:ascii="Arial Narrow" w:hAnsi="Arial Narrow" w:cs="Arial"/>
                <w:b/>
                <w:bCs/>
                <w:color w:val="000000"/>
                <w:sz w:val="16"/>
                <w:szCs w:val="16"/>
              </w:rPr>
            </w:pPr>
          </w:p>
        </w:tc>
        <w:tc>
          <w:tcPr>
            <w:tcW w:w="1080" w:type="dxa"/>
            <w:vMerge/>
            <w:tcBorders>
              <w:bottom w:val="single" w:sz="4" w:space="0" w:color="7F7F7F" w:themeColor="text1" w:themeTint="80"/>
            </w:tcBorders>
            <w:vAlign w:val="center"/>
            <w:hideMark/>
          </w:tcPr>
          <w:p w:rsidR="00CF6909" w:rsidRPr="00875B20" w:rsidRDefault="00CF6909" w:rsidP="00B70C3B">
            <w:pPr>
              <w:keepNext/>
              <w:keepLines/>
              <w:spacing w:line="240" w:lineRule="auto"/>
              <w:rPr>
                <w:rFonts w:ascii="Arial Narrow" w:hAnsi="Arial Narrow" w:cs="Arial"/>
                <w:color w:val="000000"/>
                <w:sz w:val="16"/>
                <w:szCs w:val="16"/>
              </w:rPr>
            </w:pPr>
          </w:p>
        </w:tc>
        <w:tc>
          <w:tcPr>
            <w:tcW w:w="1038" w:type="dxa"/>
            <w:tcBorders>
              <w:bottom w:val="single" w:sz="4"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Respondent</w:t>
            </w:r>
          </w:p>
        </w:tc>
        <w:tc>
          <w:tcPr>
            <w:tcW w:w="906" w:type="dxa"/>
            <w:vMerge/>
            <w:tcBorders>
              <w:bottom w:val="single" w:sz="4" w:space="0" w:color="7F7F7F" w:themeColor="text1" w:themeTint="80"/>
            </w:tcBorders>
            <w:vAlign w:val="center"/>
            <w:hideMark/>
          </w:tcPr>
          <w:p w:rsidR="00CF6909" w:rsidRPr="00875B20" w:rsidRDefault="00CF6909" w:rsidP="00B70C3B">
            <w:pPr>
              <w:keepNext/>
              <w:keepLines/>
              <w:spacing w:line="240" w:lineRule="auto"/>
              <w:rPr>
                <w:rFonts w:ascii="Arial Narrow" w:hAnsi="Arial Narrow" w:cs="Arial"/>
                <w:color w:val="000000"/>
                <w:sz w:val="16"/>
                <w:szCs w:val="16"/>
              </w:rPr>
            </w:pPr>
          </w:p>
        </w:tc>
        <w:tc>
          <w:tcPr>
            <w:tcW w:w="1129" w:type="dxa"/>
            <w:tcBorders>
              <w:bottom w:val="single" w:sz="4"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100 </w:t>
            </w:r>
          </w:p>
        </w:tc>
        <w:tc>
          <w:tcPr>
            <w:tcW w:w="949" w:type="dxa"/>
            <w:tcBorders>
              <w:bottom w:val="single" w:sz="4"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 </w:t>
            </w:r>
          </w:p>
        </w:tc>
        <w:tc>
          <w:tcPr>
            <w:tcW w:w="950" w:type="dxa"/>
            <w:tcBorders>
              <w:bottom w:val="single" w:sz="4"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100 </w:t>
            </w:r>
          </w:p>
        </w:tc>
        <w:tc>
          <w:tcPr>
            <w:tcW w:w="878" w:type="dxa"/>
            <w:tcBorders>
              <w:bottom w:val="single" w:sz="4"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 </w:t>
            </w:r>
          </w:p>
        </w:tc>
        <w:tc>
          <w:tcPr>
            <w:tcW w:w="720" w:type="dxa"/>
            <w:tcBorders>
              <w:bottom w:val="single" w:sz="4" w:space="0" w:color="7F7F7F" w:themeColor="text1" w:themeTint="80"/>
            </w:tcBorders>
            <w:shd w:val="clear" w:color="auto" w:fill="auto"/>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color w:val="000000"/>
                <w:sz w:val="16"/>
                <w:szCs w:val="16"/>
              </w:rPr>
              <w:t xml:space="preserve">100 </w:t>
            </w:r>
          </w:p>
        </w:tc>
        <w:tc>
          <w:tcPr>
            <w:tcW w:w="1060" w:type="dxa"/>
            <w:tcBorders>
              <w:bottom w:val="single" w:sz="4" w:space="0" w:color="7F7F7F" w:themeColor="text1" w:themeTint="80"/>
            </w:tcBorders>
            <w:shd w:val="clear" w:color="auto" w:fill="auto"/>
            <w:vAlign w:val="center"/>
            <w:hideMark/>
          </w:tcPr>
          <w:p w:rsidR="00CF6909" w:rsidRPr="00875B20" w:rsidRDefault="00CF6909" w:rsidP="00B70C3B">
            <w:pPr>
              <w:keepNext/>
              <w:keepLines/>
              <w:spacing w:line="240" w:lineRule="auto"/>
              <w:jc w:val="right"/>
              <w:rPr>
                <w:rFonts w:ascii="Arial Narrow" w:hAnsi="Arial Narrow" w:cs="Arial"/>
                <w:color w:val="000000"/>
                <w:sz w:val="16"/>
                <w:szCs w:val="16"/>
              </w:rPr>
            </w:pPr>
            <w:r w:rsidRPr="00875B20">
              <w:rPr>
                <w:rFonts w:ascii="Arial Narrow" w:hAnsi="Arial Narrow" w:cs="Arial"/>
                <w:color w:val="000000"/>
                <w:sz w:val="16"/>
                <w:szCs w:val="16"/>
              </w:rPr>
              <w:t>$4,326</w:t>
            </w:r>
          </w:p>
        </w:tc>
      </w:tr>
      <w:tr w:rsidR="00CF6909" w:rsidRPr="00875B20" w:rsidTr="00CF6909">
        <w:tc>
          <w:tcPr>
            <w:tcW w:w="3874" w:type="dxa"/>
            <w:gridSpan w:val="5"/>
            <w:tcBorders>
              <w:bottom w:val="single" w:sz="12" w:space="0" w:color="7F7F7F" w:themeColor="text1" w:themeTint="80"/>
            </w:tcBorders>
            <w:shd w:val="clear" w:color="000000" w:fill="BFBFBF"/>
            <w:vAlign w:val="center"/>
            <w:hideMark/>
          </w:tcPr>
          <w:p w:rsidR="00CF6909" w:rsidRPr="00875B20" w:rsidRDefault="00CF6909" w:rsidP="00B70C3B">
            <w:pPr>
              <w:keepNext/>
              <w:keepLines/>
              <w:spacing w:line="240" w:lineRule="auto"/>
              <w:rPr>
                <w:rFonts w:ascii="Arial Narrow" w:hAnsi="Arial Narrow" w:cs="Arial"/>
                <w:b/>
                <w:bCs/>
                <w:color w:val="000000"/>
                <w:sz w:val="16"/>
                <w:szCs w:val="16"/>
              </w:rPr>
            </w:pPr>
            <w:r w:rsidRPr="00875B20">
              <w:rPr>
                <w:rFonts w:ascii="Arial Narrow" w:hAnsi="Arial Narrow" w:cs="Arial"/>
                <w:b/>
                <w:bCs/>
                <w:color w:val="000000"/>
                <w:sz w:val="16"/>
                <w:szCs w:val="16"/>
              </w:rPr>
              <w:t>SUBTOTAL</w:t>
            </w:r>
          </w:p>
        </w:tc>
        <w:tc>
          <w:tcPr>
            <w:tcW w:w="1129" w:type="dxa"/>
            <w:tcBorders>
              <w:bottom w:val="single" w:sz="12" w:space="0" w:color="7F7F7F" w:themeColor="text1" w:themeTint="80"/>
            </w:tcBorders>
            <w:shd w:val="clear" w:color="000000" w:fill="BFBFBF"/>
            <w:vAlign w:val="center"/>
            <w:hideMark/>
          </w:tcPr>
          <w:p w:rsidR="00CF6909" w:rsidRPr="00875B20" w:rsidRDefault="00CF6909" w:rsidP="00B70C3B">
            <w:pPr>
              <w:keepNext/>
              <w:keepLines/>
              <w:spacing w:line="240" w:lineRule="auto"/>
              <w:jc w:val="center"/>
              <w:rPr>
                <w:rFonts w:ascii="Arial Narrow" w:hAnsi="Arial Narrow" w:cs="Arial"/>
                <w:b/>
                <w:bCs/>
                <w:color w:val="000000"/>
                <w:sz w:val="16"/>
                <w:szCs w:val="16"/>
              </w:rPr>
            </w:pPr>
            <w:r w:rsidRPr="00875B20">
              <w:rPr>
                <w:rFonts w:ascii="Arial Narrow" w:hAnsi="Arial Narrow" w:cs="Arial"/>
                <w:b/>
                <w:bCs/>
                <w:color w:val="000000"/>
                <w:sz w:val="16"/>
                <w:szCs w:val="16"/>
              </w:rPr>
              <w:t>256</w:t>
            </w:r>
          </w:p>
        </w:tc>
        <w:tc>
          <w:tcPr>
            <w:tcW w:w="949" w:type="dxa"/>
            <w:tcBorders>
              <w:bottom w:val="single" w:sz="12" w:space="0" w:color="7F7F7F" w:themeColor="text1" w:themeTint="80"/>
            </w:tcBorders>
            <w:shd w:val="clear" w:color="000000" w:fill="66FFCC"/>
            <w:noWrap/>
            <w:vAlign w:val="center"/>
            <w:hideMark/>
          </w:tcPr>
          <w:p w:rsidR="00CF6909" w:rsidRPr="00875B20" w:rsidRDefault="00CF6909" w:rsidP="00B70C3B">
            <w:pPr>
              <w:keepNext/>
              <w:keepLines/>
              <w:spacing w:line="240" w:lineRule="auto"/>
              <w:jc w:val="right"/>
              <w:rPr>
                <w:rFonts w:ascii="Arial Narrow" w:hAnsi="Arial Narrow" w:cs="Arial"/>
                <w:b/>
                <w:bCs/>
                <w:color w:val="000000"/>
                <w:sz w:val="16"/>
                <w:szCs w:val="16"/>
              </w:rPr>
            </w:pPr>
          </w:p>
        </w:tc>
        <w:tc>
          <w:tcPr>
            <w:tcW w:w="950" w:type="dxa"/>
            <w:tcBorders>
              <w:bottom w:val="single" w:sz="12" w:space="0" w:color="7F7F7F" w:themeColor="text1" w:themeTint="80"/>
            </w:tcBorders>
            <w:shd w:val="clear" w:color="000000" w:fill="BFBFBF"/>
            <w:vAlign w:val="center"/>
            <w:hideMark/>
          </w:tcPr>
          <w:p w:rsidR="00CF6909" w:rsidRPr="00875B20" w:rsidRDefault="00CF6909" w:rsidP="00B70C3B">
            <w:pPr>
              <w:keepNext/>
              <w:keepLines/>
              <w:spacing w:line="240" w:lineRule="auto"/>
              <w:jc w:val="center"/>
              <w:rPr>
                <w:rFonts w:ascii="Arial Narrow" w:hAnsi="Arial Narrow" w:cs="Arial"/>
                <w:b/>
                <w:bCs/>
                <w:color w:val="000000"/>
                <w:sz w:val="16"/>
                <w:szCs w:val="16"/>
              </w:rPr>
            </w:pPr>
            <w:r w:rsidRPr="00875B20">
              <w:rPr>
                <w:rFonts w:ascii="Arial Narrow" w:hAnsi="Arial Narrow" w:cs="Arial"/>
                <w:b/>
                <w:bCs/>
                <w:color w:val="000000"/>
                <w:sz w:val="16"/>
                <w:szCs w:val="16"/>
              </w:rPr>
              <w:t>256</w:t>
            </w:r>
          </w:p>
        </w:tc>
        <w:tc>
          <w:tcPr>
            <w:tcW w:w="878" w:type="dxa"/>
            <w:tcBorders>
              <w:bottom w:val="single" w:sz="12" w:space="0" w:color="7F7F7F" w:themeColor="text1" w:themeTint="80"/>
            </w:tcBorders>
            <w:shd w:val="clear" w:color="000000" w:fill="66FFCC"/>
            <w:noWrap/>
            <w:vAlign w:val="center"/>
            <w:hideMark/>
          </w:tcPr>
          <w:p w:rsidR="00CF6909" w:rsidRPr="00875B20" w:rsidRDefault="00CF6909" w:rsidP="00B70C3B">
            <w:pPr>
              <w:keepNext/>
              <w:keepLines/>
              <w:spacing w:line="240" w:lineRule="auto"/>
              <w:jc w:val="center"/>
              <w:rPr>
                <w:rFonts w:ascii="Arial Narrow" w:hAnsi="Arial Narrow" w:cs="Arial"/>
                <w:b/>
                <w:bCs/>
                <w:color w:val="000000"/>
                <w:sz w:val="16"/>
                <w:szCs w:val="16"/>
              </w:rPr>
            </w:pPr>
            <w:r w:rsidRPr="00875B20">
              <w:rPr>
                <w:rFonts w:ascii="Arial Narrow" w:hAnsi="Arial Narrow" w:cs="Arial"/>
                <w:b/>
                <w:bCs/>
                <w:color w:val="000000"/>
                <w:sz w:val="16"/>
                <w:szCs w:val="16"/>
              </w:rPr>
              <w:t>0.62</w:t>
            </w:r>
          </w:p>
        </w:tc>
        <w:tc>
          <w:tcPr>
            <w:tcW w:w="720" w:type="dxa"/>
            <w:tcBorders>
              <w:bottom w:val="single" w:sz="12" w:space="0" w:color="7F7F7F" w:themeColor="text1" w:themeTint="80"/>
            </w:tcBorders>
            <w:shd w:val="clear" w:color="000000" w:fill="BFBFBF"/>
            <w:vAlign w:val="center"/>
            <w:hideMark/>
          </w:tcPr>
          <w:p w:rsidR="00CF6909" w:rsidRPr="00875B20" w:rsidRDefault="00CF6909" w:rsidP="00B70C3B">
            <w:pPr>
              <w:keepNext/>
              <w:keepLines/>
              <w:spacing w:line="240" w:lineRule="auto"/>
              <w:jc w:val="center"/>
              <w:rPr>
                <w:rFonts w:ascii="Arial Narrow" w:hAnsi="Arial Narrow" w:cs="Arial"/>
                <w:b/>
                <w:bCs/>
                <w:color w:val="000000"/>
                <w:sz w:val="16"/>
                <w:szCs w:val="16"/>
              </w:rPr>
            </w:pPr>
            <w:r w:rsidRPr="00875B20">
              <w:rPr>
                <w:rFonts w:ascii="Arial Narrow" w:hAnsi="Arial Narrow" w:cs="Arial"/>
                <w:b/>
                <w:bCs/>
                <w:color w:val="000000"/>
                <w:sz w:val="16"/>
                <w:szCs w:val="16"/>
              </w:rPr>
              <w:t>158</w:t>
            </w:r>
          </w:p>
        </w:tc>
        <w:tc>
          <w:tcPr>
            <w:tcW w:w="1060" w:type="dxa"/>
            <w:tcBorders>
              <w:bottom w:val="single" w:sz="12" w:space="0" w:color="7F7F7F" w:themeColor="text1" w:themeTint="80"/>
            </w:tcBorders>
            <w:shd w:val="clear" w:color="000000" w:fill="BFBFBF"/>
            <w:vAlign w:val="center"/>
            <w:hideMark/>
          </w:tcPr>
          <w:p w:rsidR="00CF6909" w:rsidRPr="00875B20" w:rsidRDefault="00CF6909" w:rsidP="00B70C3B">
            <w:pPr>
              <w:keepNext/>
              <w:keepLines/>
              <w:spacing w:line="240" w:lineRule="auto"/>
              <w:jc w:val="right"/>
              <w:rPr>
                <w:rFonts w:ascii="Arial Narrow" w:hAnsi="Arial Narrow" w:cs="Arial"/>
                <w:b/>
                <w:bCs/>
                <w:color w:val="000000"/>
                <w:sz w:val="16"/>
                <w:szCs w:val="16"/>
              </w:rPr>
            </w:pPr>
            <w:r w:rsidRPr="00875B20">
              <w:rPr>
                <w:rFonts w:ascii="Arial Narrow" w:hAnsi="Arial Narrow" w:cs="Arial"/>
                <w:b/>
                <w:bCs/>
                <w:color w:val="000000"/>
                <w:sz w:val="16"/>
                <w:szCs w:val="16"/>
              </w:rPr>
              <w:t xml:space="preserve">$5,870 </w:t>
            </w:r>
          </w:p>
        </w:tc>
      </w:tr>
      <w:tr w:rsidR="00CF6909" w:rsidRPr="00875B20" w:rsidTr="00CF6909">
        <w:trPr>
          <w:trHeight w:val="267"/>
        </w:trPr>
        <w:tc>
          <w:tcPr>
            <w:tcW w:w="3874" w:type="dxa"/>
            <w:gridSpan w:val="5"/>
            <w:tcBorders>
              <w:top w:val="single" w:sz="12" w:space="0" w:color="7F7F7F" w:themeColor="text1" w:themeTint="80"/>
            </w:tcBorders>
            <w:shd w:val="clear" w:color="000000" w:fill="C5D9F1"/>
            <w:noWrap/>
            <w:vAlign w:val="center"/>
            <w:hideMark/>
          </w:tcPr>
          <w:p w:rsidR="00CF6909" w:rsidRPr="00875B20" w:rsidRDefault="00CF6909" w:rsidP="00B70C3B">
            <w:pPr>
              <w:keepNext/>
              <w:keepLines/>
              <w:spacing w:line="240" w:lineRule="auto"/>
              <w:rPr>
                <w:rFonts w:ascii="Arial Narrow" w:hAnsi="Arial Narrow" w:cs="Arial"/>
                <w:b/>
                <w:bCs/>
                <w:color w:val="000000"/>
                <w:sz w:val="16"/>
                <w:szCs w:val="16"/>
              </w:rPr>
            </w:pPr>
            <w:r w:rsidRPr="00875B20">
              <w:rPr>
                <w:rFonts w:ascii="Arial Narrow" w:hAnsi="Arial Narrow" w:cs="Arial"/>
                <w:b/>
                <w:bCs/>
                <w:color w:val="000000"/>
                <w:sz w:val="16"/>
                <w:szCs w:val="16"/>
              </w:rPr>
              <w:t>GRAND TOTAL</w:t>
            </w:r>
          </w:p>
        </w:tc>
        <w:tc>
          <w:tcPr>
            <w:tcW w:w="1129" w:type="dxa"/>
            <w:tcBorders>
              <w:top w:val="single" w:sz="12" w:space="0" w:color="7F7F7F" w:themeColor="text1" w:themeTint="80"/>
            </w:tcBorders>
            <w:shd w:val="clear" w:color="000000" w:fill="C5D9F1"/>
            <w:noWrap/>
            <w:vAlign w:val="center"/>
            <w:hideMark/>
          </w:tcPr>
          <w:p w:rsidR="00CF6909" w:rsidRPr="00875B20" w:rsidRDefault="00CF6909" w:rsidP="00B70C3B">
            <w:pPr>
              <w:keepNext/>
              <w:keepLines/>
              <w:spacing w:line="240" w:lineRule="auto"/>
              <w:jc w:val="center"/>
              <w:rPr>
                <w:rFonts w:ascii="Arial Narrow" w:hAnsi="Arial Narrow" w:cs="Arial"/>
                <w:b/>
                <w:bCs/>
                <w:color w:val="000000"/>
                <w:sz w:val="16"/>
                <w:szCs w:val="16"/>
              </w:rPr>
            </w:pPr>
            <w:r w:rsidRPr="00875B20">
              <w:rPr>
                <w:rFonts w:ascii="Arial Narrow" w:hAnsi="Arial Narrow" w:cs="Arial"/>
                <w:b/>
                <w:bCs/>
                <w:color w:val="000000"/>
                <w:sz w:val="16"/>
                <w:szCs w:val="16"/>
              </w:rPr>
              <w:t>5,118</w:t>
            </w:r>
          </w:p>
        </w:tc>
        <w:tc>
          <w:tcPr>
            <w:tcW w:w="949" w:type="dxa"/>
            <w:tcBorders>
              <w:top w:val="single" w:sz="12" w:space="0" w:color="7F7F7F" w:themeColor="text1" w:themeTint="80"/>
            </w:tcBorders>
            <w:shd w:val="clear" w:color="000000" w:fill="66FFCC"/>
            <w:noWrap/>
            <w:vAlign w:val="center"/>
            <w:hideMark/>
          </w:tcPr>
          <w:p w:rsidR="00CF6909" w:rsidRPr="00875B20" w:rsidRDefault="00CF6909" w:rsidP="00B70C3B">
            <w:pPr>
              <w:keepNext/>
              <w:keepLines/>
              <w:spacing w:line="240" w:lineRule="auto"/>
              <w:jc w:val="right"/>
              <w:rPr>
                <w:rFonts w:ascii="Arial Narrow" w:hAnsi="Arial Narrow" w:cs="Arial"/>
                <w:color w:val="000000"/>
                <w:sz w:val="16"/>
                <w:szCs w:val="16"/>
              </w:rPr>
            </w:pPr>
          </w:p>
        </w:tc>
        <w:tc>
          <w:tcPr>
            <w:tcW w:w="950" w:type="dxa"/>
            <w:tcBorders>
              <w:top w:val="single" w:sz="12" w:space="0" w:color="7F7F7F" w:themeColor="text1" w:themeTint="80"/>
            </w:tcBorders>
            <w:shd w:val="clear" w:color="000000" w:fill="C5D9F1"/>
            <w:noWrap/>
            <w:vAlign w:val="center"/>
            <w:hideMark/>
          </w:tcPr>
          <w:p w:rsidR="00CF6909" w:rsidRPr="00875B20" w:rsidRDefault="00CF6909" w:rsidP="00B70C3B">
            <w:pPr>
              <w:keepNext/>
              <w:keepLines/>
              <w:spacing w:line="240" w:lineRule="auto"/>
              <w:jc w:val="center"/>
              <w:rPr>
                <w:rFonts w:ascii="Arial Narrow" w:hAnsi="Arial Narrow" w:cs="Arial"/>
                <w:b/>
                <w:bCs/>
                <w:color w:val="000000"/>
                <w:sz w:val="16"/>
                <w:szCs w:val="16"/>
              </w:rPr>
            </w:pPr>
            <w:r w:rsidRPr="00875B20">
              <w:rPr>
                <w:rFonts w:ascii="Arial Narrow" w:hAnsi="Arial Narrow" w:cs="Arial"/>
                <w:b/>
                <w:bCs/>
                <w:color w:val="000000"/>
                <w:sz w:val="16"/>
                <w:szCs w:val="16"/>
              </w:rPr>
              <w:t>5,118</w:t>
            </w:r>
          </w:p>
        </w:tc>
        <w:tc>
          <w:tcPr>
            <w:tcW w:w="878" w:type="dxa"/>
            <w:tcBorders>
              <w:top w:val="single" w:sz="12" w:space="0" w:color="7F7F7F" w:themeColor="text1" w:themeTint="80"/>
            </w:tcBorders>
            <w:shd w:val="clear" w:color="000000" w:fill="66FFCC"/>
            <w:noWrap/>
            <w:vAlign w:val="center"/>
            <w:hideMark/>
          </w:tcPr>
          <w:p w:rsidR="00CF6909" w:rsidRPr="00875B20" w:rsidRDefault="00CF6909" w:rsidP="00B70C3B">
            <w:pPr>
              <w:keepNext/>
              <w:keepLines/>
              <w:spacing w:line="240" w:lineRule="auto"/>
              <w:jc w:val="center"/>
              <w:rPr>
                <w:rFonts w:ascii="Arial Narrow" w:hAnsi="Arial Narrow" w:cs="Arial"/>
                <w:color w:val="000000"/>
                <w:sz w:val="16"/>
                <w:szCs w:val="16"/>
              </w:rPr>
            </w:pPr>
            <w:r w:rsidRPr="00875B20">
              <w:rPr>
                <w:rFonts w:ascii="Arial Narrow" w:hAnsi="Arial Narrow" w:cs="Arial"/>
                <w:b/>
                <w:bCs/>
                <w:color w:val="000000"/>
                <w:sz w:val="16"/>
                <w:szCs w:val="16"/>
              </w:rPr>
              <w:t>0.62</w:t>
            </w:r>
          </w:p>
        </w:tc>
        <w:tc>
          <w:tcPr>
            <w:tcW w:w="720" w:type="dxa"/>
            <w:tcBorders>
              <w:top w:val="single" w:sz="12" w:space="0" w:color="7F7F7F" w:themeColor="text1" w:themeTint="80"/>
            </w:tcBorders>
            <w:shd w:val="clear" w:color="000000" w:fill="C5D9F1"/>
            <w:noWrap/>
            <w:vAlign w:val="center"/>
            <w:hideMark/>
          </w:tcPr>
          <w:p w:rsidR="00CF6909" w:rsidRPr="00875B20" w:rsidRDefault="00CF6909" w:rsidP="00B70C3B">
            <w:pPr>
              <w:keepNext/>
              <w:keepLines/>
              <w:spacing w:line="240" w:lineRule="auto"/>
              <w:jc w:val="center"/>
              <w:rPr>
                <w:rFonts w:ascii="Arial Narrow" w:hAnsi="Arial Narrow" w:cs="Arial"/>
                <w:b/>
                <w:bCs/>
                <w:color w:val="000000"/>
                <w:sz w:val="16"/>
                <w:szCs w:val="16"/>
              </w:rPr>
            </w:pPr>
            <w:r w:rsidRPr="00875B20">
              <w:rPr>
                <w:rFonts w:ascii="Arial Narrow" w:hAnsi="Arial Narrow" w:cs="Arial"/>
                <w:b/>
                <w:bCs/>
                <w:color w:val="000000"/>
                <w:sz w:val="16"/>
                <w:szCs w:val="16"/>
              </w:rPr>
              <w:t>3,159</w:t>
            </w:r>
          </w:p>
        </w:tc>
        <w:tc>
          <w:tcPr>
            <w:tcW w:w="1060" w:type="dxa"/>
            <w:tcBorders>
              <w:top w:val="single" w:sz="12" w:space="0" w:color="7F7F7F" w:themeColor="text1" w:themeTint="80"/>
            </w:tcBorders>
            <w:shd w:val="clear" w:color="000000" w:fill="C5D9F1"/>
            <w:noWrap/>
            <w:vAlign w:val="center"/>
            <w:hideMark/>
          </w:tcPr>
          <w:p w:rsidR="00CF6909" w:rsidRPr="00875B20" w:rsidRDefault="00CF6909" w:rsidP="00B70C3B">
            <w:pPr>
              <w:keepNext/>
              <w:keepLines/>
              <w:spacing w:line="240" w:lineRule="auto"/>
              <w:jc w:val="right"/>
              <w:rPr>
                <w:rFonts w:ascii="Arial Narrow" w:hAnsi="Arial Narrow" w:cs="Arial"/>
                <w:b/>
                <w:bCs/>
                <w:color w:val="000000"/>
                <w:sz w:val="16"/>
                <w:szCs w:val="16"/>
              </w:rPr>
            </w:pPr>
            <w:r w:rsidRPr="00875B20">
              <w:rPr>
                <w:rFonts w:ascii="Arial Narrow" w:hAnsi="Arial Narrow" w:cs="Arial"/>
                <w:b/>
                <w:bCs/>
                <w:color w:val="000000"/>
                <w:sz w:val="16"/>
                <w:szCs w:val="16"/>
              </w:rPr>
              <w:t>$117,583</w:t>
            </w:r>
          </w:p>
        </w:tc>
      </w:tr>
      <w:tr w:rsidR="00CF6909" w:rsidRPr="00252BDB" w:rsidTr="00CF6909">
        <w:trPr>
          <w:trHeight w:val="1151"/>
        </w:trPr>
        <w:tc>
          <w:tcPr>
            <w:tcW w:w="9560" w:type="dxa"/>
            <w:gridSpan w:val="11"/>
            <w:shd w:val="clear" w:color="auto" w:fill="auto"/>
            <w:noWrap/>
            <w:vAlign w:val="center"/>
            <w:hideMark/>
          </w:tcPr>
          <w:p w:rsidR="00CF6909" w:rsidRPr="0035502F" w:rsidRDefault="00CF6909" w:rsidP="00B70C3B">
            <w:pPr>
              <w:keepNext/>
              <w:keepLines/>
              <w:spacing w:line="240" w:lineRule="auto"/>
              <w:rPr>
                <w:rFonts w:ascii="Arial" w:hAnsi="Arial" w:cs="Arial"/>
                <w:color w:val="000000"/>
                <w:sz w:val="14"/>
                <w:szCs w:val="14"/>
              </w:rPr>
            </w:pPr>
            <w:r w:rsidRPr="0035502F">
              <w:rPr>
                <w:rFonts w:ascii="Arial" w:hAnsi="Arial" w:cs="Arial"/>
                <w:color w:val="000000"/>
                <w:sz w:val="14"/>
                <w:szCs w:val="14"/>
              </w:rPr>
              <w:t>Notes: "Total Annualized Cost of Respondent Burden" is equal to the "Total Annual Burden Estimate (hours)" times an average hourly wage rate.</w:t>
            </w:r>
          </w:p>
          <w:p w:rsidR="00CF6909" w:rsidRPr="0035502F" w:rsidRDefault="00CF6909" w:rsidP="00B70C3B">
            <w:pPr>
              <w:keepNext/>
              <w:keepLines/>
              <w:spacing w:line="240" w:lineRule="auto"/>
              <w:rPr>
                <w:rFonts w:ascii="Arial" w:hAnsi="Arial" w:cs="Arial"/>
                <w:color w:val="000000"/>
                <w:sz w:val="14"/>
                <w:szCs w:val="14"/>
              </w:rPr>
            </w:pPr>
          </w:p>
          <w:p w:rsidR="00CF6909" w:rsidRPr="00252BDB" w:rsidRDefault="00CF6909" w:rsidP="00B70C3B">
            <w:pPr>
              <w:keepNext/>
              <w:keepLines/>
              <w:spacing w:line="240" w:lineRule="auto"/>
              <w:rPr>
                <w:rFonts w:ascii="Arial" w:hAnsi="Arial" w:cs="Arial"/>
                <w:color w:val="000000"/>
                <w:sz w:val="16"/>
                <w:szCs w:val="16"/>
              </w:rPr>
            </w:pPr>
            <w:r w:rsidRPr="0035502F">
              <w:rPr>
                <w:rFonts w:ascii="Arial" w:hAnsi="Arial" w:cs="Arial"/>
                <w:color w:val="000000"/>
                <w:sz w:val="14"/>
                <w:szCs w:val="14"/>
              </w:rPr>
              <w:t xml:space="preserve">Average hourly wage rates used included School Foodservice Authority Director (Food Service Managers)-$25.11, Public Local Education Agency and Private School Business Manager (Elementary and Secondary School Administrator, annual salary of $89,990)- $43.26, State Child Nutrition Director (Education Administrator, All Other)- $39.36, and State Education Agency Financial Officer (Financial Analyst)- $41.36.  Average hourly wage rates are taken from: Bureau of Labor Statistics, </w:t>
            </w:r>
            <w:r w:rsidRPr="0035502F">
              <w:rPr>
                <w:rFonts w:ascii="Arial" w:hAnsi="Arial" w:cs="Arial"/>
                <w:i/>
                <w:color w:val="000000"/>
                <w:sz w:val="14"/>
                <w:szCs w:val="14"/>
              </w:rPr>
              <w:t>Wages by Occupation</w:t>
            </w:r>
            <w:r w:rsidRPr="0035502F">
              <w:rPr>
                <w:rFonts w:ascii="Arial" w:hAnsi="Arial" w:cs="Arial"/>
                <w:color w:val="000000"/>
                <w:sz w:val="14"/>
                <w:szCs w:val="14"/>
              </w:rPr>
              <w:t xml:space="preserve">, </w:t>
            </w:r>
            <w:proofErr w:type="gramStart"/>
            <w:r w:rsidRPr="0035502F">
              <w:rPr>
                <w:rFonts w:ascii="Arial" w:hAnsi="Arial" w:cs="Arial"/>
                <w:color w:val="000000"/>
                <w:sz w:val="14"/>
                <w:szCs w:val="14"/>
              </w:rPr>
              <w:t>May</w:t>
            </w:r>
            <w:proofErr w:type="gramEnd"/>
            <w:r w:rsidRPr="0035502F">
              <w:rPr>
                <w:rFonts w:ascii="Arial" w:hAnsi="Arial" w:cs="Arial"/>
                <w:color w:val="000000"/>
                <w:sz w:val="14"/>
                <w:szCs w:val="14"/>
              </w:rPr>
              <w:t xml:space="preserve"> 2010.</w:t>
            </w:r>
          </w:p>
        </w:tc>
      </w:tr>
    </w:tbl>
    <w:p w:rsidR="00CF6909" w:rsidRDefault="00CF6909" w:rsidP="00CF6909"/>
    <w:p w:rsidR="00502A8D" w:rsidRPr="007C69A6" w:rsidRDefault="00502A8D" w:rsidP="00367182">
      <w:pPr>
        <w:pStyle w:val="Heading2"/>
      </w:pPr>
      <w:bookmarkStart w:id="73" w:name="_Toc319071841"/>
      <w:r w:rsidRPr="007C69A6">
        <w:t>A.13</w:t>
      </w:r>
      <w:r w:rsidRPr="007C69A6">
        <w:tab/>
      </w:r>
      <w:r w:rsidR="00B64C24" w:rsidRPr="007C69A6">
        <w:t>Provide estimates of the total annual cost burden to respondents or record keepers resulting from the collection of information, (do not include the cost of any hour burden shown in items 12 and 14).</w:t>
      </w:r>
      <w:r w:rsidR="002069B7" w:rsidRPr="007C69A6">
        <w:t xml:space="preserve"> </w:t>
      </w:r>
      <w:r w:rsidR="00B64C24" w:rsidRPr="007C69A6">
        <w:t>The cost estimates should be split into two components: (a) a total capital and start-up cost component annualized over its expected useful life; and (b) a total operation and maintenance and purchase of services component.</w:t>
      </w:r>
      <w:bookmarkEnd w:id="73"/>
    </w:p>
    <w:p w:rsidR="009657FC" w:rsidRPr="008B0B93" w:rsidRDefault="008B0B93" w:rsidP="00502A8D">
      <w:pPr>
        <w:spacing w:line="480" w:lineRule="auto"/>
        <w:ind w:firstLine="360"/>
        <w:rPr>
          <w:szCs w:val="22"/>
        </w:rPr>
      </w:pPr>
      <w:r>
        <w:rPr>
          <w:szCs w:val="22"/>
        </w:rPr>
        <w:t xml:space="preserve">There </w:t>
      </w:r>
      <w:proofErr w:type="gramStart"/>
      <w:r>
        <w:rPr>
          <w:szCs w:val="22"/>
        </w:rPr>
        <w:t>are no capital</w:t>
      </w:r>
      <w:proofErr w:type="gramEnd"/>
      <w:r>
        <w:rPr>
          <w:szCs w:val="22"/>
        </w:rPr>
        <w:t xml:space="preserve"> and start-up or ongoing operation and </w:t>
      </w:r>
      <w:r w:rsidR="009657FC" w:rsidRPr="008B0B93">
        <w:rPr>
          <w:szCs w:val="22"/>
        </w:rPr>
        <w:t>maintenance costs associated with this information collection.</w:t>
      </w:r>
    </w:p>
    <w:p w:rsidR="00502A8D" w:rsidRPr="007C69A6" w:rsidRDefault="00502A8D" w:rsidP="00367182">
      <w:pPr>
        <w:pStyle w:val="Heading2"/>
      </w:pPr>
      <w:bookmarkStart w:id="74" w:name="_Toc319071842"/>
      <w:r w:rsidRPr="007C69A6">
        <w:t>A.14</w:t>
      </w:r>
      <w:r w:rsidRPr="007C69A6">
        <w:tab/>
      </w:r>
      <w:r w:rsidR="00B64C24" w:rsidRPr="007C69A6">
        <w:t>Provide estimates of annualized cost to the Federal government.</w:t>
      </w:r>
      <w:r w:rsidR="002069B7" w:rsidRPr="007C69A6">
        <w:t xml:space="preserve"> </w:t>
      </w:r>
      <w:r w:rsidR="00B64C24" w:rsidRPr="007C69A6">
        <w:t>Also, provide a description of the method used to estimate cost and any other expense that would not have been incurred without this collection of information.</w:t>
      </w:r>
      <w:bookmarkEnd w:id="74"/>
    </w:p>
    <w:p w:rsidR="00502A8D" w:rsidRPr="007C69A6" w:rsidRDefault="00502A8D" w:rsidP="00502A8D">
      <w:pPr>
        <w:pStyle w:val="CommentText"/>
        <w:spacing w:line="480" w:lineRule="auto"/>
        <w:ind w:firstLine="360"/>
      </w:pPr>
      <w:r w:rsidRPr="007C69A6">
        <w:rPr>
          <w:sz w:val="22"/>
          <w:szCs w:val="22"/>
        </w:rPr>
        <w:t>The annualized government costs include the costs associated with the contractor conducting the project and the salary of the assigned FNS project officer. The cost to the Federal government for all tasks is $1,777,272.</w:t>
      </w:r>
      <w:r w:rsidRPr="007C69A6">
        <w:t xml:space="preserve"> </w:t>
      </w:r>
      <w:r w:rsidRPr="007C69A6">
        <w:rPr>
          <w:sz w:val="22"/>
          <w:szCs w:val="22"/>
        </w:rPr>
        <w:t xml:space="preserve">This information collection also assumes that a total of 120 hours of Federal employee time for a GS-14, step 10 Senior Program Analyst serving as the FNS project officer at $65.53 per hour for a total of $7,863.60. Federal employee pay rates are based on the General Schedule of the Office of Personnel Management (OPM) for 2011.) </w:t>
      </w:r>
    </w:p>
    <w:p w:rsidR="00502A8D" w:rsidRPr="007C69A6" w:rsidRDefault="00502A8D" w:rsidP="00367182">
      <w:pPr>
        <w:pStyle w:val="Heading2"/>
      </w:pPr>
      <w:bookmarkStart w:id="75" w:name="_Toc319071843"/>
      <w:r w:rsidRPr="007C69A6">
        <w:t>A.15</w:t>
      </w:r>
      <w:r w:rsidRPr="007C69A6">
        <w:tab/>
      </w:r>
      <w:r w:rsidR="00B64C24" w:rsidRPr="007C69A6">
        <w:t>Explain the reasons for any program changes or adjustments reported in Items 13 or 14 of the OMB Form 83-1.</w:t>
      </w:r>
      <w:bookmarkEnd w:id="75"/>
    </w:p>
    <w:p w:rsidR="00502A8D" w:rsidRPr="007C69A6" w:rsidRDefault="00502A8D" w:rsidP="00502A8D">
      <w:pPr>
        <w:spacing w:line="480" w:lineRule="auto"/>
        <w:ind w:firstLine="360"/>
      </w:pPr>
      <w:r w:rsidRPr="007C69A6">
        <w:t xml:space="preserve">This </w:t>
      </w:r>
      <w:r w:rsidR="001F719F">
        <w:t xml:space="preserve">is a new information collection request.  This </w:t>
      </w:r>
      <w:r w:rsidRPr="007C69A6">
        <w:t>program change will add 3,</w:t>
      </w:r>
      <w:r w:rsidR="00F45A23">
        <w:t>159</w:t>
      </w:r>
      <w:r w:rsidR="00FA596C" w:rsidRPr="007C69A6">
        <w:t xml:space="preserve"> </w:t>
      </w:r>
      <w:r w:rsidRPr="007C69A6">
        <w:t>burden hours to the OMB collection inventory.</w:t>
      </w:r>
    </w:p>
    <w:p w:rsidR="001672C9" w:rsidRPr="007C69A6" w:rsidRDefault="001672C9" w:rsidP="00367182">
      <w:pPr>
        <w:pStyle w:val="Heading2"/>
      </w:pPr>
      <w:bookmarkStart w:id="76" w:name="_Toc319071844"/>
      <w:bookmarkStart w:id="77" w:name="_Toc280179156"/>
      <w:bookmarkStart w:id="78" w:name="_Toc280179187"/>
      <w:bookmarkStart w:id="79" w:name="_Toc310342860"/>
      <w:r w:rsidRPr="007C69A6">
        <w:t>A.16</w:t>
      </w:r>
      <w:r w:rsidRPr="007C69A6">
        <w:tab/>
      </w:r>
      <w:r w:rsidR="0021312C" w:rsidRPr="007C69A6">
        <w:t>For collections of information whose results are planned to be published, outline plans for tabulation and publication.</w:t>
      </w:r>
      <w:bookmarkEnd w:id="76"/>
    </w:p>
    <w:p w:rsidR="0021312C" w:rsidRPr="007C69A6" w:rsidRDefault="001672C9" w:rsidP="000851E0">
      <w:pPr>
        <w:spacing w:line="480" w:lineRule="auto"/>
        <w:ind w:firstLine="360"/>
      </w:pPr>
      <w:r w:rsidRPr="007C69A6">
        <w:t>The majority of the analyses will be descriptive in nature and will include means, medians, standard deviations, frequency distributions and cross tabulations of key outcome measures. The</w:t>
      </w:r>
      <w:r w:rsidR="0021312C" w:rsidRPr="007C69A6">
        <w:t xml:space="preserve"> analyses will include significance tests for subgroups for key outcome measures using t-statistics, chi-squared statistics and if needed, multivariate analyses such as OLS and logi</w:t>
      </w:r>
      <w:r w:rsidR="00AC1A6F">
        <w:t>s</w:t>
      </w:r>
      <w:r w:rsidR="0021312C" w:rsidRPr="007C69A6">
        <w:t>t</w:t>
      </w:r>
      <w:r w:rsidR="00AC1A6F">
        <w:t>ic</w:t>
      </w:r>
      <w:r w:rsidR="0021312C" w:rsidRPr="007C69A6">
        <w:t xml:space="preserve"> regression analysis. </w:t>
      </w:r>
    </w:p>
    <w:bookmarkEnd w:id="77"/>
    <w:bookmarkEnd w:id="78"/>
    <w:bookmarkEnd w:id="79"/>
    <w:p w:rsidR="0021312C" w:rsidRPr="007C69A6" w:rsidRDefault="00447223" w:rsidP="00186DF1">
      <w:pPr>
        <w:spacing w:line="480" w:lineRule="auto"/>
        <w:ind w:firstLine="360"/>
      </w:pPr>
      <w:r w:rsidRPr="007C69A6">
        <w:rPr>
          <w:szCs w:val="22"/>
        </w:rPr>
        <w:t>Exhibit A.2 presents the study schedule.</w:t>
      </w:r>
      <w:r w:rsidR="002069B7" w:rsidRPr="007C69A6">
        <w:rPr>
          <w:b/>
          <w:szCs w:val="22"/>
        </w:rPr>
        <w:t xml:space="preserve"> </w:t>
      </w:r>
      <w:r w:rsidRPr="007C69A6">
        <w:t>The contractor will present a summary of the study find</w:t>
      </w:r>
      <w:r w:rsidR="00CA3041">
        <w:t>ings to FNS on or about 4/</w:t>
      </w:r>
      <w:r w:rsidR="00AC1A6F">
        <w:t xml:space="preserve">8/13 </w:t>
      </w:r>
      <w:r w:rsidRPr="007C69A6">
        <w:t>and will submit the Final Report to FN</w:t>
      </w:r>
      <w:r w:rsidR="00CA3041">
        <w:t>S by 7/</w:t>
      </w:r>
      <w:r w:rsidRPr="007C69A6">
        <w:t>1/13. This report will form the basis of FNS’ Report</w:t>
      </w:r>
      <w:r w:rsidR="00CA3041">
        <w:t xml:space="preserve"> to Congress that is due on 12/</w:t>
      </w:r>
      <w:r w:rsidRPr="007C69A6">
        <w:t xml:space="preserve">1/13. </w:t>
      </w:r>
    </w:p>
    <w:p w:rsidR="00B336DF" w:rsidRPr="001539D3" w:rsidRDefault="00B336DF" w:rsidP="00E5608C">
      <w:pPr>
        <w:keepNext/>
        <w:keepLines/>
        <w:spacing w:line="240" w:lineRule="auto"/>
        <w:rPr>
          <w:rFonts w:ascii="Arial" w:hAnsi="Arial" w:cs="Arial"/>
          <w:b/>
          <w:sz w:val="20"/>
        </w:rPr>
      </w:pPr>
      <w:r w:rsidRPr="001539D3">
        <w:rPr>
          <w:rFonts w:ascii="Arial" w:hAnsi="Arial" w:cs="Arial"/>
          <w:b/>
          <w:sz w:val="20"/>
        </w:rPr>
        <w:t>Exhibit A.2.</w:t>
      </w:r>
      <w:r w:rsidRPr="001539D3">
        <w:rPr>
          <w:rFonts w:ascii="Arial" w:hAnsi="Arial" w:cs="Arial"/>
          <w:b/>
          <w:sz w:val="20"/>
        </w:rPr>
        <w:tab/>
        <w:t>Data Co</w:t>
      </w:r>
      <w:r w:rsidR="001539D3" w:rsidRPr="001539D3">
        <w:rPr>
          <w:rFonts w:ascii="Arial" w:hAnsi="Arial" w:cs="Arial"/>
          <w:b/>
          <w:sz w:val="20"/>
        </w:rPr>
        <w:t>llection and Reporting Schedule</w:t>
      </w:r>
    </w:p>
    <w:tbl>
      <w:tblPr>
        <w:tblW w:w="9292" w:type="dxa"/>
        <w:tblInd w:w="93"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CellMar>
          <w:left w:w="115" w:type="dxa"/>
          <w:right w:w="115" w:type="dxa"/>
        </w:tblCellMar>
        <w:tblLook w:val="0000"/>
      </w:tblPr>
      <w:tblGrid>
        <w:gridCol w:w="3802"/>
        <w:gridCol w:w="1440"/>
        <w:gridCol w:w="4050"/>
      </w:tblGrid>
      <w:tr w:rsidR="00B336DF" w:rsidRPr="007C69A6" w:rsidTr="00EE4BDB">
        <w:trPr>
          <w:cantSplit/>
        </w:trPr>
        <w:tc>
          <w:tcPr>
            <w:tcW w:w="3802" w:type="dxa"/>
            <w:shd w:val="clear" w:color="auto" w:fill="C3C6A8"/>
            <w:noWrap/>
            <w:vAlign w:val="center"/>
          </w:tcPr>
          <w:p w:rsidR="00B336DF" w:rsidRPr="007C69A6" w:rsidRDefault="00B336DF" w:rsidP="00E5608C">
            <w:pPr>
              <w:pStyle w:val="ExhibitColumnHeads"/>
              <w:keepNext/>
              <w:keepLines/>
              <w:jc w:val="left"/>
              <w:rPr>
                <w:sz w:val="20"/>
              </w:rPr>
            </w:pPr>
            <w:r w:rsidRPr="007C69A6">
              <w:rPr>
                <w:sz w:val="20"/>
              </w:rPr>
              <w:t>Data Collection and Analysis Task</w:t>
            </w:r>
          </w:p>
        </w:tc>
        <w:tc>
          <w:tcPr>
            <w:tcW w:w="1440" w:type="dxa"/>
            <w:shd w:val="clear" w:color="auto" w:fill="C3C6A8"/>
            <w:vAlign w:val="center"/>
          </w:tcPr>
          <w:p w:rsidR="00B336DF" w:rsidRPr="007C69A6" w:rsidRDefault="00B336DF" w:rsidP="00E5608C">
            <w:pPr>
              <w:pStyle w:val="ExhibitColumnHeads"/>
              <w:keepNext/>
              <w:keepLines/>
              <w:jc w:val="left"/>
              <w:rPr>
                <w:sz w:val="20"/>
              </w:rPr>
            </w:pPr>
            <w:r w:rsidRPr="007C69A6">
              <w:rPr>
                <w:sz w:val="20"/>
              </w:rPr>
              <w:t>Schedule</w:t>
            </w:r>
          </w:p>
        </w:tc>
        <w:tc>
          <w:tcPr>
            <w:tcW w:w="4050" w:type="dxa"/>
            <w:shd w:val="clear" w:color="auto" w:fill="C3C6A8"/>
            <w:noWrap/>
            <w:vAlign w:val="center"/>
          </w:tcPr>
          <w:p w:rsidR="00B336DF" w:rsidRPr="007C69A6" w:rsidRDefault="00B336DF" w:rsidP="00E5608C">
            <w:pPr>
              <w:pStyle w:val="ExhibitColumnHeads"/>
              <w:keepNext/>
              <w:keepLines/>
              <w:jc w:val="left"/>
              <w:rPr>
                <w:sz w:val="20"/>
              </w:rPr>
            </w:pPr>
            <w:r w:rsidRPr="007C69A6">
              <w:rPr>
                <w:sz w:val="20"/>
              </w:rPr>
              <w:t>Key Reports</w:t>
            </w:r>
          </w:p>
        </w:tc>
      </w:tr>
      <w:tr w:rsidR="00B336DF" w:rsidRPr="007C69A6" w:rsidTr="00EE4BDB">
        <w:trPr>
          <w:cantSplit/>
        </w:trPr>
        <w:tc>
          <w:tcPr>
            <w:tcW w:w="3802" w:type="dxa"/>
            <w:shd w:val="clear" w:color="auto" w:fill="auto"/>
            <w:noWrap/>
            <w:vAlign w:val="center"/>
          </w:tcPr>
          <w:p w:rsidR="00B336DF" w:rsidRPr="007C69A6" w:rsidRDefault="00B336DF" w:rsidP="00E5608C">
            <w:pPr>
              <w:pStyle w:val="Exhibit"/>
              <w:keepNext/>
              <w:keepLines/>
              <w:spacing w:line="240" w:lineRule="auto"/>
              <w:rPr>
                <w:rFonts w:ascii="Arial Narrow" w:hAnsi="Arial Narrow"/>
                <w:sz w:val="20"/>
              </w:rPr>
            </w:pPr>
            <w:r w:rsidRPr="007C69A6">
              <w:rPr>
                <w:rFonts w:ascii="Arial Narrow" w:hAnsi="Arial Narrow"/>
                <w:sz w:val="20"/>
              </w:rPr>
              <w:t>Assemble Sampling Frame, Select Sample, and Recruit SFAs</w:t>
            </w:r>
          </w:p>
        </w:tc>
        <w:tc>
          <w:tcPr>
            <w:tcW w:w="1440" w:type="dxa"/>
            <w:vAlign w:val="center"/>
          </w:tcPr>
          <w:p w:rsidR="00B336DF" w:rsidRPr="007C69A6" w:rsidRDefault="00B336DF" w:rsidP="003606D8">
            <w:pPr>
              <w:pStyle w:val="Exhibit"/>
              <w:keepNext/>
              <w:keepLines/>
              <w:spacing w:line="240" w:lineRule="auto"/>
              <w:jc w:val="center"/>
              <w:rPr>
                <w:rFonts w:ascii="Arial Narrow" w:hAnsi="Arial Narrow"/>
                <w:sz w:val="20"/>
              </w:rPr>
            </w:pPr>
            <w:r w:rsidRPr="007C69A6">
              <w:rPr>
                <w:rFonts w:ascii="Arial Narrow" w:hAnsi="Arial Narrow"/>
                <w:sz w:val="20"/>
              </w:rPr>
              <w:t>1</w:t>
            </w:r>
            <w:bookmarkStart w:id="80" w:name="_GoBack"/>
            <w:r w:rsidRPr="007C69A6">
              <w:rPr>
                <w:rFonts w:ascii="Arial Narrow" w:hAnsi="Arial Narrow"/>
                <w:sz w:val="20"/>
              </w:rPr>
              <w:t>/</w:t>
            </w:r>
            <w:bookmarkEnd w:id="80"/>
            <w:r w:rsidRPr="007C69A6">
              <w:rPr>
                <w:rFonts w:ascii="Arial Narrow" w:hAnsi="Arial Narrow"/>
                <w:sz w:val="20"/>
              </w:rPr>
              <w:t>2/12-</w:t>
            </w:r>
            <w:r w:rsidR="003606D8">
              <w:rPr>
                <w:rFonts w:ascii="Arial Narrow" w:hAnsi="Arial Narrow"/>
                <w:sz w:val="20"/>
              </w:rPr>
              <w:t>5</w:t>
            </w:r>
            <w:r w:rsidRPr="007C69A6">
              <w:rPr>
                <w:rFonts w:ascii="Arial Narrow" w:hAnsi="Arial Narrow"/>
                <w:sz w:val="20"/>
              </w:rPr>
              <w:t>/</w:t>
            </w:r>
            <w:r w:rsidR="003606D8">
              <w:rPr>
                <w:rFonts w:ascii="Arial Narrow" w:hAnsi="Arial Narrow"/>
                <w:sz w:val="20"/>
              </w:rPr>
              <w:t>4</w:t>
            </w:r>
            <w:r w:rsidRPr="007C69A6">
              <w:rPr>
                <w:rFonts w:ascii="Arial Narrow" w:hAnsi="Arial Narrow"/>
                <w:sz w:val="20"/>
              </w:rPr>
              <w:t>/12</w:t>
            </w:r>
          </w:p>
        </w:tc>
        <w:tc>
          <w:tcPr>
            <w:tcW w:w="4050" w:type="dxa"/>
            <w:shd w:val="clear" w:color="auto" w:fill="auto"/>
            <w:noWrap/>
            <w:vAlign w:val="center"/>
          </w:tcPr>
          <w:p w:rsidR="00B336DF" w:rsidRPr="007C69A6" w:rsidRDefault="00B336DF" w:rsidP="003606D8">
            <w:pPr>
              <w:pStyle w:val="Exhibit"/>
              <w:keepNext/>
              <w:keepLines/>
              <w:spacing w:line="240" w:lineRule="auto"/>
              <w:rPr>
                <w:rFonts w:ascii="Arial Narrow" w:hAnsi="Arial Narrow"/>
                <w:sz w:val="20"/>
              </w:rPr>
            </w:pPr>
            <w:r w:rsidRPr="007C69A6">
              <w:rPr>
                <w:rFonts w:ascii="Arial Narrow" w:hAnsi="Arial Narrow"/>
                <w:sz w:val="20"/>
              </w:rPr>
              <w:t>Sample Recruitment Summary Memorandum/List of Selected SFAs (</w:t>
            </w:r>
            <w:r w:rsidR="003606D8">
              <w:rPr>
                <w:rFonts w:ascii="Arial Narrow" w:hAnsi="Arial Narrow"/>
                <w:sz w:val="20"/>
              </w:rPr>
              <w:t>4</w:t>
            </w:r>
            <w:r w:rsidRPr="007C69A6">
              <w:rPr>
                <w:rFonts w:ascii="Arial Narrow" w:hAnsi="Arial Narrow"/>
                <w:sz w:val="20"/>
              </w:rPr>
              <w:t>/</w:t>
            </w:r>
            <w:r w:rsidR="003606D8">
              <w:rPr>
                <w:rFonts w:ascii="Arial Narrow" w:hAnsi="Arial Narrow"/>
                <w:sz w:val="20"/>
              </w:rPr>
              <w:t>13</w:t>
            </w:r>
            <w:r w:rsidRPr="007C69A6">
              <w:rPr>
                <w:rFonts w:ascii="Arial Narrow" w:hAnsi="Arial Narrow"/>
                <w:sz w:val="20"/>
              </w:rPr>
              <w:t>/2012)</w:t>
            </w:r>
          </w:p>
        </w:tc>
      </w:tr>
      <w:tr w:rsidR="00B336DF" w:rsidRPr="007C69A6" w:rsidTr="00EE4BDB">
        <w:trPr>
          <w:cantSplit/>
        </w:trPr>
        <w:tc>
          <w:tcPr>
            <w:tcW w:w="3802" w:type="dxa"/>
            <w:shd w:val="clear" w:color="auto" w:fill="auto"/>
            <w:noWrap/>
            <w:vAlign w:val="center"/>
          </w:tcPr>
          <w:p w:rsidR="00B336DF" w:rsidRPr="007C69A6" w:rsidRDefault="00B336DF" w:rsidP="00E5608C">
            <w:pPr>
              <w:pStyle w:val="Exhibit"/>
              <w:keepNext/>
              <w:keepLines/>
              <w:spacing w:line="240" w:lineRule="auto"/>
              <w:rPr>
                <w:rFonts w:ascii="Arial Narrow" w:hAnsi="Arial Narrow"/>
                <w:sz w:val="20"/>
              </w:rPr>
            </w:pPr>
            <w:r w:rsidRPr="007C69A6">
              <w:rPr>
                <w:rFonts w:ascii="Arial Narrow" w:hAnsi="Arial Narrow"/>
                <w:sz w:val="20"/>
              </w:rPr>
              <w:t>Select and Train Data Collectors</w:t>
            </w:r>
          </w:p>
        </w:tc>
        <w:tc>
          <w:tcPr>
            <w:tcW w:w="1440" w:type="dxa"/>
            <w:vAlign w:val="center"/>
          </w:tcPr>
          <w:p w:rsidR="00B336DF" w:rsidRPr="007C69A6" w:rsidRDefault="003606D8" w:rsidP="003606D8">
            <w:pPr>
              <w:pStyle w:val="Exhibit"/>
              <w:keepNext/>
              <w:keepLines/>
              <w:spacing w:line="240" w:lineRule="auto"/>
              <w:jc w:val="center"/>
              <w:rPr>
                <w:rFonts w:ascii="Arial Narrow" w:hAnsi="Arial Narrow"/>
                <w:sz w:val="20"/>
              </w:rPr>
            </w:pPr>
            <w:r>
              <w:rPr>
                <w:rFonts w:ascii="Arial Narrow" w:hAnsi="Arial Narrow"/>
                <w:sz w:val="20"/>
              </w:rPr>
              <w:t>6</w:t>
            </w:r>
            <w:r w:rsidR="00E87675" w:rsidRPr="007C69A6">
              <w:rPr>
                <w:rFonts w:ascii="Arial Narrow" w:hAnsi="Arial Narrow"/>
                <w:sz w:val="20"/>
              </w:rPr>
              <w:t>/</w:t>
            </w:r>
            <w:r>
              <w:rPr>
                <w:rFonts w:ascii="Arial Narrow" w:hAnsi="Arial Narrow"/>
                <w:sz w:val="20"/>
              </w:rPr>
              <w:t>15</w:t>
            </w:r>
            <w:r w:rsidR="00E87675" w:rsidRPr="007C69A6">
              <w:rPr>
                <w:rFonts w:ascii="Arial Narrow" w:hAnsi="Arial Narrow"/>
                <w:sz w:val="20"/>
              </w:rPr>
              <w:t>/</w:t>
            </w:r>
            <w:r w:rsidR="00B336DF" w:rsidRPr="007C69A6">
              <w:rPr>
                <w:rFonts w:ascii="Arial Narrow" w:hAnsi="Arial Narrow"/>
                <w:sz w:val="20"/>
              </w:rPr>
              <w:t>12-</w:t>
            </w:r>
            <w:r>
              <w:rPr>
                <w:rFonts w:ascii="Arial Narrow" w:hAnsi="Arial Narrow"/>
                <w:sz w:val="20"/>
              </w:rPr>
              <w:t>7</w:t>
            </w:r>
            <w:r w:rsidR="00B336DF" w:rsidRPr="007C69A6">
              <w:rPr>
                <w:rFonts w:ascii="Arial Narrow" w:hAnsi="Arial Narrow"/>
                <w:sz w:val="20"/>
              </w:rPr>
              <w:t>/</w:t>
            </w:r>
            <w:r>
              <w:rPr>
                <w:rFonts w:ascii="Arial Narrow" w:hAnsi="Arial Narrow"/>
                <w:sz w:val="20"/>
              </w:rPr>
              <w:t>20</w:t>
            </w:r>
            <w:r w:rsidR="00B336DF" w:rsidRPr="007C69A6">
              <w:rPr>
                <w:rFonts w:ascii="Arial Narrow" w:hAnsi="Arial Narrow"/>
                <w:sz w:val="20"/>
              </w:rPr>
              <w:t>/12</w:t>
            </w:r>
          </w:p>
        </w:tc>
        <w:tc>
          <w:tcPr>
            <w:tcW w:w="4050" w:type="dxa"/>
            <w:shd w:val="clear" w:color="auto" w:fill="auto"/>
            <w:noWrap/>
            <w:vAlign w:val="center"/>
          </w:tcPr>
          <w:p w:rsidR="00B336DF" w:rsidRPr="007C69A6" w:rsidRDefault="00B336DF" w:rsidP="00E5608C">
            <w:pPr>
              <w:pStyle w:val="Exhibit"/>
              <w:keepNext/>
              <w:keepLines/>
              <w:spacing w:line="240" w:lineRule="auto"/>
              <w:rPr>
                <w:rFonts w:ascii="Arial Narrow" w:hAnsi="Arial Narrow"/>
                <w:sz w:val="20"/>
              </w:rPr>
            </w:pPr>
            <w:r w:rsidRPr="007C69A6">
              <w:rPr>
                <w:rFonts w:ascii="Arial Narrow" w:hAnsi="Arial Narrow"/>
                <w:sz w:val="20"/>
              </w:rPr>
              <w:t>Data Collection Training Materials (</w:t>
            </w:r>
            <w:r w:rsidR="003606D8">
              <w:rPr>
                <w:rFonts w:ascii="Arial Narrow" w:hAnsi="Arial Narrow"/>
                <w:sz w:val="20"/>
              </w:rPr>
              <w:t>7</w:t>
            </w:r>
            <w:r w:rsidRPr="007C69A6">
              <w:rPr>
                <w:rFonts w:ascii="Arial Narrow" w:hAnsi="Arial Narrow"/>
                <w:sz w:val="20"/>
              </w:rPr>
              <w:t>/</w:t>
            </w:r>
            <w:r w:rsidR="003606D8">
              <w:rPr>
                <w:rFonts w:ascii="Arial Narrow" w:hAnsi="Arial Narrow"/>
                <w:sz w:val="20"/>
              </w:rPr>
              <w:t>6</w:t>
            </w:r>
            <w:r w:rsidRPr="007C69A6">
              <w:rPr>
                <w:rFonts w:ascii="Arial Narrow" w:hAnsi="Arial Narrow"/>
                <w:sz w:val="20"/>
              </w:rPr>
              <w:t>/12)</w:t>
            </w:r>
          </w:p>
          <w:p w:rsidR="00B336DF" w:rsidRPr="007C69A6" w:rsidRDefault="00B336DF" w:rsidP="003606D8">
            <w:pPr>
              <w:pStyle w:val="Exhibit"/>
              <w:keepNext/>
              <w:keepLines/>
              <w:spacing w:line="240" w:lineRule="auto"/>
              <w:rPr>
                <w:rFonts w:ascii="Arial Narrow" w:hAnsi="Arial Narrow"/>
                <w:sz w:val="20"/>
              </w:rPr>
            </w:pPr>
            <w:r w:rsidRPr="007C69A6">
              <w:rPr>
                <w:rFonts w:ascii="Arial Narrow" w:hAnsi="Arial Narrow"/>
                <w:sz w:val="20"/>
              </w:rPr>
              <w:t>Memorandum – Completio</w:t>
            </w:r>
            <w:r w:rsidR="003606D8">
              <w:rPr>
                <w:rFonts w:ascii="Arial Narrow" w:hAnsi="Arial Narrow"/>
                <w:sz w:val="20"/>
              </w:rPr>
              <w:t>n of Data Collection Training (7</w:t>
            </w:r>
            <w:r w:rsidRPr="007C69A6">
              <w:rPr>
                <w:rFonts w:ascii="Arial Narrow" w:hAnsi="Arial Narrow"/>
                <w:sz w:val="20"/>
              </w:rPr>
              <w:t>/</w:t>
            </w:r>
            <w:r w:rsidR="003606D8">
              <w:rPr>
                <w:rFonts w:ascii="Arial Narrow" w:hAnsi="Arial Narrow"/>
                <w:sz w:val="20"/>
              </w:rPr>
              <w:t>13</w:t>
            </w:r>
            <w:r w:rsidRPr="007C69A6">
              <w:rPr>
                <w:rFonts w:ascii="Arial Narrow" w:hAnsi="Arial Narrow"/>
                <w:sz w:val="20"/>
              </w:rPr>
              <w:t>/12)</w:t>
            </w:r>
          </w:p>
        </w:tc>
      </w:tr>
      <w:tr w:rsidR="00B336DF" w:rsidRPr="007C69A6" w:rsidTr="00EE4BDB">
        <w:trPr>
          <w:cantSplit/>
        </w:trPr>
        <w:tc>
          <w:tcPr>
            <w:tcW w:w="3802" w:type="dxa"/>
            <w:shd w:val="clear" w:color="auto" w:fill="auto"/>
            <w:noWrap/>
            <w:vAlign w:val="center"/>
          </w:tcPr>
          <w:p w:rsidR="00B336DF" w:rsidRPr="007C69A6" w:rsidRDefault="00B336DF" w:rsidP="00E5608C">
            <w:pPr>
              <w:pStyle w:val="Exhibit"/>
              <w:keepNext/>
              <w:keepLines/>
              <w:spacing w:line="240" w:lineRule="auto"/>
              <w:rPr>
                <w:rFonts w:ascii="Arial Narrow" w:hAnsi="Arial Narrow"/>
                <w:sz w:val="20"/>
              </w:rPr>
            </w:pPr>
            <w:r w:rsidRPr="007C69A6">
              <w:rPr>
                <w:rFonts w:ascii="Arial Narrow" w:hAnsi="Arial Narrow"/>
                <w:sz w:val="20"/>
              </w:rPr>
              <w:t>Data Collection</w:t>
            </w:r>
          </w:p>
        </w:tc>
        <w:tc>
          <w:tcPr>
            <w:tcW w:w="1440" w:type="dxa"/>
            <w:vAlign w:val="center"/>
          </w:tcPr>
          <w:p w:rsidR="00B336DF" w:rsidRPr="007C69A6" w:rsidRDefault="003606D8" w:rsidP="003606D8">
            <w:pPr>
              <w:pStyle w:val="Exhibit"/>
              <w:keepNext/>
              <w:keepLines/>
              <w:spacing w:line="240" w:lineRule="auto"/>
              <w:jc w:val="center"/>
              <w:rPr>
                <w:rFonts w:ascii="Arial Narrow" w:hAnsi="Arial Narrow"/>
                <w:sz w:val="20"/>
              </w:rPr>
            </w:pPr>
            <w:r>
              <w:rPr>
                <w:rFonts w:ascii="Arial Narrow" w:hAnsi="Arial Narrow"/>
                <w:sz w:val="20"/>
              </w:rPr>
              <w:t>7</w:t>
            </w:r>
            <w:r w:rsidR="00B336DF" w:rsidRPr="007C69A6">
              <w:rPr>
                <w:rFonts w:ascii="Arial Narrow" w:hAnsi="Arial Narrow"/>
                <w:sz w:val="20"/>
              </w:rPr>
              <w:t>/</w:t>
            </w:r>
            <w:r>
              <w:rPr>
                <w:rFonts w:ascii="Arial Narrow" w:hAnsi="Arial Narrow"/>
                <w:sz w:val="20"/>
              </w:rPr>
              <w:t>23</w:t>
            </w:r>
            <w:r w:rsidR="00B336DF" w:rsidRPr="007C69A6">
              <w:rPr>
                <w:rFonts w:ascii="Arial Narrow" w:hAnsi="Arial Narrow"/>
                <w:sz w:val="20"/>
              </w:rPr>
              <w:t>/12-1</w:t>
            </w:r>
            <w:r>
              <w:rPr>
                <w:rFonts w:ascii="Arial Narrow" w:hAnsi="Arial Narrow"/>
                <w:sz w:val="20"/>
              </w:rPr>
              <w:t>2</w:t>
            </w:r>
            <w:r w:rsidR="00B336DF" w:rsidRPr="007C69A6">
              <w:rPr>
                <w:rFonts w:ascii="Arial Narrow" w:hAnsi="Arial Narrow"/>
                <w:sz w:val="20"/>
              </w:rPr>
              <w:t>/</w:t>
            </w:r>
            <w:r w:rsidR="002B340A">
              <w:rPr>
                <w:rFonts w:ascii="Arial Narrow" w:hAnsi="Arial Narrow"/>
                <w:sz w:val="20"/>
              </w:rPr>
              <w:t>2</w:t>
            </w:r>
            <w:r>
              <w:rPr>
                <w:rFonts w:ascii="Arial Narrow" w:hAnsi="Arial Narrow"/>
                <w:sz w:val="20"/>
              </w:rPr>
              <w:t>1</w:t>
            </w:r>
            <w:r w:rsidR="00B336DF" w:rsidRPr="007C69A6">
              <w:rPr>
                <w:rFonts w:ascii="Arial Narrow" w:hAnsi="Arial Narrow"/>
                <w:sz w:val="20"/>
              </w:rPr>
              <w:t>/12</w:t>
            </w:r>
          </w:p>
        </w:tc>
        <w:tc>
          <w:tcPr>
            <w:tcW w:w="4050" w:type="dxa"/>
            <w:shd w:val="clear" w:color="auto" w:fill="auto"/>
            <w:noWrap/>
            <w:vAlign w:val="center"/>
          </w:tcPr>
          <w:p w:rsidR="00B336DF" w:rsidRPr="007C69A6" w:rsidRDefault="00B336DF" w:rsidP="00E5608C">
            <w:pPr>
              <w:pStyle w:val="Exhibit"/>
              <w:keepNext/>
              <w:keepLines/>
              <w:spacing w:line="240" w:lineRule="auto"/>
              <w:rPr>
                <w:rFonts w:ascii="Arial Narrow" w:hAnsi="Arial Narrow"/>
                <w:sz w:val="20"/>
              </w:rPr>
            </w:pPr>
            <w:r w:rsidRPr="007C69A6">
              <w:rPr>
                <w:rFonts w:ascii="Arial Narrow" w:hAnsi="Arial Narrow"/>
                <w:sz w:val="20"/>
              </w:rPr>
              <w:t xml:space="preserve">Bi-weekly Data Collection Reports </w:t>
            </w:r>
          </w:p>
        </w:tc>
      </w:tr>
      <w:tr w:rsidR="00B336DF" w:rsidRPr="007C69A6" w:rsidTr="00EE4BDB">
        <w:trPr>
          <w:cantSplit/>
        </w:trPr>
        <w:tc>
          <w:tcPr>
            <w:tcW w:w="3802" w:type="dxa"/>
            <w:shd w:val="clear" w:color="auto" w:fill="auto"/>
            <w:noWrap/>
            <w:vAlign w:val="center"/>
          </w:tcPr>
          <w:p w:rsidR="00B336DF" w:rsidRPr="007C69A6" w:rsidRDefault="00B336DF" w:rsidP="00E5608C">
            <w:pPr>
              <w:pStyle w:val="Exhibit"/>
              <w:keepNext/>
              <w:keepLines/>
              <w:spacing w:line="240" w:lineRule="auto"/>
              <w:rPr>
                <w:rFonts w:ascii="Arial Narrow" w:hAnsi="Arial Narrow"/>
                <w:sz w:val="20"/>
              </w:rPr>
            </w:pPr>
            <w:r w:rsidRPr="007C69A6">
              <w:rPr>
                <w:rFonts w:ascii="Arial Narrow" w:hAnsi="Arial Narrow"/>
                <w:sz w:val="20"/>
              </w:rPr>
              <w:t>Create Analytic Database</w:t>
            </w:r>
          </w:p>
        </w:tc>
        <w:tc>
          <w:tcPr>
            <w:tcW w:w="1440" w:type="dxa"/>
            <w:vAlign w:val="center"/>
          </w:tcPr>
          <w:p w:rsidR="00B336DF" w:rsidRPr="007C69A6" w:rsidRDefault="00B336DF" w:rsidP="00E5608C">
            <w:pPr>
              <w:pStyle w:val="Exhibit"/>
              <w:keepNext/>
              <w:keepLines/>
              <w:spacing w:line="240" w:lineRule="auto"/>
              <w:jc w:val="center"/>
              <w:rPr>
                <w:rFonts w:ascii="Arial Narrow" w:hAnsi="Arial Narrow"/>
                <w:sz w:val="20"/>
              </w:rPr>
            </w:pPr>
            <w:r w:rsidRPr="007C69A6">
              <w:rPr>
                <w:rFonts w:ascii="Arial Narrow" w:hAnsi="Arial Narrow"/>
                <w:sz w:val="20"/>
              </w:rPr>
              <w:t>3/9/12-2/1/13</w:t>
            </w:r>
          </w:p>
        </w:tc>
        <w:tc>
          <w:tcPr>
            <w:tcW w:w="4050" w:type="dxa"/>
            <w:shd w:val="clear" w:color="auto" w:fill="auto"/>
            <w:noWrap/>
            <w:vAlign w:val="center"/>
          </w:tcPr>
          <w:p w:rsidR="00B336DF" w:rsidRPr="007C69A6" w:rsidRDefault="00B336DF" w:rsidP="00E5608C">
            <w:pPr>
              <w:pStyle w:val="Exhibit"/>
              <w:keepNext/>
              <w:keepLines/>
              <w:spacing w:line="240" w:lineRule="auto"/>
              <w:rPr>
                <w:rFonts w:ascii="Arial Narrow" w:hAnsi="Arial Narrow"/>
                <w:sz w:val="20"/>
              </w:rPr>
            </w:pPr>
            <w:r w:rsidRPr="007C69A6">
              <w:rPr>
                <w:rFonts w:ascii="Arial Narrow" w:hAnsi="Arial Narrow"/>
                <w:sz w:val="20"/>
              </w:rPr>
              <w:t>Memorandum – Completion of Raw and Analytic Data Files (2/1/13)</w:t>
            </w:r>
          </w:p>
        </w:tc>
      </w:tr>
      <w:tr w:rsidR="00B336DF" w:rsidRPr="007C69A6" w:rsidTr="00EE4BDB">
        <w:trPr>
          <w:cantSplit/>
        </w:trPr>
        <w:tc>
          <w:tcPr>
            <w:tcW w:w="3802" w:type="dxa"/>
            <w:shd w:val="clear" w:color="auto" w:fill="auto"/>
            <w:noWrap/>
            <w:vAlign w:val="center"/>
          </w:tcPr>
          <w:p w:rsidR="00B336DF" w:rsidRPr="007C69A6" w:rsidRDefault="00B336DF" w:rsidP="00E5608C">
            <w:pPr>
              <w:pStyle w:val="Exhibit"/>
              <w:keepNext/>
              <w:keepLines/>
              <w:spacing w:line="240" w:lineRule="auto"/>
              <w:rPr>
                <w:rFonts w:ascii="Arial Narrow" w:hAnsi="Arial Narrow"/>
                <w:sz w:val="20"/>
              </w:rPr>
            </w:pPr>
            <w:r w:rsidRPr="007C69A6">
              <w:rPr>
                <w:rFonts w:ascii="Arial Narrow" w:hAnsi="Arial Narrow"/>
                <w:sz w:val="20"/>
              </w:rPr>
              <w:t>Analyze Study Data</w:t>
            </w:r>
          </w:p>
        </w:tc>
        <w:tc>
          <w:tcPr>
            <w:tcW w:w="1440" w:type="dxa"/>
            <w:vAlign w:val="center"/>
          </w:tcPr>
          <w:p w:rsidR="00B336DF" w:rsidRPr="007C69A6" w:rsidRDefault="00B336DF" w:rsidP="00E5608C">
            <w:pPr>
              <w:pStyle w:val="Exhibit"/>
              <w:keepNext/>
              <w:keepLines/>
              <w:spacing w:line="240" w:lineRule="auto"/>
              <w:jc w:val="center"/>
              <w:rPr>
                <w:rFonts w:ascii="Arial Narrow" w:hAnsi="Arial Narrow"/>
                <w:sz w:val="20"/>
              </w:rPr>
            </w:pPr>
            <w:r w:rsidRPr="007C69A6">
              <w:rPr>
                <w:rFonts w:ascii="Arial Narrow" w:hAnsi="Arial Narrow"/>
                <w:sz w:val="20"/>
              </w:rPr>
              <w:t>2/1/13-3/15/13</w:t>
            </w:r>
          </w:p>
        </w:tc>
        <w:tc>
          <w:tcPr>
            <w:tcW w:w="4050" w:type="dxa"/>
            <w:shd w:val="clear" w:color="auto" w:fill="auto"/>
            <w:noWrap/>
            <w:vAlign w:val="center"/>
          </w:tcPr>
          <w:p w:rsidR="00B336DF" w:rsidRPr="007C69A6" w:rsidRDefault="00B336DF" w:rsidP="00E5608C">
            <w:pPr>
              <w:pStyle w:val="Exhibit"/>
              <w:keepNext/>
              <w:keepLines/>
              <w:spacing w:line="240" w:lineRule="auto"/>
              <w:rPr>
                <w:rFonts w:ascii="Arial Narrow" w:hAnsi="Arial Narrow"/>
                <w:sz w:val="20"/>
              </w:rPr>
            </w:pPr>
            <w:r w:rsidRPr="007C69A6">
              <w:rPr>
                <w:rFonts w:ascii="Arial Narrow" w:hAnsi="Arial Narrow"/>
                <w:sz w:val="20"/>
              </w:rPr>
              <w:t>Draft Analytic Data Tables (3/15/13)</w:t>
            </w:r>
          </w:p>
        </w:tc>
      </w:tr>
      <w:tr w:rsidR="00B336DF" w:rsidRPr="007C69A6" w:rsidTr="00EE4BDB">
        <w:trPr>
          <w:cantSplit/>
        </w:trPr>
        <w:tc>
          <w:tcPr>
            <w:tcW w:w="3802" w:type="dxa"/>
            <w:shd w:val="clear" w:color="auto" w:fill="auto"/>
            <w:noWrap/>
            <w:vAlign w:val="center"/>
          </w:tcPr>
          <w:p w:rsidR="00B336DF" w:rsidRPr="007C69A6" w:rsidRDefault="00B336DF" w:rsidP="00E5608C">
            <w:pPr>
              <w:pStyle w:val="Exhibit"/>
              <w:keepNext/>
              <w:keepLines/>
              <w:spacing w:line="240" w:lineRule="auto"/>
              <w:rPr>
                <w:rFonts w:ascii="Arial Narrow" w:hAnsi="Arial Narrow"/>
                <w:sz w:val="20"/>
              </w:rPr>
            </w:pPr>
            <w:r w:rsidRPr="007C69A6">
              <w:rPr>
                <w:rFonts w:ascii="Arial Narrow" w:hAnsi="Arial Narrow"/>
                <w:sz w:val="20"/>
              </w:rPr>
              <w:t>Prepare Study Reports</w:t>
            </w:r>
          </w:p>
        </w:tc>
        <w:tc>
          <w:tcPr>
            <w:tcW w:w="1440" w:type="dxa"/>
            <w:vAlign w:val="center"/>
          </w:tcPr>
          <w:p w:rsidR="00B336DF" w:rsidRPr="007C69A6" w:rsidRDefault="00B336DF" w:rsidP="00E5608C">
            <w:pPr>
              <w:pStyle w:val="Exhibit"/>
              <w:keepNext/>
              <w:keepLines/>
              <w:spacing w:line="240" w:lineRule="auto"/>
              <w:jc w:val="center"/>
              <w:rPr>
                <w:rFonts w:ascii="Arial Narrow" w:hAnsi="Arial Narrow"/>
                <w:sz w:val="20"/>
              </w:rPr>
            </w:pPr>
            <w:r w:rsidRPr="007C69A6">
              <w:rPr>
                <w:rFonts w:ascii="Arial Narrow" w:hAnsi="Arial Narrow"/>
                <w:sz w:val="20"/>
              </w:rPr>
              <w:t>1/4/13-7/1/13</w:t>
            </w:r>
          </w:p>
        </w:tc>
        <w:tc>
          <w:tcPr>
            <w:tcW w:w="4050" w:type="dxa"/>
            <w:shd w:val="clear" w:color="auto" w:fill="auto"/>
            <w:noWrap/>
            <w:vAlign w:val="center"/>
          </w:tcPr>
          <w:p w:rsidR="00B336DF" w:rsidRPr="007C69A6" w:rsidRDefault="00B336DF" w:rsidP="00E5608C">
            <w:pPr>
              <w:pStyle w:val="Exhibit"/>
              <w:keepNext/>
              <w:keepLines/>
              <w:spacing w:line="240" w:lineRule="auto"/>
              <w:rPr>
                <w:rFonts w:ascii="Arial Narrow" w:hAnsi="Arial Narrow"/>
                <w:sz w:val="20"/>
              </w:rPr>
            </w:pPr>
            <w:r w:rsidRPr="007C69A6">
              <w:rPr>
                <w:rFonts w:ascii="Arial Narrow" w:hAnsi="Arial Narrow"/>
                <w:sz w:val="20"/>
              </w:rPr>
              <w:t>Draft Report (4/1/2013)</w:t>
            </w:r>
          </w:p>
          <w:p w:rsidR="00B336DF" w:rsidRPr="007C69A6" w:rsidRDefault="00B336DF" w:rsidP="00E5608C">
            <w:pPr>
              <w:pStyle w:val="Exhibit"/>
              <w:keepNext/>
              <w:keepLines/>
              <w:spacing w:line="240" w:lineRule="auto"/>
              <w:rPr>
                <w:rFonts w:ascii="Arial Narrow" w:hAnsi="Arial Narrow"/>
                <w:sz w:val="20"/>
              </w:rPr>
            </w:pPr>
            <w:r w:rsidRPr="007C69A6">
              <w:rPr>
                <w:rFonts w:ascii="Arial Narrow" w:hAnsi="Arial Narrow"/>
                <w:sz w:val="20"/>
              </w:rPr>
              <w:t>Revised Report (5/22/13)</w:t>
            </w:r>
          </w:p>
          <w:p w:rsidR="00B336DF" w:rsidRPr="007C69A6" w:rsidRDefault="00B336DF" w:rsidP="00E5608C">
            <w:pPr>
              <w:pStyle w:val="Exhibit"/>
              <w:keepNext/>
              <w:keepLines/>
              <w:spacing w:line="240" w:lineRule="auto"/>
              <w:rPr>
                <w:rFonts w:ascii="Arial Narrow" w:hAnsi="Arial Narrow"/>
                <w:sz w:val="20"/>
              </w:rPr>
            </w:pPr>
            <w:r w:rsidRPr="007C69A6">
              <w:rPr>
                <w:rFonts w:ascii="Arial Narrow" w:hAnsi="Arial Narrow"/>
                <w:sz w:val="20"/>
              </w:rPr>
              <w:t>Final Report (7/1/13)</w:t>
            </w:r>
          </w:p>
        </w:tc>
      </w:tr>
      <w:tr w:rsidR="00B336DF" w:rsidRPr="007C69A6" w:rsidTr="00EE4BDB">
        <w:trPr>
          <w:cantSplit/>
        </w:trPr>
        <w:tc>
          <w:tcPr>
            <w:tcW w:w="3802" w:type="dxa"/>
            <w:shd w:val="clear" w:color="auto" w:fill="auto"/>
            <w:noWrap/>
            <w:vAlign w:val="center"/>
          </w:tcPr>
          <w:p w:rsidR="00B336DF" w:rsidRPr="007C69A6" w:rsidRDefault="00B336DF" w:rsidP="00E5608C">
            <w:pPr>
              <w:pStyle w:val="Exhibit"/>
              <w:keepNext/>
              <w:keepLines/>
              <w:spacing w:line="240" w:lineRule="auto"/>
              <w:rPr>
                <w:rFonts w:ascii="Arial Narrow" w:hAnsi="Arial Narrow"/>
                <w:sz w:val="20"/>
              </w:rPr>
            </w:pPr>
            <w:r w:rsidRPr="007C69A6">
              <w:rPr>
                <w:rFonts w:ascii="Arial Narrow" w:hAnsi="Arial Narrow"/>
                <w:sz w:val="20"/>
              </w:rPr>
              <w:t>Prepare and Submit Data Files</w:t>
            </w:r>
          </w:p>
        </w:tc>
        <w:tc>
          <w:tcPr>
            <w:tcW w:w="1440" w:type="dxa"/>
            <w:vAlign w:val="center"/>
          </w:tcPr>
          <w:p w:rsidR="00B336DF" w:rsidRPr="007C69A6" w:rsidRDefault="00B336DF" w:rsidP="00E5608C">
            <w:pPr>
              <w:pStyle w:val="Exhibit"/>
              <w:keepNext/>
              <w:keepLines/>
              <w:spacing w:line="240" w:lineRule="auto"/>
              <w:jc w:val="center"/>
              <w:rPr>
                <w:rFonts w:ascii="Arial Narrow" w:hAnsi="Arial Narrow"/>
                <w:sz w:val="20"/>
              </w:rPr>
            </w:pPr>
            <w:r w:rsidRPr="007C69A6">
              <w:rPr>
                <w:rFonts w:ascii="Arial Narrow" w:hAnsi="Arial Narrow"/>
                <w:sz w:val="20"/>
              </w:rPr>
              <w:t>2/1/13-4/1/13</w:t>
            </w:r>
          </w:p>
        </w:tc>
        <w:tc>
          <w:tcPr>
            <w:tcW w:w="4050" w:type="dxa"/>
            <w:shd w:val="clear" w:color="auto" w:fill="auto"/>
            <w:noWrap/>
            <w:vAlign w:val="center"/>
          </w:tcPr>
          <w:p w:rsidR="00B336DF" w:rsidRPr="007C69A6" w:rsidRDefault="00B336DF" w:rsidP="00E5608C">
            <w:pPr>
              <w:pStyle w:val="Exhibit"/>
              <w:keepNext/>
              <w:keepLines/>
              <w:spacing w:line="240" w:lineRule="auto"/>
              <w:rPr>
                <w:rFonts w:ascii="Arial Narrow" w:hAnsi="Arial Narrow"/>
                <w:sz w:val="20"/>
              </w:rPr>
            </w:pPr>
            <w:r w:rsidRPr="007C69A6">
              <w:rPr>
                <w:rFonts w:ascii="Arial Narrow" w:hAnsi="Arial Narrow"/>
                <w:sz w:val="20"/>
              </w:rPr>
              <w:t>Data Files and Documentation (3/15/13)</w:t>
            </w:r>
          </w:p>
        </w:tc>
      </w:tr>
      <w:tr w:rsidR="00B336DF" w:rsidRPr="007C69A6" w:rsidTr="00EE4BDB">
        <w:trPr>
          <w:cantSplit/>
        </w:trPr>
        <w:tc>
          <w:tcPr>
            <w:tcW w:w="3802" w:type="dxa"/>
            <w:shd w:val="clear" w:color="auto" w:fill="auto"/>
            <w:noWrap/>
            <w:vAlign w:val="center"/>
          </w:tcPr>
          <w:p w:rsidR="00B336DF" w:rsidRPr="007C69A6" w:rsidRDefault="00B336DF" w:rsidP="00E5608C">
            <w:pPr>
              <w:pStyle w:val="Exhibit"/>
              <w:keepNext/>
              <w:keepLines/>
              <w:spacing w:line="240" w:lineRule="auto"/>
              <w:rPr>
                <w:rFonts w:ascii="Arial Narrow" w:hAnsi="Arial Narrow"/>
                <w:sz w:val="20"/>
              </w:rPr>
            </w:pPr>
            <w:r w:rsidRPr="007C69A6">
              <w:rPr>
                <w:rFonts w:ascii="Arial Narrow" w:hAnsi="Arial Narrow"/>
                <w:sz w:val="20"/>
              </w:rPr>
              <w:t>Dissemination of Findings</w:t>
            </w:r>
          </w:p>
        </w:tc>
        <w:tc>
          <w:tcPr>
            <w:tcW w:w="1440" w:type="dxa"/>
            <w:vAlign w:val="center"/>
          </w:tcPr>
          <w:p w:rsidR="00B336DF" w:rsidRPr="007C69A6" w:rsidRDefault="00B336DF" w:rsidP="00E5608C">
            <w:pPr>
              <w:pStyle w:val="Exhibit"/>
              <w:keepNext/>
              <w:keepLines/>
              <w:spacing w:line="240" w:lineRule="auto"/>
              <w:jc w:val="center"/>
              <w:rPr>
                <w:rFonts w:ascii="Arial Narrow" w:hAnsi="Arial Narrow"/>
                <w:sz w:val="20"/>
              </w:rPr>
            </w:pPr>
            <w:r w:rsidRPr="007C69A6">
              <w:rPr>
                <w:rFonts w:ascii="Arial Narrow" w:hAnsi="Arial Narrow"/>
                <w:sz w:val="20"/>
              </w:rPr>
              <w:t>3/8/13-9/30/13</w:t>
            </w:r>
          </w:p>
        </w:tc>
        <w:tc>
          <w:tcPr>
            <w:tcW w:w="4050" w:type="dxa"/>
            <w:shd w:val="clear" w:color="auto" w:fill="auto"/>
            <w:noWrap/>
            <w:vAlign w:val="center"/>
          </w:tcPr>
          <w:p w:rsidR="00B336DF" w:rsidRPr="007C69A6" w:rsidRDefault="00B336DF" w:rsidP="00E5608C">
            <w:pPr>
              <w:pStyle w:val="Exhibit"/>
              <w:keepNext/>
              <w:keepLines/>
              <w:spacing w:line="240" w:lineRule="auto"/>
              <w:rPr>
                <w:rFonts w:ascii="Arial Narrow" w:hAnsi="Arial Narrow"/>
                <w:sz w:val="20"/>
              </w:rPr>
            </w:pPr>
            <w:r w:rsidRPr="007C69A6">
              <w:rPr>
                <w:rFonts w:ascii="Arial Narrow" w:hAnsi="Arial Narrow"/>
                <w:sz w:val="20"/>
              </w:rPr>
              <w:t>Presentation at FNS (4/8/13)</w:t>
            </w:r>
          </w:p>
        </w:tc>
      </w:tr>
    </w:tbl>
    <w:p w:rsidR="00B336DF" w:rsidRDefault="00B336DF" w:rsidP="00B336DF"/>
    <w:p w:rsidR="00EE4BDB" w:rsidRPr="007C69A6" w:rsidRDefault="00EE4BDB" w:rsidP="00B336DF"/>
    <w:p w:rsidR="00B336DF" w:rsidRPr="007C69A6" w:rsidRDefault="00B336DF" w:rsidP="00367182">
      <w:pPr>
        <w:pStyle w:val="Heading2"/>
      </w:pPr>
      <w:bookmarkStart w:id="81" w:name="_Toc319071845"/>
      <w:r w:rsidRPr="007C69A6">
        <w:t>A.17</w:t>
      </w:r>
      <w:r w:rsidRPr="007C69A6">
        <w:tab/>
      </w:r>
      <w:proofErr w:type="gramStart"/>
      <w:r w:rsidR="00D074DF" w:rsidRPr="007C69A6">
        <w:t>If</w:t>
      </w:r>
      <w:proofErr w:type="gramEnd"/>
      <w:r w:rsidR="00D074DF" w:rsidRPr="007C69A6">
        <w:t xml:space="preserve"> seeking approval to not display the expiration date for OMB approval of the information collection, explain the reasons that display would be inappropriate.</w:t>
      </w:r>
      <w:bookmarkEnd w:id="81"/>
    </w:p>
    <w:p w:rsidR="00B336DF" w:rsidRPr="007C69A6" w:rsidRDefault="00B336DF" w:rsidP="00D074DF">
      <w:pPr>
        <w:pStyle w:val="BodyText"/>
      </w:pPr>
      <w:r w:rsidRPr="007C69A6">
        <w:t xml:space="preserve">All data collection instruments for the Food and Nutrition Service Evaluation of the </w:t>
      </w:r>
      <w:r w:rsidRPr="007C69A6">
        <w:rPr>
          <w:i/>
        </w:rPr>
        <w:t>School Foodservice Indirect Cost Study</w:t>
      </w:r>
      <w:r w:rsidRPr="007C69A6">
        <w:t xml:space="preserve"> will display the OMB approval number and expiration date. </w:t>
      </w:r>
    </w:p>
    <w:p w:rsidR="00B336DF" w:rsidRPr="007C69A6" w:rsidRDefault="00B336DF" w:rsidP="00367182">
      <w:pPr>
        <w:pStyle w:val="Heading2"/>
      </w:pPr>
      <w:bookmarkStart w:id="82" w:name="_Toc319071846"/>
      <w:r w:rsidRPr="007C69A6">
        <w:t>A.18</w:t>
      </w:r>
      <w:r w:rsidRPr="007C69A6">
        <w:tab/>
      </w:r>
      <w:r w:rsidR="00D074DF" w:rsidRPr="007C69A6">
        <w:t>Explain each exception to the certification statement identified in Item 19 "Certification for Paperwork Reduction Act."</w:t>
      </w:r>
      <w:bookmarkEnd w:id="82"/>
    </w:p>
    <w:p w:rsidR="00B336DF" w:rsidRPr="007C69A6" w:rsidRDefault="00B336DF" w:rsidP="009D0892">
      <w:pPr>
        <w:spacing w:line="480" w:lineRule="auto"/>
        <w:ind w:firstLine="360"/>
      </w:pPr>
      <w:r w:rsidRPr="007C69A6">
        <w:t>There are no exceptions to the Certification for Paperwork Reduction Act (5 CFR 1320.9) for this study.</w:t>
      </w:r>
    </w:p>
    <w:sectPr w:rsidR="00B336DF" w:rsidRPr="007C69A6" w:rsidSect="00793E01">
      <w:footerReference w:type="default" r:id="rId14"/>
      <w:pgSz w:w="12240" w:h="15840" w:code="1"/>
      <w:pgMar w:top="1440" w:right="1440" w:bottom="864" w:left="1440" w:header="864"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41B" w:rsidRDefault="00D1041B" w:rsidP="00D979EA">
      <w:r>
        <w:separator/>
      </w:r>
    </w:p>
  </w:endnote>
  <w:endnote w:type="continuationSeparator" w:id="0">
    <w:p w:rsidR="00D1041B" w:rsidRDefault="00D1041B" w:rsidP="00D979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BookmanOldStyle">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020" w:rsidRDefault="0032042B" w:rsidP="001672C9">
    <w:pPr>
      <w:pStyle w:val="Footer"/>
      <w:framePr w:wrap="around" w:vAnchor="text" w:hAnchor="margin" w:xAlign="right" w:y="1"/>
      <w:rPr>
        <w:rStyle w:val="PageNumber"/>
      </w:rPr>
    </w:pPr>
    <w:r>
      <w:rPr>
        <w:rStyle w:val="PageNumber"/>
      </w:rPr>
      <w:fldChar w:fldCharType="begin"/>
    </w:r>
    <w:r w:rsidR="00F10020">
      <w:rPr>
        <w:rStyle w:val="PageNumber"/>
      </w:rPr>
      <w:instrText xml:space="preserve">PAGE  </w:instrText>
    </w:r>
    <w:r>
      <w:rPr>
        <w:rStyle w:val="PageNumber"/>
      </w:rPr>
      <w:fldChar w:fldCharType="end"/>
    </w:r>
  </w:p>
  <w:p w:rsidR="00F10020" w:rsidRDefault="00F10020" w:rsidP="00D405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020" w:rsidRDefault="00F10020" w:rsidP="00744E2C">
    <w:pPr>
      <w:pStyle w:val="Footer"/>
      <w:pBdr>
        <w:top w:val="none" w:sz="0" w:space="0" w:color="auto"/>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020" w:rsidRPr="0066134E" w:rsidRDefault="00F10020" w:rsidP="00B77DA5">
    <w:pPr>
      <w:pStyle w:val="Footer"/>
      <w:tabs>
        <w:tab w:val="clear" w:pos="9000"/>
        <w:tab w:val="right" w:pos="9360"/>
      </w:tabs>
    </w:pPr>
    <w:r w:rsidRPr="00967D7C">
      <w:rPr>
        <w:color w:val="DA291C"/>
      </w:rPr>
      <w:t>Abt Associates Inc.</w:t>
    </w:r>
    <w:r w:rsidRPr="0066134E">
      <w:tab/>
    </w:r>
    <w:r w:rsidRPr="0066134E">
      <w:rPr>
        <w:rStyle w:val="PageNumber"/>
        <w:b/>
      </w:rPr>
      <w:tab/>
    </w:r>
    <w:r>
      <w:rPr>
        <w:rStyle w:val="PageNumber"/>
        <w:b/>
      </w:rPr>
      <w:t>Contents</w:t>
    </w:r>
    <w:r>
      <w:rPr>
        <w:rStyle w:val="PageNumber"/>
        <w:b/>
      </w:rPr>
      <w:t> </w:t>
    </w:r>
    <w:r>
      <w:rPr>
        <w:rStyle w:val="PageNumber"/>
        <w:rFonts w:cs="Arial"/>
        <w:b/>
      </w:rPr>
      <w:t>▌</w:t>
    </w:r>
    <w:r>
      <w:rPr>
        <w:rStyle w:val="PageNumber"/>
        <w:b/>
      </w:rPr>
      <w:t xml:space="preserve">pg. </w:t>
    </w:r>
    <w:r w:rsidR="0032042B" w:rsidRPr="002064D3">
      <w:rPr>
        <w:rStyle w:val="PageNumber"/>
        <w:b/>
        <w:color w:val="DA291C"/>
      </w:rPr>
      <w:fldChar w:fldCharType="begin"/>
    </w:r>
    <w:r w:rsidRPr="002064D3">
      <w:rPr>
        <w:rStyle w:val="PageNumber"/>
        <w:b/>
        <w:color w:val="DA291C"/>
      </w:rPr>
      <w:instrText xml:space="preserve"> PAGE   \* MERGEFORMAT </w:instrText>
    </w:r>
    <w:r w:rsidR="0032042B" w:rsidRPr="002064D3">
      <w:rPr>
        <w:rStyle w:val="PageNumber"/>
        <w:b/>
        <w:color w:val="DA291C"/>
      </w:rPr>
      <w:fldChar w:fldCharType="separate"/>
    </w:r>
    <w:r w:rsidR="001F719F">
      <w:rPr>
        <w:rStyle w:val="PageNumber"/>
        <w:b/>
        <w:noProof/>
        <w:color w:val="DA291C"/>
      </w:rPr>
      <w:t>i</w:t>
    </w:r>
    <w:r w:rsidR="0032042B" w:rsidRPr="002064D3">
      <w:rPr>
        <w:rStyle w:val="PageNumber"/>
        <w:b/>
        <w:noProof/>
        <w:color w:val="DA291C"/>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020" w:rsidRPr="0066134E" w:rsidRDefault="00F10020" w:rsidP="00B77DA5">
    <w:pPr>
      <w:pStyle w:val="Footer"/>
      <w:tabs>
        <w:tab w:val="clear" w:pos="9000"/>
        <w:tab w:val="right" w:pos="9360"/>
      </w:tabs>
    </w:pPr>
    <w:r w:rsidRPr="00967D7C">
      <w:rPr>
        <w:color w:val="DA291C"/>
      </w:rPr>
      <w:t>Abt Associates Inc.</w:t>
    </w:r>
    <w:r w:rsidRPr="0066134E">
      <w:tab/>
    </w:r>
    <w:r w:rsidRPr="0066134E">
      <w:rPr>
        <w:rStyle w:val="PageNumber"/>
        <w:b/>
      </w:rPr>
      <w:tab/>
    </w:r>
    <w:r>
      <w:rPr>
        <w:rStyle w:val="PageNumber"/>
        <w:b/>
      </w:rPr>
      <w:t>Part A. Justification</w:t>
    </w:r>
    <w:r>
      <w:rPr>
        <w:rStyle w:val="PageNumber"/>
        <w:b/>
      </w:rPr>
      <w:t> </w:t>
    </w:r>
    <w:r>
      <w:rPr>
        <w:rStyle w:val="PageNumber"/>
        <w:rFonts w:cs="Arial"/>
        <w:b/>
      </w:rPr>
      <w:t>▌</w:t>
    </w:r>
    <w:r w:rsidRPr="001407A3">
      <w:rPr>
        <w:rStyle w:val="PageNumber"/>
        <w:b/>
      </w:rPr>
      <w:t xml:space="preserve">pg. </w:t>
    </w:r>
    <w:r w:rsidR="0032042B" w:rsidRPr="00793E01">
      <w:rPr>
        <w:rStyle w:val="PageNumber"/>
        <w:b/>
        <w:color w:val="DA291C" w:themeColor="accent1"/>
      </w:rPr>
      <w:fldChar w:fldCharType="begin"/>
    </w:r>
    <w:r w:rsidRPr="00793E01">
      <w:rPr>
        <w:rStyle w:val="PageNumber"/>
        <w:b/>
        <w:color w:val="DA291C" w:themeColor="accent1"/>
      </w:rPr>
      <w:instrText xml:space="preserve"> PAGE   \* MERGEFORMAT </w:instrText>
    </w:r>
    <w:r w:rsidR="0032042B" w:rsidRPr="00793E01">
      <w:rPr>
        <w:rStyle w:val="PageNumber"/>
        <w:b/>
        <w:color w:val="DA291C" w:themeColor="accent1"/>
      </w:rPr>
      <w:fldChar w:fldCharType="separate"/>
    </w:r>
    <w:r w:rsidR="001F719F">
      <w:rPr>
        <w:rStyle w:val="PageNumber"/>
        <w:b/>
        <w:noProof/>
        <w:color w:val="DA291C" w:themeColor="accent1"/>
      </w:rPr>
      <w:t>15</w:t>
    </w:r>
    <w:r w:rsidR="0032042B" w:rsidRPr="00793E01">
      <w:rPr>
        <w:rStyle w:val="PageNumber"/>
        <w:b/>
        <w:noProof/>
        <w:color w:val="DA291C" w:themeColor="accen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41B" w:rsidRDefault="00D1041B" w:rsidP="00D979EA">
      <w:r>
        <w:separator/>
      </w:r>
    </w:p>
  </w:footnote>
  <w:footnote w:type="continuationSeparator" w:id="0">
    <w:p w:rsidR="00D1041B" w:rsidRDefault="00D1041B" w:rsidP="00D979EA">
      <w:r>
        <w:continuationSeparator/>
      </w:r>
    </w:p>
  </w:footnote>
  <w:footnote w:id="1">
    <w:p w:rsidR="00F10020" w:rsidRPr="001F75D2" w:rsidRDefault="00F10020" w:rsidP="00563968">
      <w:pPr>
        <w:pStyle w:val="FootnoteText"/>
        <w:spacing w:line="240" w:lineRule="auto"/>
      </w:pPr>
      <w:r>
        <w:rPr>
          <w:rStyle w:val="FootnoteReference"/>
        </w:rPr>
        <w:footnoteRef/>
      </w:r>
      <w:r>
        <w:t xml:space="preserve"> </w:t>
      </w:r>
      <w:r>
        <w:tab/>
        <w:t xml:space="preserve">Gordon Shillinglaw and Philip E. Meyer, </w:t>
      </w:r>
      <w:r>
        <w:rPr>
          <w:i/>
        </w:rPr>
        <w:t xml:space="preserve">Accounting: A Management Approach. </w:t>
      </w:r>
      <w:r w:rsidRPr="001F75D2">
        <w:t>The Office of Management and Budget sets guidelines for which indirect costs are allowable to be allocated to grants and programs receiving Federal funds; individual programs may have additional restrictions.</w:t>
      </w:r>
    </w:p>
  </w:footnote>
  <w:footnote w:id="2">
    <w:p w:rsidR="00F10020" w:rsidRDefault="00F10020">
      <w:pPr>
        <w:pStyle w:val="FootnoteText"/>
      </w:pPr>
      <w:r>
        <w:rPr>
          <w:rStyle w:val="FootnoteReference"/>
        </w:rPr>
        <w:footnoteRef/>
      </w:r>
      <w:r>
        <w:t xml:space="preserve"> </w:t>
      </w:r>
      <w:r>
        <w:tab/>
      </w:r>
      <w:r w:rsidRPr="001F75D2">
        <w:t>U.S. Department of Education regulates the allocation of indirect costs pool by school districts to its grants and oversees the role of State Education Agencies (SEAs) in setting the methods by which school districts compute and use indirect cost rates.</w:t>
      </w:r>
      <w:r>
        <w:t xml:space="preserve"> </w:t>
      </w:r>
      <w:r w:rsidRPr="001F75D2">
        <w:t>SEAs generally specify the types of indirect and direct costs included in the computation of school district indirect cost rates.</w:t>
      </w:r>
    </w:p>
  </w:footnote>
  <w:footnote w:id="3">
    <w:p w:rsidR="00F10020" w:rsidRDefault="00F10020" w:rsidP="004B1702">
      <w:pPr>
        <w:pStyle w:val="FootnoteText"/>
      </w:pPr>
      <w:r>
        <w:rPr>
          <w:rStyle w:val="FootnoteReference"/>
        </w:rPr>
        <w:footnoteRef/>
      </w:r>
      <w:r>
        <w:t xml:space="preserve"> </w:t>
      </w:r>
      <w:r>
        <w:tab/>
        <w:t xml:space="preserve">While the SNA estimate is quite close to the SLBCS-II estimate, since their response rate was quite low (23%) there is a possibility that the estimates reported in the SNA report are subject to nonresponse bias. </w:t>
      </w:r>
    </w:p>
  </w:footnote>
  <w:footnote w:id="4">
    <w:p w:rsidR="00F10020" w:rsidRPr="004D4C98" w:rsidRDefault="00F10020" w:rsidP="004B1702">
      <w:pPr>
        <w:pStyle w:val="FootnoteText"/>
      </w:pPr>
      <w:r>
        <w:rPr>
          <w:rStyle w:val="FootnoteReference"/>
        </w:rPr>
        <w:footnoteRef/>
      </w:r>
      <w:r>
        <w:t xml:space="preserve"> </w:t>
      </w:r>
      <w:r>
        <w:tab/>
        <w:t xml:space="preserve">Although FNS did not specify a requirement for a minimum detectable effect size (MDE), this sample provides 80% power to detect an effect of .2 standard deviations (about 10 percentage points) with </w:t>
      </w:r>
      <w:r>
        <w:sym w:font="Symbol" w:char="F061"/>
      </w:r>
      <w:r>
        <w:rPr>
          <w:vertAlign w:val="subscript"/>
        </w:rPr>
        <w:t>2</w:t>
      </w:r>
      <w:r>
        <w:t>=.10.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020" w:rsidRPr="0005750B" w:rsidRDefault="00F10020" w:rsidP="0005750B">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020" w:rsidRDefault="00F10020" w:rsidP="00883197">
    <w:pPr>
      <w:pStyle w:val="Header"/>
    </w:pPr>
    <w:r w:rsidRPr="004B1702">
      <w:t>School Foodservice Indirect Cost Study</w:t>
    </w:r>
    <w:r>
      <w:t xml:space="preserve"> – </w:t>
    </w:r>
    <w:r w:rsidRPr="00883197">
      <w:t>OMB</w:t>
    </w:r>
    <w:r>
      <w:t xml:space="preserve"> Submission Part A (Revised)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
    <w:nsid w:val="58FD25F9"/>
    <w:multiLevelType w:val="singleLevel"/>
    <w:tmpl w:val="2640B866"/>
    <w:lvl w:ilvl="0">
      <w:start w:val="1"/>
      <w:numFmt w:val="bullet"/>
      <w:pStyle w:val="TOCTitle"/>
      <w:lvlText w:val=""/>
      <w:lvlJc w:val="left"/>
      <w:pPr>
        <w:tabs>
          <w:tab w:val="num" w:pos="1080"/>
        </w:tabs>
        <w:ind w:left="1080" w:hanging="360"/>
      </w:pPr>
      <w:rPr>
        <w:rFonts w:ascii="Symbol" w:hAnsi="Symbol" w:hint="default"/>
      </w:rPr>
    </w:lvl>
  </w:abstractNum>
  <w:abstractNum w:abstractNumId="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
    <w:nsid w:val="7AD63DA6"/>
    <w:multiLevelType w:val="singleLevel"/>
    <w:tmpl w:val="EBDC119A"/>
    <w:lvl w:ilvl="0">
      <w:start w:val="1"/>
      <w:numFmt w:val="bullet"/>
      <w:pStyle w:val="Bullets"/>
      <w:lvlText w:val=""/>
      <w:lvlJc w:val="left"/>
      <w:pPr>
        <w:ind w:left="360" w:hanging="360"/>
      </w:pPr>
      <w:rPr>
        <w:rFonts w:ascii="Symbol" w:hAnsi="Symbol" w:hint="default"/>
        <w:color w:val="DA291C"/>
        <w:sz w:val="22"/>
      </w:rPr>
    </w:lvl>
  </w:abstractNum>
  <w:abstractNum w:abstractNumId="5">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activeWritingStyle w:appName="MSWord" w:lang="en-US" w:vendorID="8" w:dllVersion="513" w:checkStyle="1"/>
  <w:proofState w:grammar="clean"/>
  <w:attachedTemplate r:id="rId1"/>
  <w:stylePaneFormatFilter w:val="3001"/>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66561">
      <o:colormru v:ext="edit" colors="#e1e1ff,#069,#bad1e8,#afd787,#cde6b4,#d1e8ba,#0000ac"/>
    </o:shapedefaults>
  </w:hdrShapeDefaults>
  <w:footnotePr>
    <w:footnote w:id="-1"/>
    <w:footnote w:id="0"/>
  </w:footnotePr>
  <w:endnotePr>
    <w:endnote w:id="-1"/>
    <w:endnote w:id="0"/>
  </w:endnotePr>
  <w:compat/>
  <w:rsids>
    <w:rsidRoot w:val="004B1702"/>
    <w:rsid w:val="00003A2C"/>
    <w:rsid w:val="00006B3A"/>
    <w:rsid w:val="00013696"/>
    <w:rsid w:val="000136F3"/>
    <w:rsid w:val="00016E17"/>
    <w:rsid w:val="00021FAB"/>
    <w:rsid w:val="0002216E"/>
    <w:rsid w:val="00036F57"/>
    <w:rsid w:val="00040E00"/>
    <w:rsid w:val="00040E8E"/>
    <w:rsid w:val="00046728"/>
    <w:rsid w:val="000525E0"/>
    <w:rsid w:val="00053EEF"/>
    <w:rsid w:val="000543DC"/>
    <w:rsid w:val="00055022"/>
    <w:rsid w:val="00056FCA"/>
    <w:rsid w:val="0005750B"/>
    <w:rsid w:val="0006045E"/>
    <w:rsid w:val="00062EE1"/>
    <w:rsid w:val="0006587B"/>
    <w:rsid w:val="00070322"/>
    <w:rsid w:val="00074141"/>
    <w:rsid w:val="000804A7"/>
    <w:rsid w:val="00082D01"/>
    <w:rsid w:val="000851E0"/>
    <w:rsid w:val="00085A28"/>
    <w:rsid w:val="00086BCD"/>
    <w:rsid w:val="00087856"/>
    <w:rsid w:val="000902AA"/>
    <w:rsid w:val="0009483E"/>
    <w:rsid w:val="00095D40"/>
    <w:rsid w:val="000A00A2"/>
    <w:rsid w:val="000A1C6D"/>
    <w:rsid w:val="000A5ABC"/>
    <w:rsid w:val="000A7D69"/>
    <w:rsid w:val="000B33D1"/>
    <w:rsid w:val="000C0A39"/>
    <w:rsid w:val="000C3040"/>
    <w:rsid w:val="000C573E"/>
    <w:rsid w:val="000D0D50"/>
    <w:rsid w:val="000D53F1"/>
    <w:rsid w:val="000D5777"/>
    <w:rsid w:val="000E6B75"/>
    <w:rsid w:val="000E7F41"/>
    <w:rsid w:val="000F4E09"/>
    <w:rsid w:val="000F53F4"/>
    <w:rsid w:val="000F6DAD"/>
    <w:rsid w:val="001034D7"/>
    <w:rsid w:val="00104F2A"/>
    <w:rsid w:val="00107A04"/>
    <w:rsid w:val="0011170B"/>
    <w:rsid w:val="0011314E"/>
    <w:rsid w:val="001178CA"/>
    <w:rsid w:val="0012128E"/>
    <w:rsid w:val="00124D87"/>
    <w:rsid w:val="00127A71"/>
    <w:rsid w:val="00127C15"/>
    <w:rsid w:val="00130288"/>
    <w:rsid w:val="001307A5"/>
    <w:rsid w:val="001329ED"/>
    <w:rsid w:val="001407A3"/>
    <w:rsid w:val="00152153"/>
    <w:rsid w:val="001539D3"/>
    <w:rsid w:val="00157E04"/>
    <w:rsid w:val="00160657"/>
    <w:rsid w:val="00160B87"/>
    <w:rsid w:val="00163417"/>
    <w:rsid w:val="001672C9"/>
    <w:rsid w:val="001677DC"/>
    <w:rsid w:val="00171355"/>
    <w:rsid w:val="00172119"/>
    <w:rsid w:val="00180641"/>
    <w:rsid w:val="00186DF1"/>
    <w:rsid w:val="00194187"/>
    <w:rsid w:val="00196B40"/>
    <w:rsid w:val="001A04CE"/>
    <w:rsid w:val="001A0E0A"/>
    <w:rsid w:val="001A23B5"/>
    <w:rsid w:val="001A403F"/>
    <w:rsid w:val="001A4633"/>
    <w:rsid w:val="001A7084"/>
    <w:rsid w:val="001A7ADC"/>
    <w:rsid w:val="001A7BE0"/>
    <w:rsid w:val="001B4509"/>
    <w:rsid w:val="001C0891"/>
    <w:rsid w:val="001C0EC2"/>
    <w:rsid w:val="001C10AF"/>
    <w:rsid w:val="001C17D5"/>
    <w:rsid w:val="001D2E01"/>
    <w:rsid w:val="001D4FDD"/>
    <w:rsid w:val="001E2CF1"/>
    <w:rsid w:val="001F40F5"/>
    <w:rsid w:val="001F5CE8"/>
    <w:rsid w:val="001F719F"/>
    <w:rsid w:val="002006CC"/>
    <w:rsid w:val="00200E58"/>
    <w:rsid w:val="002064D3"/>
    <w:rsid w:val="002069B7"/>
    <w:rsid w:val="002106BF"/>
    <w:rsid w:val="0021312C"/>
    <w:rsid w:val="002176B8"/>
    <w:rsid w:val="002216AD"/>
    <w:rsid w:val="00221D99"/>
    <w:rsid w:val="00223A9F"/>
    <w:rsid w:val="0022674D"/>
    <w:rsid w:val="00227977"/>
    <w:rsid w:val="002333E4"/>
    <w:rsid w:val="0023449A"/>
    <w:rsid w:val="00235F88"/>
    <w:rsid w:val="00245542"/>
    <w:rsid w:val="00250017"/>
    <w:rsid w:val="00251159"/>
    <w:rsid w:val="002553AE"/>
    <w:rsid w:val="00255975"/>
    <w:rsid w:val="00262CDE"/>
    <w:rsid w:val="002672DC"/>
    <w:rsid w:val="002702F7"/>
    <w:rsid w:val="00270A46"/>
    <w:rsid w:val="00273EAA"/>
    <w:rsid w:val="00276702"/>
    <w:rsid w:val="0028328D"/>
    <w:rsid w:val="002838F5"/>
    <w:rsid w:val="00285BB6"/>
    <w:rsid w:val="0029491C"/>
    <w:rsid w:val="002976F0"/>
    <w:rsid w:val="002A3B2D"/>
    <w:rsid w:val="002A4078"/>
    <w:rsid w:val="002A5095"/>
    <w:rsid w:val="002A5CE0"/>
    <w:rsid w:val="002B2F3C"/>
    <w:rsid w:val="002B340A"/>
    <w:rsid w:val="002C32AB"/>
    <w:rsid w:val="002C3D44"/>
    <w:rsid w:val="002C41F9"/>
    <w:rsid w:val="002C4495"/>
    <w:rsid w:val="002C5AC8"/>
    <w:rsid w:val="002C76AB"/>
    <w:rsid w:val="002D4536"/>
    <w:rsid w:val="002E2A6F"/>
    <w:rsid w:val="002E5929"/>
    <w:rsid w:val="002F48C8"/>
    <w:rsid w:val="002F55CE"/>
    <w:rsid w:val="002F76F5"/>
    <w:rsid w:val="00306F63"/>
    <w:rsid w:val="00311707"/>
    <w:rsid w:val="00314A8A"/>
    <w:rsid w:val="0032042B"/>
    <w:rsid w:val="00324EC2"/>
    <w:rsid w:val="003279F2"/>
    <w:rsid w:val="003411C5"/>
    <w:rsid w:val="00342BA9"/>
    <w:rsid w:val="003452AA"/>
    <w:rsid w:val="003455BC"/>
    <w:rsid w:val="0034608B"/>
    <w:rsid w:val="00354503"/>
    <w:rsid w:val="003606D8"/>
    <w:rsid w:val="003623F0"/>
    <w:rsid w:val="003669AE"/>
    <w:rsid w:val="00367182"/>
    <w:rsid w:val="00370164"/>
    <w:rsid w:val="003711CD"/>
    <w:rsid w:val="00373224"/>
    <w:rsid w:val="00373A24"/>
    <w:rsid w:val="00380DB1"/>
    <w:rsid w:val="00383BFC"/>
    <w:rsid w:val="00384611"/>
    <w:rsid w:val="00384CA0"/>
    <w:rsid w:val="003864D5"/>
    <w:rsid w:val="003870BA"/>
    <w:rsid w:val="003874A9"/>
    <w:rsid w:val="003921E3"/>
    <w:rsid w:val="00395A89"/>
    <w:rsid w:val="003A2FA8"/>
    <w:rsid w:val="003A3403"/>
    <w:rsid w:val="003A77FF"/>
    <w:rsid w:val="003B01D1"/>
    <w:rsid w:val="003B1642"/>
    <w:rsid w:val="003B4770"/>
    <w:rsid w:val="003B5B87"/>
    <w:rsid w:val="003B764E"/>
    <w:rsid w:val="003C20BF"/>
    <w:rsid w:val="003D2521"/>
    <w:rsid w:val="003D5616"/>
    <w:rsid w:val="003E666B"/>
    <w:rsid w:val="003F3E19"/>
    <w:rsid w:val="004052AC"/>
    <w:rsid w:val="00411F9E"/>
    <w:rsid w:val="00423092"/>
    <w:rsid w:val="004253E8"/>
    <w:rsid w:val="00427EA9"/>
    <w:rsid w:val="00431859"/>
    <w:rsid w:val="004319BC"/>
    <w:rsid w:val="0043362F"/>
    <w:rsid w:val="004350B0"/>
    <w:rsid w:val="00436CE5"/>
    <w:rsid w:val="00447223"/>
    <w:rsid w:val="00450FDE"/>
    <w:rsid w:val="00467B10"/>
    <w:rsid w:val="00470AB4"/>
    <w:rsid w:val="00472E16"/>
    <w:rsid w:val="00472EA8"/>
    <w:rsid w:val="004734DF"/>
    <w:rsid w:val="00486943"/>
    <w:rsid w:val="00495B91"/>
    <w:rsid w:val="004A5408"/>
    <w:rsid w:val="004B1702"/>
    <w:rsid w:val="004C18DF"/>
    <w:rsid w:val="004C29BB"/>
    <w:rsid w:val="004C29E5"/>
    <w:rsid w:val="004C2B46"/>
    <w:rsid w:val="004C72B5"/>
    <w:rsid w:val="004D4C6D"/>
    <w:rsid w:val="004E01A4"/>
    <w:rsid w:val="004F4566"/>
    <w:rsid w:val="004F6742"/>
    <w:rsid w:val="004F709B"/>
    <w:rsid w:val="00502A8D"/>
    <w:rsid w:val="00503049"/>
    <w:rsid w:val="00534B03"/>
    <w:rsid w:val="00534C33"/>
    <w:rsid w:val="00535E00"/>
    <w:rsid w:val="00536DB4"/>
    <w:rsid w:val="0053770E"/>
    <w:rsid w:val="0054025D"/>
    <w:rsid w:val="00543B60"/>
    <w:rsid w:val="0054668E"/>
    <w:rsid w:val="0055123E"/>
    <w:rsid w:val="00554B8D"/>
    <w:rsid w:val="0056261A"/>
    <w:rsid w:val="00563968"/>
    <w:rsid w:val="00567780"/>
    <w:rsid w:val="005720B7"/>
    <w:rsid w:val="00573B71"/>
    <w:rsid w:val="00574572"/>
    <w:rsid w:val="00582909"/>
    <w:rsid w:val="00585CA4"/>
    <w:rsid w:val="00587DC5"/>
    <w:rsid w:val="00597948"/>
    <w:rsid w:val="005A7A76"/>
    <w:rsid w:val="005B1AC5"/>
    <w:rsid w:val="005B362B"/>
    <w:rsid w:val="005B59A1"/>
    <w:rsid w:val="005B6A25"/>
    <w:rsid w:val="005C4647"/>
    <w:rsid w:val="005C492E"/>
    <w:rsid w:val="005E03F6"/>
    <w:rsid w:val="005E0CF2"/>
    <w:rsid w:val="005E2AEA"/>
    <w:rsid w:val="005E3EC5"/>
    <w:rsid w:val="005E6B70"/>
    <w:rsid w:val="005F0195"/>
    <w:rsid w:val="005F748E"/>
    <w:rsid w:val="005F7A6F"/>
    <w:rsid w:val="006000F2"/>
    <w:rsid w:val="00601D62"/>
    <w:rsid w:val="0060597B"/>
    <w:rsid w:val="006122D8"/>
    <w:rsid w:val="0061247A"/>
    <w:rsid w:val="006135EC"/>
    <w:rsid w:val="00615325"/>
    <w:rsid w:val="00615938"/>
    <w:rsid w:val="00622052"/>
    <w:rsid w:val="00625BC3"/>
    <w:rsid w:val="0063014E"/>
    <w:rsid w:val="006478D6"/>
    <w:rsid w:val="0065112D"/>
    <w:rsid w:val="006517AF"/>
    <w:rsid w:val="0066134E"/>
    <w:rsid w:val="00662414"/>
    <w:rsid w:val="00680967"/>
    <w:rsid w:val="006814BB"/>
    <w:rsid w:val="006840EB"/>
    <w:rsid w:val="0069342C"/>
    <w:rsid w:val="006936EC"/>
    <w:rsid w:val="006A541C"/>
    <w:rsid w:val="006A5B3B"/>
    <w:rsid w:val="006B1DA6"/>
    <w:rsid w:val="006B4A35"/>
    <w:rsid w:val="006C5C73"/>
    <w:rsid w:val="006C7A4C"/>
    <w:rsid w:val="006D406B"/>
    <w:rsid w:val="006E2B32"/>
    <w:rsid w:val="006F2B34"/>
    <w:rsid w:val="0070172E"/>
    <w:rsid w:val="007057ED"/>
    <w:rsid w:val="0070672F"/>
    <w:rsid w:val="00706870"/>
    <w:rsid w:val="007105A6"/>
    <w:rsid w:val="00715417"/>
    <w:rsid w:val="00723F1B"/>
    <w:rsid w:val="00726DD4"/>
    <w:rsid w:val="00730F56"/>
    <w:rsid w:val="00734DA1"/>
    <w:rsid w:val="00744E2C"/>
    <w:rsid w:val="00750C48"/>
    <w:rsid w:val="00752119"/>
    <w:rsid w:val="00754408"/>
    <w:rsid w:val="00755456"/>
    <w:rsid w:val="00761172"/>
    <w:rsid w:val="007631C7"/>
    <w:rsid w:val="00763CCC"/>
    <w:rsid w:val="00771967"/>
    <w:rsid w:val="00776C72"/>
    <w:rsid w:val="0078258F"/>
    <w:rsid w:val="007846BC"/>
    <w:rsid w:val="0079114D"/>
    <w:rsid w:val="00793E01"/>
    <w:rsid w:val="00794B6E"/>
    <w:rsid w:val="007969A4"/>
    <w:rsid w:val="007970BA"/>
    <w:rsid w:val="007A0114"/>
    <w:rsid w:val="007A0EAE"/>
    <w:rsid w:val="007B1321"/>
    <w:rsid w:val="007B1904"/>
    <w:rsid w:val="007B4329"/>
    <w:rsid w:val="007C2A13"/>
    <w:rsid w:val="007C3124"/>
    <w:rsid w:val="007C69A6"/>
    <w:rsid w:val="007D14CA"/>
    <w:rsid w:val="007D52C5"/>
    <w:rsid w:val="007D6370"/>
    <w:rsid w:val="007E092F"/>
    <w:rsid w:val="007E5EC0"/>
    <w:rsid w:val="007E6DD8"/>
    <w:rsid w:val="007F132B"/>
    <w:rsid w:val="0080098A"/>
    <w:rsid w:val="00801761"/>
    <w:rsid w:val="008111EB"/>
    <w:rsid w:val="008130C9"/>
    <w:rsid w:val="00813D02"/>
    <w:rsid w:val="00814833"/>
    <w:rsid w:val="0081710A"/>
    <w:rsid w:val="0082033D"/>
    <w:rsid w:val="008222AD"/>
    <w:rsid w:val="00822B73"/>
    <w:rsid w:val="008242A7"/>
    <w:rsid w:val="00830609"/>
    <w:rsid w:val="0083104D"/>
    <w:rsid w:val="008349AE"/>
    <w:rsid w:val="00846D77"/>
    <w:rsid w:val="00852480"/>
    <w:rsid w:val="00856632"/>
    <w:rsid w:val="008571F4"/>
    <w:rsid w:val="008629FD"/>
    <w:rsid w:val="0086643C"/>
    <w:rsid w:val="00867308"/>
    <w:rsid w:val="00880700"/>
    <w:rsid w:val="00883197"/>
    <w:rsid w:val="00887278"/>
    <w:rsid w:val="00896919"/>
    <w:rsid w:val="008A7D96"/>
    <w:rsid w:val="008B0543"/>
    <w:rsid w:val="008B0B93"/>
    <w:rsid w:val="008B1B0B"/>
    <w:rsid w:val="008C0888"/>
    <w:rsid w:val="008C3505"/>
    <w:rsid w:val="008D25DD"/>
    <w:rsid w:val="008D30EA"/>
    <w:rsid w:val="008D55C8"/>
    <w:rsid w:val="008E20DE"/>
    <w:rsid w:val="008F1770"/>
    <w:rsid w:val="009013C5"/>
    <w:rsid w:val="00902EE4"/>
    <w:rsid w:val="00904F73"/>
    <w:rsid w:val="009061A4"/>
    <w:rsid w:val="00912E02"/>
    <w:rsid w:val="0092104C"/>
    <w:rsid w:val="00932EE2"/>
    <w:rsid w:val="009404F0"/>
    <w:rsid w:val="00942024"/>
    <w:rsid w:val="00944550"/>
    <w:rsid w:val="00944E39"/>
    <w:rsid w:val="009550AD"/>
    <w:rsid w:val="009565D4"/>
    <w:rsid w:val="009657FC"/>
    <w:rsid w:val="00967D7C"/>
    <w:rsid w:val="00976B4F"/>
    <w:rsid w:val="00977D73"/>
    <w:rsid w:val="0099262A"/>
    <w:rsid w:val="009A05F3"/>
    <w:rsid w:val="009B56DA"/>
    <w:rsid w:val="009B727F"/>
    <w:rsid w:val="009C05F7"/>
    <w:rsid w:val="009D0892"/>
    <w:rsid w:val="009D13BB"/>
    <w:rsid w:val="009D5028"/>
    <w:rsid w:val="009D50EB"/>
    <w:rsid w:val="009E32F5"/>
    <w:rsid w:val="009E3D98"/>
    <w:rsid w:val="009E6279"/>
    <w:rsid w:val="009F238B"/>
    <w:rsid w:val="009F2649"/>
    <w:rsid w:val="009F704C"/>
    <w:rsid w:val="00A0215D"/>
    <w:rsid w:val="00A02178"/>
    <w:rsid w:val="00A06666"/>
    <w:rsid w:val="00A105E0"/>
    <w:rsid w:val="00A3018B"/>
    <w:rsid w:val="00A3128D"/>
    <w:rsid w:val="00A324EA"/>
    <w:rsid w:val="00A33A46"/>
    <w:rsid w:val="00A45B43"/>
    <w:rsid w:val="00A4794A"/>
    <w:rsid w:val="00A533DE"/>
    <w:rsid w:val="00A53E2B"/>
    <w:rsid w:val="00A6307F"/>
    <w:rsid w:val="00A6706F"/>
    <w:rsid w:val="00A70707"/>
    <w:rsid w:val="00A8119A"/>
    <w:rsid w:val="00A815A4"/>
    <w:rsid w:val="00A817CE"/>
    <w:rsid w:val="00A84EFF"/>
    <w:rsid w:val="00A928FA"/>
    <w:rsid w:val="00A95D97"/>
    <w:rsid w:val="00A961A7"/>
    <w:rsid w:val="00AA7B0B"/>
    <w:rsid w:val="00AB32CF"/>
    <w:rsid w:val="00AC1A6F"/>
    <w:rsid w:val="00AC59EB"/>
    <w:rsid w:val="00AD2235"/>
    <w:rsid w:val="00AD44C7"/>
    <w:rsid w:val="00AE30C2"/>
    <w:rsid w:val="00AE3816"/>
    <w:rsid w:val="00B02599"/>
    <w:rsid w:val="00B14060"/>
    <w:rsid w:val="00B16B3C"/>
    <w:rsid w:val="00B24D86"/>
    <w:rsid w:val="00B25EE3"/>
    <w:rsid w:val="00B269D4"/>
    <w:rsid w:val="00B3357C"/>
    <w:rsid w:val="00B336DF"/>
    <w:rsid w:val="00B35D3D"/>
    <w:rsid w:val="00B40DB9"/>
    <w:rsid w:val="00B51376"/>
    <w:rsid w:val="00B61C4A"/>
    <w:rsid w:val="00B61EC9"/>
    <w:rsid w:val="00B64C24"/>
    <w:rsid w:val="00B679AD"/>
    <w:rsid w:val="00B70C3B"/>
    <w:rsid w:val="00B7744A"/>
    <w:rsid w:val="00B77DA5"/>
    <w:rsid w:val="00B82D4D"/>
    <w:rsid w:val="00B87EE6"/>
    <w:rsid w:val="00B9260A"/>
    <w:rsid w:val="00B96ABD"/>
    <w:rsid w:val="00BB5ACD"/>
    <w:rsid w:val="00BC1050"/>
    <w:rsid w:val="00BC260A"/>
    <w:rsid w:val="00BD42E3"/>
    <w:rsid w:val="00BE6F64"/>
    <w:rsid w:val="00BF18DC"/>
    <w:rsid w:val="00C04B4F"/>
    <w:rsid w:val="00C13DE2"/>
    <w:rsid w:val="00C14408"/>
    <w:rsid w:val="00C14776"/>
    <w:rsid w:val="00C14F0F"/>
    <w:rsid w:val="00C17F58"/>
    <w:rsid w:val="00C2229B"/>
    <w:rsid w:val="00C269C3"/>
    <w:rsid w:val="00C306C4"/>
    <w:rsid w:val="00C307E7"/>
    <w:rsid w:val="00C344BC"/>
    <w:rsid w:val="00C34A92"/>
    <w:rsid w:val="00C35829"/>
    <w:rsid w:val="00C370A7"/>
    <w:rsid w:val="00C418C1"/>
    <w:rsid w:val="00C541FE"/>
    <w:rsid w:val="00C57E90"/>
    <w:rsid w:val="00C615FF"/>
    <w:rsid w:val="00C62F1C"/>
    <w:rsid w:val="00C6380F"/>
    <w:rsid w:val="00C744A3"/>
    <w:rsid w:val="00C81548"/>
    <w:rsid w:val="00C81DB5"/>
    <w:rsid w:val="00C900FF"/>
    <w:rsid w:val="00CA1546"/>
    <w:rsid w:val="00CA3041"/>
    <w:rsid w:val="00CA4D0B"/>
    <w:rsid w:val="00CB3FC8"/>
    <w:rsid w:val="00CB442A"/>
    <w:rsid w:val="00CB7523"/>
    <w:rsid w:val="00CB7992"/>
    <w:rsid w:val="00CC3F89"/>
    <w:rsid w:val="00CD4B2E"/>
    <w:rsid w:val="00CD4DE4"/>
    <w:rsid w:val="00CD6527"/>
    <w:rsid w:val="00CD6B3F"/>
    <w:rsid w:val="00CF3E63"/>
    <w:rsid w:val="00CF561E"/>
    <w:rsid w:val="00CF6909"/>
    <w:rsid w:val="00D06C93"/>
    <w:rsid w:val="00D074DF"/>
    <w:rsid w:val="00D1041B"/>
    <w:rsid w:val="00D143BA"/>
    <w:rsid w:val="00D15740"/>
    <w:rsid w:val="00D20DD2"/>
    <w:rsid w:val="00D24FA0"/>
    <w:rsid w:val="00D34EEE"/>
    <w:rsid w:val="00D36475"/>
    <w:rsid w:val="00D37BAF"/>
    <w:rsid w:val="00D405A9"/>
    <w:rsid w:val="00D51B1E"/>
    <w:rsid w:val="00D551F9"/>
    <w:rsid w:val="00D5521E"/>
    <w:rsid w:val="00D63838"/>
    <w:rsid w:val="00D70D74"/>
    <w:rsid w:val="00D8085E"/>
    <w:rsid w:val="00D82417"/>
    <w:rsid w:val="00D84F00"/>
    <w:rsid w:val="00D94957"/>
    <w:rsid w:val="00D96598"/>
    <w:rsid w:val="00D979EA"/>
    <w:rsid w:val="00DA02B9"/>
    <w:rsid w:val="00DA42EA"/>
    <w:rsid w:val="00DA544B"/>
    <w:rsid w:val="00DA677E"/>
    <w:rsid w:val="00DA7FEA"/>
    <w:rsid w:val="00DB0BF5"/>
    <w:rsid w:val="00DB269B"/>
    <w:rsid w:val="00DC02B5"/>
    <w:rsid w:val="00DC2F37"/>
    <w:rsid w:val="00DC5BE0"/>
    <w:rsid w:val="00DD27D1"/>
    <w:rsid w:val="00DD737B"/>
    <w:rsid w:val="00DE221A"/>
    <w:rsid w:val="00DE2334"/>
    <w:rsid w:val="00DE5C1E"/>
    <w:rsid w:val="00DE5D97"/>
    <w:rsid w:val="00DF1EF3"/>
    <w:rsid w:val="00DF68F0"/>
    <w:rsid w:val="00DF6CDE"/>
    <w:rsid w:val="00E0113D"/>
    <w:rsid w:val="00E039CB"/>
    <w:rsid w:val="00E11110"/>
    <w:rsid w:val="00E1423B"/>
    <w:rsid w:val="00E237E8"/>
    <w:rsid w:val="00E317E1"/>
    <w:rsid w:val="00E33231"/>
    <w:rsid w:val="00E34DC0"/>
    <w:rsid w:val="00E36C5C"/>
    <w:rsid w:val="00E5608C"/>
    <w:rsid w:val="00E567DA"/>
    <w:rsid w:val="00E61805"/>
    <w:rsid w:val="00E6186E"/>
    <w:rsid w:val="00E62A63"/>
    <w:rsid w:val="00E72F03"/>
    <w:rsid w:val="00E7429A"/>
    <w:rsid w:val="00E75D89"/>
    <w:rsid w:val="00E84434"/>
    <w:rsid w:val="00E85491"/>
    <w:rsid w:val="00E87675"/>
    <w:rsid w:val="00E87DE3"/>
    <w:rsid w:val="00EA0512"/>
    <w:rsid w:val="00EB30F5"/>
    <w:rsid w:val="00EB47F8"/>
    <w:rsid w:val="00EB5C8B"/>
    <w:rsid w:val="00EC3CC1"/>
    <w:rsid w:val="00EC47CA"/>
    <w:rsid w:val="00EC7DCF"/>
    <w:rsid w:val="00EC7EBB"/>
    <w:rsid w:val="00ED263C"/>
    <w:rsid w:val="00ED2A92"/>
    <w:rsid w:val="00ED503D"/>
    <w:rsid w:val="00EE11FD"/>
    <w:rsid w:val="00EE1D07"/>
    <w:rsid w:val="00EE4BDB"/>
    <w:rsid w:val="00EF68DE"/>
    <w:rsid w:val="00F0679F"/>
    <w:rsid w:val="00F10020"/>
    <w:rsid w:val="00F13235"/>
    <w:rsid w:val="00F135EA"/>
    <w:rsid w:val="00F1494E"/>
    <w:rsid w:val="00F23798"/>
    <w:rsid w:val="00F260AC"/>
    <w:rsid w:val="00F26DFB"/>
    <w:rsid w:val="00F27043"/>
    <w:rsid w:val="00F32C54"/>
    <w:rsid w:val="00F32E6E"/>
    <w:rsid w:val="00F32FC5"/>
    <w:rsid w:val="00F4263A"/>
    <w:rsid w:val="00F44CBD"/>
    <w:rsid w:val="00F45A23"/>
    <w:rsid w:val="00F47332"/>
    <w:rsid w:val="00F47CBF"/>
    <w:rsid w:val="00F47E96"/>
    <w:rsid w:val="00F50A3A"/>
    <w:rsid w:val="00F60BBB"/>
    <w:rsid w:val="00F62A1E"/>
    <w:rsid w:val="00F64DB9"/>
    <w:rsid w:val="00F65513"/>
    <w:rsid w:val="00F7249B"/>
    <w:rsid w:val="00F74331"/>
    <w:rsid w:val="00F77187"/>
    <w:rsid w:val="00F849B5"/>
    <w:rsid w:val="00F85399"/>
    <w:rsid w:val="00F93183"/>
    <w:rsid w:val="00F9672A"/>
    <w:rsid w:val="00F9770C"/>
    <w:rsid w:val="00FA035F"/>
    <w:rsid w:val="00FA2CB1"/>
    <w:rsid w:val="00FA2FFB"/>
    <w:rsid w:val="00FA596C"/>
    <w:rsid w:val="00FA686C"/>
    <w:rsid w:val="00FA6932"/>
    <w:rsid w:val="00FB3972"/>
    <w:rsid w:val="00FB6E74"/>
    <w:rsid w:val="00FB70DE"/>
    <w:rsid w:val="00FC2BD1"/>
    <w:rsid w:val="00FC34B5"/>
    <w:rsid w:val="00FC6DE5"/>
    <w:rsid w:val="00FD17C2"/>
    <w:rsid w:val="00FD20F5"/>
    <w:rsid w:val="00FD634F"/>
    <w:rsid w:val="00FD6B90"/>
    <w:rsid w:val="00FE0A7C"/>
    <w:rsid w:val="00FE2611"/>
    <w:rsid w:val="00FE3706"/>
    <w:rsid w:val="00FF2067"/>
    <w:rsid w:val="00FF3FFA"/>
    <w:rsid w:val="00FF78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1">
      <o:colormru v:ext="edit" colors="#e1e1ff,#069,#bad1e8,#afd787,#cde6b4,#d1e8ba,#0000a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702"/>
    <w:pPr>
      <w:spacing w:line="264" w:lineRule="auto"/>
    </w:pPr>
    <w:rPr>
      <w:sz w:val="22"/>
    </w:rPr>
  </w:style>
  <w:style w:type="paragraph" w:styleId="Heading1">
    <w:name w:val="heading 1"/>
    <w:basedOn w:val="Normal"/>
    <w:next w:val="BodyText"/>
    <w:qFormat/>
    <w:rsid w:val="00085A28"/>
    <w:pPr>
      <w:keepNext/>
      <w:keepLines/>
      <w:pageBreakBefore/>
      <w:pBdr>
        <w:top w:val="single" w:sz="6" w:space="3" w:color="DA291C"/>
        <w:bottom w:val="single" w:sz="6" w:space="3" w:color="DA291C"/>
      </w:pBdr>
      <w:shd w:val="clear" w:color="auto" w:fill="DA291C"/>
      <w:spacing w:after="280" w:line="240" w:lineRule="auto"/>
      <w:outlineLvl w:val="0"/>
    </w:pPr>
    <w:rPr>
      <w:rFonts w:ascii="Arial" w:hAnsi="Arial"/>
      <w:b/>
      <w:color w:val="FFFFFF"/>
      <w:kern w:val="28"/>
      <w:sz w:val="28"/>
    </w:rPr>
  </w:style>
  <w:style w:type="paragraph" w:styleId="Heading2">
    <w:name w:val="heading 2"/>
    <w:basedOn w:val="Normal"/>
    <w:next w:val="BodyText"/>
    <w:link w:val="Heading2Char"/>
    <w:qFormat/>
    <w:rsid w:val="00367182"/>
    <w:pPr>
      <w:keepNext/>
      <w:pBdr>
        <w:top w:val="single" w:sz="6" w:space="1" w:color="D0D3D4"/>
        <w:bottom w:val="single" w:sz="6" w:space="1" w:color="D0D3D4"/>
      </w:pBdr>
      <w:shd w:val="clear" w:color="auto" w:fill="D0D3D4"/>
      <w:spacing w:after="240" w:line="240" w:lineRule="auto"/>
      <w:ind w:left="720" w:hanging="720"/>
      <w:outlineLvl w:val="1"/>
    </w:pPr>
    <w:rPr>
      <w:rFonts w:ascii="Arial" w:hAnsi="Arial" w:cs="Arial"/>
      <w:b/>
      <w:bCs/>
      <w:iCs/>
      <w:color w:val="000000" w:themeColor="text1"/>
      <w:szCs w:val="28"/>
    </w:rPr>
  </w:style>
  <w:style w:type="paragraph" w:styleId="Heading3">
    <w:name w:val="heading 3"/>
    <w:basedOn w:val="Normal"/>
    <w:next w:val="BodyText"/>
    <w:qFormat/>
    <w:rsid w:val="002E5929"/>
    <w:pPr>
      <w:keepNext/>
      <w:spacing w:line="480" w:lineRule="auto"/>
      <w:outlineLvl w:val="2"/>
    </w:pPr>
    <w:rPr>
      <w:rFonts w:ascii="Arial" w:hAnsi="Arial"/>
      <w:b/>
      <w:color w:val="DA291C"/>
      <w:sz w:val="20"/>
    </w:rPr>
  </w:style>
  <w:style w:type="paragraph" w:styleId="Heading4">
    <w:name w:val="heading 4"/>
    <w:basedOn w:val="Normal"/>
    <w:next w:val="BodyText"/>
    <w:qFormat/>
    <w:rsid w:val="004B1702"/>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2E5929"/>
    <w:pPr>
      <w:spacing w:line="480" w:lineRule="auto"/>
      <w:ind w:firstLine="360"/>
    </w:pPr>
  </w:style>
  <w:style w:type="character" w:customStyle="1" w:styleId="BodyTextChar">
    <w:name w:val="Body Text Char"/>
    <w:basedOn w:val="DefaultParagraphFont"/>
    <w:link w:val="BodyText"/>
    <w:rsid w:val="002E5929"/>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4B1702"/>
  </w:style>
  <w:style w:type="paragraph" w:customStyle="1" w:styleId="Bullets">
    <w:name w:val="Bullets"/>
    <w:basedOn w:val="BodyText"/>
    <w:link w:val="BulletsCharChar"/>
    <w:rsid w:val="002E5929"/>
    <w:pPr>
      <w:numPr>
        <w:numId w:val="3"/>
      </w:numPr>
    </w:pPr>
  </w:style>
  <w:style w:type="paragraph" w:customStyle="1" w:styleId="RefNumbers">
    <w:name w:val="Ref Numbers"/>
    <w:basedOn w:val="BodyText"/>
    <w:rsid w:val="00EB47F8"/>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A8119A"/>
    <w:pPr>
      <w:tabs>
        <w:tab w:val="left" w:pos="900"/>
        <w:tab w:val="right" w:leader="dot" w:pos="9180"/>
      </w:tabs>
      <w:spacing w:before="240" w:line="264" w:lineRule="auto"/>
      <w:ind w:right="547" w:firstLine="0"/>
    </w:pPr>
    <w:rPr>
      <w:b/>
      <w:noProof/>
    </w:rPr>
  </w:style>
  <w:style w:type="character" w:styleId="CommentReference">
    <w:name w:val="annotation reference"/>
    <w:basedOn w:val="DefaultParagraphFont"/>
    <w:semiHidden/>
    <w:rsid w:val="00EB47F8"/>
    <w:rPr>
      <w:sz w:val="16"/>
    </w:rPr>
  </w:style>
  <w:style w:type="paragraph" w:styleId="TOC2">
    <w:name w:val="toc 2"/>
    <w:basedOn w:val="BodyText"/>
    <w:next w:val="BodyText"/>
    <w:uiPriority w:val="39"/>
    <w:rsid w:val="00793E01"/>
    <w:pPr>
      <w:tabs>
        <w:tab w:val="left" w:pos="1080"/>
        <w:tab w:val="right" w:leader="dot" w:pos="9180"/>
      </w:tabs>
      <w:spacing w:before="240" w:line="264" w:lineRule="auto"/>
      <w:ind w:left="1094" w:right="547" w:hanging="547"/>
    </w:pPr>
    <w:rPr>
      <w:noProof/>
    </w:rPr>
  </w:style>
  <w:style w:type="paragraph" w:styleId="TOC3">
    <w:name w:val="toc 3"/>
    <w:basedOn w:val="BodyText"/>
    <w:next w:val="BodyText"/>
    <w:uiPriority w:val="39"/>
    <w:rsid w:val="00793E01"/>
    <w:pPr>
      <w:tabs>
        <w:tab w:val="right" w:leader="dot" w:pos="9180"/>
      </w:tabs>
      <w:spacing w:line="264" w:lineRule="auto"/>
      <w:ind w:left="1620" w:right="547" w:hanging="7"/>
    </w:pPr>
    <w:rPr>
      <w:noProof/>
    </w:rPr>
  </w:style>
  <w:style w:type="paragraph" w:styleId="TOC4">
    <w:name w:val="toc 4"/>
    <w:basedOn w:val="BodyText"/>
    <w:next w:val="BodyText"/>
    <w:semiHidden/>
    <w:rsid w:val="00EB47F8"/>
    <w:pPr>
      <w:ind w:left="1728"/>
    </w:pPr>
  </w:style>
  <w:style w:type="paragraph" w:styleId="TOC5">
    <w:name w:val="toc 5"/>
    <w:basedOn w:val="Normal"/>
    <w:next w:val="Normal"/>
    <w:autoRedefine/>
    <w:semiHidden/>
    <w:rsid w:val="00EB47F8"/>
    <w:pPr>
      <w:ind w:left="960"/>
    </w:pPr>
  </w:style>
  <w:style w:type="paragraph" w:styleId="TOC6">
    <w:name w:val="toc 6"/>
    <w:basedOn w:val="Normal"/>
    <w:next w:val="Normal"/>
    <w:autoRedefine/>
    <w:semiHidden/>
    <w:rsid w:val="00EB47F8"/>
    <w:pPr>
      <w:ind w:left="1200"/>
    </w:pPr>
  </w:style>
  <w:style w:type="paragraph" w:styleId="TOC7">
    <w:name w:val="toc 7"/>
    <w:basedOn w:val="Normal"/>
    <w:next w:val="Normal"/>
    <w:autoRedefine/>
    <w:semiHidden/>
    <w:rsid w:val="00EB47F8"/>
    <w:pPr>
      <w:ind w:left="1440"/>
    </w:pPr>
  </w:style>
  <w:style w:type="paragraph" w:styleId="TOC8">
    <w:name w:val="toc 8"/>
    <w:basedOn w:val="Normal"/>
    <w:next w:val="Normal"/>
    <w:autoRedefine/>
    <w:semiHidden/>
    <w:rsid w:val="00EB47F8"/>
    <w:pPr>
      <w:ind w:left="1680"/>
    </w:pPr>
  </w:style>
  <w:style w:type="paragraph" w:styleId="TOC9">
    <w:name w:val="toc 9"/>
    <w:basedOn w:val="Normal"/>
    <w:next w:val="Normal"/>
    <w:autoRedefine/>
    <w:semiHidden/>
    <w:rsid w:val="00EB47F8"/>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EB47F8"/>
    <w:pPr>
      <w:spacing w:after="120"/>
      <w:ind w:left="360" w:hanging="360"/>
    </w:pPr>
    <w:rPr>
      <w:sz w:val="20"/>
    </w:rPr>
  </w:style>
  <w:style w:type="paragraph" w:styleId="Index1">
    <w:name w:val="index 1"/>
    <w:basedOn w:val="Normal"/>
    <w:next w:val="Normal"/>
    <w:autoRedefine/>
    <w:semiHidden/>
    <w:rsid w:val="00EB47F8"/>
    <w:pPr>
      <w:ind w:left="220" w:hanging="220"/>
    </w:pPr>
    <w:rPr>
      <w:sz w:val="20"/>
    </w:rPr>
  </w:style>
  <w:style w:type="paragraph" w:styleId="Index2">
    <w:name w:val="index 2"/>
    <w:basedOn w:val="Normal"/>
    <w:next w:val="Normal"/>
    <w:autoRedefine/>
    <w:semiHidden/>
    <w:rsid w:val="00EB47F8"/>
    <w:pPr>
      <w:ind w:left="440" w:hanging="220"/>
    </w:pPr>
    <w:rPr>
      <w:sz w:val="20"/>
    </w:rPr>
  </w:style>
  <w:style w:type="paragraph" w:styleId="Index3">
    <w:name w:val="index 3"/>
    <w:basedOn w:val="Normal"/>
    <w:next w:val="Normal"/>
    <w:autoRedefine/>
    <w:semiHidden/>
    <w:rsid w:val="00EB47F8"/>
    <w:pPr>
      <w:ind w:left="660" w:hanging="220"/>
    </w:pPr>
    <w:rPr>
      <w:sz w:val="20"/>
    </w:rPr>
  </w:style>
  <w:style w:type="paragraph" w:customStyle="1" w:styleId="Numbers">
    <w:name w:val="Numbers"/>
    <w:basedOn w:val="BodyText"/>
    <w:rsid w:val="00EB47F8"/>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7C2A13"/>
    <w:pPr>
      <w:spacing w:before="240"/>
    </w:pPr>
    <w:rPr>
      <w:rFonts w:ascii="Arial" w:hAnsi="Arial"/>
      <w:b/>
      <w:color w:val="898D8D"/>
      <w:sz w:val="24"/>
    </w:rPr>
  </w:style>
  <w:style w:type="paragraph" w:customStyle="1" w:styleId="ReportTitle-TOCPage">
    <w:name w:val="Report Title - TOC Page"/>
    <w:basedOn w:val="Normal"/>
    <w:next w:val="BodyText"/>
    <w:rsid w:val="00793E01"/>
    <w:pPr>
      <w:pBdr>
        <w:top w:val="single" w:sz="2" w:space="2" w:color="DA291C"/>
        <w:bottom w:val="single" w:sz="2" w:space="2" w:color="DA291C"/>
      </w:pBdr>
      <w:shd w:val="clear" w:color="auto" w:fill="DA291C"/>
      <w:tabs>
        <w:tab w:val="left" w:pos="1170"/>
      </w:tabs>
    </w:pPr>
    <w:rPr>
      <w:rFonts w:ascii="Arial" w:hAnsi="Arial" w:cs="Arial"/>
      <w:b/>
      <w:color w:val="F0F4F6" w:themeColor="background1" w:themeTint="33"/>
      <w:sz w:val="24"/>
      <w:szCs w:val="24"/>
    </w:rPr>
  </w:style>
  <w:style w:type="paragraph" w:styleId="Caption">
    <w:name w:val="caption"/>
    <w:basedOn w:val="Normal"/>
    <w:next w:val="Normal"/>
    <w:qFormat/>
    <w:rsid w:val="0079114D"/>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Normal"/>
    <w:next w:val="BodyText"/>
    <w:rsid w:val="004B1702"/>
    <w:pPr>
      <w:keepNext/>
      <w:keepLines/>
      <w:tabs>
        <w:tab w:val="left" w:pos="720"/>
        <w:tab w:val="left" w:pos="1080"/>
        <w:tab w:val="left" w:pos="1440"/>
        <w:tab w:val="left" w:pos="1800"/>
      </w:tabs>
      <w:spacing w:after="360"/>
      <w:outlineLvl w:val="0"/>
    </w:pPr>
    <w:rPr>
      <w:rFonts w:ascii="Arial Bold" w:hAnsi="Arial Bold"/>
      <w:b/>
      <w:smallCaps/>
      <w:sz w:val="28"/>
    </w:rPr>
  </w:style>
  <w:style w:type="paragraph" w:customStyle="1" w:styleId="full-govpro">
    <w:name w:val="full-govpro"/>
    <w:rsid w:val="004B1702"/>
    <w:pPr>
      <w:tabs>
        <w:tab w:val="left" w:pos="720"/>
        <w:tab w:val="left" w:pos="1080"/>
        <w:tab w:val="left" w:pos="1440"/>
        <w:tab w:val="left" w:pos="1800"/>
      </w:tabs>
      <w:spacing w:line="264" w:lineRule="auto"/>
    </w:pPr>
    <w:rPr>
      <w:sz w:val="22"/>
    </w:rPr>
  </w:style>
  <w:style w:type="paragraph" w:customStyle="1" w:styleId="AbtHeadB">
    <w:name w:val="AbtHead B"/>
    <w:basedOn w:val="Normal"/>
    <w:next w:val="BodyText"/>
    <w:link w:val="AbtHeadBChar"/>
    <w:rsid w:val="004B1702"/>
    <w:pPr>
      <w:keepNext/>
      <w:keepLines/>
      <w:tabs>
        <w:tab w:val="left" w:pos="720"/>
        <w:tab w:val="left" w:pos="1080"/>
        <w:tab w:val="left" w:pos="1440"/>
        <w:tab w:val="left" w:pos="1800"/>
      </w:tabs>
      <w:spacing w:after="280"/>
      <w:outlineLvl w:val="1"/>
    </w:pPr>
    <w:rPr>
      <w:rFonts w:ascii="Arial" w:hAnsi="Arial"/>
      <w:b/>
      <w:sz w:val="24"/>
    </w:rPr>
  </w:style>
  <w:style w:type="character" w:customStyle="1" w:styleId="AbtHeadBChar">
    <w:name w:val="AbtHead B Char"/>
    <w:link w:val="AbtHeadB"/>
    <w:rsid w:val="004B1702"/>
    <w:rPr>
      <w:rFonts w:ascii="Arial" w:hAnsi="Arial"/>
      <w:b/>
      <w:sz w:val="24"/>
    </w:rPr>
  </w:style>
  <w:style w:type="paragraph" w:customStyle="1" w:styleId="AbtHeadC">
    <w:name w:val="AbtHead C"/>
    <w:basedOn w:val="Normal"/>
    <w:next w:val="BodyText"/>
    <w:link w:val="AbtHeadCChar"/>
    <w:rsid w:val="004B1702"/>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link w:val="TableChar"/>
    <w:rsid w:val="004B1702"/>
    <w:pPr>
      <w:tabs>
        <w:tab w:val="left" w:pos="720"/>
        <w:tab w:val="left" w:pos="1080"/>
        <w:tab w:val="left" w:pos="1440"/>
        <w:tab w:val="left" w:pos="1800"/>
      </w:tabs>
    </w:pPr>
    <w:rPr>
      <w:rFonts w:ascii="Arial Narrow" w:hAnsi="Arial Narrow"/>
      <w:sz w:val="18"/>
    </w:rPr>
  </w:style>
  <w:style w:type="paragraph" w:customStyle="1" w:styleId="ExhibitColumnHeads">
    <w:name w:val="Exhibit Column Heads"/>
    <w:basedOn w:val="Normal"/>
    <w:rsid w:val="004B1702"/>
    <w:pPr>
      <w:tabs>
        <w:tab w:val="left" w:pos="432"/>
      </w:tabs>
      <w:spacing w:line="240" w:lineRule="auto"/>
      <w:jc w:val="center"/>
    </w:pPr>
    <w:rPr>
      <w:rFonts w:ascii="Arial Narrow" w:hAnsi="Arial Narrow" w:cs="Arial"/>
      <w:b/>
      <w:sz w:val="18"/>
      <w:szCs w:val="24"/>
    </w:rPr>
  </w:style>
  <w:style w:type="paragraph" w:customStyle="1" w:styleId="ExhibitTitle">
    <w:name w:val="Exhibit Title"/>
    <w:basedOn w:val="Caption"/>
    <w:next w:val="Normal"/>
    <w:rsid w:val="004B1702"/>
    <w:pPr>
      <w:tabs>
        <w:tab w:val="clear" w:pos="1440"/>
        <w:tab w:val="left" w:pos="432"/>
      </w:tabs>
      <w:spacing w:after="40" w:line="240" w:lineRule="auto"/>
      <w:ind w:left="0" w:firstLine="0"/>
    </w:pPr>
    <w:rPr>
      <w:color w:val="FFFFFF"/>
      <w:szCs w:val="24"/>
    </w:rPr>
  </w:style>
  <w:style w:type="character" w:customStyle="1" w:styleId="Head4">
    <w:name w:val="Head4"/>
    <w:rsid w:val="004B1702"/>
    <w:rPr>
      <w:rFonts w:ascii="Arial" w:hAnsi="Arial" w:cs="Arial"/>
      <w:b/>
      <w:color w:val="006699"/>
      <w:sz w:val="20"/>
      <w:szCs w:val="20"/>
    </w:rPr>
  </w:style>
  <w:style w:type="character" w:customStyle="1" w:styleId="TableChar">
    <w:name w:val="Table Char"/>
    <w:link w:val="Table"/>
    <w:rsid w:val="004B1702"/>
    <w:rPr>
      <w:rFonts w:ascii="Arial Narrow" w:hAnsi="Arial Narrow"/>
      <w:sz w:val="18"/>
    </w:rPr>
  </w:style>
  <w:style w:type="paragraph" w:customStyle="1" w:styleId="TOCTitle">
    <w:name w:val="TOC Title"/>
    <w:basedOn w:val="Normal"/>
    <w:next w:val="Normal"/>
    <w:uiPriority w:val="99"/>
    <w:rsid w:val="004B1702"/>
    <w:pPr>
      <w:numPr>
        <w:numId w:val="6"/>
      </w:numPr>
      <w:tabs>
        <w:tab w:val="clear" w:pos="1080"/>
      </w:tabs>
      <w:autoSpaceDE w:val="0"/>
      <w:autoSpaceDN w:val="0"/>
      <w:adjustRightInd w:val="0"/>
      <w:spacing w:line="240" w:lineRule="auto"/>
      <w:ind w:left="0" w:firstLine="0"/>
    </w:pPr>
    <w:rPr>
      <w:rFonts w:ascii="Garamond" w:hAnsi="Garamond"/>
      <w:color w:val="000000"/>
      <w:sz w:val="24"/>
      <w:szCs w:val="24"/>
    </w:rPr>
  </w:style>
  <w:style w:type="paragraph" w:customStyle="1" w:styleId="P1-StandPara">
    <w:name w:val="P1-Stand Para"/>
    <w:basedOn w:val="Normal"/>
    <w:uiPriority w:val="99"/>
    <w:rsid w:val="004B1702"/>
    <w:pPr>
      <w:spacing w:line="480" w:lineRule="auto"/>
      <w:ind w:firstLine="1152"/>
    </w:pPr>
    <w:rPr>
      <w:rFonts w:ascii="Garamond" w:hAnsi="Garamond" w:cs="Garamond"/>
      <w:sz w:val="24"/>
      <w:szCs w:val="24"/>
    </w:rPr>
  </w:style>
  <w:style w:type="paragraph" w:customStyle="1" w:styleId="TH-TableHeading">
    <w:name w:val="TH-Table Heading"/>
    <w:basedOn w:val="Heading1"/>
    <w:uiPriority w:val="99"/>
    <w:rsid w:val="004B1702"/>
    <w:pPr>
      <w:keepLines w:val="0"/>
      <w:pageBreakBefore w:val="0"/>
      <w:pBdr>
        <w:top w:val="none" w:sz="0" w:space="0" w:color="auto"/>
        <w:bottom w:val="none" w:sz="0" w:space="0" w:color="auto"/>
      </w:pBdr>
      <w:shd w:val="clear" w:color="auto" w:fill="auto"/>
      <w:tabs>
        <w:tab w:val="left" w:pos="1440"/>
      </w:tabs>
      <w:spacing w:line="240" w:lineRule="atLeast"/>
      <w:jc w:val="center"/>
    </w:pPr>
    <w:rPr>
      <w:rFonts w:ascii="Franklin Gothic Medium" w:hAnsi="Franklin Gothic Medium" w:cs="Franklin Gothic Medium"/>
      <w:bCs/>
      <w:color w:val="auto"/>
      <w:kern w:val="0"/>
      <w:sz w:val="20"/>
    </w:rPr>
  </w:style>
  <w:style w:type="paragraph" w:customStyle="1" w:styleId="TX-TableText">
    <w:name w:val="TX-Table Text"/>
    <w:basedOn w:val="Normal"/>
    <w:uiPriority w:val="99"/>
    <w:rsid w:val="004B1702"/>
    <w:pPr>
      <w:spacing w:line="240" w:lineRule="atLeast"/>
    </w:pPr>
    <w:rPr>
      <w:rFonts w:ascii="Franklin Gothic Medium" w:hAnsi="Franklin Gothic Medium" w:cs="Franklin Gothic Medium"/>
      <w:sz w:val="20"/>
    </w:rPr>
  </w:style>
  <w:style w:type="character" w:customStyle="1" w:styleId="BulletsCharChar">
    <w:name w:val="Bullets Char Char"/>
    <w:link w:val="Bullets"/>
    <w:rsid w:val="002E5929"/>
    <w:rPr>
      <w:sz w:val="22"/>
    </w:rPr>
  </w:style>
  <w:style w:type="character" w:customStyle="1" w:styleId="AbtHeadCChar">
    <w:name w:val="AbtHead C Char"/>
    <w:link w:val="AbtHeadC"/>
    <w:rsid w:val="004B1702"/>
    <w:rPr>
      <w:rFonts w:ascii="Arial" w:hAnsi="Arial"/>
      <w:b/>
    </w:rPr>
  </w:style>
  <w:style w:type="character" w:customStyle="1" w:styleId="CommentTextChar">
    <w:name w:val="Comment Text Char"/>
    <w:basedOn w:val="DefaultParagraphFont"/>
    <w:link w:val="CommentText"/>
    <w:uiPriority w:val="99"/>
    <w:rsid w:val="001329ED"/>
  </w:style>
  <w:style w:type="paragraph" w:styleId="Revision">
    <w:name w:val="Revision"/>
    <w:hidden/>
    <w:uiPriority w:val="99"/>
    <w:semiHidden/>
    <w:rsid w:val="002006CC"/>
    <w:rPr>
      <w:sz w:val="22"/>
    </w:rPr>
  </w:style>
  <w:style w:type="character" w:customStyle="1" w:styleId="Heading2Char">
    <w:name w:val="Heading 2 Char"/>
    <w:basedOn w:val="DefaultParagraphFont"/>
    <w:link w:val="Heading2"/>
    <w:rsid w:val="00367182"/>
    <w:rPr>
      <w:rFonts w:ascii="Arial" w:hAnsi="Arial" w:cs="Arial"/>
      <w:b/>
      <w:bCs/>
      <w:iCs/>
      <w:color w:val="000000" w:themeColor="text1"/>
      <w:sz w:val="22"/>
      <w:szCs w:val="28"/>
      <w:shd w:val="clear" w:color="auto" w:fill="D0D3D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702"/>
    <w:pPr>
      <w:spacing w:line="264" w:lineRule="auto"/>
    </w:pPr>
    <w:rPr>
      <w:sz w:val="22"/>
    </w:rPr>
  </w:style>
  <w:style w:type="paragraph" w:styleId="Heading1">
    <w:name w:val="heading 1"/>
    <w:basedOn w:val="Normal"/>
    <w:next w:val="BodyText"/>
    <w:qFormat/>
    <w:rsid w:val="00085A28"/>
    <w:pPr>
      <w:keepNext/>
      <w:keepLines/>
      <w:pageBreakBefore/>
      <w:pBdr>
        <w:top w:val="single" w:sz="6" w:space="3" w:color="DA291C"/>
        <w:bottom w:val="single" w:sz="6" w:space="3" w:color="DA291C"/>
      </w:pBdr>
      <w:shd w:val="clear" w:color="auto" w:fill="DA291C"/>
      <w:spacing w:after="280" w:line="240" w:lineRule="auto"/>
      <w:outlineLvl w:val="0"/>
    </w:pPr>
    <w:rPr>
      <w:rFonts w:ascii="Arial" w:hAnsi="Arial"/>
      <w:b/>
      <w:color w:val="FFFFFF"/>
      <w:kern w:val="28"/>
      <w:sz w:val="28"/>
    </w:rPr>
  </w:style>
  <w:style w:type="paragraph" w:styleId="Heading2">
    <w:name w:val="heading 2"/>
    <w:basedOn w:val="Normal"/>
    <w:next w:val="BodyText"/>
    <w:link w:val="Heading2Char"/>
    <w:qFormat/>
    <w:rsid w:val="00367182"/>
    <w:pPr>
      <w:keepNext/>
      <w:pBdr>
        <w:top w:val="single" w:sz="6" w:space="1" w:color="D0D3D4"/>
        <w:bottom w:val="single" w:sz="6" w:space="1" w:color="D0D3D4"/>
      </w:pBdr>
      <w:shd w:val="clear" w:color="auto" w:fill="D0D3D4"/>
      <w:spacing w:after="240" w:line="240" w:lineRule="auto"/>
      <w:ind w:left="720" w:hanging="720"/>
      <w:outlineLvl w:val="1"/>
    </w:pPr>
    <w:rPr>
      <w:rFonts w:ascii="Arial" w:hAnsi="Arial" w:cs="Arial"/>
      <w:b/>
      <w:bCs/>
      <w:iCs/>
      <w:color w:val="000000" w:themeColor="text1"/>
      <w:szCs w:val="28"/>
    </w:rPr>
  </w:style>
  <w:style w:type="paragraph" w:styleId="Heading3">
    <w:name w:val="heading 3"/>
    <w:basedOn w:val="Normal"/>
    <w:next w:val="BodyText"/>
    <w:qFormat/>
    <w:rsid w:val="002E5929"/>
    <w:pPr>
      <w:keepNext/>
      <w:spacing w:line="480" w:lineRule="auto"/>
      <w:outlineLvl w:val="2"/>
    </w:pPr>
    <w:rPr>
      <w:rFonts w:ascii="Arial" w:hAnsi="Arial"/>
      <w:b/>
      <w:color w:val="DA291C"/>
      <w:sz w:val="20"/>
    </w:rPr>
  </w:style>
  <w:style w:type="paragraph" w:styleId="Heading4">
    <w:name w:val="heading 4"/>
    <w:basedOn w:val="Normal"/>
    <w:next w:val="BodyText"/>
    <w:qFormat/>
    <w:rsid w:val="004B1702"/>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2E5929"/>
    <w:pPr>
      <w:spacing w:line="480" w:lineRule="auto"/>
      <w:ind w:firstLine="360"/>
    </w:pPr>
  </w:style>
  <w:style w:type="character" w:customStyle="1" w:styleId="BodyTextChar">
    <w:name w:val="Body Text Char"/>
    <w:basedOn w:val="DefaultParagraphFont"/>
    <w:link w:val="BodyText"/>
    <w:rsid w:val="002E5929"/>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4B1702"/>
  </w:style>
  <w:style w:type="paragraph" w:customStyle="1" w:styleId="Bullets">
    <w:name w:val="Bullets"/>
    <w:basedOn w:val="BodyText"/>
    <w:link w:val="BulletsCharChar"/>
    <w:rsid w:val="002E5929"/>
    <w:pPr>
      <w:numPr>
        <w:numId w:val="3"/>
      </w:numPr>
    </w:pPr>
  </w:style>
  <w:style w:type="paragraph" w:customStyle="1" w:styleId="RefNumbers">
    <w:name w:val="Ref Numbers"/>
    <w:basedOn w:val="BodyText"/>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A8119A"/>
    <w:pPr>
      <w:tabs>
        <w:tab w:val="left" w:pos="900"/>
        <w:tab w:val="right" w:leader="dot" w:pos="9180"/>
      </w:tabs>
      <w:spacing w:before="240" w:line="264" w:lineRule="auto"/>
      <w:ind w:right="547" w:firstLine="0"/>
    </w:pPr>
    <w:rPr>
      <w:b/>
      <w:noProof/>
    </w:rPr>
  </w:style>
  <w:style w:type="character" w:styleId="CommentReference">
    <w:name w:val="annotation reference"/>
    <w:basedOn w:val="DefaultParagraphFont"/>
    <w:semiHidden/>
    <w:rPr>
      <w:sz w:val="16"/>
    </w:rPr>
  </w:style>
  <w:style w:type="paragraph" w:styleId="TOC2">
    <w:name w:val="toc 2"/>
    <w:basedOn w:val="BodyText"/>
    <w:next w:val="BodyText"/>
    <w:uiPriority w:val="39"/>
    <w:rsid w:val="00793E01"/>
    <w:pPr>
      <w:tabs>
        <w:tab w:val="left" w:pos="1080"/>
        <w:tab w:val="right" w:leader="dot" w:pos="9180"/>
      </w:tabs>
      <w:spacing w:before="240" w:line="264" w:lineRule="auto"/>
      <w:ind w:left="1094" w:right="547" w:hanging="547"/>
    </w:pPr>
    <w:rPr>
      <w:noProof/>
    </w:rPr>
  </w:style>
  <w:style w:type="paragraph" w:styleId="TOC3">
    <w:name w:val="toc 3"/>
    <w:basedOn w:val="BodyText"/>
    <w:next w:val="BodyText"/>
    <w:uiPriority w:val="39"/>
    <w:rsid w:val="00793E01"/>
    <w:pPr>
      <w:tabs>
        <w:tab w:val="right" w:leader="dot" w:pos="9180"/>
      </w:tabs>
      <w:spacing w:line="264" w:lineRule="auto"/>
      <w:ind w:left="1620" w:right="547" w:hanging="7"/>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7C2A13"/>
    <w:pPr>
      <w:spacing w:before="240"/>
    </w:pPr>
    <w:rPr>
      <w:rFonts w:ascii="Arial" w:hAnsi="Arial"/>
      <w:b/>
      <w:color w:val="898D8D"/>
      <w:sz w:val="24"/>
    </w:rPr>
  </w:style>
  <w:style w:type="paragraph" w:customStyle="1" w:styleId="ReportTitle-TOCPage">
    <w:name w:val="Report Title - TOC Page"/>
    <w:basedOn w:val="Normal"/>
    <w:next w:val="BodyText"/>
    <w:rsid w:val="00793E01"/>
    <w:pPr>
      <w:pBdr>
        <w:top w:val="single" w:sz="2" w:space="2" w:color="DA291C"/>
        <w:bottom w:val="single" w:sz="2" w:space="2" w:color="DA291C"/>
      </w:pBdr>
      <w:shd w:val="clear" w:color="auto" w:fill="DA291C"/>
      <w:tabs>
        <w:tab w:val="left" w:pos="1170"/>
      </w:tabs>
    </w:pPr>
    <w:rPr>
      <w:rFonts w:ascii="Arial" w:hAnsi="Arial" w:cs="Arial"/>
      <w:b/>
      <w:color w:val="F0F4F6" w:themeColor="background1" w:themeTint="33"/>
      <w:sz w:val="24"/>
      <w:szCs w:val="24"/>
    </w:rPr>
  </w:style>
  <w:style w:type="paragraph" w:styleId="Caption">
    <w:name w:val="caption"/>
    <w:basedOn w:val="Normal"/>
    <w:next w:val="Normal"/>
    <w:qFormat/>
    <w:rsid w:val="0079114D"/>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Normal"/>
    <w:next w:val="BodyText"/>
    <w:rsid w:val="004B1702"/>
    <w:pPr>
      <w:keepNext/>
      <w:keepLines/>
      <w:tabs>
        <w:tab w:val="left" w:pos="720"/>
        <w:tab w:val="left" w:pos="1080"/>
        <w:tab w:val="left" w:pos="1440"/>
        <w:tab w:val="left" w:pos="1800"/>
      </w:tabs>
      <w:spacing w:after="360"/>
      <w:outlineLvl w:val="0"/>
    </w:pPr>
    <w:rPr>
      <w:rFonts w:ascii="Arial Bold" w:hAnsi="Arial Bold"/>
      <w:b/>
      <w:smallCaps/>
      <w:sz w:val="28"/>
    </w:rPr>
  </w:style>
  <w:style w:type="paragraph" w:customStyle="1" w:styleId="full-govpro">
    <w:name w:val="full-govpro"/>
    <w:rsid w:val="004B1702"/>
    <w:pPr>
      <w:tabs>
        <w:tab w:val="left" w:pos="720"/>
        <w:tab w:val="left" w:pos="1080"/>
        <w:tab w:val="left" w:pos="1440"/>
        <w:tab w:val="left" w:pos="1800"/>
      </w:tabs>
      <w:spacing w:line="264" w:lineRule="auto"/>
    </w:pPr>
    <w:rPr>
      <w:sz w:val="22"/>
    </w:rPr>
  </w:style>
  <w:style w:type="paragraph" w:customStyle="1" w:styleId="AbtHeadB">
    <w:name w:val="AbtHead B"/>
    <w:basedOn w:val="Normal"/>
    <w:next w:val="BodyText"/>
    <w:link w:val="AbtHeadBChar"/>
    <w:rsid w:val="004B1702"/>
    <w:pPr>
      <w:keepNext/>
      <w:keepLines/>
      <w:tabs>
        <w:tab w:val="left" w:pos="720"/>
        <w:tab w:val="left" w:pos="1080"/>
        <w:tab w:val="left" w:pos="1440"/>
        <w:tab w:val="left" w:pos="1800"/>
      </w:tabs>
      <w:spacing w:after="280"/>
      <w:outlineLvl w:val="1"/>
    </w:pPr>
    <w:rPr>
      <w:rFonts w:ascii="Arial" w:hAnsi="Arial"/>
      <w:b/>
      <w:sz w:val="24"/>
    </w:rPr>
  </w:style>
  <w:style w:type="character" w:customStyle="1" w:styleId="AbtHeadBChar">
    <w:name w:val="AbtHead B Char"/>
    <w:link w:val="AbtHeadB"/>
    <w:rsid w:val="004B1702"/>
    <w:rPr>
      <w:rFonts w:ascii="Arial" w:hAnsi="Arial"/>
      <w:b/>
      <w:sz w:val="24"/>
    </w:rPr>
  </w:style>
  <w:style w:type="paragraph" w:customStyle="1" w:styleId="AbtHeadC">
    <w:name w:val="AbtHead C"/>
    <w:basedOn w:val="Normal"/>
    <w:next w:val="BodyText"/>
    <w:link w:val="AbtHeadCChar"/>
    <w:rsid w:val="004B1702"/>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link w:val="TableChar"/>
    <w:rsid w:val="004B1702"/>
    <w:pPr>
      <w:tabs>
        <w:tab w:val="left" w:pos="720"/>
        <w:tab w:val="left" w:pos="1080"/>
        <w:tab w:val="left" w:pos="1440"/>
        <w:tab w:val="left" w:pos="1800"/>
      </w:tabs>
    </w:pPr>
    <w:rPr>
      <w:rFonts w:ascii="Arial Narrow" w:hAnsi="Arial Narrow"/>
      <w:sz w:val="18"/>
    </w:rPr>
  </w:style>
  <w:style w:type="paragraph" w:customStyle="1" w:styleId="ExhibitColumnHeads">
    <w:name w:val="Exhibit Column Heads"/>
    <w:basedOn w:val="Normal"/>
    <w:rsid w:val="004B1702"/>
    <w:pPr>
      <w:tabs>
        <w:tab w:val="left" w:pos="432"/>
      </w:tabs>
      <w:spacing w:line="240" w:lineRule="auto"/>
      <w:jc w:val="center"/>
    </w:pPr>
    <w:rPr>
      <w:rFonts w:ascii="Arial Narrow" w:hAnsi="Arial Narrow" w:cs="Arial"/>
      <w:b/>
      <w:sz w:val="18"/>
      <w:szCs w:val="24"/>
    </w:rPr>
  </w:style>
  <w:style w:type="paragraph" w:customStyle="1" w:styleId="ExhibitTitle">
    <w:name w:val="Exhibit Title"/>
    <w:basedOn w:val="Caption"/>
    <w:next w:val="Normal"/>
    <w:rsid w:val="004B1702"/>
    <w:pPr>
      <w:tabs>
        <w:tab w:val="clear" w:pos="1440"/>
        <w:tab w:val="left" w:pos="432"/>
      </w:tabs>
      <w:spacing w:after="40" w:line="240" w:lineRule="auto"/>
      <w:ind w:left="0" w:firstLine="0"/>
    </w:pPr>
    <w:rPr>
      <w:color w:val="FFFFFF"/>
      <w:szCs w:val="24"/>
    </w:rPr>
  </w:style>
  <w:style w:type="character" w:customStyle="1" w:styleId="Head4">
    <w:name w:val="Head4"/>
    <w:rsid w:val="004B1702"/>
    <w:rPr>
      <w:rFonts w:ascii="Arial" w:hAnsi="Arial" w:cs="Arial"/>
      <w:b/>
      <w:color w:val="006699"/>
      <w:sz w:val="20"/>
      <w:szCs w:val="20"/>
    </w:rPr>
  </w:style>
  <w:style w:type="character" w:customStyle="1" w:styleId="TableChar">
    <w:name w:val="Table Char"/>
    <w:link w:val="Table"/>
    <w:rsid w:val="004B1702"/>
    <w:rPr>
      <w:rFonts w:ascii="Arial Narrow" w:hAnsi="Arial Narrow"/>
      <w:sz w:val="18"/>
    </w:rPr>
  </w:style>
  <w:style w:type="paragraph" w:customStyle="1" w:styleId="TOCTitle">
    <w:name w:val="TOC Title"/>
    <w:basedOn w:val="Normal"/>
    <w:next w:val="Normal"/>
    <w:uiPriority w:val="99"/>
    <w:rsid w:val="004B1702"/>
    <w:pPr>
      <w:numPr>
        <w:numId w:val="6"/>
      </w:numPr>
      <w:tabs>
        <w:tab w:val="clear" w:pos="1080"/>
      </w:tabs>
      <w:autoSpaceDE w:val="0"/>
      <w:autoSpaceDN w:val="0"/>
      <w:adjustRightInd w:val="0"/>
      <w:spacing w:line="240" w:lineRule="auto"/>
      <w:ind w:left="0" w:firstLine="0"/>
    </w:pPr>
    <w:rPr>
      <w:rFonts w:ascii="Garamond" w:hAnsi="Garamond"/>
      <w:color w:val="000000"/>
      <w:sz w:val="24"/>
      <w:szCs w:val="24"/>
    </w:rPr>
  </w:style>
  <w:style w:type="paragraph" w:customStyle="1" w:styleId="P1-StandPara">
    <w:name w:val="P1-Stand Para"/>
    <w:basedOn w:val="Normal"/>
    <w:uiPriority w:val="99"/>
    <w:rsid w:val="004B1702"/>
    <w:pPr>
      <w:spacing w:line="480" w:lineRule="auto"/>
      <w:ind w:firstLine="1152"/>
    </w:pPr>
    <w:rPr>
      <w:rFonts w:ascii="Garamond" w:hAnsi="Garamond" w:cs="Garamond"/>
      <w:sz w:val="24"/>
      <w:szCs w:val="24"/>
    </w:rPr>
  </w:style>
  <w:style w:type="paragraph" w:customStyle="1" w:styleId="TH-TableHeading">
    <w:name w:val="TH-Table Heading"/>
    <w:basedOn w:val="Heading1"/>
    <w:uiPriority w:val="99"/>
    <w:rsid w:val="004B1702"/>
    <w:pPr>
      <w:keepLines w:val="0"/>
      <w:pageBreakBefore w:val="0"/>
      <w:pBdr>
        <w:top w:val="none" w:sz="0" w:space="0" w:color="auto"/>
        <w:bottom w:val="none" w:sz="0" w:space="0" w:color="auto"/>
      </w:pBdr>
      <w:shd w:val="clear" w:color="auto" w:fill="auto"/>
      <w:tabs>
        <w:tab w:val="left" w:pos="1440"/>
      </w:tabs>
      <w:spacing w:line="240" w:lineRule="atLeast"/>
      <w:jc w:val="center"/>
    </w:pPr>
    <w:rPr>
      <w:rFonts w:ascii="Franklin Gothic Medium" w:hAnsi="Franklin Gothic Medium" w:cs="Franklin Gothic Medium"/>
      <w:bCs/>
      <w:color w:val="auto"/>
      <w:kern w:val="0"/>
      <w:sz w:val="20"/>
    </w:rPr>
  </w:style>
  <w:style w:type="paragraph" w:customStyle="1" w:styleId="TX-TableText">
    <w:name w:val="TX-Table Text"/>
    <w:basedOn w:val="Normal"/>
    <w:uiPriority w:val="99"/>
    <w:rsid w:val="004B1702"/>
    <w:pPr>
      <w:spacing w:line="240" w:lineRule="atLeast"/>
    </w:pPr>
    <w:rPr>
      <w:rFonts w:ascii="Franklin Gothic Medium" w:hAnsi="Franklin Gothic Medium" w:cs="Franklin Gothic Medium"/>
      <w:sz w:val="20"/>
    </w:rPr>
  </w:style>
  <w:style w:type="character" w:customStyle="1" w:styleId="BulletsCharChar">
    <w:name w:val="Bullets Char Char"/>
    <w:link w:val="Bullets"/>
    <w:rsid w:val="002E5929"/>
    <w:rPr>
      <w:sz w:val="22"/>
    </w:rPr>
  </w:style>
  <w:style w:type="character" w:customStyle="1" w:styleId="AbtHeadCChar">
    <w:name w:val="AbtHead C Char"/>
    <w:link w:val="AbtHeadC"/>
    <w:rsid w:val="004B1702"/>
    <w:rPr>
      <w:rFonts w:ascii="Arial" w:hAnsi="Arial"/>
      <w:b/>
    </w:rPr>
  </w:style>
  <w:style w:type="character" w:customStyle="1" w:styleId="CommentTextChar">
    <w:name w:val="Comment Text Char"/>
    <w:basedOn w:val="DefaultParagraphFont"/>
    <w:link w:val="CommentText"/>
    <w:uiPriority w:val="99"/>
    <w:rsid w:val="001329ED"/>
  </w:style>
  <w:style w:type="paragraph" w:styleId="Revision">
    <w:name w:val="Revision"/>
    <w:hidden/>
    <w:uiPriority w:val="99"/>
    <w:semiHidden/>
    <w:rsid w:val="002006CC"/>
    <w:rPr>
      <w:sz w:val="22"/>
    </w:rPr>
  </w:style>
  <w:style w:type="character" w:customStyle="1" w:styleId="Heading2Char">
    <w:name w:val="Heading 2 Char"/>
    <w:basedOn w:val="DefaultParagraphFont"/>
    <w:link w:val="Heading2"/>
    <w:rsid w:val="00367182"/>
    <w:rPr>
      <w:rFonts w:ascii="Arial" w:hAnsi="Arial" w:cs="Arial"/>
      <w:b/>
      <w:bCs/>
      <w:iCs/>
      <w:color w:val="000000" w:themeColor="text1"/>
      <w:sz w:val="22"/>
      <w:szCs w:val="28"/>
      <w:shd w:val="clear" w:color="auto" w:fill="D0D3D4"/>
    </w:rPr>
  </w:style>
</w:styles>
</file>

<file path=word/webSettings.xml><?xml version="1.0" encoding="utf-8"?>
<w:webSettings xmlns:r="http://schemas.openxmlformats.org/officeDocument/2006/relationships" xmlns:w="http://schemas.openxmlformats.org/wordprocessingml/2006/main">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133136">
      <w:bodyDiv w:val="1"/>
      <w:marLeft w:val="0"/>
      <w:marRight w:val="0"/>
      <w:marTop w:val="0"/>
      <w:marBottom w:val="0"/>
      <w:divBdr>
        <w:top w:val="none" w:sz="0" w:space="0" w:color="auto"/>
        <w:left w:val="none" w:sz="0" w:space="0" w:color="auto"/>
        <w:bottom w:val="none" w:sz="0" w:space="0" w:color="auto"/>
        <w:right w:val="none" w:sz="0" w:space="0" w:color="auto"/>
      </w:divBdr>
    </w:div>
    <w:div w:id="191261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tonk\AppData\Local\Microsoft\Windows\Temporary%20Internet%20Files\Content.Outlook\CX1NZZ7P\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DED42-E743-4EFE-87D2-5F4CDF3B7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2</Pages>
  <Words>5502</Words>
  <Characters>31364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SFIC Study OMB Part A</vt:lpstr>
    </vt:vector>
  </TitlesOfParts>
  <Company>Abt Associates Inc.</Company>
  <LinksUpToDate>false</LinksUpToDate>
  <CharactersWithSpaces>36793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SFIC Study OMB Part A</dc:title>
  <dc:subject>School Foodservice Indirect Cost Study (FNS)</dc:subject>
  <dc:creator>Fred Glantz;Carissa_Climaco@abtassoc.com</dc:creator>
  <cp:lastModifiedBy>jendahl</cp:lastModifiedBy>
  <cp:revision>2</cp:revision>
  <cp:lastPrinted>2012-03-26T23:02:00Z</cp:lastPrinted>
  <dcterms:created xsi:type="dcterms:W3CDTF">2012-04-11T22:01:00Z</dcterms:created>
  <dcterms:modified xsi:type="dcterms:W3CDTF">2012-04-11T22:01:00Z</dcterms:modified>
</cp:coreProperties>
</file>