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rsidP="007205D2">
      <w:pPr>
        <w:widowControl/>
        <w:jc w:val="center"/>
        <w:rPr>
          <w:b/>
          <w:bCs/>
          <w:color w:val="000000"/>
          <w:sz w:val="22"/>
          <w:szCs w:val="22"/>
        </w:rPr>
      </w:pPr>
      <w:r w:rsidRPr="005707E6">
        <w:rPr>
          <w:b/>
          <w:bCs/>
          <w:color w:val="000000"/>
          <w:sz w:val="22"/>
          <w:szCs w:val="22"/>
        </w:rPr>
        <w:t>Supporting Statement</w:t>
      </w:r>
    </w:p>
    <w:p w:rsidR="009B076C" w:rsidRPr="005707E6" w:rsidRDefault="009B076C" w:rsidP="007205D2">
      <w:pPr>
        <w:widowControl/>
        <w:jc w:val="center"/>
        <w:rPr>
          <w:bCs/>
          <w:color w:val="000000"/>
          <w:sz w:val="22"/>
          <w:szCs w:val="22"/>
        </w:rPr>
      </w:pPr>
      <w:r w:rsidRPr="005707E6">
        <w:rPr>
          <w:bCs/>
          <w:color w:val="000000"/>
          <w:sz w:val="22"/>
          <w:szCs w:val="22"/>
        </w:rPr>
        <w:t>For the</w:t>
      </w:r>
    </w:p>
    <w:p w:rsidR="009B076C" w:rsidRPr="005707E6" w:rsidRDefault="009B076C" w:rsidP="007205D2">
      <w:pPr>
        <w:widowControl/>
        <w:jc w:val="center"/>
        <w:rPr>
          <w:b/>
          <w:bCs/>
          <w:color w:val="000000"/>
          <w:sz w:val="22"/>
          <w:szCs w:val="22"/>
        </w:rPr>
      </w:pPr>
      <w:r w:rsidRPr="005707E6">
        <w:rPr>
          <w:b/>
          <w:bCs/>
          <w:color w:val="000000"/>
          <w:sz w:val="22"/>
          <w:szCs w:val="22"/>
        </w:rPr>
        <w:t>Evaluation of the Effectiveness of an Educational Interactive Video on Research Integrity</w:t>
      </w:r>
    </w:p>
    <w:p w:rsidR="009B076C" w:rsidRPr="005707E6" w:rsidRDefault="009B076C" w:rsidP="007205D2">
      <w:pPr>
        <w:widowControl/>
        <w:jc w:val="center"/>
        <w:rPr>
          <w:color w:val="000000"/>
          <w:sz w:val="22"/>
          <w:szCs w:val="22"/>
        </w:rPr>
      </w:pPr>
      <w:r w:rsidRPr="005707E6">
        <w:rPr>
          <w:color w:val="000000"/>
          <w:sz w:val="22"/>
          <w:szCs w:val="22"/>
        </w:rPr>
        <w:t>Office of Research Integrity (ORI)</w:t>
      </w:r>
    </w:p>
    <w:p w:rsidR="009B076C" w:rsidRPr="005707E6" w:rsidRDefault="009B076C" w:rsidP="0071087B">
      <w:pPr>
        <w:widowControl/>
        <w:jc w:val="center"/>
        <w:rPr>
          <w:color w:val="000000"/>
          <w:sz w:val="22"/>
          <w:szCs w:val="22"/>
        </w:rPr>
      </w:pPr>
      <w:r w:rsidRPr="005707E6">
        <w:rPr>
          <w:color w:val="000000"/>
          <w:sz w:val="22"/>
          <w:szCs w:val="22"/>
        </w:rPr>
        <w:t>Office of Assistant Secretary of Health (ASH)</w:t>
      </w:r>
    </w:p>
    <w:p w:rsidR="009B076C" w:rsidRPr="005707E6" w:rsidRDefault="009B076C" w:rsidP="007205D2">
      <w:pPr>
        <w:widowControl/>
        <w:jc w:val="center"/>
        <w:rPr>
          <w:color w:val="000000"/>
          <w:sz w:val="22"/>
          <w:szCs w:val="22"/>
        </w:rPr>
      </w:pPr>
      <w:r w:rsidRPr="005707E6">
        <w:rPr>
          <w:color w:val="000000"/>
          <w:sz w:val="22"/>
          <w:szCs w:val="22"/>
        </w:rPr>
        <w:t>Office of the Secretary of Health and Human Services (OS)</w:t>
      </w:r>
    </w:p>
    <w:p w:rsidR="009B076C" w:rsidRPr="005707E6" w:rsidRDefault="009B076C" w:rsidP="007205D2">
      <w:pPr>
        <w:widowControl/>
        <w:jc w:val="center"/>
        <w:rPr>
          <w:color w:val="000000"/>
          <w:sz w:val="22"/>
          <w:szCs w:val="22"/>
        </w:rPr>
      </w:pPr>
      <w:r w:rsidRPr="005707E6">
        <w:rPr>
          <w:color w:val="000000"/>
          <w:sz w:val="22"/>
          <w:szCs w:val="22"/>
        </w:rPr>
        <w:t>U. S. Department of Health and Human Services (HHS)</w:t>
      </w:r>
    </w:p>
    <w:p w:rsidR="009B076C" w:rsidRPr="005707E6" w:rsidRDefault="009B076C">
      <w:pPr>
        <w:widowControl/>
        <w:rPr>
          <w:color w:val="000000"/>
          <w:sz w:val="22"/>
          <w:szCs w:val="22"/>
        </w:rPr>
      </w:pPr>
    </w:p>
    <w:p w:rsidR="009B076C" w:rsidRPr="005707E6" w:rsidRDefault="009B076C" w:rsidP="007205D2">
      <w:pPr>
        <w:widowControl/>
        <w:jc w:val="center"/>
        <w:rPr>
          <w:b/>
          <w:color w:val="000000"/>
          <w:sz w:val="22"/>
          <w:szCs w:val="22"/>
        </w:rPr>
      </w:pPr>
      <w:r w:rsidRPr="005707E6">
        <w:rPr>
          <w:b/>
          <w:color w:val="000000"/>
          <w:sz w:val="22"/>
          <w:szCs w:val="22"/>
        </w:rPr>
        <w:t>Contact Person:</w:t>
      </w:r>
    </w:p>
    <w:p w:rsidR="009B076C" w:rsidRPr="005707E6" w:rsidRDefault="009B076C" w:rsidP="007205D2">
      <w:pPr>
        <w:widowControl/>
        <w:jc w:val="center"/>
        <w:rPr>
          <w:color w:val="000000"/>
          <w:sz w:val="22"/>
          <w:szCs w:val="22"/>
        </w:rPr>
      </w:pPr>
      <w:r w:rsidRPr="005707E6">
        <w:rPr>
          <w:color w:val="000000"/>
          <w:sz w:val="22"/>
          <w:szCs w:val="22"/>
        </w:rPr>
        <w:t>Rhonda J. Moore, Ph.D.</w:t>
      </w:r>
    </w:p>
    <w:p w:rsidR="009B076C" w:rsidRPr="005707E6" w:rsidRDefault="009B076C" w:rsidP="00DE2757">
      <w:pPr>
        <w:widowControl/>
        <w:jc w:val="center"/>
        <w:rPr>
          <w:color w:val="000000"/>
          <w:sz w:val="22"/>
          <w:szCs w:val="22"/>
        </w:rPr>
      </w:pPr>
      <w:r w:rsidRPr="005707E6">
        <w:rPr>
          <w:color w:val="000000"/>
          <w:sz w:val="22"/>
          <w:szCs w:val="22"/>
        </w:rPr>
        <w:t>Health Science Administrator</w:t>
      </w:r>
    </w:p>
    <w:p w:rsidR="009B076C" w:rsidRPr="005707E6" w:rsidRDefault="009B076C" w:rsidP="00DE2757">
      <w:pPr>
        <w:widowControl/>
        <w:jc w:val="center"/>
        <w:rPr>
          <w:color w:val="000000"/>
          <w:sz w:val="22"/>
          <w:szCs w:val="22"/>
        </w:rPr>
      </w:pPr>
      <w:r w:rsidRPr="005707E6">
        <w:rPr>
          <w:color w:val="000000"/>
          <w:sz w:val="22"/>
          <w:szCs w:val="22"/>
        </w:rPr>
        <w:t>Office of Research Integrity</w:t>
      </w:r>
    </w:p>
    <w:p w:rsidR="009B076C" w:rsidRPr="005707E6" w:rsidRDefault="009B076C" w:rsidP="007205D2">
      <w:pPr>
        <w:widowControl/>
        <w:jc w:val="center"/>
        <w:rPr>
          <w:color w:val="000000"/>
          <w:sz w:val="22"/>
          <w:szCs w:val="22"/>
        </w:rPr>
      </w:pPr>
      <w:r w:rsidRPr="005707E6">
        <w:rPr>
          <w:color w:val="000000"/>
          <w:sz w:val="22"/>
          <w:szCs w:val="22"/>
        </w:rPr>
        <w:t>Office of Public Health and Science</w:t>
      </w:r>
    </w:p>
    <w:p w:rsidR="009B076C" w:rsidRPr="005707E6" w:rsidRDefault="009B076C" w:rsidP="007205D2">
      <w:pPr>
        <w:widowControl/>
        <w:jc w:val="center"/>
        <w:rPr>
          <w:color w:val="000000"/>
          <w:sz w:val="22"/>
          <w:szCs w:val="22"/>
        </w:rPr>
      </w:pPr>
      <w:r w:rsidRPr="005707E6">
        <w:rPr>
          <w:color w:val="000000"/>
          <w:sz w:val="22"/>
          <w:szCs w:val="22"/>
        </w:rPr>
        <w:t>U. S. Department of Health and Human Services</w:t>
      </w:r>
    </w:p>
    <w:p w:rsidR="009B076C" w:rsidRPr="005707E6" w:rsidRDefault="009B076C" w:rsidP="007205D2">
      <w:pPr>
        <w:widowControl/>
        <w:jc w:val="center"/>
        <w:rPr>
          <w:color w:val="000000"/>
          <w:sz w:val="22"/>
          <w:szCs w:val="22"/>
        </w:rPr>
      </w:pPr>
      <w:r w:rsidRPr="005707E6">
        <w:rPr>
          <w:color w:val="000000"/>
          <w:sz w:val="22"/>
          <w:szCs w:val="22"/>
        </w:rPr>
        <w:t>1101 Wootton Parkway, Suite 750</w:t>
      </w:r>
    </w:p>
    <w:p w:rsidR="009B076C" w:rsidRPr="005707E6" w:rsidRDefault="009B076C" w:rsidP="007205D2">
      <w:pPr>
        <w:widowControl/>
        <w:jc w:val="center"/>
        <w:rPr>
          <w:color w:val="000000"/>
          <w:sz w:val="22"/>
          <w:szCs w:val="22"/>
        </w:rPr>
      </w:pPr>
      <w:r w:rsidRPr="005707E6">
        <w:rPr>
          <w:color w:val="000000"/>
          <w:sz w:val="22"/>
          <w:szCs w:val="22"/>
        </w:rPr>
        <w:t>Rockville, Maryland 20852</w:t>
      </w:r>
    </w:p>
    <w:p w:rsidR="009B076C" w:rsidRPr="005707E6" w:rsidRDefault="009B076C" w:rsidP="007205D2">
      <w:pPr>
        <w:widowControl/>
        <w:jc w:val="center"/>
        <w:rPr>
          <w:color w:val="000000"/>
          <w:sz w:val="22"/>
          <w:szCs w:val="22"/>
        </w:rPr>
      </w:pPr>
      <w:r w:rsidRPr="005707E6">
        <w:rPr>
          <w:color w:val="000000"/>
          <w:sz w:val="22"/>
          <w:szCs w:val="22"/>
        </w:rPr>
        <w:t>Phone 240-453-8435</w:t>
      </w:r>
    </w:p>
    <w:p w:rsidR="009B076C" w:rsidRPr="005707E6" w:rsidRDefault="009B076C" w:rsidP="007205D2">
      <w:pPr>
        <w:widowControl/>
        <w:jc w:val="center"/>
        <w:rPr>
          <w:color w:val="000000"/>
          <w:sz w:val="22"/>
          <w:szCs w:val="22"/>
        </w:rPr>
      </w:pPr>
      <w:r w:rsidRPr="005707E6">
        <w:rPr>
          <w:color w:val="000000"/>
          <w:sz w:val="22"/>
          <w:szCs w:val="22"/>
        </w:rPr>
        <w:t xml:space="preserve">Fax </w:t>
      </w:r>
      <w:r w:rsidR="00AC0DE4">
        <w:rPr>
          <w:color w:val="000000"/>
          <w:sz w:val="22"/>
          <w:szCs w:val="22"/>
        </w:rPr>
        <w:t>240-276-9574</w:t>
      </w:r>
    </w:p>
    <w:p w:rsidR="009B076C" w:rsidRPr="005707E6" w:rsidRDefault="009B076C" w:rsidP="007205D2">
      <w:pPr>
        <w:widowControl/>
        <w:jc w:val="center"/>
        <w:rPr>
          <w:color w:val="000000"/>
          <w:sz w:val="22"/>
          <w:szCs w:val="22"/>
        </w:rPr>
      </w:pPr>
      <w:r w:rsidRPr="005707E6">
        <w:rPr>
          <w:color w:val="000000"/>
          <w:sz w:val="22"/>
          <w:szCs w:val="22"/>
        </w:rPr>
        <w:t xml:space="preserve">Email </w:t>
      </w:r>
      <w:hyperlink r:id="rId8" w:history="1">
        <w:r w:rsidRPr="005707E6">
          <w:rPr>
            <w:rStyle w:val="Hyperlink"/>
            <w:sz w:val="22"/>
            <w:szCs w:val="22"/>
          </w:rPr>
          <w:t>Rhonda.Moore@hhs.gov</w:t>
        </w:r>
      </w:hyperlink>
    </w:p>
    <w:p w:rsidR="009B076C" w:rsidRPr="005707E6" w:rsidRDefault="009B076C" w:rsidP="007205D2">
      <w:pPr>
        <w:widowControl/>
        <w:jc w:val="center"/>
        <w:rPr>
          <w:color w:val="000000"/>
          <w:sz w:val="22"/>
          <w:szCs w:val="22"/>
        </w:rPr>
      </w:pPr>
    </w:p>
    <w:p w:rsidR="009B076C" w:rsidRPr="005707E6" w:rsidRDefault="009B076C" w:rsidP="007205D2">
      <w:pPr>
        <w:widowControl/>
        <w:jc w:val="center"/>
        <w:rPr>
          <w:b/>
          <w:color w:val="000000"/>
          <w:sz w:val="22"/>
          <w:szCs w:val="22"/>
        </w:rPr>
      </w:pPr>
      <w:r w:rsidRPr="005707E6">
        <w:rPr>
          <w:b/>
          <w:color w:val="000000"/>
          <w:sz w:val="22"/>
          <w:szCs w:val="22"/>
        </w:rPr>
        <w:t>Contractor:</w:t>
      </w:r>
    </w:p>
    <w:p w:rsidR="009B076C" w:rsidRPr="005707E6" w:rsidRDefault="009B076C" w:rsidP="00DE2757">
      <w:pPr>
        <w:widowControl/>
        <w:jc w:val="center"/>
        <w:rPr>
          <w:color w:val="000000"/>
          <w:sz w:val="22"/>
          <w:szCs w:val="22"/>
        </w:rPr>
      </w:pPr>
      <w:r w:rsidRPr="005707E6">
        <w:rPr>
          <w:color w:val="000000"/>
          <w:sz w:val="22"/>
          <w:szCs w:val="22"/>
        </w:rPr>
        <w:t>DSFederal, Inc.</w:t>
      </w:r>
    </w:p>
    <w:p w:rsidR="009B076C" w:rsidRPr="005707E6" w:rsidRDefault="009B076C" w:rsidP="00DE2757">
      <w:pPr>
        <w:widowControl/>
        <w:jc w:val="center"/>
        <w:rPr>
          <w:color w:val="000000"/>
          <w:sz w:val="22"/>
          <w:szCs w:val="22"/>
        </w:rPr>
      </w:pPr>
      <w:r w:rsidRPr="005707E6">
        <w:rPr>
          <w:color w:val="000000"/>
          <w:sz w:val="22"/>
          <w:szCs w:val="22"/>
        </w:rPr>
        <w:t>6210 Wedgewood Road</w:t>
      </w:r>
    </w:p>
    <w:p w:rsidR="009B076C" w:rsidRPr="005707E6" w:rsidRDefault="009B076C" w:rsidP="00DE2757">
      <w:pPr>
        <w:widowControl/>
        <w:jc w:val="center"/>
        <w:rPr>
          <w:color w:val="000000"/>
          <w:sz w:val="22"/>
          <w:szCs w:val="22"/>
        </w:rPr>
      </w:pPr>
      <w:r w:rsidRPr="005707E6">
        <w:rPr>
          <w:color w:val="000000"/>
          <w:sz w:val="22"/>
          <w:szCs w:val="22"/>
        </w:rPr>
        <w:t>Bethesda, MD 20817</w:t>
      </w:r>
    </w:p>
    <w:p w:rsidR="009B076C" w:rsidRPr="005707E6" w:rsidRDefault="009B076C" w:rsidP="00DE2757">
      <w:pPr>
        <w:widowControl/>
        <w:jc w:val="center"/>
        <w:rPr>
          <w:color w:val="000000"/>
          <w:sz w:val="22"/>
          <w:szCs w:val="22"/>
        </w:rPr>
      </w:pPr>
      <w:r w:rsidRPr="005707E6">
        <w:rPr>
          <w:color w:val="000000"/>
          <w:sz w:val="22"/>
          <w:szCs w:val="22"/>
        </w:rPr>
        <w:t>Phone 240-813-5799</w:t>
      </w:r>
    </w:p>
    <w:p w:rsidR="009B076C" w:rsidRPr="005707E6" w:rsidRDefault="009B076C" w:rsidP="00DE2757">
      <w:pPr>
        <w:widowControl/>
        <w:jc w:val="center"/>
        <w:rPr>
          <w:color w:val="000000"/>
          <w:sz w:val="22"/>
          <w:szCs w:val="22"/>
        </w:rPr>
      </w:pPr>
      <w:r w:rsidRPr="005707E6">
        <w:rPr>
          <w:color w:val="000000"/>
          <w:sz w:val="22"/>
          <w:szCs w:val="22"/>
        </w:rPr>
        <w:t>Fax 301-916-9350</w:t>
      </w:r>
    </w:p>
    <w:p w:rsidR="009B076C" w:rsidRPr="005707E6" w:rsidRDefault="009B076C" w:rsidP="00DE2757">
      <w:pPr>
        <w:widowControl/>
        <w:jc w:val="center"/>
        <w:rPr>
          <w:color w:val="000000"/>
          <w:sz w:val="22"/>
          <w:szCs w:val="22"/>
        </w:rPr>
      </w:pPr>
      <w:r w:rsidRPr="005707E6">
        <w:rPr>
          <w:color w:val="000000"/>
          <w:sz w:val="22"/>
          <w:szCs w:val="22"/>
        </w:rPr>
        <w:t>Project Director: Sophia J. Parker</w:t>
      </w: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widowControl/>
        <w:rPr>
          <w:color w:val="000000"/>
          <w:sz w:val="22"/>
          <w:szCs w:val="22"/>
        </w:rPr>
      </w:pPr>
    </w:p>
    <w:p w:rsidR="009B076C" w:rsidRPr="005707E6" w:rsidRDefault="009B076C">
      <w:pPr>
        <w:tabs>
          <w:tab w:val="center" w:pos="4680"/>
        </w:tabs>
        <w:jc w:val="center"/>
        <w:rPr>
          <w:b/>
          <w:bCs/>
          <w:sz w:val="22"/>
          <w:szCs w:val="22"/>
        </w:rPr>
      </w:pPr>
    </w:p>
    <w:p w:rsidR="009B076C" w:rsidRDefault="009B076C">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Default="00FE73E2">
      <w:pPr>
        <w:tabs>
          <w:tab w:val="center" w:pos="4680"/>
        </w:tabs>
        <w:jc w:val="center"/>
        <w:rPr>
          <w:b/>
          <w:bCs/>
          <w:sz w:val="22"/>
          <w:szCs w:val="22"/>
        </w:rPr>
      </w:pPr>
    </w:p>
    <w:p w:rsidR="00FE73E2" w:rsidRPr="005707E6" w:rsidRDefault="00FE73E2">
      <w:pPr>
        <w:tabs>
          <w:tab w:val="center" w:pos="4680"/>
        </w:tabs>
        <w:jc w:val="center"/>
        <w:rPr>
          <w:b/>
          <w:bCs/>
          <w:sz w:val="22"/>
          <w:szCs w:val="22"/>
        </w:rPr>
      </w:pPr>
    </w:p>
    <w:p w:rsidR="009B076C" w:rsidRPr="005707E6" w:rsidRDefault="009B076C" w:rsidP="00C8403F">
      <w:pPr>
        <w:tabs>
          <w:tab w:val="center" w:pos="4680"/>
        </w:tabs>
        <w:jc w:val="center"/>
        <w:rPr>
          <w:b/>
          <w:bCs/>
          <w:sz w:val="22"/>
          <w:szCs w:val="22"/>
        </w:rPr>
      </w:pPr>
    </w:p>
    <w:p w:rsidR="009B076C" w:rsidRPr="005707E6" w:rsidRDefault="009B076C" w:rsidP="00C8403F">
      <w:pPr>
        <w:widowControl/>
        <w:jc w:val="center"/>
        <w:rPr>
          <w:b/>
          <w:bCs/>
          <w:sz w:val="22"/>
          <w:szCs w:val="22"/>
        </w:rPr>
      </w:pPr>
      <w:r w:rsidRPr="005707E6">
        <w:rPr>
          <w:b/>
          <w:bCs/>
          <w:color w:val="000000"/>
          <w:sz w:val="22"/>
          <w:szCs w:val="22"/>
        </w:rPr>
        <w:lastRenderedPageBreak/>
        <w:t>Supporting Statement for an Evaluative study of the Effectiveness of an Educational Interactive Video on Research Integrity</w:t>
      </w:r>
    </w:p>
    <w:p w:rsidR="009B076C" w:rsidRPr="005707E6" w:rsidRDefault="009B076C">
      <w:pPr>
        <w:tabs>
          <w:tab w:val="center" w:pos="4680"/>
        </w:tabs>
        <w:jc w:val="center"/>
        <w:rPr>
          <w:b/>
          <w:bCs/>
          <w:sz w:val="22"/>
          <w:szCs w:val="22"/>
        </w:rPr>
      </w:pPr>
    </w:p>
    <w:p w:rsidR="009B076C" w:rsidRPr="005707E6" w:rsidRDefault="009B076C">
      <w:pPr>
        <w:rPr>
          <w:sz w:val="22"/>
          <w:szCs w:val="22"/>
        </w:rPr>
      </w:pPr>
    </w:p>
    <w:p w:rsidR="009B076C" w:rsidRPr="005707E6" w:rsidRDefault="009B076C">
      <w:pPr>
        <w:rPr>
          <w:sz w:val="22"/>
          <w:szCs w:val="22"/>
        </w:rPr>
      </w:pPr>
    </w:p>
    <w:p w:rsidR="009B076C" w:rsidRPr="005707E6" w:rsidRDefault="009B076C">
      <w:pPr>
        <w:rPr>
          <w:b/>
          <w:bCs/>
          <w:sz w:val="22"/>
          <w:szCs w:val="22"/>
        </w:rPr>
      </w:pPr>
      <w:r w:rsidRPr="005707E6">
        <w:rPr>
          <w:b/>
          <w:bCs/>
          <w:sz w:val="22"/>
          <w:szCs w:val="22"/>
        </w:rPr>
        <w:t>A.</w:t>
      </w:r>
      <w:r w:rsidRPr="005707E6">
        <w:rPr>
          <w:b/>
          <w:bCs/>
          <w:sz w:val="22"/>
          <w:szCs w:val="22"/>
        </w:rPr>
        <w:tab/>
        <w:t>Justification</w:t>
      </w:r>
    </w:p>
    <w:p w:rsidR="009B076C" w:rsidRPr="005707E6" w:rsidRDefault="009B076C">
      <w:pPr>
        <w:rPr>
          <w:sz w:val="22"/>
          <w:szCs w:val="22"/>
        </w:rPr>
      </w:pPr>
    </w:p>
    <w:p w:rsidR="009B076C" w:rsidRPr="005707E6" w:rsidRDefault="009B076C" w:rsidP="008C488F">
      <w:pPr>
        <w:numPr>
          <w:ilvl w:val="0"/>
          <w:numId w:val="1"/>
        </w:numPr>
        <w:rPr>
          <w:b/>
          <w:sz w:val="22"/>
          <w:szCs w:val="22"/>
        </w:rPr>
      </w:pPr>
      <w:r w:rsidRPr="005707E6">
        <w:rPr>
          <w:b/>
          <w:sz w:val="22"/>
          <w:szCs w:val="22"/>
          <w:u w:val="single"/>
        </w:rPr>
        <w:t>Circumstances Making the Collection of Information Necessary</w:t>
      </w:r>
    </w:p>
    <w:p w:rsidR="009B076C" w:rsidRPr="005707E6" w:rsidRDefault="009B076C">
      <w:pPr>
        <w:ind w:left="720"/>
        <w:rPr>
          <w:sz w:val="22"/>
          <w:szCs w:val="22"/>
        </w:rPr>
      </w:pPr>
      <w:r w:rsidRPr="005707E6">
        <w:rPr>
          <w:sz w:val="22"/>
          <w:szCs w:val="22"/>
        </w:rPr>
        <w:tab/>
      </w:r>
    </w:p>
    <w:p w:rsidR="009B076C" w:rsidRPr="005707E6" w:rsidRDefault="009B076C" w:rsidP="008C488F">
      <w:pPr>
        <w:pStyle w:val="ParagraphLAST"/>
        <w:numPr>
          <w:ilvl w:val="0"/>
          <w:numId w:val="2"/>
        </w:numPr>
        <w:spacing w:after="0" w:line="250" w:lineRule="exact"/>
        <w:jc w:val="left"/>
        <w:rPr>
          <w:bCs/>
          <w:sz w:val="22"/>
          <w:szCs w:val="22"/>
        </w:rPr>
      </w:pPr>
      <w:r w:rsidRPr="005707E6">
        <w:rPr>
          <w:bCs/>
          <w:sz w:val="22"/>
          <w:szCs w:val="22"/>
        </w:rPr>
        <w:t xml:space="preserve">The Office of </w:t>
      </w:r>
      <w:r w:rsidR="003F5DBF" w:rsidRPr="005707E6">
        <w:rPr>
          <w:bCs/>
          <w:sz w:val="22"/>
          <w:szCs w:val="22"/>
        </w:rPr>
        <w:t xml:space="preserve">the Assistant Secretary for Health (OASH) </w:t>
      </w:r>
      <w:r w:rsidRPr="005707E6">
        <w:rPr>
          <w:bCs/>
          <w:sz w:val="22"/>
          <w:szCs w:val="22"/>
        </w:rPr>
        <w:t>and specifically the Office of Research Integrity (ORI), requests approval for a new</w:t>
      </w:r>
      <w:r w:rsidR="00145A9E">
        <w:rPr>
          <w:bCs/>
          <w:sz w:val="22"/>
          <w:szCs w:val="22"/>
        </w:rPr>
        <w:t xml:space="preserve"> data</w:t>
      </w:r>
      <w:r w:rsidRPr="005707E6">
        <w:rPr>
          <w:bCs/>
          <w:sz w:val="22"/>
          <w:szCs w:val="22"/>
        </w:rPr>
        <w:t xml:space="preserve"> collection to examine the effectiveness of an educational interactive video on research integrity.</w:t>
      </w:r>
    </w:p>
    <w:p w:rsidR="009B076C" w:rsidRPr="005707E6" w:rsidRDefault="009B076C" w:rsidP="00D5323A">
      <w:pPr>
        <w:rPr>
          <w:sz w:val="22"/>
          <w:szCs w:val="22"/>
        </w:rPr>
      </w:pPr>
    </w:p>
    <w:p w:rsidR="009B076C" w:rsidRPr="005707E6" w:rsidRDefault="009B076C" w:rsidP="008C488F">
      <w:pPr>
        <w:pStyle w:val="ListParagraph"/>
        <w:numPr>
          <w:ilvl w:val="0"/>
          <w:numId w:val="2"/>
        </w:numPr>
        <w:rPr>
          <w:rStyle w:val="apple-style-span"/>
          <w:sz w:val="22"/>
          <w:szCs w:val="22"/>
        </w:rPr>
      </w:pPr>
      <w:r w:rsidRPr="005707E6">
        <w:rPr>
          <w:bCs/>
          <w:sz w:val="22"/>
          <w:szCs w:val="22"/>
        </w:rPr>
        <w:t>The Department of Health and Human Services (DHHS) through the Public Health Service Act section 493 directed the Secretary to create a regulation to protect against biomedical and behavior research fraud.</w:t>
      </w:r>
      <w:r w:rsidR="00D654BB" w:rsidRPr="005707E6">
        <w:rPr>
          <w:bCs/>
          <w:sz w:val="22"/>
          <w:szCs w:val="22"/>
        </w:rPr>
        <w:t xml:space="preserve"> </w:t>
      </w:r>
      <w:r w:rsidRPr="005707E6">
        <w:rPr>
          <w:bCs/>
          <w:sz w:val="22"/>
          <w:szCs w:val="22"/>
        </w:rPr>
        <w:t xml:space="preserve"> </w:t>
      </w:r>
      <w:r w:rsidRPr="005707E6">
        <w:rPr>
          <w:sz w:val="22"/>
          <w:szCs w:val="22"/>
        </w:rPr>
        <w:t>In response, the Office of Research Integrity (ORI) was created (42 USC 289 - Sec. 289b. Office of Research Integrity) and t</w:t>
      </w:r>
      <w:r w:rsidRPr="005707E6">
        <w:rPr>
          <w:bCs/>
          <w:sz w:val="22"/>
          <w:szCs w:val="22"/>
        </w:rPr>
        <w:t>he Secretary issued 42 CFR part 50 and 93 which created regulations requiring institutions to report their investigations of research misconduct.</w:t>
      </w:r>
    </w:p>
    <w:p w:rsidR="009B076C" w:rsidRPr="005707E6" w:rsidRDefault="009B076C" w:rsidP="00816FA5">
      <w:pPr>
        <w:pStyle w:val="ListParagraph"/>
        <w:rPr>
          <w:rStyle w:val="apple-style-span"/>
          <w:sz w:val="22"/>
          <w:szCs w:val="22"/>
        </w:rPr>
      </w:pPr>
    </w:p>
    <w:p w:rsidR="009B076C" w:rsidRPr="005707E6" w:rsidRDefault="009B076C" w:rsidP="008C488F">
      <w:pPr>
        <w:pStyle w:val="ListParagraph"/>
        <w:numPr>
          <w:ilvl w:val="0"/>
          <w:numId w:val="2"/>
        </w:numPr>
        <w:rPr>
          <w:sz w:val="22"/>
          <w:szCs w:val="22"/>
        </w:rPr>
      </w:pPr>
      <w:r w:rsidRPr="005707E6">
        <w:rPr>
          <w:rStyle w:val="apple-style-span"/>
          <w:sz w:val="22"/>
          <w:szCs w:val="22"/>
        </w:rPr>
        <w:t>The Office of Research Integrity (ORI) promotes integrity in biomedical and behavioral research supported by the U.S. Public Health Service (PHS) at about 4,000 institutions worldwide.  ORI monitors institutional investigations of research misconduct and facilitates the responsible conduct of research (RCR) through educational, preventive, and regulatory activities.</w:t>
      </w:r>
    </w:p>
    <w:p w:rsidR="009B076C" w:rsidRPr="005707E6" w:rsidRDefault="009B076C" w:rsidP="00D5323A">
      <w:pPr>
        <w:pStyle w:val="ListParagraph"/>
        <w:rPr>
          <w:sz w:val="22"/>
          <w:szCs w:val="22"/>
        </w:rPr>
      </w:pPr>
    </w:p>
    <w:p w:rsidR="009B076C" w:rsidRPr="005707E6" w:rsidRDefault="009B076C" w:rsidP="008C488F">
      <w:pPr>
        <w:pStyle w:val="ListParagraph"/>
        <w:numPr>
          <w:ilvl w:val="0"/>
          <w:numId w:val="2"/>
        </w:numPr>
        <w:rPr>
          <w:sz w:val="22"/>
          <w:szCs w:val="22"/>
        </w:rPr>
      </w:pPr>
      <w:r w:rsidRPr="005707E6">
        <w:rPr>
          <w:sz w:val="22"/>
          <w:szCs w:val="22"/>
        </w:rPr>
        <w:t>A primary mission of the ORI Division of Education and Integrity (DEI) is to educate institutions about regulations, but perhaps more importantly to provide institutions with educational resources that will help each institution to promote an environment that fosters research integrity.  Educational resources previously provided by DEI include textbooks, pamphlets, interactive videos, newsletters, reports, a website and blog, conferences and workshops, and journal articles.</w:t>
      </w:r>
    </w:p>
    <w:p w:rsidR="009B076C" w:rsidRPr="005707E6" w:rsidRDefault="009B076C" w:rsidP="00D5323A">
      <w:pPr>
        <w:rPr>
          <w:sz w:val="22"/>
          <w:szCs w:val="22"/>
        </w:rPr>
      </w:pPr>
    </w:p>
    <w:p w:rsidR="009B076C" w:rsidRPr="005707E6" w:rsidRDefault="009B076C" w:rsidP="008C488F">
      <w:pPr>
        <w:pStyle w:val="ListParagraph"/>
        <w:numPr>
          <w:ilvl w:val="0"/>
          <w:numId w:val="2"/>
        </w:numPr>
        <w:rPr>
          <w:color w:val="000000"/>
          <w:sz w:val="22"/>
          <w:szCs w:val="22"/>
        </w:rPr>
      </w:pPr>
      <w:r w:rsidRPr="005707E6">
        <w:rPr>
          <w:sz w:val="22"/>
          <w:szCs w:val="22"/>
        </w:rPr>
        <w:t>In 2000, the Division of Education and Integrity (DEI) at ORI was directed to “focus more on preventing misconduct and promoting research integrity through expanded education programs.”  Specifically, DEI was directed to “conduct policy analyses, evaluations, and research to improve DHHS research integrity and build the knowledge base in research misconduct, research integrity and prevention” (Federal Register: May 12, 2000, Volume 65, Number 93,  pages 30600-30601)</w:t>
      </w:r>
    </w:p>
    <w:p w:rsidR="009B076C" w:rsidRPr="005707E6" w:rsidRDefault="009B076C" w:rsidP="0035696C">
      <w:pPr>
        <w:ind w:left="1800"/>
        <w:rPr>
          <w:color w:val="000000"/>
          <w:sz w:val="22"/>
          <w:szCs w:val="22"/>
        </w:rPr>
      </w:pPr>
    </w:p>
    <w:p w:rsidR="009B076C" w:rsidRPr="005707E6" w:rsidRDefault="009B076C" w:rsidP="008C488F">
      <w:pPr>
        <w:numPr>
          <w:ilvl w:val="0"/>
          <w:numId w:val="2"/>
        </w:numPr>
        <w:rPr>
          <w:color w:val="000000"/>
          <w:sz w:val="22"/>
          <w:szCs w:val="22"/>
        </w:rPr>
      </w:pPr>
      <w:r w:rsidRPr="005707E6">
        <w:rPr>
          <w:sz w:val="22"/>
          <w:szCs w:val="22"/>
        </w:rPr>
        <w:t xml:space="preserve">In Fiscal Year 2009, ORI contracted with a company to create an educational interactive video for educating viewers about </w:t>
      </w:r>
      <w:r w:rsidR="00F70B9C">
        <w:rPr>
          <w:sz w:val="22"/>
          <w:szCs w:val="22"/>
        </w:rPr>
        <w:t xml:space="preserve">responsible conduct of research (RCR) and </w:t>
      </w:r>
      <w:r w:rsidRPr="005707E6">
        <w:rPr>
          <w:sz w:val="22"/>
          <w:szCs w:val="22"/>
        </w:rPr>
        <w:t xml:space="preserve">research integrity issues.  The intended audience for this </w:t>
      </w:r>
      <w:r w:rsidR="00F70B9C">
        <w:rPr>
          <w:sz w:val="22"/>
          <w:szCs w:val="22"/>
        </w:rPr>
        <w:t>study</w:t>
      </w:r>
      <w:r w:rsidRPr="005707E6">
        <w:rPr>
          <w:sz w:val="22"/>
          <w:szCs w:val="22"/>
        </w:rPr>
        <w:t xml:space="preserve"> includes </w:t>
      </w:r>
      <w:r w:rsidRPr="005707E6">
        <w:rPr>
          <w:rStyle w:val="apple-style-span"/>
          <w:color w:val="000000"/>
          <w:sz w:val="22"/>
          <w:szCs w:val="22"/>
        </w:rPr>
        <w:t xml:space="preserve">graduate students, post-doctoral fellows, faculty, research staff, administrators and research integrity officers (RIOs).  </w:t>
      </w:r>
      <w:r w:rsidRPr="005707E6">
        <w:rPr>
          <w:sz w:val="22"/>
          <w:szCs w:val="22"/>
        </w:rPr>
        <w:t xml:space="preserve">This research effort is for an independent evaluation of the effectiveness of the interactive video and meeting ORI goals.  We believe this </w:t>
      </w:r>
      <w:r w:rsidR="00AC0DE4" w:rsidRPr="005707E6">
        <w:rPr>
          <w:sz w:val="22"/>
          <w:szCs w:val="22"/>
        </w:rPr>
        <w:t>evaluati</w:t>
      </w:r>
      <w:r w:rsidR="00AC0DE4">
        <w:rPr>
          <w:sz w:val="22"/>
          <w:szCs w:val="22"/>
        </w:rPr>
        <w:t>on</w:t>
      </w:r>
      <w:r w:rsidR="00AC0DE4" w:rsidRPr="005707E6">
        <w:rPr>
          <w:sz w:val="22"/>
          <w:szCs w:val="22"/>
        </w:rPr>
        <w:t xml:space="preserve"> </w:t>
      </w:r>
      <w:r w:rsidRPr="005707E6">
        <w:rPr>
          <w:sz w:val="22"/>
          <w:szCs w:val="22"/>
        </w:rPr>
        <w:t>study will provide insight into this regard.</w:t>
      </w:r>
    </w:p>
    <w:p w:rsidR="009B076C" w:rsidRPr="005707E6" w:rsidRDefault="009B076C" w:rsidP="0035696C">
      <w:pPr>
        <w:pStyle w:val="ListParagraph"/>
        <w:rPr>
          <w:color w:val="000000"/>
          <w:sz w:val="22"/>
          <w:szCs w:val="22"/>
        </w:rPr>
      </w:pPr>
    </w:p>
    <w:p w:rsidR="009B076C" w:rsidRPr="005707E6" w:rsidRDefault="009B076C">
      <w:pPr>
        <w:ind w:left="1080"/>
        <w:rPr>
          <w:sz w:val="22"/>
          <w:szCs w:val="22"/>
        </w:rPr>
      </w:pPr>
    </w:p>
    <w:p w:rsidR="009B076C" w:rsidRPr="005707E6" w:rsidRDefault="009B076C" w:rsidP="008C488F">
      <w:pPr>
        <w:numPr>
          <w:ilvl w:val="0"/>
          <w:numId w:val="1"/>
        </w:numPr>
        <w:rPr>
          <w:b/>
          <w:sz w:val="22"/>
          <w:szCs w:val="22"/>
        </w:rPr>
      </w:pPr>
      <w:r w:rsidRPr="005707E6">
        <w:rPr>
          <w:b/>
          <w:sz w:val="22"/>
          <w:szCs w:val="22"/>
          <w:u w:val="single"/>
        </w:rPr>
        <w:t>Purpose and Use of Information Collection</w:t>
      </w:r>
    </w:p>
    <w:p w:rsidR="009B076C" w:rsidRPr="005707E6" w:rsidRDefault="009B076C" w:rsidP="00120E96">
      <w:pPr>
        <w:widowControl/>
        <w:autoSpaceDE/>
        <w:autoSpaceDN/>
        <w:adjustRightInd/>
        <w:ind w:left="1440"/>
        <w:rPr>
          <w:color w:val="000000"/>
          <w:sz w:val="22"/>
          <w:szCs w:val="22"/>
        </w:rPr>
      </w:pPr>
    </w:p>
    <w:p w:rsidR="009B076C" w:rsidRPr="005707E6" w:rsidRDefault="009B076C" w:rsidP="00D54195">
      <w:pPr>
        <w:pStyle w:val="ListParagraph"/>
        <w:widowControl/>
        <w:numPr>
          <w:ilvl w:val="0"/>
          <w:numId w:val="41"/>
        </w:numPr>
        <w:autoSpaceDE/>
        <w:autoSpaceDN/>
        <w:adjustRightInd/>
        <w:contextualSpacing w:val="0"/>
        <w:rPr>
          <w:sz w:val="22"/>
          <w:szCs w:val="22"/>
        </w:rPr>
      </w:pPr>
      <w:r w:rsidRPr="005707E6">
        <w:rPr>
          <w:color w:val="000000"/>
          <w:sz w:val="22"/>
          <w:szCs w:val="22"/>
        </w:rPr>
        <w:t>One of ORI</w:t>
      </w:r>
      <w:r w:rsidR="00F70B9C">
        <w:rPr>
          <w:color w:val="000000"/>
          <w:sz w:val="22"/>
          <w:szCs w:val="22"/>
        </w:rPr>
        <w:t xml:space="preserve">’s </w:t>
      </w:r>
      <w:r w:rsidRPr="005707E6">
        <w:rPr>
          <w:color w:val="000000"/>
          <w:sz w:val="22"/>
          <w:szCs w:val="22"/>
        </w:rPr>
        <w:t xml:space="preserve">goals is </w:t>
      </w:r>
      <w:r w:rsidR="00F70B9C">
        <w:rPr>
          <w:color w:val="000000"/>
          <w:sz w:val="22"/>
          <w:szCs w:val="22"/>
        </w:rPr>
        <w:t xml:space="preserve">to educate the public about RCR, </w:t>
      </w:r>
      <w:r w:rsidRPr="005707E6">
        <w:rPr>
          <w:color w:val="000000"/>
          <w:sz w:val="22"/>
          <w:szCs w:val="22"/>
        </w:rPr>
        <w:t xml:space="preserve"> research integrity and </w:t>
      </w:r>
      <w:r w:rsidR="00F70B9C">
        <w:rPr>
          <w:color w:val="000000"/>
          <w:sz w:val="22"/>
          <w:szCs w:val="22"/>
        </w:rPr>
        <w:t xml:space="preserve">the prevention of </w:t>
      </w:r>
      <w:r w:rsidRPr="005707E6">
        <w:rPr>
          <w:color w:val="000000"/>
          <w:sz w:val="22"/>
          <w:szCs w:val="22"/>
        </w:rPr>
        <w:t xml:space="preserve">research misconduct.  The development of </w:t>
      </w:r>
      <w:r w:rsidR="00F70B9C">
        <w:rPr>
          <w:color w:val="000000"/>
          <w:sz w:val="22"/>
          <w:szCs w:val="22"/>
        </w:rPr>
        <w:t xml:space="preserve">an </w:t>
      </w:r>
      <w:r w:rsidRPr="005707E6">
        <w:rPr>
          <w:color w:val="000000"/>
          <w:sz w:val="22"/>
          <w:szCs w:val="22"/>
        </w:rPr>
        <w:t xml:space="preserve">interactive video can </w:t>
      </w:r>
      <w:r w:rsidR="00F70B9C">
        <w:rPr>
          <w:color w:val="000000"/>
          <w:sz w:val="22"/>
          <w:szCs w:val="22"/>
        </w:rPr>
        <w:t xml:space="preserve">aid in the effective dissemination of information. </w:t>
      </w:r>
      <w:r w:rsidR="00F70B9C" w:rsidRPr="005707E6">
        <w:rPr>
          <w:color w:val="000000"/>
          <w:sz w:val="22"/>
          <w:szCs w:val="22"/>
        </w:rPr>
        <w:t xml:space="preserve"> </w:t>
      </w:r>
      <w:r w:rsidRPr="005707E6">
        <w:rPr>
          <w:color w:val="000000"/>
          <w:sz w:val="22"/>
          <w:szCs w:val="22"/>
        </w:rPr>
        <w:t>Therefore, it is important to know whether this interactive video is effective</w:t>
      </w:r>
      <w:r w:rsidR="00145A9E">
        <w:rPr>
          <w:color w:val="000000"/>
          <w:sz w:val="22"/>
          <w:szCs w:val="22"/>
        </w:rPr>
        <w:t xml:space="preserve"> and useful in</w:t>
      </w:r>
      <w:r w:rsidR="00D54195" w:rsidRPr="005707E6">
        <w:rPr>
          <w:color w:val="000000"/>
          <w:sz w:val="22"/>
          <w:szCs w:val="22"/>
        </w:rPr>
        <w:t xml:space="preserve"> </w:t>
      </w:r>
      <w:r w:rsidR="00B26C69">
        <w:rPr>
          <w:sz w:val="22"/>
          <w:szCs w:val="22"/>
        </w:rPr>
        <w:t xml:space="preserve">actually </w:t>
      </w:r>
      <w:r w:rsidR="003F5DBF" w:rsidRPr="005707E6">
        <w:rPr>
          <w:sz w:val="22"/>
          <w:szCs w:val="22"/>
        </w:rPr>
        <w:t>meeting ORI goals</w:t>
      </w:r>
      <w:r w:rsidR="00D54195" w:rsidRPr="005707E6">
        <w:rPr>
          <w:sz w:val="22"/>
          <w:szCs w:val="22"/>
        </w:rPr>
        <w:t xml:space="preserve">. </w:t>
      </w:r>
    </w:p>
    <w:p w:rsidR="00E43965" w:rsidRPr="005707E6" w:rsidRDefault="009B076C" w:rsidP="00E43965">
      <w:pPr>
        <w:pStyle w:val="ListParagraph"/>
        <w:widowControl/>
        <w:numPr>
          <w:ilvl w:val="0"/>
          <w:numId w:val="3"/>
        </w:numPr>
        <w:autoSpaceDE/>
        <w:autoSpaceDN/>
        <w:adjustRightInd/>
        <w:contextualSpacing w:val="0"/>
        <w:rPr>
          <w:sz w:val="22"/>
          <w:szCs w:val="22"/>
        </w:rPr>
      </w:pPr>
      <w:r w:rsidRPr="005707E6">
        <w:rPr>
          <w:sz w:val="22"/>
          <w:szCs w:val="22"/>
        </w:rPr>
        <w:t>Th</w:t>
      </w:r>
      <w:r w:rsidR="00F9442B">
        <w:rPr>
          <w:sz w:val="22"/>
          <w:szCs w:val="22"/>
        </w:rPr>
        <w:t>is web-based survey</w:t>
      </w:r>
      <w:r w:rsidRPr="005707E6">
        <w:rPr>
          <w:sz w:val="22"/>
          <w:szCs w:val="22"/>
        </w:rPr>
        <w:t xml:space="preserve"> </w:t>
      </w:r>
      <w:r w:rsidR="00E43965" w:rsidRPr="005707E6">
        <w:rPr>
          <w:sz w:val="22"/>
          <w:szCs w:val="22"/>
        </w:rPr>
        <w:t>evaluation</w:t>
      </w:r>
      <w:r w:rsidRPr="005707E6">
        <w:rPr>
          <w:sz w:val="22"/>
          <w:szCs w:val="22"/>
        </w:rPr>
        <w:t xml:space="preserve"> </w:t>
      </w:r>
      <w:r w:rsidR="00E43965" w:rsidRPr="005707E6">
        <w:rPr>
          <w:sz w:val="22"/>
          <w:szCs w:val="22"/>
        </w:rPr>
        <w:t xml:space="preserve">is targeted to the solicitation of opinions from respondents </w:t>
      </w:r>
      <w:r w:rsidR="003F5DBF" w:rsidRPr="005707E6">
        <w:rPr>
          <w:sz w:val="22"/>
          <w:szCs w:val="22"/>
        </w:rPr>
        <w:t>(i.e., research instructors/faculty,</w:t>
      </w:r>
      <w:r w:rsidR="00F9442B">
        <w:rPr>
          <w:sz w:val="22"/>
          <w:szCs w:val="22"/>
        </w:rPr>
        <w:t xml:space="preserve"> </w:t>
      </w:r>
      <w:r w:rsidR="00F70B9C" w:rsidRPr="005707E6">
        <w:rPr>
          <w:sz w:val="22"/>
          <w:szCs w:val="22"/>
        </w:rPr>
        <w:t>Research Integrity Officers</w:t>
      </w:r>
      <w:r w:rsidR="00F70B9C">
        <w:rPr>
          <w:sz w:val="22"/>
          <w:szCs w:val="22"/>
        </w:rPr>
        <w:t xml:space="preserve"> (RIOs)</w:t>
      </w:r>
      <w:r w:rsidR="00F9442B">
        <w:rPr>
          <w:sz w:val="22"/>
          <w:szCs w:val="22"/>
        </w:rPr>
        <w:t xml:space="preserve"> and Research Administrators</w:t>
      </w:r>
      <w:r w:rsidR="00F2795B">
        <w:rPr>
          <w:sz w:val="22"/>
          <w:szCs w:val="22"/>
        </w:rPr>
        <w:t>)</w:t>
      </w:r>
      <w:r w:rsidR="003F5DBF" w:rsidRPr="005707E6">
        <w:rPr>
          <w:sz w:val="22"/>
          <w:szCs w:val="22"/>
        </w:rPr>
        <w:t xml:space="preserve"> </w:t>
      </w:r>
      <w:r w:rsidR="00E43965" w:rsidRPr="005707E6">
        <w:rPr>
          <w:sz w:val="22"/>
          <w:szCs w:val="22"/>
        </w:rPr>
        <w:t>who have experience with the ORI educational program</w:t>
      </w:r>
      <w:r w:rsidR="00F70B9C">
        <w:rPr>
          <w:sz w:val="22"/>
          <w:szCs w:val="22"/>
        </w:rPr>
        <w:t>s</w:t>
      </w:r>
      <w:r w:rsidR="00E43965" w:rsidRPr="005707E6">
        <w:rPr>
          <w:sz w:val="22"/>
          <w:szCs w:val="22"/>
        </w:rPr>
        <w:t xml:space="preserve"> or </w:t>
      </w:r>
      <w:r w:rsidR="00F70B9C">
        <w:rPr>
          <w:sz w:val="22"/>
          <w:szCs w:val="22"/>
        </w:rPr>
        <w:t xml:space="preserve">who </w:t>
      </w:r>
      <w:r w:rsidR="00E43965" w:rsidRPr="005707E6">
        <w:rPr>
          <w:sz w:val="22"/>
          <w:szCs w:val="22"/>
        </w:rPr>
        <w:t>may have experience with</w:t>
      </w:r>
      <w:r w:rsidR="00F70B9C">
        <w:rPr>
          <w:sz w:val="22"/>
          <w:szCs w:val="22"/>
        </w:rPr>
        <w:t xml:space="preserve"> RCR</w:t>
      </w:r>
      <w:r w:rsidR="00E43965" w:rsidRPr="005707E6">
        <w:rPr>
          <w:sz w:val="22"/>
          <w:szCs w:val="22"/>
        </w:rPr>
        <w:t xml:space="preserve"> program</w:t>
      </w:r>
      <w:r w:rsidR="00F70B9C">
        <w:rPr>
          <w:sz w:val="22"/>
          <w:szCs w:val="22"/>
        </w:rPr>
        <w:t>s</w:t>
      </w:r>
      <w:r w:rsidR="00E43965" w:rsidRPr="005707E6">
        <w:rPr>
          <w:sz w:val="22"/>
          <w:szCs w:val="22"/>
        </w:rPr>
        <w:t xml:space="preserve"> in the near future; </w:t>
      </w:r>
    </w:p>
    <w:p w:rsidR="00E43965" w:rsidRPr="005707E6" w:rsidRDefault="00E43965" w:rsidP="00E43965">
      <w:pPr>
        <w:widowControl/>
        <w:numPr>
          <w:ilvl w:val="0"/>
          <w:numId w:val="3"/>
        </w:numPr>
        <w:autoSpaceDE/>
        <w:autoSpaceDN/>
        <w:adjustRightInd/>
        <w:rPr>
          <w:color w:val="000000"/>
          <w:sz w:val="22"/>
          <w:szCs w:val="22"/>
        </w:rPr>
      </w:pPr>
      <w:r w:rsidRPr="005707E6">
        <w:rPr>
          <w:sz w:val="22"/>
          <w:szCs w:val="22"/>
        </w:rPr>
        <w:t xml:space="preserve">The information </w:t>
      </w:r>
      <w:r w:rsidR="009B076C" w:rsidRPr="005707E6">
        <w:rPr>
          <w:sz w:val="22"/>
          <w:szCs w:val="22"/>
        </w:rPr>
        <w:t xml:space="preserve">to be collected will be used by the ORI to </w:t>
      </w:r>
      <w:r w:rsidRPr="005707E6">
        <w:rPr>
          <w:sz w:val="22"/>
          <w:szCs w:val="22"/>
        </w:rPr>
        <w:t xml:space="preserve">help gain additional insight regarding </w:t>
      </w:r>
      <w:r w:rsidR="009B076C" w:rsidRPr="005707E6">
        <w:rPr>
          <w:sz w:val="22"/>
          <w:szCs w:val="22"/>
        </w:rPr>
        <w:t>the effectiveness of th</w:t>
      </w:r>
      <w:r w:rsidRPr="005707E6">
        <w:rPr>
          <w:sz w:val="22"/>
          <w:szCs w:val="22"/>
        </w:rPr>
        <w:t>is</w:t>
      </w:r>
      <w:r w:rsidR="009B076C" w:rsidRPr="005707E6">
        <w:rPr>
          <w:sz w:val="22"/>
          <w:szCs w:val="22"/>
        </w:rPr>
        <w:t xml:space="preserve"> educational interactive video</w:t>
      </w:r>
      <w:r w:rsidR="00F9442B">
        <w:rPr>
          <w:sz w:val="22"/>
          <w:szCs w:val="22"/>
        </w:rPr>
        <w:t xml:space="preserve">, </w:t>
      </w:r>
      <w:r w:rsidR="00145A9E">
        <w:rPr>
          <w:sz w:val="22"/>
          <w:szCs w:val="22"/>
        </w:rPr>
        <w:t xml:space="preserve">and determining whether </w:t>
      </w:r>
      <w:r w:rsidR="005D2445" w:rsidRPr="005707E6">
        <w:rPr>
          <w:sz w:val="22"/>
          <w:szCs w:val="22"/>
        </w:rPr>
        <w:t xml:space="preserve"> it meets our customers’ ( i.e</w:t>
      </w:r>
      <w:r w:rsidRPr="005707E6">
        <w:rPr>
          <w:sz w:val="22"/>
          <w:szCs w:val="22"/>
        </w:rPr>
        <w:t>.,</w:t>
      </w:r>
      <w:r w:rsidR="005D2445" w:rsidRPr="005707E6">
        <w:rPr>
          <w:sz w:val="22"/>
          <w:szCs w:val="22"/>
        </w:rPr>
        <w:t xml:space="preserve"> Research instructors, Research Administrators and Research Integrity Officers)</w:t>
      </w:r>
      <w:r w:rsidR="00F9442B">
        <w:rPr>
          <w:sz w:val="22"/>
          <w:szCs w:val="22"/>
        </w:rPr>
        <w:t xml:space="preserve"> and ORI’s mission and goals</w:t>
      </w:r>
      <w:r w:rsidR="005D2445" w:rsidRPr="005707E6">
        <w:rPr>
          <w:sz w:val="22"/>
          <w:szCs w:val="22"/>
        </w:rPr>
        <w:t xml:space="preserve">. </w:t>
      </w:r>
    </w:p>
    <w:p w:rsidR="00E43965" w:rsidRPr="005707E6" w:rsidRDefault="009B076C" w:rsidP="00E43965">
      <w:pPr>
        <w:widowControl/>
        <w:numPr>
          <w:ilvl w:val="0"/>
          <w:numId w:val="3"/>
        </w:numPr>
        <w:autoSpaceDE/>
        <w:autoSpaceDN/>
        <w:adjustRightInd/>
        <w:rPr>
          <w:color w:val="000000"/>
          <w:sz w:val="22"/>
          <w:szCs w:val="22"/>
        </w:rPr>
      </w:pPr>
      <w:r w:rsidRPr="005707E6">
        <w:rPr>
          <w:sz w:val="22"/>
          <w:szCs w:val="22"/>
        </w:rPr>
        <w:t xml:space="preserve">The information </w:t>
      </w:r>
      <w:r w:rsidR="00E43965" w:rsidRPr="005707E6">
        <w:rPr>
          <w:sz w:val="22"/>
          <w:szCs w:val="22"/>
        </w:rPr>
        <w:t xml:space="preserve">gained from this evaluation </w:t>
      </w:r>
      <w:r w:rsidRPr="005707E6">
        <w:rPr>
          <w:sz w:val="22"/>
          <w:szCs w:val="22"/>
        </w:rPr>
        <w:t xml:space="preserve">will </w:t>
      </w:r>
      <w:r w:rsidR="00F9442B">
        <w:rPr>
          <w:sz w:val="22"/>
          <w:szCs w:val="22"/>
        </w:rPr>
        <w:t>also help ORI i</w:t>
      </w:r>
      <w:r w:rsidR="00E43965" w:rsidRPr="005707E6">
        <w:rPr>
          <w:sz w:val="22"/>
          <w:szCs w:val="22"/>
        </w:rPr>
        <w:t xml:space="preserve">dentify strengths and weaknesses in existing RCR educational resources and will </w:t>
      </w:r>
      <w:r w:rsidR="00F70B9C">
        <w:rPr>
          <w:sz w:val="22"/>
          <w:szCs w:val="22"/>
        </w:rPr>
        <w:t>assist our office in making</w:t>
      </w:r>
      <w:r w:rsidR="00E43965" w:rsidRPr="005707E6">
        <w:rPr>
          <w:sz w:val="22"/>
          <w:szCs w:val="22"/>
        </w:rPr>
        <w:t xml:space="preserve">  improvements in </w:t>
      </w:r>
      <w:r w:rsidR="00F70B9C">
        <w:rPr>
          <w:sz w:val="22"/>
          <w:szCs w:val="22"/>
        </w:rPr>
        <w:t>our RCR educational</w:t>
      </w:r>
      <w:r w:rsidR="00F9442B">
        <w:rPr>
          <w:sz w:val="22"/>
          <w:szCs w:val="22"/>
        </w:rPr>
        <w:t xml:space="preserve"> programs</w:t>
      </w:r>
      <w:r w:rsidR="00E43965" w:rsidRPr="005707E6">
        <w:rPr>
          <w:sz w:val="22"/>
          <w:szCs w:val="22"/>
        </w:rPr>
        <w:t xml:space="preserve"> based on  the feedback.</w:t>
      </w:r>
    </w:p>
    <w:p w:rsidR="00F9442B" w:rsidRPr="00F9442B" w:rsidRDefault="00E43965" w:rsidP="008C488F">
      <w:pPr>
        <w:widowControl/>
        <w:numPr>
          <w:ilvl w:val="0"/>
          <w:numId w:val="3"/>
        </w:numPr>
        <w:autoSpaceDE/>
        <w:autoSpaceDN/>
        <w:adjustRightInd/>
        <w:rPr>
          <w:color w:val="000000"/>
          <w:sz w:val="22"/>
          <w:szCs w:val="22"/>
        </w:rPr>
      </w:pPr>
      <w:r w:rsidRPr="005707E6">
        <w:rPr>
          <w:sz w:val="22"/>
          <w:szCs w:val="22"/>
        </w:rPr>
        <w:t xml:space="preserve">The information gained from this evaluation will also help ORI to </w:t>
      </w:r>
      <w:r w:rsidR="00D54195" w:rsidRPr="005707E6">
        <w:rPr>
          <w:sz w:val="22"/>
          <w:szCs w:val="22"/>
        </w:rPr>
        <w:t xml:space="preserve">better </w:t>
      </w:r>
      <w:r w:rsidR="00F2795B">
        <w:rPr>
          <w:sz w:val="22"/>
          <w:szCs w:val="22"/>
        </w:rPr>
        <w:t xml:space="preserve">refine </w:t>
      </w:r>
      <w:r w:rsidR="005707E6" w:rsidRPr="005707E6">
        <w:rPr>
          <w:sz w:val="22"/>
          <w:szCs w:val="22"/>
        </w:rPr>
        <w:t xml:space="preserve">methods for offering, presenting and delivering information most effectively, </w:t>
      </w:r>
      <w:r w:rsidR="00F70B9C">
        <w:rPr>
          <w:sz w:val="22"/>
          <w:szCs w:val="22"/>
        </w:rPr>
        <w:t>and</w:t>
      </w:r>
      <w:r w:rsidR="005707E6" w:rsidRPr="005707E6">
        <w:rPr>
          <w:sz w:val="22"/>
          <w:szCs w:val="22"/>
        </w:rPr>
        <w:t xml:space="preserve"> </w:t>
      </w:r>
      <w:r w:rsidR="00F9442B">
        <w:rPr>
          <w:sz w:val="22"/>
          <w:szCs w:val="22"/>
        </w:rPr>
        <w:t xml:space="preserve">better </w:t>
      </w:r>
      <w:r w:rsidR="00D54195" w:rsidRPr="005707E6">
        <w:rPr>
          <w:sz w:val="22"/>
          <w:szCs w:val="22"/>
        </w:rPr>
        <w:t xml:space="preserve">understand the </w:t>
      </w:r>
      <w:r w:rsidR="00F9442B">
        <w:rPr>
          <w:sz w:val="22"/>
          <w:szCs w:val="22"/>
        </w:rPr>
        <w:t xml:space="preserve">type of </w:t>
      </w:r>
      <w:r w:rsidR="00D54195" w:rsidRPr="005707E6">
        <w:rPr>
          <w:sz w:val="22"/>
          <w:szCs w:val="22"/>
        </w:rPr>
        <w:t>and quality of services our target audiences</w:t>
      </w:r>
      <w:r w:rsidR="005707E6" w:rsidRPr="005707E6">
        <w:rPr>
          <w:sz w:val="22"/>
          <w:szCs w:val="22"/>
        </w:rPr>
        <w:t xml:space="preserve"> need</w:t>
      </w:r>
      <w:r w:rsidR="00D54195" w:rsidRPr="005707E6">
        <w:rPr>
          <w:sz w:val="22"/>
          <w:szCs w:val="22"/>
        </w:rPr>
        <w:t xml:space="preserve">. </w:t>
      </w:r>
      <w:r w:rsidR="005707E6" w:rsidRPr="005707E6">
        <w:rPr>
          <w:sz w:val="22"/>
          <w:szCs w:val="22"/>
        </w:rPr>
        <w:t xml:space="preserve"> </w:t>
      </w:r>
    </w:p>
    <w:p w:rsidR="009B076C" w:rsidRPr="005707E6" w:rsidRDefault="00F70B9C" w:rsidP="008C488F">
      <w:pPr>
        <w:widowControl/>
        <w:numPr>
          <w:ilvl w:val="0"/>
          <w:numId w:val="3"/>
        </w:numPr>
        <w:autoSpaceDE/>
        <w:autoSpaceDN/>
        <w:adjustRightInd/>
        <w:rPr>
          <w:color w:val="000000"/>
          <w:sz w:val="22"/>
          <w:szCs w:val="22"/>
        </w:rPr>
      </w:pPr>
      <w:r>
        <w:rPr>
          <w:sz w:val="22"/>
          <w:szCs w:val="22"/>
        </w:rPr>
        <w:t>This</w:t>
      </w:r>
      <w:r w:rsidR="005707E6" w:rsidRPr="005707E6">
        <w:rPr>
          <w:sz w:val="22"/>
          <w:szCs w:val="22"/>
        </w:rPr>
        <w:t xml:space="preserve"> evaluation can</w:t>
      </w:r>
      <w:r w:rsidR="00D54195" w:rsidRPr="005707E6">
        <w:rPr>
          <w:sz w:val="22"/>
          <w:szCs w:val="22"/>
        </w:rPr>
        <w:t xml:space="preserve"> also aid in the development of future </w:t>
      </w:r>
      <w:r w:rsidR="009B076C" w:rsidRPr="005707E6">
        <w:rPr>
          <w:sz w:val="22"/>
          <w:szCs w:val="22"/>
        </w:rPr>
        <w:t>educational materials and training opportunities for RIOs, faculty</w:t>
      </w:r>
      <w:r w:rsidR="00D54195" w:rsidRPr="005707E6">
        <w:rPr>
          <w:sz w:val="22"/>
          <w:szCs w:val="22"/>
        </w:rPr>
        <w:t>, research administrators</w:t>
      </w:r>
      <w:r w:rsidR="009B076C" w:rsidRPr="005707E6">
        <w:rPr>
          <w:sz w:val="22"/>
          <w:szCs w:val="22"/>
        </w:rPr>
        <w:t xml:space="preserve"> and students for promoting </w:t>
      </w:r>
      <w:r>
        <w:rPr>
          <w:sz w:val="22"/>
          <w:szCs w:val="22"/>
        </w:rPr>
        <w:t xml:space="preserve">RCR and </w:t>
      </w:r>
      <w:r w:rsidR="009B076C" w:rsidRPr="005707E6">
        <w:rPr>
          <w:sz w:val="22"/>
          <w:szCs w:val="22"/>
        </w:rPr>
        <w:t>research integrity.</w:t>
      </w:r>
    </w:p>
    <w:p w:rsidR="009B076C" w:rsidRPr="005707E6" w:rsidRDefault="009B076C">
      <w:pPr>
        <w:rPr>
          <w:sz w:val="22"/>
          <w:szCs w:val="22"/>
        </w:rPr>
      </w:pPr>
    </w:p>
    <w:p w:rsidR="009B076C" w:rsidRPr="005707E6" w:rsidRDefault="009B076C" w:rsidP="008C488F">
      <w:pPr>
        <w:pStyle w:val="ListParagraph"/>
        <w:numPr>
          <w:ilvl w:val="0"/>
          <w:numId w:val="1"/>
        </w:numPr>
        <w:rPr>
          <w:b/>
          <w:sz w:val="22"/>
          <w:szCs w:val="22"/>
        </w:rPr>
      </w:pPr>
      <w:r w:rsidRPr="005707E6">
        <w:rPr>
          <w:b/>
          <w:sz w:val="22"/>
          <w:szCs w:val="22"/>
          <w:u w:val="single"/>
        </w:rPr>
        <w:t>Use of Improved Information Technology and Burden Reduction</w:t>
      </w:r>
    </w:p>
    <w:p w:rsidR="009B076C" w:rsidRPr="005707E6" w:rsidRDefault="009B076C" w:rsidP="008D3A2C">
      <w:pPr>
        <w:ind w:left="1800"/>
        <w:rPr>
          <w:sz w:val="22"/>
          <w:szCs w:val="22"/>
        </w:rPr>
      </w:pPr>
    </w:p>
    <w:p w:rsidR="009B076C" w:rsidRPr="005707E6" w:rsidRDefault="009B076C" w:rsidP="008C488F">
      <w:pPr>
        <w:widowControl/>
        <w:numPr>
          <w:ilvl w:val="0"/>
          <w:numId w:val="4"/>
        </w:numPr>
        <w:rPr>
          <w:sz w:val="22"/>
          <w:szCs w:val="22"/>
        </w:rPr>
      </w:pPr>
      <w:r w:rsidRPr="005707E6">
        <w:rPr>
          <w:sz w:val="22"/>
          <w:szCs w:val="22"/>
        </w:rPr>
        <w:t xml:space="preserve">We have done several things to reduce the burden of the study on respondents.  </w:t>
      </w:r>
      <w:r w:rsidR="00A43C01">
        <w:rPr>
          <w:sz w:val="22"/>
          <w:szCs w:val="22"/>
        </w:rPr>
        <w:t xml:space="preserve">Only individuals who have already reviewed the DVD will be requested to take the web based survey. </w:t>
      </w:r>
      <w:r w:rsidR="00A92E74">
        <w:rPr>
          <w:sz w:val="22"/>
          <w:szCs w:val="22"/>
        </w:rPr>
        <w:t>T</w:t>
      </w:r>
      <w:r w:rsidR="00A43C01">
        <w:rPr>
          <w:sz w:val="22"/>
          <w:szCs w:val="22"/>
        </w:rPr>
        <w:t>o further</w:t>
      </w:r>
      <w:r w:rsidRPr="005707E6">
        <w:rPr>
          <w:sz w:val="22"/>
          <w:szCs w:val="22"/>
        </w:rPr>
        <w:t xml:space="preserve"> investigate the effectiveness of the educational interactive video, we will </w:t>
      </w:r>
      <w:r w:rsidR="00F70B9C">
        <w:rPr>
          <w:sz w:val="22"/>
          <w:szCs w:val="22"/>
        </w:rPr>
        <w:t xml:space="preserve">also </w:t>
      </w:r>
      <w:r w:rsidRPr="005707E6">
        <w:rPr>
          <w:sz w:val="22"/>
          <w:szCs w:val="22"/>
        </w:rPr>
        <w:t>use a demographics form</w:t>
      </w:r>
      <w:r w:rsidR="00E43965" w:rsidRPr="005707E6">
        <w:rPr>
          <w:sz w:val="22"/>
          <w:szCs w:val="22"/>
        </w:rPr>
        <w:t xml:space="preserve"> and a </w:t>
      </w:r>
      <w:r w:rsidRPr="005707E6">
        <w:rPr>
          <w:sz w:val="22"/>
          <w:szCs w:val="22"/>
        </w:rPr>
        <w:t xml:space="preserve">questionnaire accessible via </w:t>
      </w:r>
      <w:r w:rsidR="00E43965" w:rsidRPr="005707E6">
        <w:rPr>
          <w:sz w:val="22"/>
          <w:szCs w:val="22"/>
        </w:rPr>
        <w:t>a web-based</w:t>
      </w:r>
      <w:r w:rsidRPr="005707E6">
        <w:rPr>
          <w:sz w:val="22"/>
          <w:szCs w:val="22"/>
        </w:rPr>
        <w:t xml:space="preserve"> survey</w:t>
      </w:r>
      <w:r w:rsidR="00F70B9C">
        <w:rPr>
          <w:sz w:val="22"/>
          <w:szCs w:val="22"/>
        </w:rPr>
        <w:t xml:space="preserve"> evaluation</w:t>
      </w:r>
      <w:r w:rsidRPr="005707E6">
        <w:rPr>
          <w:sz w:val="22"/>
          <w:szCs w:val="22"/>
        </w:rPr>
        <w:t xml:space="preserve"> tool.</w:t>
      </w:r>
      <w:r w:rsidRPr="005707E6">
        <w:rPr>
          <w:color w:val="FF0000"/>
          <w:sz w:val="22"/>
          <w:szCs w:val="22"/>
        </w:rPr>
        <w:t xml:space="preserve">  </w:t>
      </w:r>
    </w:p>
    <w:p w:rsidR="009B076C" w:rsidRPr="005707E6" w:rsidRDefault="009B076C" w:rsidP="00F610D9">
      <w:pPr>
        <w:widowControl/>
        <w:rPr>
          <w:sz w:val="22"/>
          <w:szCs w:val="22"/>
        </w:rPr>
      </w:pPr>
    </w:p>
    <w:p w:rsidR="009B076C" w:rsidRPr="005707E6" w:rsidRDefault="00F70B9C" w:rsidP="008C488F">
      <w:pPr>
        <w:widowControl/>
        <w:numPr>
          <w:ilvl w:val="0"/>
          <w:numId w:val="4"/>
        </w:numPr>
        <w:rPr>
          <w:sz w:val="22"/>
          <w:szCs w:val="22"/>
        </w:rPr>
      </w:pPr>
      <w:r>
        <w:rPr>
          <w:sz w:val="22"/>
          <w:szCs w:val="22"/>
        </w:rPr>
        <w:t>Further, w</w:t>
      </w:r>
      <w:r w:rsidR="009B076C" w:rsidRPr="005707E6">
        <w:rPr>
          <w:sz w:val="22"/>
          <w:szCs w:val="22"/>
        </w:rPr>
        <w:t xml:space="preserve"> have considered </w:t>
      </w:r>
      <w:r w:rsidR="00145A9E">
        <w:rPr>
          <w:sz w:val="22"/>
          <w:szCs w:val="22"/>
        </w:rPr>
        <w:t xml:space="preserve">a variety of </w:t>
      </w:r>
      <w:r w:rsidR="00145A9E" w:rsidRPr="005707E6">
        <w:rPr>
          <w:sz w:val="22"/>
          <w:szCs w:val="22"/>
        </w:rPr>
        <w:t>modes</w:t>
      </w:r>
      <w:r w:rsidR="009B076C" w:rsidRPr="005707E6">
        <w:rPr>
          <w:sz w:val="22"/>
          <w:szCs w:val="22"/>
        </w:rPr>
        <w:t xml:space="preserve"> of data collection for this study </w:t>
      </w:r>
      <w:r w:rsidR="00145A9E">
        <w:rPr>
          <w:sz w:val="22"/>
          <w:szCs w:val="22"/>
        </w:rPr>
        <w:t xml:space="preserve">and have concluded that the proposed </w:t>
      </w:r>
      <w:r w:rsidR="009B076C" w:rsidRPr="005707E6">
        <w:rPr>
          <w:sz w:val="22"/>
          <w:szCs w:val="22"/>
        </w:rPr>
        <w:t>web-based self-administered questionnaire</w:t>
      </w:r>
      <w:r w:rsidR="00D54195" w:rsidRPr="005707E6">
        <w:rPr>
          <w:sz w:val="22"/>
          <w:szCs w:val="22"/>
        </w:rPr>
        <w:t xml:space="preserve"> or customer satisfaction survey</w:t>
      </w:r>
      <w:r w:rsidR="00145A9E">
        <w:rPr>
          <w:sz w:val="22"/>
          <w:szCs w:val="22"/>
        </w:rPr>
        <w:t xml:space="preserve"> will be </w:t>
      </w:r>
      <w:r w:rsidR="00D54195" w:rsidRPr="005707E6">
        <w:rPr>
          <w:sz w:val="22"/>
          <w:szCs w:val="22"/>
        </w:rPr>
        <w:t xml:space="preserve"> the most </w:t>
      </w:r>
      <w:r w:rsidR="00F9442B">
        <w:rPr>
          <w:sz w:val="22"/>
          <w:szCs w:val="22"/>
        </w:rPr>
        <w:t xml:space="preserve">time and </w:t>
      </w:r>
      <w:r w:rsidR="00D54195" w:rsidRPr="005707E6">
        <w:rPr>
          <w:sz w:val="22"/>
          <w:szCs w:val="22"/>
        </w:rPr>
        <w:t>cost-eff</w:t>
      </w:r>
      <w:r w:rsidR="00F9442B">
        <w:rPr>
          <w:sz w:val="22"/>
          <w:szCs w:val="22"/>
        </w:rPr>
        <w:t xml:space="preserve">ective plan for data collection from this population. This web-based survey can also </w:t>
      </w:r>
      <w:r w:rsidR="009B076C" w:rsidRPr="005707E6">
        <w:rPr>
          <w:sz w:val="22"/>
          <w:szCs w:val="22"/>
        </w:rPr>
        <w:t xml:space="preserve">facilitate gathering of information, and </w:t>
      </w:r>
      <w:r w:rsidR="00A43C01">
        <w:rPr>
          <w:sz w:val="22"/>
          <w:szCs w:val="22"/>
        </w:rPr>
        <w:t>given the</w:t>
      </w:r>
      <w:r>
        <w:rPr>
          <w:sz w:val="22"/>
          <w:szCs w:val="22"/>
        </w:rPr>
        <w:t xml:space="preserve"> short</w:t>
      </w:r>
      <w:r w:rsidR="00A43C01">
        <w:rPr>
          <w:sz w:val="22"/>
          <w:szCs w:val="22"/>
        </w:rPr>
        <w:t xml:space="preserve"> time frame of the survey (less than 25 minutes) significantly </w:t>
      </w:r>
      <w:r w:rsidR="009B076C" w:rsidRPr="005707E6">
        <w:rPr>
          <w:sz w:val="22"/>
          <w:szCs w:val="22"/>
        </w:rPr>
        <w:t xml:space="preserve">lessen the burden on respondents. </w:t>
      </w:r>
    </w:p>
    <w:p w:rsidR="009B076C" w:rsidRPr="005707E6" w:rsidRDefault="009B076C" w:rsidP="00BC6918">
      <w:pPr>
        <w:widowControl/>
        <w:rPr>
          <w:sz w:val="22"/>
          <w:szCs w:val="22"/>
        </w:rPr>
      </w:pPr>
      <w:r w:rsidRPr="005707E6">
        <w:rPr>
          <w:sz w:val="22"/>
          <w:szCs w:val="22"/>
        </w:rPr>
        <w:tab/>
      </w:r>
    </w:p>
    <w:p w:rsidR="009B076C" w:rsidRPr="005707E6" w:rsidRDefault="009B076C" w:rsidP="008C488F">
      <w:pPr>
        <w:pStyle w:val="ListParagraph"/>
        <w:numPr>
          <w:ilvl w:val="0"/>
          <w:numId w:val="1"/>
        </w:numPr>
        <w:rPr>
          <w:b/>
          <w:sz w:val="22"/>
          <w:szCs w:val="22"/>
        </w:rPr>
      </w:pPr>
      <w:r w:rsidRPr="005707E6">
        <w:rPr>
          <w:b/>
          <w:sz w:val="22"/>
          <w:szCs w:val="22"/>
          <w:u w:val="single"/>
        </w:rPr>
        <w:t>Efforts to Identify Duplication and Use of Similar Information</w:t>
      </w:r>
    </w:p>
    <w:p w:rsidR="009B076C" w:rsidRPr="005707E6" w:rsidRDefault="009B076C" w:rsidP="00B916F5">
      <w:pPr>
        <w:ind w:left="720"/>
        <w:rPr>
          <w:sz w:val="22"/>
          <w:szCs w:val="22"/>
        </w:rPr>
      </w:pPr>
    </w:p>
    <w:p w:rsidR="009B076C" w:rsidRPr="005707E6" w:rsidRDefault="009B076C" w:rsidP="008C488F">
      <w:pPr>
        <w:pStyle w:val="ListParagraph"/>
        <w:numPr>
          <w:ilvl w:val="0"/>
          <w:numId w:val="14"/>
        </w:numPr>
        <w:rPr>
          <w:sz w:val="22"/>
          <w:szCs w:val="22"/>
        </w:rPr>
      </w:pPr>
      <w:r w:rsidRPr="005707E6">
        <w:rPr>
          <w:sz w:val="22"/>
          <w:szCs w:val="22"/>
        </w:rPr>
        <w:t xml:space="preserve">ORI is </w:t>
      </w:r>
      <w:r w:rsidR="00F70B9C">
        <w:rPr>
          <w:sz w:val="22"/>
          <w:szCs w:val="22"/>
        </w:rPr>
        <w:t>a</w:t>
      </w:r>
      <w:r w:rsidR="00F70B9C" w:rsidRPr="005707E6">
        <w:rPr>
          <w:sz w:val="22"/>
          <w:szCs w:val="22"/>
        </w:rPr>
        <w:t xml:space="preserve"> </w:t>
      </w:r>
      <w:r w:rsidRPr="005707E6">
        <w:rPr>
          <w:sz w:val="22"/>
          <w:szCs w:val="22"/>
        </w:rPr>
        <w:t>primary source of funding for research on</w:t>
      </w:r>
      <w:r w:rsidR="00F70B9C">
        <w:rPr>
          <w:sz w:val="22"/>
          <w:szCs w:val="22"/>
        </w:rPr>
        <w:t xml:space="preserve"> RCR,</w:t>
      </w:r>
      <w:r w:rsidRPr="005707E6">
        <w:rPr>
          <w:sz w:val="22"/>
          <w:szCs w:val="22"/>
        </w:rPr>
        <w:t xml:space="preserve"> research integrity and research misconduct.  For that reason, ORI staff members are the most knowledgeable about the availability of other existing interactive DVDs that would satisfy the needs of this study.  ORI staff members have no knowledge of any </w:t>
      </w:r>
      <w:r w:rsidR="00F70B9C">
        <w:rPr>
          <w:sz w:val="22"/>
          <w:szCs w:val="22"/>
        </w:rPr>
        <w:t xml:space="preserve">other </w:t>
      </w:r>
      <w:r w:rsidRPr="005707E6">
        <w:rPr>
          <w:sz w:val="22"/>
          <w:szCs w:val="22"/>
        </w:rPr>
        <w:t xml:space="preserve">existing interactive DVDs addressing the problems of </w:t>
      </w:r>
      <w:r w:rsidR="00F70B9C">
        <w:rPr>
          <w:sz w:val="22"/>
          <w:szCs w:val="22"/>
        </w:rPr>
        <w:t xml:space="preserve">RCR and </w:t>
      </w:r>
      <w:r w:rsidRPr="005707E6">
        <w:rPr>
          <w:sz w:val="22"/>
          <w:szCs w:val="22"/>
        </w:rPr>
        <w:t>research integrity as a training tool.</w:t>
      </w:r>
    </w:p>
    <w:p w:rsidR="009B076C" w:rsidRPr="005707E6" w:rsidRDefault="009B076C" w:rsidP="00B916F5">
      <w:pPr>
        <w:rPr>
          <w:sz w:val="22"/>
          <w:szCs w:val="22"/>
        </w:rPr>
      </w:pPr>
    </w:p>
    <w:p w:rsidR="009B076C" w:rsidRPr="005707E6" w:rsidRDefault="009B076C" w:rsidP="008C488F">
      <w:pPr>
        <w:pStyle w:val="ListParagraph"/>
        <w:numPr>
          <w:ilvl w:val="0"/>
          <w:numId w:val="1"/>
        </w:numPr>
        <w:rPr>
          <w:b/>
          <w:sz w:val="22"/>
          <w:szCs w:val="22"/>
        </w:rPr>
      </w:pPr>
      <w:r w:rsidRPr="005707E6">
        <w:rPr>
          <w:b/>
          <w:sz w:val="22"/>
          <w:szCs w:val="22"/>
          <w:u w:val="single"/>
        </w:rPr>
        <w:t>Impact on Small Businesses or Other Small Entities</w:t>
      </w:r>
    </w:p>
    <w:p w:rsidR="009B076C" w:rsidRPr="005707E6" w:rsidRDefault="009B076C">
      <w:pPr>
        <w:ind w:left="2880"/>
        <w:rPr>
          <w:color w:val="000000"/>
          <w:sz w:val="22"/>
          <w:szCs w:val="22"/>
        </w:rPr>
      </w:pPr>
    </w:p>
    <w:p w:rsidR="009B076C" w:rsidRPr="005707E6" w:rsidRDefault="009B076C" w:rsidP="008C488F">
      <w:pPr>
        <w:numPr>
          <w:ilvl w:val="0"/>
          <w:numId w:val="5"/>
        </w:numPr>
        <w:rPr>
          <w:sz w:val="22"/>
          <w:szCs w:val="22"/>
        </w:rPr>
      </w:pPr>
      <w:r w:rsidRPr="005707E6">
        <w:rPr>
          <w:color w:val="000000"/>
          <w:sz w:val="22"/>
          <w:szCs w:val="22"/>
        </w:rPr>
        <w:t>No small businesses will be involved in this study.</w:t>
      </w:r>
    </w:p>
    <w:p w:rsidR="009B076C" w:rsidRPr="005707E6" w:rsidRDefault="009B076C">
      <w:pPr>
        <w:ind w:left="360"/>
        <w:rPr>
          <w:sz w:val="22"/>
          <w:szCs w:val="22"/>
        </w:rPr>
      </w:pPr>
    </w:p>
    <w:p w:rsidR="009B076C" w:rsidRPr="005707E6" w:rsidRDefault="009B076C" w:rsidP="008C488F">
      <w:pPr>
        <w:pStyle w:val="ListParagraph"/>
        <w:numPr>
          <w:ilvl w:val="0"/>
          <w:numId w:val="1"/>
        </w:numPr>
        <w:rPr>
          <w:b/>
          <w:sz w:val="22"/>
          <w:szCs w:val="22"/>
        </w:rPr>
      </w:pPr>
      <w:r w:rsidRPr="005707E6">
        <w:rPr>
          <w:b/>
          <w:sz w:val="22"/>
          <w:szCs w:val="22"/>
          <w:u w:val="single"/>
        </w:rPr>
        <w:t xml:space="preserve">Consequences of Less Frequent Collection of the Information </w:t>
      </w:r>
    </w:p>
    <w:p w:rsidR="009B076C" w:rsidRPr="005707E6" w:rsidRDefault="009B076C" w:rsidP="00332E46">
      <w:pPr>
        <w:widowControl/>
        <w:autoSpaceDE/>
        <w:autoSpaceDN/>
        <w:adjustRightInd/>
        <w:ind w:left="1440"/>
        <w:rPr>
          <w:color w:val="000000"/>
          <w:sz w:val="22"/>
          <w:szCs w:val="22"/>
        </w:rPr>
      </w:pPr>
    </w:p>
    <w:p w:rsidR="005979DB" w:rsidRDefault="00F9442B" w:rsidP="005979DB">
      <w:pPr>
        <w:widowControl/>
        <w:numPr>
          <w:ilvl w:val="0"/>
          <w:numId w:val="5"/>
        </w:numPr>
        <w:autoSpaceDE/>
        <w:autoSpaceDN/>
        <w:adjustRightInd/>
        <w:rPr>
          <w:color w:val="000000"/>
          <w:sz w:val="22"/>
          <w:szCs w:val="22"/>
        </w:rPr>
      </w:pPr>
      <w:r>
        <w:rPr>
          <w:sz w:val="22"/>
          <w:szCs w:val="22"/>
        </w:rPr>
        <w:t>This</w:t>
      </w:r>
      <w:r w:rsidR="009B076C" w:rsidRPr="005707E6">
        <w:rPr>
          <w:sz w:val="22"/>
          <w:szCs w:val="22"/>
        </w:rPr>
        <w:t xml:space="preserve"> study is a </w:t>
      </w:r>
      <w:r w:rsidR="005707E6">
        <w:rPr>
          <w:sz w:val="22"/>
          <w:szCs w:val="22"/>
        </w:rPr>
        <w:t xml:space="preserve">web-base survey </w:t>
      </w:r>
      <w:r w:rsidR="009B076C" w:rsidRPr="005707E6">
        <w:rPr>
          <w:sz w:val="22"/>
          <w:szCs w:val="22"/>
        </w:rPr>
        <w:t>data collection activity</w:t>
      </w:r>
      <w:r w:rsidR="00145A9E">
        <w:rPr>
          <w:sz w:val="22"/>
          <w:szCs w:val="22"/>
        </w:rPr>
        <w:t xml:space="preserve"> taken at one point in time</w:t>
      </w:r>
      <w:r w:rsidR="009B076C" w:rsidRPr="005707E6">
        <w:rPr>
          <w:sz w:val="22"/>
          <w:szCs w:val="22"/>
        </w:rPr>
        <w:t xml:space="preserve">.  </w:t>
      </w:r>
      <w:r w:rsidR="00145A9E">
        <w:rPr>
          <w:sz w:val="22"/>
          <w:szCs w:val="22"/>
        </w:rPr>
        <w:t>If this survey is not conducted, it will result in the failure to determine</w:t>
      </w:r>
      <w:r w:rsidR="009B076C" w:rsidRPr="005707E6">
        <w:rPr>
          <w:sz w:val="22"/>
          <w:szCs w:val="22"/>
        </w:rPr>
        <w:t xml:space="preserve"> </w:t>
      </w:r>
      <w:r w:rsidR="00145A9E">
        <w:rPr>
          <w:sz w:val="22"/>
          <w:szCs w:val="22"/>
        </w:rPr>
        <w:t xml:space="preserve">a </w:t>
      </w:r>
      <w:r w:rsidR="009B076C" w:rsidRPr="005707E6">
        <w:rPr>
          <w:sz w:val="22"/>
          <w:szCs w:val="22"/>
        </w:rPr>
        <w:t xml:space="preserve">meaningful statistical </w:t>
      </w:r>
      <w:r w:rsidR="00145A9E">
        <w:rPr>
          <w:sz w:val="22"/>
          <w:szCs w:val="22"/>
        </w:rPr>
        <w:t xml:space="preserve">evaluation </w:t>
      </w:r>
      <w:r w:rsidR="009B076C" w:rsidRPr="005707E6">
        <w:rPr>
          <w:sz w:val="22"/>
          <w:szCs w:val="22"/>
        </w:rPr>
        <w:t xml:space="preserve"> of the educational interactive simulation.</w:t>
      </w:r>
    </w:p>
    <w:p w:rsidR="005979DB" w:rsidRPr="005979DB" w:rsidRDefault="005707E6" w:rsidP="005979DB">
      <w:pPr>
        <w:widowControl/>
        <w:numPr>
          <w:ilvl w:val="0"/>
          <w:numId w:val="5"/>
        </w:numPr>
        <w:autoSpaceDE/>
        <w:autoSpaceDN/>
        <w:adjustRightInd/>
        <w:rPr>
          <w:color w:val="000000"/>
          <w:sz w:val="22"/>
          <w:szCs w:val="22"/>
        </w:rPr>
      </w:pPr>
      <w:r w:rsidRPr="005979DB">
        <w:rPr>
          <w:color w:val="000000"/>
          <w:sz w:val="22"/>
          <w:szCs w:val="22"/>
        </w:rPr>
        <w:t xml:space="preserve">This study is web-based survey </w:t>
      </w:r>
      <w:r w:rsidR="00F9442B" w:rsidRPr="005979DB">
        <w:rPr>
          <w:color w:val="000000"/>
          <w:sz w:val="22"/>
          <w:szCs w:val="22"/>
        </w:rPr>
        <w:t>of research faculty/</w:t>
      </w:r>
      <w:r w:rsidRPr="005979DB">
        <w:rPr>
          <w:color w:val="000000"/>
          <w:sz w:val="22"/>
          <w:szCs w:val="22"/>
        </w:rPr>
        <w:t>instructors,</w:t>
      </w:r>
      <w:r w:rsidR="00AC0DE4">
        <w:rPr>
          <w:color w:val="000000"/>
          <w:sz w:val="22"/>
          <w:szCs w:val="22"/>
        </w:rPr>
        <w:t xml:space="preserve"> </w:t>
      </w:r>
      <w:r w:rsidR="00AC0DE4" w:rsidRPr="005979DB">
        <w:rPr>
          <w:color w:val="000000"/>
          <w:sz w:val="22"/>
          <w:szCs w:val="22"/>
        </w:rPr>
        <w:t>R</w:t>
      </w:r>
      <w:r w:rsidR="00AC0DE4">
        <w:rPr>
          <w:color w:val="000000"/>
          <w:sz w:val="22"/>
          <w:szCs w:val="22"/>
        </w:rPr>
        <w:t>esearch Integrity Officers (RIOs)</w:t>
      </w:r>
      <w:r w:rsidR="00AC0DE4" w:rsidRPr="005979DB">
        <w:rPr>
          <w:color w:val="000000"/>
          <w:sz w:val="22"/>
          <w:szCs w:val="22"/>
        </w:rPr>
        <w:t xml:space="preserve"> </w:t>
      </w:r>
      <w:r w:rsidRPr="005979DB">
        <w:rPr>
          <w:color w:val="000000"/>
          <w:sz w:val="22"/>
          <w:szCs w:val="22"/>
        </w:rPr>
        <w:t xml:space="preserve">and Research </w:t>
      </w:r>
      <w:r w:rsidR="00AC0DE4">
        <w:rPr>
          <w:color w:val="000000"/>
          <w:sz w:val="22"/>
          <w:szCs w:val="22"/>
        </w:rPr>
        <w:t>A</w:t>
      </w:r>
      <w:r w:rsidR="00AC0DE4" w:rsidRPr="005979DB">
        <w:rPr>
          <w:color w:val="000000"/>
          <w:sz w:val="22"/>
          <w:szCs w:val="22"/>
        </w:rPr>
        <w:t xml:space="preserve">dministrators’ </w:t>
      </w:r>
      <w:r w:rsidR="009B076C" w:rsidRPr="005979DB">
        <w:rPr>
          <w:color w:val="000000"/>
          <w:sz w:val="22"/>
          <w:szCs w:val="22"/>
        </w:rPr>
        <w:t>perceptions of the effectiveness of th</w:t>
      </w:r>
      <w:r w:rsidRPr="005979DB">
        <w:rPr>
          <w:color w:val="000000"/>
          <w:sz w:val="22"/>
          <w:szCs w:val="22"/>
        </w:rPr>
        <w:t>is</w:t>
      </w:r>
      <w:r w:rsidR="009B076C" w:rsidRPr="005979DB">
        <w:rPr>
          <w:color w:val="000000"/>
          <w:sz w:val="22"/>
          <w:szCs w:val="22"/>
        </w:rPr>
        <w:t xml:space="preserve"> educational interactive video</w:t>
      </w:r>
      <w:r w:rsidRPr="005979DB">
        <w:rPr>
          <w:color w:val="000000"/>
          <w:sz w:val="22"/>
          <w:szCs w:val="22"/>
        </w:rPr>
        <w:t>.</w:t>
      </w:r>
      <w:r w:rsidR="009B076C" w:rsidRPr="005979DB">
        <w:rPr>
          <w:color w:val="000000"/>
          <w:sz w:val="22"/>
          <w:szCs w:val="22"/>
        </w:rPr>
        <w:t xml:space="preserve"> </w:t>
      </w:r>
      <w:r w:rsidR="005979DB" w:rsidRPr="005979DB">
        <w:rPr>
          <w:sz w:val="24"/>
        </w:rPr>
        <w:t>The data collection is voluntary</w:t>
      </w:r>
      <w:r w:rsidR="00F70B9C">
        <w:rPr>
          <w:sz w:val="24"/>
        </w:rPr>
        <w:t xml:space="preserve"> and </w:t>
      </w:r>
      <w:r w:rsidR="005979DB">
        <w:rPr>
          <w:sz w:val="24"/>
        </w:rPr>
        <w:t>t</w:t>
      </w:r>
      <w:r w:rsidR="005979DB" w:rsidRPr="005979DB">
        <w:rPr>
          <w:sz w:val="24"/>
        </w:rPr>
        <w:t>he burden on participants is not high</w:t>
      </w:r>
      <w:r w:rsidR="00F70B9C">
        <w:rPr>
          <w:sz w:val="24"/>
        </w:rPr>
        <w:t>.</w:t>
      </w:r>
      <w:r w:rsidR="005979DB" w:rsidRPr="005979DB">
        <w:rPr>
          <w:sz w:val="24"/>
        </w:rPr>
        <w:t>.</w:t>
      </w:r>
    </w:p>
    <w:p w:rsidR="009B076C" w:rsidRPr="005707E6" w:rsidRDefault="009B076C" w:rsidP="00AB7139">
      <w:pPr>
        <w:widowControl/>
        <w:autoSpaceDE/>
        <w:autoSpaceDN/>
        <w:adjustRightInd/>
        <w:ind w:left="1080"/>
        <w:rPr>
          <w:color w:val="000000"/>
          <w:sz w:val="22"/>
          <w:szCs w:val="22"/>
        </w:rPr>
      </w:pPr>
    </w:p>
    <w:p w:rsidR="009B076C" w:rsidRPr="005707E6" w:rsidRDefault="009B076C" w:rsidP="008C488F">
      <w:pPr>
        <w:widowControl/>
        <w:numPr>
          <w:ilvl w:val="0"/>
          <w:numId w:val="5"/>
        </w:numPr>
        <w:autoSpaceDE/>
        <w:autoSpaceDN/>
        <w:adjustRightInd/>
        <w:rPr>
          <w:color w:val="000000"/>
          <w:sz w:val="22"/>
          <w:szCs w:val="22"/>
        </w:rPr>
      </w:pPr>
      <w:r w:rsidRPr="005707E6">
        <w:rPr>
          <w:color w:val="000000"/>
          <w:sz w:val="22"/>
          <w:szCs w:val="22"/>
        </w:rPr>
        <w:t>There are no legal obstacles to reduce the burden</w:t>
      </w:r>
      <w:r w:rsidR="00F70B9C">
        <w:rPr>
          <w:color w:val="000000"/>
          <w:sz w:val="22"/>
          <w:szCs w:val="22"/>
        </w:rPr>
        <w:t>.</w:t>
      </w:r>
    </w:p>
    <w:p w:rsidR="009B076C" w:rsidRPr="005707E6" w:rsidRDefault="009B076C">
      <w:pPr>
        <w:ind w:left="1080"/>
        <w:rPr>
          <w:sz w:val="22"/>
          <w:szCs w:val="22"/>
        </w:rPr>
      </w:pPr>
      <w:r w:rsidRPr="005707E6">
        <w:rPr>
          <w:sz w:val="22"/>
          <w:szCs w:val="22"/>
        </w:rPr>
        <w:tab/>
      </w:r>
    </w:p>
    <w:p w:rsidR="009B076C" w:rsidRPr="005707E6" w:rsidRDefault="009B076C" w:rsidP="008C488F">
      <w:pPr>
        <w:numPr>
          <w:ilvl w:val="0"/>
          <w:numId w:val="1"/>
        </w:numPr>
        <w:rPr>
          <w:b/>
          <w:sz w:val="22"/>
          <w:szCs w:val="22"/>
        </w:rPr>
      </w:pPr>
      <w:r w:rsidRPr="005707E6">
        <w:rPr>
          <w:b/>
          <w:sz w:val="22"/>
          <w:szCs w:val="22"/>
          <w:u w:val="single"/>
        </w:rPr>
        <w:t>Special Circumstances Relating to the Guidelines of 5 CFR 1320.5</w:t>
      </w:r>
    </w:p>
    <w:p w:rsidR="009B076C" w:rsidRPr="005707E6" w:rsidRDefault="009B076C" w:rsidP="003B479B">
      <w:pPr>
        <w:ind w:left="720"/>
        <w:rPr>
          <w:b/>
          <w:sz w:val="22"/>
          <w:szCs w:val="22"/>
        </w:rPr>
      </w:pPr>
    </w:p>
    <w:p w:rsidR="009B076C" w:rsidRPr="005707E6" w:rsidRDefault="00F70B9C" w:rsidP="008C488F">
      <w:pPr>
        <w:numPr>
          <w:ilvl w:val="0"/>
          <w:numId w:val="6"/>
        </w:numPr>
        <w:tabs>
          <w:tab w:val="clear" w:pos="2160"/>
          <w:tab w:val="num" w:pos="1800"/>
        </w:tabs>
        <w:ind w:left="1800"/>
        <w:rPr>
          <w:sz w:val="22"/>
          <w:szCs w:val="22"/>
        </w:rPr>
      </w:pPr>
      <w:r w:rsidRPr="005707E6">
        <w:rPr>
          <w:bCs/>
          <w:sz w:val="22"/>
          <w:szCs w:val="22"/>
        </w:rPr>
        <w:t>Th</w:t>
      </w:r>
      <w:r>
        <w:rPr>
          <w:bCs/>
          <w:sz w:val="22"/>
          <w:szCs w:val="22"/>
        </w:rPr>
        <w:t>is</w:t>
      </w:r>
      <w:r w:rsidRPr="005707E6">
        <w:rPr>
          <w:bCs/>
          <w:sz w:val="22"/>
          <w:szCs w:val="22"/>
        </w:rPr>
        <w:t xml:space="preserve"> </w:t>
      </w:r>
      <w:r w:rsidR="009B076C" w:rsidRPr="005707E6">
        <w:rPr>
          <w:bCs/>
          <w:sz w:val="22"/>
          <w:szCs w:val="22"/>
        </w:rPr>
        <w:t>request fully complies with the Guidelines of 5 CFR 1320.5.</w:t>
      </w:r>
    </w:p>
    <w:p w:rsidR="009B076C" w:rsidRPr="005707E6" w:rsidRDefault="009B076C">
      <w:pPr>
        <w:widowControl/>
        <w:rPr>
          <w:sz w:val="22"/>
          <w:szCs w:val="22"/>
        </w:rPr>
      </w:pPr>
    </w:p>
    <w:p w:rsidR="009B076C" w:rsidRPr="005707E6" w:rsidRDefault="009B076C" w:rsidP="008C488F">
      <w:pPr>
        <w:numPr>
          <w:ilvl w:val="0"/>
          <w:numId w:val="1"/>
        </w:numPr>
        <w:rPr>
          <w:b/>
          <w:sz w:val="22"/>
          <w:szCs w:val="22"/>
        </w:rPr>
      </w:pPr>
      <w:r w:rsidRPr="005707E6">
        <w:rPr>
          <w:b/>
          <w:iCs/>
          <w:sz w:val="22"/>
          <w:szCs w:val="22"/>
          <w:u w:val="single"/>
        </w:rPr>
        <w:t>Comments in Response to the Federal Register</w:t>
      </w:r>
      <w:r w:rsidRPr="005707E6">
        <w:rPr>
          <w:b/>
          <w:sz w:val="22"/>
          <w:szCs w:val="22"/>
          <w:u w:val="single"/>
        </w:rPr>
        <w:t xml:space="preserve"> Notice/Outside Consultation</w:t>
      </w:r>
    </w:p>
    <w:p w:rsidR="009B076C" w:rsidRPr="005947B7" w:rsidRDefault="009B076C">
      <w:pPr>
        <w:ind w:left="720"/>
        <w:rPr>
          <w:sz w:val="22"/>
          <w:szCs w:val="22"/>
        </w:rPr>
      </w:pPr>
    </w:p>
    <w:p w:rsidR="009B076C" w:rsidRPr="005947B7" w:rsidRDefault="009B076C" w:rsidP="00A43C01">
      <w:pPr>
        <w:numPr>
          <w:ilvl w:val="0"/>
          <w:numId w:val="7"/>
        </w:numPr>
        <w:ind w:left="360"/>
        <w:rPr>
          <w:sz w:val="22"/>
          <w:szCs w:val="22"/>
        </w:rPr>
      </w:pPr>
      <w:r w:rsidRPr="005947B7">
        <w:rPr>
          <w:sz w:val="22"/>
          <w:szCs w:val="22"/>
        </w:rPr>
        <w:t xml:space="preserve">A 60-day Federal Register Notice </w:t>
      </w:r>
      <w:r w:rsidR="001C4451" w:rsidRPr="005947B7">
        <w:rPr>
          <w:sz w:val="22"/>
          <w:szCs w:val="22"/>
        </w:rPr>
        <w:t>was published</w:t>
      </w:r>
      <w:r w:rsidRPr="005947B7">
        <w:rPr>
          <w:i/>
          <w:sz w:val="22"/>
          <w:szCs w:val="22"/>
        </w:rPr>
        <w:t xml:space="preserve"> </w:t>
      </w:r>
      <w:r w:rsidRPr="005947B7">
        <w:rPr>
          <w:sz w:val="22"/>
          <w:szCs w:val="22"/>
        </w:rPr>
        <w:t xml:space="preserve">on </w:t>
      </w:r>
      <w:r w:rsidR="00A43C01" w:rsidRPr="005947B7">
        <w:rPr>
          <w:rFonts w:ascii="Melior" w:hAnsi="Melior" w:cs="Melior"/>
          <w:szCs w:val="20"/>
        </w:rPr>
        <w:t>Thursday, February 24, 2011 /</w:t>
      </w:r>
      <w:r w:rsidR="00FE73E2" w:rsidRPr="005947B7">
        <w:rPr>
          <w:sz w:val="22"/>
          <w:szCs w:val="22"/>
        </w:rPr>
        <w:t>(</w:t>
      </w:r>
      <w:r w:rsidR="00FE73E2" w:rsidRPr="005947B7">
        <w:rPr>
          <w:rFonts w:ascii="Melior-Bold" w:hAnsi="Melior-Bold" w:cs="Melior-Bold"/>
          <w:bCs/>
          <w:szCs w:val="20"/>
        </w:rPr>
        <w:t xml:space="preserve">Federal Register </w:t>
      </w:r>
      <w:r w:rsidR="00FE73E2" w:rsidRPr="005947B7">
        <w:rPr>
          <w:rFonts w:ascii="Melior" w:hAnsi="Melior" w:cs="Melior"/>
          <w:szCs w:val="20"/>
        </w:rPr>
        <w:t>/Vol. 76, No. 37 /</w:t>
      </w:r>
      <w:r w:rsidR="00A43C01" w:rsidRPr="005947B7">
        <w:rPr>
          <w:rFonts w:ascii="Melior" w:hAnsi="Melior" w:cs="Melior"/>
          <w:szCs w:val="20"/>
        </w:rPr>
        <w:t xml:space="preserve">, page </w:t>
      </w:r>
      <w:r w:rsidR="00A43C01" w:rsidRPr="005947B7">
        <w:rPr>
          <w:rFonts w:ascii="Melior-Bold" w:hAnsi="Melior-Bold" w:cs="Melior-Bold"/>
          <w:bCs/>
          <w:sz w:val="22"/>
          <w:szCs w:val="22"/>
        </w:rPr>
        <w:t>10365)</w:t>
      </w:r>
      <w:r w:rsidR="001C4451" w:rsidRPr="005947B7">
        <w:rPr>
          <w:rFonts w:ascii="Melior-Bold" w:hAnsi="Melior-Bold" w:cs="Melior-Bold"/>
          <w:bCs/>
          <w:sz w:val="22"/>
          <w:szCs w:val="22"/>
        </w:rPr>
        <w:t>. No public comments were received.</w:t>
      </w:r>
    </w:p>
    <w:p w:rsidR="005947B7" w:rsidRPr="00A43C01" w:rsidRDefault="005947B7" w:rsidP="005947B7">
      <w:pPr>
        <w:ind w:left="360"/>
        <w:rPr>
          <w:sz w:val="22"/>
          <w:szCs w:val="22"/>
        </w:rPr>
      </w:pPr>
    </w:p>
    <w:p w:rsidR="009B076C" w:rsidRPr="005707E6" w:rsidRDefault="009B076C" w:rsidP="008C488F">
      <w:pPr>
        <w:numPr>
          <w:ilvl w:val="0"/>
          <w:numId w:val="1"/>
        </w:numPr>
        <w:rPr>
          <w:b/>
          <w:sz w:val="22"/>
          <w:szCs w:val="22"/>
        </w:rPr>
      </w:pPr>
      <w:r w:rsidRPr="005707E6">
        <w:rPr>
          <w:b/>
          <w:sz w:val="22"/>
          <w:szCs w:val="22"/>
          <w:u w:val="single"/>
        </w:rPr>
        <w:t>Explanation of any Payment/Gift to Respondents</w:t>
      </w:r>
    </w:p>
    <w:p w:rsidR="009B076C" w:rsidRPr="005707E6" w:rsidRDefault="009B076C" w:rsidP="003B479B">
      <w:pPr>
        <w:ind w:left="1440"/>
        <w:rPr>
          <w:sz w:val="22"/>
          <w:szCs w:val="22"/>
        </w:rPr>
      </w:pPr>
    </w:p>
    <w:p w:rsidR="009B076C" w:rsidRPr="005707E6" w:rsidRDefault="009B076C" w:rsidP="008C488F">
      <w:pPr>
        <w:pStyle w:val="ListParagraph"/>
        <w:numPr>
          <w:ilvl w:val="0"/>
          <w:numId w:val="7"/>
        </w:numPr>
        <w:rPr>
          <w:sz w:val="22"/>
          <w:szCs w:val="22"/>
        </w:rPr>
      </w:pPr>
      <w:r w:rsidRPr="005707E6">
        <w:rPr>
          <w:sz w:val="22"/>
          <w:szCs w:val="22"/>
        </w:rPr>
        <w:t>No payments or gifts will be provided to the respondents.</w:t>
      </w:r>
    </w:p>
    <w:p w:rsidR="009B076C" w:rsidRPr="005707E6" w:rsidRDefault="009B076C" w:rsidP="003B479B">
      <w:pPr>
        <w:pStyle w:val="ListParagraph"/>
        <w:ind w:left="2160"/>
        <w:rPr>
          <w:sz w:val="22"/>
          <w:szCs w:val="22"/>
        </w:rPr>
      </w:pPr>
    </w:p>
    <w:p w:rsidR="009B076C" w:rsidRPr="005707E6" w:rsidRDefault="009B076C" w:rsidP="008C488F">
      <w:pPr>
        <w:numPr>
          <w:ilvl w:val="0"/>
          <w:numId w:val="1"/>
        </w:numPr>
        <w:rPr>
          <w:b/>
          <w:sz w:val="22"/>
          <w:szCs w:val="22"/>
        </w:rPr>
      </w:pPr>
      <w:r w:rsidRPr="005707E6">
        <w:rPr>
          <w:b/>
          <w:sz w:val="22"/>
          <w:szCs w:val="22"/>
          <w:u w:val="single"/>
        </w:rPr>
        <w:t>Assurance of Confidentiality Provided to Respondents</w:t>
      </w:r>
    </w:p>
    <w:p w:rsidR="009B076C" w:rsidRPr="005707E6" w:rsidRDefault="009B076C" w:rsidP="00C9620F">
      <w:pPr>
        <w:pStyle w:val="ListParagraph"/>
        <w:ind w:left="2160"/>
        <w:rPr>
          <w:sz w:val="22"/>
          <w:szCs w:val="22"/>
        </w:rPr>
      </w:pPr>
    </w:p>
    <w:p w:rsidR="009B076C" w:rsidRPr="005707E6" w:rsidRDefault="009B076C" w:rsidP="008C488F">
      <w:pPr>
        <w:pStyle w:val="ListParagraph"/>
        <w:numPr>
          <w:ilvl w:val="0"/>
          <w:numId w:val="7"/>
        </w:numPr>
        <w:rPr>
          <w:sz w:val="22"/>
          <w:szCs w:val="22"/>
        </w:rPr>
      </w:pPr>
      <w:r w:rsidRPr="005707E6">
        <w:rPr>
          <w:sz w:val="22"/>
          <w:szCs w:val="22"/>
        </w:rPr>
        <w:t xml:space="preserve">Data will be kept private to the extent allowed by law.  DSFederal </w:t>
      </w:r>
      <w:r w:rsidR="00A43C01">
        <w:rPr>
          <w:sz w:val="22"/>
          <w:szCs w:val="22"/>
        </w:rPr>
        <w:t xml:space="preserve">and CSR Inc., </w:t>
      </w:r>
      <w:r w:rsidR="00F9442B">
        <w:rPr>
          <w:sz w:val="22"/>
          <w:szCs w:val="22"/>
        </w:rPr>
        <w:t>(the contractor</w:t>
      </w:r>
      <w:r w:rsidR="00145A9E">
        <w:rPr>
          <w:sz w:val="22"/>
          <w:szCs w:val="22"/>
        </w:rPr>
        <w:t>s</w:t>
      </w:r>
      <w:r w:rsidR="00F9442B">
        <w:rPr>
          <w:sz w:val="22"/>
          <w:szCs w:val="22"/>
        </w:rPr>
        <w:t xml:space="preserve">) </w:t>
      </w:r>
      <w:r w:rsidRPr="005707E6">
        <w:rPr>
          <w:sz w:val="22"/>
          <w:szCs w:val="22"/>
        </w:rPr>
        <w:t>will give respondents its assurance that the interview information will be reported in such a way that it will not be possible to identify the respondents or their institution</w:t>
      </w:r>
      <w:r w:rsidR="00145A9E">
        <w:rPr>
          <w:sz w:val="22"/>
          <w:szCs w:val="22"/>
        </w:rPr>
        <w:t>s</w:t>
      </w:r>
      <w:r w:rsidRPr="005707E6">
        <w:rPr>
          <w:sz w:val="22"/>
          <w:szCs w:val="22"/>
        </w:rPr>
        <w:t>.  In addition, interviewers and other project staff with access to identifying information will be required to sign DSFederal data privacy pledges.  DSFederal will maintain identifying and interview information in separate files on a share</w:t>
      </w:r>
      <w:r w:rsidR="00145A9E">
        <w:rPr>
          <w:sz w:val="22"/>
          <w:szCs w:val="22"/>
        </w:rPr>
        <w:t>d</w:t>
      </w:r>
      <w:r w:rsidRPr="005707E6">
        <w:rPr>
          <w:sz w:val="22"/>
          <w:szCs w:val="22"/>
        </w:rPr>
        <w:t xml:space="preserve"> drive that will limit</w:t>
      </w:r>
      <w:r w:rsidR="00145A9E">
        <w:rPr>
          <w:sz w:val="22"/>
          <w:szCs w:val="22"/>
        </w:rPr>
        <w:t xml:space="preserve"> access only </w:t>
      </w:r>
      <w:r w:rsidRPr="005707E6">
        <w:rPr>
          <w:sz w:val="22"/>
          <w:szCs w:val="22"/>
        </w:rPr>
        <w:t>to persons working on the project.  During data collection and cleaning, the identification and interview files will have a numeric link between them.  That link will be removed when the data have been edited and a final data set is produced.  No information that will allow identification of respondents/non-respondents will be provided to ORI.</w:t>
      </w:r>
    </w:p>
    <w:p w:rsidR="009B076C" w:rsidRPr="005707E6" w:rsidRDefault="009B076C">
      <w:pPr>
        <w:widowControl/>
        <w:rPr>
          <w:sz w:val="22"/>
          <w:szCs w:val="22"/>
        </w:rPr>
      </w:pPr>
    </w:p>
    <w:p w:rsidR="009B076C" w:rsidRPr="005707E6" w:rsidRDefault="00F26BD3" w:rsidP="008C488F">
      <w:pPr>
        <w:widowControl/>
        <w:numPr>
          <w:ilvl w:val="0"/>
          <w:numId w:val="8"/>
        </w:numPr>
        <w:rPr>
          <w:sz w:val="22"/>
          <w:szCs w:val="22"/>
        </w:rPr>
      </w:pPr>
      <w:r w:rsidRPr="005707E6">
        <w:rPr>
          <w:sz w:val="22"/>
          <w:szCs w:val="22"/>
        </w:rPr>
        <w:t xml:space="preserve">DSFederal will submit this study plan to the </w:t>
      </w:r>
      <w:r w:rsidR="005979DB">
        <w:rPr>
          <w:sz w:val="22"/>
          <w:szCs w:val="22"/>
        </w:rPr>
        <w:t>CSR</w:t>
      </w:r>
      <w:r w:rsidR="00145A9E">
        <w:rPr>
          <w:sz w:val="22"/>
          <w:szCs w:val="22"/>
        </w:rPr>
        <w:t>-</w:t>
      </w:r>
      <w:r w:rsidR="005979DB">
        <w:rPr>
          <w:sz w:val="22"/>
          <w:szCs w:val="22"/>
        </w:rPr>
        <w:t xml:space="preserve">centralized </w:t>
      </w:r>
      <w:r w:rsidR="00E018C2">
        <w:rPr>
          <w:sz w:val="22"/>
          <w:szCs w:val="22"/>
        </w:rPr>
        <w:t xml:space="preserve">IRB </w:t>
      </w:r>
      <w:r w:rsidRPr="005707E6">
        <w:rPr>
          <w:sz w:val="22"/>
          <w:szCs w:val="22"/>
        </w:rPr>
        <w:t>for their approval before conducting our d</w:t>
      </w:r>
      <w:r w:rsidR="00D654BB" w:rsidRPr="005707E6">
        <w:rPr>
          <w:sz w:val="22"/>
          <w:szCs w:val="22"/>
        </w:rPr>
        <w:t>ata collection</w:t>
      </w:r>
      <w:r w:rsidR="00B42ABF">
        <w:rPr>
          <w:sz w:val="22"/>
          <w:szCs w:val="22"/>
        </w:rPr>
        <w:t xml:space="preserve"> (see attached documents including approval)</w:t>
      </w:r>
      <w:r w:rsidR="00D654BB" w:rsidRPr="005707E6">
        <w:rPr>
          <w:sz w:val="22"/>
          <w:szCs w:val="22"/>
        </w:rPr>
        <w:t xml:space="preserve">.  </w:t>
      </w:r>
    </w:p>
    <w:p w:rsidR="009B076C" w:rsidRPr="005707E6" w:rsidRDefault="009B076C">
      <w:pPr>
        <w:ind w:left="360"/>
        <w:rPr>
          <w:sz w:val="22"/>
          <w:szCs w:val="22"/>
        </w:rPr>
      </w:pPr>
    </w:p>
    <w:p w:rsidR="00BC6918" w:rsidRPr="005707E6" w:rsidRDefault="00BC6918">
      <w:pPr>
        <w:ind w:left="360"/>
        <w:rPr>
          <w:sz w:val="22"/>
          <w:szCs w:val="22"/>
        </w:rPr>
      </w:pPr>
    </w:p>
    <w:p w:rsidR="009B076C" w:rsidRPr="005707E6" w:rsidRDefault="009B076C" w:rsidP="008C488F">
      <w:pPr>
        <w:numPr>
          <w:ilvl w:val="0"/>
          <w:numId w:val="1"/>
        </w:numPr>
        <w:rPr>
          <w:b/>
          <w:sz w:val="22"/>
          <w:szCs w:val="22"/>
        </w:rPr>
      </w:pPr>
      <w:r w:rsidRPr="005707E6">
        <w:rPr>
          <w:b/>
          <w:sz w:val="22"/>
          <w:szCs w:val="22"/>
          <w:u w:val="single"/>
        </w:rPr>
        <w:lastRenderedPageBreak/>
        <w:t>Justification for Sensitive Questions</w:t>
      </w:r>
    </w:p>
    <w:p w:rsidR="009B076C" w:rsidRPr="005707E6" w:rsidRDefault="00A43C01" w:rsidP="008C488F">
      <w:pPr>
        <w:widowControl/>
        <w:numPr>
          <w:ilvl w:val="0"/>
          <w:numId w:val="9"/>
        </w:numPr>
        <w:rPr>
          <w:sz w:val="22"/>
          <w:szCs w:val="22"/>
        </w:rPr>
      </w:pPr>
      <w:r>
        <w:rPr>
          <w:sz w:val="22"/>
          <w:szCs w:val="22"/>
        </w:rPr>
        <w:t>No sensitive questions are included in this study.</w:t>
      </w:r>
    </w:p>
    <w:p w:rsidR="009B076C" w:rsidRPr="005707E6" w:rsidRDefault="009B076C">
      <w:pPr>
        <w:ind w:left="360"/>
        <w:rPr>
          <w:sz w:val="22"/>
          <w:szCs w:val="22"/>
        </w:rPr>
      </w:pPr>
    </w:p>
    <w:p w:rsidR="009B076C" w:rsidRPr="005707E6" w:rsidRDefault="009B076C" w:rsidP="008C488F">
      <w:pPr>
        <w:numPr>
          <w:ilvl w:val="0"/>
          <w:numId w:val="1"/>
        </w:numPr>
        <w:rPr>
          <w:sz w:val="22"/>
          <w:szCs w:val="22"/>
        </w:rPr>
      </w:pPr>
      <w:r w:rsidRPr="005707E6">
        <w:rPr>
          <w:b/>
          <w:sz w:val="22"/>
          <w:szCs w:val="22"/>
          <w:u w:val="single"/>
        </w:rPr>
        <w:t xml:space="preserve">Estimates of Annualized Hour and Cost Burden  </w:t>
      </w:r>
    </w:p>
    <w:p w:rsidR="009B076C" w:rsidRPr="005707E6" w:rsidRDefault="009B076C" w:rsidP="002436FE">
      <w:pPr>
        <w:widowControl/>
        <w:ind w:left="2880"/>
        <w:rPr>
          <w:sz w:val="22"/>
          <w:szCs w:val="22"/>
        </w:rPr>
      </w:pPr>
    </w:p>
    <w:p w:rsidR="009B076C" w:rsidRPr="005707E6" w:rsidRDefault="009B076C" w:rsidP="00A02419">
      <w:pPr>
        <w:widowControl/>
        <w:ind w:left="1080"/>
        <w:rPr>
          <w:sz w:val="22"/>
          <w:szCs w:val="22"/>
        </w:rPr>
      </w:pPr>
      <w:r w:rsidRPr="005707E6">
        <w:rPr>
          <w:b/>
          <w:sz w:val="22"/>
          <w:szCs w:val="22"/>
        </w:rPr>
        <w:t>12A.Estimated Annualized Burden Hours</w:t>
      </w:r>
    </w:p>
    <w:p w:rsidR="009B076C" w:rsidRPr="005707E6" w:rsidRDefault="009B076C">
      <w:pPr>
        <w:widowControl/>
        <w:rPr>
          <w:b/>
          <w:bCs/>
          <w:sz w:val="22"/>
          <w:szCs w:val="22"/>
        </w:rPr>
      </w:pPr>
    </w:p>
    <w:p w:rsidR="00A43C01" w:rsidRDefault="00A43C01" w:rsidP="00A43C01">
      <w:pPr>
        <w:rPr>
          <w:color w:val="000000" w:themeColor="text1"/>
        </w:rPr>
      </w:pPr>
    </w:p>
    <w:p w:rsidR="00F13800" w:rsidRPr="005947B7" w:rsidRDefault="007F7D78" w:rsidP="005947B7">
      <w:pPr>
        <w:rPr>
          <w:rFonts w:asciiTheme="majorHAnsi" w:hAnsiTheme="majorHAnsi"/>
          <w:sz w:val="22"/>
          <w:szCs w:val="22"/>
        </w:rPr>
      </w:pPr>
      <w:r w:rsidRPr="005947B7">
        <w:rPr>
          <w:rFonts w:asciiTheme="majorHAnsi" w:hAnsiTheme="majorHAnsi"/>
          <w:color w:val="000000" w:themeColor="text1"/>
          <w:sz w:val="22"/>
          <w:szCs w:val="22"/>
        </w:rPr>
        <w:t>This web based survey evaluation will be implemented using an existing ORI database made up of over 40,000 NIH funded principal investigators (research faculty/instructors). Over 2000 of the individuals on this</w:t>
      </w:r>
      <w:r w:rsidR="00F13800" w:rsidRPr="005947B7">
        <w:rPr>
          <w:rFonts w:asciiTheme="majorHAnsi" w:hAnsiTheme="majorHAnsi"/>
          <w:color w:val="000000" w:themeColor="text1"/>
          <w:sz w:val="22"/>
          <w:szCs w:val="22"/>
        </w:rPr>
        <w:t xml:space="preserve"> same</w:t>
      </w:r>
      <w:r w:rsidRPr="005947B7">
        <w:rPr>
          <w:rFonts w:asciiTheme="majorHAnsi" w:hAnsiTheme="majorHAnsi"/>
          <w:color w:val="000000" w:themeColor="text1"/>
          <w:sz w:val="22"/>
          <w:szCs w:val="22"/>
        </w:rPr>
        <w:t xml:space="preserve"> list are also instructors (non-NIH funded), research administrators, and Research Integrity Officers (RIOs)(from educational institutions).</w:t>
      </w:r>
      <w:r w:rsidRPr="005947B7">
        <w:rPr>
          <w:rFonts w:asciiTheme="majorHAnsi" w:hAnsiTheme="majorHAnsi"/>
          <w:sz w:val="22"/>
          <w:szCs w:val="22"/>
        </w:rPr>
        <w:t xml:space="preserve"> For the purposed of this study, this group is the respondent universe. </w:t>
      </w:r>
      <w:r w:rsidR="005947B7">
        <w:rPr>
          <w:rFonts w:asciiTheme="majorHAnsi" w:hAnsiTheme="majorHAnsi"/>
          <w:sz w:val="22"/>
          <w:szCs w:val="22"/>
        </w:rPr>
        <w:t>Based on prior research in this field, w</w:t>
      </w:r>
      <w:r w:rsidRPr="005947B7">
        <w:rPr>
          <w:rFonts w:asciiTheme="majorHAnsi" w:hAnsiTheme="majorHAnsi"/>
          <w:sz w:val="22"/>
          <w:szCs w:val="22"/>
        </w:rPr>
        <w:t xml:space="preserve">e do not anticipate the response rate to be particularly high. However, we estimate that only </w:t>
      </w:r>
      <w:r w:rsidR="005947B7">
        <w:rPr>
          <w:rFonts w:asciiTheme="majorHAnsi" w:hAnsiTheme="majorHAnsi"/>
          <w:sz w:val="22"/>
          <w:szCs w:val="22"/>
        </w:rPr>
        <w:t xml:space="preserve">about </w:t>
      </w:r>
      <w:r w:rsidRPr="005947B7">
        <w:rPr>
          <w:rFonts w:asciiTheme="majorHAnsi" w:hAnsiTheme="majorHAnsi"/>
          <w:sz w:val="22"/>
          <w:szCs w:val="22"/>
        </w:rPr>
        <w:t>15% of this sample (</w:t>
      </w:r>
      <w:r w:rsidR="005947B7">
        <w:rPr>
          <w:rFonts w:asciiTheme="majorHAnsi" w:hAnsiTheme="majorHAnsi"/>
          <w:sz w:val="22"/>
          <w:szCs w:val="22"/>
        </w:rPr>
        <w:t xml:space="preserve">lowest range, </w:t>
      </w:r>
      <w:r w:rsidRPr="005947B7">
        <w:rPr>
          <w:rFonts w:asciiTheme="majorHAnsi" w:hAnsiTheme="majorHAnsi"/>
          <w:sz w:val="22"/>
          <w:szCs w:val="22"/>
        </w:rPr>
        <w:t xml:space="preserve">approximately 6000 individuals) will potentially complete this survey. </w:t>
      </w:r>
      <w:r w:rsidR="004363B5" w:rsidRPr="005947B7">
        <w:rPr>
          <w:rFonts w:asciiTheme="majorHAnsi" w:hAnsiTheme="majorHAnsi"/>
          <w:sz w:val="22"/>
          <w:szCs w:val="22"/>
        </w:rPr>
        <w:t xml:space="preserve">This survey will take approximately </w:t>
      </w:r>
      <w:r w:rsidR="005947B7">
        <w:rPr>
          <w:rFonts w:asciiTheme="majorHAnsi" w:hAnsiTheme="majorHAnsi"/>
          <w:sz w:val="22"/>
          <w:szCs w:val="22"/>
        </w:rPr>
        <w:t>21</w:t>
      </w:r>
      <w:r w:rsidR="005947B7" w:rsidRPr="005947B7">
        <w:rPr>
          <w:rFonts w:asciiTheme="majorHAnsi" w:hAnsiTheme="majorHAnsi"/>
          <w:sz w:val="22"/>
          <w:szCs w:val="22"/>
        </w:rPr>
        <w:t xml:space="preserve"> </w:t>
      </w:r>
      <w:r w:rsidR="004363B5" w:rsidRPr="005947B7">
        <w:rPr>
          <w:rFonts w:asciiTheme="majorHAnsi" w:hAnsiTheme="majorHAnsi"/>
          <w:sz w:val="22"/>
          <w:szCs w:val="22"/>
        </w:rPr>
        <w:t xml:space="preserve">minutes to complete. </w:t>
      </w:r>
      <w:r w:rsidR="00F13800" w:rsidRPr="005947B7">
        <w:rPr>
          <w:rFonts w:asciiTheme="majorHAnsi" w:hAnsiTheme="majorHAnsi"/>
          <w:sz w:val="22"/>
          <w:szCs w:val="22"/>
        </w:rPr>
        <w:t xml:space="preserve">The response rate is estimated </w:t>
      </w:r>
      <w:r w:rsidR="004363B5" w:rsidRPr="005947B7">
        <w:rPr>
          <w:rFonts w:asciiTheme="majorHAnsi" w:hAnsiTheme="majorHAnsi"/>
          <w:sz w:val="22"/>
          <w:szCs w:val="22"/>
        </w:rPr>
        <w:t xml:space="preserve">at 15% </w:t>
      </w:r>
      <w:r w:rsidR="00F13800" w:rsidRPr="005947B7">
        <w:rPr>
          <w:rFonts w:asciiTheme="majorHAnsi" w:hAnsiTheme="majorHAnsi"/>
          <w:sz w:val="22"/>
          <w:szCs w:val="22"/>
        </w:rPr>
        <w:t xml:space="preserve">based on web based survey research that indicates that a response rate </w:t>
      </w:r>
      <w:r w:rsidR="005947B7">
        <w:rPr>
          <w:rFonts w:asciiTheme="majorHAnsi" w:hAnsiTheme="majorHAnsi"/>
          <w:sz w:val="22"/>
          <w:szCs w:val="22"/>
        </w:rPr>
        <w:t xml:space="preserve">for web based surveys is </w:t>
      </w:r>
      <w:r w:rsidR="00F50675" w:rsidRPr="005947B7">
        <w:rPr>
          <w:rFonts w:asciiTheme="majorHAnsi" w:hAnsiTheme="majorHAnsi"/>
          <w:sz w:val="22"/>
          <w:szCs w:val="22"/>
        </w:rPr>
        <w:t xml:space="preserve">between </w:t>
      </w:r>
      <w:r w:rsidR="00F13800" w:rsidRPr="005947B7">
        <w:rPr>
          <w:rFonts w:asciiTheme="majorHAnsi" w:hAnsiTheme="majorHAnsi"/>
          <w:sz w:val="22"/>
          <w:szCs w:val="22"/>
        </w:rPr>
        <w:t>15%</w:t>
      </w:r>
      <w:r w:rsidR="00F50675" w:rsidRPr="005947B7">
        <w:rPr>
          <w:rFonts w:asciiTheme="majorHAnsi" w:hAnsiTheme="majorHAnsi"/>
          <w:sz w:val="22"/>
          <w:szCs w:val="22"/>
        </w:rPr>
        <w:t xml:space="preserve"> and 22%</w:t>
      </w:r>
      <w:r w:rsidR="005947B7">
        <w:rPr>
          <w:rFonts w:asciiTheme="majorHAnsi" w:hAnsiTheme="majorHAnsi"/>
          <w:sz w:val="22"/>
          <w:szCs w:val="22"/>
        </w:rPr>
        <w:t xml:space="preserve">. These numbers are also </w:t>
      </w:r>
      <w:r w:rsidR="00F13800" w:rsidRPr="005947B7">
        <w:rPr>
          <w:rFonts w:asciiTheme="majorHAnsi" w:hAnsiTheme="majorHAnsi"/>
          <w:sz w:val="22"/>
          <w:szCs w:val="22"/>
        </w:rPr>
        <w:t xml:space="preserve"> considered</w:t>
      </w:r>
      <w:r w:rsidR="005947B7">
        <w:rPr>
          <w:rFonts w:asciiTheme="majorHAnsi" w:hAnsiTheme="majorHAnsi"/>
          <w:sz w:val="22"/>
          <w:szCs w:val="22"/>
        </w:rPr>
        <w:t xml:space="preserve"> to be </w:t>
      </w:r>
      <w:r w:rsidR="00F13800" w:rsidRPr="005947B7">
        <w:rPr>
          <w:rFonts w:asciiTheme="majorHAnsi" w:hAnsiTheme="majorHAnsi"/>
          <w:sz w:val="22"/>
          <w:szCs w:val="22"/>
        </w:rPr>
        <w:t xml:space="preserve"> high for studies with optional response</w:t>
      </w:r>
      <w:r w:rsidR="005947B7">
        <w:rPr>
          <w:rFonts w:asciiTheme="majorHAnsi" w:hAnsiTheme="majorHAnsi"/>
          <w:sz w:val="22"/>
          <w:szCs w:val="22"/>
        </w:rPr>
        <w:t>s</w:t>
      </w:r>
      <w:r w:rsidR="00F13800" w:rsidRPr="005947B7">
        <w:rPr>
          <w:rFonts w:asciiTheme="majorHAnsi" w:hAnsiTheme="majorHAnsi"/>
          <w:sz w:val="22"/>
          <w:szCs w:val="22"/>
        </w:rPr>
        <w:t xml:space="preserve"> and no incentive</w:t>
      </w:r>
      <w:r w:rsidR="00F13800" w:rsidRPr="005947B7">
        <w:rPr>
          <w:rFonts w:asciiTheme="majorHAnsi" w:hAnsiTheme="majorHAnsi"/>
          <w:sz w:val="22"/>
          <w:szCs w:val="22"/>
          <w:vertAlign w:val="superscript"/>
        </w:rPr>
        <w:t>.</w:t>
      </w:r>
      <w:r w:rsidR="00F13800" w:rsidRPr="005947B7">
        <w:rPr>
          <w:rStyle w:val="FootnoteReference"/>
          <w:rFonts w:asciiTheme="majorHAnsi" w:hAnsiTheme="majorHAnsi"/>
          <w:sz w:val="22"/>
          <w:szCs w:val="22"/>
          <w:vertAlign w:val="superscript"/>
        </w:rPr>
        <w:footnoteReference w:id="1"/>
      </w:r>
      <w:r w:rsidR="004363B5" w:rsidRPr="005947B7">
        <w:rPr>
          <w:rFonts w:asciiTheme="majorHAnsi" w:hAnsiTheme="majorHAnsi"/>
          <w:sz w:val="22"/>
          <w:szCs w:val="22"/>
          <w:vertAlign w:val="superscript"/>
        </w:rPr>
        <w:t>-</w:t>
      </w:r>
      <w:r w:rsidR="00F13800" w:rsidRPr="005947B7">
        <w:rPr>
          <w:rStyle w:val="FootnoteReference"/>
          <w:rFonts w:asciiTheme="majorHAnsi" w:hAnsiTheme="majorHAnsi"/>
          <w:sz w:val="22"/>
          <w:szCs w:val="22"/>
          <w:vertAlign w:val="superscript"/>
        </w:rPr>
        <w:footnoteReference w:id="2"/>
      </w:r>
      <w:r w:rsidR="004363B5" w:rsidRPr="005947B7">
        <w:rPr>
          <w:rFonts w:asciiTheme="majorHAnsi" w:hAnsiTheme="majorHAnsi"/>
          <w:sz w:val="22"/>
          <w:szCs w:val="22"/>
        </w:rPr>
        <w:t xml:space="preserve">   </w:t>
      </w:r>
      <w:r w:rsidR="005947B7">
        <w:rPr>
          <w:rFonts w:asciiTheme="majorHAnsi" w:hAnsiTheme="majorHAnsi"/>
          <w:sz w:val="22"/>
          <w:szCs w:val="22"/>
        </w:rPr>
        <w:t>We are using the 15% to calculate the estimated response rate for the sample. Here a</w:t>
      </w:r>
      <w:r w:rsidR="004363B5" w:rsidRPr="005947B7">
        <w:rPr>
          <w:rFonts w:asciiTheme="majorHAnsi" w:hAnsiTheme="majorHAnsi"/>
          <w:sz w:val="22"/>
          <w:szCs w:val="22"/>
        </w:rPr>
        <w:t>Response Rate of  15%  (40,000 X .15) equals 6,000 participants..</w:t>
      </w:r>
      <w:r w:rsidR="00E63F9D" w:rsidRPr="005947B7">
        <w:rPr>
          <w:rFonts w:asciiTheme="majorHAnsi" w:hAnsiTheme="majorHAnsi"/>
          <w:sz w:val="22"/>
          <w:szCs w:val="22"/>
        </w:rPr>
        <w:t xml:space="preserve"> </w:t>
      </w:r>
      <w:r w:rsidR="00C95630">
        <w:rPr>
          <w:rFonts w:asciiTheme="majorHAnsi" w:hAnsiTheme="majorHAnsi"/>
          <w:sz w:val="22"/>
          <w:szCs w:val="22"/>
        </w:rPr>
        <w:t xml:space="preserve">There are </w:t>
      </w:r>
      <w:r w:rsidR="00FA0558">
        <w:rPr>
          <w:rFonts w:asciiTheme="majorHAnsi" w:hAnsiTheme="majorHAnsi"/>
          <w:sz w:val="22"/>
          <w:szCs w:val="22"/>
        </w:rPr>
        <w:t xml:space="preserve">32 </w:t>
      </w:r>
      <w:r w:rsidR="00C95630">
        <w:rPr>
          <w:rFonts w:asciiTheme="majorHAnsi" w:hAnsiTheme="majorHAnsi"/>
          <w:sz w:val="22"/>
          <w:szCs w:val="22"/>
        </w:rPr>
        <w:t xml:space="preserve">questions, </w:t>
      </w:r>
      <w:proofErr w:type="gramStart"/>
      <w:r w:rsidR="00C95630">
        <w:rPr>
          <w:rFonts w:asciiTheme="majorHAnsi" w:hAnsiTheme="majorHAnsi"/>
          <w:sz w:val="22"/>
          <w:szCs w:val="22"/>
        </w:rPr>
        <w:t xml:space="preserve">and </w:t>
      </w:r>
      <w:r w:rsidR="00E63F9D" w:rsidRPr="005947B7">
        <w:rPr>
          <w:rFonts w:asciiTheme="majorHAnsi" w:hAnsiTheme="majorHAnsi"/>
          <w:sz w:val="22"/>
          <w:szCs w:val="22"/>
        </w:rPr>
        <w:t xml:space="preserve"> </w:t>
      </w:r>
      <w:r w:rsidR="00FA0558" w:rsidRPr="005947B7">
        <w:rPr>
          <w:rFonts w:asciiTheme="majorHAnsi" w:hAnsiTheme="majorHAnsi"/>
          <w:sz w:val="22"/>
          <w:szCs w:val="22"/>
        </w:rPr>
        <w:t>2</w:t>
      </w:r>
      <w:r w:rsidR="00FA0558">
        <w:rPr>
          <w:rFonts w:asciiTheme="majorHAnsi" w:hAnsiTheme="majorHAnsi"/>
          <w:sz w:val="22"/>
          <w:szCs w:val="22"/>
        </w:rPr>
        <w:t>6</w:t>
      </w:r>
      <w:proofErr w:type="gramEnd"/>
      <w:r w:rsidR="00FA0558">
        <w:rPr>
          <w:rFonts w:asciiTheme="majorHAnsi" w:hAnsiTheme="majorHAnsi"/>
          <w:sz w:val="22"/>
          <w:szCs w:val="22"/>
        </w:rPr>
        <w:t xml:space="preserve"> </w:t>
      </w:r>
      <w:r w:rsidR="00C95630">
        <w:rPr>
          <w:rFonts w:asciiTheme="majorHAnsi" w:hAnsiTheme="majorHAnsi"/>
          <w:sz w:val="22"/>
          <w:szCs w:val="22"/>
        </w:rPr>
        <w:t>are</w:t>
      </w:r>
      <w:r w:rsidR="00E63F9D" w:rsidRPr="005947B7">
        <w:rPr>
          <w:rFonts w:asciiTheme="majorHAnsi" w:hAnsiTheme="majorHAnsi"/>
          <w:sz w:val="22"/>
          <w:szCs w:val="22"/>
        </w:rPr>
        <w:t xml:space="preserve"> multiple choice questions that may take approximately 20 seconds (or about 9 minutes </w:t>
      </w:r>
      <w:r w:rsidR="00C95630">
        <w:rPr>
          <w:rFonts w:asciiTheme="majorHAnsi" w:hAnsiTheme="majorHAnsi"/>
          <w:sz w:val="22"/>
          <w:szCs w:val="22"/>
        </w:rPr>
        <w:t>total</w:t>
      </w:r>
      <w:r w:rsidR="00E63F9D" w:rsidRPr="005947B7">
        <w:rPr>
          <w:rFonts w:asciiTheme="majorHAnsi" w:hAnsiTheme="majorHAnsi"/>
          <w:sz w:val="22"/>
          <w:szCs w:val="22"/>
        </w:rPr>
        <w:t>). There are</w:t>
      </w:r>
      <w:r w:rsidR="00C95630">
        <w:rPr>
          <w:rFonts w:asciiTheme="majorHAnsi" w:hAnsiTheme="majorHAnsi"/>
          <w:sz w:val="22"/>
          <w:szCs w:val="22"/>
        </w:rPr>
        <w:t xml:space="preserve"> also</w:t>
      </w:r>
      <w:r w:rsidR="00E63F9D" w:rsidRPr="005947B7">
        <w:rPr>
          <w:rFonts w:asciiTheme="majorHAnsi" w:hAnsiTheme="majorHAnsi"/>
          <w:sz w:val="22"/>
          <w:szCs w:val="22"/>
        </w:rPr>
        <w:t xml:space="preserve"> six short answer questions which could take approximately two minutes </w:t>
      </w:r>
      <w:r w:rsidR="00C95630">
        <w:rPr>
          <w:rFonts w:asciiTheme="majorHAnsi" w:hAnsiTheme="majorHAnsi"/>
          <w:sz w:val="22"/>
          <w:szCs w:val="22"/>
        </w:rPr>
        <w:t xml:space="preserve">each </w:t>
      </w:r>
      <w:r w:rsidR="00E63F9D" w:rsidRPr="005947B7">
        <w:rPr>
          <w:rFonts w:asciiTheme="majorHAnsi" w:hAnsiTheme="majorHAnsi"/>
          <w:sz w:val="22"/>
          <w:szCs w:val="22"/>
        </w:rPr>
        <w:t>to answer. The</w:t>
      </w:r>
      <w:r w:rsidR="00C95630">
        <w:rPr>
          <w:rFonts w:asciiTheme="majorHAnsi" w:hAnsiTheme="majorHAnsi"/>
          <w:sz w:val="22"/>
          <w:szCs w:val="22"/>
        </w:rPr>
        <w:t xml:space="preserve">refore, the </w:t>
      </w:r>
      <w:r w:rsidR="00E63F9D" w:rsidRPr="005947B7">
        <w:rPr>
          <w:rFonts w:asciiTheme="majorHAnsi" w:hAnsiTheme="majorHAnsi"/>
          <w:sz w:val="22"/>
          <w:szCs w:val="22"/>
        </w:rPr>
        <w:t xml:space="preserve"> estimated time to complete the survey is </w:t>
      </w:r>
      <w:r w:rsidR="00C95630">
        <w:rPr>
          <w:rFonts w:asciiTheme="majorHAnsi" w:hAnsiTheme="majorHAnsi"/>
          <w:sz w:val="22"/>
          <w:szCs w:val="22"/>
        </w:rPr>
        <w:t xml:space="preserve">approximately </w:t>
      </w:r>
      <w:r w:rsidR="00E63F9D" w:rsidRPr="005947B7">
        <w:rPr>
          <w:rFonts w:asciiTheme="majorHAnsi" w:hAnsiTheme="majorHAnsi"/>
          <w:sz w:val="22"/>
          <w:szCs w:val="22"/>
        </w:rPr>
        <w:t xml:space="preserve">21 minutes. </w:t>
      </w:r>
    </w:p>
    <w:p w:rsidR="00F13800" w:rsidRDefault="00F13800" w:rsidP="007F7D78">
      <w:pPr>
        <w:rPr>
          <w:rFonts w:ascii="Garamond" w:hAnsi="Garamond"/>
        </w:rPr>
      </w:pPr>
    </w:p>
    <w:p w:rsidR="00A43C01" w:rsidRPr="00C143BF" w:rsidRDefault="00A43C01" w:rsidP="00A43C01">
      <w:pPr>
        <w:rPr>
          <w:i/>
          <w:color w:val="000000" w:themeColor="text1"/>
        </w:rPr>
      </w:pPr>
    </w:p>
    <w:p w:rsidR="00A43C01" w:rsidRPr="00996DD5" w:rsidRDefault="00A43C01" w:rsidP="00A43C01">
      <w:pPr>
        <w:keepNext/>
        <w:keepLines/>
        <w:rPr>
          <w:b/>
          <w:color w:val="FF0000"/>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0" w:author="Department of Health and Human Services" w:date="2012-04-20T12:24:00Z">
          <w:tblPr>
            <w:tblW w:w="113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690"/>
        <w:gridCol w:w="1440"/>
        <w:gridCol w:w="1620"/>
        <w:gridCol w:w="1440"/>
        <w:gridCol w:w="1260"/>
        <w:tblGridChange w:id="1">
          <w:tblGrid>
            <w:gridCol w:w="5418"/>
            <w:gridCol w:w="1530"/>
            <w:gridCol w:w="1710"/>
            <w:gridCol w:w="1710"/>
            <w:gridCol w:w="1003"/>
          </w:tblGrid>
        </w:tblGridChange>
      </w:tblGrid>
      <w:tr w:rsidR="0083119E" w:rsidRPr="00996DD5" w:rsidTr="004B794D">
        <w:trPr>
          <w:trHeight w:val="274"/>
          <w:trPrChange w:id="2" w:author="Department of Health and Human Services" w:date="2012-04-20T12:24:00Z">
            <w:trPr>
              <w:trHeight w:val="274"/>
            </w:trPr>
          </w:trPrChange>
        </w:trPr>
        <w:tc>
          <w:tcPr>
            <w:tcW w:w="3690" w:type="dxa"/>
            <w:tcPrChange w:id="3" w:author="Department of Health and Human Services" w:date="2012-04-20T12:24:00Z">
              <w:tcPr>
                <w:tcW w:w="5418" w:type="dxa"/>
              </w:tcPr>
            </w:tcPrChange>
          </w:tcPr>
          <w:p w:rsidR="0083119E" w:rsidRPr="00C143BF" w:rsidRDefault="0083119E" w:rsidP="00F70B9C">
            <w:pPr>
              <w:rPr>
                <w:b/>
                <w:color w:val="000000" w:themeColor="text1"/>
              </w:rPr>
            </w:pPr>
            <w:r>
              <w:rPr>
                <w:b/>
                <w:color w:val="000000" w:themeColor="text1"/>
              </w:rPr>
              <w:t>Type of Respondents</w:t>
            </w:r>
            <w:r w:rsidRPr="00C143BF">
              <w:rPr>
                <w:b/>
                <w:color w:val="000000" w:themeColor="text1"/>
              </w:rPr>
              <w:t xml:space="preserve"> </w:t>
            </w:r>
          </w:p>
        </w:tc>
        <w:tc>
          <w:tcPr>
            <w:tcW w:w="1440" w:type="dxa"/>
            <w:tcPrChange w:id="4" w:author="Department of Health and Human Services" w:date="2012-04-20T12:24:00Z">
              <w:tcPr>
                <w:tcW w:w="1530" w:type="dxa"/>
              </w:tcPr>
            </w:tcPrChange>
          </w:tcPr>
          <w:p w:rsidR="0083119E" w:rsidRPr="00C143BF" w:rsidRDefault="0083119E" w:rsidP="00F70B9C">
            <w:pPr>
              <w:rPr>
                <w:b/>
                <w:color w:val="000000" w:themeColor="text1"/>
              </w:rPr>
            </w:pPr>
            <w:r w:rsidRPr="00C143BF">
              <w:rPr>
                <w:b/>
                <w:color w:val="000000" w:themeColor="text1"/>
              </w:rPr>
              <w:t>No. of Respondents</w:t>
            </w:r>
          </w:p>
        </w:tc>
        <w:tc>
          <w:tcPr>
            <w:tcW w:w="1620" w:type="dxa"/>
            <w:tcPrChange w:id="5" w:author="Department of Health and Human Services" w:date="2012-04-20T12:24:00Z">
              <w:tcPr>
                <w:tcW w:w="1710" w:type="dxa"/>
              </w:tcPr>
            </w:tcPrChange>
          </w:tcPr>
          <w:p w:rsidR="0083119E" w:rsidRDefault="0083119E" w:rsidP="0083119E">
            <w:pPr>
              <w:widowControl/>
              <w:rPr>
                <w:b/>
                <w:bCs/>
                <w:sz w:val="24"/>
              </w:rPr>
            </w:pPr>
            <w:r>
              <w:rPr>
                <w:b/>
                <w:bCs/>
                <w:sz w:val="24"/>
              </w:rPr>
              <w:t>No.</w:t>
            </w:r>
          </w:p>
          <w:p w:rsidR="0083119E" w:rsidRDefault="0083119E" w:rsidP="0083119E">
            <w:pPr>
              <w:widowControl/>
              <w:rPr>
                <w:b/>
                <w:bCs/>
                <w:sz w:val="24"/>
              </w:rPr>
            </w:pPr>
            <w:r>
              <w:rPr>
                <w:b/>
                <w:bCs/>
                <w:sz w:val="24"/>
              </w:rPr>
              <w:t>Responses</w:t>
            </w:r>
          </w:p>
          <w:p w:rsidR="0083119E" w:rsidRDefault="0083119E" w:rsidP="0083119E">
            <w:pPr>
              <w:widowControl/>
              <w:rPr>
                <w:b/>
                <w:bCs/>
                <w:sz w:val="24"/>
              </w:rPr>
            </w:pPr>
            <w:r>
              <w:rPr>
                <w:b/>
                <w:bCs/>
                <w:sz w:val="24"/>
              </w:rPr>
              <w:t>per</w:t>
            </w:r>
          </w:p>
          <w:p w:rsidR="0083119E" w:rsidRPr="00C143BF" w:rsidRDefault="0083119E" w:rsidP="0083119E">
            <w:pPr>
              <w:rPr>
                <w:b/>
                <w:color w:val="000000" w:themeColor="text1"/>
              </w:rPr>
            </w:pPr>
            <w:r>
              <w:rPr>
                <w:b/>
                <w:bCs/>
                <w:sz w:val="24"/>
              </w:rPr>
              <w:t>Respondent</w:t>
            </w:r>
          </w:p>
        </w:tc>
        <w:tc>
          <w:tcPr>
            <w:tcW w:w="1440" w:type="dxa"/>
            <w:tcPrChange w:id="6" w:author="Department of Health and Human Services" w:date="2012-04-20T12:24:00Z">
              <w:tcPr>
                <w:tcW w:w="1710" w:type="dxa"/>
              </w:tcPr>
            </w:tcPrChange>
          </w:tcPr>
          <w:p w:rsidR="0083119E" w:rsidRDefault="0083119E" w:rsidP="0083119E">
            <w:pPr>
              <w:widowControl/>
              <w:rPr>
                <w:b/>
                <w:bCs/>
                <w:sz w:val="24"/>
              </w:rPr>
            </w:pPr>
            <w:r>
              <w:rPr>
                <w:b/>
                <w:bCs/>
                <w:sz w:val="24"/>
              </w:rPr>
              <w:t>Average</w:t>
            </w:r>
          </w:p>
          <w:p w:rsidR="0083119E" w:rsidRDefault="0083119E" w:rsidP="0083119E">
            <w:pPr>
              <w:widowControl/>
              <w:rPr>
                <w:b/>
                <w:bCs/>
                <w:sz w:val="24"/>
              </w:rPr>
            </w:pPr>
            <w:r>
              <w:rPr>
                <w:b/>
                <w:bCs/>
                <w:sz w:val="24"/>
              </w:rPr>
              <w:t>Burden per</w:t>
            </w:r>
          </w:p>
          <w:p w:rsidR="0083119E" w:rsidRDefault="0083119E" w:rsidP="0083119E">
            <w:pPr>
              <w:widowControl/>
              <w:rPr>
                <w:b/>
                <w:bCs/>
                <w:sz w:val="24"/>
              </w:rPr>
            </w:pPr>
            <w:r>
              <w:rPr>
                <w:b/>
                <w:bCs/>
                <w:sz w:val="24"/>
              </w:rPr>
              <w:t>Response</w:t>
            </w:r>
          </w:p>
          <w:p w:rsidR="0083119E" w:rsidRPr="00C143BF" w:rsidRDefault="0083119E" w:rsidP="0083119E">
            <w:pPr>
              <w:rPr>
                <w:b/>
                <w:color w:val="000000" w:themeColor="text1"/>
              </w:rPr>
            </w:pPr>
            <w:r>
              <w:rPr>
                <w:b/>
                <w:bCs/>
                <w:sz w:val="24"/>
              </w:rPr>
              <w:t>(in hours)</w:t>
            </w:r>
          </w:p>
        </w:tc>
        <w:tc>
          <w:tcPr>
            <w:tcW w:w="1260" w:type="dxa"/>
            <w:tcPrChange w:id="7" w:author="Department of Health and Human Services" w:date="2012-04-20T12:24:00Z">
              <w:tcPr>
                <w:tcW w:w="1003" w:type="dxa"/>
              </w:tcPr>
            </w:tcPrChange>
          </w:tcPr>
          <w:p w:rsidR="0083119E" w:rsidRPr="00C143BF" w:rsidRDefault="0083119E" w:rsidP="00F70B9C">
            <w:pPr>
              <w:rPr>
                <w:b/>
                <w:color w:val="000000" w:themeColor="text1"/>
              </w:rPr>
            </w:pPr>
            <w:r w:rsidRPr="00C143BF">
              <w:rPr>
                <w:b/>
                <w:color w:val="000000" w:themeColor="text1"/>
              </w:rPr>
              <w:t>Bur</w:t>
            </w:r>
            <w:r>
              <w:rPr>
                <w:b/>
                <w:bCs/>
                <w:sz w:val="24"/>
              </w:rPr>
              <w:t xml:space="preserve"> Total Burden Hours</w:t>
            </w:r>
            <w:r w:rsidRPr="00C143BF">
              <w:rPr>
                <w:b/>
                <w:color w:val="000000" w:themeColor="text1"/>
              </w:rPr>
              <w:t xml:space="preserve"> den</w:t>
            </w:r>
          </w:p>
        </w:tc>
      </w:tr>
      <w:tr w:rsidR="0083119E" w:rsidRPr="00996DD5" w:rsidTr="004B794D">
        <w:trPr>
          <w:trHeight w:val="274"/>
          <w:trPrChange w:id="8" w:author="Department of Health and Human Services" w:date="2012-04-20T12:24:00Z">
            <w:trPr>
              <w:trHeight w:val="274"/>
            </w:trPr>
          </w:trPrChange>
        </w:trPr>
        <w:tc>
          <w:tcPr>
            <w:tcW w:w="3690" w:type="dxa"/>
            <w:tcPrChange w:id="9" w:author="Department of Health and Human Services" w:date="2012-04-20T12:24:00Z">
              <w:tcPr>
                <w:tcW w:w="5418" w:type="dxa"/>
              </w:tcPr>
            </w:tcPrChange>
          </w:tcPr>
          <w:p w:rsidR="004B794D" w:rsidRPr="00C143BF" w:rsidRDefault="00AC0DE4" w:rsidP="00AC0DE4">
            <w:pPr>
              <w:rPr>
                <w:color w:val="000000" w:themeColor="text1"/>
              </w:rPr>
            </w:pPr>
            <w:r>
              <w:rPr>
                <w:color w:val="000000"/>
                <w:sz w:val="22"/>
                <w:szCs w:val="22"/>
              </w:rPr>
              <w:t xml:space="preserve">Research </w:t>
            </w:r>
            <w:r>
              <w:rPr>
                <w:color w:val="000000" w:themeColor="text1"/>
              </w:rPr>
              <w:t>F</w:t>
            </w:r>
            <w:r w:rsidRPr="005979DB">
              <w:rPr>
                <w:color w:val="000000"/>
                <w:sz w:val="22"/>
                <w:szCs w:val="22"/>
              </w:rPr>
              <w:t>aculty/</w:t>
            </w:r>
            <w:r>
              <w:rPr>
                <w:color w:val="000000"/>
                <w:sz w:val="22"/>
                <w:szCs w:val="22"/>
              </w:rPr>
              <w:t>I</w:t>
            </w:r>
            <w:r w:rsidRPr="005979DB">
              <w:rPr>
                <w:color w:val="000000"/>
                <w:sz w:val="22"/>
                <w:szCs w:val="22"/>
              </w:rPr>
              <w:t>nstructors,</w:t>
            </w:r>
          </w:p>
          <w:tbl>
            <w:tblPr>
              <w:tblW w:w="1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710"/>
              <w:gridCol w:w="1003"/>
            </w:tblGrid>
            <w:tr w:rsidR="004B794D" w:rsidRPr="00996DD5" w:rsidTr="00120C53">
              <w:trPr>
                <w:trHeight w:val="274"/>
              </w:trPr>
              <w:tc>
                <w:tcPr>
                  <w:tcW w:w="5418" w:type="dxa"/>
                  <w:vMerge w:val="restart"/>
                  <w:tcBorders>
                    <w:top w:val="nil"/>
                    <w:left w:val="nil"/>
                    <w:right w:val="nil"/>
                  </w:tcBorders>
                </w:tcPr>
                <w:p w:rsidR="004B794D" w:rsidRPr="00C143BF" w:rsidRDefault="004B794D" w:rsidP="009C69BC">
                  <w:pPr>
                    <w:rPr>
                      <w:color w:val="000000" w:themeColor="text1"/>
                    </w:rPr>
                  </w:pPr>
                  <w:r>
                    <w:rPr>
                      <w:color w:val="000000" w:themeColor="text1"/>
                    </w:rPr>
                    <w:t>Research Integrity Officers (RIOs)</w:t>
                  </w:r>
                </w:p>
                <w:p w:rsidR="004B794D" w:rsidRPr="00C143BF" w:rsidRDefault="004B794D" w:rsidP="009C69BC">
                  <w:pPr>
                    <w:rPr>
                      <w:color w:val="000000" w:themeColor="text1"/>
                    </w:rPr>
                  </w:pPr>
                  <w:r>
                    <w:rPr>
                      <w:color w:val="000000" w:themeColor="text1"/>
                    </w:rPr>
                    <w:t>Research Administrators</w:t>
                  </w:r>
                </w:p>
              </w:tc>
              <w:tc>
                <w:tcPr>
                  <w:tcW w:w="1530" w:type="dxa"/>
                  <w:tcBorders>
                    <w:left w:val="nil"/>
                  </w:tcBorders>
                </w:tcPr>
                <w:p w:rsidR="004B794D" w:rsidRPr="00C143BF" w:rsidRDefault="004B794D" w:rsidP="009C69BC">
                  <w:pPr>
                    <w:rPr>
                      <w:color w:val="000000" w:themeColor="text1"/>
                    </w:rPr>
                  </w:pPr>
                </w:p>
              </w:tc>
              <w:tc>
                <w:tcPr>
                  <w:tcW w:w="1710" w:type="dxa"/>
                </w:tcPr>
                <w:p w:rsidR="004B794D" w:rsidRPr="00C143BF" w:rsidRDefault="004B794D" w:rsidP="009C69BC">
                  <w:pPr>
                    <w:rPr>
                      <w:color w:val="000000" w:themeColor="text1"/>
                    </w:rPr>
                  </w:pPr>
                </w:p>
              </w:tc>
              <w:tc>
                <w:tcPr>
                  <w:tcW w:w="1710" w:type="dxa"/>
                </w:tcPr>
                <w:p w:rsidR="004B794D" w:rsidRPr="00C143BF" w:rsidRDefault="004B794D" w:rsidP="009C69BC">
                  <w:pPr>
                    <w:rPr>
                      <w:color w:val="000000" w:themeColor="text1"/>
                    </w:rPr>
                  </w:pPr>
                </w:p>
              </w:tc>
              <w:tc>
                <w:tcPr>
                  <w:tcW w:w="1003" w:type="dxa"/>
                </w:tcPr>
                <w:p w:rsidR="004B794D" w:rsidRPr="00C143BF" w:rsidRDefault="004B794D" w:rsidP="009C69BC">
                  <w:pPr>
                    <w:rPr>
                      <w:color w:val="000000" w:themeColor="text1"/>
                    </w:rPr>
                  </w:pPr>
                </w:p>
              </w:tc>
            </w:tr>
            <w:tr w:rsidR="004B794D" w:rsidRPr="00996DD5" w:rsidTr="00120C53">
              <w:trPr>
                <w:trHeight w:val="70"/>
              </w:trPr>
              <w:tc>
                <w:tcPr>
                  <w:tcW w:w="5418" w:type="dxa"/>
                  <w:vMerge/>
                  <w:tcBorders>
                    <w:left w:val="nil"/>
                    <w:bottom w:val="nil"/>
                    <w:right w:val="nil"/>
                  </w:tcBorders>
                </w:tcPr>
                <w:p w:rsidR="004B794D" w:rsidRPr="00C143BF" w:rsidRDefault="004B794D" w:rsidP="009C69BC">
                  <w:pPr>
                    <w:rPr>
                      <w:color w:val="000000" w:themeColor="text1"/>
                    </w:rPr>
                  </w:pPr>
                </w:p>
              </w:tc>
              <w:tc>
                <w:tcPr>
                  <w:tcW w:w="1530" w:type="dxa"/>
                  <w:tcBorders>
                    <w:left w:val="nil"/>
                  </w:tcBorders>
                </w:tcPr>
                <w:p w:rsidR="004B794D" w:rsidRPr="00C143BF" w:rsidRDefault="004B794D" w:rsidP="009C69BC">
                  <w:pPr>
                    <w:rPr>
                      <w:b/>
                      <w:color w:val="000000" w:themeColor="text1"/>
                    </w:rPr>
                  </w:pPr>
                </w:p>
              </w:tc>
              <w:tc>
                <w:tcPr>
                  <w:tcW w:w="1710" w:type="dxa"/>
                </w:tcPr>
                <w:p w:rsidR="004B794D" w:rsidRPr="00C143BF" w:rsidRDefault="004B794D" w:rsidP="009C69BC">
                  <w:pPr>
                    <w:rPr>
                      <w:color w:val="000000" w:themeColor="text1"/>
                    </w:rPr>
                  </w:pPr>
                </w:p>
              </w:tc>
              <w:tc>
                <w:tcPr>
                  <w:tcW w:w="1710" w:type="dxa"/>
                </w:tcPr>
                <w:p w:rsidR="004B794D" w:rsidRPr="00C143BF" w:rsidRDefault="004B794D" w:rsidP="009C69BC">
                  <w:pPr>
                    <w:rPr>
                      <w:color w:val="000000" w:themeColor="text1"/>
                    </w:rPr>
                  </w:pPr>
                </w:p>
              </w:tc>
              <w:tc>
                <w:tcPr>
                  <w:tcW w:w="1003" w:type="dxa"/>
                </w:tcPr>
                <w:p w:rsidR="004B794D" w:rsidRPr="00C143BF" w:rsidRDefault="004B794D" w:rsidP="009C69BC">
                  <w:pPr>
                    <w:rPr>
                      <w:b/>
                      <w:color w:val="000000" w:themeColor="text1"/>
                    </w:rPr>
                  </w:pPr>
                </w:p>
              </w:tc>
            </w:tr>
          </w:tbl>
          <w:p w:rsidR="004B794D" w:rsidRDefault="004B794D" w:rsidP="004B794D"/>
          <w:p w:rsidR="0083119E" w:rsidRPr="00C143BF" w:rsidRDefault="0083119E" w:rsidP="00AC0DE4">
            <w:pPr>
              <w:rPr>
                <w:color w:val="000000" w:themeColor="text1"/>
              </w:rPr>
            </w:pPr>
          </w:p>
        </w:tc>
        <w:tc>
          <w:tcPr>
            <w:tcW w:w="1440" w:type="dxa"/>
            <w:tcPrChange w:id="10" w:author="Department of Health and Human Services" w:date="2012-04-20T12:24:00Z">
              <w:tcPr>
                <w:tcW w:w="1530" w:type="dxa"/>
              </w:tcPr>
            </w:tcPrChange>
          </w:tcPr>
          <w:p w:rsidR="0083119E" w:rsidRPr="00C143BF" w:rsidRDefault="0083119E" w:rsidP="00F70B9C">
            <w:pPr>
              <w:rPr>
                <w:color w:val="000000" w:themeColor="text1"/>
              </w:rPr>
            </w:pPr>
            <w:r>
              <w:rPr>
                <w:color w:val="000000" w:themeColor="text1"/>
              </w:rPr>
              <w:t>6000</w:t>
            </w:r>
          </w:p>
        </w:tc>
        <w:tc>
          <w:tcPr>
            <w:tcW w:w="1620" w:type="dxa"/>
            <w:tcPrChange w:id="11" w:author="Department of Health and Human Services" w:date="2012-04-20T12:24:00Z">
              <w:tcPr>
                <w:tcW w:w="1710" w:type="dxa"/>
              </w:tcPr>
            </w:tcPrChange>
          </w:tcPr>
          <w:p w:rsidR="0083119E" w:rsidRDefault="0083119E" w:rsidP="00F70B9C">
            <w:pPr>
              <w:rPr>
                <w:color w:val="000000" w:themeColor="text1"/>
              </w:rPr>
            </w:pPr>
            <w:r>
              <w:rPr>
                <w:color w:val="000000" w:themeColor="text1"/>
              </w:rPr>
              <w:t>1</w:t>
            </w:r>
          </w:p>
        </w:tc>
        <w:tc>
          <w:tcPr>
            <w:tcW w:w="1440" w:type="dxa"/>
            <w:tcPrChange w:id="12" w:author="Department of Health and Human Services" w:date="2012-04-20T12:24:00Z">
              <w:tcPr>
                <w:tcW w:w="1710" w:type="dxa"/>
              </w:tcPr>
            </w:tcPrChange>
          </w:tcPr>
          <w:p w:rsidR="0083119E" w:rsidRPr="00C143BF" w:rsidRDefault="00E63F9D" w:rsidP="00E63F9D">
            <w:pPr>
              <w:rPr>
                <w:color w:val="000000" w:themeColor="text1"/>
              </w:rPr>
            </w:pPr>
            <w:r>
              <w:rPr>
                <w:color w:val="000000" w:themeColor="text1"/>
              </w:rPr>
              <w:t>21</w:t>
            </w:r>
            <w:r w:rsidR="0083119E" w:rsidRPr="00C143BF">
              <w:rPr>
                <w:color w:val="000000" w:themeColor="text1"/>
              </w:rPr>
              <w:t xml:space="preserve"> </w:t>
            </w:r>
            <w:r w:rsidR="0083119E">
              <w:rPr>
                <w:color w:val="000000" w:themeColor="text1"/>
              </w:rPr>
              <w:t>/60</w:t>
            </w:r>
            <w:r w:rsidR="009664ED">
              <w:rPr>
                <w:color w:val="000000" w:themeColor="text1"/>
              </w:rPr>
              <w:t xml:space="preserve"> </w:t>
            </w:r>
          </w:p>
        </w:tc>
        <w:tc>
          <w:tcPr>
            <w:tcW w:w="1260" w:type="dxa"/>
            <w:tcPrChange w:id="13" w:author="Department of Health and Human Services" w:date="2012-04-20T12:24:00Z">
              <w:tcPr>
                <w:tcW w:w="1003" w:type="dxa"/>
              </w:tcPr>
            </w:tcPrChange>
          </w:tcPr>
          <w:p w:rsidR="0083119E" w:rsidRPr="00C143BF" w:rsidRDefault="00E63F9D" w:rsidP="00E63F9D">
            <w:pPr>
              <w:rPr>
                <w:color w:val="000000" w:themeColor="text1"/>
              </w:rPr>
            </w:pPr>
            <w:r>
              <w:rPr>
                <w:color w:val="000000" w:themeColor="text1"/>
              </w:rPr>
              <w:t>2100</w:t>
            </w:r>
          </w:p>
        </w:tc>
      </w:tr>
    </w:tbl>
    <w:p w:rsidR="00A43C01" w:rsidRDefault="00A43C01" w:rsidP="00A43C01"/>
    <w:p w:rsidR="00A43C01" w:rsidRDefault="00A43C01" w:rsidP="00A43C01">
      <w:r>
        <w:t> </w:t>
      </w:r>
    </w:p>
    <w:p w:rsidR="00A43C01" w:rsidRDefault="00A43C01" w:rsidP="00A43C01">
      <w:r>
        <w:t> </w:t>
      </w:r>
    </w:p>
    <w:p w:rsidR="00A43C01" w:rsidRDefault="00A43C01" w:rsidP="00A43C01">
      <w:r>
        <w:t> </w:t>
      </w:r>
    </w:p>
    <w:p w:rsidR="00A43C01" w:rsidRDefault="00A43C01" w:rsidP="00E63F9D">
      <w:r>
        <w:t xml:space="preserve"> </w:t>
      </w:r>
    </w:p>
    <w:p w:rsidR="001C4451" w:rsidRDefault="00A43C01" w:rsidP="00B42ABF">
      <w:pPr>
        <w:widowControl/>
        <w:rPr>
          <w:sz w:val="24"/>
        </w:rPr>
      </w:pPr>
      <w:r>
        <w:t> </w:t>
      </w:r>
      <w:r w:rsidR="001C4451">
        <w:rPr>
          <w:b/>
          <w:sz w:val="24"/>
        </w:rPr>
        <w:t>12B</w:t>
      </w:r>
      <w:proofErr w:type="gramStart"/>
      <w:r w:rsidR="001C4451">
        <w:rPr>
          <w:sz w:val="24"/>
        </w:rPr>
        <w:t>.  Provide</w:t>
      </w:r>
      <w:proofErr w:type="gramEnd"/>
      <w:r w:rsidR="001C4451">
        <w:rPr>
          <w:sz w:val="24"/>
        </w:rPr>
        <w:t xml:space="preserve"> estimates of annualized cost to respondents for the hour burdens for collections of information, identifying and using appropriate wage rate categories. </w:t>
      </w:r>
      <w:r w:rsidR="001C4451" w:rsidRPr="00B42ABF">
        <w:rPr>
          <w:bCs/>
          <w:sz w:val="24"/>
        </w:rPr>
        <w:t xml:space="preserve">The cost to the federal government for contracting out or paying outside parties for information collection activities </w:t>
      </w:r>
      <w:r w:rsidR="001C4451" w:rsidRPr="00B42ABF">
        <w:rPr>
          <w:bCs/>
          <w:sz w:val="24"/>
        </w:rPr>
        <w:lastRenderedPageBreak/>
        <w:t>should not be included here. Instead this cost should be included in Item 14.</w:t>
      </w:r>
      <w:r w:rsidR="001C4451">
        <w:rPr>
          <w:b/>
          <w:bCs/>
          <w:sz w:val="24"/>
        </w:rPr>
        <w:t xml:space="preserve"> </w:t>
      </w:r>
      <w:r w:rsidR="001C4451">
        <w:rPr>
          <w:sz w:val="24"/>
        </w:rPr>
        <w:t>The Department of Labor website can be used to determine appropriate wage rates for respondents.</w:t>
      </w:r>
    </w:p>
    <w:p w:rsidR="001C4451" w:rsidRDefault="001C4451" w:rsidP="001C4451">
      <w:pPr>
        <w:widowControl/>
        <w:ind w:left="1440"/>
        <w:rPr>
          <w:sz w:val="24"/>
        </w:rPr>
      </w:pPr>
    </w:p>
    <w:p w:rsidR="001C4451" w:rsidRDefault="001C4451" w:rsidP="001C4451">
      <w:pPr>
        <w:widowControl/>
        <w:rPr>
          <w:b/>
          <w:sz w:val="24"/>
        </w:rPr>
      </w:pPr>
      <w:r>
        <w:rPr>
          <w:sz w:val="24"/>
        </w:rPr>
        <w:tab/>
      </w:r>
      <w:r>
        <w:rPr>
          <w:sz w:val="24"/>
        </w:rPr>
        <w:tab/>
      </w:r>
      <w:r>
        <w:rPr>
          <w:sz w:val="24"/>
        </w:rPr>
        <w:tab/>
        <w:t xml:space="preserve">      </w:t>
      </w:r>
      <w:r>
        <w:rPr>
          <w:b/>
          <w:sz w:val="24"/>
        </w:rPr>
        <w:t>Estimated Annualized Burden Costs</w:t>
      </w:r>
    </w:p>
    <w:tbl>
      <w:tblPr>
        <w:tblStyle w:val="TableGrid"/>
        <w:tblW w:w="5965" w:type="dxa"/>
        <w:tblInd w:w="2603" w:type="dxa"/>
        <w:tblLook w:val="01E0"/>
      </w:tblPr>
      <w:tblGrid>
        <w:gridCol w:w="1430"/>
        <w:gridCol w:w="1330"/>
        <w:gridCol w:w="1429"/>
        <w:gridCol w:w="1776"/>
      </w:tblGrid>
      <w:tr w:rsidR="001C4451" w:rsidTr="00E63F9D">
        <w:tc>
          <w:tcPr>
            <w:tcW w:w="1430" w:type="dxa"/>
          </w:tcPr>
          <w:p w:rsidR="001C4451" w:rsidRDefault="001C4451" w:rsidP="00E63F9D">
            <w:pPr>
              <w:widowControl/>
              <w:rPr>
                <w:b/>
                <w:bCs/>
                <w:sz w:val="24"/>
              </w:rPr>
            </w:pPr>
            <w:r>
              <w:rPr>
                <w:b/>
                <w:bCs/>
                <w:sz w:val="24"/>
              </w:rPr>
              <w:t>Type of</w:t>
            </w:r>
          </w:p>
          <w:p w:rsidR="001C4451" w:rsidRDefault="001C4451" w:rsidP="00E63F9D">
            <w:pPr>
              <w:widowControl/>
              <w:rPr>
                <w:sz w:val="24"/>
              </w:rPr>
            </w:pPr>
            <w:r>
              <w:rPr>
                <w:b/>
                <w:bCs/>
                <w:sz w:val="24"/>
              </w:rPr>
              <w:t>Respondent</w:t>
            </w:r>
          </w:p>
          <w:p w:rsidR="001C4451" w:rsidRDefault="001C4451" w:rsidP="00E63F9D">
            <w:pPr>
              <w:widowControl/>
              <w:rPr>
                <w:b/>
                <w:bCs/>
                <w:sz w:val="24"/>
              </w:rPr>
            </w:pPr>
          </w:p>
        </w:tc>
        <w:tc>
          <w:tcPr>
            <w:tcW w:w="1330" w:type="dxa"/>
          </w:tcPr>
          <w:p w:rsidR="006D43C3" w:rsidRDefault="006D43C3" w:rsidP="006D43C3">
            <w:pPr>
              <w:widowControl/>
              <w:rPr>
                <w:b/>
                <w:bCs/>
                <w:sz w:val="24"/>
              </w:rPr>
            </w:pPr>
            <w:r>
              <w:rPr>
                <w:b/>
                <w:bCs/>
                <w:sz w:val="24"/>
              </w:rPr>
              <w:t>Total Burden</w:t>
            </w:r>
          </w:p>
          <w:p w:rsidR="006D43C3" w:rsidRDefault="006D43C3" w:rsidP="006D43C3">
            <w:pPr>
              <w:widowControl/>
              <w:rPr>
                <w:sz w:val="24"/>
              </w:rPr>
            </w:pPr>
            <w:r>
              <w:rPr>
                <w:b/>
                <w:bCs/>
                <w:sz w:val="24"/>
              </w:rPr>
              <w:t>Hours</w:t>
            </w:r>
          </w:p>
          <w:p w:rsidR="001C4451" w:rsidRDefault="001C4451" w:rsidP="00E63F9D">
            <w:pPr>
              <w:widowControl/>
              <w:rPr>
                <w:b/>
                <w:bCs/>
                <w:sz w:val="24"/>
              </w:rPr>
            </w:pPr>
          </w:p>
        </w:tc>
        <w:tc>
          <w:tcPr>
            <w:tcW w:w="1429" w:type="dxa"/>
          </w:tcPr>
          <w:p w:rsidR="001C4451" w:rsidRDefault="001C4451" w:rsidP="00E63F9D">
            <w:pPr>
              <w:widowControl/>
              <w:rPr>
                <w:b/>
                <w:bCs/>
                <w:sz w:val="24"/>
              </w:rPr>
            </w:pPr>
            <w:r>
              <w:rPr>
                <w:b/>
                <w:bCs/>
                <w:sz w:val="24"/>
              </w:rPr>
              <w:t>Hourly</w:t>
            </w:r>
          </w:p>
          <w:p w:rsidR="001C4451" w:rsidRDefault="001C4451" w:rsidP="00E63F9D">
            <w:pPr>
              <w:widowControl/>
              <w:rPr>
                <w:sz w:val="24"/>
              </w:rPr>
            </w:pPr>
            <w:r>
              <w:rPr>
                <w:b/>
                <w:bCs/>
                <w:sz w:val="24"/>
              </w:rPr>
              <w:t>Wage Rate</w:t>
            </w:r>
          </w:p>
          <w:p w:rsidR="001C4451" w:rsidRDefault="001C4451" w:rsidP="00E63F9D">
            <w:pPr>
              <w:widowControl/>
              <w:rPr>
                <w:b/>
                <w:bCs/>
                <w:sz w:val="24"/>
              </w:rPr>
            </w:pPr>
          </w:p>
        </w:tc>
        <w:tc>
          <w:tcPr>
            <w:tcW w:w="1776" w:type="dxa"/>
          </w:tcPr>
          <w:p w:rsidR="001C4451" w:rsidRDefault="001C4451" w:rsidP="00E63F9D">
            <w:pPr>
              <w:widowControl/>
              <w:rPr>
                <w:sz w:val="24"/>
              </w:rPr>
            </w:pPr>
            <w:r>
              <w:rPr>
                <w:b/>
                <w:bCs/>
                <w:sz w:val="24"/>
              </w:rPr>
              <w:t>Total Respondent Costs</w:t>
            </w:r>
          </w:p>
          <w:p w:rsidR="001C4451" w:rsidRDefault="001C4451" w:rsidP="00E63F9D">
            <w:pPr>
              <w:widowControl/>
              <w:rPr>
                <w:b/>
                <w:bCs/>
                <w:sz w:val="24"/>
              </w:rPr>
            </w:pPr>
          </w:p>
        </w:tc>
      </w:tr>
      <w:tr w:rsidR="0083119E" w:rsidTr="00E63F9D">
        <w:tc>
          <w:tcPr>
            <w:tcW w:w="1430" w:type="dxa"/>
          </w:tcPr>
          <w:p w:rsidR="0083119E" w:rsidRDefault="0083119E" w:rsidP="00E63F9D">
            <w:pPr>
              <w:rPr>
                <w:sz w:val="24"/>
              </w:rPr>
            </w:pPr>
            <w:r>
              <w:rPr>
                <w:color w:val="000000" w:themeColor="text1"/>
              </w:rPr>
              <w:t>Faculty/ Principal Investigators</w:t>
            </w:r>
          </w:p>
        </w:tc>
        <w:tc>
          <w:tcPr>
            <w:tcW w:w="1330" w:type="dxa"/>
          </w:tcPr>
          <w:p w:rsidR="0083119E" w:rsidRDefault="00E63F9D" w:rsidP="00FA0558">
            <w:pPr>
              <w:rPr>
                <w:sz w:val="24"/>
              </w:rPr>
            </w:pPr>
            <w:r>
              <w:rPr>
                <w:sz w:val="24"/>
              </w:rPr>
              <w:t>2100</w:t>
            </w:r>
          </w:p>
        </w:tc>
        <w:tc>
          <w:tcPr>
            <w:tcW w:w="1429" w:type="dxa"/>
          </w:tcPr>
          <w:p w:rsidR="0083119E" w:rsidRDefault="00E63F9D" w:rsidP="00963DCA">
            <w:pPr>
              <w:jc w:val="right"/>
              <w:rPr>
                <w:sz w:val="24"/>
              </w:rPr>
            </w:pPr>
            <w:r>
              <w:rPr>
                <w:sz w:val="24"/>
              </w:rPr>
              <w:t>141.00</w:t>
            </w:r>
            <w:r w:rsidR="00FA0558">
              <w:rPr>
                <w:sz w:val="24"/>
              </w:rPr>
              <w:t>*</w:t>
            </w:r>
            <w:r w:rsidR="0083119E">
              <w:rPr>
                <w:sz w:val="24"/>
              </w:rPr>
              <w:t xml:space="preserve"> </w:t>
            </w:r>
          </w:p>
        </w:tc>
        <w:tc>
          <w:tcPr>
            <w:tcW w:w="1776" w:type="dxa"/>
          </w:tcPr>
          <w:p w:rsidR="0083119E" w:rsidRDefault="005947B7" w:rsidP="00E63F9D">
            <w:pPr>
              <w:jc w:val="right"/>
              <w:rPr>
                <w:sz w:val="24"/>
              </w:rPr>
            </w:pPr>
            <w:r>
              <w:rPr>
                <w:sz w:val="24"/>
              </w:rPr>
              <w:t>296,100.00</w:t>
            </w:r>
          </w:p>
        </w:tc>
      </w:tr>
      <w:tr w:rsidR="0083119E" w:rsidTr="00E63F9D">
        <w:tc>
          <w:tcPr>
            <w:tcW w:w="1430" w:type="dxa"/>
          </w:tcPr>
          <w:p w:rsidR="0083119E" w:rsidRDefault="00963DCA" w:rsidP="00E63F9D">
            <w:pPr>
              <w:rPr>
                <w:sz w:val="24"/>
              </w:rPr>
            </w:pPr>
            <w:r>
              <w:rPr>
                <w:color w:val="000000" w:themeColor="text1"/>
              </w:rPr>
              <w:t>Research Integrity Officers (RIOs)</w:t>
            </w:r>
          </w:p>
        </w:tc>
        <w:tc>
          <w:tcPr>
            <w:tcW w:w="1330" w:type="dxa"/>
          </w:tcPr>
          <w:p w:rsidR="0083119E" w:rsidRDefault="0083119E" w:rsidP="00E63F9D">
            <w:pPr>
              <w:rPr>
                <w:sz w:val="24"/>
              </w:rPr>
            </w:pPr>
          </w:p>
        </w:tc>
        <w:tc>
          <w:tcPr>
            <w:tcW w:w="1429" w:type="dxa"/>
          </w:tcPr>
          <w:p w:rsidR="0083119E" w:rsidRDefault="0083119E" w:rsidP="009664ED">
            <w:pPr>
              <w:jc w:val="right"/>
              <w:rPr>
                <w:sz w:val="24"/>
              </w:rPr>
            </w:pPr>
            <w:r>
              <w:rPr>
                <w:sz w:val="24"/>
              </w:rPr>
              <w:t xml:space="preserve"> </w:t>
            </w:r>
          </w:p>
        </w:tc>
        <w:tc>
          <w:tcPr>
            <w:tcW w:w="1776" w:type="dxa"/>
          </w:tcPr>
          <w:p w:rsidR="0083119E" w:rsidRDefault="0083119E" w:rsidP="00E63F9D">
            <w:pPr>
              <w:jc w:val="right"/>
              <w:rPr>
                <w:sz w:val="24"/>
              </w:rPr>
            </w:pPr>
          </w:p>
        </w:tc>
      </w:tr>
      <w:tr w:rsidR="006D43C3" w:rsidTr="00E63F9D">
        <w:tc>
          <w:tcPr>
            <w:tcW w:w="1430" w:type="dxa"/>
          </w:tcPr>
          <w:p w:rsidR="006D43C3" w:rsidRDefault="006D43C3" w:rsidP="00E63F9D">
            <w:pPr>
              <w:rPr>
                <w:color w:val="000000" w:themeColor="text1"/>
              </w:rPr>
            </w:pPr>
            <w:r>
              <w:rPr>
                <w:color w:val="000000" w:themeColor="text1"/>
              </w:rPr>
              <w:t>Research Administrators</w:t>
            </w:r>
          </w:p>
        </w:tc>
        <w:tc>
          <w:tcPr>
            <w:tcW w:w="1330" w:type="dxa"/>
          </w:tcPr>
          <w:p w:rsidR="006D43C3" w:rsidRDefault="006D43C3" w:rsidP="00E63F9D">
            <w:pPr>
              <w:rPr>
                <w:sz w:val="24"/>
              </w:rPr>
            </w:pPr>
          </w:p>
        </w:tc>
        <w:tc>
          <w:tcPr>
            <w:tcW w:w="1429" w:type="dxa"/>
          </w:tcPr>
          <w:p w:rsidR="006D43C3" w:rsidRDefault="006D43C3" w:rsidP="009664ED">
            <w:pPr>
              <w:jc w:val="right"/>
              <w:rPr>
                <w:sz w:val="24"/>
              </w:rPr>
            </w:pPr>
          </w:p>
        </w:tc>
        <w:tc>
          <w:tcPr>
            <w:tcW w:w="1776" w:type="dxa"/>
          </w:tcPr>
          <w:p w:rsidR="006D43C3" w:rsidRDefault="006D43C3" w:rsidP="00E63F9D">
            <w:pPr>
              <w:jc w:val="right"/>
              <w:rPr>
                <w:sz w:val="24"/>
              </w:rPr>
            </w:pPr>
          </w:p>
        </w:tc>
      </w:tr>
      <w:tr w:rsidR="0083119E" w:rsidTr="005947B7">
        <w:trPr>
          <w:trHeight w:val="125"/>
        </w:trPr>
        <w:tc>
          <w:tcPr>
            <w:tcW w:w="1430" w:type="dxa"/>
          </w:tcPr>
          <w:p w:rsidR="0083119E" w:rsidRDefault="006D43C3" w:rsidP="00E63F9D">
            <w:pPr>
              <w:widowControl/>
              <w:rPr>
                <w:sz w:val="24"/>
              </w:rPr>
            </w:pPr>
            <w:r>
              <w:rPr>
                <w:sz w:val="24"/>
              </w:rPr>
              <w:t>Total</w:t>
            </w:r>
          </w:p>
        </w:tc>
        <w:tc>
          <w:tcPr>
            <w:tcW w:w="1330" w:type="dxa"/>
          </w:tcPr>
          <w:p w:rsidR="0083119E" w:rsidRDefault="0083119E" w:rsidP="00E63F9D">
            <w:pPr>
              <w:widowControl/>
              <w:rPr>
                <w:sz w:val="24"/>
              </w:rPr>
            </w:pPr>
          </w:p>
        </w:tc>
        <w:tc>
          <w:tcPr>
            <w:tcW w:w="1429" w:type="dxa"/>
          </w:tcPr>
          <w:p w:rsidR="0083119E" w:rsidRDefault="0083119E" w:rsidP="00E63F9D">
            <w:pPr>
              <w:widowControl/>
              <w:jc w:val="right"/>
              <w:rPr>
                <w:sz w:val="24"/>
              </w:rPr>
            </w:pPr>
          </w:p>
        </w:tc>
        <w:tc>
          <w:tcPr>
            <w:tcW w:w="1776" w:type="dxa"/>
          </w:tcPr>
          <w:p w:rsidR="0083119E" w:rsidRDefault="005947B7" w:rsidP="00E63F9D">
            <w:pPr>
              <w:widowControl/>
              <w:jc w:val="right"/>
              <w:rPr>
                <w:sz w:val="24"/>
              </w:rPr>
            </w:pPr>
            <w:r>
              <w:rPr>
                <w:sz w:val="24"/>
              </w:rPr>
              <w:t>296,100.00</w:t>
            </w:r>
          </w:p>
        </w:tc>
      </w:tr>
    </w:tbl>
    <w:p w:rsidR="00963DCA" w:rsidRDefault="00963DCA" w:rsidP="00963DCA"/>
    <w:p w:rsidR="001C4451" w:rsidRPr="00A25D44" w:rsidRDefault="00A25D44" w:rsidP="00A25D44">
      <w:pPr>
        <w:shd w:val="clear" w:color="auto" w:fill="FFFFFF"/>
        <w:outlineLvl w:val="1"/>
        <w:rPr>
          <w:rFonts w:asciiTheme="majorHAnsi" w:hAnsiTheme="majorHAnsi"/>
          <w:color w:val="000000" w:themeColor="text1"/>
          <w:sz w:val="18"/>
          <w:szCs w:val="18"/>
        </w:rPr>
      </w:pPr>
      <w:r w:rsidRPr="00A25D44">
        <w:rPr>
          <w:rFonts w:asciiTheme="majorHAnsi" w:hAnsiTheme="majorHAnsi"/>
          <w:sz w:val="18"/>
          <w:szCs w:val="18"/>
        </w:rPr>
        <w:t xml:space="preserve">*Please note that this </w:t>
      </w:r>
      <w:r w:rsidRPr="00A25D44">
        <w:rPr>
          <w:rFonts w:asciiTheme="majorHAnsi" w:hAnsiTheme="majorHAnsi"/>
          <w:color w:val="000000" w:themeColor="text1"/>
          <w:sz w:val="18"/>
          <w:szCs w:val="18"/>
        </w:rPr>
        <w:t>e</w:t>
      </w:r>
      <w:r w:rsidR="005947B7" w:rsidRPr="00A25D44">
        <w:rPr>
          <w:rFonts w:asciiTheme="majorHAnsi" w:hAnsiTheme="majorHAnsi"/>
          <w:color w:val="000000" w:themeColor="text1"/>
          <w:sz w:val="18"/>
          <w:szCs w:val="18"/>
        </w:rPr>
        <w:t xml:space="preserve">stimate </w:t>
      </w:r>
      <w:r w:rsidRPr="00A25D44">
        <w:rPr>
          <w:rFonts w:asciiTheme="majorHAnsi" w:hAnsiTheme="majorHAnsi"/>
          <w:color w:val="000000" w:themeColor="text1"/>
          <w:sz w:val="18"/>
          <w:szCs w:val="18"/>
        </w:rPr>
        <w:t xml:space="preserve">of wages for study participants was derived from the </w:t>
      </w:r>
      <w:r w:rsidR="005947B7" w:rsidRPr="00A25D44">
        <w:rPr>
          <w:rFonts w:asciiTheme="majorHAnsi" w:hAnsiTheme="majorHAnsi" w:cs="Arial"/>
          <w:sz w:val="18"/>
          <w:szCs w:val="18"/>
        </w:rPr>
        <w:t>Healthcare practitioner and technical occupational category.</w:t>
      </w:r>
      <w:r w:rsidRPr="00A25D44">
        <w:rPr>
          <w:rFonts w:asciiTheme="majorHAnsi" w:hAnsiTheme="majorHAnsi" w:cs="Arial"/>
          <w:sz w:val="18"/>
          <w:szCs w:val="18"/>
        </w:rPr>
        <w:t xml:space="preserve"> Individuals who teach RCR and Research integrity may be faculty/principal investigators and researchers, Research integrity officers or research administrators. In many cases, the work may overlap as someone can be a faculty member and a RIO at the same time. As the majority of participants may be from the biomedical and health care field (given US PHS funding) and given the overlap, this was one of the rationales for choosing this occupational category as the closest estimate for wages. </w:t>
      </w:r>
      <w:r w:rsidR="005947B7" w:rsidRPr="00A25D44">
        <w:rPr>
          <w:rFonts w:asciiTheme="majorHAnsi" w:hAnsiTheme="majorHAnsi" w:cs="Arial"/>
          <w:sz w:val="18"/>
          <w:szCs w:val="18"/>
        </w:rPr>
        <w:t xml:space="preserve"> </w:t>
      </w:r>
      <w:r w:rsidRPr="00A25D44">
        <w:rPr>
          <w:rFonts w:asciiTheme="majorHAnsi" w:hAnsiTheme="majorHAnsi" w:cs="Arial"/>
          <w:sz w:val="18"/>
          <w:szCs w:val="18"/>
        </w:rPr>
        <w:t xml:space="preserve">See also, </w:t>
      </w:r>
      <w:r w:rsidR="005947B7" w:rsidRPr="00A25D44">
        <w:rPr>
          <w:rFonts w:asciiTheme="majorHAnsi" w:hAnsiTheme="majorHAnsi"/>
          <w:color w:val="000000" w:themeColor="text1"/>
          <w:sz w:val="18"/>
          <w:szCs w:val="18"/>
        </w:rPr>
        <w:t xml:space="preserve">US Department of </w:t>
      </w:r>
      <w:r w:rsidR="005947B7" w:rsidRPr="00A25D44">
        <w:rPr>
          <w:rFonts w:asciiTheme="majorHAnsi" w:hAnsiTheme="majorHAnsi"/>
          <w:color w:val="000000" w:themeColor="text1"/>
          <w:kern w:val="36"/>
          <w:sz w:val="18"/>
          <w:szCs w:val="18"/>
        </w:rPr>
        <w:t xml:space="preserve">Labor Force Statistics from the Current Population Survey. Labor rates by Education.(2010), pp.16. Available at: </w:t>
      </w:r>
      <w:r w:rsidR="005947B7" w:rsidRPr="00A25D44">
        <w:rPr>
          <w:rFonts w:asciiTheme="majorHAnsi" w:hAnsiTheme="majorHAnsi"/>
          <w:color w:val="000000" w:themeColor="text1"/>
          <w:sz w:val="18"/>
          <w:szCs w:val="18"/>
        </w:rPr>
        <w:t xml:space="preserve"> </w:t>
      </w:r>
      <w:hyperlink r:id="rId9" w:history="1">
        <w:r w:rsidR="005947B7" w:rsidRPr="00A25D44">
          <w:rPr>
            <w:rStyle w:val="Hyperlink"/>
            <w:rFonts w:asciiTheme="majorHAnsi" w:hAnsiTheme="majorHAnsi"/>
            <w:color w:val="000000" w:themeColor="text1"/>
            <w:sz w:val="18"/>
            <w:szCs w:val="18"/>
          </w:rPr>
          <w:t>http://www.bls.gov/cps/cpswom2010.pdf</w:t>
        </w:r>
      </w:hyperlink>
      <w:r w:rsidR="005947B7" w:rsidRPr="00A25D44">
        <w:rPr>
          <w:rFonts w:asciiTheme="majorHAnsi" w:hAnsiTheme="majorHAnsi"/>
          <w:color w:val="000000" w:themeColor="text1"/>
          <w:sz w:val="18"/>
          <w:szCs w:val="18"/>
        </w:rPr>
        <w:t xml:space="preserve">  [Date accessed: 04/2/2012].</w:t>
      </w:r>
    </w:p>
    <w:p w:rsidR="00A43C01" w:rsidRDefault="00A43C01" w:rsidP="00A43C01"/>
    <w:p w:rsidR="009B076C" w:rsidRPr="005707E6" w:rsidRDefault="009B076C">
      <w:pPr>
        <w:widowControl/>
        <w:ind w:left="720"/>
        <w:rPr>
          <w:sz w:val="22"/>
          <w:szCs w:val="22"/>
        </w:rPr>
      </w:pPr>
    </w:p>
    <w:p w:rsidR="009B076C" w:rsidRPr="005707E6" w:rsidRDefault="009B076C" w:rsidP="008C488F">
      <w:pPr>
        <w:numPr>
          <w:ilvl w:val="0"/>
          <w:numId w:val="1"/>
        </w:numPr>
        <w:rPr>
          <w:b/>
          <w:sz w:val="22"/>
          <w:szCs w:val="22"/>
        </w:rPr>
      </w:pPr>
      <w:r w:rsidRPr="005707E6">
        <w:rPr>
          <w:b/>
          <w:sz w:val="22"/>
          <w:szCs w:val="22"/>
          <w:u w:val="single"/>
        </w:rPr>
        <w:t>Estimates of other Total Annual Cost Burden to Respondents or Record keepers/Capital Costs</w:t>
      </w:r>
    </w:p>
    <w:p w:rsidR="009B076C" w:rsidRPr="005707E6" w:rsidRDefault="009B076C" w:rsidP="00243914">
      <w:pPr>
        <w:rPr>
          <w:b/>
          <w:sz w:val="22"/>
          <w:szCs w:val="22"/>
        </w:rPr>
      </w:pPr>
    </w:p>
    <w:p w:rsidR="009B076C" w:rsidRPr="005707E6" w:rsidRDefault="009B076C" w:rsidP="008C488F">
      <w:pPr>
        <w:pStyle w:val="BodyTextIndent"/>
        <w:numPr>
          <w:ilvl w:val="0"/>
          <w:numId w:val="10"/>
        </w:numPr>
        <w:tabs>
          <w:tab w:val="clear" w:pos="2160"/>
          <w:tab w:val="num" w:pos="1800"/>
        </w:tabs>
        <w:ind w:left="1800"/>
        <w:rPr>
          <w:rFonts w:ascii="Times New Roman" w:hAnsi="Times New Roman"/>
          <w:sz w:val="22"/>
          <w:szCs w:val="22"/>
        </w:rPr>
      </w:pPr>
      <w:r w:rsidRPr="005707E6">
        <w:rPr>
          <w:rFonts w:ascii="Times New Roman" w:hAnsi="Times New Roman"/>
          <w:sz w:val="22"/>
          <w:szCs w:val="22"/>
        </w:rPr>
        <w:t>Respondents will not incur capital costs or capital maintenance costs as a result of participating in this information collection effort.</w:t>
      </w:r>
    </w:p>
    <w:p w:rsidR="009B076C" w:rsidRPr="005707E6" w:rsidRDefault="009B076C">
      <w:pPr>
        <w:ind w:left="360"/>
        <w:rPr>
          <w:sz w:val="22"/>
          <w:szCs w:val="22"/>
        </w:rPr>
      </w:pPr>
    </w:p>
    <w:p w:rsidR="009B076C" w:rsidRPr="005707E6" w:rsidRDefault="009B076C" w:rsidP="008C488F">
      <w:pPr>
        <w:numPr>
          <w:ilvl w:val="0"/>
          <w:numId w:val="1"/>
        </w:numPr>
        <w:rPr>
          <w:b/>
          <w:sz w:val="22"/>
          <w:szCs w:val="22"/>
        </w:rPr>
      </w:pPr>
      <w:r w:rsidRPr="005707E6">
        <w:rPr>
          <w:b/>
          <w:sz w:val="22"/>
          <w:szCs w:val="22"/>
          <w:u w:val="single"/>
        </w:rPr>
        <w:t>Annualized Cost to Federal Government</w:t>
      </w:r>
    </w:p>
    <w:p w:rsidR="009B076C" w:rsidRPr="005707E6" w:rsidRDefault="009B076C" w:rsidP="00361033">
      <w:pPr>
        <w:pStyle w:val="BodyTextIndent"/>
        <w:ind w:left="1440"/>
        <w:rPr>
          <w:rFonts w:ascii="Times New Roman" w:hAnsi="Times New Roman"/>
          <w:sz w:val="22"/>
          <w:szCs w:val="22"/>
        </w:rPr>
      </w:pPr>
    </w:p>
    <w:p w:rsidR="009B076C" w:rsidRPr="005707E6" w:rsidRDefault="009B076C" w:rsidP="008C488F">
      <w:pPr>
        <w:pStyle w:val="BodyTextIndent"/>
        <w:numPr>
          <w:ilvl w:val="0"/>
          <w:numId w:val="11"/>
        </w:numPr>
        <w:rPr>
          <w:rFonts w:ascii="Times New Roman" w:hAnsi="Times New Roman"/>
          <w:sz w:val="22"/>
          <w:szCs w:val="22"/>
        </w:rPr>
      </w:pPr>
      <w:r w:rsidRPr="005707E6">
        <w:rPr>
          <w:rFonts w:ascii="Times New Roman" w:hAnsi="Times New Roman"/>
          <w:sz w:val="22"/>
          <w:szCs w:val="22"/>
        </w:rPr>
        <w:t>ORI has contracted with DSFederal to conduct the data collection and analysis, and to prepare a report.  The contract will cover a one year period at a total cost of $199,050.94 to the government.  Annualized contractor costs are estimated to be $199,050.94</w:t>
      </w:r>
      <w:r w:rsidRPr="005707E6">
        <w:rPr>
          <w:rFonts w:ascii="Times New Roman" w:hAnsi="Times New Roman"/>
          <w:color w:val="FF0000"/>
          <w:sz w:val="22"/>
          <w:szCs w:val="22"/>
        </w:rPr>
        <w:t xml:space="preserve"> </w:t>
      </w:r>
      <w:r w:rsidRPr="005707E6">
        <w:rPr>
          <w:rFonts w:ascii="Times New Roman" w:hAnsi="Times New Roman"/>
          <w:sz w:val="22"/>
          <w:szCs w:val="22"/>
        </w:rPr>
        <w:t>per year.</w:t>
      </w:r>
    </w:p>
    <w:p w:rsidR="009B076C" w:rsidRPr="005707E6" w:rsidRDefault="009B076C" w:rsidP="00771CB4">
      <w:pPr>
        <w:pStyle w:val="BodyTextIndent"/>
        <w:ind w:left="1440"/>
        <w:rPr>
          <w:rFonts w:ascii="Times New Roman" w:hAnsi="Times New Roman"/>
          <w:sz w:val="22"/>
          <w:szCs w:val="22"/>
        </w:rPr>
      </w:pPr>
    </w:p>
    <w:p w:rsidR="009B076C" w:rsidRPr="005707E6" w:rsidRDefault="009B076C" w:rsidP="008C488F">
      <w:pPr>
        <w:pStyle w:val="BodyTextIndent"/>
        <w:numPr>
          <w:ilvl w:val="0"/>
          <w:numId w:val="11"/>
        </w:numPr>
        <w:rPr>
          <w:rFonts w:ascii="Times New Roman" w:hAnsi="Times New Roman"/>
          <w:sz w:val="22"/>
          <w:szCs w:val="22"/>
        </w:rPr>
      </w:pPr>
      <w:r w:rsidRPr="005707E6">
        <w:rPr>
          <w:rFonts w:ascii="Times New Roman" w:hAnsi="Times New Roman"/>
          <w:sz w:val="22"/>
          <w:szCs w:val="22"/>
        </w:rPr>
        <w:t xml:space="preserve">It is expected that the ORI project officer will spend a total of 10 percent time on the project (208 hours [10%*40hrs/week*52weeks/year=208hrs] time).  At the average rate of $41.92 per hour, we estimate </w:t>
      </w:r>
      <w:r w:rsidR="00493619">
        <w:rPr>
          <w:rFonts w:ascii="Times New Roman" w:hAnsi="Times New Roman"/>
          <w:sz w:val="22"/>
          <w:szCs w:val="22"/>
        </w:rPr>
        <w:t xml:space="preserve">that </w:t>
      </w:r>
      <w:r w:rsidRPr="005707E6">
        <w:rPr>
          <w:rFonts w:ascii="Times New Roman" w:hAnsi="Times New Roman"/>
          <w:sz w:val="22"/>
          <w:szCs w:val="22"/>
        </w:rPr>
        <w:t>it will cost the government $8719.20.  Annualized the cost to the government for the ORI staff time is estimated to be $10,000.</w:t>
      </w:r>
    </w:p>
    <w:p w:rsidR="009B076C" w:rsidRPr="005707E6" w:rsidRDefault="009B076C" w:rsidP="00771CB4">
      <w:pPr>
        <w:pStyle w:val="BodyTextIndent"/>
        <w:ind w:left="0"/>
        <w:rPr>
          <w:rFonts w:ascii="Times New Roman" w:hAnsi="Times New Roman"/>
          <w:sz w:val="22"/>
          <w:szCs w:val="22"/>
        </w:rPr>
      </w:pPr>
    </w:p>
    <w:p w:rsidR="009B076C" w:rsidRPr="005707E6" w:rsidRDefault="009B076C" w:rsidP="008C488F">
      <w:pPr>
        <w:pStyle w:val="BodyTextIndent"/>
        <w:numPr>
          <w:ilvl w:val="0"/>
          <w:numId w:val="11"/>
        </w:numPr>
        <w:rPr>
          <w:rFonts w:ascii="Times New Roman" w:hAnsi="Times New Roman"/>
          <w:sz w:val="22"/>
          <w:szCs w:val="22"/>
        </w:rPr>
      </w:pPr>
      <w:r w:rsidRPr="005707E6">
        <w:rPr>
          <w:rFonts w:ascii="Times New Roman" w:hAnsi="Times New Roman"/>
          <w:sz w:val="22"/>
          <w:szCs w:val="22"/>
        </w:rPr>
        <w:t xml:space="preserve">It is anticipated that the ORI consultant, DSFederal and CSR, Inc (subcontractor to DSFederal) assisting on this project will spend a total of $199,050.94 participating </w:t>
      </w:r>
      <w:r w:rsidRPr="005707E6">
        <w:rPr>
          <w:rFonts w:ascii="Times New Roman" w:hAnsi="Times New Roman"/>
          <w:sz w:val="22"/>
          <w:szCs w:val="22"/>
        </w:rPr>
        <w:lastRenderedPageBreak/>
        <w:t>over the one year.  The total cost to the government is expected to be $207,770.  Annualized the cost to the government for the ORI consultant time is estimated to be $199,050.94.</w:t>
      </w:r>
    </w:p>
    <w:p w:rsidR="009B076C" w:rsidRPr="005707E6" w:rsidRDefault="009B076C" w:rsidP="00771CB4">
      <w:pPr>
        <w:pStyle w:val="BodyTextIndent"/>
        <w:ind w:left="0"/>
        <w:rPr>
          <w:rFonts w:ascii="Times New Roman" w:hAnsi="Times New Roman"/>
          <w:sz w:val="22"/>
          <w:szCs w:val="22"/>
        </w:rPr>
      </w:pPr>
    </w:p>
    <w:p w:rsidR="009B076C" w:rsidRPr="005707E6" w:rsidRDefault="009B076C" w:rsidP="008C488F">
      <w:pPr>
        <w:pStyle w:val="BodyTextIndent"/>
        <w:numPr>
          <w:ilvl w:val="0"/>
          <w:numId w:val="11"/>
        </w:numPr>
        <w:rPr>
          <w:rFonts w:ascii="Times New Roman" w:hAnsi="Times New Roman"/>
          <w:sz w:val="22"/>
          <w:szCs w:val="22"/>
        </w:rPr>
      </w:pPr>
      <w:r w:rsidRPr="005707E6">
        <w:rPr>
          <w:rFonts w:ascii="Times New Roman" w:hAnsi="Times New Roman"/>
          <w:sz w:val="22"/>
          <w:szCs w:val="22"/>
        </w:rPr>
        <w:t>The total cost to the government would be $207,770.00; annualized it would cost the government $207,770.00.</w:t>
      </w:r>
    </w:p>
    <w:p w:rsidR="009B076C" w:rsidRPr="005707E6" w:rsidRDefault="009B076C">
      <w:pPr>
        <w:ind w:left="360"/>
        <w:rPr>
          <w:sz w:val="22"/>
          <w:szCs w:val="22"/>
        </w:rPr>
      </w:pPr>
    </w:p>
    <w:p w:rsidR="009B076C" w:rsidRPr="005707E6" w:rsidRDefault="009B076C" w:rsidP="008C488F">
      <w:pPr>
        <w:numPr>
          <w:ilvl w:val="0"/>
          <w:numId w:val="1"/>
        </w:numPr>
        <w:rPr>
          <w:b/>
          <w:sz w:val="22"/>
          <w:szCs w:val="22"/>
        </w:rPr>
      </w:pPr>
      <w:r w:rsidRPr="005707E6">
        <w:rPr>
          <w:b/>
          <w:sz w:val="22"/>
          <w:szCs w:val="22"/>
          <w:u w:val="single"/>
        </w:rPr>
        <w:t>Explanation for Program Changes or Adjustments</w:t>
      </w:r>
    </w:p>
    <w:p w:rsidR="009B076C" w:rsidRPr="005707E6" w:rsidRDefault="009B076C">
      <w:pPr>
        <w:ind w:left="720"/>
        <w:rPr>
          <w:b/>
          <w:sz w:val="22"/>
          <w:szCs w:val="22"/>
        </w:rPr>
      </w:pPr>
    </w:p>
    <w:p w:rsidR="009B076C" w:rsidRPr="005707E6" w:rsidRDefault="009B076C" w:rsidP="008C488F">
      <w:pPr>
        <w:pStyle w:val="BodyTextIndent"/>
        <w:numPr>
          <w:ilvl w:val="0"/>
          <w:numId w:val="13"/>
        </w:numPr>
        <w:rPr>
          <w:rFonts w:ascii="Times New Roman" w:hAnsi="Times New Roman"/>
          <w:sz w:val="22"/>
          <w:szCs w:val="22"/>
        </w:rPr>
      </w:pPr>
      <w:r w:rsidRPr="005707E6">
        <w:rPr>
          <w:rFonts w:ascii="Times New Roman" w:hAnsi="Times New Roman"/>
          <w:sz w:val="22"/>
          <w:szCs w:val="22"/>
        </w:rPr>
        <w:t>This is a new data collection effort.</w:t>
      </w:r>
    </w:p>
    <w:p w:rsidR="009B076C" w:rsidRPr="005707E6" w:rsidRDefault="009B076C">
      <w:pPr>
        <w:pStyle w:val="BodyTextIndent"/>
        <w:ind w:left="1080"/>
        <w:rPr>
          <w:rFonts w:ascii="Times New Roman" w:hAnsi="Times New Roman"/>
          <w:sz w:val="22"/>
          <w:szCs w:val="22"/>
        </w:rPr>
      </w:pPr>
    </w:p>
    <w:p w:rsidR="009B076C" w:rsidRPr="005707E6" w:rsidRDefault="009B076C" w:rsidP="008C488F">
      <w:pPr>
        <w:numPr>
          <w:ilvl w:val="0"/>
          <w:numId w:val="1"/>
        </w:numPr>
        <w:rPr>
          <w:b/>
          <w:sz w:val="22"/>
          <w:szCs w:val="22"/>
        </w:rPr>
      </w:pPr>
      <w:r w:rsidRPr="005707E6">
        <w:rPr>
          <w:b/>
          <w:sz w:val="22"/>
          <w:szCs w:val="22"/>
          <w:u w:val="single"/>
        </w:rPr>
        <w:t>Plans for Tabulation and Publication and Project Time Schedule</w:t>
      </w:r>
    </w:p>
    <w:p w:rsidR="009B076C" w:rsidRPr="005707E6" w:rsidRDefault="009B076C" w:rsidP="00F54CD9">
      <w:pPr>
        <w:ind w:left="1440"/>
        <w:rPr>
          <w:sz w:val="22"/>
          <w:szCs w:val="22"/>
        </w:rPr>
      </w:pPr>
    </w:p>
    <w:p w:rsidR="005979DB" w:rsidRPr="00FA0558" w:rsidRDefault="009B076C" w:rsidP="00B42ABF">
      <w:pPr>
        <w:pStyle w:val="ListParagraph"/>
        <w:widowControl/>
        <w:numPr>
          <w:ilvl w:val="0"/>
          <w:numId w:val="13"/>
        </w:numPr>
        <w:autoSpaceDE/>
        <w:autoSpaceDN/>
        <w:adjustRightInd/>
        <w:spacing w:after="240" w:line="276" w:lineRule="auto"/>
        <w:rPr>
          <w:sz w:val="24"/>
        </w:rPr>
      </w:pPr>
      <w:r w:rsidRPr="00B42ABF">
        <w:rPr>
          <w:sz w:val="22"/>
          <w:szCs w:val="22"/>
        </w:rPr>
        <w:t xml:space="preserve">ORI </w:t>
      </w:r>
      <w:r w:rsidR="00B42ABF" w:rsidRPr="00B42ABF">
        <w:rPr>
          <w:sz w:val="22"/>
          <w:szCs w:val="22"/>
        </w:rPr>
        <w:t>may</w:t>
      </w:r>
      <w:r w:rsidRPr="00B42ABF">
        <w:rPr>
          <w:sz w:val="22"/>
          <w:szCs w:val="22"/>
        </w:rPr>
        <w:t xml:space="preserve"> </w:t>
      </w:r>
      <w:r w:rsidR="00B42ABF">
        <w:rPr>
          <w:sz w:val="22"/>
          <w:szCs w:val="22"/>
        </w:rPr>
        <w:t xml:space="preserve">decide </w:t>
      </w:r>
      <w:r w:rsidR="00FA0558">
        <w:rPr>
          <w:sz w:val="22"/>
          <w:szCs w:val="22"/>
        </w:rPr>
        <w:t xml:space="preserve">disseminate </w:t>
      </w:r>
      <w:r w:rsidR="00B42ABF" w:rsidRPr="00B42ABF">
        <w:rPr>
          <w:sz w:val="22"/>
          <w:szCs w:val="22"/>
        </w:rPr>
        <w:t xml:space="preserve">the results of this </w:t>
      </w:r>
      <w:r w:rsidRPr="00B42ABF">
        <w:rPr>
          <w:sz w:val="22"/>
          <w:szCs w:val="22"/>
        </w:rPr>
        <w:t>study</w:t>
      </w:r>
      <w:r w:rsidR="00B42ABF" w:rsidRPr="00B42ABF">
        <w:rPr>
          <w:sz w:val="22"/>
          <w:szCs w:val="22"/>
        </w:rPr>
        <w:t>. Please see</w:t>
      </w:r>
      <w:r w:rsidR="00B42ABF">
        <w:rPr>
          <w:sz w:val="22"/>
          <w:szCs w:val="22"/>
        </w:rPr>
        <w:t xml:space="preserve"> </w:t>
      </w:r>
      <w:r w:rsidR="00B42ABF" w:rsidRPr="00FA0558">
        <w:rPr>
          <w:sz w:val="22"/>
          <w:szCs w:val="22"/>
        </w:rPr>
        <w:t xml:space="preserve">the OMB Sec B Statistical methodology section of this OMB package. </w:t>
      </w:r>
    </w:p>
    <w:p w:rsidR="009B076C" w:rsidRDefault="009B076C" w:rsidP="0071087B">
      <w:pPr>
        <w:numPr>
          <w:ilvl w:val="0"/>
          <w:numId w:val="12"/>
        </w:numPr>
        <w:rPr>
          <w:sz w:val="22"/>
          <w:szCs w:val="22"/>
        </w:rPr>
      </w:pPr>
      <w:r w:rsidRPr="005707E6">
        <w:rPr>
          <w:sz w:val="22"/>
          <w:szCs w:val="22"/>
        </w:rPr>
        <w:t xml:space="preserve">It is important to note that </w:t>
      </w:r>
      <w:r w:rsidR="00493619">
        <w:rPr>
          <w:sz w:val="22"/>
          <w:szCs w:val="22"/>
        </w:rPr>
        <w:t xml:space="preserve">it is </w:t>
      </w:r>
      <w:r w:rsidRPr="005707E6">
        <w:rPr>
          <w:sz w:val="22"/>
          <w:szCs w:val="22"/>
        </w:rPr>
        <w:t xml:space="preserve">critical </w:t>
      </w:r>
      <w:r w:rsidR="00493619">
        <w:rPr>
          <w:sz w:val="22"/>
          <w:szCs w:val="22"/>
        </w:rPr>
        <w:t xml:space="preserve">to </w:t>
      </w:r>
      <w:r w:rsidRPr="005707E6">
        <w:rPr>
          <w:sz w:val="22"/>
          <w:szCs w:val="22"/>
        </w:rPr>
        <w:t xml:space="preserve">obtain OMB clearance to proceed with the study by the start of </w:t>
      </w:r>
      <w:r w:rsidR="00F70B9C">
        <w:rPr>
          <w:sz w:val="22"/>
          <w:szCs w:val="22"/>
        </w:rPr>
        <w:t xml:space="preserve">May </w:t>
      </w:r>
      <w:r w:rsidR="00A43C01">
        <w:rPr>
          <w:sz w:val="22"/>
          <w:szCs w:val="22"/>
        </w:rPr>
        <w:t>2012</w:t>
      </w:r>
      <w:r w:rsidRPr="005707E6">
        <w:rPr>
          <w:sz w:val="22"/>
          <w:szCs w:val="22"/>
        </w:rPr>
        <w:t xml:space="preserve"> so that the study can be completed before the expiration of the contract</w:t>
      </w:r>
      <w:r w:rsidR="00F70B9C">
        <w:rPr>
          <w:sz w:val="22"/>
          <w:szCs w:val="22"/>
        </w:rPr>
        <w:t xml:space="preserve"> (September </w:t>
      </w:r>
      <w:r w:rsidR="009D5AD5">
        <w:rPr>
          <w:sz w:val="22"/>
          <w:szCs w:val="22"/>
        </w:rPr>
        <w:t xml:space="preserve">29, </w:t>
      </w:r>
      <w:r w:rsidR="00F70B9C">
        <w:rPr>
          <w:sz w:val="22"/>
          <w:szCs w:val="22"/>
        </w:rPr>
        <w:t>2012)</w:t>
      </w:r>
      <w:r w:rsidRPr="005707E6">
        <w:rPr>
          <w:sz w:val="22"/>
          <w:szCs w:val="22"/>
        </w:rPr>
        <w:t>.</w:t>
      </w:r>
      <w:r w:rsidR="00D37EF7" w:rsidRPr="005707E6">
        <w:rPr>
          <w:sz w:val="22"/>
          <w:szCs w:val="22"/>
        </w:rPr>
        <w:t xml:space="preserve"> </w:t>
      </w:r>
      <w:r w:rsidR="00A25D44">
        <w:rPr>
          <w:sz w:val="22"/>
          <w:szCs w:val="22"/>
        </w:rPr>
        <w:t xml:space="preserve">ORI requested and received a no cost extension (to obtain OMB clearance) and this is the final end date for this project. </w:t>
      </w:r>
      <w:r w:rsidRPr="005707E6">
        <w:rPr>
          <w:sz w:val="22"/>
          <w:szCs w:val="22"/>
        </w:rPr>
        <w:t xml:space="preserve"> The schedule for preparation of the manuscript follows:</w:t>
      </w:r>
    </w:p>
    <w:p w:rsidR="00A92E74" w:rsidRPr="00763203" w:rsidRDefault="00A92E74" w:rsidP="00A92E74">
      <w:pPr>
        <w:pStyle w:val="ListParagraph"/>
        <w:numPr>
          <w:ilvl w:val="0"/>
          <w:numId w:val="12"/>
        </w:numPr>
        <w:rPr>
          <w:rFonts w:asciiTheme="majorHAnsi" w:hAnsiTheme="majorHAnsi"/>
          <w:b/>
          <w:color w:val="000000" w:themeColor="text1"/>
          <w:sz w:val="24"/>
        </w:rPr>
      </w:pPr>
      <w:r w:rsidRPr="00763203">
        <w:rPr>
          <w:rFonts w:asciiTheme="majorHAnsi" w:hAnsiTheme="majorHAnsi"/>
          <w:b/>
          <w:color w:val="000000" w:themeColor="text1"/>
          <w:sz w:val="24"/>
        </w:rPr>
        <w:t>Project Timeline for the Proposed Evaluation Study</w:t>
      </w:r>
    </w:p>
    <w:p w:rsidR="00763203" w:rsidRDefault="00763203" w:rsidP="00763203"/>
    <w:p w:rsidR="00763203" w:rsidRDefault="00763203" w:rsidP="00763203"/>
    <w:tbl>
      <w:tblPr>
        <w:tblW w:w="0" w:type="auto"/>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tblPr>
      <w:tblGrid>
        <w:gridCol w:w="4599"/>
        <w:gridCol w:w="932"/>
        <w:gridCol w:w="1241"/>
        <w:gridCol w:w="1241"/>
        <w:gridCol w:w="1377"/>
      </w:tblGrid>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363636"/>
                <w:sz w:val="18"/>
                <w:szCs w:val="18"/>
                <w:shd w:val="clear" w:color="auto" w:fill="DFE3E8"/>
              </w:rPr>
              <w:t>Task Name</w:t>
            </w:r>
          </w:p>
        </w:tc>
        <w:tc>
          <w:tcPr>
            <w:tcW w:w="990"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color w:val="363636"/>
                <w:sz w:val="18"/>
                <w:szCs w:val="18"/>
                <w:shd w:val="clear" w:color="auto" w:fill="DFE3E8"/>
              </w:rPr>
              <w:t>Duration</w:t>
            </w:r>
          </w:p>
        </w:tc>
        <w:tc>
          <w:tcPr>
            <w:tcW w:w="13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color w:val="363636"/>
                <w:sz w:val="18"/>
                <w:szCs w:val="18"/>
                <w:shd w:val="clear" w:color="auto" w:fill="DFE3E8"/>
              </w:rPr>
              <w:t>Start</w:t>
            </w:r>
          </w:p>
        </w:tc>
        <w:tc>
          <w:tcPr>
            <w:tcW w:w="13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color w:val="363636"/>
                <w:sz w:val="18"/>
                <w:szCs w:val="18"/>
                <w:shd w:val="clear" w:color="auto" w:fill="DFE3E8"/>
              </w:rPr>
              <w:t>Finish</w:t>
            </w:r>
          </w:p>
        </w:tc>
        <w:tc>
          <w:tcPr>
            <w:tcW w:w="151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Meet with ORI to review new SOW timeline</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7/28/11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7/28/11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Review “The Lab” and Facilitator Guide to “The Lab”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Develop a Proposed Set of Study Questions for Evaluation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9/30/11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Determine the Hypotheses to Be Tested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9/30/11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Identify and Review Relevant Literature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7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10/6/11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10/14/11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Conduct a Comprehensive Review of Existing Data Sources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10/20/11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Wed 11/9/11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Identify the Key Variables</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11/10/11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11/25/11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b/>
                <w:bCs/>
                <w:color w:val="000000"/>
                <w:sz w:val="18"/>
                <w:szCs w:val="18"/>
              </w:rPr>
              <w:t xml:space="preserve">Determine the Exact Experimental Design of This Evaluation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22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Fri 10/14/11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   To work with those research integrity offices to place either the questionnaire or a link to it on their web site</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22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10/14/11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   To present the proposed design along with potential pros and cons to the COTR at the September kick-off meeting.</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Prepare Drafts of All Data Collection Instruments for Approval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30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Wed 10/26/11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Create the Data Collection Forms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Mon 10/17/11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10/21/11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b/>
                <w:bCs/>
                <w:color w:val="000000"/>
                <w:sz w:val="18"/>
                <w:szCs w:val="18"/>
              </w:rPr>
              <w:t xml:space="preserve">Assist ORI in Acquiring Necessary IRB and OMB Approvals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38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Thu 10/27/11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Mon 12/19/11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   OMB submission</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10/27/11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Wed 11/2/11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   IRB application</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4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Tues 04/10/2012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04/13/2012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b/>
                <w:bCs/>
                <w:color w:val="000000"/>
                <w:sz w:val="18"/>
                <w:szCs w:val="18"/>
              </w:rPr>
              <w:t>Develop a Web-based Interactive Survey</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Thu 10/27/11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b/>
                <w:bCs/>
                <w:color w:val="000000"/>
                <w:sz w:val="18"/>
                <w:szCs w:val="18"/>
              </w:rPr>
              <w:t>Wed 11/2/11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   To decide to which survey program to use and subscribe in order to begin the preparation of the on-line survey</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10/27/11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Wed 11/2/11</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lastRenderedPageBreak/>
              <w:t xml:space="preserve">Conduct Pilot Test(s)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10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04/13/2012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4/20/2012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Conduct Web-based Interactive Survey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60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Mon 4/30/2012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6/22/12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Via electronic invitation and using an existing ORI database of over 40,000, invite research integrity officers (RIOs), faculty and instructors and research administrators to  Participate in the Evaluation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Mon 04/30/12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Mon 04/30/12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Analyze Data Provided by ORI on the Use of the Interactive Video on the ORI Website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35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Mon 6/25/12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7/30/12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Transmit All Raw Data and Analyses to ORI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7/30/12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7/30/12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sz w:val="18"/>
                <w:szCs w:val="18"/>
              </w:rPr>
              <w:t>July</w:t>
            </w: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Provide a Final Written Report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9/28/12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9/28/12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Prepare a Final Power Point Presentation of the ORI Evaluation and Submit to the COTR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14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9/14/12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9/14/12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sz w:val="18"/>
                <w:szCs w:val="18"/>
              </w:rPr>
              <w:t>September</w:t>
            </w: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Present the Results of These Findings via Written Report to the COTR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9/28/12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9/28/12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Monthly Progress Report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142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3/30/12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Transmit the Progress Report or Other Written Documentation of Work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142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3/30/12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Meet with the ORI in Person or by Telephone Every 2 Weeks during the Contract or As Otherwise Agreed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142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3/30/12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Provide Project Management over All Tasks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142 days</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Thu 9/15/11</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3/30/12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p>
        </w:tc>
      </w:tr>
      <w:tr w:rsidR="00763203" w:rsidRPr="00110364" w:rsidTr="0022411C">
        <w:tc>
          <w:tcPr>
            <w:tcW w:w="55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rPr>
                <w:rFonts w:asciiTheme="majorHAnsi" w:hAnsiTheme="majorHAnsi" w:cs="Arial"/>
                <w:sz w:val="18"/>
                <w:szCs w:val="18"/>
              </w:rPr>
            </w:pPr>
            <w:r w:rsidRPr="00110364">
              <w:rPr>
                <w:rFonts w:asciiTheme="majorHAnsi" w:hAnsiTheme="majorHAnsi" w:cs="Arial"/>
                <w:color w:val="000000"/>
                <w:sz w:val="18"/>
                <w:szCs w:val="18"/>
              </w:rPr>
              <w:t xml:space="preserve">Per the Request of the COTR, Complete a Final Face-to-Face to face  Presentation of the Study Findings </w:t>
            </w:r>
          </w:p>
        </w:tc>
        <w:tc>
          <w:tcPr>
            <w:tcW w:w="990"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1 day</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 xml:space="preserve"> Fri 9/28/12</w:t>
            </w:r>
          </w:p>
        </w:tc>
        <w:tc>
          <w:tcPr>
            <w:tcW w:w="13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right"/>
              <w:rPr>
                <w:rFonts w:asciiTheme="majorHAnsi" w:hAnsiTheme="majorHAnsi" w:cs="Arial"/>
                <w:sz w:val="18"/>
                <w:szCs w:val="18"/>
              </w:rPr>
            </w:pPr>
            <w:r w:rsidRPr="00110364">
              <w:rPr>
                <w:rFonts w:asciiTheme="majorHAnsi" w:hAnsiTheme="majorHAnsi" w:cs="Arial"/>
                <w:color w:val="000000"/>
                <w:sz w:val="18"/>
                <w:szCs w:val="18"/>
              </w:rPr>
              <w:t>Fri 9/28/12</w:t>
            </w:r>
          </w:p>
        </w:tc>
        <w:tc>
          <w:tcPr>
            <w:tcW w:w="151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763203" w:rsidRPr="00110364" w:rsidRDefault="00763203" w:rsidP="0022411C">
            <w:pPr>
              <w:jc w:val="center"/>
              <w:rPr>
                <w:rFonts w:asciiTheme="majorHAnsi" w:hAnsiTheme="majorHAnsi" w:cs="Arial"/>
                <w:sz w:val="18"/>
                <w:szCs w:val="18"/>
              </w:rPr>
            </w:pPr>
            <w:r w:rsidRPr="00110364">
              <w:rPr>
                <w:rFonts w:asciiTheme="majorHAnsi" w:hAnsiTheme="majorHAnsi" w:cs="Arial"/>
                <w:sz w:val="18"/>
                <w:szCs w:val="18"/>
              </w:rPr>
              <w:t>September</w:t>
            </w:r>
          </w:p>
        </w:tc>
      </w:tr>
    </w:tbl>
    <w:p w:rsidR="00763203" w:rsidRPr="00110364" w:rsidRDefault="00763203" w:rsidP="00763203">
      <w:pPr>
        <w:rPr>
          <w:rFonts w:asciiTheme="majorHAnsi" w:hAnsiTheme="majorHAnsi"/>
        </w:rPr>
      </w:pPr>
    </w:p>
    <w:p w:rsidR="00763203" w:rsidRDefault="00763203" w:rsidP="00763203"/>
    <w:p w:rsidR="009B076C" w:rsidRPr="005707E6" w:rsidRDefault="009B076C" w:rsidP="008C488F">
      <w:pPr>
        <w:numPr>
          <w:ilvl w:val="0"/>
          <w:numId w:val="1"/>
        </w:numPr>
        <w:rPr>
          <w:b/>
          <w:sz w:val="22"/>
          <w:szCs w:val="22"/>
        </w:rPr>
      </w:pPr>
      <w:r w:rsidRPr="005707E6">
        <w:rPr>
          <w:b/>
          <w:sz w:val="22"/>
          <w:szCs w:val="22"/>
          <w:u w:val="single"/>
        </w:rPr>
        <w:t>Reason(s) Display of OMB Expiration Date is Inappropriate</w:t>
      </w:r>
    </w:p>
    <w:p w:rsidR="009B076C" w:rsidRPr="005707E6" w:rsidRDefault="009B076C" w:rsidP="00F54CD9">
      <w:pPr>
        <w:pStyle w:val="BodyTextIndent"/>
        <w:ind w:left="1440"/>
        <w:rPr>
          <w:rFonts w:ascii="Times New Roman" w:hAnsi="Times New Roman"/>
          <w:sz w:val="22"/>
          <w:szCs w:val="22"/>
        </w:rPr>
      </w:pPr>
    </w:p>
    <w:p w:rsidR="009B076C" w:rsidRPr="005707E6" w:rsidRDefault="009B076C" w:rsidP="008C488F">
      <w:pPr>
        <w:pStyle w:val="BodyTextIndent"/>
        <w:numPr>
          <w:ilvl w:val="0"/>
          <w:numId w:val="12"/>
        </w:numPr>
        <w:rPr>
          <w:rFonts w:ascii="Times New Roman" w:hAnsi="Times New Roman"/>
          <w:sz w:val="22"/>
          <w:szCs w:val="22"/>
        </w:rPr>
      </w:pPr>
      <w:r w:rsidRPr="005707E6">
        <w:rPr>
          <w:rFonts w:ascii="Times New Roman" w:hAnsi="Times New Roman"/>
          <w:sz w:val="22"/>
          <w:szCs w:val="22"/>
        </w:rPr>
        <w:t xml:space="preserve">DSFederal is not </w:t>
      </w:r>
      <w:r w:rsidR="00493619">
        <w:rPr>
          <w:rFonts w:ascii="Times New Roman" w:hAnsi="Times New Roman"/>
          <w:sz w:val="22"/>
          <w:szCs w:val="22"/>
        </w:rPr>
        <w:t>requesting</w:t>
      </w:r>
      <w:r w:rsidRPr="005707E6">
        <w:rPr>
          <w:rFonts w:ascii="Times New Roman" w:hAnsi="Times New Roman"/>
          <w:sz w:val="22"/>
          <w:szCs w:val="22"/>
        </w:rPr>
        <w:t xml:space="preserve"> to </w:t>
      </w:r>
      <w:r w:rsidR="00493619">
        <w:rPr>
          <w:rFonts w:ascii="Times New Roman" w:hAnsi="Times New Roman"/>
          <w:sz w:val="22"/>
          <w:szCs w:val="22"/>
        </w:rPr>
        <w:t>suppress</w:t>
      </w:r>
      <w:r w:rsidRPr="005707E6">
        <w:rPr>
          <w:rFonts w:ascii="Times New Roman" w:hAnsi="Times New Roman"/>
          <w:sz w:val="22"/>
          <w:szCs w:val="22"/>
        </w:rPr>
        <w:t xml:space="preserve"> the OMB expiration date.</w:t>
      </w:r>
      <w:bookmarkStart w:id="14" w:name="_GoBack"/>
      <w:bookmarkEnd w:id="14"/>
    </w:p>
    <w:p w:rsidR="009B076C" w:rsidRPr="005707E6" w:rsidRDefault="009B076C">
      <w:pPr>
        <w:ind w:left="360"/>
        <w:rPr>
          <w:sz w:val="22"/>
          <w:szCs w:val="22"/>
        </w:rPr>
      </w:pPr>
    </w:p>
    <w:p w:rsidR="009B076C" w:rsidRPr="005707E6" w:rsidRDefault="009B076C" w:rsidP="008C488F">
      <w:pPr>
        <w:numPr>
          <w:ilvl w:val="0"/>
          <w:numId w:val="1"/>
        </w:numPr>
        <w:rPr>
          <w:b/>
          <w:sz w:val="22"/>
          <w:szCs w:val="22"/>
        </w:rPr>
      </w:pPr>
      <w:r w:rsidRPr="005707E6">
        <w:rPr>
          <w:b/>
          <w:sz w:val="22"/>
          <w:szCs w:val="22"/>
          <w:u w:val="single"/>
        </w:rPr>
        <w:t>Exceptions to Certification for Paperwork Reduction Act Submissions</w:t>
      </w:r>
    </w:p>
    <w:p w:rsidR="009B076C" w:rsidRPr="005707E6" w:rsidRDefault="009B076C" w:rsidP="00F54CD9">
      <w:pPr>
        <w:pStyle w:val="BodyTextIndent"/>
        <w:ind w:left="1440"/>
        <w:rPr>
          <w:rFonts w:ascii="Times New Roman" w:hAnsi="Times New Roman"/>
          <w:sz w:val="22"/>
          <w:szCs w:val="22"/>
        </w:rPr>
      </w:pPr>
    </w:p>
    <w:p w:rsidR="009B076C" w:rsidRPr="005707E6" w:rsidRDefault="009B076C" w:rsidP="008C488F">
      <w:pPr>
        <w:pStyle w:val="BodyTextIndent"/>
        <w:numPr>
          <w:ilvl w:val="0"/>
          <w:numId w:val="12"/>
        </w:numPr>
        <w:rPr>
          <w:rFonts w:ascii="Times New Roman" w:hAnsi="Times New Roman"/>
          <w:sz w:val="22"/>
          <w:szCs w:val="22"/>
        </w:rPr>
      </w:pPr>
      <w:r w:rsidRPr="005707E6">
        <w:rPr>
          <w:rFonts w:ascii="Times New Roman" w:hAnsi="Times New Roman"/>
          <w:sz w:val="22"/>
          <w:szCs w:val="22"/>
        </w:rPr>
        <w:t>There are no exceptions to the certification.</w:t>
      </w:r>
    </w:p>
    <w:sectPr w:rsidR="009B076C" w:rsidRPr="005707E6" w:rsidSect="00F610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90" w:rsidRDefault="00771990">
      <w:r>
        <w:separator/>
      </w:r>
    </w:p>
  </w:endnote>
  <w:endnote w:type="continuationSeparator" w:id="0">
    <w:p w:rsidR="00771990" w:rsidRDefault="00771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416360"/>
      <w:docPartObj>
        <w:docPartGallery w:val="Page Numbers (Bottom of Page)"/>
        <w:docPartUnique/>
      </w:docPartObj>
    </w:sdtPr>
    <w:sdtContent>
      <w:p w:rsidR="00E63F9D" w:rsidRDefault="003C4F0E">
        <w:pPr>
          <w:pStyle w:val="Footer"/>
          <w:jc w:val="center"/>
        </w:pPr>
        <w:fldSimple w:instr=" PAGE   \* MERGEFORMAT ">
          <w:r w:rsidR="004B794D">
            <w:rPr>
              <w:noProof/>
            </w:rPr>
            <w:t>5</w:t>
          </w:r>
        </w:fldSimple>
      </w:p>
    </w:sdtContent>
  </w:sdt>
  <w:p w:rsidR="00E63F9D" w:rsidRDefault="00E63F9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90" w:rsidRDefault="00771990">
      <w:r>
        <w:separator/>
      </w:r>
    </w:p>
  </w:footnote>
  <w:footnote w:type="continuationSeparator" w:id="0">
    <w:p w:rsidR="00771990" w:rsidRDefault="00771990">
      <w:r>
        <w:continuationSeparator/>
      </w:r>
    </w:p>
  </w:footnote>
  <w:footnote w:id="1">
    <w:p w:rsidR="00E63F9D" w:rsidRPr="00C95630" w:rsidRDefault="00E63F9D">
      <w:pPr>
        <w:pStyle w:val="FootnoteText"/>
        <w:rPr>
          <w:rFonts w:asciiTheme="majorHAnsi" w:hAnsiTheme="majorHAnsi"/>
          <w:sz w:val="18"/>
          <w:szCs w:val="18"/>
        </w:rPr>
      </w:pPr>
      <w:r w:rsidRPr="004363B5">
        <w:rPr>
          <w:rStyle w:val="FootnoteReference"/>
          <w:rFonts w:asciiTheme="majorHAnsi" w:hAnsiTheme="majorHAnsi"/>
          <w:sz w:val="18"/>
          <w:szCs w:val="18"/>
        </w:rPr>
        <w:footnoteRef/>
      </w:r>
      <w:r w:rsidRPr="004363B5">
        <w:rPr>
          <w:rFonts w:asciiTheme="majorHAnsi" w:hAnsiTheme="majorHAnsi"/>
          <w:sz w:val="18"/>
          <w:szCs w:val="18"/>
        </w:rPr>
        <w:t xml:space="preserve"> </w:t>
      </w:r>
      <w:r w:rsidRPr="00C95630">
        <w:rPr>
          <w:rStyle w:val="cit-title4"/>
          <w:rFonts w:asciiTheme="majorHAnsi" w:hAnsiTheme="majorHAnsi" w:cs="Lucida Sans Unicode"/>
          <w:color w:val="222222"/>
          <w:sz w:val="18"/>
          <w:szCs w:val="18"/>
        </w:rPr>
        <w:t xml:space="preserve">Comparing Response Rates from Web and Mail Surveys: A Meta-Analysis </w:t>
      </w:r>
      <w:r w:rsidRPr="00C95630">
        <w:rPr>
          <w:rStyle w:val="site-title"/>
          <w:rFonts w:asciiTheme="majorHAnsi" w:hAnsiTheme="majorHAnsi" w:cs="Lucida Sans Unicode"/>
          <w:i/>
          <w:iCs/>
          <w:color w:val="222222"/>
          <w:sz w:val="18"/>
          <w:szCs w:val="18"/>
        </w:rPr>
        <w:t xml:space="preserve">Field Methods </w:t>
      </w:r>
      <w:r w:rsidRPr="00C95630">
        <w:rPr>
          <w:rStyle w:val="cit-print-date"/>
          <w:rFonts w:asciiTheme="majorHAnsi" w:hAnsiTheme="majorHAnsi" w:cs="Lucida Sans Unicode"/>
          <w:i/>
          <w:iCs/>
          <w:color w:val="222222"/>
          <w:sz w:val="18"/>
          <w:szCs w:val="18"/>
        </w:rPr>
        <w:t xml:space="preserve">August 2008 </w:t>
      </w:r>
      <w:r w:rsidRPr="00C95630">
        <w:rPr>
          <w:rStyle w:val="cit-vol"/>
          <w:rFonts w:asciiTheme="majorHAnsi" w:hAnsiTheme="majorHAnsi" w:cs="Lucida Sans Unicode"/>
          <w:i/>
          <w:iCs/>
          <w:color w:val="222222"/>
          <w:sz w:val="18"/>
          <w:szCs w:val="18"/>
        </w:rPr>
        <w:t>20</w:t>
      </w:r>
      <w:r w:rsidRPr="00C95630">
        <w:rPr>
          <w:rStyle w:val="cit-sep2"/>
          <w:rFonts w:asciiTheme="majorHAnsi" w:hAnsiTheme="majorHAnsi" w:cs="Lucida Sans Unicode"/>
          <w:i/>
          <w:iCs/>
          <w:color w:val="222222"/>
          <w:sz w:val="18"/>
          <w:szCs w:val="18"/>
        </w:rPr>
        <w:t xml:space="preserve">: </w:t>
      </w:r>
      <w:r w:rsidRPr="00C95630">
        <w:rPr>
          <w:rStyle w:val="cit-first-page"/>
          <w:rFonts w:asciiTheme="majorHAnsi" w:hAnsiTheme="majorHAnsi" w:cs="Lucida Sans Unicode"/>
          <w:i/>
          <w:iCs/>
          <w:color w:val="222222"/>
          <w:sz w:val="18"/>
          <w:szCs w:val="18"/>
        </w:rPr>
        <w:t>249</w:t>
      </w:r>
      <w:r w:rsidRPr="00C95630">
        <w:rPr>
          <w:rStyle w:val="cit-sep2"/>
          <w:rFonts w:asciiTheme="majorHAnsi" w:hAnsiTheme="majorHAnsi" w:cs="Lucida Sans Unicode"/>
          <w:i/>
          <w:iCs/>
          <w:color w:val="222222"/>
          <w:sz w:val="18"/>
          <w:szCs w:val="18"/>
        </w:rPr>
        <w:t>-</w:t>
      </w:r>
      <w:r w:rsidRPr="00C95630">
        <w:rPr>
          <w:rStyle w:val="cit-last-page2"/>
          <w:rFonts w:asciiTheme="majorHAnsi" w:hAnsiTheme="majorHAnsi" w:cs="Lucida Sans Unicode"/>
          <w:i/>
          <w:iCs/>
          <w:color w:val="222222"/>
          <w:sz w:val="18"/>
          <w:szCs w:val="18"/>
        </w:rPr>
        <w:t>271</w:t>
      </w:r>
    </w:p>
  </w:footnote>
  <w:footnote w:id="2">
    <w:p w:rsidR="00E63F9D" w:rsidRPr="004363B5" w:rsidRDefault="00E63F9D" w:rsidP="00C95630">
      <w:pPr>
        <w:pStyle w:val="Default"/>
      </w:pPr>
      <w:r w:rsidRPr="00C95630">
        <w:rPr>
          <w:rStyle w:val="FootnoteReference"/>
          <w:rFonts w:asciiTheme="majorHAnsi" w:hAnsiTheme="majorHAnsi"/>
          <w:sz w:val="18"/>
          <w:szCs w:val="18"/>
        </w:rPr>
        <w:footnoteRef/>
      </w:r>
      <w:r w:rsidRPr="00C95630">
        <w:rPr>
          <w:rFonts w:asciiTheme="majorHAnsi" w:hAnsiTheme="majorHAnsi"/>
          <w:sz w:val="18"/>
          <w:szCs w:val="18"/>
        </w:rPr>
        <w:t xml:space="preserve"> Sills, S. and Song, C. 2002. “Innovations in Survey Research: An Application of Web</w:t>
      </w:r>
      <w:r w:rsidRPr="00C95630">
        <w:rPr>
          <w:rFonts w:asciiTheme="majorHAnsi" w:hAnsiTheme="majorHAnsi" w:cs="Cambria Math"/>
          <w:sz w:val="18"/>
          <w:szCs w:val="18"/>
        </w:rPr>
        <w:t>‐</w:t>
      </w:r>
      <w:r w:rsidRPr="00C95630">
        <w:rPr>
          <w:rFonts w:asciiTheme="majorHAnsi" w:hAnsiTheme="majorHAnsi"/>
          <w:sz w:val="18"/>
          <w:szCs w:val="18"/>
        </w:rPr>
        <w:t xml:space="preserve">Based Surveys.” </w:t>
      </w:r>
      <w:r w:rsidRPr="00C95630">
        <w:rPr>
          <w:rFonts w:asciiTheme="majorHAnsi" w:hAnsiTheme="majorHAnsi"/>
          <w:i/>
          <w:iCs/>
          <w:sz w:val="18"/>
          <w:szCs w:val="18"/>
        </w:rPr>
        <w:t xml:space="preserve">Social Science Computer Review. </w:t>
      </w:r>
      <w:r w:rsidRPr="00C95630">
        <w:rPr>
          <w:rFonts w:asciiTheme="majorHAnsi" w:hAnsiTheme="majorHAnsi"/>
          <w:sz w:val="18"/>
          <w:szCs w:val="18"/>
        </w:rPr>
        <w:t>20 (1):22</w:t>
      </w:r>
      <w:r w:rsidRPr="00C95630">
        <w:rPr>
          <w:rFonts w:asciiTheme="majorHAnsi" w:hAnsiTheme="majorHAnsi" w:cs="Cambria Math"/>
          <w:sz w:val="18"/>
          <w:szCs w:val="18"/>
        </w:rPr>
        <w:t>‐</w:t>
      </w:r>
      <w:r w:rsidRPr="00C95630">
        <w:rPr>
          <w:rFonts w:asciiTheme="majorHAnsi" w:hAnsiTheme="majorHAnsi"/>
          <w:sz w:val="18"/>
          <w:szCs w:val="18"/>
        </w:rPr>
        <w:t>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951"/>
    <w:multiLevelType w:val="hybridMultilevel"/>
    <w:tmpl w:val="F08A6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5F4DB8"/>
    <w:multiLevelType w:val="hybridMultilevel"/>
    <w:tmpl w:val="7EBEB4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5F96162"/>
    <w:multiLevelType w:val="hybridMultilevel"/>
    <w:tmpl w:val="44E6A386"/>
    <w:lvl w:ilvl="0" w:tplc="337A4C80">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53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E51AAD5C">
      <w:start w:val="1"/>
      <w:numFmt w:val="lowerRoman"/>
      <w:lvlText w:val="(%6)"/>
      <w:lvlJc w:val="left"/>
      <w:pPr>
        <w:ind w:left="4500" w:hanging="720"/>
      </w:pPr>
      <w:rPr>
        <w:rFonts w:cs="Times New Roman" w:hint="default"/>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72B1FFC"/>
    <w:multiLevelType w:val="hybridMultilevel"/>
    <w:tmpl w:val="64D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2373A"/>
    <w:multiLevelType w:val="hybridMultilevel"/>
    <w:tmpl w:val="FBA0D4F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342DE4"/>
    <w:multiLevelType w:val="hybridMultilevel"/>
    <w:tmpl w:val="58D443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0E72A48"/>
    <w:multiLevelType w:val="hybridMultilevel"/>
    <w:tmpl w:val="00868C2E"/>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A5E4CD3"/>
    <w:multiLevelType w:val="hybridMultilevel"/>
    <w:tmpl w:val="175C92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243BEB"/>
    <w:multiLevelType w:val="hybridMultilevel"/>
    <w:tmpl w:val="C1FC743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D3F2689"/>
    <w:multiLevelType w:val="hybridMultilevel"/>
    <w:tmpl w:val="087834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66495E"/>
    <w:multiLevelType w:val="hybridMultilevel"/>
    <w:tmpl w:val="A8707926"/>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69739B"/>
    <w:multiLevelType w:val="hybridMultilevel"/>
    <w:tmpl w:val="97483B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C14792"/>
    <w:multiLevelType w:val="hybridMultilevel"/>
    <w:tmpl w:val="C4569C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1C04A1"/>
    <w:multiLevelType w:val="hybridMultilevel"/>
    <w:tmpl w:val="85C8E8F0"/>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287C56E3"/>
    <w:multiLevelType w:val="hybridMultilevel"/>
    <w:tmpl w:val="0E342FA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C847AA"/>
    <w:multiLevelType w:val="hybridMultilevel"/>
    <w:tmpl w:val="15049C0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8C6785"/>
    <w:multiLevelType w:val="hybridMultilevel"/>
    <w:tmpl w:val="6212D3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895BFC"/>
    <w:multiLevelType w:val="hybridMultilevel"/>
    <w:tmpl w:val="CDB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D3D30"/>
    <w:multiLevelType w:val="hybridMultilevel"/>
    <w:tmpl w:val="4E66FB9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732371"/>
    <w:multiLevelType w:val="hybridMultilevel"/>
    <w:tmpl w:val="BE763498"/>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8DC7CBF"/>
    <w:multiLevelType w:val="hybridMultilevel"/>
    <w:tmpl w:val="5D1444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FD7E04"/>
    <w:multiLevelType w:val="hybridMultilevel"/>
    <w:tmpl w:val="5DF645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535548B"/>
    <w:multiLevelType w:val="hybridMultilevel"/>
    <w:tmpl w:val="24227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5DB2F3F"/>
    <w:multiLevelType w:val="hybridMultilevel"/>
    <w:tmpl w:val="94889A1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1D7109"/>
    <w:multiLevelType w:val="hybridMultilevel"/>
    <w:tmpl w:val="22162BC6"/>
    <w:lvl w:ilvl="0" w:tplc="0BF2B5AE">
      <w:start w:val="1"/>
      <w:numFmt w:val="decimal"/>
      <w:lvlText w:val="%1."/>
      <w:lvlJc w:val="left"/>
      <w:pPr>
        <w:tabs>
          <w:tab w:val="num" w:pos="1080"/>
        </w:tabs>
        <w:ind w:left="108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ABC4A36"/>
    <w:multiLevelType w:val="hybridMultilevel"/>
    <w:tmpl w:val="D01C44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AFF5AE7"/>
    <w:multiLevelType w:val="hybridMultilevel"/>
    <w:tmpl w:val="034E32AC"/>
    <w:lvl w:ilvl="0" w:tplc="E546628E">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B0E2065"/>
    <w:multiLevelType w:val="hybridMultilevel"/>
    <w:tmpl w:val="2BE8A9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4D3116FC"/>
    <w:multiLevelType w:val="hybridMultilevel"/>
    <w:tmpl w:val="51825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0DA7304"/>
    <w:multiLevelType w:val="hybridMultilevel"/>
    <w:tmpl w:val="5DDC1AF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8BE4A71"/>
    <w:multiLevelType w:val="hybridMultilevel"/>
    <w:tmpl w:val="1C4C0F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9085709"/>
    <w:multiLevelType w:val="hybridMultilevel"/>
    <w:tmpl w:val="7F9E76A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9351823"/>
    <w:multiLevelType w:val="hybridMultilevel"/>
    <w:tmpl w:val="5DA29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593D36C3"/>
    <w:multiLevelType w:val="hybridMultilevel"/>
    <w:tmpl w:val="8B4C79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5B8B2A2F"/>
    <w:multiLevelType w:val="hybridMultilevel"/>
    <w:tmpl w:val="FD184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6BC0F1E"/>
    <w:multiLevelType w:val="hybridMultilevel"/>
    <w:tmpl w:val="583C75F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EE4723D"/>
    <w:multiLevelType w:val="hybridMultilevel"/>
    <w:tmpl w:val="791A6C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D15CE9"/>
    <w:multiLevelType w:val="hybridMultilevel"/>
    <w:tmpl w:val="B0B238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57A24CD"/>
    <w:multiLevelType w:val="hybridMultilevel"/>
    <w:tmpl w:val="1DFEED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27"/>
  </w:num>
  <w:num w:numId="3">
    <w:abstractNumId w:val="6"/>
  </w:num>
  <w:num w:numId="4">
    <w:abstractNumId w:val="1"/>
  </w:num>
  <w:num w:numId="5">
    <w:abstractNumId w:val="36"/>
  </w:num>
  <w:num w:numId="6">
    <w:abstractNumId w:val="37"/>
  </w:num>
  <w:num w:numId="7">
    <w:abstractNumId w:val="40"/>
  </w:num>
  <w:num w:numId="8">
    <w:abstractNumId w:val="5"/>
  </w:num>
  <w:num w:numId="9">
    <w:abstractNumId w:val="34"/>
  </w:num>
  <w:num w:numId="10">
    <w:abstractNumId w:val="11"/>
  </w:num>
  <w:num w:numId="11">
    <w:abstractNumId w:val="35"/>
  </w:num>
  <w:num w:numId="12">
    <w:abstractNumId w:val="28"/>
  </w:num>
  <w:num w:numId="13">
    <w:abstractNumId w:val="29"/>
  </w:num>
  <w:num w:numId="14">
    <w:abstractNumId w:val="23"/>
  </w:num>
  <w:num w:numId="15">
    <w:abstractNumId w:val="14"/>
  </w:num>
  <w:num w:numId="16">
    <w:abstractNumId w:val="15"/>
  </w:num>
  <w:num w:numId="17">
    <w:abstractNumId w:val="19"/>
  </w:num>
  <w:num w:numId="18">
    <w:abstractNumId w:val="16"/>
  </w:num>
  <w:num w:numId="19">
    <w:abstractNumId w:val="30"/>
  </w:num>
  <w:num w:numId="20">
    <w:abstractNumId w:val="12"/>
  </w:num>
  <w:num w:numId="21">
    <w:abstractNumId w:val="31"/>
  </w:num>
  <w:num w:numId="22">
    <w:abstractNumId w:val="4"/>
  </w:num>
  <w:num w:numId="23">
    <w:abstractNumId w:val="38"/>
  </w:num>
  <w:num w:numId="24">
    <w:abstractNumId w:val="26"/>
  </w:num>
  <w:num w:numId="25">
    <w:abstractNumId w:val="39"/>
  </w:num>
  <w:num w:numId="26">
    <w:abstractNumId w:val="7"/>
  </w:num>
  <w:num w:numId="27">
    <w:abstractNumId w:val="21"/>
  </w:num>
  <w:num w:numId="28">
    <w:abstractNumId w:val="3"/>
  </w:num>
  <w:num w:numId="29">
    <w:abstractNumId w:val="18"/>
  </w:num>
  <w:num w:numId="30">
    <w:abstractNumId w:val="9"/>
  </w:num>
  <w:num w:numId="31">
    <w:abstractNumId w:val="0"/>
  </w:num>
  <w:num w:numId="32">
    <w:abstractNumId w:val="32"/>
  </w:num>
  <w:num w:numId="33">
    <w:abstractNumId w:val="8"/>
  </w:num>
  <w:num w:numId="34">
    <w:abstractNumId w:val="24"/>
  </w:num>
  <w:num w:numId="35">
    <w:abstractNumId w:val="41"/>
  </w:num>
  <w:num w:numId="36">
    <w:abstractNumId w:val="13"/>
  </w:num>
  <w:num w:numId="37">
    <w:abstractNumId w:val="10"/>
  </w:num>
  <w:num w:numId="38">
    <w:abstractNumId w:val="22"/>
  </w:num>
  <w:num w:numId="39">
    <w:abstractNumId w:val="17"/>
  </w:num>
  <w:num w:numId="40">
    <w:abstractNumId w:val="33"/>
  </w:num>
  <w:num w:numId="41">
    <w:abstractNumId w:val="20"/>
  </w:num>
  <w:num w:numId="42">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rsids>
    <w:rsidRoot w:val="007205D2"/>
    <w:rsid w:val="00034110"/>
    <w:rsid w:val="00037F50"/>
    <w:rsid w:val="0004052C"/>
    <w:rsid w:val="000467AF"/>
    <w:rsid w:val="0008720B"/>
    <w:rsid w:val="0009212A"/>
    <w:rsid w:val="000D1432"/>
    <w:rsid w:val="000F1ED3"/>
    <w:rsid w:val="00120E96"/>
    <w:rsid w:val="00126848"/>
    <w:rsid w:val="00144DC9"/>
    <w:rsid w:val="00145A9E"/>
    <w:rsid w:val="00147A09"/>
    <w:rsid w:val="00170C0C"/>
    <w:rsid w:val="001909DA"/>
    <w:rsid w:val="001B1F8A"/>
    <w:rsid w:val="001C4451"/>
    <w:rsid w:val="001E1F00"/>
    <w:rsid w:val="001E3238"/>
    <w:rsid w:val="002112A0"/>
    <w:rsid w:val="00211E4E"/>
    <w:rsid w:val="00225FF6"/>
    <w:rsid w:val="00234747"/>
    <w:rsid w:val="002436FE"/>
    <w:rsid w:val="00243914"/>
    <w:rsid w:val="00263D2C"/>
    <w:rsid w:val="002D4D7D"/>
    <w:rsid w:val="003255E1"/>
    <w:rsid w:val="00332E46"/>
    <w:rsid w:val="0035696C"/>
    <w:rsid w:val="00361033"/>
    <w:rsid w:val="003B479B"/>
    <w:rsid w:val="003C4F0E"/>
    <w:rsid w:val="003F5DBF"/>
    <w:rsid w:val="00430959"/>
    <w:rsid w:val="004363B5"/>
    <w:rsid w:val="00450FE2"/>
    <w:rsid w:val="00485C15"/>
    <w:rsid w:val="00493619"/>
    <w:rsid w:val="0049786A"/>
    <w:rsid w:val="00497C18"/>
    <w:rsid w:val="004B794D"/>
    <w:rsid w:val="004E004D"/>
    <w:rsid w:val="004E5A22"/>
    <w:rsid w:val="00501098"/>
    <w:rsid w:val="00565047"/>
    <w:rsid w:val="005707E6"/>
    <w:rsid w:val="005947B7"/>
    <w:rsid w:val="005979DB"/>
    <w:rsid w:val="005A37CA"/>
    <w:rsid w:val="005C023C"/>
    <w:rsid w:val="005D2445"/>
    <w:rsid w:val="005D3A16"/>
    <w:rsid w:val="006043C7"/>
    <w:rsid w:val="006228F8"/>
    <w:rsid w:val="00622FDE"/>
    <w:rsid w:val="00677D0F"/>
    <w:rsid w:val="00682C67"/>
    <w:rsid w:val="006B01DB"/>
    <w:rsid w:val="006B0376"/>
    <w:rsid w:val="006D43C3"/>
    <w:rsid w:val="006D484A"/>
    <w:rsid w:val="0071087B"/>
    <w:rsid w:val="007205D2"/>
    <w:rsid w:val="00763203"/>
    <w:rsid w:val="00771990"/>
    <w:rsid w:val="00771CB4"/>
    <w:rsid w:val="00787F96"/>
    <w:rsid w:val="007B572E"/>
    <w:rsid w:val="007C0FD6"/>
    <w:rsid w:val="007C3F87"/>
    <w:rsid w:val="007D2143"/>
    <w:rsid w:val="007D4097"/>
    <w:rsid w:val="007E61D1"/>
    <w:rsid w:val="007F1027"/>
    <w:rsid w:val="007F5917"/>
    <w:rsid w:val="007F7D78"/>
    <w:rsid w:val="00816FA5"/>
    <w:rsid w:val="00821C74"/>
    <w:rsid w:val="0083119E"/>
    <w:rsid w:val="0083277E"/>
    <w:rsid w:val="008466BB"/>
    <w:rsid w:val="00885669"/>
    <w:rsid w:val="008B6463"/>
    <w:rsid w:val="008C3E3B"/>
    <w:rsid w:val="008C488F"/>
    <w:rsid w:val="008D3A2C"/>
    <w:rsid w:val="00912273"/>
    <w:rsid w:val="00914BDB"/>
    <w:rsid w:val="00917E0B"/>
    <w:rsid w:val="00963DCA"/>
    <w:rsid w:val="009664ED"/>
    <w:rsid w:val="00981C99"/>
    <w:rsid w:val="009B076C"/>
    <w:rsid w:val="009B6027"/>
    <w:rsid w:val="009B617F"/>
    <w:rsid w:val="009D5AD5"/>
    <w:rsid w:val="00A02419"/>
    <w:rsid w:val="00A20DBD"/>
    <w:rsid w:val="00A25D44"/>
    <w:rsid w:val="00A33292"/>
    <w:rsid w:val="00A43C01"/>
    <w:rsid w:val="00A77539"/>
    <w:rsid w:val="00A92E74"/>
    <w:rsid w:val="00AA55EE"/>
    <w:rsid w:val="00AB7139"/>
    <w:rsid w:val="00AB71EB"/>
    <w:rsid w:val="00AC0DE4"/>
    <w:rsid w:val="00AD5A33"/>
    <w:rsid w:val="00B02386"/>
    <w:rsid w:val="00B15439"/>
    <w:rsid w:val="00B1693E"/>
    <w:rsid w:val="00B26C69"/>
    <w:rsid w:val="00B3323D"/>
    <w:rsid w:val="00B42ABF"/>
    <w:rsid w:val="00B440B8"/>
    <w:rsid w:val="00B916F5"/>
    <w:rsid w:val="00B9305D"/>
    <w:rsid w:val="00BC6918"/>
    <w:rsid w:val="00C21162"/>
    <w:rsid w:val="00C60A8F"/>
    <w:rsid w:val="00C610A1"/>
    <w:rsid w:val="00C719AC"/>
    <w:rsid w:val="00C77EAA"/>
    <w:rsid w:val="00C819F3"/>
    <w:rsid w:val="00C8403F"/>
    <w:rsid w:val="00C8409C"/>
    <w:rsid w:val="00C95630"/>
    <w:rsid w:val="00C9620F"/>
    <w:rsid w:val="00CC0882"/>
    <w:rsid w:val="00D21B17"/>
    <w:rsid w:val="00D27B18"/>
    <w:rsid w:val="00D32F4F"/>
    <w:rsid w:val="00D375DE"/>
    <w:rsid w:val="00D37EF7"/>
    <w:rsid w:val="00D5323A"/>
    <w:rsid w:val="00D54195"/>
    <w:rsid w:val="00D6231D"/>
    <w:rsid w:val="00D654BB"/>
    <w:rsid w:val="00D94D3B"/>
    <w:rsid w:val="00DE00DB"/>
    <w:rsid w:val="00DE2757"/>
    <w:rsid w:val="00E018C2"/>
    <w:rsid w:val="00E172F8"/>
    <w:rsid w:val="00E32097"/>
    <w:rsid w:val="00E3389D"/>
    <w:rsid w:val="00E43965"/>
    <w:rsid w:val="00E63F9D"/>
    <w:rsid w:val="00E67CC3"/>
    <w:rsid w:val="00E801F4"/>
    <w:rsid w:val="00EC3EC2"/>
    <w:rsid w:val="00F043B5"/>
    <w:rsid w:val="00F068DC"/>
    <w:rsid w:val="00F13800"/>
    <w:rsid w:val="00F2114E"/>
    <w:rsid w:val="00F26BD3"/>
    <w:rsid w:val="00F2795B"/>
    <w:rsid w:val="00F50675"/>
    <w:rsid w:val="00F50D7B"/>
    <w:rsid w:val="00F54CD9"/>
    <w:rsid w:val="00F610D9"/>
    <w:rsid w:val="00F70B9C"/>
    <w:rsid w:val="00F80048"/>
    <w:rsid w:val="00F82C21"/>
    <w:rsid w:val="00F9442B"/>
    <w:rsid w:val="00FA0558"/>
    <w:rsid w:val="00FA17DF"/>
    <w:rsid w:val="00FE73E2"/>
    <w:rsid w:val="00FF1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footnote reference" w:locked="1" w:semiHidden="0" w:uiPriority="0" w:unhideWhenUsed="0"/>
    <w:lsdException w:name="annotation reference" w:locked="1" w:semiHidden="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0B"/>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917E0B"/>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93"/>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917E0B"/>
    <w:rPr>
      <w:rFonts w:cs="Times New Roman"/>
    </w:rPr>
  </w:style>
  <w:style w:type="paragraph" w:styleId="BodyTextIndent">
    <w:name w:val="Body Text Indent"/>
    <w:basedOn w:val="Normal"/>
    <w:link w:val="BodyTextIndentChar"/>
    <w:rsid w:val="00917E0B"/>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locked/>
    <w:rsid w:val="00771CB4"/>
    <w:rPr>
      <w:rFonts w:ascii="Baskerville Old Face" w:hAnsi="Baskerville Old Face" w:cs="Times New Roman"/>
      <w:sz w:val="24"/>
      <w:szCs w:val="24"/>
    </w:rPr>
  </w:style>
  <w:style w:type="table" w:styleId="TableGrid">
    <w:name w:val="Table Grid"/>
    <w:basedOn w:val="TableNormal"/>
    <w:rsid w:val="00917E0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E2757"/>
    <w:rPr>
      <w:rFonts w:cs="Times New Roman"/>
      <w:color w:val="0000FF"/>
      <w:u w:val="single"/>
    </w:rPr>
  </w:style>
  <w:style w:type="character" w:customStyle="1" w:styleId="Bodytext">
    <w:name w:val="Body text_"/>
    <w:basedOn w:val="DefaultParagraphFont"/>
    <w:link w:val="BodyText1"/>
    <w:uiPriority w:val="99"/>
    <w:locked/>
    <w:rsid w:val="005A37CA"/>
    <w:rPr>
      <w:rFonts w:ascii="Arial" w:eastAsia="Times New Roman" w:hAnsi="Arial" w:cs="Arial"/>
      <w:sz w:val="23"/>
      <w:szCs w:val="23"/>
      <w:shd w:val="clear" w:color="auto" w:fill="FFFFFF"/>
    </w:rPr>
  </w:style>
  <w:style w:type="paragraph" w:customStyle="1" w:styleId="BodyText1">
    <w:name w:val="Body Text1"/>
    <w:basedOn w:val="Normal"/>
    <w:link w:val="Bodytext"/>
    <w:uiPriority w:val="99"/>
    <w:rsid w:val="005A37CA"/>
    <w:pPr>
      <w:widowControl/>
      <w:shd w:val="clear" w:color="auto" w:fill="FFFFFF"/>
      <w:autoSpaceDE/>
      <w:autoSpaceDN/>
      <w:adjustRightInd/>
      <w:spacing w:before="240" w:after="240" w:line="240" w:lineRule="atLeast"/>
      <w:ind w:hanging="1460"/>
      <w:jc w:val="center"/>
    </w:pPr>
    <w:rPr>
      <w:rFonts w:ascii="Arial" w:hAnsi="Arial" w:cs="Arial"/>
      <w:sz w:val="23"/>
      <w:szCs w:val="23"/>
    </w:rPr>
  </w:style>
  <w:style w:type="paragraph" w:customStyle="1" w:styleId="ParagraphLAST">
    <w:name w:val="Paragraph (LAST)"/>
    <w:basedOn w:val="Normal"/>
    <w:next w:val="Normal"/>
    <w:uiPriority w:val="99"/>
    <w:rsid w:val="005A37CA"/>
    <w:pPr>
      <w:widowControl/>
      <w:tabs>
        <w:tab w:val="left" w:pos="432"/>
      </w:tabs>
      <w:autoSpaceDE/>
      <w:autoSpaceDN/>
      <w:adjustRightInd/>
      <w:spacing w:after="240" w:line="480" w:lineRule="auto"/>
      <w:ind w:firstLine="432"/>
      <w:jc w:val="both"/>
    </w:pPr>
    <w:rPr>
      <w:sz w:val="24"/>
      <w:szCs w:val="20"/>
    </w:rPr>
  </w:style>
  <w:style w:type="paragraph" w:styleId="ListParagraph">
    <w:name w:val="List Paragraph"/>
    <w:basedOn w:val="Normal"/>
    <w:uiPriority w:val="99"/>
    <w:qFormat/>
    <w:rsid w:val="0035696C"/>
    <w:pPr>
      <w:ind w:left="720"/>
      <w:contextualSpacing/>
    </w:pPr>
  </w:style>
  <w:style w:type="paragraph" w:styleId="BalloonText">
    <w:name w:val="Balloon Text"/>
    <w:basedOn w:val="Normal"/>
    <w:link w:val="BalloonTextChar"/>
    <w:uiPriority w:val="99"/>
    <w:rsid w:val="00C9620F"/>
    <w:rPr>
      <w:rFonts w:ascii="Tahoma" w:hAnsi="Tahoma" w:cs="Tahoma"/>
      <w:sz w:val="16"/>
      <w:szCs w:val="16"/>
    </w:rPr>
  </w:style>
  <w:style w:type="character" w:customStyle="1" w:styleId="BalloonTextChar">
    <w:name w:val="Balloon Text Char"/>
    <w:basedOn w:val="DefaultParagraphFont"/>
    <w:link w:val="BalloonText"/>
    <w:uiPriority w:val="99"/>
    <w:locked/>
    <w:rsid w:val="00C9620F"/>
    <w:rPr>
      <w:rFonts w:ascii="Tahoma" w:hAnsi="Tahoma" w:cs="Tahoma"/>
      <w:sz w:val="16"/>
      <w:szCs w:val="16"/>
    </w:rPr>
  </w:style>
  <w:style w:type="character" w:customStyle="1" w:styleId="apple-style-span">
    <w:name w:val="apple-style-span"/>
    <w:basedOn w:val="DefaultParagraphFont"/>
    <w:uiPriority w:val="99"/>
    <w:rsid w:val="00AA55EE"/>
    <w:rPr>
      <w:rFonts w:cs="Times New Roman"/>
    </w:rPr>
  </w:style>
  <w:style w:type="character" w:styleId="CommentReference">
    <w:name w:val="annotation reference"/>
    <w:basedOn w:val="DefaultParagraphFont"/>
    <w:uiPriority w:val="99"/>
    <w:rsid w:val="00981C99"/>
    <w:rPr>
      <w:rFonts w:cs="Times New Roman"/>
      <w:sz w:val="16"/>
      <w:szCs w:val="16"/>
    </w:rPr>
  </w:style>
  <w:style w:type="paragraph" w:styleId="CommentText">
    <w:name w:val="annotation text"/>
    <w:basedOn w:val="Normal"/>
    <w:link w:val="CommentTextChar"/>
    <w:uiPriority w:val="99"/>
    <w:rsid w:val="00981C99"/>
    <w:rPr>
      <w:szCs w:val="20"/>
    </w:rPr>
  </w:style>
  <w:style w:type="character" w:customStyle="1" w:styleId="CommentTextChar">
    <w:name w:val="Comment Text Char"/>
    <w:basedOn w:val="DefaultParagraphFont"/>
    <w:link w:val="CommentText"/>
    <w:uiPriority w:val="99"/>
    <w:locked/>
    <w:rsid w:val="00981C99"/>
    <w:rPr>
      <w:rFonts w:cs="Times New Roman"/>
    </w:rPr>
  </w:style>
  <w:style w:type="paragraph" w:styleId="CommentSubject">
    <w:name w:val="annotation subject"/>
    <w:basedOn w:val="CommentText"/>
    <w:next w:val="CommentText"/>
    <w:link w:val="CommentSubjectChar"/>
    <w:uiPriority w:val="99"/>
    <w:rsid w:val="00981C99"/>
    <w:rPr>
      <w:b/>
      <w:bCs/>
    </w:rPr>
  </w:style>
  <w:style w:type="character" w:customStyle="1" w:styleId="CommentSubjectChar">
    <w:name w:val="Comment Subject Char"/>
    <w:basedOn w:val="CommentTextChar"/>
    <w:link w:val="CommentSubject"/>
    <w:uiPriority w:val="99"/>
    <w:locked/>
    <w:rsid w:val="00981C99"/>
    <w:rPr>
      <w:rFonts w:cs="Times New Roman"/>
      <w:b/>
      <w:bCs/>
    </w:rPr>
  </w:style>
  <w:style w:type="paragraph" w:styleId="Header">
    <w:name w:val="header"/>
    <w:basedOn w:val="Normal"/>
    <w:link w:val="HeaderChar"/>
    <w:uiPriority w:val="99"/>
    <w:semiHidden/>
    <w:unhideWhenUsed/>
    <w:rsid w:val="00A92E74"/>
    <w:pPr>
      <w:tabs>
        <w:tab w:val="center" w:pos="4680"/>
        <w:tab w:val="right" w:pos="9360"/>
      </w:tabs>
    </w:pPr>
  </w:style>
  <w:style w:type="character" w:customStyle="1" w:styleId="HeaderChar">
    <w:name w:val="Header Char"/>
    <w:basedOn w:val="DefaultParagraphFont"/>
    <w:link w:val="Header"/>
    <w:uiPriority w:val="99"/>
    <w:semiHidden/>
    <w:rsid w:val="00A92E74"/>
    <w:rPr>
      <w:sz w:val="20"/>
      <w:szCs w:val="24"/>
    </w:rPr>
  </w:style>
  <w:style w:type="paragraph" w:styleId="Footer">
    <w:name w:val="footer"/>
    <w:basedOn w:val="Normal"/>
    <w:link w:val="FooterChar"/>
    <w:uiPriority w:val="99"/>
    <w:unhideWhenUsed/>
    <w:rsid w:val="00A92E74"/>
    <w:pPr>
      <w:tabs>
        <w:tab w:val="center" w:pos="4680"/>
        <w:tab w:val="right" w:pos="9360"/>
      </w:tabs>
    </w:pPr>
  </w:style>
  <w:style w:type="character" w:customStyle="1" w:styleId="FooterChar">
    <w:name w:val="Footer Char"/>
    <w:basedOn w:val="DefaultParagraphFont"/>
    <w:link w:val="Footer"/>
    <w:uiPriority w:val="99"/>
    <w:rsid w:val="00A92E74"/>
    <w:rPr>
      <w:sz w:val="20"/>
      <w:szCs w:val="24"/>
    </w:rPr>
  </w:style>
  <w:style w:type="paragraph" w:styleId="FootnoteText">
    <w:name w:val="footnote text"/>
    <w:basedOn w:val="Normal"/>
    <w:link w:val="FootnoteTextChar"/>
    <w:uiPriority w:val="99"/>
    <w:semiHidden/>
    <w:unhideWhenUsed/>
    <w:rsid w:val="00F13800"/>
    <w:rPr>
      <w:szCs w:val="20"/>
    </w:rPr>
  </w:style>
  <w:style w:type="character" w:customStyle="1" w:styleId="FootnoteTextChar">
    <w:name w:val="Footnote Text Char"/>
    <w:basedOn w:val="DefaultParagraphFont"/>
    <w:link w:val="FootnoteText"/>
    <w:uiPriority w:val="99"/>
    <w:semiHidden/>
    <w:rsid w:val="00F13800"/>
    <w:rPr>
      <w:sz w:val="20"/>
      <w:szCs w:val="20"/>
    </w:rPr>
  </w:style>
  <w:style w:type="character" w:customStyle="1" w:styleId="cit-title4">
    <w:name w:val="cit-title4"/>
    <w:basedOn w:val="DefaultParagraphFont"/>
    <w:rsid w:val="00F13800"/>
  </w:style>
  <w:style w:type="character" w:customStyle="1" w:styleId="site-title">
    <w:name w:val="site-title"/>
    <w:basedOn w:val="DefaultParagraphFont"/>
    <w:rsid w:val="00F13800"/>
  </w:style>
  <w:style w:type="character" w:customStyle="1" w:styleId="cit-print-date">
    <w:name w:val="cit-print-date"/>
    <w:basedOn w:val="DefaultParagraphFont"/>
    <w:rsid w:val="00F13800"/>
  </w:style>
  <w:style w:type="character" w:customStyle="1" w:styleId="cit-vol">
    <w:name w:val="cit-vol"/>
    <w:basedOn w:val="DefaultParagraphFont"/>
    <w:rsid w:val="00F13800"/>
  </w:style>
  <w:style w:type="character" w:customStyle="1" w:styleId="cit-sep2">
    <w:name w:val="cit-sep2"/>
    <w:basedOn w:val="DefaultParagraphFont"/>
    <w:rsid w:val="00F13800"/>
  </w:style>
  <w:style w:type="character" w:customStyle="1" w:styleId="cit-first-page">
    <w:name w:val="cit-first-page"/>
    <w:basedOn w:val="DefaultParagraphFont"/>
    <w:rsid w:val="00F13800"/>
  </w:style>
  <w:style w:type="character" w:customStyle="1" w:styleId="cit-last-page2">
    <w:name w:val="cit-last-page2"/>
    <w:basedOn w:val="DefaultParagraphFont"/>
    <w:rsid w:val="00F13800"/>
  </w:style>
  <w:style w:type="paragraph" w:customStyle="1" w:styleId="Default">
    <w:name w:val="Default"/>
    <w:rsid w:val="00F1380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footnote reference" w:locked="1" w:semiHidden="0" w:uiPriority="0" w:unhideWhenUsed="0"/>
    <w:lsdException w:name="annotation reference" w:locked="1" w:semiHidden="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0B"/>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917E0B"/>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93"/>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917E0B"/>
    <w:rPr>
      <w:rFonts w:cs="Times New Roman"/>
    </w:rPr>
  </w:style>
  <w:style w:type="paragraph" w:styleId="BodyTextIndent">
    <w:name w:val="Body Text Indent"/>
    <w:basedOn w:val="Normal"/>
    <w:link w:val="BodyTextIndentChar"/>
    <w:rsid w:val="00917E0B"/>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locked/>
    <w:rsid w:val="00771CB4"/>
    <w:rPr>
      <w:rFonts w:ascii="Baskerville Old Face" w:hAnsi="Baskerville Old Face" w:cs="Times New Roman"/>
      <w:sz w:val="24"/>
      <w:szCs w:val="24"/>
    </w:rPr>
  </w:style>
  <w:style w:type="table" w:styleId="TableGrid">
    <w:name w:val="Table Grid"/>
    <w:basedOn w:val="TableNormal"/>
    <w:uiPriority w:val="99"/>
    <w:rsid w:val="00917E0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E2757"/>
    <w:rPr>
      <w:rFonts w:cs="Times New Roman"/>
      <w:color w:val="0000FF"/>
      <w:u w:val="single"/>
    </w:rPr>
  </w:style>
  <w:style w:type="character" w:customStyle="1" w:styleId="Bodytext">
    <w:name w:val="Body text_"/>
    <w:basedOn w:val="DefaultParagraphFont"/>
    <w:link w:val="BodyText1"/>
    <w:uiPriority w:val="99"/>
    <w:locked/>
    <w:rsid w:val="005A37CA"/>
    <w:rPr>
      <w:rFonts w:ascii="Arial" w:eastAsia="Times New Roman" w:hAnsi="Arial" w:cs="Arial"/>
      <w:sz w:val="23"/>
      <w:szCs w:val="23"/>
      <w:shd w:val="clear" w:color="auto" w:fill="FFFFFF"/>
    </w:rPr>
  </w:style>
  <w:style w:type="paragraph" w:customStyle="1" w:styleId="BodyText1">
    <w:name w:val="Body Text1"/>
    <w:basedOn w:val="Normal"/>
    <w:link w:val="Bodytext"/>
    <w:uiPriority w:val="99"/>
    <w:rsid w:val="005A37CA"/>
    <w:pPr>
      <w:widowControl/>
      <w:shd w:val="clear" w:color="auto" w:fill="FFFFFF"/>
      <w:autoSpaceDE/>
      <w:autoSpaceDN/>
      <w:adjustRightInd/>
      <w:spacing w:before="240" w:after="240" w:line="240" w:lineRule="atLeast"/>
      <w:ind w:hanging="1460"/>
      <w:jc w:val="center"/>
    </w:pPr>
    <w:rPr>
      <w:rFonts w:ascii="Arial" w:hAnsi="Arial" w:cs="Arial"/>
      <w:sz w:val="23"/>
      <w:szCs w:val="23"/>
    </w:rPr>
  </w:style>
  <w:style w:type="paragraph" w:customStyle="1" w:styleId="ParagraphLAST">
    <w:name w:val="Paragraph (LAST)"/>
    <w:basedOn w:val="Normal"/>
    <w:next w:val="Normal"/>
    <w:uiPriority w:val="99"/>
    <w:rsid w:val="005A37CA"/>
    <w:pPr>
      <w:widowControl/>
      <w:tabs>
        <w:tab w:val="left" w:pos="432"/>
      </w:tabs>
      <w:autoSpaceDE/>
      <w:autoSpaceDN/>
      <w:adjustRightInd/>
      <w:spacing w:after="240" w:line="480" w:lineRule="auto"/>
      <w:ind w:firstLine="432"/>
      <w:jc w:val="both"/>
    </w:pPr>
    <w:rPr>
      <w:sz w:val="24"/>
      <w:szCs w:val="20"/>
    </w:rPr>
  </w:style>
  <w:style w:type="paragraph" w:styleId="ListParagraph">
    <w:name w:val="List Paragraph"/>
    <w:basedOn w:val="Normal"/>
    <w:uiPriority w:val="99"/>
    <w:qFormat/>
    <w:rsid w:val="0035696C"/>
    <w:pPr>
      <w:ind w:left="720"/>
      <w:contextualSpacing/>
    </w:pPr>
  </w:style>
  <w:style w:type="paragraph" w:styleId="BalloonText">
    <w:name w:val="Balloon Text"/>
    <w:basedOn w:val="Normal"/>
    <w:link w:val="BalloonTextChar"/>
    <w:uiPriority w:val="99"/>
    <w:rsid w:val="00C9620F"/>
    <w:rPr>
      <w:rFonts w:ascii="Tahoma" w:hAnsi="Tahoma" w:cs="Tahoma"/>
      <w:sz w:val="16"/>
      <w:szCs w:val="16"/>
    </w:rPr>
  </w:style>
  <w:style w:type="character" w:customStyle="1" w:styleId="BalloonTextChar">
    <w:name w:val="Balloon Text Char"/>
    <w:basedOn w:val="DefaultParagraphFont"/>
    <w:link w:val="BalloonText"/>
    <w:uiPriority w:val="99"/>
    <w:locked/>
    <w:rsid w:val="00C9620F"/>
    <w:rPr>
      <w:rFonts w:ascii="Tahoma" w:hAnsi="Tahoma" w:cs="Tahoma"/>
      <w:sz w:val="16"/>
      <w:szCs w:val="16"/>
    </w:rPr>
  </w:style>
  <w:style w:type="character" w:customStyle="1" w:styleId="apple-style-span">
    <w:name w:val="apple-style-span"/>
    <w:basedOn w:val="DefaultParagraphFont"/>
    <w:uiPriority w:val="99"/>
    <w:rsid w:val="00AA55EE"/>
    <w:rPr>
      <w:rFonts w:cs="Times New Roman"/>
    </w:rPr>
  </w:style>
  <w:style w:type="character" w:styleId="CommentReference">
    <w:name w:val="annotation reference"/>
    <w:basedOn w:val="DefaultParagraphFont"/>
    <w:uiPriority w:val="99"/>
    <w:rsid w:val="00981C99"/>
    <w:rPr>
      <w:rFonts w:cs="Times New Roman"/>
      <w:sz w:val="16"/>
      <w:szCs w:val="16"/>
    </w:rPr>
  </w:style>
  <w:style w:type="paragraph" w:styleId="CommentText">
    <w:name w:val="annotation text"/>
    <w:basedOn w:val="Normal"/>
    <w:link w:val="CommentTextChar"/>
    <w:uiPriority w:val="99"/>
    <w:rsid w:val="00981C99"/>
    <w:rPr>
      <w:szCs w:val="20"/>
    </w:rPr>
  </w:style>
  <w:style w:type="character" w:customStyle="1" w:styleId="CommentTextChar">
    <w:name w:val="Comment Text Char"/>
    <w:basedOn w:val="DefaultParagraphFont"/>
    <w:link w:val="CommentText"/>
    <w:uiPriority w:val="99"/>
    <w:locked/>
    <w:rsid w:val="00981C99"/>
    <w:rPr>
      <w:rFonts w:cs="Times New Roman"/>
    </w:rPr>
  </w:style>
  <w:style w:type="paragraph" w:styleId="CommentSubject">
    <w:name w:val="annotation subject"/>
    <w:basedOn w:val="CommentText"/>
    <w:next w:val="CommentText"/>
    <w:link w:val="CommentSubjectChar"/>
    <w:uiPriority w:val="99"/>
    <w:rsid w:val="00981C99"/>
    <w:rPr>
      <w:b/>
      <w:bCs/>
    </w:rPr>
  </w:style>
  <w:style w:type="character" w:customStyle="1" w:styleId="CommentSubjectChar">
    <w:name w:val="Comment Subject Char"/>
    <w:basedOn w:val="CommentTextChar"/>
    <w:link w:val="CommentSubject"/>
    <w:uiPriority w:val="99"/>
    <w:locked/>
    <w:rsid w:val="00981C99"/>
    <w:rPr>
      <w:rFonts w:cs="Times New Roman"/>
      <w:b/>
      <w:bCs/>
    </w:rPr>
  </w:style>
  <w:style w:type="paragraph" w:styleId="Header">
    <w:name w:val="header"/>
    <w:basedOn w:val="Normal"/>
    <w:link w:val="HeaderChar"/>
    <w:uiPriority w:val="99"/>
    <w:semiHidden/>
    <w:unhideWhenUsed/>
    <w:rsid w:val="00A92E74"/>
    <w:pPr>
      <w:tabs>
        <w:tab w:val="center" w:pos="4680"/>
        <w:tab w:val="right" w:pos="9360"/>
      </w:tabs>
    </w:pPr>
  </w:style>
  <w:style w:type="character" w:customStyle="1" w:styleId="HeaderChar">
    <w:name w:val="Header Char"/>
    <w:basedOn w:val="DefaultParagraphFont"/>
    <w:link w:val="Header"/>
    <w:uiPriority w:val="99"/>
    <w:semiHidden/>
    <w:rsid w:val="00A92E74"/>
    <w:rPr>
      <w:sz w:val="20"/>
      <w:szCs w:val="24"/>
    </w:rPr>
  </w:style>
  <w:style w:type="paragraph" w:styleId="Footer">
    <w:name w:val="footer"/>
    <w:basedOn w:val="Normal"/>
    <w:link w:val="FooterChar"/>
    <w:uiPriority w:val="99"/>
    <w:unhideWhenUsed/>
    <w:rsid w:val="00A92E74"/>
    <w:pPr>
      <w:tabs>
        <w:tab w:val="center" w:pos="4680"/>
        <w:tab w:val="right" w:pos="9360"/>
      </w:tabs>
    </w:pPr>
  </w:style>
  <w:style w:type="character" w:customStyle="1" w:styleId="FooterChar">
    <w:name w:val="Footer Char"/>
    <w:basedOn w:val="DefaultParagraphFont"/>
    <w:link w:val="Footer"/>
    <w:uiPriority w:val="99"/>
    <w:rsid w:val="00A92E74"/>
    <w:rPr>
      <w:sz w:val="20"/>
      <w:szCs w:val="24"/>
    </w:rPr>
  </w:style>
</w:styles>
</file>

<file path=word/webSettings.xml><?xml version="1.0" encoding="utf-8"?>
<w:webSettings xmlns:r="http://schemas.openxmlformats.org/officeDocument/2006/relationships" xmlns:w="http://schemas.openxmlformats.org/wordprocessingml/2006/main">
  <w:divs>
    <w:div w:id="753402521">
      <w:bodyDiv w:val="1"/>
      <w:marLeft w:val="0"/>
      <w:marRight w:val="0"/>
      <w:marTop w:val="0"/>
      <w:marBottom w:val="0"/>
      <w:divBdr>
        <w:top w:val="none" w:sz="0" w:space="0" w:color="auto"/>
        <w:left w:val="none" w:sz="0" w:space="0" w:color="auto"/>
        <w:bottom w:val="none" w:sz="0" w:space="0" w:color="auto"/>
        <w:right w:val="none" w:sz="0" w:space="0" w:color="auto"/>
      </w:divBdr>
      <w:divsChild>
        <w:div w:id="919799810">
          <w:marLeft w:val="0"/>
          <w:marRight w:val="0"/>
          <w:marTop w:val="0"/>
          <w:marBottom w:val="0"/>
          <w:divBdr>
            <w:top w:val="none" w:sz="0" w:space="0" w:color="auto"/>
            <w:left w:val="none" w:sz="0" w:space="0" w:color="auto"/>
            <w:bottom w:val="none" w:sz="0" w:space="0" w:color="auto"/>
            <w:right w:val="none" w:sz="0" w:space="0" w:color="auto"/>
          </w:divBdr>
          <w:divsChild>
            <w:div w:id="1666277180">
              <w:marLeft w:val="0"/>
              <w:marRight w:val="0"/>
              <w:marTop w:val="0"/>
              <w:marBottom w:val="0"/>
              <w:divBdr>
                <w:top w:val="none" w:sz="0" w:space="0" w:color="auto"/>
                <w:left w:val="single" w:sz="6" w:space="0" w:color="E2E2E2"/>
                <w:bottom w:val="none" w:sz="0" w:space="0" w:color="auto"/>
                <w:right w:val="single" w:sz="6" w:space="0" w:color="E2E2E2"/>
              </w:divBdr>
              <w:divsChild>
                <w:div w:id="321012827">
                  <w:marLeft w:val="0"/>
                  <w:marRight w:val="0"/>
                  <w:marTop w:val="0"/>
                  <w:marBottom w:val="0"/>
                  <w:divBdr>
                    <w:top w:val="none" w:sz="0" w:space="0" w:color="auto"/>
                    <w:left w:val="none" w:sz="0" w:space="0" w:color="auto"/>
                    <w:bottom w:val="none" w:sz="0" w:space="0" w:color="auto"/>
                    <w:right w:val="none" w:sz="0" w:space="0" w:color="auto"/>
                  </w:divBdr>
                  <w:divsChild>
                    <w:div w:id="47271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onda.Moore@hhs.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cps/cpswom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5891-A9ED-4885-9025-00DCA889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2708</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Department of Health and Human Services</cp:lastModifiedBy>
  <cp:revision>3</cp:revision>
  <cp:lastPrinted>2012-04-20T16:21:00Z</cp:lastPrinted>
  <dcterms:created xsi:type="dcterms:W3CDTF">2012-04-19T15:49:00Z</dcterms:created>
  <dcterms:modified xsi:type="dcterms:W3CDTF">2012-04-20T16:24:00Z</dcterms:modified>
</cp:coreProperties>
</file>