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50268" w14:textId="77777777" w:rsidR="00BF5FC3" w:rsidRPr="00BF5FC3" w:rsidRDefault="00BF5FC3" w:rsidP="00BF5FC3">
      <w:pPr>
        <w:autoSpaceDE w:val="0"/>
        <w:autoSpaceDN w:val="0"/>
        <w:adjustRightInd w:val="0"/>
        <w:jc w:val="center"/>
        <w:rPr>
          <w:rFonts w:ascii="Arial" w:hAnsi="Arial"/>
          <w:b/>
          <w:color w:val="000000" w:themeColor="text1"/>
        </w:rPr>
      </w:pPr>
      <w:bookmarkStart w:id="0" w:name="OLE_LINK1"/>
      <w:r w:rsidRPr="00BF5FC3">
        <w:rPr>
          <w:rFonts w:ascii="Arial" w:hAnsi="Arial"/>
          <w:b/>
          <w:noProof/>
          <w:color w:val="000000" w:themeColor="text1"/>
        </w:rPr>
        <w:drawing>
          <wp:inline distT="0" distB="0" distL="0" distR="0" wp14:anchorId="1C11ACFF" wp14:editId="6D267146">
            <wp:extent cx="1066800" cy="1066800"/>
            <wp:effectExtent l="0" t="0" r="0" b="0"/>
            <wp:docPr id="2" name="Picture 2"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bookmarkEnd w:id="0"/>
      <w:r w:rsidRPr="00BF5FC3">
        <w:rPr>
          <w:rFonts w:ascii="Arial" w:hAnsi="Arial"/>
          <w:b/>
          <w:color w:val="000000" w:themeColor="text1"/>
        </w:rPr>
        <w:tab/>
      </w:r>
      <w:r w:rsidRPr="00BF5FC3">
        <w:rPr>
          <w:rFonts w:ascii="Arial" w:hAnsi="Arial"/>
          <w:b/>
          <w:color w:val="000000" w:themeColor="text1"/>
        </w:rPr>
        <w:tab/>
      </w:r>
      <w:r w:rsidRPr="00BF5FC3">
        <w:rPr>
          <w:rFonts w:ascii="Arial" w:hAnsi="Arial"/>
          <w:b/>
          <w:color w:val="000000" w:themeColor="text1"/>
        </w:rPr>
        <w:tab/>
      </w:r>
      <w:r w:rsidRPr="00BF5FC3">
        <w:rPr>
          <w:rFonts w:ascii="Arial" w:hAnsi="Arial"/>
          <w:b/>
          <w:color w:val="000000" w:themeColor="text1"/>
        </w:rPr>
        <w:tab/>
      </w:r>
      <w:r w:rsidRPr="00BF5FC3">
        <w:rPr>
          <w:rFonts w:ascii="Arial" w:hAnsi="Arial"/>
          <w:b/>
          <w:color w:val="000000" w:themeColor="text1"/>
        </w:rPr>
        <w:tab/>
      </w:r>
      <w:r w:rsidRPr="00BF5FC3">
        <w:rPr>
          <w:rFonts w:ascii="Arial" w:hAnsi="Arial"/>
          <w:b/>
          <w:color w:val="000000" w:themeColor="text1"/>
        </w:rPr>
        <w:tab/>
      </w:r>
    </w:p>
    <w:p w14:paraId="1EBA038F" w14:textId="77777777" w:rsidR="00BF5FC3" w:rsidRPr="00BF5FC3" w:rsidRDefault="00BF5FC3" w:rsidP="00BF5FC3">
      <w:pPr>
        <w:autoSpaceDE w:val="0"/>
        <w:autoSpaceDN w:val="0"/>
        <w:adjustRightInd w:val="0"/>
        <w:jc w:val="center"/>
        <w:rPr>
          <w:rFonts w:ascii="Arial" w:hAnsi="Arial"/>
          <w:b/>
          <w:color w:val="000000" w:themeColor="text1"/>
        </w:rPr>
      </w:pPr>
    </w:p>
    <w:p w14:paraId="61274C21" w14:textId="77777777" w:rsidR="00BF5FC3" w:rsidRPr="00BF5FC3" w:rsidRDefault="00BF5FC3" w:rsidP="00BF5FC3">
      <w:pPr>
        <w:autoSpaceDE w:val="0"/>
        <w:autoSpaceDN w:val="0"/>
        <w:adjustRightInd w:val="0"/>
        <w:jc w:val="center"/>
        <w:rPr>
          <w:rFonts w:ascii="Arial" w:hAnsi="Arial"/>
          <w:b/>
          <w:color w:val="000000" w:themeColor="text1"/>
        </w:rPr>
      </w:pPr>
    </w:p>
    <w:p w14:paraId="3BA07D42" w14:textId="77777777" w:rsidR="00BF5FC3" w:rsidRPr="00A735BD" w:rsidRDefault="00BF5FC3" w:rsidP="00A735BD">
      <w:pPr>
        <w:rPr>
          <w:rFonts w:cs="Times New Roman"/>
          <w:b/>
          <w:color w:val="000000" w:themeColor="text1"/>
        </w:rPr>
      </w:pPr>
      <w:r w:rsidRPr="00A735BD">
        <w:rPr>
          <w:rFonts w:cs="Times New Roman"/>
          <w:b/>
          <w:color w:val="000000" w:themeColor="text1"/>
        </w:rPr>
        <w:t>U.S. Department of Justice</w:t>
      </w:r>
    </w:p>
    <w:p w14:paraId="16F21CB4" w14:textId="77777777" w:rsidR="00BF5FC3" w:rsidRPr="00BF5FC3" w:rsidRDefault="00BF5FC3" w:rsidP="00BF5FC3">
      <w:pPr>
        <w:autoSpaceDE w:val="0"/>
        <w:autoSpaceDN w:val="0"/>
        <w:adjustRightInd w:val="0"/>
        <w:jc w:val="center"/>
        <w:rPr>
          <w:rFonts w:ascii="Arial" w:hAnsi="Arial"/>
          <w:b/>
          <w:color w:val="000000" w:themeColor="text1"/>
        </w:rPr>
      </w:pPr>
    </w:p>
    <w:p w14:paraId="6143E30E" w14:textId="77777777" w:rsidR="00BF5FC3" w:rsidRPr="00A735BD" w:rsidRDefault="00BF5FC3" w:rsidP="00A735BD">
      <w:pPr>
        <w:rPr>
          <w:rFonts w:cs="Times New Roman"/>
          <w:color w:val="000000" w:themeColor="text1"/>
        </w:rPr>
      </w:pPr>
      <w:r w:rsidRPr="00A735BD">
        <w:rPr>
          <w:rFonts w:cs="Times New Roman"/>
          <w:color w:val="000000" w:themeColor="text1"/>
        </w:rPr>
        <w:t>Office of Justice Programs</w:t>
      </w:r>
    </w:p>
    <w:p w14:paraId="046A7CBC" w14:textId="77777777" w:rsidR="00BF5FC3" w:rsidRPr="00BF5FC3" w:rsidRDefault="00BF5FC3" w:rsidP="00BF5FC3">
      <w:pPr>
        <w:autoSpaceDE w:val="0"/>
        <w:autoSpaceDN w:val="0"/>
        <w:adjustRightInd w:val="0"/>
        <w:jc w:val="center"/>
        <w:rPr>
          <w:rFonts w:ascii="Arial" w:hAnsi="Arial"/>
          <w:b/>
          <w:color w:val="000000" w:themeColor="text1"/>
        </w:rPr>
      </w:pPr>
    </w:p>
    <w:p w14:paraId="043FFA50" w14:textId="77777777" w:rsidR="00BF5FC3" w:rsidRPr="00A735BD" w:rsidRDefault="00BF5FC3" w:rsidP="00A735BD">
      <w:pPr>
        <w:rPr>
          <w:rFonts w:cs="Times New Roman"/>
          <w:i/>
          <w:color w:val="000000" w:themeColor="text1"/>
        </w:rPr>
      </w:pPr>
      <w:r w:rsidRPr="00A735BD">
        <w:rPr>
          <w:rFonts w:cs="Times New Roman"/>
          <w:i/>
          <w:color w:val="000000" w:themeColor="text1"/>
        </w:rPr>
        <w:t>Bureau of Justice Statistics</w:t>
      </w:r>
    </w:p>
    <w:p w14:paraId="25728384" w14:textId="77777777" w:rsidR="00BF5FC3" w:rsidRPr="00A735BD" w:rsidRDefault="00BF5FC3" w:rsidP="00A735BD">
      <w:pPr>
        <w:rPr>
          <w:rFonts w:cs="Times New Roman"/>
          <w:i/>
          <w:color w:val="000000" w:themeColor="text1"/>
        </w:rPr>
        <w:sectPr w:rsidR="00BF5FC3" w:rsidRPr="00A735BD" w:rsidSect="00BF5FC3">
          <w:headerReference w:type="default" r:id="rId9"/>
          <w:footerReference w:type="default" r:id="rId10"/>
          <w:type w:val="continuous"/>
          <w:pgSz w:w="12240" w:h="15840"/>
          <w:pgMar w:top="720" w:right="1440" w:bottom="1440" w:left="1440" w:header="720" w:footer="720" w:gutter="0"/>
          <w:cols w:num="2" w:space="720"/>
        </w:sectPr>
      </w:pPr>
    </w:p>
    <w:p w14:paraId="352C1820" w14:textId="77777777" w:rsidR="00BF5FC3" w:rsidRPr="00F2227C" w:rsidRDefault="00BF5FC3" w:rsidP="00BF5FC3">
      <w:pPr>
        <w:pBdr>
          <w:top w:val="single" w:sz="18" w:space="1" w:color="auto"/>
        </w:pBdr>
        <w:rPr>
          <w:rFonts w:cs="Times New Roman"/>
          <w:i/>
          <w:color w:val="000000" w:themeColor="text1"/>
        </w:rPr>
      </w:pPr>
      <w:r w:rsidRPr="00F2227C">
        <w:rPr>
          <w:rFonts w:cs="Times New Roman"/>
          <w:color w:val="000000" w:themeColor="text1"/>
        </w:rPr>
        <w:lastRenderedPageBreak/>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i/>
          <w:color w:val="000000" w:themeColor="text1"/>
        </w:rPr>
        <w:t>Washington, D.C. 20531</w:t>
      </w:r>
    </w:p>
    <w:p w14:paraId="77A64DCD" w14:textId="77777777" w:rsidR="00BF5FC3" w:rsidRDefault="00BF5FC3" w:rsidP="00BF5FC3">
      <w:pPr>
        <w:autoSpaceDE w:val="0"/>
        <w:autoSpaceDN w:val="0"/>
        <w:adjustRightInd w:val="0"/>
        <w:jc w:val="center"/>
        <w:rPr>
          <w:rFonts w:ascii="Arial" w:hAnsi="Arial"/>
          <w:b/>
          <w:color w:val="000000" w:themeColor="text1"/>
        </w:rPr>
      </w:pPr>
    </w:p>
    <w:p w14:paraId="4203AAEE" w14:textId="77777777" w:rsidR="00BF5FC3" w:rsidRPr="00F2227C" w:rsidRDefault="00BF5FC3" w:rsidP="00BF5FC3">
      <w:pPr>
        <w:widowControl w:val="0"/>
        <w:autoSpaceDE w:val="0"/>
        <w:autoSpaceDN w:val="0"/>
        <w:adjustRightInd w:val="0"/>
        <w:rPr>
          <w:rFonts w:cs="Times New Roman"/>
          <w:b/>
          <w:color w:val="000000" w:themeColor="text1"/>
        </w:rPr>
      </w:pPr>
      <w:r w:rsidRPr="00F2227C">
        <w:rPr>
          <w:rFonts w:cs="Times New Roman"/>
          <w:b/>
          <w:color w:val="000000" w:themeColor="text1"/>
        </w:rPr>
        <w:t>MEMORANDUM</w:t>
      </w:r>
    </w:p>
    <w:p w14:paraId="21C1573C" w14:textId="77777777" w:rsidR="00BF5FC3" w:rsidRPr="00F2227C" w:rsidRDefault="00BF5FC3" w:rsidP="00BF5FC3">
      <w:pPr>
        <w:widowControl w:val="0"/>
        <w:autoSpaceDE w:val="0"/>
        <w:autoSpaceDN w:val="0"/>
        <w:adjustRightInd w:val="0"/>
        <w:rPr>
          <w:rFonts w:cs="Times New Roman"/>
          <w:color w:val="000000" w:themeColor="text1"/>
        </w:rPr>
      </w:pPr>
      <w:bookmarkStart w:id="1" w:name="_GoBack"/>
      <w:bookmarkEnd w:id="1"/>
    </w:p>
    <w:p w14:paraId="113C6C6C" w14:textId="77777777" w:rsidR="00017C7F" w:rsidRPr="000F61AD" w:rsidRDefault="00017C7F" w:rsidP="00017C7F">
      <w:pPr>
        <w:rPr>
          <w:rFonts w:cs="Times New Roman"/>
        </w:rPr>
      </w:pPr>
      <w:r w:rsidRPr="00017C7F">
        <w:rPr>
          <w:rFonts w:cs="Times New Roman"/>
        </w:rPr>
        <w:t>To:</w:t>
      </w:r>
      <w:r>
        <w:rPr>
          <w:rFonts w:cs="Times New Roman"/>
          <w:b/>
        </w:rPr>
        <w:tab/>
      </w:r>
      <w:r w:rsidRPr="000F61AD">
        <w:rPr>
          <w:rFonts w:cs="Times New Roman"/>
          <w:b/>
        </w:rPr>
        <w:t xml:space="preserve"> </w:t>
      </w:r>
      <w:r w:rsidRPr="000F61AD">
        <w:rPr>
          <w:rFonts w:cs="Times New Roman"/>
          <w:b/>
        </w:rPr>
        <w:tab/>
      </w:r>
      <w:r w:rsidRPr="000F61AD">
        <w:rPr>
          <w:rFonts w:cs="Times New Roman"/>
        </w:rPr>
        <w:t xml:space="preserve">Shelly </w:t>
      </w:r>
      <w:proofErr w:type="spellStart"/>
      <w:r w:rsidRPr="000F61AD">
        <w:rPr>
          <w:rFonts w:cs="Times New Roman"/>
        </w:rPr>
        <w:t>Wilkie</w:t>
      </w:r>
      <w:proofErr w:type="spellEnd"/>
      <w:r w:rsidRPr="000F61AD">
        <w:rPr>
          <w:rFonts w:cs="Times New Roman"/>
        </w:rPr>
        <w:t xml:space="preserve"> Martinez</w:t>
      </w:r>
    </w:p>
    <w:p w14:paraId="5618139F" w14:textId="77777777" w:rsidR="00017C7F" w:rsidRPr="000F61AD" w:rsidRDefault="00017C7F" w:rsidP="00017C7F">
      <w:pPr>
        <w:rPr>
          <w:rFonts w:cs="Times New Roman"/>
        </w:rPr>
      </w:pPr>
      <w:r w:rsidRPr="000F61AD">
        <w:rPr>
          <w:rFonts w:cs="Times New Roman"/>
        </w:rPr>
        <w:tab/>
      </w:r>
      <w:r w:rsidRPr="000F61AD">
        <w:rPr>
          <w:rFonts w:cs="Times New Roman"/>
        </w:rPr>
        <w:tab/>
        <w:t>Office of Statistical and Science Policy</w:t>
      </w:r>
    </w:p>
    <w:p w14:paraId="74B590ED" w14:textId="77777777" w:rsidR="00017C7F" w:rsidRPr="000F61AD" w:rsidRDefault="00017C7F" w:rsidP="00017C7F">
      <w:pPr>
        <w:rPr>
          <w:rFonts w:cs="Times New Roman"/>
        </w:rPr>
      </w:pPr>
      <w:r w:rsidRPr="000F61AD">
        <w:rPr>
          <w:rFonts w:cs="Times New Roman"/>
        </w:rPr>
        <w:tab/>
      </w:r>
      <w:r w:rsidRPr="000F61AD">
        <w:rPr>
          <w:rFonts w:cs="Times New Roman"/>
        </w:rPr>
        <w:tab/>
        <w:t>Office of Management and Budget</w:t>
      </w:r>
    </w:p>
    <w:p w14:paraId="7485CFF4" w14:textId="77777777" w:rsidR="00017C7F" w:rsidRPr="000F61AD" w:rsidRDefault="00017C7F" w:rsidP="00017C7F">
      <w:pPr>
        <w:rPr>
          <w:rFonts w:cs="Times New Roman"/>
        </w:rPr>
      </w:pPr>
    </w:p>
    <w:p w14:paraId="4C87A738" w14:textId="77777777" w:rsidR="00017C7F" w:rsidRPr="000F61AD" w:rsidRDefault="00017C7F" w:rsidP="00017C7F">
      <w:pPr>
        <w:rPr>
          <w:rFonts w:cs="Times New Roman"/>
        </w:rPr>
      </w:pPr>
      <w:r w:rsidRPr="00017C7F">
        <w:rPr>
          <w:rFonts w:cs="Times New Roman"/>
        </w:rPr>
        <w:t>Through:</w:t>
      </w:r>
      <w:r w:rsidRPr="000F61AD">
        <w:rPr>
          <w:rFonts w:cs="Times New Roman"/>
        </w:rPr>
        <w:t xml:space="preserve"> </w:t>
      </w:r>
      <w:r w:rsidRPr="000F61AD">
        <w:rPr>
          <w:rFonts w:cs="Times New Roman"/>
        </w:rPr>
        <w:tab/>
        <w:t>Lynn Murray</w:t>
      </w:r>
    </w:p>
    <w:p w14:paraId="0B26F89F" w14:textId="77777777" w:rsidR="00017C7F" w:rsidRPr="000F61AD" w:rsidRDefault="00017C7F" w:rsidP="00017C7F">
      <w:pPr>
        <w:rPr>
          <w:rFonts w:cs="Times New Roman"/>
        </w:rPr>
      </w:pPr>
      <w:r w:rsidRPr="000F61AD">
        <w:rPr>
          <w:rFonts w:cs="Times New Roman"/>
        </w:rPr>
        <w:tab/>
      </w:r>
      <w:r w:rsidRPr="000F61AD">
        <w:rPr>
          <w:rFonts w:cs="Times New Roman"/>
        </w:rPr>
        <w:tab/>
        <w:t>Clearance Officer</w:t>
      </w:r>
    </w:p>
    <w:p w14:paraId="711CA71A" w14:textId="77777777" w:rsidR="00017C7F" w:rsidRPr="000F61AD" w:rsidRDefault="00017C7F" w:rsidP="00017C7F">
      <w:pPr>
        <w:rPr>
          <w:rFonts w:cs="Times New Roman"/>
        </w:rPr>
      </w:pPr>
      <w:r w:rsidRPr="000F61AD">
        <w:rPr>
          <w:rFonts w:cs="Times New Roman"/>
        </w:rPr>
        <w:tab/>
      </w:r>
      <w:r w:rsidRPr="000F61AD">
        <w:rPr>
          <w:rFonts w:cs="Times New Roman"/>
        </w:rPr>
        <w:tab/>
        <w:t>Justice Management Division</w:t>
      </w:r>
    </w:p>
    <w:p w14:paraId="73438B40" w14:textId="77777777" w:rsidR="00017C7F" w:rsidRPr="000F61AD" w:rsidRDefault="00017C7F" w:rsidP="00017C7F">
      <w:pPr>
        <w:rPr>
          <w:rFonts w:cs="Times New Roman"/>
        </w:rPr>
      </w:pPr>
    </w:p>
    <w:p w14:paraId="01420B5E" w14:textId="77777777" w:rsidR="00017C7F" w:rsidRPr="000F61AD" w:rsidRDefault="00017C7F" w:rsidP="00017C7F">
      <w:pPr>
        <w:rPr>
          <w:rFonts w:cs="Times New Roman"/>
        </w:rPr>
      </w:pPr>
      <w:r w:rsidRPr="000F61AD">
        <w:rPr>
          <w:rFonts w:cs="Times New Roman"/>
        </w:rPr>
        <w:tab/>
      </w:r>
      <w:r w:rsidRPr="000F61AD">
        <w:rPr>
          <w:rFonts w:cs="Times New Roman"/>
        </w:rPr>
        <w:tab/>
        <w:t>William J. Sabol, Ph.D.</w:t>
      </w:r>
    </w:p>
    <w:p w14:paraId="5DBAC507" w14:textId="4517475D" w:rsidR="00017C7F" w:rsidRPr="000F61AD" w:rsidRDefault="00017C7F" w:rsidP="00017C7F">
      <w:pPr>
        <w:rPr>
          <w:rFonts w:cs="Times New Roman"/>
        </w:rPr>
      </w:pPr>
      <w:r w:rsidRPr="000F61AD">
        <w:rPr>
          <w:rFonts w:cs="Times New Roman"/>
        </w:rPr>
        <w:tab/>
      </w:r>
      <w:r w:rsidRPr="000F61AD">
        <w:rPr>
          <w:rFonts w:cs="Times New Roman"/>
        </w:rPr>
        <w:tab/>
        <w:t>Director</w:t>
      </w:r>
    </w:p>
    <w:p w14:paraId="61257A01" w14:textId="77777777" w:rsidR="00017C7F" w:rsidRPr="000F61AD" w:rsidRDefault="00017C7F" w:rsidP="00017C7F">
      <w:pPr>
        <w:rPr>
          <w:rFonts w:cs="Times New Roman"/>
          <w:b/>
        </w:rPr>
      </w:pPr>
      <w:r w:rsidRPr="000F61AD">
        <w:rPr>
          <w:rFonts w:cs="Times New Roman"/>
        </w:rPr>
        <w:tab/>
      </w:r>
      <w:r w:rsidRPr="000F61AD">
        <w:rPr>
          <w:rFonts w:cs="Times New Roman"/>
        </w:rPr>
        <w:tab/>
        <w:t xml:space="preserve">Bureau of Justice Statistics </w:t>
      </w:r>
    </w:p>
    <w:p w14:paraId="75C66335" w14:textId="77777777" w:rsidR="00BF5FC3" w:rsidRPr="000A3061" w:rsidRDefault="00BF5FC3" w:rsidP="00BF5FC3">
      <w:pPr>
        <w:rPr>
          <w:rFonts w:cs="Times New Roman"/>
          <w:color w:val="000000" w:themeColor="text1"/>
        </w:rPr>
      </w:pPr>
    </w:p>
    <w:p w14:paraId="2965B31D" w14:textId="77777777" w:rsidR="008D320F" w:rsidRDefault="00BF5FC3" w:rsidP="005B7430">
      <w:pPr>
        <w:rPr>
          <w:rFonts w:cs="Times New Roman"/>
          <w:color w:val="000000" w:themeColor="text1"/>
        </w:rPr>
      </w:pPr>
      <w:r w:rsidRPr="000A3061">
        <w:rPr>
          <w:rFonts w:cs="Times New Roman"/>
          <w:color w:val="000000" w:themeColor="text1"/>
        </w:rPr>
        <w:t>From:</w:t>
      </w:r>
      <w:r w:rsidRPr="000A3061">
        <w:rPr>
          <w:rFonts w:cs="Times New Roman"/>
          <w:color w:val="000000" w:themeColor="text1"/>
        </w:rPr>
        <w:tab/>
      </w:r>
      <w:r w:rsidRPr="000A3061">
        <w:rPr>
          <w:rFonts w:cs="Times New Roman"/>
          <w:color w:val="000000" w:themeColor="text1"/>
        </w:rPr>
        <w:tab/>
      </w:r>
      <w:r w:rsidR="005B7430">
        <w:rPr>
          <w:rFonts w:cs="Times New Roman"/>
          <w:color w:val="000000" w:themeColor="text1"/>
        </w:rPr>
        <w:t>Michael Planty, Jennifer Truman, Lynn Langton</w:t>
      </w:r>
    </w:p>
    <w:p w14:paraId="5A7760F5" w14:textId="51DD642F" w:rsidR="00BF5FC3" w:rsidRDefault="008D320F" w:rsidP="0023579D">
      <w:pPr>
        <w:ind w:left="720" w:firstLine="720"/>
        <w:rPr>
          <w:rFonts w:cs="Times New Roman"/>
          <w:color w:val="000000" w:themeColor="text1"/>
        </w:rPr>
      </w:pPr>
      <w:r>
        <w:rPr>
          <w:rFonts w:cs="Times New Roman"/>
          <w:color w:val="000000" w:themeColor="text1"/>
        </w:rPr>
        <w:t>Bureau of Justice Statistics</w:t>
      </w:r>
    </w:p>
    <w:p w14:paraId="30CF7484" w14:textId="77777777" w:rsidR="005F3348" w:rsidRDefault="005F3348" w:rsidP="00BF5FC3">
      <w:pPr>
        <w:rPr>
          <w:rFonts w:cs="Times New Roman"/>
          <w:color w:val="000000" w:themeColor="text1"/>
        </w:rPr>
      </w:pPr>
      <w:r>
        <w:rPr>
          <w:rFonts w:cs="Times New Roman"/>
          <w:color w:val="000000" w:themeColor="text1"/>
        </w:rPr>
        <w:tab/>
      </w:r>
      <w:r>
        <w:rPr>
          <w:rFonts w:cs="Times New Roman"/>
          <w:color w:val="000000" w:themeColor="text1"/>
        </w:rPr>
        <w:tab/>
      </w:r>
    </w:p>
    <w:p w14:paraId="21B5B9CE" w14:textId="1E630788" w:rsidR="00BF5FC3" w:rsidRPr="00F2227C" w:rsidRDefault="00BF5FC3" w:rsidP="00BF5FC3">
      <w:pPr>
        <w:rPr>
          <w:rFonts w:cs="Times New Roman"/>
          <w:color w:val="000000" w:themeColor="text1"/>
        </w:rPr>
      </w:pPr>
      <w:r w:rsidRPr="00F2227C">
        <w:rPr>
          <w:rFonts w:cs="Times New Roman"/>
          <w:color w:val="000000" w:themeColor="text1"/>
        </w:rPr>
        <w:t>Date:</w:t>
      </w:r>
      <w:r w:rsidRPr="00F2227C">
        <w:rPr>
          <w:rFonts w:cs="Times New Roman"/>
          <w:color w:val="000000" w:themeColor="text1"/>
        </w:rPr>
        <w:tab/>
      </w:r>
      <w:r w:rsidRPr="00F2227C">
        <w:rPr>
          <w:rFonts w:cs="Times New Roman"/>
          <w:color w:val="000000" w:themeColor="text1"/>
        </w:rPr>
        <w:tab/>
      </w:r>
      <w:r w:rsidR="0023579D">
        <w:rPr>
          <w:rFonts w:cs="Times New Roman"/>
          <w:color w:val="000000" w:themeColor="text1"/>
        </w:rPr>
        <w:t>March 12, 2015</w:t>
      </w:r>
    </w:p>
    <w:p w14:paraId="53A5E31C" w14:textId="77777777" w:rsidR="00BF5FC3" w:rsidRPr="00F2227C" w:rsidRDefault="00BF5FC3" w:rsidP="00BF5FC3">
      <w:pPr>
        <w:rPr>
          <w:rFonts w:cs="Times New Roman"/>
          <w:color w:val="000000" w:themeColor="text1"/>
        </w:rPr>
      </w:pPr>
    </w:p>
    <w:p w14:paraId="1E0689C2" w14:textId="3BB55180" w:rsidR="00BF5FC3" w:rsidRPr="00F2227C" w:rsidRDefault="00BF5FC3" w:rsidP="00BF5FC3">
      <w:pPr>
        <w:ind w:left="1440" w:hanging="1440"/>
        <w:rPr>
          <w:rFonts w:cs="Times New Roman"/>
          <w:color w:val="000000" w:themeColor="text1"/>
        </w:rPr>
      </w:pPr>
      <w:r w:rsidRPr="00F2227C">
        <w:rPr>
          <w:rFonts w:cs="Times New Roman"/>
          <w:color w:val="000000" w:themeColor="text1"/>
        </w:rPr>
        <w:t>Re:</w:t>
      </w:r>
      <w:r w:rsidRPr="00F2227C">
        <w:rPr>
          <w:rFonts w:cs="Times New Roman"/>
          <w:color w:val="000000" w:themeColor="text1"/>
        </w:rPr>
        <w:tab/>
      </w:r>
      <w:r>
        <w:rPr>
          <w:rFonts w:cs="Times New Roman"/>
          <w:color w:val="000000" w:themeColor="text1"/>
        </w:rPr>
        <w:t xml:space="preserve">BJS </w:t>
      </w:r>
      <w:r w:rsidRPr="00F2227C">
        <w:rPr>
          <w:rFonts w:cs="Times New Roman"/>
          <w:color w:val="000000" w:themeColor="text1"/>
        </w:rPr>
        <w:t xml:space="preserve">Request for OMB Clearance for </w:t>
      </w:r>
      <w:r w:rsidR="008E5FA7">
        <w:rPr>
          <w:rFonts w:cs="Times New Roman"/>
          <w:color w:val="000000" w:themeColor="text1"/>
        </w:rPr>
        <w:t xml:space="preserve">a </w:t>
      </w:r>
      <w:r w:rsidR="006B250F">
        <w:rPr>
          <w:rFonts w:cs="Times New Roman"/>
          <w:color w:val="000000" w:themeColor="text1"/>
        </w:rPr>
        <w:t>pilot vignette study for</w:t>
      </w:r>
      <w:r w:rsidR="00897528">
        <w:rPr>
          <w:rFonts w:cs="Times New Roman"/>
          <w:color w:val="000000" w:themeColor="text1"/>
        </w:rPr>
        <w:t xml:space="preserve"> the </w:t>
      </w:r>
      <w:r w:rsidR="00897528" w:rsidRPr="00F2227C">
        <w:rPr>
          <w:rFonts w:cs="Times New Roman"/>
          <w:color w:val="000000" w:themeColor="text1"/>
        </w:rPr>
        <w:t xml:space="preserve">National Crime Victimization Survey (NCVS) </w:t>
      </w:r>
      <w:r w:rsidRPr="00F2227C">
        <w:rPr>
          <w:rFonts w:cs="Times New Roman"/>
          <w:color w:val="000000" w:themeColor="text1"/>
        </w:rPr>
        <w:t>under the NCVS Redesign Generic Clearance</w:t>
      </w:r>
      <w:r>
        <w:rPr>
          <w:rFonts w:cs="Times New Roman"/>
          <w:color w:val="000000" w:themeColor="text1"/>
        </w:rPr>
        <w:t>, OMB Number 1121-0325.</w:t>
      </w:r>
    </w:p>
    <w:p w14:paraId="7BDF901E" w14:textId="77777777" w:rsidR="00BF5FC3" w:rsidRPr="00F2227C" w:rsidRDefault="00BF5FC3" w:rsidP="00BF5FC3">
      <w:pPr>
        <w:rPr>
          <w:rFonts w:cs="Times New Roman"/>
          <w:color w:val="000000" w:themeColor="text1"/>
        </w:rPr>
      </w:pPr>
    </w:p>
    <w:p w14:paraId="4AA8DB63" w14:textId="31743702" w:rsidR="003A588B" w:rsidRPr="003A588B" w:rsidRDefault="00524804" w:rsidP="0058627A">
      <w:pPr>
        <w:autoSpaceDE w:val="0"/>
        <w:autoSpaceDN w:val="0"/>
        <w:adjustRightInd w:val="0"/>
        <w:rPr>
          <w:rFonts w:cs="Times New Roman"/>
          <w:color w:val="000000" w:themeColor="text1"/>
        </w:rPr>
      </w:pPr>
      <w:r>
        <w:rPr>
          <w:rFonts w:cs="Times New Roman"/>
          <w:color w:val="000000" w:themeColor="text1"/>
        </w:rPr>
        <w:t>The Bureau of Justice Statistics (BJS) requests</w:t>
      </w:r>
      <w:r>
        <w:rPr>
          <w:rFonts w:cs="Times New Roman"/>
        </w:rPr>
        <w:t xml:space="preserve"> clearance </w:t>
      </w:r>
      <w:r w:rsidR="008E5FA7">
        <w:rPr>
          <w:rFonts w:cs="Times New Roman"/>
        </w:rPr>
        <w:t xml:space="preserve">to conduct a </w:t>
      </w:r>
      <w:r w:rsidR="00752785">
        <w:rPr>
          <w:rFonts w:cs="Times New Roman"/>
        </w:rPr>
        <w:t xml:space="preserve">pilot study </w:t>
      </w:r>
      <w:r>
        <w:rPr>
          <w:rFonts w:cs="Times New Roman"/>
        </w:rPr>
        <w:t>u</w:t>
      </w:r>
      <w:r w:rsidRPr="00F2227C">
        <w:rPr>
          <w:rFonts w:cs="Times New Roman"/>
          <w:color w:val="000000" w:themeColor="text1"/>
        </w:rPr>
        <w:t xml:space="preserve">nder </w:t>
      </w:r>
      <w:r>
        <w:rPr>
          <w:rFonts w:cs="Times New Roman"/>
          <w:color w:val="000000" w:themeColor="text1"/>
        </w:rPr>
        <w:t xml:space="preserve">the OMB </w:t>
      </w:r>
      <w:r w:rsidRPr="00F2227C">
        <w:rPr>
          <w:rFonts w:cs="Times New Roman"/>
          <w:color w:val="000000" w:themeColor="text1"/>
        </w:rPr>
        <w:t xml:space="preserve">generic clearance agreement </w:t>
      </w:r>
      <w:r>
        <w:rPr>
          <w:rFonts w:cs="Times New Roman"/>
          <w:color w:val="000000" w:themeColor="text1"/>
        </w:rPr>
        <w:t>(OMB Number 1121-0325)</w:t>
      </w:r>
      <w:r w:rsidRPr="00F2227C">
        <w:rPr>
          <w:rFonts w:cs="Times New Roman"/>
          <w:color w:val="000000" w:themeColor="text1"/>
        </w:rPr>
        <w:t xml:space="preserve"> </w:t>
      </w:r>
      <w:r>
        <w:rPr>
          <w:rFonts w:cs="Times New Roman"/>
          <w:color w:val="000000" w:themeColor="text1"/>
        </w:rPr>
        <w:t xml:space="preserve">for activities </w:t>
      </w:r>
      <w:r w:rsidRPr="00F2227C">
        <w:rPr>
          <w:rFonts w:cs="Times New Roman"/>
          <w:color w:val="000000" w:themeColor="text1"/>
        </w:rPr>
        <w:t xml:space="preserve">related </w:t>
      </w:r>
      <w:r>
        <w:rPr>
          <w:rFonts w:cs="Times New Roman"/>
          <w:color w:val="000000" w:themeColor="text1"/>
        </w:rPr>
        <w:t xml:space="preserve">to </w:t>
      </w:r>
      <w:r w:rsidRPr="00F2227C">
        <w:rPr>
          <w:rFonts w:cs="Times New Roman"/>
          <w:color w:val="000000" w:themeColor="text1"/>
        </w:rPr>
        <w:t>the National Crime Victimization Survey</w:t>
      </w:r>
      <w:r w:rsidRPr="00194755">
        <w:t xml:space="preserve"> Redesign Research (NCVS-RR) program</w:t>
      </w:r>
      <w:r w:rsidRPr="00F2227C">
        <w:rPr>
          <w:rFonts w:cs="Times New Roman"/>
          <w:color w:val="000000" w:themeColor="text1"/>
        </w:rPr>
        <w:t>. BJS, in consultation with Westat under a cooperative agreement</w:t>
      </w:r>
      <w:r>
        <w:rPr>
          <w:rFonts w:cs="Times New Roman"/>
          <w:color w:val="000000" w:themeColor="text1"/>
        </w:rPr>
        <w:t xml:space="preserve"> (Award </w:t>
      </w:r>
      <w:r w:rsidR="00342339">
        <w:rPr>
          <w:rFonts w:cs="Times New Roman"/>
          <w:color w:val="000000" w:themeColor="text1"/>
        </w:rPr>
        <w:t>2013-MU-CX-K054</w:t>
      </w:r>
      <w:r w:rsidR="00342339">
        <w:rPr>
          <w:color w:val="000000"/>
        </w:rPr>
        <w:t xml:space="preserve"> </w:t>
      </w:r>
      <w:r>
        <w:rPr>
          <w:i/>
          <w:iCs/>
          <w:color w:val="000000"/>
        </w:rPr>
        <w:t>National Crime Victimization Survey)</w:t>
      </w:r>
      <w:r w:rsidRPr="00F2227C">
        <w:rPr>
          <w:rFonts w:cs="Times New Roman"/>
          <w:color w:val="000000" w:themeColor="text1"/>
        </w:rPr>
        <w:t xml:space="preserve">, </w:t>
      </w:r>
      <w:r>
        <w:rPr>
          <w:rFonts w:cs="Times New Roman"/>
          <w:color w:val="000000" w:themeColor="text1"/>
        </w:rPr>
        <w:t xml:space="preserve">is </w:t>
      </w:r>
      <w:r w:rsidR="003A588B">
        <w:rPr>
          <w:rFonts w:cs="Times New Roman"/>
          <w:color w:val="000000" w:themeColor="text1"/>
        </w:rPr>
        <w:t xml:space="preserve">starting the </w:t>
      </w:r>
      <w:r>
        <w:rPr>
          <w:rFonts w:cs="Times New Roman"/>
          <w:color w:val="000000" w:themeColor="text1"/>
        </w:rPr>
        <w:t xml:space="preserve">next phase of research to </w:t>
      </w:r>
      <w:r w:rsidR="003A588B">
        <w:rPr>
          <w:rFonts w:cs="Times New Roman"/>
          <w:color w:val="000000" w:themeColor="text1"/>
        </w:rPr>
        <w:t xml:space="preserve">redesign </w:t>
      </w:r>
      <w:r>
        <w:rPr>
          <w:rFonts w:cs="Times New Roman"/>
          <w:color w:val="000000" w:themeColor="text1"/>
        </w:rPr>
        <w:t>the NCVS</w:t>
      </w:r>
      <w:r w:rsidR="003A588B">
        <w:rPr>
          <w:rFonts w:cs="Times New Roman"/>
          <w:color w:val="000000" w:themeColor="text1"/>
        </w:rPr>
        <w:t xml:space="preserve"> for the first time since 1992</w:t>
      </w:r>
      <w:r>
        <w:rPr>
          <w:rFonts w:cs="Times New Roman"/>
          <w:color w:val="000000" w:themeColor="text1"/>
        </w:rPr>
        <w:t xml:space="preserve">.  </w:t>
      </w:r>
      <w:r w:rsidR="00BF5FC3" w:rsidRPr="005B27FD">
        <w:rPr>
          <w:rFonts w:cs="Times New Roman"/>
          <w:color w:val="000000" w:themeColor="text1"/>
        </w:rPr>
        <w:t>In accordance with the generic agreement, BJS is submitting to</w:t>
      </w:r>
      <w:r w:rsidR="00BF5FC3">
        <w:rPr>
          <w:rFonts w:cs="Times New Roman"/>
          <w:color w:val="000000" w:themeColor="text1"/>
        </w:rPr>
        <w:t xml:space="preserve"> OMB for clearance </w:t>
      </w:r>
      <w:r w:rsidR="00BF5FC3">
        <w:t xml:space="preserve">materials for </w:t>
      </w:r>
      <w:r w:rsidR="0058627A">
        <w:t xml:space="preserve">a </w:t>
      </w:r>
      <w:r w:rsidR="00752785">
        <w:t>pilot vignette study t</w:t>
      </w:r>
      <w:r w:rsidR="0058627A">
        <w:t xml:space="preserve">o </w:t>
      </w:r>
      <w:r w:rsidR="003A588B">
        <w:t xml:space="preserve">assess how individuals respond to the current NCVS </w:t>
      </w:r>
      <w:r w:rsidR="00752785">
        <w:t>screening items</w:t>
      </w:r>
      <w:r w:rsidR="003A588B">
        <w:t xml:space="preserve">. </w:t>
      </w:r>
      <w:r w:rsidR="0021146E">
        <w:t xml:space="preserve">The intent is to better understand how respondents understand and classify various crime incidents through an experimental study to better inform the selection and use of screening questions and cues. </w:t>
      </w:r>
    </w:p>
    <w:p w14:paraId="4AF554FB" w14:textId="77777777" w:rsidR="0044687A" w:rsidRDefault="0044687A" w:rsidP="00F1007F">
      <w:pPr>
        <w:autoSpaceDE w:val="0"/>
        <w:autoSpaceDN w:val="0"/>
        <w:adjustRightInd w:val="0"/>
        <w:rPr>
          <w:rFonts w:cs="Times New Roman"/>
          <w:color w:val="000000" w:themeColor="text1"/>
        </w:rPr>
      </w:pPr>
    </w:p>
    <w:p w14:paraId="40CA103A" w14:textId="77777777" w:rsidR="00184E53" w:rsidRPr="00A735BD" w:rsidRDefault="00184E53" w:rsidP="00BF5FC3">
      <w:pPr>
        <w:autoSpaceDE w:val="0"/>
        <w:autoSpaceDN w:val="0"/>
        <w:adjustRightInd w:val="0"/>
        <w:rPr>
          <w:rFonts w:cs="Times New Roman"/>
          <w:b/>
          <w:color w:val="000000" w:themeColor="text1"/>
        </w:rPr>
      </w:pPr>
      <w:r w:rsidRPr="00A735BD">
        <w:rPr>
          <w:rFonts w:cs="Times New Roman"/>
          <w:b/>
          <w:color w:val="000000" w:themeColor="text1"/>
        </w:rPr>
        <w:t>Overview</w:t>
      </w:r>
    </w:p>
    <w:p w14:paraId="22DD6241" w14:textId="77777777" w:rsidR="00BF5FC3" w:rsidRDefault="00BF5FC3" w:rsidP="00BF5FC3">
      <w:pPr>
        <w:autoSpaceDE w:val="0"/>
        <w:autoSpaceDN w:val="0"/>
        <w:adjustRightInd w:val="0"/>
        <w:rPr>
          <w:rFonts w:cs="Times New Roman"/>
          <w:color w:val="000000" w:themeColor="text1"/>
        </w:rPr>
      </w:pPr>
    </w:p>
    <w:p w14:paraId="220F21A5" w14:textId="77777777" w:rsidR="005F3348" w:rsidRDefault="00253D4C" w:rsidP="00253D4C">
      <w:pPr>
        <w:rPr>
          <w:rFonts w:cs="Times New Roman"/>
          <w:color w:val="000000" w:themeColor="text1"/>
        </w:rPr>
      </w:pPr>
      <w:r w:rsidRPr="00253D4C">
        <w:rPr>
          <w:rFonts w:cs="Times New Roman"/>
          <w:color w:val="000000" w:themeColor="text1"/>
        </w:rPr>
        <w:t>The NCVS is based on research conducted by the Department of Justice and the Census Bureau in the 1970s (</w:t>
      </w:r>
      <w:r w:rsidR="006E1FFE">
        <w:rPr>
          <w:rFonts w:cs="Times New Roman"/>
          <w:color w:val="000000" w:themeColor="text1"/>
        </w:rPr>
        <w:t>summarized in</w:t>
      </w:r>
      <w:r w:rsidR="003117E7">
        <w:rPr>
          <w:rFonts w:cs="Times New Roman"/>
          <w:color w:val="000000" w:themeColor="text1"/>
        </w:rPr>
        <w:t xml:space="preserve"> </w:t>
      </w:r>
      <w:proofErr w:type="spellStart"/>
      <w:r w:rsidRPr="00253D4C">
        <w:rPr>
          <w:rFonts w:cs="Times New Roman"/>
          <w:color w:val="000000" w:themeColor="text1"/>
        </w:rPr>
        <w:t>Lehnen</w:t>
      </w:r>
      <w:proofErr w:type="spellEnd"/>
      <w:r w:rsidRPr="00253D4C">
        <w:rPr>
          <w:rFonts w:cs="Times New Roman"/>
          <w:color w:val="000000" w:themeColor="text1"/>
        </w:rPr>
        <w:t xml:space="preserve"> </w:t>
      </w:r>
      <w:r w:rsidR="003117E7">
        <w:rPr>
          <w:rFonts w:cs="Times New Roman"/>
          <w:color w:val="000000" w:themeColor="text1"/>
        </w:rPr>
        <w:t xml:space="preserve">and </w:t>
      </w:r>
      <w:proofErr w:type="spellStart"/>
      <w:r w:rsidRPr="00253D4C">
        <w:rPr>
          <w:rFonts w:cs="Times New Roman"/>
          <w:color w:val="000000" w:themeColor="text1"/>
        </w:rPr>
        <w:t>Skogan</w:t>
      </w:r>
      <w:proofErr w:type="spellEnd"/>
      <w:r w:rsidRPr="00253D4C">
        <w:rPr>
          <w:rFonts w:cs="Times New Roman"/>
          <w:color w:val="000000" w:themeColor="text1"/>
        </w:rPr>
        <w:t xml:space="preserve">, 1981; </w:t>
      </w:r>
      <w:proofErr w:type="spellStart"/>
      <w:r w:rsidR="003117E7">
        <w:rPr>
          <w:rFonts w:cs="Times New Roman"/>
          <w:color w:val="000000" w:themeColor="text1"/>
        </w:rPr>
        <w:t>Skogan</w:t>
      </w:r>
      <w:proofErr w:type="spellEnd"/>
      <w:r w:rsidR="003117E7">
        <w:rPr>
          <w:rFonts w:cs="Times New Roman"/>
          <w:color w:val="000000" w:themeColor="text1"/>
        </w:rPr>
        <w:t xml:space="preserve">, 1990; </w:t>
      </w:r>
      <w:proofErr w:type="spellStart"/>
      <w:r w:rsidRPr="00253D4C">
        <w:rPr>
          <w:rFonts w:cs="Times New Roman"/>
          <w:color w:val="000000" w:themeColor="text1"/>
        </w:rPr>
        <w:t>Skogan</w:t>
      </w:r>
      <w:proofErr w:type="spellEnd"/>
      <w:r w:rsidRPr="00253D4C">
        <w:rPr>
          <w:rFonts w:cs="Times New Roman"/>
          <w:color w:val="000000" w:themeColor="text1"/>
        </w:rPr>
        <w:t xml:space="preserve"> </w:t>
      </w:r>
      <w:r w:rsidR="003117E7">
        <w:rPr>
          <w:rFonts w:cs="Times New Roman"/>
          <w:color w:val="000000" w:themeColor="text1"/>
        </w:rPr>
        <w:t xml:space="preserve">and </w:t>
      </w:r>
      <w:proofErr w:type="spellStart"/>
      <w:r w:rsidRPr="00253D4C">
        <w:rPr>
          <w:rFonts w:cs="Times New Roman"/>
          <w:color w:val="000000" w:themeColor="text1"/>
        </w:rPr>
        <w:t>Lehnen</w:t>
      </w:r>
      <w:proofErr w:type="spellEnd"/>
      <w:r w:rsidRPr="00253D4C">
        <w:rPr>
          <w:rFonts w:cs="Times New Roman"/>
          <w:color w:val="000000" w:themeColor="text1"/>
        </w:rPr>
        <w:t>, 1985</w:t>
      </w:r>
      <w:r w:rsidR="003117E7">
        <w:rPr>
          <w:rFonts w:cs="Times New Roman"/>
          <w:color w:val="000000" w:themeColor="text1"/>
        </w:rPr>
        <w:t xml:space="preserve">). </w:t>
      </w:r>
      <w:r w:rsidRPr="00253D4C">
        <w:rPr>
          <w:rFonts w:cs="Times New Roman"/>
          <w:color w:val="000000" w:themeColor="text1"/>
        </w:rPr>
        <w:t xml:space="preserve">There was a major redesign implemented in 1992, motivated in part by a </w:t>
      </w:r>
      <w:r w:rsidRPr="00253D4C">
        <w:rPr>
          <w:rFonts w:cs="Times New Roman"/>
          <w:color w:val="000000" w:themeColor="text1"/>
        </w:rPr>
        <w:lastRenderedPageBreak/>
        <w:t>National Academy of Sciences (NAS) review (</w:t>
      </w:r>
      <w:proofErr w:type="spellStart"/>
      <w:r w:rsidRPr="00253D4C">
        <w:rPr>
          <w:rFonts w:cs="Times New Roman"/>
          <w:color w:val="000000" w:themeColor="text1"/>
        </w:rPr>
        <w:t>Penick</w:t>
      </w:r>
      <w:proofErr w:type="spellEnd"/>
      <w:r w:rsidRPr="00253D4C">
        <w:rPr>
          <w:rFonts w:cs="Times New Roman"/>
          <w:color w:val="000000" w:themeColor="text1"/>
        </w:rPr>
        <w:t xml:space="preserve"> </w:t>
      </w:r>
      <w:r w:rsidR="003117E7">
        <w:rPr>
          <w:rFonts w:cs="Times New Roman"/>
          <w:color w:val="000000" w:themeColor="text1"/>
        </w:rPr>
        <w:t xml:space="preserve">and </w:t>
      </w:r>
      <w:r w:rsidRPr="00253D4C">
        <w:rPr>
          <w:rFonts w:cs="Times New Roman"/>
          <w:color w:val="000000" w:themeColor="text1"/>
        </w:rPr>
        <w:t xml:space="preserve">Owens, 1976). A more recent review by the NAS (Groves </w:t>
      </w:r>
      <w:r w:rsidR="003117E7">
        <w:rPr>
          <w:rFonts w:cs="Times New Roman"/>
          <w:color w:val="000000" w:themeColor="text1"/>
        </w:rPr>
        <w:t xml:space="preserve">and </w:t>
      </w:r>
      <w:r w:rsidRPr="00253D4C">
        <w:rPr>
          <w:rFonts w:cs="Times New Roman"/>
          <w:color w:val="000000" w:themeColor="text1"/>
        </w:rPr>
        <w:t xml:space="preserve">Cork, 2008) </w:t>
      </w:r>
      <w:r w:rsidR="00752785">
        <w:rPr>
          <w:rFonts w:cs="Times New Roman"/>
          <w:color w:val="000000" w:themeColor="text1"/>
        </w:rPr>
        <w:t xml:space="preserve">has motivated the current </w:t>
      </w:r>
      <w:r w:rsidR="005F3348">
        <w:rPr>
          <w:rFonts w:cs="Times New Roman"/>
          <w:color w:val="000000" w:themeColor="text1"/>
        </w:rPr>
        <w:t>BJS redesign effort.</w:t>
      </w:r>
    </w:p>
    <w:p w14:paraId="398A7C1A" w14:textId="77777777" w:rsidR="005F3348" w:rsidRDefault="005F3348" w:rsidP="00253D4C">
      <w:pPr>
        <w:rPr>
          <w:rFonts w:cs="Times New Roman"/>
          <w:color w:val="000000" w:themeColor="text1"/>
        </w:rPr>
      </w:pPr>
    </w:p>
    <w:p w14:paraId="10C7BE06" w14:textId="77777777" w:rsidR="003117E7" w:rsidRDefault="00253D4C" w:rsidP="00253D4C">
      <w:pPr>
        <w:autoSpaceDE w:val="0"/>
        <w:autoSpaceDN w:val="0"/>
        <w:adjustRightInd w:val="0"/>
        <w:rPr>
          <w:rFonts w:cs="Times New Roman"/>
          <w:color w:val="000000" w:themeColor="text1"/>
        </w:rPr>
      </w:pPr>
      <w:r w:rsidRPr="00253D4C">
        <w:rPr>
          <w:rFonts w:cs="Times New Roman"/>
          <w:color w:val="000000" w:themeColor="text1"/>
        </w:rPr>
        <w:t xml:space="preserve">Since 2008, BJS has initiated a number of research projects to assess and improve upon core NCVS methodology, including redesigning the sample plan, comparing alternative modes of interview, reducing non-response bias, examining various reference period lengths, testing effectiveness of victimization screening questions, and exploring the feasibility of producing sub-national estimates of victimization. </w:t>
      </w:r>
    </w:p>
    <w:p w14:paraId="59D1B815" w14:textId="77777777" w:rsidR="003117E7" w:rsidRDefault="003117E7" w:rsidP="00253D4C">
      <w:pPr>
        <w:autoSpaceDE w:val="0"/>
        <w:autoSpaceDN w:val="0"/>
        <w:adjustRightInd w:val="0"/>
        <w:rPr>
          <w:rFonts w:cs="Times New Roman"/>
          <w:color w:val="000000" w:themeColor="text1"/>
        </w:rPr>
      </w:pPr>
    </w:p>
    <w:p w14:paraId="5D8FD78B" w14:textId="3D252D6E" w:rsidR="00253D4C" w:rsidRPr="00253D4C" w:rsidRDefault="00253D4C" w:rsidP="00253D4C">
      <w:pPr>
        <w:autoSpaceDE w:val="0"/>
        <w:autoSpaceDN w:val="0"/>
        <w:adjustRightInd w:val="0"/>
        <w:rPr>
          <w:rFonts w:cs="Times New Roman"/>
          <w:color w:val="000000" w:themeColor="text1"/>
        </w:rPr>
      </w:pPr>
      <w:r w:rsidRPr="00253D4C">
        <w:rPr>
          <w:rFonts w:cs="Times New Roman"/>
          <w:color w:val="000000" w:themeColor="text1"/>
        </w:rPr>
        <w:t>Now</w:t>
      </w:r>
      <w:r w:rsidR="00752785">
        <w:rPr>
          <w:rFonts w:cs="Times New Roman"/>
          <w:color w:val="000000" w:themeColor="text1"/>
        </w:rPr>
        <w:t>,</w:t>
      </w:r>
      <w:r w:rsidRPr="00253D4C">
        <w:rPr>
          <w:rFonts w:cs="Times New Roman"/>
          <w:color w:val="000000" w:themeColor="text1"/>
        </w:rPr>
        <w:t xml:space="preserve"> BJS is taking the results from its various methodological studies and using them to inform a redesign of the NCVS.  </w:t>
      </w:r>
      <w:r w:rsidR="005F3348">
        <w:rPr>
          <w:rFonts w:cs="Times New Roman"/>
          <w:color w:val="000000" w:themeColor="text1"/>
        </w:rPr>
        <w:t xml:space="preserve">The initial redesign activities are formative in nature.  </w:t>
      </w:r>
      <w:r w:rsidR="007B2841">
        <w:rPr>
          <w:rFonts w:cs="Times New Roman"/>
          <w:color w:val="000000" w:themeColor="text1"/>
        </w:rPr>
        <w:t>In this request</w:t>
      </w:r>
      <w:r w:rsidR="00815941">
        <w:rPr>
          <w:rFonts w:cs="Times New Roman"/>
          <w:color w:val="000000" w:themeColor="text1"/>
        </w:rPr>
        <w:t>,</w:t>
      </w:r>
      <w:r w:rsidR="007B2841">
        <w:rPr>
          <w:rFonts w:cs="Times New Roman"/>
          <w:color w:val="000000" w:themeColor="text1"/>
        </w:rPr>
        <w:t xml:space="preserve"> we describe </w:t>
      </w:r>
      <w:r w:rsidR="00815941">
        <w:rPr>
          <w:rFonts w:cs="Times New Roman"/>
          <w:color w:val="000000" w:themeColor="text1"/>
        </w:rPr>
        <w:t xml:space="preserve">an experiment to assess how respondents </w:t>
      </w:r>
      <w:r w:rsidR="003117E7">
        <w:rPr>
          <w:rFonts w:cs="Times New Roman"/>
          <w:color w:val="000000" w:themeColor="text1"/>
        </w:rPr>
        <w:t xml:space="preserve">classify incidents in terms of </w:t>
      </w:r>
      <w:r w:rsidR="00815941">
        <w:rPr>
          <w:rFonts w:cs="Times New Roman"/>
          <w:color w:val="000000" w:themeColor="text1"/>
        </w:rPr>
        <w:t xml:space="preserve">the current NCVS screening items.  </w:t>
      </w:r>
      <w:r w:rsidR="003117E7">
        <w:rPr>
          <w:rFonts w:cs="Times New Roman"/>
          <w:color w:val="000000" w:themeColor="text1"/>
        </w:rPr>
        <w:t>The same type of vignette study was used in developing the original screening questions</w:t>
      </w:r>
      <w:r w:rsidR="00247FD6">
        <w:rPr>
          <w:rFonts w:cs="Times New Roman"/>
          <w:color w:val="000000" w:themeColor="text1"/>
        </w:rPr>
        <w:t xml:space="preserve"> (see </w:t>
      </w:r>
      <w:proofErr w:type="spellStart"/>
      <w:r w:rsidR="00247FD6">
        <w:rPr>
          <w:rFonts w:cs="Times New Roman"/>
          <w:color w:val="000000" w:themeColor="text1"/>
        </w:rPr>
        <w:t>Biderman</w:t>
      </w:r>
      <w:proofErr w:type="spellEnd"/>
      <w:r w:rsidR="00247FD6">
        <w:rPr>
          <w:rFonts w:cs="Times New Roman"/>
          <w:color w:val="000000" w:themeColor="text1"/>
        </w:rPr>
        <w:t>, Cantor, Lynch, and Martin, 1986).</w:t>
      </w:r>
    </w:p>
    <w:p w14:paraId="724CC822" w14:textId="77777777" w:rsidR="00184E53" w:rsidRDefault="00184E53" w:rsidP="00184E53">
      <w:pPr>
        <w:rPr>
          <w:rFonts w:cs="Times New Roman"/>
          <w:color w:val="000000" w:themeColor="text1"/>
        </w:rPr>
      </w:pPr>
    </w:p>
    <w:p w14:paraId="06A6BBFD" w14:textId="77777777" w:rsidR="00253D4C" w:rsidRDefault="00253D4C" w:rsidP="00BF5FC3">
      <w:pPr>
        <w:rPr>
          <w:rFonts w:cs="Times New Roman"/>
          <w:color w:val="000000" w:themeColor="text1"/>
        </w:rPr>
      </w:pPr>
    </w:p>
    <w:p w14:paraId="4586814C" w14:textId="77777777" w:rsidR="00455FA5" w:rsidRPr="0058627A" w:rsidRDefault="00455FA5" w:rsidP="0058627A">
      <w:pPr>
        <w:rPr>
          <w:rFonts w:cs="Times New Roman"/>
          <w:b/>
          <w:color w:val="000000" w:themeColor="text1"/>
        </w:rPr>
      </w:pPr>
      <w:r w:rsidRPr="0058627A">
        <w:rPr>
          <w:rFonts w:cs="Times New Roman"/>
          <w:b/>
          <w:color w:val="000000" w:themeColor="text1"/>
        </w:rPr>
        <w:t xml:space="preserve">Crime Vignette </w:t>
      </w:r>
      <w:r w:rsidR="00C83005">
        <w:rPr>
          <w:rFonts w:cs="Times New Roman"/>
          <w:b/>
          <w:color w:val="000000" w:themeColor="text1"/>
        </w:rPr>
        <w:t>Testing Experiment</w:t>
      </w:r>
    </w:p>
    <w:p w14:paraId="541B16C7" w14:textId="77777777" w:rsidR="00455FA5" w:rsidRDefault="00455FA5" w:rsidP="00455FA5">
      <w:pPr>
        <w:rPr>
          <w:rFonts w:cs="Times New Roman"/>
          <w:b/>
          <w:color w:val="000000" w:themeColor="text1"/>
        </w:rPr>
      </w:pPr>
    </w:p>
    <w:p w14:paraId="2E45A5CA" w14:textId="4B0F6F6C" w:rsidR="009A62CC" w:rsidRDefault="007374E5" w:rsidP="007374E5">
      <w:pPr>
        <w:rPr>
          <w:rFonts w:cs="Times New Roman"/>
          <w:color w:val="000000" w:themeColor="text1"/>
        </w:rPr>
      </w:pPr>
      <w:r>
        <w:rPr>
          <w:rFonts w:cs="Times New Roman"/>
          <w:color w:val="000000" w:themeColor="text1"/>
        </w:rPr>
        <w:t xml:space="preserve">The current NCVS screener items are based on research conducted </w:t>
      </w:r>
      <w:r w:rsidR="004B7C64">
        <w:rPr>
          <w:rFonts w:cs="Times New Roman"/>
          <w:color w:val="000000" w:themeColor="text1"/>
        </w:rPr>
        <w:t xml:space="preserve">more than </w:t>
      </w:r>
      <w:r w:rsidR="00B26DF5">
        <w:rPr>
          <w:rFonts w:cs="Times New Roman"/>
          <w:color w:val="000000" w:themeColor="text1"/>
        </w:rPr>
        <w:t>25 years ago</w:t>
      </w:r>
      <w:r w:rsidR="0073350F">
        <w:rPr>
          <w:rFonts w:cs="Times New Roman"/>
          <w:color w:val="000000" w:themeColor="text1"/>
        </w:rPr>
        <w:t xml:space="preserve"> (</w:t>
      </w:r>
      <w:r w:rsidR="00247FD6">
        <w:rPr>
          <w:rFonts w:cs="Times New Roman"/>
          <w:color w:val="000000" w:themeColor="text1"/>
        </w:rPr>
        <w:t xml:space="preserve">the </w:t>
      </w:r>
      <w:r w:rsidR="0073350F">
        <w:rPr>
          <w:rFonts w:cs="Times New Roman"/>
          <w:color w:val="000000" w:themeColor="text1"/>
        </w:rPr>
        <w:t xml:space="preserve">current screener </w:t>
      </w:r>
      <w:r w:rsidR="00247FD6">
        <w:rPr>
          <w:rFonts w:cs="Times New Roman"/>
          <w:color w:val="000000" w:themeColor="text1"/>
        </w:rPr>
        <w:t>questions are in Appendix A</w:t>
      </w:r>
      <w:r w:rsidR="0073350F">
        <w:rPr>
          <w:rFonts w:cs="Times New Roman"/>
          <w:color w:val="000000" w:themeColor="text1"/>
        </w:rPr>
        <w:t>)</w:t>
      </w:r>
      <w:r w:rsidR="00B26DF5">
        <w:rPr>
          <w:rFonts w:cs="Times New Roman"/>
          <w:color w:val="000000" w:themeColor="text1"/>
        </w:rPr>
        <w:t xml:space="preserve">.  </w:t>
      </w:r>
      <w:r w:rsidR="009A62CC">
        <w:rPr>
          <w:rFonts w:cs="Times New Roman"/>
          <w:color w:val="000000" w:themeColor="text1"/>
        </w:rPr>
        <w:t xml:space="preserve">Societal norms have changed over the past decades, and </w:t>
      </w:r>
      <w:r w:rsidR="003117E7">
        <w:rPr>
          <w:rFonts w:cs="Times New Roman"/>
          <w:color w:val="000000" w:themeColor="text1"/>
        </w:rPr>
        <w:t xml:space="preserve">the </w:t>
      </w:r>
      <w:r w:rsidR="009A62CC">
        <w:rPr>
          <w:rFonts w:cs="Times New Roman"/>
          <w:color w:val="000000" w:themeColor="text1"/>
        </w:rPr>
        <w:t xml:space="preserve">approach </w:t>
      </w:r>
      <w:r w:rsidR="003117E7">
        <w:rPr>
          <w:rFonts w:cs="Times New Roman"/>
          <w:color w:val="000000" w:themeColor="text1"/>
        </w:rPr>
        <w:t xml:space="preserve">adopted </w:t>
      </w:r>
      <w:r w:rsidR="009A62CC">
        <w:rPr>
          <w:rFonts w:cs="Times New Roman"/>
          <w:color w:val="000000" w:themeColor="text1"/>
        </w:rPr>
        <w:t xml:space="preserve">in the late 80s may not </w:t>
      </w:r>
      <w:r w:rsidR="00247FD6">
        <w:rPr>
          <w:rFonts w:cs="Times New Roman"/>
          <w:color w:val="000000" w:themeColor="text1"/>
        </w:rPr>
        <w:t xml:space="preserve">be as effective </w:t>
      </w:r>
      <w:r w:rsidR="009A62CC">
        <w:rPr>
          <w:rFonts w:cs="Times New Roman"/>
          <w:color w:val="000000" w:themeColor="text1"/>
        </w:rPr>
        <w:t xml:space="preserve">for today’s respondents.  </w:t>
      </w:r>
      <w:r w:rsidR="00247FD6">
        <w:rPr>
          <w:rFonts w:cs="Times New Roman"/>
          <w:color w:val="000000" w:themeColor="text1"/>
        </w:rPr>
        <w:t xml:space="preserve">The issue to be explored in the vignette experiment is whether the cues in the current screener questions get respondents to report the types of incidents they are supposed to report.  </w:t>
      </w:r>
      <w:r w:rsidR="00B36666">
        <w:rPr>
          <w:rFonts w:cs="Times New Roman"/>
          <w:color w:val="000000" w:themeColor="text1"/>
        </w:rPr>
        <w:t xml:space="preserve">Also, </w:t>
      </w:r>
      <w:r w:rsidR="00D71BAE">
        <w:rPr>
          <w:rFonts w:cs="Times New Roman"/>
          <w:color w:val="000000" w:themeColor="text1"/>
        </w:rPr>
        <w:t xml:space="preserve">while NCVS panel households are asked to complete the survey seven times over a three and a half year span, </w:t>
      </w:r>
      <w:r w:rsidR="00B36666">
        <w:rPr>
          <w:rFonts w:cs="Times New Roman"/>
          <w:color w:val="000000" w:themeColor="text1"/>
        </w:rPr>
        <w:t xml:space="preserve">the </w:t>
      </w:r>
      <w:r w:rsidR="00D71BAE">
        <w:rPr>
          <w:rFonts w:cs="Times New Roman"/>
          <w:color w:val="000000" w:themeColor="text1"/>
        </w:rPr>
        <w:t xml:space="preserve">1989 screener experiment </w:t>
      </w:r>
      <w:r w:rsidR="00B36666">
        <w:rPr>
          <w:rFonts w:cs="Times New Roman"/>
          <w:color w:val="000000" w:themeColor="text1"/>
        </w:rPr>
        <w:t xml:space="preserve">was based </w:t>
      </w:r>
      <w:r w:rsidR="002310FA">
        <w:rPr>
          <w:rFonts w:cs="Times New Roman"/>
          <w:color w:val="000000" w:themeColor="text1"/>
        </w:rPr>
        <w:t>on a single interview</w:t>
      </w:r>
      <w:r w:rsidR="00D71BAE">
        <w:rPr>
          <w:rFonts w:cs="Times New Roman"/>
          <w:color w:val="000000" w:themeColor="text1"/>
        </w:rPr>
        <w:t xml:space="preserve"> only</w:t>
      </w:r>
      <w:r w:rsidR="002310FA">
        <w:rPr>
          <w:rFonts w:cs="Times New Roman"/>
          <w:color w:val="000000" w:themeColor="text1"/>
        </w:rPr>
        <w:t xml:space="preserve">.  Census interviewers </w:t>
      </w:r>
      <w:r w:rsidR="00D71BAE">
        <w:rPr>
          <w:rFonts w:cs="Times New Roman"/>
          <w:color w:val="000000" w:themeColor="text1"/>
        </w:rPr>
        <w:t xml:space="preserve">today </w:t>
      </w:r>
      <w:r w:rsidR="002310FA">
        <w:rPr>
          <w:rFonts w:cs="Times New Roman"/>
          <w:color w:val="000000" w:themeColor="text1"/>
        </w:rPr>
        <w:t>suggest that r</w:t>
      </w:r>
      <w:r w:rsidR="006B12F1">
        <w:rPr>
          <w:rFonts w:cs="Times New Roman"/>
          <w:color w:val="000000" w:themeColor="text1"/>
        </w:rPr>
        <w:t xml:space="preserve">espondents who are </w:t>
      </w:r>
      <w:r w:rsidR="002310FA">
        <w:rPr>
          <w:rFonts w:cs="Times New Roman"/>
          <w:color w:val="000000" w:themeColor="text1"/>
        </w:rPr>
        <w:t xml:space="preserve">patient with </w:t>
      </w:r>
      <w:r w:rsidR="006B12F1">
        <w:rPr>
          <w:rFonts w:cs="Times New Roman"/>
          <w:color w:val="000000" w:themeColor="text1"/>
        </w:rPr>
        <w:t xml:space="preserve">screener items in </w:t>
      </w:r>
      <w:r w:rsidR="002310FA">
        <w:rPr>
          <w:rFonts w:cs="Times New Roman"/>
          <w:color w:val="000000" w:themeColor="text1"/>
        </w:rPr>
        <w:t xml:space="preserve">the initial </w:t>
      </w:r>
      <w:r w:rsidR="006B12F1">
        <w:rPr>
          <w:rFonts w:cs="Times New Roman"/>
          <w:color w:val="000000" w:themeColor="text1"/>
        </w:rPr>
        <w:t xml:space="preserve">interview </w:t>
      </w:r>
      <w:r w:rsidR="002B5FFD">
        <w:rPr>
          <w:rFonts w:cs="Times New Roman"/>
          <w:color w:val="000000" w:themeColor="text1"/>
        </w:rPr>
        <w:t>may</w:t>
      </w:r>
      <w:r w:rsidR="002310FA">
        <w:rPr>
          <w:rFonts w:cs="Times New Roman"/>
          <w:color w:val="000000" w:themeColor="text1"/>
        </w:rPr>
        <w:t xml:space="preserve"> stop listening to the probes </w:t>
      </w:r>
      <w:r w:rsidR="002F4255">
        <w:rPr>
          <w:rFonts w:cs="Times New Roman"/>
          <w:color w:val="000000" w:themeColor="text1"/>
        </w:rPr>
        <w:t xml:space="preserve">in </w:t>
      </w:r>
      <w:r w:rsidR="002310FA">
        <w:rPr>
          <w:rFonts w:cs="Times New Roman"/>
          <w:color w:val="000000" w:themeColor="text1"/>
        </w:rPr>
        <w:t xml:space="preserve">later </w:t>
      </w:r>
      <w:r w:rsidR="002F4255">
        <w:rPr>
          <w:rFonts w:cs="Times New Roman"/>
          <w:color w:val="000000" w:themeColor="text1"/>
        </w:rPr>
        <w:t xml:space="preserve">waves of the study </w:t>
      </w:r>
      <w:r w:rsidR="00D71BAE">
        <w:rPr>
          <w:rFonts w:cs="Times New Roman"/>
          <w:color w:val="000000" w:themeColor="text1"/>
        </w:rPr>
        <w:t>(with interviews 5-7 particularly challenging)</w:t>
      </w:r>
      <w:r w:rsidR="006B12F1">
        <w:rPr>
          <w:rFonts w:cs="Times New Roman"/>
          <w:color w:val="000000" w:themeColor="text1"/>
        </w:rPr>
        <w:t>.  O</w:t>
      </w:r>
      <w:r w:rsidR="009A62CC">
        <w:rPr>
          <w:rFonts w:cs="Times New Roman"/>
          <w:color w:val="000000" w:themeColor="text1"/>
        </w:rPr>
        <w:t xml:space="preserve">ne focus of the </w:t>
      </w:r>
      <w:r w:rsidR="00D71BAE">
        <w:rPr>
          <w:rFonts w:cs="Times New Roman"/>
          <w:color w:val="000000" w:themeColor="text1"/>
        </w:rPr>
        <w:t>R</w:t>
      </w:r>
      <w:r w:rsidR="009A62CC">
        <w:rPr>
          <w:rFonts w:cs="Times New Roman"/>
          <w:color w:val="000000" w:themeColor="text1"/>
        </w:rPr>
        <w:t xml:space="preserve">edesign will be to </w:t>
      </w:r>
      <w:r w:rsidR="002310FA">
        <w:rPr>
          <w:rFonts w:cs="Times New Roman"/>
          <w:color w:val="000000" w:themeColor="text1"/>
        </w:rPr>
        <w:t>revis</w:t>
      </w:r>
      <w:r w:rsidR="00F01C78">
        <w:rPr>
          <w:rFonts w:cs="Times New Roman"/>
          <w:color w:val="000000" w:themeColor="text1"/>
        </w:rPr>
        <w:t>e</w:t>
      </w:r>
      <w:r w:rsidR="002310FA">
        <w:rPr>
          <w:rFonts w:cs="Times New Roman"/>
          <w:color w:val="000000" w:themeColor="text1"/>
        </w:rPr>
        <w:t xml:space="preserve"> </w:t>
      </w:r>
      <w:r w:rsidR="009A62CC">
        <w:rPr>
          <w:rFonts w:cs="Times New Roman"/>
          <w:color w:val="000000" w:themeColor="text1"/>
        </w:rPr>
        <w:t xml:space="preserve">the </w:t>
      </w:r>
      <w:r w:rsidR="006B12F1">
        <w:rPr>
          <w:rFonts w:cs="Times New Roman"/>
          <w:color w:val="000000" w:themeColor="text1"/>
        </w:rPr>
        <w:t xml:space="preserve">current </w:t>
      </w:r>
      <w:r w:rsidR="009A62CC">
        <w:rPr>
          <w:rFonts w:cs="Times New Roman"/>
          <w:color w:val="000000" w:themeColor="text1"/>
        </w:rPr>
        <w:t>screener items</w:t>
      </w:r>
      <w:r w:rsidR="002310FA">
        <w:rPr>
          <w:rFonts w:cs="Times New Roman"/>
          <w:color w:val="000000" w:themeColor="text1"/>
        </w:rPr>
        <w:t>, with the goal of developing a screener that can maximize data quality across all seven interviews</w:t>
      </w:r>
      <w:r w:rsidR="009A62CC">
        <w:rPr>
          <w:rFonts w:cs="Times New Roman"/>
          <w:color w:val="000000" w:themeColor="text1"/>
        </w:rPr>
        <w:t xml:space="preserve">.  </w:t>
      </w:r>
    </w:p>
    <w:p w14:paraId="40F5F386" w14:textId="77777777" w:rsidR="009A62CC" w:rsidRDefault="009A62CC" w:rsidP="007374E5">
      <w:pPr>
        <w:rPr>
          <w:rFonts w:cs="Times New Roman"/>
          <w:color w:val="000000" w:themeColor="text1"/>
        </w:rPr>
      </w:pPr>
    </w:p>
    <w:p w14:paraId="368C3DE9" w14:textId="43C674CA" w:rsidR="00C83005" w:rsidRDefault="0021146E" w:rsidP="00C83005">
      <w:pPr>
        <w:rPr>
          <w:rFonts w:cs="Times New Roman"/>
          <w:color w:val="000000" w:themeColor="text1"/>
        </w:rPr>
      </w:pPr>
      <w:r>
        <w:rPr>
          <w:rFonts w:cs="Times New Roman"/>
          <w:color w:val="000000" w:themeColor="text1"/>
        </w:rPr>
        <w:t xml:space="preserve">This </w:t>
      </w:r>
      <w:r w:rsidR="002310FA">
        <w:rPr>
          <w:rFonts w:cs="Times New Roman"/>
          <w:color w:val="000000" w:themeColor="text1"/>
        </w:rPr>
        <w:t>first experiment</w:t>
      </w:r>
      <w:r>
        <w:rPr>
          <w:rFonts w:cs="Times New Roman"/>
          <w:color w:val="000000" w:themeColor="text1"/>
        </w:rPr>
        <w:t xml:space="preserve"> and the focus of</w:t>
      </w:r>
      <w:r w:rsidR="00F01C78">
        <w:rPr>
          <w:rFonts w:cs="Times New Roman"/>
          <w:color w:val="000000" w:themeColor="text1"/>
        </w:rPr>
        <w:t xml:space="preserve"> this generic clearance request </w:t>
      </w:r>
      <w:r w:rsidR="00234AED">
        <w:rPr>
          <w:rFonts w:cs="Times New Roman"/>
          <w:color w:val="000000" w:themeColor="text1"/>
        </w:rPr>
        <w:t xml:space="preserve">uses </w:t>
      </w:r>
      <w:r w:rsidR="002310FA">
        <w:rPr>
          <w:rFonts w:cs="Times New Roman"/>
          <w:color w:val="000000" w:themeColor="text1"/>
        </w:rPr>
        <w:t>vignette</w:t>
      </w:r>
      <w:r w:rsidR="00234AED">
        <w:rPr>
          <w:rFonts w:cs="Times New Roman"/>
          <w:color w:val="000000" w:themeColor="text1"/>
        </w:rPr>
        <w:t>s</w:t>
      </w:r>
      <w:r w:rsidR="002310FA">
        <w:rPr>
          <w:rFonts w:cs="Times New Roman"/>
          <w:color w:val="000000" w:themeColor="text1"/>
        </w:rPr>
        <w:t xml:space="preserve"> </w:t>
      </w:r>
      <w:r w:rsidR="00234AED">
        <w:rPr>
          <w:rFonts w:cs="Times New Roman"/>
          <w:color w:val="000000" w:themeColor="text1"/>
        </w:rPr>
        <w:t xml:space="preserve">to examine </w:t>
      </w:r>
      <w:r w:rsidR="002F4255">
        <w:rPr>
          <w:rFonts w:cs="Times New Roman"/>
          <w:color w:val="000000" w:themeColor="text1"/>
        </w:rPr>
        <w:t xml:space="preserve">both the </w:t>
      </w:r>
      <w:r w:rsidR="00234AED">
        <w:rPr>
          <w:rFonts w:cs="Times New Roman"/>
          <w:color w:val="000000" w:themeColor="text1"/>
        </w:rPr>
        <w:t>current screening items and shorte</w:t>
      </w:r>
      <w:r w:rsidR="002F4255">
        <w:rPr>
          <w:rFonts w:cs="Times New Roman"/>
          <w:color w:val="000000" w:themeColor="text1"/>
        </w:rPr>
        <w:t xml:space="preserve">r </w:t>
      </w:r>
      <w:r w:rsidR="00234AED">
        <w:rPr>
          <w:rFonts w:cs="Times New Roman"/>
          <w:color w:val="000000" w:themeColor="text1"/>
        </w:rPr>
        <w:t>versions of them</w:t>
      </w:r>
      <w:r w:rsidR="002310FA">
        <w:rPr>
          <w:rFonts w:cs="Times New Roman"/>
          <w:color w:val="000000" w:themeColor="text1"/>
        </w:rPr>
        <w:t xml:space="preserve">. </w:t>
      </w:r>
      <w:r w:rsidR="006E510D">
        <w:rPr>
          <w:rFonts w:cs="Times New Roman"/>
          <w:color w:val="000000" w:themeColor="text1"/>
        </w:rPr>
        <w:t xml:space="preserve">Vignettes, or brief stories, </w:t>
      </w:r>
      <w:r w:rsidR="00234AED">
        <w:rPr>
          <w:rFonts w:cs="Times New Roman"/>
          <w:color w:val="000000" w:themeColor="text1"/>
        </w:rPr>
        <w:t xml:space="preserve">will </w:t>
      </w:r>
      <w:r w:rsidR="006E510D">
        <w:rPr>
          <w:rFonts w:cs="Times New Roman"/>
          <w:color w:val="000000" w:themeColor="text1"/>
        </w:rPr>
        <w:t xml:space="preserve">be used to </w:t>
      </w:r>
      <w:r w:rsidR="00234AED">
        <w:rPr>
          <w:rFonts w:cs="Times New Roman"/>
          <w:color w:val="000000" w:themeColor="text1"/>
        </w:rPr>
        <w:t xml:space="preserve">examine </w:t>
      </w:r>
      <w:r w:rsidR="006E510D">
        <w:rPr>
          <w:rFonts w:cs="Times New Roman"/>
          <w:color w:val="000000" w:themeColor="text1"/>
        </w:rPr>
        <w:t>how respondent</w:t>
      </w:r>
      <w:r w:rsidR="00234AED">
        <w:rPr>
          <w:rFonts w:cs="Times New Roman"/>
          <w:color w:val="000000" w:themeColor="text1"/>
        </w:rPr>
        <w:t>s</w:t>
      </w:r>
      <w:r w:rsidR="006E510D">
        <w:rPr>
          <w:rFonts w:cs="Times New Roman"/>
          <w:color w:val="000000" w:themeColor="text1"/>
        </w:rPr>
        <w:t xml:space="preserve"> decide whether a given scenario </w:t>
      </w:r>
      <w:r w:rsidR="002F4255">
        <w:rPr>
          <w:rFonts w:cs="Times New Roman"/>
          <w:color w:val="000000" w:themeColor="text1"/>
        </w:rPr>
        <w:t>should be reported in response to a specific screening item</w:t>
      </w:r>
      <w:r w:rsidR="006E510D">
        <w:rPr>
          <w:rFonts w:cs="Times New Roman"/>
          <w:color w:val="000000" w:themeColor="text1"/>
        </w:rPr>
        <w:t xml:space="preserve">. </w:t>
      </w:r>
      <w:r w:rsidR="00C83005">
        <w:rPr>
          <w:rFonts w:cs="Times New Roman"/>
          <w:color w:val="000000" w:themeColor="text1"/>
        </w:rPr>
        <w:t>T</w:t>
      </w:r>
      <w:r w:rsidR="00C83005" w:rsidRPr="007374E5">
        <w:rPr>
          <w:rFonts w:cs="Times New Roman"/>
          <w:color w:val="000000" w:themeColor="text1"/>
        </w:rPr>
        <w:t xml:space="preserve">he </w:t>
      </w:r>
      <w:r w:rsidR="002F4255">
        <w:rPr>
          <w:rFonts w:cs="Times New Roman"/>
          <w:color w:val="000000" w:themeColor="text1"/>
        </w:rPr>
        <w:t xml:space="preserve">experiment </w:t>
      </w:r>
      <w:r w:rsidR="003117E7">
        <w:rPr>
          <w:rFonts w:cs="Times New Roman"/>
          <w:color w:val="000000" w:themeColor="text1"/>
        </w:rPr>
        <w:t>examine</w:t>
      </w:r>
      <w:r w:rsidR="002F4255">
        <w:rPr>
          <w:rFonts w:cs="Times New Roman"/>
          <w:color w:val="000000" w:themeColor="text1"/>
        </w:rPr>
        <w:t>s</w:t>
      </w:r>
      <w:r w:rsidR="003117E7">
        <w:rPr>
          <w:rFonts w:cs="Times New Roman"/>
          <w:color w:val="000000" w:themeColor="text1"/>
        </w:rPr>
        <w:t xml:space="preserve"> the </w:t>
      </w:r>
      <w:r w:rsidR="00C83005" w:rsidRPr="007374E5">
        <w:rPr>
          <w:rFonts w:cs="Times New Roman"/>
          <w:color w:val="000000" w:themeColor="text1"/>
        </w:rPr>
        <w:t xml:space="preserve">existing </w:t>
      </w:r>
      <w:r w:rsidR="00C83005">
        <w:rPr>
          <w:rFonts w:cs="Times New Roman"/>
          <w:color w:val="000000" w:themeColor="text1"/>
        </w:rPr>
        <w:t xml:space="preserve">NCVS screener </w:t>
      </w:r>
      <w:r w:rsidR="00C83005" w:rsidRPr="007374E5">
        <w:rPr>
          <w:rFonts w:cs="Times New Roman"/>
          <w:color w:val="000000" w:themeColor="text1"/>
        </w:rPr>
        <w:t>items</w:t>
      </w:r>
      <w:r w:rsidR="002F4255">
        <w:rPr>
          <w:rFonts w:cs="Times New Roman"/>
          <w:color w:val="000000" w:themeColor="text1"/>
        </w:rPr>
        <w:t xml:space="preserve">, observing whether </w:t>
      </w:r>
      <w:r w:rsidR="00C83005" w:rsidRPr="007374E5">
        <w:rPr>
          <w:rFonts w:cs="Times New Roman"/>
          <w:color w:val="000000" w:themeColor="text1"/>
        </w:rPr>
        <w:t xml:space="preserve">a sample of adults classifies </w:t>
      </w:r>
      <w:r w:rsidR="002F4255">
        <w:rPr>
          <w:rFonts w:cs="Times New Roman"/>
          <w:color w:val="000000" w:themeColor="text1"/>
        </w:rPr>
        <w:t xml:space="preserve">reports </w:t>
      </w:r>
      <w:r w:rsidR="00C83005" w:rsidRPr="007374E5">
        <w:rPr>
          <w:rFonts w:cs="Times New Roman"/>
          <w:color w:val="000000" w:themeColor="text1"/>
        </w:rPr>
        <w:t>incidents as crimes.</w:t>
      </w:r>
      <w:r w:rsidR="00C83005">
        <w:rPr>
          <w:rFonts w:cs="Times New Roman"/>
          <w:color w:val="000000" w:themeColor="text1"/>
        </w:rPr>
        <w:t xml:space="preserve"> </w:t>
      </w:r>
      <w:r w:rsidR="002F4255">
        <w:rPr>
          <w:rFonts w:cs="Times New Roman"/>
          <w:color w:val="000000" w:themeColor="text1"/>
        </w:rPr>
        <w:t xml:space="preserve"> In addition, the experiment </w:t>
      </w:r>
      <w:r w:rsidR="003117E7">
        <w:rPr>
          <w:rFonts w:cs="Times New Roman"/>
          <w:color w:val="000000" w:themeColor="text1"/>
        </w:rPr>
        <w:t>include</w:t>
      </w:r>
      <w:r w:rsidR="002F4255">
        <w:rPr>
          <w:rFonts w:cs="Times New Roman"/>
          <w:color w:val="000000" w:themeColor="text1"/>
        </w:rPr>
        <w:t>s</w:t>
      </w:r>
      <w:r w:rsidR="003117E7">
        <w:rPr>
          <w:rFonts w:cs="Times New Roman"/>
          <w:color w:val="000000" w:themeColor="text1"/>
        </w:rPr>
        <w:t xml:space="preserve"> streamlined versions of the screener items to see whether they lead to different classifications. </w:t>
      </w:r>
      <w:r w:rsidR="002F4255">
        <w:rPr>
          <w:rFonts w:cs="Times New Roman"/>
          <w:color w:val="000000" w:themeColor="text1"/>
        </w:rPr>
        <w:t xml:space="preserve"> </w:t>
      </w:r>
      <w:r w:rsidR="00C83005">
        <w:rPr>
          <w:rFonts w:cs="Times New Roman"/>
          <w:color w:val="000000" w:themeColor="text1"/>
        </w:rPr>
        <w:t xml:space="preserve">Later in the redesign process, we plan to use the “vignette approach” </w:t>
      </w:r>
      <w:r w:rsidR="006B250F">
        <w:rPr>
          <w:rFonts w:cs="Times New Roman"/>
          <w:color w:val="000000" w:themeColor="text1"/>
        </w:rPr>
        <w:t xml:space="preserve">again </w:t>
      </w:r>
      <w:r w:rsidR="00C83005">
        <w:rPr>
          <w:rFonts w:cs="Times New Roman"/>
          <w:color w:val="000000" w:themeColor="text1"/>
        </w:rPr>
        <w:t xml:space="preserve">to test the impact of question wording changes on interpretation and response.  This current experiment </w:t>
      </w:r>
      <w:r w:rsidR="002F4255">
        <w:rPr>
          <w:rFonts w:cs="Times New Roman"/>
          <w:color w:val="000000" w:themeColor="text1"/>
        </w:rPr>
        <w:t xml:space="preserve">offers a </w:t>
      </w:r>
      <w:r w:rsidR="00C83005">
        <w:rPr>
          <w:rFonts w:cs="Times New Roman"/>
          <w:color w:val="000000" w:themeColor="text1"/>
        </w:rPr>
        <w:t xml:space="preserve">chance to test and fine-tune </w:t>
      </w:r>
      <w:r w:rsidR="002F4255">
        <w:rPr>
          <w:rFonts w:cs="Times New Roman"/>
          <w:color w:val="000000" w:themeColor="text1"/>
        </w:rPr>
        <w:t xml:space="preserve">this </w:t>
      </w:r>
      <w:r w:rsidR="00C83005">
        <w:rPr>
          <w:rFonts w:cs="Times New Roman"/>
          <w:color w:val="000000" w:themeColor="text1"/>
        </w:rPr>
        <w:t xml:space="preserve">methodology so that it is ready for question testing in </w:t>
      </w:r>
      <w:r w:rsidR="002F4255">
        <w:rPr>
          <w:rFonts w:cs="Times New Roman"/>
          <w:color w:val="000000" w:themeColor="text1"/>
        </w:rPr>
        <w:t xml:space="preserve">later </w:t>
      </w:r>
      <w:r w:rsidR="00C83005">
        <w:rPr>
          <w:rFonts w:cs="Times New Roman"/>
          <w:color w:val="000000" w:themeColor="text1"/>
        </w:rPr>
        <w:t>phase</w:t>
      </w:r>
      <w:r w:rsidR="002F4255">
        <w:rPr>
          <w:rFonts w:cs="Times New Roman"/>
          <w:color w:val="000000" w:themeColor="text1"/>
        </w:rPr>
        <w:t>s</w:t>
      </w:r>
      <w:r w:rsidR="00C83005">
        <w:rPr>
          <w:rFonts w:cs="Times New Roman"/>
          <w:color w:val="000000" w:themeColor="text1"/>
        </w:rPr>
        <w:t>.</w:t>
      </w:r>
      <w:r w:rsidR="002F4255">
        <w:rPr>
          <w:rFonts w:cs="Times New Roman"/>
          <w:color w:val="000000" w:themeColor="text1"/>
        </w:rPr>
        <w:t xml:space="preserve">  In addition, the results of this initial study will help us identify the characteristics of incidents (for example, the seriousness of their impact) that lead respondents to report them.</w:t>
      </w:r>
    </w:p>
    <w:p w14:paraId="3D2FF281" w14:textId="77777777" w:rsidR="007128FA" w:rsidRDefault="007128FA" w:rsidP="007374E5">
      <w:pPr>
        <w:rPr>
          <w:rFonts w:cs="Times New Roman"/>
          <w:color w:val="000000" w:themeColor="text1"/>
        </w:rPr>
      </w:pPr>
    </w:p>
    <w:p w14:paraId="7377170D" w14:textId="43CB25DD" w:rsidR="00C83005" w:rsidRPr="00C83005" w:rsidRDefault="00C83005" w:rsidP="00C83005">
      <w:pPr>
        <w:rPr>
          <w:rFonts w:cs="Times New Roman"/>
          <w:color w:val="000000" w:themeColor="text1"/>
        </w:rPr>
      </w:pPr>
      <w:r w:rsidRPr="00C83005">
        <w:rPr>
          <w:rFonts w:cs="Times New Roman"/>
          <w:color w:val="000000" w:themeColor="text1"/>
        </w:rPr>
        <w:lastRenderedPageBreak/>
        <w:t xml:space="preserve">Vignettes </w:t>
      </w:r>
      <w:r w:rsidR="002F4255">
        <w:rPr>
          <w:rFonts w:cs="Times New Roman"/>
          <w:color w:val="000000" w:themeColor="text1"/>
        </w:rPr>
        <w:t xml:space="preserve">have often been </w:t>
      </w:r>
      <w:r w:rsidRPr="00C83005">
        <w:rPr>
          <w:rFonts w:cs="Times New Roman"/>
          <w:color w:val="000000" w:themeColor="text1"/>
        </w:rPr>
        <w:t>used to understand how respondents classify events or situations</w:t>
      </w:r>
      <w:r w:rsidR="0073350F">
        <w:rPr>
          <w:rFonts w:cs="Times New Roman"/>
          <w:color w:val="000000" w:themeColor="text1"/>
        </w:rPr>
        <w:t xml:space="preserve"> (</w:t>
      </w:r>
      <w:proofErr w:type="spellStart"/>
      <w:r w:rsidR="000B3E01">
        <w:rPr>
          <w:rFonts w:cs="Times New Roman"/>
          <w:color w:val="000000" w:themeColor="text1"/>
        </w:rPr>
        <w:t>Biderman</w:t>
      </w:r>
      <w:proofErr w:type="spellEnd"/>
      <w:r w:rsidR="000B3E01">
        <w:rPr>
          <w:rFonts w:cs="Times New Roman"/>
          <w:color w:val="000000" w:themeColor="text1"/>
        </w:rPr>
        <w:t xml:space="preserve"> et al., 1986; Martin and </w:t>
      </w:r>
      <w:proofErr w:type="spellStart"/>
      <w:r w:rsidR="000B3E01">
        <w:rPr>
          <w:rFonts w:cs="Times New Roman"/>
          <w:color w:val="000000" w:themeColor="text1"/>
        </w:rPr>
        <w:t>Polivka</w:t>
      </w:r>
      <w:proofErr w:type="spellEnd"/>
      <w:r w:rsidR="000B3E01">
        <w:rPr>
          <w:rFonts w:cs="Times New Roman"/>
          <w:color w:val="000000" w:themeColor="text1"/>
        </w:rPr>
        <w:t>, 1996)</w:t>
      </w:r>
      <w:r w:rsidRPr="00C83005">
        <w:rPr>
          <w:rFonts w:cs="Times New Roman"/>
          <w:color w:val="000000" w:themeColor="text1"/>
        </w:rPr>
        <w:t xml:space="preserve">.  We propose to administer a set of vignettes to help us understand how respondents determine whether incidents should be reported in response to the NCVS screening items. </w:t>
      </w:r>
      <w:r w:rsidR="002F4255">
        <w:rPr>
          <w:rFonts w:cs="Times New Roman"/>
          <w:color w:val="000000" w:themeColor="text1"/>
        </w:rPr>
        <w:t xml:space="preserve"> W</w:t>
      </w:r>
      <w:r w:rsidRPr="00C83005">
        <w:rPr>
          <w:rFonts w:cs="Times New Roman"/>
          <w:color w:val="000000" w:themeColor="text1"/>
        </w:rPr>
        <w:t>e examine several factors that may influence whether respondents report specific events, including the seriousness of the incident, the relation of the offender to the respondent, and, in the case of property crimes, whether the item stolen was actually the respondent’s.</w:t>
      </w:r>
      <w:r w:rsidR="002F4255">
        <w:rPr>
          <w:rFonts w:cs="Times New Roman"/>
          <w:color w:val="000000" w:themeColor="text1"/>
        </w:rPr>
        <w:t xml:space="preserve"> </w:t>
      </w:r>
      <w:r w:rsidRPr="00C83005">
        <w:rPr>
          <w:rFonts w:cs="Times New Roman"/>
          <w:color w:val="000000" w:themeColor="text1"/>
        </w:rPr>
        <w:t xml:space="preserve"> If we </w:t>
      </w:r>
      <w:r w:rsidR="006E1FFE">
        <w:rPr>
          <w:rFonts w:cs="Times New Roman"/>
          <w:color w:val="000000" w:themeColor="text1"/>
        </w:rPr>
        <w:t xml:space="preserve">can better </w:t>
      </w:r>
      <w:r w:rsidRPr="00C83005">
        <w:rPr>
          <w:rFonts w:cs="Times New Roman"/>
          <w:color w:val="000000" w:themeColor="text1"/>
        </w:rPr>
        <w:t xml:space="preserve">understand </w:t>
      </w:r>
      <w:r w:rsidR="006E1FFE">
        <w:rPr>
          <w:rFonts w:cs="Times New Roman"/>
          <w:color w:val="000000" w:themeColor="text1"/>
        </w:rPr>
        <w:t xml:space="preserve">the </w:t>
      </w:r>
      <w:r w:rsidRPr="00C83005">
        <w:rPr>
          <w:rFonts w:cs="Times New Roman"/>
          <w:color w:val="000000" w:themeColor="text1"/>
        </w:rPr>
        <w:t xml:space="preserve">factors </w:t>
      </w:r>
      <w:r w:rsidR="006E1FFE">
        <w:rPr>
          <w:rFonts w:cs="Times New Roman"/>
          <w:color w:val="000000" w:themeColor="text1"/>
        </w:rPr>
        <w:t xml:space="preserve">that </w:t>
      </w:r>
      <w:r w:rsidRPr="00C83005">
        <w:rPr>
          <w:rFonts w:cs="Times New Roman"/>
          <w:color w:val="000000" w:themeColor="text1"/>
        </w:rPr>
        <w:t xml:space="preserve">influence what respondents include or exclude from their reports, we can revise the screening items so that their answers are more in line with the NCVS’s objectives. We regard this initial study as a </w:t>
      </w:r>
      <w:r w:rsidR="003117E7">
        <w:rPr>
          <w:rFonts w:cs="Times New Roman"/>
          <w:color w:val="000000" w:themeColor="text1"/>
        </w:rPr>
        <w:t>pilot study, demonstrating the value of the vignette approach</w:t>
      </w:r>
      <w:r w:rsidRPr="00C83005">
        <w:rPr>
          <w:rFonts w:cs="Times New Roman"/>
          <w:color w:val="000000" w:themeColor="text1"/>
        </w:rPr>
        <w:t xml:space="preserve">.  When we have revised screener items at later stage of the project, the vignette methodology may be useful in testing whether the new items lead to more accurate answers.  </w:t>
      </w:r>
    </w:p>
    <w:p w14:paraId="3ABC45E9" w14:textId="77777777" w:rsidR="0058627A" w:rsidRDefault="0058627A">
      <w:pPr>
        <w:rPr>
          <w:rFonts w:cs="Times New Roman"/>
          <w:color w:val="000000" w:themeColor="text1"/>
          <w:u w:val="single"/>
        </w:rPr>
      </w:pPr>
    </w:p>
    <w:p w14:paraId="63D2BC9B" w14:textId="77777777" w:rsidR="00D71BAE" w:rsidRPr="00887785" w:rsidRDefault="00D71BAE" w:rsidP="00D71BAE">
      <w:pPr>
        <w:rPr>
          <w:rFonts w:cs="Times New Roman"/>
          <w:color w:val="000000" w:themeColor="text1"/>
          <w:u w:val="single"/>
        </w:rPr>
      </w:pPr>
      <w:r w:rsidRPr="00887785">
        <w:rPr>
          <w:rFonts w:cs="Times New Roman"/>
          <w:color w:val="000000" w:themeColor="text1"/>
          <w:u w:val="single"/>
        </w:rPr>
        <w:t>Sample</w:t>
      </w:r>
      <w:r>
        <w:rPr>
          <w:rFonts w:cs="Times New Roman"/>
          <w:color w:val="000000" w:themeColor="text1"/>
          <w:u w:val="single"/>
        </w:rPr>
        <w:t xml:space="preserve"> Design</w:t>
      </w:r>
    </w:p>
    <w:p w14:paraId="269A72A8" w14:textId="77777777" w:rsidR="00D71BAE" w:rsidRDefault="00D71BAE" w:rsidP="00D71BAE">
      <w:pPr>
        <w:rPr>
          <w:rFonts w:cs="Times New Roman"/>
          <w:color w:val="000000" w:themeColor="text1"/>
        </w:rPr>
      </w:pPr>
    </w:p>
    <w:p w14:paraId="0E2D6389" w14:textId="637857D0" w:rsidR="00C83005" w:rsidRDefault="00C83005" w:rsidP="00C83005">
      <w:pPr>
        <w:rPr>
          <w:rFonts w:cs="Times New Roman"/>
          <w:color w:val="000000" w:themeColor="text1"/>
        </w:rPr>
      </w:pPr>
      <w:r w:rsidRPr="00C83005">
        <w:rPr>
          <w:rFonts w:cs="Times New Roman"/>
          <w:color w:val="000000" w:themeColor="text1"/>
        </w:rPr>
        <w:t>The vignettes will be administered to a split sample of respondents</w:t>
      </w:r>
      <w:r w:rsidR="001101A5">
        <w:rPr>
          <w:rFonts w:cs="Times New Roman"/>
          <w:color w:val="000000" w:themeColor="text1"/>
        </w:rPr>
        <w:t>,</w:t>
      </w:r>
      <w:r w:rsidRPr="00C83005">
        <w:rPr>
          <w:rFonts w:cs="Times New Roman"/>
          <w:color w:val="000000" w:themeColor="text1"/>
        </w:rPr>
        <w:t xml:space="preserve"> with half receiving </w:t>
      </w:r>
      <w:r w:rsidR="001101A5">
        <w:rPr>
          <w:rFonts w:cs="Times New Roman"/>
          <w:color w:val="000000" w:themeColor="text1"/>
        </w:rPr>
        <w:t xml:space="preserve">the </w:t>
      </w:r>
      <w:r w:rsidRPr="00C83005">
        <w:rPr>
          <w:rFonts w:cs="Times New Roman"/>
          <w:color w:val="000000" w:themeColor="text1"/>
        </w:rPr>
        <w:t xml:space="preserve">current screening items and half receiving streamlined versions of the </w:t>
      </w:r>
      <w:r w:rsidR="00CB6017">
        <w:rPr>
          <w:rFonts w:cs="Times New Roman"/>
          <w:color w:val="000000" w:themeColor="text1"/>
        </w:rPr>
        <w:t>items</w:t>
      </w:r>
      <w:r w:rsidRPr="00C83005">
        <w:rPr>
          <w:rFonts w:cs="Times New Roman"/>
          <w:color w:val="000000" w:themeColor="text1"/>
        </w:rPr>
        <w:t xml:space="preserve">.  </w:t>
      </w:r>
      <w:r w:rsidR="001101A5">
        <w:rPr>
          <w:rFonts w:cs="Times New Roman"/>
          <w:color w:val="000000" w:themeColor="text1"/>
        </w:rPr>
        <w:t xml:space="preserve">Within each group, </w:t>
      </w:r>
      <w:r>
        <w:rPr>
          <w:rFonts w:cs="Times New Roman"/>
          <w:color w:val="000000" w:themeColor="text1"/>
        </w:rPr>
        <w:t>respondent</w:t>
      </w:r>
      <w:r w:rsidR="001101A5">
        <w:rPr>
          <w:rFonts w:cs="Times New Roman"/>
          <w:color w:val="000000" w:themeColor="text1"/>
        </w:rPr>
        <w:t>s</w:t>
      </w:r>
      <w:r>
        <w:rPr>
          <w:rFonts w:cs="Times New Roman"/>
          <w:color w:val="000000" w:themeColor="text1"/>
        </w:rPr>
        <w:t xml:space="preserve"> will </w:t>
      </w:r>
      <w:r w:rsidR="007904D6">
        <w:rPr>
          <w:rFonts w:cs="Times New Roman"/>
          <w:color w:val="000000" w:themeColor="text1"/>
        </w:rPr>
        <w:t>be asked to answer the screening item</w:t>
      </w:r>
      <w:r w:rsidR="001101A5">
        <w:rPr>
          <w:rFonts w:cs="Times New Roman"/>
          <w:color w:val="000000" w:themeColor="text1"/>
        </w:rPr>
        <w:t>s</w:t>
      </w:r>
      <w:r w:rsidR="007904D6">
        <w:rPr>
          <w:rFonts w:cs="Times New Roman"/>
          <w:color w:val="000000" w:themeColor="text1"/>
        </w:rPr>
        <w:t xml:space="preserve"> based on </w:t>
      </w:r>
      <w:r>
        <w:rPr>
          <w:rFonts w:cs="Times New Roman"/>
          <w:color w:val="000000" w:themeColor="text1"/>
        </w:rPr>
        <w:t>random</w:t>
      </w:r>
      <w:r w:rsidR="007904D6">
        <w:rPr>
          <w:rFonts w:cs="Times New Roman"/>
          <w:color w:val="000000" w:themeColor="text1"/>
        </w:rPr>
        <w:t>ly assigned</w:t>
      </w:r>
      <w:r>
        <w:rPr>
          <w:rFonts w:cs="Times New Roman"/>
          <w:color w:val="000000" w:themeColor="text1"/>
        </w:rPr>
        <w:t xml:space="preserve"> vignette</w:t>
      </w:r>
      <w:r w:rsidR="001101A5">
        <w:rPr>
          <w:rFonts w:cs="Times New Roman"/>
          <w:color w:val="000000" w:themeColor="text1"/>
        </w:rPr>
        <w:t>s</w:t>
      </w:r>
      <w:r w:rsidR="007904D6">
        <w:rPr>
          <w:rFonts w:cs="Times New Roman"/>
          <w:color w:val="000000" w:themeColor="text1"/>
        </w:rPr>
        <w:t xml:space="preserve">. These vignettes will </w:t>
      </w:r>
      <w:r w:rsidR="002F4255">
        <w:rPr>
          <w:rFonts w:cs="Times New Roman"/>
          <w:color w:val="000000" w:themeColor="text1"/>
        </w:rPr>
        <w:t xml:space="preserve">experimentally </w:t>
      </w:r>
      <w:r w:rsidR="007904D6">
        <w:rPr>
          <w:rFonts w:cs="Times New Roman"/>
          <w:color w:val="000000" w:themeColor="text1"/>
        </w:rPr>
        <w:t xml:space="preserve">vary </w:t>
      </w:r>
      <w:r w:rsidR="001101A5">
        <w:rPr>
          <w:rFonts w:cs="Times New Roman"/>
          <w:color w:val="000000" w:themeColor="text1"/>
        </w:rPr>
        <w:t>the seriousness of the incident and additional factors</w:t>
      </w:r>
      <w:r w:rsidR="007904D6">
        <w:rPr>
          <w:rFonts w:cs="Times New Roman"/>
          <w:color w:val="000000" w:themeColor="text1"/>
        </w:rPr>
        <w:t xml:space="preserve">, such as </w:t>
      </w:r>
      <w:r w:rsidR="001101A5">
        <w:rPr>
          <w:rFonts w:cs="Times New Roman"/>
          <w:color w:val="000000" w:themeColor="text1"/>
        </w:rPr>
        <w:t xml:space="preserve">the respondent’s relationship </w:t>
      </w:r>
      <w:r w:rsidR="007904D6">
        <w:rPr>
          <w:rFonts w:cs="Times New Roman"/>
          <w:color w:val="000000" w:themeColor="text1"/>
        </w:rPr>
        <w:t xml:space="preserve">with the offender.  </w:t>
      </w:r>
    </w:p>
    <w:p w14:paraId="7E5043B3" w14:textId="77777777" w:rsidR="00C83005" w:rsidRDefault="00C83005" w:rsidP="00C83005">
      <w:pPr>
        <w:rPr>
          <w:rFonts w:cs="Times New Roman"/>
          <w:color w:val="000000" w:themeColor="text1"/>
        </w:rPr>
      </w:pPr>
    </w:p>
    <w:p w14:paraId="68422E6C" w14:textId="7E604E21" w:rsidR="00D71BAE" w:rsidRDefault="001101A5" w:rsidP="00236BC5">
      <w:pPr>
        <w:rPr>
          <w:rFonts w:cs="Times New Roman"/>
          <w:color w:val="000000" w:themeColor="text1"/>
        </w:rPr>
      </w:pPr>
      <w:r>
        <w:rPr>
          <w:rFonts w:cs="Times New Roman"/>
          <w:color w:val="000000" w:themeColor="text1"/>
        </w:rPr>
        <w:t xml:space="preserve">Because </w:t>
      </w:r>
      <w:r w:rsidR="00D71BAE">
        <w:rPr>
          <w:rFonts w:cs="Times New Roman"/>
          <w:color w:val="000000" w:themeColor="text1"/>
        </w:rPr>
        <w:t>we are not attempting to generate population estimates</w:t>
      </w:r>
      <w:r>
        <w:rPr>
          <w:rFonts w:cs="Times New Roman"/>
          <w:color w:val="000000" w:themeColor="text1"/>
        </w:rPr>
        <w:t xml:space="preserve">, </w:t>
      </w:r>
      <w:r w:rsidR="00D71BAE">
        <w:rPr>
          <w:rFonts w:cs="Times New Roman"/>
          <w:color w:val="000000" w:themeColor="text1"/>
        </w:rPr>
        <w:t>we plan to use a non-probability sample</w:t>
      </w:r>
      <w:r w:rsidR="00236BC5">
        <w:rPr>
          <w:rFonts w:cs="Times New Roman"/>
          <w:color w:val="000000" w:themeColor="text1"/>
        </w:rPr>
        <w:t xml:space="preserve"> from</w:t>
      </w:r>
      <w:r w:rsidR="00CB6017">
        <w:rPr>
          <w:rFonts w:cs="Times New Roman"/>
          <w:color w:val="000000" w:themeColor="text1"/>
        </w:rPr>
        <w:t xml:space="preserve"> </w:t>
      </w:r>
      <w:r w:rsidR="00236BC5">
        <w:rPr>
          <w:rFonts w:cs="Times New Roman"/>
          <w:color w:val="000000" w:themeColor="text1"/>
        </w:rPr>
        <w:t xml:space="preserve">the web survey vendor </w:t>
      </w:r>
      <w:proofErr w:type="spellStart"/>
      <w:r w:rsidR="00236BC5" w:rsidRPr="00236BC5">
        <w:rPr>
          <w:rFonts w:cs="Times New Roman"/>
          <w:color w:val="000000" w:themeColor="text1"/>
        </w:rPr>
        <w:t>SurveyMonkey</w:t>
      </w:r>
      <w:proofErr w:type="spellEnd"/>
      <w:r w:rsidR="00236BC5">
        <w:rPr>
          <w:rFonts w:cs="Times New Roman"/>
          <w:color w:val="000000" w:themeColor="text1"/>
        </w:rPr>
        <w:t>.</w:t>
      </w:r>
      <w:r w:rsidR="00236BC5" w:rsidRPr="00236BC5">
        <w:rPr>
          <w:rFonts w:cs="Times New Roman"/>
          <w:color w:val="000000" w:themeColor="text1"/>
        </w:rPr>
        <w:t xml:space="preserve"> </w:t>
      </w:r>
      <w:proofErr w:type="spellStart"/>
      <w:r w:rsidR="00236BC5" w:rsidRPr="00236BC5">
        <w:rPr>
          <w:rFonts w:cs="Times New Roman"/>
          <w:color w:val="000000" w:themeColor="text1"/>
        </w:rPr>
        <w:t>SurveyMonkey</w:t>
      </w:r>
      <w:proofErr w:type="spellEnd"/>
      <w:r w:rsidR="00236BC5" w:rsidRPr="00236BC5">
        <w:rPr>
          <w:rFonts w:cs="Times New Roman"/>
          <w:color w:val="000000" w:themeColor="text1"/>
        </w:rPr>
        <w:t xml:space="preserve"> </w:t>
      </w:r>
      <w:r>
        <w:rPr>
          <w:rFonts w:cs="Times New Roman"/>
          <w:color w:val="000000" w:themeColor="text1"/>
        </w:rPr>
        <w:t xml:space="preserve">allows </w:t>
      </w:r>
      <w:r w:rsidR="00236BC5" w:rsidRPr="00236BC5">
        <w:rPr>
          <w:rFonts w:cs="Times New Roman"/>
          <w:color w:val="000000" w:themeColor="text1"/>
        </w:rPr>
        <w:t>organizations to conduct</w:t>
      </w:r>
      <w:r w:rsidR="00236BC5">
        <w:rPr>
          <w:rFonts w:cs="Times New Roman"/>
          <w:color w:val="000000" w:themeColor="text1"/>
        </w:rPr>
        <w:t xml:space="preserve"> </w:t>
      </w:r>
      <w:r w:rsidR="00236BC5" w:rsidRPr="00236BC5">
        <w:rPr>
          <w:rFonts w:cs="Times New Roman"/>
          <w:color w:val="000000" w:themeColor="text1"/>
        </w:rPr>
        <w:t>surveys of their members under the condition that the end of the survey includes an invitation to join the</w:t>
      </w:r>
      <w:r w:rsidR="00236BC5">
        <w:rPr>
          <w:rFonts w:cs="Times New Roman"/>
          <w:color w:val="000000" w:themeColor="text1"/>
        </w:rPr>
        <w:t xml:space="preserve"> </w:t>
      </w:r>
      <w:proofErr w:type="spellStart"/>
      <w:r w:rsidR="00236BC5" w:rsidRPr="00236BC5">
        <w:rPr>
          <w:rFonts w:cs="Times New Roman"/>
          <w:color w:val="000000" w:themeColor="text1"/>
        </w:rPr>
        <w:t>SurveyMonkey</w:t>
      </w:r>
      <w:proofErr w:type="spellEnd"/>
      <w:r w:rsidR="00236BC5" w:rsidRPr="00236BC5">
        <w:rPr>
          <w:rFonts w:cs="Times New Roman"/>
          <w:color w:val="000000" w:themeColor="text1"/>
        </w:rPr>
        <w:t xml:space="preserve"> Audience Panel. This service reaches about 2 million individuals a week. As a result, the</w:t>
      </w:r>
      <w:r w:rsidR="00236BC5">
        <w:rPr>
          <w:rFonts w:cs="Times New Roman"/>
          <w:color w:val="000000" w:themeColor="text1"/>
        </w:rPr>
        <w:t xml:space="preserve"> </w:t>
      </w:r>
      <w:r w:rsidR="00236BC5" w:rsidRPr="00236BC5">
        <w:rPr>
          <w:rFonts w:cs="Times New Roman"/>
          <w:color w:val="000000" w:themeColor="text1"/>
        </w:rPr>
        <w:t>Audience Panel is continuously updated, contains a very heterogeneous group of people, and has rich</w:t>
      </w:r>
      <w:r w:rsidR="00236BC5">
        <w:rPr>
          <w:rFonts w:cs="Times New Roman"/>
          <w:color w:val="000000" w:themeColor="text1"/>
        </w:rPr>
        <w:t xml:space="preserve"> </w:t>
      </w:r>
      <w:r w:rsidR="00236BC5" w:rsidRPr="00236BC5">
        <w:rPr>
          <w:rFonts w:cs="Times New Roman"/>
          <w:color w:val="000000" w:themeColor="text1"/>
        </w:rPr>
        <w:t>member profiles. Many people who may never consider “opting-in” to a web ad to join a panel accept</w:t>
      </w:r>
      <w:r w:rsidR="00236BC5">
        <w:rPr>
          <w:rFonts w:cs="Times New Roman"/>
          <w:color w:val="000000" w:themeColor="text1"/>
        </w:rPr>
        <w:t xml:space="preserve"> </w:t>
      </w:r>
      <w:r w:rsidR="00236BC5" w:rsidRPr="00236BC5">
        <w:rPr>
          <w:rFonts w:cs="Times New Roman"/>
          <w:color w:val="000000" w:themeColor="text1"/>
        </w:rPr>
        <w:t>the invitation at the end of the survey because they feel it is safe</w:t>
      </w:r>
      <w:r w:rsidR="00236BC5">
        <w:rPr>
          <w:rFonts w:cs="Times New Roman"/>
          <w:color w:val="000000" w:themeColor="text1"/>
        </w:rPr>
        <w:t xml:space="preserve"> (since an organization they trusted, such as their employer or their local PTA, sponsored the survey)</w:t>
      </w:r>
      <w:r w:rsidR="00236BC5" w:rsidRPr="00236BC5">
        <w:rPr>
          <w:rFonts w:cs="Times New Roman"/>
          <w:color w:val="000000" w:themeColor="text1"/>
        </w:rPr>
        <w:t xml:space="preserve">. </w:t>
      </w:r>
    </w:p>
    <w:p w14:paraId="4DFBE3F0" w14:textId="77777777" w:rsidR="00C83005" w:rsidRPr="00C83005" w:rsidRDefault="00C83005" w:rsidP="00C83005">
      <w:pPr>
        <w:rPr>
          <w:rFonts w:cs="Times New Roman"/>
          <w:color w:val="000000" w:themeColor="text1"/>
        </w:rPr>
      </w:pPr>
    </w:p>
    <w:p w14:paraId="53644DF2" w14:textId="572F4EAC" w:rsidR="00C83005" w:rsidRDefault="00C83005" w:rsidP="00C83005">
      <w:pPr>
        <w:rPr>
          <w:rFonts w:cs="Times New Roman"/>
          <w:color w:val="000000" w:themeColor="text1"/>
        </w:rPr>
      </w:pPr>
      <w:r w:rsidRPr="00C83005">
        <w:rPr>
          <w:rFonts w:cs="Times New Roman"/>
          <w:color w:val="000000" w:themeColor="text1"/>
        </w:rPr>
        <w:t xml:space="preserve">We aim to collect </w:t>
      </w:r>
      <w:r w:rsidR="00BA13DE">
        <w:rPr>
          <w:rFonts w:cs="Times New Roman"/>
          <w:color w:val="000000" w:themeColor="text1"/>
        </w:rPr>
        <w:t>1</w:t>
      </w:r>
      <w:r w:rsidRPr="00C83005">
        <w:rPr>
          <w:rFonts w:cs="Times New Roman"/>
          <w:color w:val="000000" w:themeColor="text1"/>
        </w:rPr>
        <w:t xml:space="preserve">,000 web completes from the </w:t>
      </w:r>
      <w:proofErr w:type="spellStart"/>
      <w:r w:rsidRPr="00C83005">
        <w:rPr>
          <w:rFonts w:cs="Times New Roman"/>
          <w:color w:val="000000" w:themeColor="text1"/>
        </w:rPr>
        <w:t>SurveyMonkey</w:t>
      </w:r>
      <w:proofErr w:type="spellEnd"/>
      <w:r w:rsidRPr="00C83005">
        <w:rPr>
          <w:rFonts w:cs="Times New Roman"/>
          <w:color w:val="000000" w:themeColor="text1"/>
        </w:rPr>
        <w:t xml:space="preserve"> Audience panel</w:t>
      </w:r>
      <w:r w:rsidR="001101A5">
        <w:rPr>
          <w:rFonts w:cs="Times New Roman"/>
          <w:color w:val="000000" w:themeColor="text1"/>
        </w:rPr>
        <w:t xml:space="preserve">. The survey will take about </w:t>
      </w:r>
      <w:r w:rsidRPr="00C83005">
        <w:rPr>
          <w:rFonts w:cs="Times New Roman"/>
          <w:color w:val="000000" w:themeColor="text1"/>
        </w:rPr>
        <w:t>10 minute</w:t>
      </w:r>
      <w:r w:rsidR="001101A5">
        <w:rPr>
          <w:rFonts w:cs="Times New Roman"/>
          <w:color w:val="000000" w:themeColor="text1"/>
        </w:rPr>
        <w:t>s</w:t>
      </w:r>
      <w:r w:rsidRPr="00C83005">
        <w:rPr>
          <w:rFonts w:cs="Times New Roman"/>
          <w:color w:val="000000" w:themeColor="text1"/>
        </w:rPr>
        <w:t xml:space="preserve"> in which respondents will be exposed to the current or streamlined version</w:t>
      </w:r>
      <w:r w:rsidR="001101A5">
        <w:rPr>
          <w:rFonts w:cs="Times New Roman"/>
          <w:color w:val="000000" w:themeColor="text1"/>
        </w:rPr>
        <w:t>s</w:t>
      </w:r>
      <w:r w:rsidRPr="00C83005">
        <w:rPr>
          <w:rFonts w:cs="Times New Roman"/>
          <w:color w:val="000000" w:themeColor="text1"/>
        </w:rPr>
        <w:t xml:space="preserve"> of </w:t>
      </w:r>
      <w:r w:rsidR="006E1FFE">
        <w:rPr>
          <w:rFonts w:cs="Times New Roman"/>
          <w:color w:val="000000" w:themeColor="text1"/>
        </w:rPr>
        <w:t>seven</w:t>
      </w:r>
      <w:r w:rsidRPr="00C83005">
        <w:rPr>
          <w:rFonts w:cs="Times New Roman"/>
          <w:color w:val="000000" w:themeColor="text1"/>
        </w:rPr>
        <w:t xml:space="preserve"> NCVS screening items. Prior to each screening item, respondents will </w:t>
      </w:r>
      <w:r w:rsidR="002F4255">
        <w:rPr>
          <w:rFonts w:cs="Times New Roman"/>
          <w:color w:val="000000" w:themeColor="text1"/>
        </w:rPr>
        <w:t xml:space="preserve">receive </w:t>
      </w:r>
      <w:r w:rsidRPr="00C83005">
        <w:rPr>
          <w:rFonts w:cs="Times New Roman"/>
          <w:color w:val="000000" w:themeColor="text1"/>
        </w:rPr>
        <w:t>a randomly assigned fictional scenario</w:t>
      </w:r>
      <w:r w:rsidR="002F4255">
        <w:rPr>
          <w:rFonts w:cs="Times New Roman"/>
          <w:color w:val="000000" w:themeColor="text1"/>
        </w:rPr>
        <w:t xml:space="preserve">; they will be asked to </w:t>
      </w:r>
      <w:r w:rsidRPr="00C83005">
        <w:rPr>
          <w:rFonts w:cs="Times New Roman"/>
          <w:color w:val="000000" w:themeColor="text1"/>
        </w:rPr>
        <w:t>answer the screening question</w:t>
      </w:r>
      <w:r w:rsidR="002F4255">
        <w:rPr>
          <w:rFonts w:cs="Times New Roman"/>
          <w:color w:val="000000" w:themeColor="text1"/>
        </w:rPr>
        <w:t xml:space="preserve"> based on the scenario</w:t>
      </w:r>
      <w:r w:rsidRPr="00C83005">
        <w:rPr>
          <w:rFonts w:cs="Times New Roman"/>
          <w:color w:val="000000" w:themeColor="text1"/>
        </w:rPr>
        <w:t xml:space="preserve">. The design will </w:t>
      </w:r>
      <w:r w:rsidR="001101A5">
        <w:rPr>
          <w:rFonts w:cs="Times New Roman"/>
          <w:color w:val="000000" w:themeColor="text1"/>
        </w:rPr>
        <w:t xml:space="preserve">allow us to explore </w:t>
      </w:r>
      <w:r w:rsidRPr="00C83005">
        <w:rPr>
          <w:rFonts w:cs="Times New Roman"/>
          <w:color w:val="000000" w:themeColor="text1"/>
        </w:rPr>
        <w:t xml:space="preserve">how people classify different types of crimes under the current screening items and how they might respond to shorter items. </w:t>
      </w:r>
      <w:r w:rsidR="002F4255">
        <w:rPr>
          <w:rFonts w:cs="Times New Roman"/>
          <w:color w:val="000000" w:themeColor="text1"/>
        </w:rPr>
        <w:t xml:space="preserve"> </w:t>
      </w:r>
      <w:r w:rsidR="009A7CEA">
        <w:rPr>
          <w:rFonts w:cs="Times New Roman"/>
          <w:color w:val="000000" w:themeColor="text1"/>
        </w:rPr>
        <w:t xml:space="preserve">Below we present power calculations for comparisons between the two versions of the screening items. </w:t>
      </w:r>
      <w:r w:rsidR="002F4255">
        <w:rPr>
          <w:rFonts w:cs="Times New Roman"/>
          <w:color w:val="000000" w:themeColor="text1"/>
        </w:rPr>
        <w:t xml:space="preserve"> </w:t>
      </w:r>
      <w:r w:rsidR="009A7CEA">
        <w:rPr>
          <w:rFonts w:cs="Times New Roman"/>
          <w:color w:val="000000" w:themeColor="text1"/>
        </w:rPr>
        <w:t xml:space="preserve">We examine the proportion of respondents classifying an incident as something to be reported. For most comparisons, the power is at least .60 or better for a seven percentage point difference (e.g., 15 percent saying they would report the incident with the current screener question versus 8 percent with the streamlined version; see the first row of the table). We believe this is adequate power for an exploratory study. </w:t>
      </w:r>
      <w:r w:rsidR="002F4255">
        <w:rPr>
          <w:rFonts w:cs="Times New Roman"/>
          <w:color w:val="000000" w:themeColor="text1"/>
        </w:rPr>
        <w:t xml:space="preserve"> </w:t>
      </w:r>
      <w:r w:rsidR="009A7CEA">
        <w:rPr>
          <w:rFonts w:cs="Times New Roman"/>
          <w:color w:val="000000" w:themeColor="text1"/>
        </w:rPr>
        <w:t xml:space="preserve">In addition, we will be collecting four-point scale ratings so the power figures in Table 1 are likely to underestimate power to some extent. </w:t>
      </w:r>
    </w:p>
    <w:p w14:paraId="4A0F1BFF" w14:textId="77777777" w:rsidR="009A7CEA" w:rsidRDefault="009A7CEA" w:rsidP="00C83005">
      <w:pPr>
        <w:rPr>
          <w:rFonts w:cs="Times New Roman"/>
          <w:color w:val="000000" w:themeColor="text1"/>
        </w:rPr>
      </w:pPr>
    </w:p>
    <w:p w14:paraId="3D5280CD" w14:textId="001BB606" w:rsidR="002F4255" w:rsidRDefault="009A7CEA" w:rsidP="002F4255">
      <w:pPr>
        <w:jc w:val="center"/>
        <w:rPr>
          <w:rFonts w:cs="Times New Roman"/>
          <w:color w:val="000000" w:themeColor="text1"/>
        </w:rPr>
      </w:pPr>
      <w:r>
        <w:rPr>
          <w:rFonts w:cs="Times New Roman"/>
          <w:b/>
          <w:color w:val="000000" w:themeColor="text1"/>
        </w:rPr>
        <w:br w:type="page"/>
      </w:r>
      <w:r w:rsidRPr="00342339">
        <w:rPr>
          <w:rFonts w:cs="Times New Roman"/>
          <w:b/>
          <w:color w:val="000000" w:themeColor="text1"/>
        </w:rPr>
        <w:lastRenderedPageBreak/>
        <w:t>Table 1</w:t>
      </w:r>
      <w:r>
        <w:rPr>
          <w:rFonts w:cs="Times New Roman"/>
          <w:color w:val="000000" w:themeColor="text1"/>
        </w:rPr>
        <w:t>.  Power of the Pilot Vignette Study</w:t>
      </w:r>
    </w:p>
    <w:p w14:paraId="46306390" w14:textId="212413E3" w:rsidR="009A7CEA" w:rsidRDefault="009A7CEA" w:rsidP="002F4255">
      <w:pPr>
        <w:jc w:val="center"/>
        <w:rPr>
          <w:rFonts w:cs="Times New Roman"/>
          <w:color w:val="000000" w:themeColor="text1"/>
        </w:rPr>
      </w:pPr>
      <w:r>
        <w:rPr>
          <w:rFonts w:cs="Times New Roman"/>
          <w:color w:val="000000" w:themeColor="text1"/>
        </w:rPr>
        <w:t>for Comparing Proportions across Screener Versions</w:t>
      </w:r>
    </w:p>
    <w:tbl>
      <w:tblPr>
        <w:tblW w:w="3690" w:type="dxa"/>
        <w:jc w:val="center"/>
        <w:tblLook w:val="04A0" w:firstRow="1" w:lastRow="0" w:firstColumn="1" w:lastColumn="0" w:noHBand="0" w:noVBand="1"/>
      </w:tblPr>
      <w:tblGrid>
        <w:gridCol w:w="990"/>
        <w:gridCol w:w="900"/>
        <w:gridCol w:w="720"/>
        <w:gridCol w:w="1080"/>
      </w:tblGrid>
      <w:tr w:rsidR="009A7CEA" w:rsidRPr="003B6081" w14:paraId="2E3AC1CD" w14:textId="77777777" w:rsidTr="00342339">
        <w:trPr>
          <w:trHeight w:val="255"/>
          <w:jc w:val="center"/>
        </w:trPr>
        <w:tc>
          <w:tcPr>
            <w:tcW w:w="990" w:type="dxa"/>
            <w:tcBorders>
              <w:top w:val="single" w:sz="4" w:space="0" w:color="auto"/>
              <w:left w:val="nil"/>
              <w:bottom w:val="single" w:sz="4" w:space="0" w:color="auto"/>
              <w:right w:val="nil"/>
            </w:tcBorders>
            <w:shd w:val="clear" w:color="auto" w:fill="auto"/>
            <w:noWrap/>
            <w:vAlign w:val="bottom"/>
            <w:hideMark/>
          </w:tcPr>
          <w:p w14:paraId="49686D18" w14:textId="77777777" w:rsidR="009A7CEA" w:rsidRPr="00342339" w:rsidRDefault="009A7CEA" w:rsidP="00916B9B">
            <w:pPr>
              <w:jc w:val="center"/>
              <w:rPr>
                <w:rFonts w:cs="Times New Roman"/>
              </w:rPr>
            </w:pPr>
            <w:r w:rsidRPr="00342339">
              <w:rPr>
                <w:rFonts w:cs="Times New Roman"/>
              </w:rPr>
              <w:t>P</w:t>
            </w:r>
            <w:r w:rsidRPr="00342339">
              <w:rPr>
                <w:rFonts w:cs="Times New Roman"/>
                <w:vertAlign w:val="subscript"/>
              </w:rPr>
              <w:t>1</w:t>
            </w:r>
          </w:p>
        </w:tc>
        <w:tc>
          <w:tcPr>
            <w:tcW w:w="900" w:type="dxa"/>
            <w:tcBorders>
              <w:top w:val="single" w:sz="4" w:space="0" w:color="auto"/>
              <w:left w:val="nil"/>
              <w:bottom w:val="single" w:sz="4" w:space="0" w:color="auto"/>
              <w:right w:val="nil"/>
            </w:tcBorders>
            <w:shd w:val="clear" w:color="auto" w:fill="auto"/>
            <w:noWrap/>
            <w:vAlign w:val="bottom"/>
            <w:hideMark/>
          </w:tcPr>
          <w:p w14:paraId="462E0D22" w14:textId="77777777" w:rsidR="009A7CEA" w:rsidRPr="00342339" w:rsidRDefault="009A7CEA" w:rsidP="00916B9B">
            <w:pPr>
              <w:jc w:val="center"/>
              <w:rPr>
                <w:rFonts w:cs="Times New Roman"/>
              </w:rPr>
            </w:pPr>
            <w:r w:rsidRPr="00342339">
              <w:rPr>
                <w:rFonts w:cs="Times New Roman"/>
              </w:rPr>
              <w:t>P</w:t>
            </w:r>
            <w:r w:rsidRPr="00342339">
              <w:rPr>
                <w:rFonts w:cs="Times New Roman"/>
                <w:vertAlign w:val="subscript"/>
              </w:rPr>
              <w:t>2</w:t>
            </w:r>
          </w:p>
        </w:tc>
        <w:tc>
          <w:tcPr>
            <w:tcW w:w="720" w:type="dxa"/>
            <w:tcBorders>
              <w:top w:val="single" w:sz="4" w:space="0" w:color="auto"/>
              <w:left w:val="nil"/>
              <w:bottom w:val="single" w:sz="4" w:space="0" w:color="auto"/>
              <w:right w:val="nil"/>
            </w:tcBorders>
            <w:shd w:val="clear" w:color="auto" w:fill="auto"/>
            <w:noWrap/>
            <w:vAlign w:val="bottom"/>
            <w:hideMark/>
          </w:tcPr>
          <w:p w14:paraId="6FBA9BE7" w14:textId="77777777" w:rsidR="009A7CEA" w:rsidRPr="00342339" w:rsidRDefault="009A7CEA" w:rsidP="00916B9B">
            <w:pPr>
              <w:jc w:val="center"/>
              <w:rPr>
                <w:rFonts w:cs="Times New Roman"/>
              </w:rPr>
            </w:pPr>
            <w:r w:rsidRPr="00342339">
              <w:rPr>
                <w:rFonts w:cs="Times New Roman"/>
              </w:rPr>
              <w:t>n</w:t>
            </w:r>
          </w:p>
        </w:tc>
        <w:tc>
          <w:tcPr>
            <w:tcW w:w="1080" w:type="dxa"/>
            <w:tcBorders>
              <w:top w:val="single" w:sz="4" w:space="0" w:color="auto"/>
              <w:left w:val="nil"/>
              <w:bottom w:val="single" w:sz="4" w:space="0" w:color="auto"/>
              <w:right w:val="nil"/>
            </w:tcBorders>
            <w:shd w:val="clear" w:color="auto" w:fill="auto"/>
            <w:noWrap/>
            <w:vAlign w:val="bottom"/>
            <w:hideMark/>
          </w:tcPr>
          <w:p w14:paraId="64FBE2DA" w14:textId="77777777" w:rsidR="009A7CEA" w:rsidRPr="00342339" w:rsidRDefault="009A7CEA" w:rsidP="00916B9B">
            <w:pPr>
              <w:rPr>
                <w:rFonts w:cs="Times New Roman"/>
              </w:rPr>
            </w:pPr>
            <w:r w:rsidRPr="00342339">
              <w:rPr>
                <w:rFonts w:cs="Times New Roman"/>
              </w:rPr>
              <w:t>Power</w:t>
            </w:r>
          </w:p>
        </w:tc>
      </w:tr>
      <w:tr w:rsidR="009A7CEA" w:rsidRPr="003B6081" w14:paraId="50E310ED" w14:textId="77777777" w:rsidTr="00342339">
        <w:trPr>
          <w:trHeight w:val="510"/>
          <w:jc w:val="center"/>
        </w:trPr>
        <w:tc>
          <w:tcPr>
            <w:tcW w:w="990" w:type="dxa"/>
            <w:tcBorders>
              <w:top w:val="single" w:sz="4" w:space="0" w:color="auto"/>
              <w:left w:val="nil"/>
              <w:bottom w:val="nil"/>
              <w:right w:val="nil"/>
            </w:tcBorders>
            <w:shd w:val="clear" w:color="auto" w:fill="auto"/>
            <w:noWrap/>
            <w:vAlign w:val="bottom"/>
            <w:hideMark/>
          </w:tcPr>
          <w:p w14:paraId="1F29B1F0" w14:textId="77777777" w:rsidR="009A7CEA" w:rsidRPr="00342339" w:rsidRDefault="009A7CEA" w:rsidP="00916B9B">
            <w:pPr>
              <w:jc w:val="center"/>
              <w:rPr>
                <w:rFonts w:cs="Times New Roman"/>
              </w:rPr>
            </w:pPr>
            <w:r w:rsidRPr="00342339">
              <w:rPr>
                <w:rFonts w:cs="Times New Roman"/>
              </w:rPr>
              <w:t>0.15</w:t>
            </w:r>
          </w:p>
        </w:tc>
        <w:tc>
          <w:tcPr>
            <w:tcW w:w="900" w:type="dxa"/>
            <w:tcBorders>
              <w:top w:val="single" w:sz="4" w:space="0" w:color="auto"/>
              <w:left w:val="nil"/>
              <w:bottom w:val="nil"/>
              <w:right w:val="nil"/>
            </w:tcBorders>
            <w:shd w:val="clear" w:color="auto" w:fill="auto"/>
            <w:noWrap/>
            <w:vAlign w:val="bottom"/>
            <w:hideMark/>
          </w:tcPr>
          <w:p w14:paraId="1D9BFD36" w14:textId="77777777" w:rsidR="009A7CEA" w:rsidRPr="00342339" w:rsidRDefault="009A7CEA" w:rsidP="00916B9B">
            <w:pPr>
              <w:jc w:val="center"/>
              <w:rPr>
                <w:rFonts w:cs="Times New Roman"/>
              </w:rPr>
            </w:pPr>
            <w:r w:rsidRPr="00342339">
              <w:rPr>
                <w:rFonts w:cs="Times New Roman"/>
              </w:rPr>
              <w:t>0.08</w:t>
            </w:r>
          </w:p>
        </w:tc>
        <w:tc>
          <w:tcPr>
            <w:tcW w:w="720" w:type="dxa"/>
            <w:tcBorders>
              <w:top w:val="single" w:sz="4" w:space="0" w:color="auto"/>
              <w:left w:val="nil"/>
              <w:bottom w:val="nil"/>
              <w:right w:val="nil"/>
            </w:tcBorders>
            <w:shd w:val="clear" w:color="auto" w:fill="auto"/>
            <w:noWrap/>
            <w:vAlign w:val="bottom"/>
            <w:hideMark/>
          </w:tcPr>
          <w:p w14:paraId="044DBCDD" w14:textId="77777777" w:rsidR="009A7CEA" w:rsidRPr="00342339" w:rsidRDefault="009A7CEA" w:rsidP="00916B9B">
            <w:pPr>
              <w:jc w:val="right"/>
              <w:rPr>
                <w:rFonts w:cs="Times New Roman"/>
              </w:rPr>
            </w:pPr>
            <w:r w:rsidRPr="00342339">
              <w:rPr>
                <w:rFonts w:cs="Times New Roman"/>
              </w:rPr>
              <w:t>500</w:t>
            </w:r>
          </w:p>
        </w:tc>
        <w:tc>
          <w:tcPr>
            <w:tcW w:w="1080" w:type="dxa"/>
            <w:tcBorders>
              <w:top w:val="single" w:sz="4" w:space="0" w:color="auto"/>
              <w:left w:val="nil"/>
              <w:bottom w:val="nil"/>
              <w:right w:val="nil"/>
            </w:tcBorders>
            <w:shd w:val="clear" w:color="auto" w:fill="auto"/>
            <w:noWrap/>
            <w:vAlign w:val="bottom"/>
            <w:hideMark/>
          </w:tcPr>
          <w:p w14:paraId="35531F43" w14:textId="77777777" w:rsidR="009A7CEA" w:rsidRPr="00342339" w:rsidRDefault="009A7CEA" w:rsidP="00916B9B">
            <w:pPr>
              <w:jc w:val="right"/>
              <w:rPr>
                <w:rFonts w:cs="Times New Roman"/>
              </w:rPr>
            </w:pPr>
            <w:r w:rsidRPr="00342339">
              <w:rPr>
                <w:rFonts w:cs="Times New Roman"/>
              </w:rPr>
              <w:t>0.934</w:t>
            </w:r>
          </w:p>
        </w:tc>
      </w:tr>
      <w:tr w:rsidR="009A7CEA" w:rsidRPr="003B6081" w14:paraId="610D6361" w14:textId="77777777" w:rsidTr="00342339">
        <w:trPr>
          <w:trHeight w:val="255"/>
          <w:jc w:val="center"/>
        </w:trPr>
        <w:tc>
          <w:tcPr>
            <w:tcW w:w="990" w:type="dxa"/>
            <w:tcBorders>
              <w:top w:val="nil"/>
              <w:left w:val="nil"/>
              <w:bottom w:val="nil"/>
              <w:right w:val="nil"/>
            </w:tcBorders>
            <w:shd w:val="clear" w:color="auto" w:fill="auto"/>
            <w:noWrap/>
            <w:vAlign w:val="bottom"/>
            <w:hideMark/>
          </w:tcPr>
          <w:p w14:paraId="320D27CB" w14:textId="77777777" w:rsidR="009A7CEA" w:rsidRPr="00342339" w:rsidRDefault="009A7CEA" w:rsidP="00916B9B">
            <w:pPr>
              <w:jc w:val="center"/>
              <w:rPr>
                <w:rFonts w:cs="Times New Roman"/>
              </w:rPr>
            </w:pPr>
            <w:r w:rsidRPr="00342339">
              <w:rPr>
                <w:rFonts w:cs="Times New Roman"/>
              </w:rPr>
              <w:t>0.25</w:t>
            </w:r>
          </w:p>
        </w:tc>
        <w:tc>
          <w:tcPr>
            <w:tcW w:w="900" w:type="dxa"/>
            <w:tcBorders>
              <w:top w:val="nil"/>
              <w:left w:val="nil"/>
              <w:bottom w:val="nil"/>
              <w:right w:val="nil"/>
            </w:tcBorders>
            <w:shd w:val="clear" w:color="auto" w:fill="auto"/>
            <w:noWrap/>
            <w:vAlign w:val="bottom"/>
            <w:hideMark/>
          </w:tcPr>
          <w:p w14:paraId="3DBC6C77" w14:textId="77777777" w:rsidR="009A7CEA" w:rsidRPr="00342339" w:rsidRDefault="009A7CEA" w:rsidP="00916B9B">
            <w:pPr>
              <w:jc w:val="center"/>
              <w:rPr>
                <w:rFonts w:cs="Times New Roman"/>
              </w:rPr>
            </w:pPr>
            <w:r w:rsidRPr="00342339">
              <w:rPr>
                <w:rFonts w:cs="Times New Roman"/>
              </w:rPr>
              <w:t>0.18</w:t>
            </w:r>
          </w:p>
        </w:tc>
        <w:tc>
          <w:tcPr>
            <w:tcW w:w="720" w:type="dxa"/>
            <w:tcBorders>
              <w:top w:val="nil"/>
              <w:left w:val="nil"/>
              <w:bottom w:val="nil"/>
              <w:right w:val="nil"/>
            </w:tcBorders>
            <w:shd w:val="clear" w:color="auto" w:fill="auto"/>
            <w:noWrap/>
            <w:vAlign w:val="bottom"/>
            <w:hideMark/>
          </w:tcPr>
          <w:p w14:paraId="0099E348" w14:textId="77777777" w:rsidR="009A7CEA" w:rsidRPr="00342339" w:rsidRDefault="009A7CEA" w:rsidP="00916B9B">
            <w:pPr>
              <w:jc w:val="right"/>
              <w:rPr>
                <w:rFonts w:cs="Times New Roman"/>
              </w:rPr>
            </w:pPr>
            <w:r w:rsidRPr="00342339">
              <w:rPr>
                <w:rFonts w:cs="Times New Roman"/>
              </w:rPr>
              <w:t>500</w:t>
            </w:r>
          </w:p>
        </w:tc>
        <w:tc>
          <w:tcPr>
            <w:tcW w:w="1080" w:type="dxa"/>
            <w:tcBorders>
              <w:top w:val="nil"/>
              <w:left w:val="nil"/>
              <w:bottom w:val="nil"/>
              <w:right w:val="nil"/>
            </w:tcBorders>
            <w:shd w:val="clear" w:color="auto" w:fill="auto"/>
            <w:noWrap/>
            <w:vAlign w:val="bottom"/>
            <w:hideMark/>
          </w:tcPr>
          <w:p w14:paraId="2AB0F0AA" w14:textId="77777777" w:rsidR="009A7CEA" w:rsidRPr="00342339" w:rsidRDefault="009A7CEA" w:rsidP="00916B9B">
            <w:pPr>
              <w:jc w:val="right"/>
              <w:rPr>
                <w:rFonts w:cs="Times New Roman"/>
              </w:rPr>
            </w:pPr>
            <w:r w:rsidRPr="00342339">
              <w:rPr>
                <w:rFonts w:cs="Times New Roman"/>
              </w:rPr>
              <w:t>0.769</w:t>
            </w:r>
          </w:p>
        </w:tc>
      </w:tr>
      <w:tr w:rsidR="009A7CEA" w:rsidRPr="003B6081" w14:paraId="0A8A9ECC" w14:textId="77777777" w:rsidTr="00342339">
        <w:trPr>
          <w:trHeight w:val="255"/>
          <w:jc w:val="center"/>
        </w:trPr>
        <w:tc>
          <w:tcPr>
            <w:tcW w:w="990" w:type="dxa"/>
            <w:tcBorders>
              <w:top w:val="nil"/>
              <w:left w:val="nil"/>
              <w:bottom w:val="nil"/>
              <w:right w:val="nil"/>
            </w:tcBorders>
            <w:shd w:val="clear" w:color="auto" w:fill="auto"/>
            <w:noWrap/>
            <w:vAlign w:val="bottom"/>
            <w:hideMark/>
          </w:tcPr>
          <w:p w14:paraId="59AA595D" w14:textId="77777777" w:rsidR="009A7CEA" w:rsidRPr="00342339" w:rsidRDefault="009A7CEA" w:rsidP="00916B9B">
            <w:pPr>
              <w:jc w:val="center"/>
              <w:rPr>
                <w:rFonts w:cs="Times New Roman"/>
              </w:rPr>
            </w:pPr>
            <w:r w:rsidRPr="00342339">
              <w:rPr>
                <w:rFonts w:cs="Times New Roman"/>
              </w:rPr>
              <w:t>0.35</w:t>
            </w:r>
          </w:p>
        </w:tc>
        <w:tc>
          <w:tcPr>
            <w:tcW w:w="900" w:type="dxa"/>
            <w:tcBorders>
              <w:top w:val="nil"/>
              <w:left w:val="nil"/>
              <w:bottom w:val="nil"/>
              <w:right w:val="nil"/>
            </w:tcBorders>
            <w:shd w:val="clear" w:color="auto" w:fill="auto"/>
            <w:noWrap/>
            <w:vAlign w:val="bottom"/>
            <w:hideMark/>
          </w:tcPr>
          <w:p w14:paraId="77333420" w14:textId="77777777" w:rsidR="009A7CEA" w:rsidRPr="00342339" w:rsidRDefault="009A7CEA" w:rsidP="00916B9B">
            <w:pPr>
              <w:jc w:val="center"/>
              <w:rPr>
                <w:rFonts w:cs="Times New Roman"/>
              </w:rPr>
            </w:pPr>
            <w:r w:rsidRPr="00342339">
              <w:rPr>
                <w:rFonts w:cs="Times New Roman"/>
              </w:rPr>
              <w:t>0.28</w:t>
            </w:r>
          </w:p>
        </w:tc>
        <w:tc>
          <w:tcPr>
            <w:tcW w:w="720" w:type="dxa"/>
            <w:tcBorders>
              <w:top w:val="nil"/>
              <w:left w:val="nil"/>
              <w:bottom w:val="nil"/>
              <w:right w:val="nil"/>
            </w:tcBorders>
            <w:shd w:val="clear" w:color="auto" w:fill="auto"/>
            <w:noWrap/>
            <w:vAlign w:val="bottom"/>
            <w:hideMark/>
          </w:tcPr>
          <w:p w14:paraId="0263ACAF" w14:textId="77777777" w:rsidR="009A7CEA" w:rsidRPr="00342339" w:rsidRDefault="009A7CEA" w:rsidP="00916B9B">
            <w:pPr>
              <w:jc w:val="right"/>
              <w:rPr>
                <w:rFonts w:cs="Times New Roman"/>
              </w:rPr>
            </w:pPr>
            <w:r w:rsidRPr="00342339">
              <w:rPr>
                <w:rFonts w:cs="Times New Roman"/>
              </w:rPr>
              <w:t>500</w:t>
            </w:r>
          </w:p>
        </w:tc>
        <w:tc>
          <w:tcPr>
            <w:tcW w:w="1080" w:type="dxa"/>
            <w:tcBorders>
              <w:top w:val="nil"/>
              <w:left w:val="nil"/>
              <w:bottom w:val="nil"/>
              <w:right w:val="nil"/>
            </w:tcBorders>
            <w:shd w:val="clear" w:color="auto" w:fill="auto"/>
            <w:noWrap/>
            <w:vAlign w:val="bottom"/>
            <w:hideMark/>
          </w:tcPr>
          <w:p w14:paraId="44E46F32" w14:textId="77777777" w:rsidR="009A7CEA" w:rsidRPr="00342339" w:rsidRDefault="009A7CEA" w:rsidP="00916B9B">
            <w:pPr>
              <w:jc w:val="right"/>
              <w:rPr>
                <w:rFonts w:cs="Times New Roman"/>
              </w:rPr>
            </w:pPr>
            <w:r w:rsidRPr="00342339">
              <w:rPr>
                <w:rFonts w:cs="Times New Roman"/>
              </w:rPr>
              <w:t>0.664</w:t>
            </w:r>
          </w:p>
        </w:tc>
      </w:tr>
      <w:tr w:rsidR="009A7CEA" w:rsidRPr="003B6081" w14:paraId="4E3725C3" w14:textId="77777777" w:rsidTr="00342339">
        <w:trPr>
          <w:trHeight w:val="255"/>
          <w:jc w:val="center"/>
        </w:trPr>
        <w:tc>
          <w:tcPr>
            <w:tcW w:w="990" w:type="dxa"/>
            <w:tcBorders>
              <w:top w:val="nil"/>
              <w:left w:val="nil"/>
              <w:bottom w:val="nil"/>
              <w:right w:val="nil"/>
            </w:tcBorders>
            <w:shd w:val="clear" w:color="auto" w:fill="auto"/>
            <w:noWrap/>
            <w:vAlign w:val="bottom"/>
            <w:hideMark/>
          </w:tcPr>
          <w:p w14:paraId="02FAA31F" w14:textId="77777777" w:rsidR="009A7CEA" w:rsidRPr="00342339" w:rsidRDefault="009A7CEA" w:rsidP="00916B9B">
            <w:pPr>
              <w:jc w:val="center"/>
              <w:rPr>
                <w:rFonts w:cs="Times New Roman"/>
              </w:rPr>
            </w:pPr>
            <w:r w:rsidRPr="00342339">
              <w:rPr>
                <w:rFonts w:cs="Times New Roman"/>
              </w:rPr>
              <w:t>0.45</w:t>
            </w:r>
          </w:p>
        </w:tc>
        <w:tc>
          <w:tcPr>
            <w:tcW w:w="900" w:type="dxa"/>
            <w:tcBorders>
              <w:top w:val="nil"/>
              <w:left w:val="nil"/>
              <w:bottom w:val="nil"/>
              <w:right w:val="nil"/>
            </w:tcBorders>
            <w:shd w:val="clear" w:color="auto" w:fill="auto"/>
            <w:noWrap/>
            <w:vAlign w:val="bottom"/>
            <w:hideMark/>
          </w:tcPr>
          <w:p w14:paraId="645099C7" w14:textId="77777777" w:rsidR="009A7CEA" w:rsidRPr="00342339" w:rsidRDefault="009A7CEA" w:rsidP="00916B9B">
            <w:pPr>
              <w:jc w:val="center"/>
              <w:rPr>
                <w:rFonts w:cs="Times New Roman"/>
              </w:rPr>
            </w:pPr>
            <w:r w:rsidRPr="00342339">
              <w:rPr>
                <w:rFonts w:cs="Times New Roman"/>
              </w:rPr>
              <w:t>0.38</w:t>
            </w:r>
          </w:p>
        </w:tc>
        <w:tc>
          <w:tcPr>
            <w:tcW w:w="720" w:type="dxa"/>
            <w:tcBorders>
              <w:top w:val="nil"/>
              <w:left w:val="nil"/>
              <w:bottom w:val="nil"/>
              <w:right w:val="nil"/>
            </w:tcBorders>
            <w:shd w:val="clear" w:color="auto" w:fill="auto"/>
            <w:noWrap/>
            <w:vAlign w:val="bottom"/>
            <w:hideMark/>
          </w:tcPr>
          <w:p w14:paraId="03284602" w14:textId="77777777" w:rsidR="009A7CEA" w:rsidRPr="00342339" w:rsidRDefault="009A7CEA" w:rsidP="00916B9B">
            <w:pPr>
              <w:jc w:val="right"/>
              <w:rPr>
                <w:rFonts w:cs="Times New Roman"/>
              </w:rPr>
            </w:pPr>
            <w:r w:rsidRPr="00342339">
              <w:rPr>
                <w:rFonts w:cs="Times New Roman"/>
              </w:rPr>
              <w:t>500</w:t>
            </w:r>
          </w:p>
        </w:tc>
        <w:tc>
          <w:tcPr>
            <w:tcW w:w="1080" w:type="dxa"/>
            <w:tcBorders>
              <w:top w:val="nil"/>
              <w:left w:val="nil"/>
              <w:bottom w:val="nil"/>
              <w:right w:val="nil"/>
            </w:tcBorders>
            <w:shd w:val="clear" w:color="auto" w:fill="auto"/>
            <w:noWrap/>
            <w:vAlign w:val="bottom"/>
            <w:hideMark/>
          </w:tcPr>
          <w:p w14:paraId="3B12759F" w14:textId="77777777" w:rsidR="009A7CEA" w:rsidRPr="00342339" w:rsidRDefault="009A7CEA" w:rsidP="00916B9B">
            <w:pPr>
              <w:jc w:val="right"/>
              <w:rPr>
                <w:rFonts w:cs="Times New Roman"/>
              </w:rPr>
            </w:pPr>
            <w:r w:rsidRPr="00342339">
              <w:rPr>
                <w:rFonts w:cs="Times New Roman"/>
              </w:rPr>
              <w:t>0.613</w:t>
            </w:r>
          </w:p>
        </w:tc>
      </w:tr>
      <w:tr w:rsidR="009A7CEA" w:rsidRPr="003B6081" w14:paraId="271980C5" w14:textId="77777777" w:rsidTr="00342339">
        <w:trPr>
          <w:trHeight w:val="255"/>
          <w:jc w:val="center"/>
        </w:trPr>
        <w:tc>
          <w:tcPr>
            <w:tcW w:w="990" w:type="dxa"/>
            <w:tcBorders>
              <w:top w:val="nil"/>
              <w:left w:val="nil"/>
              <w:bottom w:val="nil"/>
              <w:right w:val="nil"/>
            </w:tcBorders>
            <w:shd w:val="clear" w:color="auto" w:fill="auto"/>
            <w:noWrap/>
            <w:vAlign w:val="bottom"/>
            <w:hideMark/>
          </w:tcPr>
          <w:p w14:paraId="34B081E2" w14:textId="77777777" w:rsidR="009A7CEA" w:rsidRPr="00342339" w:rsidRDefault="009A7CEA" w:rsidP="00916B9B">
            <w:pPr>
              <w:jc w:val="center"/>
              <w:rPr>
                <w:rFonts w:cs="Times New Roman"/>
              </w:rPr>
            </w:pPr>
            <w:r w:rsidRPr="00342339">
              <w:rPr>
                <w:rFonts w:cs="Times New Roman"/>
              </w:rPr>
              <w:t>0.55</w:t>
            </w:r>
          </w:p>
        </w:tc>
        <w:tc>
          <w:tcPr>
            <w:tcW w:w="900" w:type="dxa"/>
            <w:tcBorders>
              <w:top w:val="nil"/>
              <w:left w:val="nil"/>
              <w:bottom w:val="nil"/>
              <w:right w:val="nil"/>
            </w:tcBorders>
            <w:shd w:val="clear" w:color="auto" w:fill="auto"/>
            <w:noWrap/>
            <w:vAlign w:val="bottom"/>
            <w:hideMark/>
          </w:tcPr>
          <w:p w14:paraId="72737EFC" w14:textId="77777777" w:rsidR="009A7CEA" w:rsidRPr="00342339" w:rsidRDefault="009A7CEA" w:rsidP="00916B9B">
            <w:pPr>
              <w:jc w:val="center"/>
              <w:rPr>
                <w:rFonts w:cs="Times New Roman"/>
              </w:rPr>
            </w:pPr>
            <w:r w:rsidRPr="00342339">
              <w:rPr>
                <w:rFonts w:cs="Times New Roman"/>
              </w:rPr>
              <w:t>0.48</w:t>
            </w:r>
          </w:p>
        </w:tc>
        <w:tc>
          <w:tcPr>
            <w:tcW w:w="720" w:type="dxa"/>
            <w:tcBorders>
              <w:top w:val="nil"/>
              <w:left w:val="nil"/>
              <w:bottom w:val="nil"/>
              <w:right w:val="nil"/>
            </w:tcBorders>
            <w:shd w:val="clear" w:color="auto" w:fill="auto"/>
            <w:noWrap/>
            <w:vAlign w:val="bottom"/>
            <w:hideMark/>
          </w:tcPr>
          <w:p w14:paraId="53DB791D" w14:textId="77777777" w:rsidR="009A7CEA" w:rsidRPr="00342339" w:rsidRDefault="009A7CEA" w:rsidP="00916B9B">
            <w:pPr>
              <w:jc w:val="right"/>
              <w:rPr>
                <w:rFonts w:cs="Times New Roman"/>
              </w:rPr>
            </w:pPr>
            <w:r w:rsidRPr="00342339">
              <w:rPr>
                <w:rFonts w:cs="Times New Roman"/>
              </w:rPr>
              <w:t>500</w:t>
            </w:r>
          </w:p>
        </w:tc>
        <w:tc>
          <w:tcPr>
            <w:tcW w:w="1080" w:type="dxa"/>
            <w:tcBorders>
              <w:top w:val="nil"/>
              <w:left w:val="nil"/>
              <w:bottom w:val="nil"/>
              <w:right w:val="nil"/>
            </w:tcBorders>
            <w:shd w:val="clear" w:color="auto" w:fill="auto"/>
            <w:noWrap/>
            <w:vAlign w:val="bottom"/>
            <w:hideMark/>
          </w:tcPr>
          <w:p w14:paraId="25C23936" w14:textId="77777777" w:rsidR="009A7CEA" w:rsidRPr="00342339" w:rsidRDefault="009A7CEA" w:rsidP="00916B9B">
            <w:pPr>
              <w:jc w:val="right"/>
              <w:rPr>
                <w:rFonts w:cs="Times New Roman"/>
              </w:rPr>
            </w:pPr>
            <w:r w:rsidRPr="00342339">
              <w:rPr>
                <w:rFonts w:cs="Times New Roman"/>
              </w:rPr>
              <w:t>0.600</w:t>
            </w:r>
          </w:p>
        </w:tc>
      </w:tr>
      <w:tr w:rsidR="009A7CEA" w:rsidRPr="003B6081" w14:paraId="7DF18561" w14:textId="77777777" w:rsidTr="00342339">
        <w:trPr>
          <w:trHeight w:val="255"/>
          <w:jc w:val="center"/>
        </w:trPr>
        <w:tc>
          <w:tcPr>
            <w:tcW w:w="990" w:type="dxa"/>
            <w:tcBorders>
              <w:top w:val="nil"/>
              <w:left w:val="nil"/>
              <w:bottom w:val="nil"/>
              <w:right w:val="nil"/>
            </w:tcBorders>
            <w:shd w:val="clear" w:color="auto" w:fill="auto"/>
            <w:noWrap/>
            <w:vAlign w:val="bottom"/>
            <w:hideMark/>
          </w:tcPr>
          <w:p w14:paraId="186DC93B" w14:textId="77777777" w:rsidR="009A7CEA" w:rsidRPr="00342339" w:rsidRDefault="009A7CEA" w:rsidP="00916B9B">
            <w:pPr>
              <w:jc w:val="center"/>
              <w:rPr>
                <w:rFonts w:cs="Times New Roman"/>
              </w:rPr>
            </w:pPr>
            <w:r w:rsidRPr="00342339">
              <w:rPr>
                <w:rFonts w:cs="Times New Roman"/>
              </w:rPr>
              <w:t>0.65</w:t>
            </w:r>
          </w:p>
        </w:tc>
        <w:tc>
          <w:tcPr>
            <w:tcW w:w="900" w:type="dxa"/>
            <w:tcBorders>
              <w:top w:val="nil"/>
              <w:left w:val="nil"/>
              <w:bottom w:val="nil"/>
              <w:right w:val="nil"/>
            </w:tcBorders>
            <w:shd w:val="clear" w:color="auto" w:fill="auto"/>
            <w:noWrap/>
            <w:vAlign w:val="bottom"/>
            <w:hideMark/>
          </w:tcPr>
          <w:p w14:paraId="46CD90BC" w14:textId="77777777" w:rsidR="009A7CEA" w:rsidRPr="00342339" w:rsidRDefault="009A7CEA" w:rsidP="00916B9B">
            <w:pPr>
              <w:jc w:val="center"/>
              <w:rPr>
                <w:rFonts w:cs="Times New Roman"/>
              </w:rPr>
            </w:pPr>
            <w:r w:rsidRPr="00342339">
              <w:rPr>
                <w:rFonts w:cs="Times New Roman"/>
              </w:rPr>
              <w:t>0.58</w:t>
            </w:r>
          </w:p>
        </w:tc>
        <w:tc>
          <w:tcPr>
            <w:tcW w:w="720" w:type="dxa"/>
            <w:tcBorders>
              <w:top w:val="nil"/>
              <w:left w:val="nil"/>
              <w:bottom w:val="nil"/>
              <w:right w:val="nil"/>
            </w:tcBorders>
            <w:shd w:val="clear" w:color="auto" w:fill="auto"/>
            <w:noWrap/>
            <w:vAlign w:val="bottom"/>
            <w:hideMark/>
          </w:tcPr>
          <w:p w14:paraId="57364DE5" w14:textId="77777777" w:rsidR="009A7CEA" w:rsidRPr="00342339" w:rsidRDefault="009A7CEA" w:rsidP="00916B9B">
            <w:pPr>
              <w:jc w:val="right"/>
              <w:rPr>
                <w:rFonts w:cs="Times New Roman"/>
              </w:rPr>
            </w:pPr>
            <w:r w:rsidRPr="00342339">
              <w:rPr>
                <w:rFonts w:cs="Times New Roman"/>
              </w:rPr>
              <w:t>500</w:t>
            </w:r>
          </w:p>
        </w:tc>
        <w:tc>
          <w:tcPr>
            <w:tcW w:w="1080" w:type="dxa"/>
            <w:tcBorders>
              <w:top w:val="nil"/>
              <w:left w:val="nil"/>
              <w:bottom w:val="nil"/>
              <w:right w:val="nil"/>
            </w:tcBorders>
            <w:shd w:val="clear" w:color="auto" w:fill="auto"/>
            <w:noWrap/>
            <w:vAlign w:val="bottom"/>
            <w:hideMark/>
          </w:tcPr>
          <w:p w14:paraId="59571C9C" w14:textId="77777777" w:rsidR="009A7CEA" w:rsidRPr="00342339" w:rsidRDefault="009A7CEA" w:rsidP="00916B9B">
            <w:pPr>
              <w:jc w:val="right"/>
              <w:rPr>
                <w:rFonts w:cs="Times New Roman"/>
              </w:rPr>
            </w:pPr>
            <w:r w:rsidRPr="00342339">
              <w:rPr>
                <w:rFonts w:cs="Times New Roman"/>
              </w:rPr>
              <w:t>0.623</w:t>
            </w:r>
          </w:p>
        </w:tc>
      </w:tr>
      <w:tr w:rsidR="009A7CEA" w:rsidRPr="003B6081" w14:paraId="385C1DE2" w14:textId="77777777" w:rsidTr="00342339">
        <w:trPr>
          <w:trHeight w:val="255"/>
          <w:jc w:val="center"/>
        </w:trPr>
        <w:tc>
          <w:tcPr>
            <w:tcW w:w="990" w:type="dxa"/>
            <w:tcBorders>
              <w:top w:val="nil"/>
              <w:left w:val="nil"/>
              <w:bottom w:val="nil"/>
              <w:right w:val="nil"/>
            </w:tcBorders>
            <w:shd w:val="clear" w:color="auto" w:fill="auto"/>
            <w:noWrap/>
            <w:vAlign w:val="bottom"/>
            <w:hideMark/>
          </w:tcPr>
          <w:p w14:paraId="3596CBFB" w14:textId="77777777" w:rsidR="009A7CEA" w:rsidRPr="00342339" w:rsidRDefault="009A7CEA" w:rsidP="00916B9B">
            <w:pPr>
              <w:jc w:val="center"/>
              <w:rPr>
                <w:rFonts w:cs="Times New Roman"/>
              </w:rPr>
            </w:pPr>
            <w:r w:rsidRPr="00342339">
              <w:rPr>
                <w:rFonts w:cs="Times New Roman"/>
              </w:rPr>
              <w:t>0.75</w:t>
            </w:r>
          </w:p>
        </w:tc>
        <w:tc>
          <w:tcPr>
            <w:tcW w:w="900" w:type="dxa"/>
            <w:tcBorders>
              <w:top w:val="nil"/>
              <w:left w:val="nil"/>
              <w:bottom w:val="nil"/>
              <w:right w:val="nil"/>
            </w:tcBorders>
            <w:shd w:val="clear" w:color="auto" w:fill="auto"/>
            <w:noWrap/>
            <w:vAlign w:val="bottom"/>
            <w:hideMark/>
          </w:tcPr>
          <w:p w14:paraId="751C2BD4" w14:textId="77777777" w:rsidR="009A7CEA" w:rsidRPr="00342339" w:rsidRDefault="009A7CEA" w:rsidP="00916B9B">
            <w:pPr>
              <w:jc w:val="center"/>
              <w:rPr>
                <w:rFonts w:cs="Times New Roman"/>
              </w:rPr>
            </w:pPr>
            <w:r w:rsidRPr="00342339">
              <w:rPr>
                <w:rFonts w:cs="Times New Roman"/>
              </w:rPr>
              <w:t>0.68</w:t>
            </w:r>
          </w:p>
        </w:tc>
        <w:tc>
          <w:tcPr>
            <w:tcW w:w="720" w:type="dxa"/>
            <w:tcBorders>
              <w:top w:val="nil"/>
              <w:left w:val="nil"/>
              <w:bottom w:val="nil"/>
              <w:right w:val="nil"/>
            </w:tcBorders>
            <w:shd w:val="clear" w:color="auto" w:fill="auto"/>
            <w:noWrap/>
            <w:vAlign w:val="bottom"/>
            <w:hideMark/>
          </w:tcPr>
          <w:p w14:paraId="54CA6770" w14:textId="77777777" w:rsidR="009A7CEA" w:rsidRPr="00342339" w:rsidRDefault="009A7CEA" w:rsidP="00916B9B">
            <w:pPr>
              <w:jc w:val="right"/>
              <w:rPr>
                <w:rFonts w:cs="Times New Roman"/>
              </w:rPr>
            </w:pPr>
            <w:r w:rsidRPr="00342339">
              <w:rPr>
                <w:rFonts w:cs="Times New Roman"/>
              </w:rPr>
              <w:t>500</w:t>
            </w:r>
          </w:p>
        </w:tc>
        <w:tc>
          <w:tcPr>
            <w:tcW w:w="1080" w:type="dxa"/>
            <w:tcBorders>
              <w:top w:val="nil"/>
              <w:left w:val="nil"/>
              <w:bottom w:val="nil"/>
              <w:right w:val="nil"/>
            </w:tcBorders>
            <w:shd w:val="clear" w:color="auto" w:fill="auto"/>
            <w:noWrap/>
            <w:vAlign w:val="bottom"/>
            <w:hideMark/>
          </w:tcPr>
          <w:p w14:paraId="73EF249A" w14:textId="77777777" w:rsidR="009A7CEA" w:rsidRPr="00342339" w:rsidRDefault="009A7CEA" w:rsidP="00916B9B">
            <w:pPr>
              <w:jc w:val="right"/>
              <w:rPr>
                <w:rFonts w:cs="Times New Roman"/>
              </w:rPr>
            </w:pPr>
            <w:r w:rsidRPr="00342339">
              <w:rPr>
                <w:rFonts w:cs="Times New Roman"/>
              </w:rPr>
              <w:t>0.689</w:t>
            </w:r>
          </w:p>
        </w:tc>
      </w:tr>
      <w:tr w:rsidR="009A7CEA" w:rsidRPr="003B6081" w14:paraId="7684E8BD" w14:textId="77777777" w:rsidTr="00342339">
        <w:trPr>
          <w:trHeight w:val="255"/>
          <w:jc w:val="center"/>
        </w:trPr>
        <w:tc>
          <w:tcPr>
            <w:tcW w:w="990" w:type="dxa"/>
            <w:tcBorders>
              <w:top w:val="nil"/>
              <w:left w:val="nil"/>
              <w:right w:val="nil"/>
            </w:tcBorders>
            <w:shd w:val="clear" w:color="auto" w:fill="auto"/>
            <w:noWrap/>
            <w:vAlign w:val="bottom"/>
            <w:hideMark/>
          </w:tcPr>
          <w:p w14:paraId="40F33D58" w14:textId="77777777" w:rsidR="009A7CEA" w:rsidRPr="00342339" w:rsidRDefault="009A7CEA" w:rsidP="00916B9B">
            <w:pPr>
              <w:jc w:val="center"/>
              <w:rPr>
                <w:rFonts w:cs="Times New Roman"/>
              </w:rPr>
            </w:pPr>
            <w:r w:rsidRPr="00342339">
              <w:rPr>
                <w:rFonts w:cs="Times New Roman"/>
              </w:rPr>
              <w:t>0.85</w:t>
            </w:r>
          </w:p>
        </w:tc>
        <w:tc>
          <w:tcPr>
            <w:tcW w:w="900" w:type="dxa"/>
            <w:tcBorders>
              <w:top w:val="nil"/>
              <w:left w:val="nil"/>
              <w:right w:val="nil"/>
            </w:tcBorders>
            <w:shd w:val="clear" w:color="auto" w:fill="auto"/>
            <w:noWrap/>
            <w:vAlign w:val="bottom"/>
            <w:hideMark/>
          </w:tcPr>
          <w:p w14:paraId="4E85356E" w14:textId="77777777" w:rsidR="009A7CEA" w:rsidRPr="00342339" w:rsidRDefault="009A7CEA" w:rsidP="00916B9B">
            <w:pPr>
              <w:jc w:val="center"/>
              <w:rPr>
                <w:rFonts w:cs="Times New Roman"/>
              </w:rPr>
            </w:pPr>
            <w:r w:rsidRPr="00342339">
              <w:rPr>
                <w:rFonts w:cs="Times New Roman"/>
              </w:rPr>
              <w:t>0.78</w:t>
            </w:r>
          </w:p>
        </w:tc>
        <w:tc>
          <w:tcPr>
            <w:tcW w:w="720" w:type="dxa"/>
            <w:tcBorders>
              <w:top w:val="nil"/>
              <w:left w:val="nil"/>
              <w:right w:val="nil"/>
            </w:tcBorders>
            <w:shd w:val="clear" w:color="auto" w:fill="auto"/>
            <w:noWrap/>
            <w:vAlign w:val="bottom"/>
            <w:hideMark/>
          </w:tcPr>
          <w:p w14:paraId="675F9C58" w14:textId="77777777" w:rsidR="009A7CEA" w:rsidRPr="00342339" w:rsidRDefault="009A7CEA" w:rsidP="00916B9B">
            <w:pPr>
              <w:jc w:val="right"/>
              <w:rPr>
                <w:rFonts w:cs="Times New Roman"/>
              </w:rPr>
            </w:pPr>
            <w:r w:rsidRPr="00342339">
              <w:rPr>
                <w:rFonts w:cs="Times New Roman"/>
              </w:rPr>
              <w:t>500</w:t>
            </w:r>
          </w:p>
        </w:tc>
        <w:tc>
          <w:tcPr>
            <w:tcW w:w="1080" w:type="dxa"/>
            <w:tcBorders>
              <w:top w:val="nil"/>
              <w:left w:val="nil"/>
              <w:right w:val="nil"/>
            </w:tcBorders>
            <w:shd w:val="clear" w:color="auto" w:fill="auto"/>
            <w:noWrap/>
            <w:vAlign w:val="bottom"/>
            <w:hideMark/>
          </w:tcPr>
          <w:p w14:paraId="59FDBE93" w14:textId="77777777" w:rsidR="009A7CEA" w:rsidRPr="00342339" w:rsidRDefault="009A7CEA" w:rsidP="00916B9B">
            <w:pPr>
              <w:jc w:val="right"/>
              <w:rPr>
                <w:rFonts w:cs="Times New Roman"/>
              </w:rPr>
            </w:pPr>
            <w:r w:rsidRPr="00342339">
              <w:rPr>
                <w:rFonts w:cs="Times New Roman"/>
              </w:rPr>
              <w:t>0.813</w:t>
            </w:r>
          </w:p>
        </w:tc>
      </w:tr>
      <w:tr w:rsidR="009A7CEA" w:rsidRPr="003B6081" w14:paraId="48F16BF0" w14:textId="77777777" w:rsidTr="00342339">
        <w:trPr>
          <w:trHeight w:val="255"/>
          <w:jc w:val="center"/>
        </w:trPr>
        <w:tc>
          <w:tcPr>
            <w:tcW w:w="990" w:type="dxa"/>
            <w:tcBorders>
              <w:top w:val="nil"/>
              <w:left w:val="nil"/>
              <w:bottom w:val="single" w:sz="4" w:space="0" w:color="auto"/>
              <w:right w:val="nil"/>
            </w:tcBorders>
            <w:shd w:val="clear" w:color="auto" w:fill="auto"/>
            <w:noWrap/>
            <w:vAlign w:val="bottom"/>
            <w:hideMark/>
          </w:tcPr>
          <w:p w14:paraId="63E1849B" w14:textId="77777777" w:rsidR="009A7CEA" w:rsidRPr="00342339" w:rsidRDefault="009A7CEA" w:rsidP="00916B9B">
            <w:pPr>
              <w:jc w:val="center"/>
              <w:rPr>
                <w:rFonts w:cs="Times New Roman"/>
              </w:rPr>
            </w:pPr>
            <w:r w:rsidRPr="00342339">
              <w:rPr>
                <w:rFonts w:cs="Times New Roman"/>
              </w:rPr>
              <w:t>0.95</w:t>
            </w:r>
          </w:p>
        </w:tc>
        <w:tc>
          <w:tcPr>
            <w:tcW w:w="900" w:type="dxa"/>
            <w:tcBorders>
              <w:top w:val="nil"/>
              <w:left w:val="nil"/>
              <w:bottom w:val="single" w:sz="4" w:space="0" w:color="auto"/>
              <w:right w:val="nil"/>
            </w:tcBorders>
            <w:shd w:val="clear" w:color="auto" w:fill="auto"/>
            <w:noWrap/>
            <w:vAlign w:val="bottom"/>
            <w:hideMark/>
          </w:tcPr>
          <w:p w14:paraId="5DA92884" w14:textId="77777777" w:rsidR="009A7CEA" w:rsidRPr="00342339" w:rsidRDefault="009A7CEA" w:rsidP="00916B9B">
            <w:pPr>
              <w:jc w:val="center"/>
              <w:rPr>
                <w:rFonts w:cs="Times New Roman"/>
              </w:rPr>
            </w:pPr>
            <w:r w:rsidRPr="00342339">
              <w:rPr>
                <w:rFonts w:cs="Times New Roman"/>
              </w:rPr>
              <w:t>0.88</w:t>
            </w:r>
          </w:p>
        </w:tc>
        <w:tc>
          <w:tcPr>
            <w:tcW w:w="720" w:type="dxa"/>
            <w:tcBorders>
              <w:top w:val="nil"/>
              <w:left w:val="nil"/>
              <w:bottom w:val="single" w:sz="4" w:space="0" w:color="auto"/>
              <w:right w:val="nil"/>
            </w:tcBorders>
            <w:shd w:val="clear" w:color="auto" w:fill="auto"/>
            <w:noWrap/>
            <w:vAlign w:val="bottom"/>
            <w:hideMark/>
          </w:tcPr>
          <w:p w14:paraId="3D84339C" w14:textId="77777777" w:rsidR="009A7CEA" w:rsidRPr="00342339" w:rsidRDefault="009A7CEA" w:rsidP="00916B9B">
            <w:pPr>
              <w:jc w:val="right"/>
              <w:rPr>
                <w:rFonts w:cs="Times New Roman"/>
              </w:rPr>
            </w:pPr>
            <w:r w:rsidRPr="00342339">
              <w:rPr>
                <w:rFonts w:cs="Times New Roman"/>
              </w:rPr>
              <w:t>500</w:t>
            </w:r>
          </w:p>
        </w:tc>
        <w:tc>
          <w:tcPr>
            <w:tcW w:w="1080" w:type="dxa"/>
            <w:tcBorders>
              <w:top w:val="nil"/>
              <w:left w:val="nil"/>
              <w:bottom w:val="single" w:sz="4" w:space="0" w:color="auto"/>
              <w:right w:val="nil"/>
            </w:tcBorders>
            <w:shd w:val="clear" w:color="auto" w:fill="auto"/>
            <w:noWrap/>
            <w:vAlign w:val="bottom"/>
            <w:hideMark/>
          </w:tcPr>
          <w:p w14:paraId="13BCB17B" w14:textId="77777777" w:rsidR="009A7CEA" w:rsidRPr="00342339" w:rsidRDefault="009A7CEA" w:rsidP="00916B9B">
            <w:pPr>
              <w:jc w:val="right"/>
              <w:rPr>
                <w:rFonts w:cs="Times New Roman"/>
              </w:rPr>
            </w:pPr>
            <w:r w:rsidRPr="00342339">
              <w:rPr>
                <w:rFonts w:cs="Times New Roman"/>
              </w:rPr>
              <w:t>0.978</w:t>
            </w:r>
          </w:p>
        </w:tc>
      </w:tr>
    </w:tbl>
    <w:p w14:paraId="70C6AF20" w14:textId="77777777" w:rsidR="009A7CEA" w:rsidRPr="00C83005" w:rsidRDefault="009A7CEA" w:rsidP="00C83005">
      <w:pPr>
        <w:rPr>
          <w:rFonts w:cs="Times New Roman"/>
          <w:color w:val="000000" w:themeColor="text1"/>
        </w:rPr>
      </w:pPr>
    </w:p>
    <w:p w14:paraId="11394FC5" w14:textId="77777777" w:rsidR="00C83005" w:rsidRPr="00C83005" w:rsidRDefault="00C83005" w:rsidP="00C83005">
      <w:pPr>
        <w:rPr>
          <w:rFonts w:cs="Times New Roman"/>
          <w:color w:val="000000" w:themeColor="text1"/>
        </w:rPr>
      </w:pPr>
    </w:p>
    <w:p w14:paraId="5EB5F6D5" w14:textId="6357330A" w:rsidR="00236BC5" w:rsidRDefault="00236BC5" w:rsidP="00236BC5">
      <w:pPr>
        <w:rPr>
          <w:rFonts w:cs="Times New Roman"/>
          <w:color w:val="000000" w:themeColor="text1"/>
        </w:rPr>
      </w:pPr>
      <w:r w:rsidRPr="00236BC5">
        <w:rPr>
          <w:rFonts w:cs="Times New Roman"/>
          <w:color w:val="000000" w:themeColor="text1"/>
        </w:rPr>
        <w:t xml:space="preserve">For each screening item, we </w:t>
      </w:r>
      <w:r>
        <w:rPr>
          <w:rFonts w:cs="Times New Roman"/>
          <w:color w:val="000000" w:themeColor="text1"/>
        </w:rPr>
        <w:t xml:space="preserve">have </w:t>
      </w:r>
      <w:r w:rsidRPr="00236BC5">
        <w:rPr>
          <w:rFonts w:cs="Times New Roman"/>
          <w:color w:val="000000" w:themeColor="text1"/>
        </w:rPr>
        <w:t>develop</w:t>
      </w:r>
      <w:r>
        <w:rPr>
          <w:rFonts w:cs="Times New Roman"/>
          <w:color w:val="000000" w:themeColor="text1"/>
        </w:rPr>
        <w:t>ed</w:t>
      </w:r>
      <w:r w:rsidRPr="00236BC5">
        <w:rPr>
          <w:rFonts w:cs="Times New Roman"/>
          <w:color w:val="000000" w:themeColor="text1"/>
        </w:rPr>
        <w:t xml:space="preserve"> </w:t>
      </w:r>
      <w:r w:rsidR="006E1FFE">
        <w:rPr>
          <w:rFonts w:cs="Times New Roman"/>
          <w:color w:val="000000" w:themeColor="text1"/>
        </w:rPr>
        <w:t xml:space="preserve">several </w:t>
      </w:r>
      <w:r w:rsidRPr="00236BC5">
        <w:rPr>
          <w:rFonts w:cs="Times New Roman"/>
          <w:color w:val="000000" w:themeColor="text1"/>
        </w:rPr>
        <w:t xml:space="preserve">versions of a basic scenario. The </w:t>
      </w:r>
      <w:r>
        <w:rPr>
          <w:rFonts w:cs="Times New Roman"/>
          <w:color w:val="000000" w:themeColor="text1"/>
        </w:rPr>
        <w:t xml:space="preserve">violent crime vignettes </w:t>
      </w:r>
      <w:r w:rsidRPr="00236BC5">
        <w:rPr>
          <w:rFonts w:cs="Times New Roman"/>
          <w:color w:val="000000" w:themeColor="text1"/>
        </w:rPr>
        <w:t xml:space="preserve">vary </w:t>
      </w:r>
      <w:r>
        <w:rPr>
          <w:rFonts w:cs="Times New Roman"/>
          <w:color w:val="000000" w:themeColor="text1"/>
        </w:rPr>
        <w:t xml:space="preserve">according to the following </w:t>
      </w:r>
      <w:r w:rsidRPr="00236BC5">
        <w:rPr>
          <w:rFonts w:cs="Times New Roman"/>
          <w:color w:val="000000" w:themeColor="text1"/>
        </w:rPr>
        <w:t xml:space="preserve">dimensions:  the level of seriousness of the incident (low, high), and who the offender was (stranger, acquaintance, relative or close friend). </w:t>
      </w:r>
      <w:r>
        <w:rPr>
          <w:rFonts w:cs="Times New Roman"/>
          <w:color w:val="000000" w:themeColor="text1"/>
        </w:rPr>
        <w:t xml:space="preserve">The property crime vignettes vary according to the same dimensions, with an added dimension of property ownership (owned by the respondent or borrowed property). </w:t>
      </w:r>
      <w:r w:rsidRPr="00236BC5">
        <w:rPr>
          <w:rFonts w:cs="Times New Roman"/>
          <w:color w:val="000000" w:themeColor="text1"/>
        </w:rPr>
        <w:t>Each vignette will be randomly and independently assigned.</w:t>
      </w:r>
      <w:r w:rsidR="00596358">
        <w:rPr>
          <w:rFonts w:cs="Times New Roman"/>
          <w:color w:val="000000" w:themeColor="text1"/>
        </w:rPr>
        <w:t xml:space="preserve">  </w:t>
      </w:r>
    </w:p>
    <w:p w14:paraId="05CB210D" w14:textId="77777777" w:rsidR="00596358" w:rsidRDefault="00596358" w:rsidP="00236BC5">
      <w:pPr>
        <w:rPr>
          <w:rFonts w:cs="Times New Roman"/>
          <w:color w:val="000000" w:themeColor="text1"/>
        </w:rPr>
      </w:pPr>
    </w:p>
    <w:p w14:paraId="5CBF90C4" w14:textId="4762AB6C" w:rsidR="00596358" w:rsidRDefault="00596358" w:rsidP="00236BC5">
      <w:pPr>
        <w:rPr>
          <w:rFonts w:cs="Times New Roman"/>
          <w:color w:val="000000" w:themeColor="text1"/>
        </w:rPr>
      </w:pPr>
      <w:r>
        <w:rPr>
          <w:rFonts w:cs="Times New Roman"/>
          <w:color w:val="000000" w:themeColor="text1"/>
        </w:rPr>
        <w:t xml:space="preserve">Besides responses to the seven vignettes, the survey will collect a few demographic characteristics (see questions 1 through </w:t>
      </w:r>
      <w:r w:rsidR="00247FD6">
        <w:rPr>
          <w:rFonts w:cs="Times New Roman"/>
          <w:color w:val="000000" w:themeColor="text1"/>
        </w:rPr>
        <w:t>5</w:t>
      </w:r>
      <w:r>
        <w:rPr>
          <w:rFonts w:cs="Times New Roman"/>
          <w:color w:val="000000" w:themeColor="text1"/>
        </w:rPr>
        <w:t xml:space="preserve"> in the questionnaire). </w:t>
      </w:r>
      <w:r w:rsidR="002F4255">
        <w:rPr>
          <w:rFonts w:cs="Times New Roman"/>
          <w:color w:val="000000" w:themeColor="text1"/>
        </w:rPr>
        <w:t xml:space="preserve"> </w:t>
      </w:r>
      <w:proofErr w:type="spellStart"/>
      <w:r w:rsidR="009B2799">
        <w:rPr>
          <w:rFonts w:cs="Times New Roman"/>
          <w:color w:val="000000" w:themeColor="text1"/>
        </w:rPr>
        <w:t>SurveyMonkey</w:t>
      </w:r>
      <w:proofErr w:type="spellEnd"/>
      <w:r w:rsidR="009B2799">
        <w:rPr>
          <w:rFonts w:cs="Times New Roman"/>
          <w:color w:val="000000" w:themeColor="text1"/>
        </w:rPr>
        <w:t xml:space="preserve"> will monitor data collection to assure </w:t>
      </w:r>
      <w:r w:rsidR="007468B9">
        <w:rPr>
          <w:rFonts w:cs="Times New Roman"/>
          <w:color w:val="000000" w:themeColor="text1"/>
        </w:rPr>
        <w:t xml:space="preserve">a balanced </w:t>
      </w:r>
      <w:r w:rsidR="009B2799">
        <w:rPr>
          <w:rFonts w:cs="Times New Roman"/>
          <w:color w:val="000000" w:themeColor="text1"/>
        </w:rPr>
        <w:t>split by respondent sex and to assure a mix across age and race</w:t>
      </w:r>
      <w:r w:rsidR="007468B9">
        <w:rPr>
          <w:rFonts w:cs="Times New Roman"/>
          <w:color w:val="000000" w:themeColor="text1"/>
        </w:rPr>
        <w:t>-ethnicity</w:t>
      </w:r>
      <w:r w:rsidR="009B2799">
        <w:rPr>
          <w:rFonts w:cs="Times New Roman"/>
          <w:color w:val="000000" w:themeColor="text1"/>
        </w:rPr>
        <w:t xml:space="preserve"> groups.</w:t>
      </w:r>
    </w:p>
    <w:p w14:paraId="3C218D04" w14:textId="77777777" w:rsidR="00236BC5" w:rsidRDefault="00236BC5" w:rsidP="00236BC5">
      <w:pPr>
        <w:rPr>
          <w:rFonts w:cs="Times New Roman"/>
          <w:color w:val="000000" w:themeColor="text1"/>
        </w:rPr>
      </w:pPr>
    </w:p>
    <w:p w14:paraId="6E2B95D0" w14:textId="77777777" w:rsidR="00C73CB8" w:rsidRPr="00887785" w:rsidRDefault="00C73CB8" w:rsidP="00C73CB8">
      <w:pPr>
        <w:rPr>
          <w:rFonts w:cs="Times New Roman"/>
          <w:color w:val="000000" w:themeColor="text1"/>
          <w:u w:val="single"/>
        </w:rPr>
      </w:pPr>
      <w:r>
        <w:rPr>
          <w:rFonts w:cs="Times New Roman"/>
          <w:color w:val="000000" w:themeColor="text1"/>
          <w:u w:val="single"/>
        </w:rPr>
        <w:t>Survey Instrument</w:t>
      </w:r>
    </w:p>
    <w:p w14:paraId="191F31B8" w14:textId="77777777" w:rsidR="00C73CB8" w:rsidRDefault="00C73CB8" w:rsidP="00C73CB8">
      <w:pPr>
        <w:rPr>
          <w:rFonts w:cs="Times New Roman"/>
          <w:color w:val="000000" w:themeColor="text1"/>
        </w:rPr>
      </w:pPr>
    </w:p>
    <w:p w14:paraId="5CC31BB6" w14:textId="484D004F" w:rsidR="00C73CB8" w:rsidRPr="003D0F37" w:rsidRDefault="00C73CB8" w:rsidP="00C73CB8">
      <w:pPr>
        <w:rPr>
          <w:rFonts w:cs="Times New Roman"/>
          <w:color w:val="000000" w:themeColor="text1"/>
        </w:rPr>
      </w:pPr>
      <w:r>
        <w:rPr>
          <w:rFonts w:cs="Times New Roman"/>
          <w:color w:val="000000" w:themeColor="text1"/>
        </w:rPr>
        <w:t xml:space="preserve">The </w:t>
      </w:r>
      <w:r w:rsidR="004A22A7">
        <w:rPr>
          <w:rFonts w:cs="Times New Roman"/>
          <w:color w:val="000000" w:themeColor="text1"/>
        </w:rPr>
        <w:t xml:space="preserve">instrument </w:t>
      </w:r>
      <w:r>
        <w:rPr>
          <w:rFonts w:cs="Times New Roman"/>
          <w:color w:val="000000" w:themeColor="text1"/>
        </w:rPr>
        <w:t xml:space="preserve">is designed to assess </w:t>
      </w:r>
      <w:r w:rsidR="004A22A7">
        <w:rPr>
          <w:rFonts w:cs="Times New Roman"/>
          <w:color w:val="000000" w:themeColor="text1"/>
        </w:rPr>
        <w:t xml:space="preserve">how </w:t>
      </w:r>
      <w:r>
        <w:rPr>
          <w:rFonts w:cs="Times New Roman"/>
          <w:color w:val="000000" w:themeColor="text1"/>
        </w:rPr>
        <w:t>varying dimensions of crime severity or relationship to the offender (or property) changes how respondent</w:t>
      </w:r>
      <w:r w:rsidR="004A22A7">
        <w:rPr>
          <w:rFonts w:cs="Times New Roman"/>
          <w:color w:val="000000" w:themeColor="text1"/>
        </w:rPr>
        <w:t xml:space="preserve">s </w:t>
      </w:r>
      <w:r w:rsidR="00596358">
        <w:rPr>
          <w:rFonts w:cs="Times New Roman"/>
          <w:color w:val="000000" w:themeColor="text1"/>
        </w:rPr>
        <w:t xml:space="preserve">interpret </w:t>
      </w:r>
      <w:r w:rsidR="004A22A7">
        <w:rPr>
          <w:rFonts w:cs="Times New Roman"/>
          <w:color w:val="000000" w:themeColor="text1"/>
        </w:rPr>
        <w:t xml:space="preserve">the </w:t>
      </w:r>
      <w:r>
        <w:rPr>
          <w:rFonts w:cs="Times New Roman"/>
          <w:color w:val="000000" w:themeColor="text1"/>
        </w:rPr>
        <w:t xml:space="preserve">screener questions. Appendix </w:t>
      </w:r>
      <w:r w:rsidR="0055587A">
        <w:rPr>
          <w:rFonts w:cs="Times New Roman"/>
          <w:color w:val="000000" w:themeColor="text1"/>
        </w:rPr>
        <w:t>B</w:t>
      </w:r>
      <w:r>
        <w:rPr>
          <w:rFonts w:cs="Times New Roman"/>
          <w:color w:val="000000" w:themeColor="text1"/>
        </w:rPr>
        <w:t xml:space="preserve"> includes a copy of the </w:t>
      </w:r>
      <w:r w:rsidR="002F4255">
        <w:rPr>
          <w:rFonts w:cs="Times New Roman"/>
          <w:color w:val="000000" w:themeColor="text1"/>
        </w:rPr>
        <w:t xml:space="preserve">full </w:t>
      </w:r>
      <w:r>
        <w:rPr>
          <w:rFonts w:cs="Times New Roman"/>
          <w:color w:val="000000" w:themeColor="text1"/>
        </w:rPr>
        <w:t xml:space="preserve">survey instrument </w:t>
      </w:r>
      <w:r w:rsidR="002F4255">
        <w:rPr>
          <w:rFonts w:cs="Times New Roman"/>
          <w:color w:val="000000" w:themeColor="text1"/>
        </w:rPr>
        <w:t xml:space="preserve">to be used in the </w:t>
      </w:r>
      <w:proofErr w:type="spellStart"/>
      <w:r>
        <w:rPr>
          <w:rFonts w:cs="Times New Roman"/>
          <w:color w:val="000000" w:themeColor="text1"/>
        </w:rPr>
        <w:t>SurveyMonkey</w:t>
      </w:r>
      <w:proofErr w:type="spellEnd"/>
      <w:r>
        <w:rPr>
          <w:rFonts w:cs="Times New Roman"/>
          <w:color w:val="000000" w:themeColor="text1"/>
        </w:rPr>
        <w:t xml:space="preserve"> web survey. An example is provided below.</w:t>
      </w:r>
    </w:p>
    <w:p w14:paraId="440AF3FA" w14:textId="77777777" w:rsidR="00C73CB8" w:rsidRDefault="00C73CB8" w:rsidP="00C73CB8">
      <w:pPr>
        <w:rPr>
          <w:rFonts w:cs="Times New Roman"/>
          <w:b/>
          <w:color w:val="000000" w:themeColor="text1"/>
        </w:rPr>
      </w:pPr>
    </w:p>
    <w:p w14:paraId="733E9602" w14:textId="77777777" w:rsidR="00055236" w:rsidRPr="00055236" w:rsidRDefault="00055236" w:rsidP="00055236">
      <w:pPr>
        <w:ind w:left="720"/>
        <w:rPr>
          <w:rFonts w:cs="Times New Roman"/>
          <w:i/>
          <w:color w:val="000000" w:themeColor="text1"/>
        </w:rPr>
      </w:pPr>
      <w:proofErr w:type="spellStart"/>
      <w:r w:rsidRPr="00055236">
        <w:rPr>
          <w:rFonts w:cs="Times New Roman"/>
          <w:i/>
          <w:color w:val="000000" w:themeColor="text1"/>
        </w:rPr>
        <w:t>SurveyMonkey</w:t>
      </w:r>
      <w:proofErr w:type="spellEnd"/>
      <w:r w:rsidRPr="00055236">
        <w:rPr>
          <w:rFonts w:cs="Times New Roman"/>
          <w:i/>
          <w:color w:val="000000" w:themeColor="text1"/>
        </w:rPr>
        <w:t xml:space="preserve"> respondents will be presented with the following NCVS screener question:</w:t>
      </w:r>
    </w:p>
    <w:p w14:paraId="430DC2E9" w14:textId="77777777" w:rsidR="00055236" w:rsidRDefault="00055236" w:rsidP="00055236">
      <w:pPr>
        <w:ind w:left="720"/>
        <w:rPr>
          <w:rFonts w:cs="Times New Roman"/>
          <w:b/>
          <w:color w:val="000000" w:themeColor="text1"/>
        </w:rPr>
      </w:pPr>
    </w:p>
    <w:p w14:paraId="01FB4BFA" w14:textId="77777777" w:rsidR="00055236" w:rsidRPr="00055236" w:rsidRDefault="00C73CB8" w:rsidP="004A22A7">
      <w:pPr>
        <w:pBdr>
          <w:top w:val="single" w:sz="4" w:space="1" w:color="auto"/>
          <w:left w:val="single" w:sz="4" w:space="4" w:color="auto"/>
          <w:bottom w:val="single" w:sz="4" w:space="1" w:color="auto"/>
          <w:right w:val="single" w:sz="4" w:space="4" w:color="auto"/>
        </w:pBdr>
        <w:ind w:left="720"/>
        <w:rPr>
          <w:rFonts w:cs="Times New Roman"/>
          <w:b/>
          <w:color w:val="000000" w:themeColor="text1"/>
        </w:rPr>
      </w:pPr>
      <w:r w:rsidRPr="00055236">
        <w:rPr>
          <w:rFonts w:cs="Times New Roman"/>
          <w:b/>
          <w:color w:val="000000" w:themeColor="text1"/>
        </w:rPr>
        <w:t>Has anyone attacked or threatened you in any of these ways</w:t>
      </w:r>
      <w:r w:rsidR="00055236" w:rsidRPr="00055236">
        <w:rPr>
          <w:rFonts w:cs="Times New Roman"/>
          <w:b/>
          <w:color w:val="000000" w:themeColor="text1"/>
        </w:rPr>
        <w:t>:</w:t>
      </w:r>
    </w:p>
    <w:p w14:paraId="209E5571" w14:textId="77777777" w:rsidR="00C73CB8" w:rsidRPr="00C73CB8" w:rsidRDefault="00C73CB8" w:rsidP="004A22A7">
      <w:pPr>
        <w:pBdr>
          <w:top w:val="single" w:sz="4" w:space="1" w:color="auto"/>
          <w:left w:val="single" w:sz="4" w:space="4" w:color="auto"/>
          <w:bottom w:val="single" w:sz="4" w:space="1" w:color="auto"/>
          <w:right w:val="single" w:sz="4" w:space="4" w:color="auto"/>
        </w:pBdr>
        <w:ind w:left="720"/>
        <w:rPr>
          <w:rFonts w:cs="Times New Roman"/>
          <w:color w:val="000000" w:themeColor="text1"/>
        </w:rPr>
      </w:pPr>
      <w:r w:rsidRPr="00C73CB8">
        <w:rPr>
          <w:rFonts w:cs="Times New Roman"/>
          <w:color w:val="000000" w:themeColor="text1"/>
        </w:rPr>
        <w:t>(a) With any weapo</w:t>
      </w:r>
      <w:r w:rsidR="00055236">
        <w:rPr>
          <w:rFonts w:cs="Times New Roman"/>
          <w:color w:val="000000" w:themeColor="text1"/>
        </w:rPr>
        <w:t>n, for instance, a gun or knife</w:t>
      </w:r>
      <w:r w:rsidRPr="00C73CB8">
        <w:rPr>
          <w:rFonts w:cs="Times New Roman"/>
          <w:color w:val="000000" w:themeColor="text1"/>
        </w:rPr>
        <w:t>-</w:t>
      </w:r>
    </w:p>
    <w:p w14:paraId="75409C8D" w14:textId="77777777" w:rsidR="00C73CB8" w:rsidRPr="00C73CB8" w:rsidRDefault="00C73CB8" w:rsidP="004A22A7">
      <w:pPr>
        <w:pBdr>
          <w:top w:val="single" w:sz="4" w:space="1" w:color="auto"/>
          <w:left w:val="single" w:sz="4" w:space="4" w:color="auto"/>
          <w:bottom w:val="single" w:sz="4" w:space="1" w:color="auto"/>
          <w:right w:val="single" w:sz="4" w:space="4" w:color="auto"/>
        </w:pBdr>
        <w:ind w:left="720"/>
        <w:rPr>
          <w:rFonts w:cs="Times New Roman"/>
          <w:color w:val="000000" w:themeColor="text1"/>
        </w:rPr>
      </w:pPr>
      <w:r w:rsidRPr="00C73CB8">
        <w:rPr>
          <w:rFonts w:cs="Times New Roman"/>
          <w:color w:val="000000" w:themeColor="text1"/>
        </w:rPr>
        <w:t>(b) With anything like a baseball bat, frying p</w:t>
      </w:r>
      <w:r w:rsidR="00055236">
        <w:rPr>
          <w:rFonts w:cs="Times New Roman"/>
          <w:color w:val="000000" w:themeColor="text1"/>
        </w:rPr>
        <w:t xml:space="preserve">an, scissors, or stick </w:t>
      </w:r>
    </w:p>
    <w:p w14:paraId="4AC2CF86" w14:textId="77777777" w:rsidR="00C73CB8" w:rsidRPr="00C73CB8" w:rsidRDefault="00C73CB8" w:rsidP="004A22A7">
      <w:pPr>
        <w:pBdr>
          <w:top w:val="single" w:sz="4" w:space="1" w:color="auto"/>
          <w:left w:val="single" w:sz="4" w:space="4" w:color="auto"/>
          <w:bottom w:val="single" w:sz="4" w:space="1" w:color="auto"/>
          <w:right w:val="single" w:sz="4" w:space="4" w:color="auto"/>
        </w:pBdr>
        <w:ind w:left="720"/>
        <w:rPr>
          <w:rFonts w:cs="Times New Roman"/>
          <w:color w:val="000000" w:themeColor="text1"/>
        </w:rPr>
      </w:pPr>
      <w:r w:rsidRPr="00C73CB8">
        <w:rPr>
          <w:rFonts w:cs="Times New Roman"/>
          <w:color w:val="000000" w:themeColor="text1"/>
        </w:rPr>
        <w:t>(c) By something th</w:t>
      </w:r>
      <w:r w:rsidR="00055236">
        <w:rPr>
          <w:rFonts w:cs="Times New Roman"/>
          <w:color w:val="000000" w:themeColor="text1"/>
        </w:rPr>
        <w:t xml:space="preserve">rown, such as a rock or bottle </w:t>
      </w:r>
    </w:p>
    <w:p w14:paraId="2EA01CBA" w14:textId="77777777" w:rsidR="00C73CB8" w:rsidRPr="00C73CB8" w:rsidRDefault="00C73CB8" w:rsidP="004A22A7">
      <w:pPr>
        <w:pBdr>
          <w:top w:val="single" w:sz="4" w:space="1" w:color="auto"/>
          <w:left w:val="single" w:sz="4" w:space="4" w:color="auto"/>
          <w:bottom w:val="single" w:sz="4" w:space="1" w:color="auto"/>
          <w:right w:val="single" w:sz="4" w:space="4" w:color="auto"/>
        </w:pBdr>
        <w:ind w:left="720"/>
        <w:rPr>
          <w:rFonts w:cs="Times New Roman"/>
          <w:color w:val="000000" w:themeColor="text1"/>
        </w:rPr>
      </w:pPr>
      <w:r w:rsidRPr="00C73CB8">
        <w:rPr>
          <w:rFonts w:cs="Times New Roman"/>
          <w:color w:val="000000" w:themeColor="text1"/>
        </w:rPr>
        <w:t>(d) Include any</w:t>
      </w:r>
      <w:r w:rsidR="00055236">
        <w:rPr>
          <w:rFonts w:cs="Times New Roman"/>
          <w:color w:val="000000" w:themeColor="text1"/>
        </w:rPr>
        <w:t xml:space="preserve"> grabbing, punching, or choking</w:t>
      </w:r>
    </w:p>
    <w:p w14:paraId="4F7AC544" w14:textId="77777777" w:rsidR="00C73CB8" w:rsidRPr="00C73CB8" w:rsidRDefault="00C73CB8" w:rsidP="004A22A7">
      <w:pPr>
        <w:pBdr>
          <w:top w:val="single" w:sz="4" w:space="1" w:color="auto"/>
          <w:left w:val="single" w:sz="4" w:space="4" w:color="auto"/>
          <w:bottom w:val="single" w:sz="4" w:space="1" w:color="auto"/>
          <w:right w:val="single" w:sz="4" w:space="4" w:color="auto"/>
        </w:pBdr>
        <w:ind w:left="720"/>
        <w:rPr>
          <w:rFonts w:cs="Times New Roman"/>
          <w:color w:val="000000" w:themeColor="text1"/>
        </w:rPr>
      </w:pPr>
      <w:r w:rsidRPr="00C73CB8">
        <w:rPr>
          <w:rFonts w:cs="Times New Roman"/>
          <w:color w:val="000000" w:themeColor="text1"/>
        </w:rPr>
        <w:t xml:space="preserve">(e) Any rape, attempted rape </w:t>
      </w:r>
      <w:r w:rsidR="00055236">
        <w:rPr>
          <w:rFonts w:cs="Times New Roman"/>
          <w:color w:val="000000" w:themeColor="text1"/>
        </w:rPr>
        <w:t xml:space="preserve">or other type of sexual attack </w:t>
      </w:r>
    </w:p>
    <w:p w14:paraId="33EE964C" w14:textId="77777777" w:rsidR="00C73CB8" w:rsidRPr="00C73CB8" w:rsidRDefault="00055236" w:rsidP="004A22A7">
      <w:pPr>
        <w:pBdr>
          <w:top w:val="single" w:sz="4" w:space="1" w:color="auto"/>
          <w:left w:val="single" w:sz="4" w:space="4" w:color="auto"/>
          <w:bottom w:val="single" w:sz="4" w:space="1" w:color="auto"/>
          <w:right w:val="single" w:sz="4" w:space="4" w:color="auto"/>
        </w:pBdr>
        <w:ind w:left="720"/>
        <w:rPr>
          <w:rFonts w:cs="Times New Roman"/>
          <w:color w:val="000000" w:themeColor="text1"/>
        </w:rPr>
      </w:pPr>
      <w:r>
        <w:rPr>
          <w:rFonts w:cs="Times New Roman"/>
          <w:color w:val="000000" w:themeColor="text1"/>
        </w:rPr>
        <w:t xml:space="preserve">(f) Any face to face threats </w:t>
      </w:r>
    </w:p>
    <w:p w14:paraId="6308BE38" w14:textId="77777777" w:rsidR="00236BC5" w:rsidRDefault="00C73CB8" w:rsidP="004A22A7">
      <w:pPr>
        <w:pBdr>
          <w:top w:val="single" w:sz="4" w:space="1" w:color="auto"/>
          <w:left w:val="single" w:sz="4" w:space="4" w:color="auto"/>
          <w:bottom w:val="single" w:sz="4" w:space="1" w:color="auto"/>
          <w:right w:val="single" w:sz="4" w:space="4" w:color="auto"/>
        </w:pBdr>
        <w:ind w:left="720"/>
        <w:rPr>
          <w:rFonts w:cs="Times New Roman"/>
          <w:color w:val="000000" w:themeColor="text1"/>
        </w:rPr>
      </w:pPr>
      <w:r w:rsidRPr="00C73CB8">
        <w:rPr>
          <w:rFonts w:cs="Times New Roman"/>
          <w:color w:val="000000" w:themeColor="text1"/>
        </w:rPr>
        <w:t>(g) Any attack or threat or use of force by anyone at all? Please mention it even if you are not certain it was a crime.</w:t>
      </w:r>
    </w:p>
    <w:p w14:paraId="617657AA" w14:textId="77777777" w:rsidR="00055236" w:rsidRDefault="00055236" w:rsidP="00055236">
      <w:pPr>
        <w:ind w:left="720"/>
        <w:rPr>
          <w:rFonts w:cs="Times New Roman"/>
          <w:color w:val="000000" w:themeColor="text1"/>
        </w:rPr>
      </w:pPr>
    </w:p>
    <w:p w14:paraId="140DEF20" w14:textId="77777777" w:rsidR="00055236" w:rsidRPr="00055236" w:rsidRDefault="00055236" w:rsidP="00055236">
      <w:pPr>
        <w:ind w:left="720"/>
        <w:rPr>
          <w:rFonts w:cs="Times New Roman"/>
          <w:i/>
          <w:color w:val="000000" w:themeColor="text1"/>
        </w:rPr>
      </w:pPr>
      <w:r>
        <w:rPr>
          <w:rFonts w:cs="Times New Roman"/>
          <w:i/>
          <w:color w:val="000000" w:themeColor="text1"/>
        </w:rPr>
        <w:t>In tandem, the respondent</w:t>
      </w:r>
      <w:r w:rsidRPr="00055236">
        <w:rPr>
          <w:rFonts w:cs="Times New Roman"/>
          <w:i/>
          <w:color w:val="000000" w:themeColor="text1"/>
        </w:rPr>
        <w:t xml:space="preserve"> will be </w:t>
      </w:r>
      <w:r>
        <w:rPr>
          <w:rFonts w:cs="Times New Roman"/>
          <w:i/>
          <w:color w:val="000000" w:themeColor="text1"/>
        </w:rPr>
        <w:t>provided with one of the following vignettes (assigned at random)</w:t>
      </w:r>
      <w:r w:rsidRPr="00055236">
        <w:rPr>
          <w:rFonts w:cs="Times New Roman"/>
          <w:i/>
          <w:color w:val="000000" w:themeColor="text1"/>
        </w:rPr>
        <w:t>:</w:t>
      </w:r>
    </w:p>
    <w:p w14:paraId="759B5458" w14:textId="77777777" w:rsidR="00055236" w:rsidRDefault="00055236" w:rsidP="00055236">
      <w:pPr>
        <w:ind w:left="720"/>
        <w:rPr>
          <w:rFonts w:cs="Times New Roman"/>
          <w:color w:val="000000" w:themeColor="text1"/>
        </w:rPr>
      </w:pPr>
    </w:p>
    <w:p w14:paraId="62FFBD3C" w14:textId="77777777" w:rsidR="00055236" w:rsidRPr="00055236" w:rsidRDefault="00055236" w:rsidP="004A22A7">
      <w:pPr>
        <w:pStyle w:val="ListParagraph"/>
        <w:numPr>
          <w:ilvl w:val="0"/>
          <w:numId w:val="27"/>
        </w:numPr>
        <w:pBdr>
          <w:top w:val="single" w:sz="4" w:space="1" w:color="auto"/>
          <w:left w:val="single" w:sz="4" w:space="4" w:color="auto"/>
          <w:bottom w:val="single" w:sz="4" w:space="1" w:color="auto"/>
          <w:right w:val="single" w:sz="4" w:space="4" w:color="auto"/>
        </w:pBdr>
        <w:spacing w:line="240" w:lineRule="atLeast"/>
        <w:ind w:left="1080"/>
        <w:rPr>
          <w:rFonts w:asciiTheme="minorHAnsi" w:hAnsiTheme="minorHAnsi" w:cs="Times New Roman"/>
          <w:szCs w:val="20"/>
        </w:rPr>
      </w:pPr>
      <w:r w:rsidRPr="00055236">
        <w:rPr>
          <w:rFonts w:asciiTheme="minorHAnsi" w:hAnsiTheme="minorHAnsi" w:cs="Times New Roman"/>
          <w:szCs w:val="20"/>
        </w:rPr>
        <w:t>Last month, you were at a restaurant.  You accidentally bumped into someone.  He grabbed your shoulder forcefully and said “watch out!”</w:t>
      </w:r>
    </w:p>
    <w:p w14:paraId="080B9E03" w14:textId="77777777" w:rsidR="00055236" w:rsidRPr="004A22A7" w:rsidRDefault="00055236" w:rsidP="004A22A7">
      <w:pPr>
        <w:pBdr>
          <w:top w:val="single" w:sz="4" w:space="1" w:color="auto"/>
          <w:left w:val="single" w:sz="4" w:space="4" w:color="auto"/>
          <w:bottom w:val="single" w:sz="4" w:space="1" w:color="auto"/>
          <w:right w:val="single" w:sz="4" w:space="4" w:color="auto"/>
        </w:pBdr>
        <w:spacing w:line="240" w:lineRule="atLeast"/>
        <w:ind w:left="720"/>
        <w:rPr>
          <w:rFonts w:asciiTheme="minorHAnsi" w:hAnsiTheme="minorHAnsi" w:cs="Times New Roman"/>
          <w:szCs w:val="20"/>
        </w:rPr>
      </w:pPr>
    </w:p>
    <w:p w14:paraId="40B98C31" w14:textId="77777777" w:rsidR="00055236" w:rsidRPr="00055236" w:rsidRDefault="00055236" w:rsidP="004A22A7">
      <w:pPr>
        <w:pStyle w:val="ListParagraph"/>
        <w:numPr>
          <w:ilvl w:val="0"/>
          <w:numId w:val="27"/>
        </w:numPr>
        <w:pBdr>
          <w:top w:val="single" w:sz="4" w:space="1" w:color="auto"/>
          <w:left w:val="single" w:sz="4" w:space="4" w:color="auto"/>
          <w:bottom w:val="single" w:sz="4" w:space="1" w:color="auto"/>
          <w:right w:val="single" w:sz="4" w:space="4" w:color="auto"/>
        </w:pBdr>
        <w:spacing w:line="240" w:lineRule="atLeast"/>
        <w:ind w:left="1080"/>
        <w:rPr>
          <w:rFonts w:asciiTheme="minorHAnsi" w:hAnsiTheme="minorHAnsi" w:cs="Times New Roman"/>
          <w:szCs w:val="20"/>
        </w:rPr>
      </w:pPr>
      <w:r w:rsidRPr="00055236">
        <w:rPr>
          <w:rFonts w:asciiTheme="minorHAnsi" w:hAnsiTheme="minorHAnsi" w:cs="Times New Roman"/>
          <w:szCs w:val="20"/>
        </w:rPr>
        <w:t>Last month, you were at a restaurant.  You accidentally bumped into someone.  He turned around and punched you in the face, giving you a black eye.</w:t>
      </w:r>
    </w:p>
    <w:p w14:paraId="294408FF" w14:textId="77777777" w:rsidR="00055236" w:rsidRPr="004A22A7" w:rsidRDefault="00055236" w:rsidP="004A22A7">
      <w:pPr>
        <w:pBdr>
          <w:top w:val="single" w:sz="4" w:space="1" w:color="auto"/>
          <w:left w:val="single" w:sz="4" w:space="4" w:color="auto"/>
          <w:bottom w:val="single" w:sz="4" w:space="1" w:color="auto"/>
          <w:right w:val="single" w:sz="4" w:space="4" w:color="auto"/>
        </w:pBdr>
        <w:spacing w:line="240" w:lineRule="atLeast"/>
        <w:ind w:left="720"/>
        <w:rPr>
          <w:rFonts w:asciiTheme="minorHAnsi" w:hAnsiTheme="minorHAnsi" w:cs="Times New Roman"/>
          <w:szCs w:val="20"/>
        </w:rPr>
      </w:pPr>
    </w:p>
    <w:p w14:paraId="3219E645" w14:textId="77777777" w:rsidR="00055236" w:rsidRPr="00055236" w:rsidRDefault="00055236" w:rsidP="004A22A7">
      <w:pPr>
        <w:pStyle w:val="ListParagraph"/>
        <w:numPr>
          <w:ilvl w:val="0"/>
          <w:numId w:val="27"/>
        </w:numPr>
        <w:pBdr>
          <w:top w:val="single" w:sz="4" w:space="1" w:color="auto"/>
          <w:left w:val="single" w:sz="4" w:space="4" w:color="auto"/>
          <w:bottom w:val="single" w:sz="4" w:space="1" w:color="auto"/>
          <w:right w:val="single" w:sz="4" w:space="4" w:color="auto"/>
        </w:pBdr>
        <w:spacing w:line="240" w:lineRule="atLeast"/>
        <w:ind w:left="1080"/>
        <w:rPr>
          <w:rFonts w:asciiTheme="minorHAnsi" w:hAnsiTheme="minorHAnsi" w:cs="Times New Roman"/>
          <w:szCs w:val="20"/>
        </w:rPr>
      </w:pPr>
      <w:r w:rsidRPr="00055236">
        <w:rPr>
          <w:rFonts w:asciiTheme="minorHAnsi" w:hAnsiTheme="minorHAnsi" w:cs="Times New Roman"/>
          <w:szCs w:val="20"/>
        </w:rPr>
        <w:t>Last month, you were at a company gathering. On the way out, you accidentally bumped into a co-worker who you don’t know well.  He grabbed your shoulder forcefully and said “watch out!”</w:t>
      </w:r>
    </w:p>
    <w:p w14:paraId="26A3B16C" w14:textId="77777777" w:rsidR="00055236" w:rsidRPr="004A22A7" w:rsidRDefault="00055236" w:rsidP="004A22A7">
      <w:pPr>
        <w:pBdr>
          <w:top w:val="single" w:sz="4" w:space="1" w:color="auto"/>
          <w:left w:val="single" w:sz="4" w:space="4" w:color="auto"/>
          <w:bottom w:val="single" w:sz="4" w:space="1" w:color="auto"/>
          <w:right w:val="single" w:sz="4" w:space="4" w:color="auto"/>
        </w:pBdr>
        <w:spacing w:line="240" w:lineRule="atLeast"/>
        <w:ind w:left="720"/>
        <w:rPr>
          <w:rFonts w:asciiTheme="minorHAnsi" w:hAnsiTheme="minorHAnsi" w:cs="Times New Roman"/>
          <w:szCs w:val="20"/>
        </w:rPr>
      </w:pPr>
    </w:p>
    <w:p w14:paraId="70DA333B" w14:textId="77777777" w:rsidR="00055236" w:rsidRPr="00055236" w:rsidRDefault="00055236" w:rsidP="004A22A7">
      <w:pPr>
        <w:pStyle w:val="ListParagraph"/>
        <w:numPr>
          <w:ilvl w:val="0"/>
          <w:numId w:val="27"/>
        </w:numPr>
        <w:pBdr>
          <w:top w:val="single" w:sz="4" w:space="1" w:color="auto"/>
          <w:left w:val="single" w:sz="4" w:space="4" w:color="auto"/>
          <w:bottom w:val="single" w:sz="4" w:space="1" w:color="auto"/>
          <w:right w:val="single" w:sz="4" w:space="4" w:color="auto"/>
        </w:pBdr>
        <w:spacing w:line="240" w:lineRule="atLeast"/>
        <w:ind w:left="1080"/>
        <w:rPr>
          <w:rFonts w:asciiTheme="minorHAnsi" w:hAnsiTheme="minorHAnsi" w:cs="Times New Roman"/>
          <w:szCs w:val="20"/>
        </w:rPr>
      </w:pPr>
      <w:r w:rsidRPr="00055236">
        <w:rPr>
          <w:rFonts w:asciiTheme="minorHAnsi" w:hAnsiTheme="minorHAnsi" w:cs="Times New Roman"/>
          <w:szCs w:val="20"/>
        </w:rPr>
        <w:t>Last month, you were at a company gathering. On the way out, you accidentally bumped into a co-worker who you don’t know well.  He punched you in the face, giving you a black eye.</w:t>
      </w:r>
    </w:p>
    <w:p w14:paraId="7DEC44B5" w14:textId="77777777" w:rsidR="00055236" w:rsidRPr="004A22A7" w:rsidRDefault="00055236" w:rsidP="004A22A7">
      <w:pPr>
        <w:pBdr>
          <w:top w:val="single" w:sz="4" w:space="1" w:color="auto"/>
          <w:left w:val="single" w:sz="4" w:space="4" w:color="auto"/>
          <w:bottom w:val="single" w:sz="4" w:space="1" w:color="auto"/>
          <w:right w:val="single" w:sz="4" w:space="4" w:color="auto"/>
        </w:pBdr>
        <w:spacing w:line="240" w:lineRule="atLeast"/>
        <w:ind w:left="720"/>
        <w:rPr>
          <w:rFonts w:asciiTheme="minorHAnsi" w:hAnsiTheme="minorHAnsi" w:cs="Times New Roman"/>
          <w:szCs w:val="20"/>
        </w:rPr>
      </w:pPr>
    </w:p>
    <w:p w14:paraId="6C14D1B5" w14:textId="77777777" w:rsidR="00055236" w:rsidRPr="00055236" w:rsidRDefault="00055236" w:rsidP="004A22A7">
      <w:pPr>
        <w:pStyle w:val="ListParagraph"/>
        <w:numPr>
          <w:ilvl w:val="0"/>
          <w:numId w:val="27"/>
        </w:numPr>
        <w:pBdr>
          <w:top w:val="single" w:sz="4" w:space="1" w:color="auto"/>
          <w:left w:val="single" w:sz="4" w:space="4" w:color="auto"/>
          <w:bottom w:val="single" w:sz="4" w:space="1" w:color="auto"/>
          <w:right w:val="single" w:sz="4" w:space="4" w:color="auto"/>
        </w:pBdr>
        <w:spacing w:line="240" w:lineRule="atLeast"/>
        <w:ind w:left="1080"/>
        <w:rPr>
          <w:rFonts w:asciiTheme="minorHAnsi" w:hAnsiTheme="minorHAnsi" w:cs="Times New Roman"/>
          <w:szCs w:val="20"/>
        </w:rPr>
      </w:pPr>
      <w:r w:rsidRPr="00055236">
        <w:rPr>
          <w:rFonts w:asciiTheme="minorHAnsi" w:hAnsiTheme="minorHAnsi" w:cs="Times New Roman"/>
          <w:szCs w:val="20"/>
        </w:rPr>
        <w:t>Last month, you were out at a restaurant with your friend and had been drinking a bottle of wine.  On the way out, you accidentally bumped into him.  He grabbed your shoulder forcefully and said “watch out!”</w:t>
      </w:r>
    </w:p>
    <w:p w14:paraId="75BDF3A1" w14:textId="77777777" w:rsidR="00055236" w:rsidRPr="004A22A7" w:rsidRDefault="00055236" w:rsidP="004A22A7">
      <w:pPr>
        <w:pBdr>
          <w:top w:val="single" w:sz="4" w:space="1" w:color="auto"/>
          <w:left w:val="single" w:sz="4" w:space="4" w:color="auto"/>
          <w:bottom w:val="single" w:sz="4" w:space="1" w:color="auto"/>
          <w:right w:val="single" w:sz="4" w:space="4" w:color="auto"/>
        </w:pBdr>
        <w:spacing w:line="240" w:lineRule="atLeast"/>
        <w:ind w:left="720"/>
        <w:rPr>
          <w:rFonts w:asciiTheme="minorHAnsi" w:hAnsiTheme="minorHAnsi" w:cs="Times New Roman"/>
          <w:szCs w:val="20"/>
        </w:rPr>
      </w:pPr>
    </w:p>
    <w:p w14:paraId="13385077" w14:textId="77777777" w:rsidR="00055236" w:rsidRPr="00055236" w:rsidRDefault="00055236" w:rsidP="004A22A7">
      <w:pPr>
        <w:pStyle w:val="ListParagraph"/>
        <w:numPr>
          <w:ilvl w:val="0"/>
          <w:numId w:val="27"/>
        </w:numPr>
        <w:pBdr>
          <w:top w:val="single" w:sz="4" w:space="1" w:color="auto"/>
          <w:left w:val="single" w:sz="4" w:space="4" w:color="auto"/>
          <w:bottom w:val="single" w:sz="4" w:space="1" w:color="auto"/>
          <w:right w:val="single" w:sz="4" w:space="4" w:color="auto"/>
        </w:pBdr>
        <w:ind w:left="1080"/>
        <w:rPr>
          <w:rFonts w:asciiTheme="minorHAnsi" w:hAnsiTheme="minorHAnsi" w:cs="Times New Roman"/>
          <w:szCs w:val="20"/>
        </w:rPr>
      </w:pPr>
      <w:r w:rsidRPr="00055236">
        <w:rPr>
          <w:rFonts w:asciiTheme="minorHAnsi" w:hAnsiTheme="minorHAnsi" w:cs="Times New Roman"/>
          <w:szCs w:val="20"/>
        </w:rPr>
        <w:t>Last month, you were out at a restaurant with your friend and had been drinking a bottle of wine.  On the way out, you accidentally bumped into him.  He punched you in the face, giving you a black eye.</w:t>
      </w:r>
    </w:p>
    <w:p w14:paraId="7273AB23" w14:textId="77777777" w:rsidR="00055236" w:rsidRDefault="00055236" w:rsidP="00055236">
      <w:pPr>
        <w:ind w:left="1800"/>
        <w:rPr>
          <w:rFonts w:cs="Times New Roman"/>
          <w:color w:val="000000" w:themeColor="text1"/>
        </w:rPr>
      </w:pPr>
    </w:p>
    <w:p w14:paraId="5A79499C" w14:textId="77777777" w:rsidR="00055236" w:rsidRPr="00055236" w:rsidRDefault="00055236" w:rsidP="00055236">
      <w:pPr>
        <w:ind w:left="720"/>
        <w:rPr>
          <w:rFonts w:cs="Times New Roman"/>
          <w:i/>
          <w:color w:val="000000" w:themeColor="text1"/>
        </w:rPr>
      </w:pPr>
      <w:r>
        <w:rPr>
          <w:rFonts w:cs="Times New Roman"/>
          <w:i/>
          <w:color w:val="000000" w:themeColor="text1"/>
        </w:rPr>
        <w:t>The respondent</w:t>
      </w:r>
      <w:r w:rsidRPr="00055236">
        <w:rPr>
          <w:rFonts w:cs="Times New Roman"/>
          <w:i/>
          <w:color w:val="000000" w:themeColor="text1"/>
        </w:rPr>
        <w:t xml:space="preserve"> will be </w:t>
      </w:r>
      <w:r>
        <w:rPr>
          <w:rFonts w:cs="Times New Roman"/>
          <w:i/>
          <w:color w:val="000000" w:themeColor="text1"/>
        </w:rPr>
        <w:t>asked whether he or she would answer “YES” to the screener item based on the information provided in their sample vignette</w:t>
      </w:r>
      <w:r w:rsidR="00596358">
        <w:rPr>
          <w:rFonts w:cs="Times New Roman"/>
          <w:i/>
          <w:color w:val="000000" w:themeColor="text1"/>
        </w:rPr>
        <w:t xml:space="preserve"> (with a four-point response scale ranging from “Definitely ‘yes’” to “Definitely ‘no’”).</w:t>
      </w:r>
    </w:p>
    <w:p w14:paraId="7A09D516" w14:textId="77777777" w:rsidR="00055236" w:rsidRDefault="00055236" w:rsidP="00055236">
      <w:pPr>
        <w:rPr>
          <w:rFonts w:cs="Times New Roman"/>
          <w:color w:val="000000" w:themeColor="text1"/>
        </w:rPr>
      </w:pPr>
    </w:p>
    <w:p w14:paraId="6640B104" w14:textId="77777777" w:rsidR="00450D6B" w:rsidRPr="003D0F37" w:rsidRDefault="00450D6B" w:rsidP="00450D6B">
      <w:pPr>
        <w:rPr>
          <w:rFonts w:cs="Times New Roman"/>
          <w:color w:val="000000" w:themeColor="text1"/>
        </w:rPr>
      </w:pPr>
      <w:r>
        <w:rPr>
          <w:rFonts w:cs="Times New Roman"/>
          <w:color w:val="000000" w:themeColor="text1"/>
        </w:rPr>
        <w:t xml:space="preserve">The </w:t>
      </w:r>
      <w:r w:rsidR="004A22A7">
        <w:rPr>
          <w:rFonts w:cs="Times New Roman"/>
          <w:color w:val="000000" w:themeColor="text1"/>
        </w:rPr>
        <w:t xml:space="preserve">instrument </w:t>
      </w:r>
      <w:r>
        <w:rPr>
          <w:rFonts w:cs="Times New Roman"/>
          <w:color w:val="000000" w:themeColor="text1"/>
        </w:rPr>
        <w:t>conclude</w:t>
      </w:r>
      <w:r w:rsidR="004A22A7">
        <w:rPr>
          <w:rFonts w:cs="Times New Roman"/>
          <w:color w:val="000000" w:themeColor="text1"/>
        </w:rPr>
        <w:t>s</w:t>
      </w:r>
      <w:r>
        <w:rPr>
          <w:rFonts w:cs="Times New Roman"/>
          <w:color w:val="000000" w:themeColor="text1"/>
        </w:rPr>
        <w:t xml:space="preserve"> with a few questions about </w:t>
      </w:r>
      <w:r w:rsidR="00596358">
        <w:rPr>
          <w:rFonts w:cs="Times New Roman"/>
          <w:color w:val="000000" w:themeColor="text1"/>
        </w:rPr>
        <w:t xml:space="preserve">the respondent’s </w:t>
      </w:r>
      <w:r>
        <w:rPr>
          <w:rFonts w:cs="Times New Roman"/>
          <w:color w:val="000000" w:themeColor="text1"/>
        </w:rPr>
        <w:t>perceptions of personal safety and concern about victimization.</w:t>
      </w:r>
    </w:p>
    <w:p w14:paraId="5AD3C264" w14:textId="77777777" w:rsidR="00450D6B" w:rsidRDefault="00450D6B" w:rsidP="00055236">
      <w:pPr>
        <w:rPr>
          <w:rFonts w:cs="Times New Roman"/>
          <w:color w:val="000000" w:themeColor="text1"/>
        </w:rPr>
      </w:pPr>
    </w:p>
    <w:p w14:paraId="08D54B4D" w14:textId="77777777" w:rsidR="00450D6B" w:rsidRPr="00887785" w:rsidRDefault="00450D6B" w:rsidP="00450D6B">
      <w:pPr>
        <w:rPr>
          <w:rFonts w:cs="Times New Roman"/>
          <w:color w:val="000000" w:themeColor="text1"/>
          <w:u w:val="single"/>
        </w:rPr>
      </w:pPr>
      <w:r>
        <w:rPr>
          <w:rFonts w:cs="Times New Roman"/>
          <w:color w:val="000000" w:themeColor="text1"/>
          <w:u w:val="single"/>
        </w:rPr>
        <w:t>Burden</w:t>
      </w:r>
    </w:p>
    <w:p w14:paraId="79B67BB2" w14:textId="77777777" w:rsidR="00450D6B" w:rsidRDefault="00450D6B" w:rsidP="00450D6B">
      <w:pPr>
        <w:rPr>
          <w:rFonts w:cs="Times New Roman"/>
          <w:b/>
          <w:color w:val="000000" w:themeColor="text1"/>
        </w:rPr>
      </w:pPr>
    </w:p>
    <w:p w14:paraId="68B45ABE" w14:textId="77777777" w:rsidR="00450D6B" w:rsidRDefault="00450D6B" w:rsidP="00450D6B">
      <w:pPr>
        <w:rPr>
          <w:rFonts w:cs="Times New Roman"/>
          <w:color w:val="000000" w:themeColor="text1"/>
        </w:rPr>
      </w:pPr>
      <w:r w:rsidRPr="00F2227C">
        <w:rPr>
          <w:rFonts w:cs="Times New Roman"/>
          <w:color w:val="000000" w:themeColor="text1"/>
        </w:rPr>
        <w:t>The estimated burden is indicated below.</w:t>
      </w:r>
      <w:r>
        <w:rPr>
          <w:rFonts w:cs="Times New Roman"/>
          <w:color w:val="000000" w:themeColor="text1"/>
        </w:rPr>
        <w:t xml:space="preserve"> </w:t>
      </w:r>
    </w:p>
    <w:tbl>
      <w:tblPr>
        <w:tblStyle w:val="TableGrid"/>
        <w:tblW w:w="0" w:type="auto"/>
        <w:tblInd w:w="198" w:type="dxa"/>
        <w:tblLook w:val="04A0" w:firstRow="1" w:lastRow="0" w:firstColumn="1" w:lastColumn="0" w:noHBand="0" w:noVBand="1"/>
      </w:tblPr>
      <w:tblGrid>
        <w:gridCol w:w="2200"/>
        <w:gridCol w:w="1650"/>
        <w:gridCol w:w="1662"/>
        <w:gridCol w:w="1618"/>
        <w:gridCol w:w="1662"/>
      </w:tblGrid>
      <w:tr w:rsidR="00450D6B" w:rsidRPr="001E6FD0" w14:paraId="59B86413" w14:textId="77777777" w:rsidTr="00916B9B">
        <w:tc>
          <w:tcPr>
            <w:tcW w:w="2430" w:type="dxa"/>
          </w:tcPr>
          <w:p w14:paraId="6A0A0742" w14:textId="77777777" w:rsidR="00450D6B" w:rsidRPr="001E6FD0" w:rsidRDefault="00450D6B" w:rsidP="00916B9B">
            <w:pPr>
              <w:rPr>
                <w:rFonts w:cs="Times New Roman"/>
                <w:b/>
                <w:color w:val="000000" w:themeColor="text1"/>
                <w:sz w:val="20"/>
                <w:szCs w:val="20"/>
              </w:rPr>
            </w:pPr>
          </w:p>
          <w:p w14:paraId="1DC55FD2" w14:textId="77777777" w:rsidR="00450D6B" w:rsidRPr="001E6FD0" w:rsidRDefault="00450D6B" w:rsidP="00916B9B">
            <w:pPr>
              <w:rPr>
                <w:rFonts w:cs="Times New Roman"/>
                <w:b/>
                <w:color w:val="000000" w:themeColor="text1"/>
                <w:sz w:val="20"/>
                <w:szCs w:val="20"/>
              </w:rPr>
            </w:pPr>
          </w:p>
        </w:tc>
        <w:tc>
          <w:tcPr>
            <w:tcW w:w="1737" w:type="dxa"/>
          </w:tcPr>
          <w:p w14:paraId="37F9C3E5" w14:textId="77777777" w:rsidR="00450D6B" w:rsidRPr="001E6FD0" w:rsidRDefault="00450D6B" w:rsidP="00916B9B">
            <w:pPr>
              <w:jc w:val="center"/>
              <w:rPr>
                <w:rFonts w:cs="Times New Roman"/>
                <w:b/>
                <w:color w:val="000000" w:themeColor="text1"/>
                <w:sz w:val="20"/>
                <w:szCs w:val="20"/>
              </w:rPr>
            </w:pPr>
            <w:r w:rsidRPr="001E6FD0">
              <w:rPr>
                <w:rFonts w:cs="Times New Roman"/>
                <w:b/>
                <w:color w:val="000000" w:themeColor="text1"/>
                <w:sz w:val="20"/>
                <w:szCs w:val="20"/>
              </w:rPr>
              <w:t>Number of responses per respondent</w:t>
            </w:r>
          </w:p>
        </w:tc>
        <w:tc>
          <w:tcPr>
            <w:tcW w:w="1737" w:type="dxa"/>
          </w:tcPr>
          <w:p w14:paraId="03DD0269" w14:textId="77777777" w:rsidR="00450D6B" w:rsidRPr="001E6FD0" w:rsidRDefault="00450D6B" w:rsidP="00916B9B">
            <w:pPr>
              <w:jc w:val="center"/>
              <w:rPr>
                <w:rFonts w:cs="Times New Roman"/>
                <w:b/>
                <w:color w:val="000000" w:themeColor="text1"/>
                <w:sz w:val="20"/>
                <w:szCs w:val="20"/>
              </w:rPr>
            </w:pPr>
            <w:r w:rsidRPr="001E6FD0">
              <w:rPr>
                <w:rFonts w:cs="Times New Roman"/>
                <w:b/>
                <w:color w:val="000000" w:themeColor="text1"/>
                <w:sz w:val="20"/>
                <w:szCs w:val="20"/>
              </w:rPr>
              <w:t>Anticipated</w:t>
            </w:r>
          </w:p>
          <w:p w14:paraId="50B21DEE" w14:textId="77777777" w:rsidR="00450D6B" w:rsidRPr="001E6FD0" w:rsidRDefault="00450D6B" w:rsidP="00916B9B">
            <w:pPr>
              <w:jc w:val="center"/>
              <w:rPr>
                <w:rFonts w:cs="Times New Roman"/>
                <w:b/>
                <w:color w:val="000000" w:themeColor="text1"/>
                <w:sz w:val="20"/>
                <w:szCs w:val="20"/>
              </w:rPr>
            </w:pPr>
            <w:r w:rsidRPr="001E6FD0">
              <w:rPr>
                <w:rFonts w:cs="Times New Roman"/>
                <w:b/>
                <w:color w:val="000000" w:themeColor="text1"/>
                <w:sz w:val="20"/>
                <w:szCs w:val="20"/>
              </w:rPr>
              <w:t>Number of respondents</w:t>
            </w:r>
          </w:p>
        </w:tc>
        <w:tc>
          <w:tcPr>
            <w:tcW w:w="1737" w:type="dxa"/>
          </w:tcPr>
          <w:p w14:paraId="5C331E9B" w14:textId="77777777" w:rsidR="00450D6B" w:rsidRPr="001E6FD0" w:rsidRDefault="00450D6B" w:rsidP="00916B9B">
            <w:pPr>
              <w:jc w:val="center"/>
              <w:rPr>
                <w:rFonts w:cs="Times New Roman"/>
                <w:b/>
                <w:color w:val="000000" w:themeColor="text1"/>
                <w:sz w:val="20"/>
                <w:szCs w:val="20"/>
              </w:rPr>
            </w:pPr>
            <w:r>
              <w:rPr>
                <w:rFonts w:cs="Times New Roman"/>
                <w:b/>
                <w:color w:val="000000" w:themeColor="text1"/>
                <w:sz w:val="20"/>
                <w:szCs w:val="20"/>
              </w:rPr>
              <w:t xml:space="preserve">Avg. </w:t>
            </w:r>
            <w:r w:rsidRPr="001E6FD0">
              <w:rPr>
                <w:rFonts w:cs="Times New Roman"/>
                <w:b/>
                <w:color w:val="000000" w:themeColor="text1"/>
                <w:sz w:val="20"/>
                <w:szCs w:val="20"/>
              </w:rPr>
              <w:t>Time per response</w:t>
            </w:r>
          </w:p>
        </w:tc>
        <w:tc>
          <w:tcPr>
            <w:tcW w:w="1737" w:type="dxa"/>
          </w:tcPr>
          <w:p w14:paraId="302A16C6" w14:textId="77777777" w:rsidR="00450D6B" w:rsidRPr="001E6FD0" w:rsidRDefault="00450D6B" w:rsidP="00916B9B">
            <w:pPr>
              <w:jc w:val="center"/>
              <w:rPr>
                <w:rFonts w:cs="Times New Roman"/>
                <w:b/>
                <w:color w:val="000000" w:themeColor="text1"/>
                <w:sz w:val="20"/>
                <w:szCs w:val="20"/>
              </w:rPr>
            </w:pPr>
            <w:r w:rsidRPr="001E6FD0">
              <w:rPr>
                <w:rFonts w:cs="Times New Roman"/>
                <w:b/>
                <w:color w:val="000000" w:themeColor="text1"/>
                <w:sz w:val="20"/>
                <w:szCs w:val="20"/>
              </w:rPr>
              <w:t>Total time across all respondents</w:t>
            </w:r>
          </w:p>
        </w:tc>
      </w:tr>
      <w:tr w:rsidR="00450D6B" w:rsidRPr="00F2227C" w14:paraId="12A25D4D" w14:textId="77777777" w:rsidTr="00916B9B">
        <w:tc>
          <w:tcPr>
            <w:tcW w:w="2430" w:type="dxa"/>
          </w:tcPr>
          <w:p w14:paraId="11E404F2" w14:textId="77777777" w:rsidR="00450D6B" w:rsidRPr="001E6FD0" w:rsidRDefault="004A22A7" w:rsidP="00916B9B">
            <w:pPr>
              <w:spacing w:before="120"/>
              <w:rPr>
                <w:rFonts w:cs="Times New Roman"/>
                <w:b/>
                <w:color w:val="000000" w:themeColor="text1"/>
                <w:sz w:val="20"/>
                <w:szCs w:val="20"/>
              </w:rPr>
            </w:pPr>
            <w:r>
              <w:rPr>
                <w:rFonts w:cs="Times New Roman"/>
                <w:b/>
                <w:color w:val="000000" w:themeColor="text1"/>
                <w:sz w:val="20"/>
                <w:szCs w:val="20"/>
              </w:rPr>
              <w:t>Crime Vignette Survey</w:t>
            </w:r>
          </w:p>
          <w:p w14:paraId="739E7BCC" w14:textId="77777777" w:rsidR="00450D6B" w:rsidRPr="001E6FD0" w:rsidRDefault="00450D6B" w:rsidP="00916B9B">
            <w:pPr>
              <w:spacing w:before="120"/>
              <w:ind w:left="432"/>
              <w:rPr>
                <w:rFonts w:cs="Times New Roman"/>
                <w:b/>
                <w:color w:val="000000" w:themeColor="text1"/>
                <w:sz w:val="20"/>
                <w:szCs w:val="20"/>
              </w:rPr>
            </w:pPr>
          </w:p>
        </w:tc>
        <w:tc>
          <w:tcPr>
            <w:tcW w:w="1737" w:type="dxa"/>
          </w:tcPr>
          <w:p w14:paraId="220030AE" w14:textId="77777777" w:rsidR="00450D6B" w:rsidRPr="0089097E" w:rsidRDefault="00450D6B" w:rsidP="00916B9B">
            <w:pPr>
              <w:spacing w:before="120"/>
              <w:jc w:val="center"/>
              <w:rPr>
                <w:rFonts w:cs="Times New Roman"/>
                <w:color w:val="000000" w:themeColor="text1"/>
                <w:sz w:val="20"/>
                <w:szCs w:val="20"/>
              </w:rPr>
            </w:pPr>
            <w:r w:rsidRPr="0089097E">
              <w:rPr>
                <w:rFonts w:cs="Times New Roman"/>
                <w:color w:val="000000" w:themeColor="text1"/>
                <w:sz w:val="20"/>
                <w:szCs w:val="20"/>
              </w:rPr>
              <w:t>1</w:t>
            </w:r>
          </w:p>
        </w:tc>
        <w:tc>
          <w:tcPr>
            <w:tcW w:w="1737" w:type="dxa"/>
          </w:tcPr>
          <w:p w14:paraId="7C584884" w14:textId="77777777" w:rsidR="00450D6B" w:rsidRPr="0089097E" w:rsidRDefault="00BA13DE" w:rsidP="00916B9B">
            <w:pPr>
              <w:spacing w:before="120"/>
              <w:jc w:val="center"/>
              <w:rPr>
                <w:rFonts w:cs="Times New Roman"/>
                <w:color w:val="000000" w:themeColor="text1"/>
                <w:sz w:val="20"/>
                <w:szCs w:val="20"/>
              </w:rPr>
            </w:pPr>
            <w:r>
              <w:rPr>
                <w:rFonts w:cs="Times New Roman"/>
                <w:color w:val="000000" w:themeColor="text1"/>
                <w:sz w:val="20"/>
                <w:szCs w:val="20"/>
              </w:rPr>
              <w:t>1</w:t>
            </w:r>
            <w:r w:rsidR="00450D6B">
              <w:rPr>
                <w:rFonts w:cs="Times New Roman"/>
                <w:color w:val="000000" w:themeColor="text1"/>
                <w:sz w:val="20"/>
                <w:szCs w:val="20"/>
              </w:rPr>
              <w:t>,000</w:t>
            </w:r>
          </w:p>
        </w:tc>
        <w:tc>
          <w:tcPr>
            <w:tcW w:w="1737" w:type="dxa"/>
          </w:tcPr>
          <w:p w14:paraId="61E2F0D4" w14:textId="77777777" w:rsidR="00450D6B" w:rsidRPr="003C1128" w:rsidRDefault="00450D6B" w:rsidP="00916B9B">
            <w:pPr>
              <w:spacing w:before="120"/>
              <w:jc w:val="center"/>
              <w:rPr>
                <w:rFonts w:cs="Times New Roman"/>
                <w:color w:val="000000" w:themeColor="text1"/>
                <w:sz w:val="20"/>
                <w:szCs w:val="20"/>
                <w:highlight w:val="yellow"/>
              </w:rPr>
            </w:pPr>
            <w:r w:rsidRPr="006E1FFE">
              <w:rPr>
                <w:rFonts w:cs="Times New Roman"/>
                <w:color w:val="000000" w:themeColor="text1"/>
                <w:sz w:val="20"/>
                <w:szCs w:val="20"/>
              </w:rPr>
              <w:t>10 min</w:t>
            </w:r>
            <w:r w:rsidR="006E1FFE">
              <w:rPr>
                <w:rFonts w:cs="Times New Roman"/>
                <w:color w:val="000000" w:themeColor="text1"/>
                <w:sz w:val="20"/>
                <w:szCs w:val="20"/>
              </w:rPr>
              <w:t>utes</w:t>
            </w:r>
          </w:p>
        </w:tc>
        <w:tc>
          <w:tcPr>
            <w:tcW w:w="1737" w:type="dxa"/>
          </w:tcPr>
          <w:p w14:paraId="5A3DDF0A" w14:textId="77777777" w:rsidR="00450D6B" w:rsidRPr="0089097E" w:rsidRDefault="00BA13DE" w:rsidP="00342339">
            <w:pPr>
              <w:spacing w:before="120"/>
              <w:jc w:val="center"/>
              <w:rPr>
                <w:rFonts w:cs="Times New Roman"/>
                <w:color w:val="000000" w:themeColor="text1"/>
                <w:sz w:val="20"/>
                <w:szCs w:val="20"/>
              </w:rPr>
            </w:pPr>
            <w:r>
              <w:rPr>
                <w:rFonts w:cs="Times New Roman"/>
                <w:color w:val="000000" w:themeColor="text1"/>
                <w:sz w:val="20"/>
                <w:szCs w:val="20"/>
              </w:rPr>
              <w:t>166</w:t>
            </w:r>
            <w:r w:rsidR="00450D6B">
              <w:rPr>
                <w:rFonts w:cs="Times New Roman"/>
                <w:color w:val="000000" w:themeColor="text1"/>
                <w:sz w:val="20"/>
                <w:szCs w:val="20"/>
              </w:rPr>
              <w:t>.</w:t>
            </w:r>
            <w:r w:rsidR="00342339">
              <w:rPr>
                <w:rFonts w:cs="Times New Roman"/>
                <w:color w:val="000000" w:themeColor="text1"/>
                <w:sz w:val="20"/>
                <w:szCs w:val="20"/>
              </w:rPr>
              <w:t>7</w:t>
            </w:r>
            <w:r w:rsidR="00450D6B">
              <w:rPr>
                <w:rFonts w:cs="Times New Roman"/>
                <w:color w:val="000000" w:themeColor="text1"/>
                <w:sz w:val="20"/>
                <w:szCs w:val="20"/>
              </w:rPr>
              <w:t xml:space="preserve"> hours</w:t>
            </w:r>
          </w:p>
        </w:tc>
      </w:tr>
    </w:tbl>
    <w:p w14:paraId="79E1FE34" w14:textId="77777777" w:rsidR="00450D6B" w:rsidRPr="00F2227C" w:rsidRDefault="00450D6B" w:rsidP="00450D6B">
      <w:pPr>
        <w:rPr>
          <w:rFonts w:cs="Times New Roman"/>
          <w:color w:val="000000" w:themeColor="text1"/>
        </w:rPr>
      </w:pPr>
    </w:p>
    <w:p w14:paraId="6DE209AC" w14:textId="77777777" w:rsidR="00055236" w:rsidRDefault="00450D6B" w:rsidP="00236BC5">
      <w:pPr>
        <w:rPr>
          <w:rFonts w:cs="Times New Roman"/>
          <w:color w:val="000000" w:themeColor="text1"/>
        </w:rPr>
      </w:pPr>
      <w:r>
        <w:rPr>
          <w:rFonts w:cs="Times New Roman"/>
          <w:color w:val="000000" w:themeColor="text1"/>
        </w:rPr>
        <w:t>T</w:t>
      </w:r>
      <w:r w:rsidRPr="00F2227C">
        <w:rPr>
          <w:rFonts w:cs="Times New Roman"/>
          <w:color w:val="000000" w:themeColor="text1"/>
        </w:rPr>
        <w:t>he NCVS generic clearance allocated a predetermined combination of sample cases and burden hours that could be used for NCVS redesign efforts. The current sample size and burden hours in fall w</w:t>
      </w:r>
      <w:r>
        <w:rPr>
          <w:rFonts w:cs="Times New Roman"/>
          <w:color w:val="000000" w:themeColor="text1"/>
        </w:rPr>
        <w:t xml:space="preserve">ithin the remaining allocation. </w:t>
      </w:r>
    </w:p>
    <w:p w14:paraId="477BDEDB" w14:textId="77777777" w:rsidR="00A76847" w:rsidRDefault="00A76847">
      <w:pPr>
        <w:rPr>
          <w:rFonts w:cs="Times New Roman"/>
          <w:color w:val="000000" w:themeColor="text1"/>
        </w:rPr>
      </w:pPr>
    </w:p>
    <w:p w14:paraId="76215FB5" w14:textId="77777777" w:rsidR="00A76847" w:rsidRPr="00A76847" w:rsidRDefault="00A76847">
      <w:pPr>
        <w:rPr>
          <w:rFonts w:cs="Times New Roman"/>
          <w:color w:val="000000" w:themeColor="text1"/>
          <w:u w:val="single"/>
        </w:rPr>
      </w:pPr>
      <w:r w:rsidRPr="00A76847">
        <w:rPr>
          <w:rFonts w:cs="Times New Roman"/>
          <w:color w:val="000000" w:themeColor="text1"/>
          <w:u w:val="single"/>
        </w:rPr>
        <w:t>Language</w:t>
      </w:r>
    </w:p>
    <w:p w14:paraId="2EB8C527" w14:textId="77777777" w:rsidR="00A76847" w:rsidRDefault="00A76847">
      <w:pPr>
        <w:rPr>
          <w:rFonts w:cs="Times New Roman"/>
          <w:color w:val="000000" w:themeColor="text1"/>
          <w:u w:val="single"/>
        </w:rPr>
      </w:pPr>
    </w:p>
    <w:p w14:paraId="3865AF48" w14:textId="29DCE05E" w:rsidR="00A76847" w:rsidRDefault="00A76847" w:rsidP="006B6739">
      <w:pPr>
        <w:rPr>
          <w:rFonts w:cs="Times New Roman"/>
          <w:color w:val="000000" w:themeColor="text1"/>
        </w:rPr>
      </w:pPr>
      <w:r>
        <w:rPr>
          <w:rFonts w:cs="Times New Roman"/>
          <w:color w:val="000000" w:themeColor="text1"/>
        </w:rPr>
        <w:t>The vignettes will be administered in English</w:t>
      </w:r>
      <w:r w:rsidR="007468B9">
        <w:rPr>
          <w:rFonts w:cs="Times New Roman"/>
          <w:color w:val="000000" w:themeColor="text1"/>
        </w:rPr>
        <w:t xml:space="preserve"> only</w:t>
      </w:r>
      <w:r>
        <w:rPr>
          <w:rFonts w:cs="Times New Roman"/>
          <w:color w:val="000000" w:themeColor="text1"/>
        </w:rPr>
        <w:t xml:space="preserve">. </w:t>
      </w:r>
    </w:p>
    <w:p w14:paraId="70E5854D" w14:textId="77777777" w:rsidR="00A76847" w:rsidRDefault="00A76847" w:rsidP="006B6739">
      <w:pPr>
        <w:rPr>
          <w:rFonts w:asciiTheme="majorBidi" w:hAnsiTheme="majorBidi" w:cstheme="majorBidi"/>
          <w:b/>
        </w:rPr>
      </w:pPr>
    </w:p>
    <w:p w14:paraId="169FBD9F" w14:textId="77777777" w:rsidR="006B6739" w:rsidRPr="0024430C" w:rsidRDefault="006B6739" w:rsidP="006B6739">
      <w:pPr>
        <w:rPr>
          <w:rFonts w:asciiTheme="majorBidi" w:hAnsiTheme="majorBidi" w:cstheme="majorBidi"/>
          <w:b/>
        </w:rPr>
      </w:pPr>
      <w:r w:rsidRPr="0024430C">
        <w:rPr>
          <w:rFonts w:asciiTheme="majorBidi" w:hAnsiTheme="majorBidi" w:cstheme="majorBidi"/>
          <w:b/>
        </w:rPr>
        <w:t xml:space="preserve">Reporting </w:t>
      </w:r>
    </w:p>
    <w:p w14:paraId="093A2CDF" w14:textId="77777777" w:rsidR="006B6739" w:rsidRPr="0044402B" w:rsidRDefault="006B6739" w:rsidP="006B6739">
      <w:pPr>
        <w:rPr>
          <w:rFonts w:asciiTheme="majorBidi" w:hAnsiTheme="majorBidi" w:cstheme="majorBidi"/>
          <w:b/>
          <w:u w:val="single"/>
        </w:rPr>
      </w:pPr>
    </w:p>
    <w:p w14:paraId="17D80BA8" w14:textId="080C2D2A" w:rsidR="006B6739" w:rsidRDefault="006B6739" w:rsidP="006B6739">
      <w:pPr>
        <w:jc w:val="both"/>
        <w:rPr>
          <w:rFonts w:asciiTheme="majorBidi" w:hAnsiTheme="majorBidi" w:cstheme="majorBidi"/>
        </w:rPr>
      </w:pPr>
      <w:r w:rsidRPr="00215B1A">
        <w:rPr>
          <w:rFonts w:asciiTheme="majorBidi" w:hAnsiTheme="majorBidi" w:cstheme="majorBidi"/>
        </w:rPr>
        <w:t>Upon completion of testing, a draft report will be delivered to BJS that will include</w:t>
      </w:r>
      <w:r>
        <w:rPr>
          <w:rFonts w:asciiTheme="majorBidi" w:hAnsiTheme="majorBidi" w:cstheme="majorBidi"/>
        </w:rPr>
        <w:t xml:space="preserve"> a discussion</w:t>
      </w:r>
      <w:r w:rsidR="000B3E01">
        <w:rPr>
          <w:rFonts w:asciiTheme="majorBidi" w:hAnsiTheme="majorBidi" w:cstheme="majorBidi"/>
        </w:rPr>
        <w:t xml:space="preserve"> of how respondents classified each vignette </w:t>
      </w:r>
      <w:r w:rsidR="0055587A">
        <w:rPr>
          <w:rFonts w:asciiTheme="majorBidi" w:hAnsiTheme="majorBidi" w:cstheme="majorBidi"/>
        </w:rPr>
        <w:t xml:space="preserve">and </w:t>
      </w:r>
      <w:r w:rsidR="000B3E01">
        <w:rPr>
          <w:rFonts w:asciiTheme="majorBidi" w:hAnsiTheme="majorBidi" w:cstheme="majorBidi"/>
        </w:rPr>
        <w:t xml:space="preserve">whether responses differed significantly by version of the screening question and by version of the vignette.  The aims </w:t>
      </w:r>
      <w:r w:rsidR="0055587A">
        <w:rPr>
          <w:rFonts w:asciiTheme="majorBidi" w:hAnsiTheme="majorBidi" w:cstheme="majorBidi"/>
        </w:rPr>
        <w:t xml:space="preserve">of the analysis </w:t>
      </w:r>
      <w:r w:rsidR="000B3E01">
        <w:rPr>
          <w:rFonts w:asciiTheme="majorBidi" w:hAnsiTheme="majorBidi" w:cstheme="majorBidi"/>
        </w:rPr>
        <w:t xml:space="preserve">are 1) demonstrate the utility of this approach, 2) </w:t>
      </w:r>
      <w:r w:rsidR="0055587A">
        <w:rPr>
          <w:rFonts w:asciiTheme="majorBidi" w:hAnsiTheme="majorBidi" w:cstheme="majorBidi"/>
        </w:rPr>
        <w:t>determine the factors that lead to respondents to classify situations as “crimes” (or at least to report them in response to the screening items), and 3) to identify situations that are likely to be misreported in the NCVS.  This report will be one source of information that guides the effort to revise the NCVS screening items.</w:t>
      </w:r>
    </w:p>
    <w:p w14:paraId="5643D8B0" w14:textId="77777777" w:rsidR="006B6739" w:rsidRDefault="006B6739" w:rsidP="006B6739">
      <w:pPr>
        <w:jc w:val="both"/>
        <w:rPr>
          <w:rFonts w:asciiTheme="majorBidi" w:hAnsiTheme="majorBidi" w:cstheme="majorBidi"/>
        </w:rPr>
      </w:pPr>
    </w:p>
    <w:p w14:paraId="03DCBBAC" w14:textId="77777777" w:rsidR="006B6739" w:rsidRPr="0024430C" w:rsidRDefault="006B6739" w:rsidP="006B6739">
      <w:pPr>
        <w:rPr>
          <w:rFonts w:asciiTheme="majorBidi" w:hAnsiTheme="majorBidi" w:cstheme="majorBidi"/>
          <w:b/>
        </w:rPr>
      </w:pPr>
      <w:r w:rsidRPr="0024430C">
        <w:rPr>
          <w:rFonts w:asciiTheme="majorBidi" w:hAnsiTheme="majorBidi" w:cstheme="majorBidi"/>
          <w:b/>
        </w:rPr>
        <w:t>Protection of Human Subjects</w:t>
      </w:r>
    </w:p>
    <w:p w14:paraId="46185FE5" w14:textId="77777777" w:rsidR="006B6739" w:rsidRDefault="006B6739" w:rsidP="006B6739">
      <w:pPr>
        <w:rPr>
          <w:rFonts w:asciiTheme="majorBidi" w:hAnsiTheme="majorBidi" w:cstheme="majorBidi"/>
        </w:rPr>
      </w:pPr>
    </w:p>
    <w:p w14:paraId="62BE8740" w14:textId="4B3BA426" w:rsidR="006B6739" w:rsidRDefault="0055587A" w:rsidP="006B6739">
      <w:pPr>
        <w:rPr>
          <w:rFonts w:asciiTheme="majorBidi" w:hAnsiTheme="majorBidi" w:cstheme="majorBidi"/>
          <w:b/>
          <w:u w:val="single"/>
        </w:rPr>
      </w:pPr>
      <w:r>
        <w:rPr>
          <w:rFonts w:asciiTheme="majorBidi" w:hAnsiTheme="majorBidi" w:cstheme="majorBidi"/>
        </w:rPr>
        <w:t xml:space="preserve">The research poses minimal risk to subjects.  None of the questions are sensitive and </w:t>
      </w:r>
      <w:proofErr w:type="spellStart"/>
      <w:r>
        <w:rPr>
          <w:rFonts w:asciiTheme="majorBidi" w:hAnsiTheme="majorBidi" w:cstheme="majorBidi"/>
        </w:rPr>
        <w:t>SurveyMonkey</w:t>
      </w:r>
      <w:proofErr w:type="spellEnd"/>
      <w:r>
        <w:rPr>
          <w:rFonts w:asciiTheme="majorBidi" w:hAnsiTheme="majorBidi" w:cstheme="majorBidi"/>
        </w:rPr>
        <w:t xml:space="preserve"> will delete any identifying information before turning the data over to Westat to analyze.  The survey will be restricted to persons 18 and older.</w:t>
      </w:r>
    </w:p>
    <w:p w14:paraId="0C4FFF29" w14:textId="77777777" w:rsidR="0055587A" w:rsidRPr="00215B1A" w:rsidRDefault="0055587A" w:rsidP="006B6739">
      <w:pPr>
        <w:rPr>
          <w:rFonts w:asciiTheme="majorBidi" w:hAnsiTheme="majorBidi" w:cstheme="majorBidi"/>
          <w:b/>
          <w:u w:val="single"/>
        </w:rPr>
      </w:pPr>
    </w:p>
    <w:p w14:paraId="42578FDF" w14:textId="77777777" w:rsidR="006B6739" w:rsidRPr="002D6BE1" w:rsidRDefault="006B6739" w:rsidP="006B6739">
      <w:pPr>
        <w:rPr>
          <w:rFonts w:cs="Times New Roman"/>
          <w:b/>
        </w:rPr>
      </w:pPr>
      <w:r w:rsidRPr="002D6BE1">
        <w:rPr>
          <w:rFonts w:cs="Times New Roman"/>
          <w:b/>
        </w:rPr>
        <w:t>Informed Consent, Data Confidentiality and Data Security</w:t>
      </w:r>
    </w:p>
    <w:p w14:paraId="34372DE3" w14:textId="77777777" w:rsidR="006B6739" w:rsidRDefault="006B6739" w:rsidP="006B6739">
      <w:pPr>
        <w:rPr>
          <w:rFonts w:cs="Times New Roman"/>
          <w:b/>
        </w:rPr>
      </w:pPr>
    </w:p>
    <w:p w14:paraId="3FDA4447" w14:textId="337A244C" w:rsidR="0055587A" w:rsidRDefault="0055587A" w:rsidP="006B6739">
      <w:pPr>
        <w:rPr>
          <w:rFonts w:cs="Times New Roman"/>
          <w:u w:val="single"/>
        </w:rPr>
      </w:pPr>
      <w:r w:rsidRPr="009B2799">
        <w:rPr>
          <w:rFonts w:cs="Times New Roman"/>
          <w:u w:val="single"/>
        </w:rPr>
        <w:t>Informed Consent</w:t>
      </w:r>
    </w:p>
    <w:p w14:paraId="6FCF3C8A" w14:textId="77777777" w:rsidR="0055587A" w:rsidRDefault="0055587A" w:rsidP="006B6739">
      <w:pPr>
        <w:rPr>
          <w:rFonts w:cs="Times New Roman"/>
          <w:u w:val="single"/>
        </w:rPr>
      </w:pPr>
    </w:p>
    <w:p w14:paraId="7C527E87" w14:textId="21D90A8D" w:rsidR="0055587A" w:rsidRDefault="0055587A" w:rsidP="006B6739">
      <w:pPr>
        <w:rPr>
          <w:rFonts w:cs="Times New Roman"/>
        </w:rPr>
      </w:pPr>
      <w:proofErr w:type="spellStart"/>
      <w:r w:rsidRPr="009B2799">
        <w:rPr>
          <w:rFonts w:cs="Times New Roman"/>
        </w:rPr>
        <w:t>SurveyMonkey</w:t>
      </w:r>
      <w:proofErr w:type="spellEnd"/>
      <w:r w:rsidRPr="009B2799">
        <w:rPr>
          <w:rFonts w:cs="Times New Roman"/>
        </w:rPr>
        <w:t xml:space="preserve"> panelists</w:t>
      </w:r>
      <w:r>
        <w:rPr>
          <w:rFonts w:cs="Times New Roman"/>
        </w:rPr>
        <w:t xml:space="preserve"> will be invited by email to take part in the survey.  </w:t>
      </w:r>
      <w:r w:rsidR="007468B9">
        <w:rPr>
          <w:rFonts w:cs="Times New Roman"/>
        </w:rPr>
        <w:t xml:space="preserve">Once panelists link to the Web survey they will be presented with an introduction screen that </w:t>
      </w:r>
      <w:r>
        <w:rPr>
          <w:rFonts w:cs="Times New Roman"/>
        </w:rPr>
        <w:t xml:space="preserve">will tell panel members that participation is voluntary and that </w:t>
      </w:r>
      <w:r w:rsidR="00AA2939">
        <w:rPr>
          <w:rFonts w:cs="Times New Roman"/>
        </w:rPr>
        <w:t xml:space="preserve">they </w:t>
      </w:r>
      <w:r>
        <w:rPr>
          <w:rFonts w:cs="Times New Roman"/>
        </w:rPr>
        <w:t xml:space="preserve">can skip any question they do not want to answer.  In addition, the </w:t>
      </w:r>
      <w:r w:rsidR="007468B9">
        <w:rPr>
          <w:rFonts w:cs="Times New Roman"/>
        </w:rPr>
        <w:t xml:space="preserve">introduction </w:t>
      </w:r>
      <w:r>
        <w:rPr>
          <w:rFonts w:cs="Times New Roman"/>
        </w:rPr>
        <w:t>will state the approximate length of the survey (10 minutes) and the topic (issues related to crime and crime victimization).</w:t>
      </w:r>
      <w:r w:rsidR="009B2799">
        <w:rPr>
          <w:rFonts w:cs="Times New Roman"/>
        </w:rPr>
        <w:t xml:space="preserve">  The splash page of the survey will include information about how the confidentiality of the data will be protected (see below).</w:t>
      </w:r>
    </w:p>
    <w:p w14:paraId="6883D59C" w14:textId="77777777" w:rsidR="009B2799" w:rsidRDefault="009B2799" w:rsidP="006B6739">
      <w:pPr>
        <w:rPr>
          <w:rFonts w:cs="Times New Roman"/>
        </w:rPr>
      </w:pPr>
    </w:p>
    <w:p w14:paraId="2A5D5796" w14:textId="59F5DDA6" w:rsidR="009B2799" w:rsidRDefault="009B2799" w:rsidP="006B6739">
      <w:pPr>
        <w:rPr>
          <w:rFonts w:cs="Times New Roman"/>
        </w:rPr>
      </w:pPr>
      <w:r>
        <w:rPr>
          <w:rFonts w:cs="Times New Roman"/>
        </w:rPr>
        <w:t>The invitation email and the other survey materials will be reviewed by the Westat IRB.</w:t>
      </w:r>
    </w:p>
    <w:p w14:paraId="3C7C5595" w14:textId="77777777" w:rsidR="006B6739" w:rsidRDefault="006B6739" w:rsidP="009B2799">
      <w:pPr>
        <w:autoSpaceDE w:val="0"/>
        <w:autoSpaceDN w:val="0"/>
        <w:adjustRightInd w:val="0"/>
        <w:jc w:val="both"/>
        <w:rPr>
          <w:color w:val="676767"/>
          <w:sz w:val="22"/>
          <w:szCs w:val="22"/>
        </w:rPr>
      </w:pPr>
    </w:p>
    <w:p w14:paraId="08EBF7E5" w14:textId="77777777" w:rsidR="006B6739" w:rsidRPr="009B2799" w:rsidRDefault="006B6739" w:rsidP="006B6739">
      <w:pPr>
        <w:jc w:val="both"/>
        <w:rPr>
          <w:rFonts w:asciiTheme="majorBidi" w:hAnsiTheme="majorBidi" w:cstheme="majorBidi"/>
          <w:color w:val="000000"/>
          <w:u w:val="single"/>
        </w:rPr>
      </w:pPr>
      <w:r w:rsidRPr="009B2799">
        <w:rPr>
          <w:rFonts w:asciiTheme="majorBidi" w:hAnsiTheme="majorBidi" w:cstheme="majorBidi"/>
          <w:color w:val="000000"/>
          <w:u w:val="single"/>
        </w:rPr>
        <w:t>Data Confidentiality and Security</w:t>
      </w:r>
    </w:p>
    <w:p w14:paraId="5F91B999" w14:textId="77777777" w:rsidR="006B6739" w:rsidRDefault="006B6739" w:rsidP="006B6739">
      <w:pPr>
        <w:jc w:val="both"/>
        <w:rPr>
          <w:rFonts w:asciiTheme="majorBidi" w:hAnsiTheme="majorBidi" w:cstheme="majorBidi"/>
          <w:b/>
          <w:i/>
          <w:color w:val="000000"/>
        </w:rPr>
      </w:pPr>
    </w:p>
    <w:p w14:paraId="7489FF44" w14:textId="759137CE" w:rsidR="006B6739" w:rsidRPr="00412EE3" w:rsidRDefault="006B6739" w:rsidP="006B6739">
      <w:pPr>
        <w:jc w:val="both"/>
        <w:rPr>
          <w:rFonts w:cs="Times New Roman"/>
        </w:rPr>
      </w:pPr>
      <w:r w:rsidRPr="00215B1A">
        <w:rPr>
          <w:rFonts w:asciiTheme="majorBidi" w:hAnsiTheme="majorBidi" w:cstheme="majorBidi"/>
          <w:color w:val="000000"/>
        </w:rPr>
        <w:t xml:space="preserve">BJS’ pledge of confidentiality is based on its governing statutes </w:t>
      </w:r>
      <w:r w:rsidRPr="00215B1A">
        <w:rPr>
          <w:rFonts w:asciiTheme="majorBidi" w:hAnsiTheme="majorBidi" w:cstheme="majorBidi"/>
        </w:rPr>
        <w:t>Title 42 USC, Section 3735 and 3789g, which establish the allowable use of data collected by BJS</w:t>
      </w:r>
      <w:r>
        <w:rPr>
          <w:rFonts w:asciiTheme="majorBidi" w:hAnsiTheme="majorBidi" w:cstheme="majorBidi"/>
        </w:rPr>
        <w:t xml:space="preserve">. </w:t>
      </w:r>
      <w:r w:rsidRPr="00215B1A">
        <w:rPr>
          <w:rFonts w:asciiTheme="majorBidi" w:hAnsiTheme="majorBidi" w:cstheme="majorBidi"/>
        </w:rPr>
        <w:t xml:space="preserve">Under these sections, data collected by BJS shall be used only for statistical or research purposes and shall be gathered in a manner that precludes their use for law enforcement or any purpose relating to a particular individual other than statistical or research purposes (Section 3735). BJS staff, other federal employees, and </w:t>
      </w:r>
      <w:r w:rsidR="00A76847">
        <w:rPr>
          <w:rFonts w:asciiTheme="majorBidi" w:hAnsiTheme="majorBidi" w:cstheme="majorBidi"/>
        </w:rPr>
        <w:t>Westat</w:t>
      </w:r>
      <w:r w:rsidRPr="00215B1A">
        <w:rPr>
          <w:rFonts w:asciiTheme="majorBidi" w:hAnsiTheme="majorBidi" w:cstheme="majorBidi"/>
        </w:rPr>
        <w:t xml:space="preserve"> staff (the data collection agent) shall not use or reveal any research or statistical information identifiable to any specific private person for any purpose other than the research and statistical purposes for which it was obtained</w:t>
      </w:r>
      <w:r>
        <w:rPr>
          <w:rFonts w:asciiTheme="majorBidi" w:hAnsiTheme="majorBidi" w:cstheme="majorBidi"/>
        </w:rPr>
        <w:t xml:space="preserve">. </w:t>
      </w:r>
      <w:r w:rsidRPr="00215B1A">
        <w:rPr>
          <w:rFonts w:asciiTheme="majorBidi" w:hAnsiTheme="majorBidi" w:cstheme="majorBidi"/>
          <w:color w:val="000000"/>
        </w:rPr>
        <w:t>Pursuant to 42 U.S.C. Sec. 3789g</w:t>
      </w:r>
      <w:r w:rsidRPr="00215B1A">
        <w:rPr>
          <w:rFonts w:asciiTheme="majorBidi" w:hAnsiTheme="majorBidi" w:cstheme="majorBidi"/>
          <w:color w:val="1F497D"/>
        </w:rPr>
        <w:t xml:space="preserve">, </w:t>
      </w:r>
      <w:r w:rsidRPr="00215B1A">
        <w:rPr>
          <w:rFonts w:asciiTheme="majorBidi" w:hAnsiTheme="majorBidi" w:cstheme="majorBidi"/>
          <w:color w:val="000000"/>
        </w:rPr>
        <w:t>BJS will not publish any data identifiable specific to a private person (including respondents and decedents)</w:t>
      </w:r>
      <w:r>
        <w:rPr>
          <w:rFonts w:asciiTheme="majorBidi" w:hAnsiTheme="majorBidi" w:cstheme="majorBidi"/>
          <w:color w:val="000000"/>
        </w:rPr>
        <w:t xml:space="preserve">. </w:t>
      </w:r>
      <w:r w:rsidRPr="00412EE3">
        <w:rPr>
          <w:rFonts w:cs="Times New Roman"/>
        </w:rPr>
        <w:t xml:space="preserve">To protect the identity of the respondents, no identifying </w:t>
      </w:r>
      <w:r w:rsidRPr="00412EE3">
        <w:rPr>
          <w:rFonts w:cs="Times New Roman"/>
        </w:rPr>
        <w:lastRenderedPageBreak/>
        <w:t>information will be kept on the final data file</w:t>
      </w:r>
      <w:r>
        <w:rPr>
          <w:rFonts w:cs="Times New Roman"/>
        </w:rPr>
        <w:t xml:space="preserve">. </w:t>
      </w:r>
      <w:r w:rsidRPr="00412EE3">
        <w:rPr>
          <w:rFonts w:cs="Times New Roman"/>
        </w:rPr>
        <w:t xml:space="preserve">The survey will not be collecting the name of any of the respondents. </w:t>
      </w:r>
    </w:p>
    <w:p w14:paraId="6D12C7FD" w14:textId="77777777" w:rsidR="006B6739" w:rsidRDefault="006B6739">
      <w:pPr>
        <w:rPr>
          <w:rFonts w:cs="Times New Roman"/>
          <w:color w:val="000000" w:themeColor="text1"/>
        </w:rPr>
      </w:pPr>
    </w:p>
    <w:p w14:paraId="6A0B3D3A" w14:textId="2837E56F" w:rsidR="00A76847" w:rsidRDefault="00A76847">
      <w:pPr>
        <w:rPr>
          <w:rFonts w:cs="Times New Roman"/>
          <w:color w:val="000000" w:themeColor="text1"/>
        </w:rPr>
      </w:pPr>
    </w:p>
    <w:p w14:paraId="046B717E" w14:textId="3037DC4D" w:rsidR="00253D4C" w:rsidRDefault="00253D4C">
      <w:pPr>
        <w:rPr>
          <w:rFonts w:cs="Times New Roman"/>
          <w:color w:val="000000" w:themeColor="text1"/>
        </w:rPr>
      </w:pPr>
      <w:r>
        <w:rPr>
          <w:rFonts w:cs="Times New Roman"/>
          <w:color w:val="000000" w:themeColor="text1"/>
        </w:rPr>
        <w:t>REFERENCES</w:t>
      </w:r>
    </w:p>
    <w:p w14:paraId="28EDAEC4" w14:textId="77777777" w:rsidR="00253D4C" w:rsidRDefault="00253D4C">
      <w:pPr>
        <w:rPr>
          <w:rFonts w:cs="Times New Roman"/>
          <w:color w:val="000000" w:themeColor="text1"/>
        </w:rPr>
      </w:pPr>
    </w:p>
    <w:p w14:paraId="5103111C" w14:textId="0B885A02" w:rsidR="00247FD6" w:rsidRPr="009B2799" w:rsidRDefault="00247FD6" w:rsidP="009B2799">
      <w:pPr>
        <w:rPr>
          <w:rFonts w:cs="Times New Roman"/>
        </w:rPr>
      </w:pPr>
      <w:proofErr w:type="spellStart"/>
      <w:r w:rsidRPr="009B2799">
        <w:rPr>
          <w:rFonts w:cs="Times New Roman"/>
        </w:rPr>
        <w:t>Biderman</w:t>
      </w:r>
      <w:proofErr w:type="spellEnd"/>
      <w:r w:rsidRPr="009B2799">
        <w:rPr>
          <w:rFonts w:cs="Times New Roman"/>
        </w:rPr>
        <w:t xml:space="preserve">, A. D., Cantor, D., Lynch, J. P., </w:t>
      </w:r>
      <w:r w:rsidR="000B3E01" w:rsidRPr="009B2799">
        <w:rPr>
          <w:rFonts w:cs="Times New Roman"/>
        </w:rPr>
        <w:t xml:space="preserve">and E. A. </w:t>
      </w:r>
      <w:r w:rsidRPr="009B2799">
        <w:rPr>
          <w:rFonts w:cs="Times New Roman"/>
        </w:rPr>
        <w:t xml:space="preserve">Martin (1986). </w:t>
      </w:r>
      <w:r w:rsidRPr="009B2799">
        <w:rPr>
          <w:rFonts w:cs="Times New Roman"/>
          <w:i/>
        </w:rPr>
        <w:t>Final Report of Research and Development for the Redesign of the National Crime Survey</w:t>
      </w:r>
      <w:r w:rsidRPr="009B2799">
        <w:rPr>
          <w:rFonts w:cs="Times New Roman"/>
        </w:rPr>
        <w:t>. Washington, DC: Bureau of Social Science Research</w:t>
      </w:r>
    </w:p>
    <w:p w14:paraId="7DB44406" w14:textId="77777777" w:rsidR="00247FD6" w:rsidRDefault="00247FD6" w:rsidP="00253D4C">
      <w:pPr>
        <w:rPr>
          <w:rFonts w:cs="Times New Roman"/>
          <w:color w:val="000000" w:themeColor="text1"/>
        </w:rPr>
      </w:pPr>
    </w:p>
    <w:p w14:paraId="41564D53" w14:textId="77777777" w:rsidR="00253D4C" w:rsidRDefault="00253D4C" w:rsidP="00253D4C">
      <w:pPr>
        <w:rPr>
          <w:rFonts w:cs="Times New Roman"/>
          <w:color w:val="000000" w:themeColor="text1"/>
        </w:rPr>
      </w:pPr>
      <w:r w:rsidRPr="00253D4C">
        <w:rPr>
          <w:rFonts w:cs="Times New Roman"/>
          <w:color w:val="000000" w:themeColor="text1"/>
        </w:rPr>
        <w:t>Groves, R. and D. Cork (eds</w:t>
      </w:r>
      <w:r w:rsidR="00E63474">
        <w:rPr>
          <w:rFonts w:cs="Times New Roman"/>
          <w:color w:val="000000" w:themeColor="text1"/>
        </w:rPr>
        <w:t>.</w:t>
      </w:r>
      <w:r w:rsidRPr="00253D4C">
        <w:rPr>
          <w:rFonts w:cs="Times New Roman"/>
          <w:color w:val="000000" w:themeColor="text1"/>
        </w:rPr>
        <w:t xml:space="preserve">) (2008). </w:t>
      </w:r>
      <w:r w:rsidR="00E63474">
        <w:rPr>
          <w:rFonts w:cs="Times New Roman"/>
          <w:color w:val="000000" w:themeColor="text1"/>
        </w:rPr>
        <w:t xml:space="preserve"> </w:t>
      </w:r>
      <w:r w:rsidRPr="00342339">
        <w:rPr>
          <w:rFonts w:cs="Times New Roman"/>
          <w:i/>
          <w:color w:val="000000" w:themeColor="text1"/>
        </w:rPr>
        <w:t>Surveying Victims: Options for Conducting the</w:t>
      </w:r>
      <w:r w:rsidR="00152C60" w:rsidRPr="00342339">
        <w:rPr>
          <w:rFonts w:cs="Times New Roman"/>
          <w:i/>
          <w:color w:val="000000" w:themeColor="text1"/>
        </w:rPr>
        <w:t xml:space="preserve"> </w:t>
      </w:r>
      <w:r w:rsidRPr="00342339">
        <w:rPr>
          <w:rFonts w:cs="Times New Roman"/>
          <w:i/>
          <w:color w:val="000000" w:themeColor="text1"/>
        </w:rPr>
        <w:t>National Crime Victimization Survey</w:t>
      </w:r>
      <w:r w:rsidRPr="00253D4C">
        <w:rPr>
          <w:rFonts w:cs="Times New Roman"/>
          <w:color w:val="000000" w:themeColor="text1"/>
        </w:rPr>
        <w:t>. Panel to Review the Programs of the Bureau</w:t>
      </w:r>
      <w:r w:rsidR="00152C60">
        <w:rPr>
          <w:rFonts w:cs="Times New Roman"/>
          <w:color w:val="000000" w:themeColor="text1"/>
        </w:rPr>
        <w:t xml:space="preserve"> </w:t>
      </w:r>
      <w:r w:rsidRPr="00253D4C">
        <w:rPr>
          <w:rFonts w:cs="Times New Roman"/>
          <w:color w:val="000000" w:themeColor="text1"/>
        </w:rPr>
        <w:t>of Justice Statistics. Committee on National Statistics and Committee on Law and</w:t>
      </w:r>
      <w:r w:rsidR="00152C60">
        <w:rPr>
          <w:rFonts w:cs="Times New Roman"/>
          <w:color w:val="000000" w:themeColor="text1"/>
        </w:rPr>
        <w:t xml:space="preserve"> </w:t>
      </w:r>
      <w:r w:rsidRPr="00253D4C">
        <w:rPr>
          <w:rFonts w:cs="Times New Roman"/>
          <w:color w:val="000000" w:themeColor="text1"/>
        </w:rPr>
        <w:t>Justice, Division of Behavioral and Social Sciences and Education. Washington,</w:t>
      </w:r>
      <w:r w:rsidR="00152C60">
        <w:rPr>
          <w:rFonts w:cs="Times New Roman"/>
          <w:color w:val="000000" w:themeColor="text1"/>
        </w:rPr>
        <w:t xml:space="preserve"> </w:t>
      </w:r>
      <w:r w:rsidRPr="00253D4C">
        <w:rPr>
          <w:rFonts w:cs="Times New Roman"/>
          <w:color w:val="000000" w:themeColor="text1"/>
        </w:rPr>
        <w:t>DC: The National Academies Press.</w:t>
      </w:r>
    </w:p>
    <w:p w14:paraId="26E144DE" w14:textId="77777777" w:rsidR="00253D4C" w:rsidRDefault="00253D4C" w:rsidP="00253D4C">
      <w:pPr>
        <w:rPr>
          <w:rFonts w:cs="Times New Roman"/>
          <w:color w:val="000000" w:themeColor="text1"/>
        </w:rPr>
      </w:pPr>
    </w:p>
    <w:p w14:paraId="2B1BB8B7" w14:textId="77777777" w:rsidR="00253D4C" w:rsidRDefault="00253D4C" w:rsidP="00253D4C">
      <w:pPr>
        <w:rPr>
          <w:rFonts w:cs="Times New Roman"/>
          <w:color w:val="000000" w:themeColor="text1"/>
        </w:rPr>
      </w:pPr>
      <w:proofErr w:type="spellStart"/>
      <w:r w:rsidRPr="00253D4C">
        <w:rPr>
          <w:rFonts w:cs="Times New Roman"/>
          <w:color w:val="000000" w:themeColor="text1"/>
        </w:rPr>
        <w:t>Lehnen</w:t>
      </w:r>
      <w:proofErr w:type="spellEnd"/>
      <w:r w:rsidRPr="00253D4C">
        <w:rPr>
          <w:rFonts w:cs="Times New Roman"/>
          <w:color w:val="000000" w:themeColor="text1"/>
        </w:rPr>
        <w:t xml:space="preserve">, R. and W. </w:t>
      </w:r>
      <w:proofErr w:type="spellStart"/>
      <w:r w:rsidRPr="00253D4C">
        <w:rPr>
          <w:rFonts w:cs="Times New Roman"/>
          <w:color w:val="000000" w:themeColor="text1"/>
        </w:rPr>
        <w:t>Skogan</w:t>
      </w:r>
      <w:proofErr w:type="spellEnd"/>
      <w:r w:rsidRPr="00253D4C">
        <w:rPr>
          <w:rFonts w:cs="Times New Roman"/>
          <w:color w:val="000000" w:themeColor="text1"/>
        </w:rPr>
        <w:t xml:space="preserve"> (eds</w:t>
      </w:r>
      <w:r w:rsidR="00E63474">
        <w:rPr>
          <w:rFonts w:cs="Times New Roman"/>
          <w:color w:val="000000" w:themeColor="text1"/>
        </w:rPr>
        <w:t>.</w:t>
      </w:r>
      <w:r w:rsidRPr="00253D4C">
        <w:rPr>
          <w:rFonts w:cs="Times New Roman"/>
          <w:color w:val="000000" w:themeColor="text1"/>
        </w:rPr>
        <w:t xml:space="preserve">) (1981) </w:t>
      </w:r>
      <w:r w:rsidRPr="00342339">
        <w:rPr>
          <w:rFonts w:cs="Times New Roman"/>
          <w:i/>
          <w:color w:val="000000" w:themeColor="text1"/>
        </w:rPr>
        <w:t>The National Crime Survey Working Papers,</w:t>
      </w:r>
      <w:r w:rsidR="00152C60" w:rsidRPr="00342339">
        <w:rPr>
          <w:rFonts w:cs="Times New Roman"/>
          <w:i/>
          <w:color w:val="000000" w:themeColor="text1"/>
        </w:rPr>
        <w:t xml:space="preserve"> </w:t>
      </w:r>
      <w:r w:rsidRPr="00342339">
        <w:rPr>
          <w:rFonts w:cs="Times New Roman"/>
          <w:i/>
          <w:color w:val="000000" w:themeColor="text1"/>
        </w:rPr>
        <w:t>Volume I: Current and Historical Perspectives</w:t>
      </w:r>
      <w:r w:rsidRPr="00253D4C">
        <w:rPr>
          <w:rFonts w:cs="Times New Roman"/>
          <w:color w:val="000000" w:themeColor="text1"/>
        </w:rPr>
        <w:t>.</w:t>
      </w:r>
      <w:r w:rsidR="00E63474">
        <w:rPr>
          <w:rFonts w:cs="Times New Roman"/>
          <w:color w:val="000000" w:themeColor="text1"/>
        </w:rPr>
        <w:t xml:space="preserve"> </w:t>
      </w:r>
      <w:r w:rsidRPr="00253D4C">
        <w:rPr>
          <w:rFonts w:cs="Times New Roman"/>
          <w:color w:val="000000" w:themeColor="text1"/>
        </w:rPr>
        <w:t>Washington, D.C.: U.S.</w:t>
      </w:r>
      <w:r w:rsidR="00152C60">
        <w:rPr>
          <w:rFonts w:cs="Times New Roman"/>
          <w:color w:val="000000" w:themeColor="text1"/>
        </w:rPr>
        <w:t xml:space="preserve"> </w:t>
      </w:r>
      <w:r w:rsidRPr="00253D4C">
        <w:rPr>
          <w:rFonts w:cs="Times New Roman"/>
          <w:color w:val="000000" w:themeColor="text1"/>
        </w:rPr>
        <w:t>Government Printing Office.</w:t>
      </w:r>
    </w:p>
    <w:p w14:paraId="2202EB9C" w14:textId="69447BFE" w:rsidR="000B3E01" w:rsidRPr="009B2799" w:rsidRDefault="000B3E01" w:rsidP="009B2799">
      <w:pPr>
        <w:shd w:val="clear" w:color="auto" w:fill="FFFFFF"/>
        <w:spacing w:before="150"/>
        <w:textAlignment w:val="baseline"/>
        <w:outlineLvl w:val="0"/>
        <w:rPr>
          <w:rFonts w:cs="Times New Roman"/>
          <w:bCs/>
        </w:rPr>
      </w:pPr>
      <w:r w:rsidRPr="009B2799">
        <w:rPr>
          <w:rFonts w:cs="Times New Roman"/>
          <w:bCs/>
          <w:kern w:val="36"/>
        </w:rPr>
        <w:t xml:space="preserve">Martin, E., and A. E. </w:t>
      </w:r>
      <w:proofErr w:type="spellStart"/>
      <w:r w:rsidRPr="009B2799">
        <w:rPr>
          <w:rFonts w:cs="Times New Roman"/>
          <w:bCs/>
          <w:kern w:val="36"/>
        </w:rPr>
        <w:t>Polivka</w:t>
      </w:r>
      <w:proofErr w:type="spellEnd"/>
      <w:r w:rsidRPr="009B2799">
        <w:rPr>
          <w:rFonts w:cs="Times New Roman"/>
          <w:bCs/>
          <w:kern w:val="36"/>
        </w:rPr>
        <w:t xml:space="preserve">, A. (1995). “Diagnostics for Redesigning Survey Questionnaires:  Measuring Work in the Current Population Survey.” </w:t>
      </w:r>
      <w:r w:rsidRPr="009B2799">
        <w:rPr>
          <w:rFonts w:cs="Times New Roman"/>
          <w:i/>
        </w:rPr>
        <w:t>Public Opinion Quarterly</w:t>
      </w:r>
      <w:r w:rsidRPr="000B3E01">
        <w:rPr>
          <w:rFonts w:cs="Times New Roman"/>
        </w:rPr>
        <w:t xml:space="preserve">, </w:t>
      </w:r>
      <w:r w:rsidRPr="009B2799">
        <w:rPr>
          <w:rStyle w:val="slug-vol"/>
          <w:rFonts w:cs="Times New Roman"/>
          <w:bdr w:val="none" w:sz="0" w:space="0" w:color="auto" w:frame="1"/>
          <w:shd w:val="clear" w:color="auto" w:fill="FFFFFF"/>
        </w:rPr>
        <w:t>59</w:t>
      </w:r>
      <w:r>
        <w:rPr>
          <w:rStyle w:val="slug-vol"/>
          <w:rFonts w:cs="Times New Roman"/>
          <w:bdr w:val="none" w:sz="0" w:space="0" w:color="auto" w:frame="1"/>
          <w:shd w:val="clear" w:color="auto" w:fill="FFFFFF"/>
        </w:rPr>
        <w:t>,</w:t>
      </w:r>
      <w:r w:rsidRPr="009B2799">
        <w:rPr>
          <w:rStyle w:val="apple-converted-space"/>
          <w:rFonts w:cs="Times New Roman"/>
          <w:bdr w:val="none" w:sz="0" w:space="0" w:color="auto" w:frame="1"/>
          <w:shd w:val="clear" w:color="auto" w:fill="FFFFFF"/>
        </w:rPr>
        <w:t> </w:t>
      </w:r>
      <w:r w:rsidRPr="009B2799">
        <w:rPr>
          <w:rStyle w:val="slug-pages"/>
          <w:rFonts w:cs="Times New Roman"/>
          <w:bdr w:val="none" w:sz="0" w:space="0" w:color="auto" w:frame="1"/>
          <w:shd w:val="clear" w:color="auto" w:fill="FFFFFF"/>
        </w:rPr>
        <w:t>547-567.</w:t>
      </w:r>
    </w:p>
    <w:p w14:paraId="618A0392" w14:textId="77777777" w:rsidR="00253D4C" w:rsidRDefault="00253D4C">
      <w:pPr>
        <w:rPr>
          <w:rFonts w:cs="Times New Roman"/>
          <w:color w:val="000000" w:themeColor="text1"/>
        </w:rPr>
      </w:pPr>
    </w:p>
    <w:p w14:paraId="06B7CFA2" w14:textId="77777777" w:rsidR="00253D4C" w:rsidRDefault="00253D4C" w:rsidP="00253D4C">
      <w:pPr>
        <w:rPr>
          <w:rFonts w:cs="Times New Roman"/>
          <w:color w:val="000000" w:themeColor="text1"/>
        </w:rPr>
      </w:pPr>
      <w:proofErr w:type="spellStart"/>
      <w:r w:rsidRPr="00253D4C">
        <w:rPr>
          <w:rFonts w:cs="Times New Roman"/>
          <w:color w:val="000000" w:themeColor="text1"/>
        </w:rPr>
        <w:t>Penick</w:t>
      </w:r>
      <w:proofErr w:type="spellEnd"/>
      <w:r w:rsidRPr="00253D4C">
        <w:rPr>
          <w:rFonts w:cs="Times New Roman"/>
          <w:color w:val="000000" w:themeColor="text1"/>
        </w:rPr>
        <w:t xml:space="preserve">, B.K.E and M.E.B. Owens (1976). </w:t>
      </w:r>
      <w:r w:rsidR="00E63474">
        <w:rPr>
          <w:rFonts w:cs="Times New Roman"/>
          <w:color w:val="000000" w:themeColor="text1"/>
        </w:rPr>
        <w:t xml:space="preserve"> </w:t>
      </w:r>
      <w:r w:rsidRPr="00342339">
        <w:rPr>
          <w:rFonts w:cs="Times New Roman"/>
          <w:i/>
          <w:color w:val="000000" w:themeColor="text1"/>
        </w:rPr>
        <w:t>Surveying Crime</w:t>
      </w:r>
      <w:r w:rsidRPr="00253D4C">
        <w:rPr>
          <w:rFonts w:cs="Times New Roman"/>
          <w:color w:val="000000" w:themeColor="text1"/>
        </w:rPr>
        <w:t>. Panel for the Evaluation of</w:t>
      </w:r>
      <w:r w:rsidR="00152C60">
        <w:rPr>
          <w:rFonts w:cs="Times New Roman"/>
          <w:color w:val="000000" w:themeColor="text1"/>
        </w:rPr>
        <w:t xml:space="preserve"> </w:t>
      </w:r>
      <w:r w:rsidRPr="00253D4C">
        <w:rPr>
          <w:rFonts w:cs="Times New Roman"/>
          <w:color w:val="000000" w:themeColor="text1"/>
        </w:rPr>
        <w:t>Crime Surveys. Committee on National Statistics, Academy of Mathematical and</w:t>
      </w:r>
      <w:r w:rsidR="00152C60">
        <w:rPr>
          <w:rFonts w:cs="Times New Roman"/>
          <w:color w:val="000000" w:themeColor="text1"/>
        </w:rPr>
        <w:t xml:space="preserve"> </w:t>
      </w:r>
      <w:r w:rsidRPr="00253D4C">
        <w:rPr>
          <w:rFonts w:cs="Times New Roman"/>
          <w:color w:val="000000" w:themeColor="text1"/>
        </w:rPr>
        <w:t>Physical Sciences. Washington: National Academy of Sciences.</w:t>
      </w:r>
    </w:p>
    <w:p w14:paraId="54A53A4A" w14:textId="77777777" w:rsidR="00253D4C" w:rsidRDefault="00253D4C">
      <w:pPr>
        <w:rPr>
          <w:rFonts w:cs="Times New Roman"/>
          <w:color w:val="000000" w:themeColor="text1"/>
        </w:rPr>
      </w:pPr>
    </w:p>
    <w:p w14:paraId="61BA0AD0" w14:textId="77777777" w:rsidR="00253D4C" w:rsidRDefault="00253D4C" w:rsidP="00253D4C">
      <w:pPr>
        <w:rPr>
          <w:rFonts w:cs="Times New Roman"/>
          <w:color w:val="000000" w:themeColor="text1"/>
        </w:rPr>
      </w:pPr>
      <w:proofErr w:type="spellStart"/>
      <w:r w:rsidRPr="00253D4C">
        <w:rPr>
          <w:rFonts w:cs="Times New Roman"/>
          <w:color w:val="000000" w:themeColor="text1"/>
        </w:rPr>
        <w:t>Skogan</w:t>
      </w:r>
      <w:proofErr w:type="spellEnd"/>
      <w:r w:rsidRPr="00253D4C">
        <w:rPr>
          <w:rFonts w:cs="Times New Roman"/>
          <w:color w:val="000000" w:themeColor="text1"/>
        </w:rPr>
        <w:t xml:space="preserve">, W. and R. </w:t>
      </w:r>
      <w:proofErr w:type="spellStart"/>
      <w:r w:rsidRPr="00253D4C">
        <w:rPr>
          <w:rFonts w:cs="Times New Roman"/>
          <w:color w:val="000000" w:themeColor="text1"/>
        </w:rPr>
        <w:t>Lehnen</w:t>
      </w:r>
      <w:proofErr w:type="spellEnd"/>
      <w:r w:rsidRPr="00253D4C">
        <w:rPr>
          <w:rFonts w:cs="Times New Roman"/>
          <w:color w:val="000000" w:themeColor="text1"/>
        </w:rPr>
        <w:t xml:space="preserve"> (1985) </w:t>
      </w:r>
      <w:r w:rsidRPr="00342339">
        <w:rPr>
          <w:rFonts w:cs="Times New Roman"/>
          <w:i/>
          <w:color w:val="000000" w:themeColor="text1"/>
        </w:rPr>
        <w:t>The National Crime Survey Working Papers, Volume</w:t>
      </w:r>
      <w:r w:rsidR="00152C60" w:rsidRPr="00342339">
        <w:rPr>
          <w:rFonts w:cs="Times New Roman"/>
          <w:i/>
          <w:color w:val="000000" w:themeColor="text1"/>
        </w:rPr>
        <w:t xml:space="preserve"> </w:t>
      </w:r>
      <w:r w:rsidRPr="00342339">
        <w:rPr>
          <w:rFonts w:cs="Times New Roman"/>
          <w:i/>
          <w:color w:val="000000" w:themeColor="text1"/>
        </w:rPr>
        <w:t>II: Methodological Studies</w:t>
      </w:r>
      <w:r w:rsidRPr="00253D4C">
        <w:rPr>
          <w:rFonts w:cs="Times New Roman"/>
          <w:color w:val="000000" w:themeColor="text1"/>
        </w:rPr>
        <w:t>. Washington, D.C.: U.S. Government Printing</w:t>
      </w:r>
      <w:r w:rsidR="00152C60">
        <w:rPr>
          <w:rFonts w:cs="Times New Roman"/>
          <w:color w:val="000000" w:themeColor="text1"/>
        </w:rPr>
        <w:t xml:space="preserve"> </w:t>
      </w:r>
      <w:r w:rsidRPr="00253D4C">
        <w:rPr>
          <w:rFonts w:cs="Times New Roman"/>
          <w:color w:val="000000" w:themeColor="text1"/>
        </w:rPr>
        <w:t>Office.</w:t>
      </w:r>
    </w:p>
    <w:p w14:paraId="393DB6EA" w14:textId="77777777" w:rsidR="00253D4C" w:rsidRDefault="00253D4C" w:rsidP="00253D4C">
      <w:pPr>
        <w:rPr>
          <w:rFonts w:cs="Times New Roman"/>
          <w:color w:val="000000" w:themeColor="text1"/>
        </w:rPr>
      </w:pPr>
    </w:p>
    <w:p w14:paraId="0F9EF153" w14:textId="036994AA" w:rsidR="00253D4C" w:rsidRDefault="00253D4C" w:rsidP="00253D4C">
      <w:pPr>
        <w:rPr>
          <w:rFonts w:cs="Times New Roman"/>
          <w:color w:val="000000" w:themeColor="text1"/>
        </w:rPr>
      </w:pPr>
      <w:proofErr w:type="spellStart"/>
      <w:r w:rsidRPr="00253D4C">
        <w:rPr>
          <w:rFonts w:cs="Times New Roman"/>
          <w:color w:val="000000" w:themeColor="text1"/>
        </w:rPr>
        <w:t>Skogan</w:t>
      </w:r>
      <w:proofErr w:type="spellEnd"/>
      <w:r w:rsidRPr="00253D4C">
        <w:rPr>
          <w:rFonts w:cs="Times New Roman"/>
          <w:color w:val="000000" w:themeColor="text1"/>
        </w:rPr>
        <w:t xml:space="preserve">, W. (1990) "The National Crime Survey Redesign," </w:t>
      </w:r>
      <w:r w:rsidRPr="00342339">
        <w:rPr>
          <w:rFonts w:cs="Times New Roman"/>
          <w:i/>
          <w:color w:val="000000" w:themeColor="text1"/>
        </w:rPr>
        <w:t>Public Opinion Quarterly</w:t>
      </w:r>
      <w:r w:rsidRPr="00253D4C">
        <w:rPr>
          <w:rFonts w:cs="Times New Roman"/>
          <w:color w:val="000000" w:themeColor="text1"/>
        </w:rPr>
        <w:t>,</w:t>
      </w:r>
      <w:r w:rsidR="00152C60">
        <w:rPr>
          <w:rFonts w:cs="Times New Roman"/>
          <w:color w:val="000000" w:themeColor="text1"/>
        </w:rPr>
        <w:t xml:space="preserve"> </w:t>
      </w:r>
      <w:r w:rsidRPr="00253D4C">
        <w:rPr>
          <w:rFonts w:cs="Times New Roman"/>
          <w:color w:val="000000" w:themeColor="text1"/>
        </w:rPr>
        <w:t>54</w:t>
      </w:r>
      <w:r w:rsidR="000B3E01">
        <w:rPr>
          <w:rFonts w:cs="Times New Roman"/>
          <w:color w:val="000000" w:themeColor="text1"/>
        </w:rPr>
        <w:t>,</w:t>
      </w:r>
      <w:r w:rsidRPr="00253D4C">
        <w:rPr>
          <w:rFonts w:cs="Times New Roman"/>
          <w:color w:val="000000" w:themeColor="text1"/>
        </w:rPr>
        <w:t xml:space="preserve"> 256-272.</w:t>
      </w:r>
    </w:p>
    <w:p w14:paraId="5F9CA71C" w14:textId="77777777" w:rsidR="00152C60" w:rsidRPr="00B2241B" w:rsidRDefault="00152C60" w:rsidP="00253D4C">
      <w:pPr>
        <w:rPr>
          <w:rFonts w:cs="Times New Roman"/>
          <w:color w:val="000000" w:themeColor="text1"/>
        </w:rPr>
      </w:pPr>
    </w:p>
    <w:p w14:paraId="17C3D296" w14:textId="77777777" w:rsidR="00253D4C" w:rsidRDefault="00253D4C">
      <w:pPr>
        <w:rPr>
          <w:rFonts w:cs="Times New Roman"/>
          <w:color w:val="000000" w:themeColor="text1"/>
        </w:rPr>
      </w:pPr>
    </w:p>
    <w:p w14:paraId="4E72902B" w14:textId="77777777" w:rsidR="002165B3" w:rsidRDefault="002165B3">
      <w:pPr>
        <w:rPr>
          <w:rFonts w:cs="Times New Roman"/>
          <w:color w:val="000000" w:themeColor="text1"/>
        </w:rPr>
      </w:pPr>
    </w:p>
    <w:sectPr w:rsidR="002165B3" w:rsidSect="00762118">
      <w:headerReference w:type="default" r:id="rId11"/>
      <w:type w:val="continuous"/>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29527" w14:textId="77777777" w:rsidR="00B35BE4" w:rsidRDefault="00B35BE4">
      <w:r>
        <w:separator/>
      </w:r>
    </w:p>
  </w:endnote>
  <w:endnote w:type="continuationSeparator" w:id="0">
    <w:p w14:paraId="76033030" w14:textId="77777777" w:rsidR="00B35BE4" w:rsidRDefault="00B35BE4">
      <w:r>
        <w:continuationSeparator/>
      </w:r>
    </w:p>
  </w:endnote>
  <w:endnote w:type="continuationNotice" w:id="1">
    <w:p w14:paraId="54D5D594" w14:textId="77777777" w:rsidR="00B35BE4" w:rsidRDefault="00B35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79795"/>
      <w:docPartObj>
        <w:docPartGallery w:val="Page Numbers (Bottom of Page)"/>
        <w:docPartUnique/>
      </w:docPartObj>
    </w:sdtPr>
    <w:sdtEndPr>
      <w:rPr>
        <w:noProof/>
      </w:rPr>
    </w:sdtEndPr>
    <w:sdtContent>
      <w:p w14:paraId="2997B5BB" w14:textId="77777777" w:rsidR="00A76847" w:rsidRDefault="00A76847">
        <w:pPr>
          <w:pStyle w:val="Footer"/>
          <w:jc w:val="right"/>
        </w:pPr>
        <w:r>
          <w:fldChar w:fldCharType="begin"/>
        </w:r>
        <w:r>
          <w:instrText xml:space="preserve"> PAGE   \* MERGEFORMAT </w:instrText>
        </w:r>
        <w:r>
          <w:fldChar w:fldCharType="separate"/>
        </w:r>
        <w:r w:rsidR="00410FF0">
          <w:rPr>
            <w:noProof/>
          </w:rPr>
          <w:t>1</w:t>
        </w:r>
        <w:r>
          <w:rPr>
            <w:noProof/>
          </w:rPr>
          <w:fldChar w:fldCharType="end"/>
        </w:r>
      </w:p>
    </w:sdtContent>
  </w:sdt>
  <w:p w14:paraId="3C237F81" w14:textId="77777777" w:rsidR="00A76847" w:rsidRDefault="00A76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F6595" w14:textId="77777777" w:rsidR="00B35BE4" w:rsidRDefault="00B35BE4">
      <w:r>
        <w:separator/>
      </w:r>
    </w:p>
  </w:footnote>
  <w:footnote w:type="continuationSeparator" w:id="0">
    <w:p w14:paraId="4D86A3E4" w14:textId="77777777" w:rsidR="00B35BE4" w:rsidRDefault="00B35BE4">
      <w:r>
        <w:continuationSeparator/>
      </w:r>
    </w:p>
  </w:footnote>
  <w:footnote w:type="continuationNotice" w:id="1">
    <w:p w14:paraId="042B7E62" w14:textId="77777777" w:rsidR="00B35BE4" w:rsidRDefault="00B35B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EF634" w14:textId="77777777" w:rsidR="00B35BE4" w:rsidRDefault="00B35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A4EE1" w14:textId="77777777" w:rsidR="00A76847" w:rsidRDefault="00A76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55A3"/>
    <w:multiLevelType w:val="hybridMultilevel"/>
    <w:tmpl w:val="1CF42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726A1"/>
    <w:multiLevelType w:val="hybridMultilevel"/>
    <w:tmpl w:val="2F5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DC3AA2"/>
    <w:multiLevelType w:val="hybridMultilevel"/>
    <w:tmpl w:val="1A62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3A210C"/>
    <w:multiLevelType w:val="hybridMultilevel"/>
    <w:tmpl w:val="22B8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710AFF"/>
    <w:multiLevelType w:val="hybridMultilevel"/>
    <w:tmpl w:val="12AA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C912E2"/>
    <w:multiLevelType w:val="hybridMultilevel"/>
    <w:tmpl w:val="287A2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146CE"/>
    <w:multiLevelType w:val="hybridMultilevel"/>
    <w:tmpl w:val="161C82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113011"/>
    <w:multiLevelType w:val="hybridMultilevel"/>
    <w:tmpl w:val="16343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35F98"/>
    <w:multiLevelType w:val="hybridMultilevel"/>
    <w:tmpl w:val="0B726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94B57"/>
    <w:multiLevelType w:val="hybridMultilevel"/>
    <w:tmpl w:val="FA5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1B73C8"/>
    <w:multiLevelType w:val="hybridMultilevel"/>
    <w:tmpl w:val="04A47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202BB2"/>
    <w:multiLevelType w:val="hybridMultilevel"/>
    <w:tmpl w:val="0F74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70B0E"/>
    <w:multiLevelType w:val="hybridMultilevel"/>
    <w:tmpl w:val="A03C9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E30DC"/>
    <w:multiLevelType w:val="hybridMultilevel"/>
    <w:tmpl w:val="570A9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797CDD"/>
    <w:multiLevelType w:val="hybridMultilevel"/>
    <w:tmpl w:val="E58CC746"/>
    <w:lvl w:ilvl="0" w:tplc="E8C2D9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D80982"/>
    <w:multiLevelType w:val="hybridMultilevel"/>
    <w:tmpl w:val="C0C6F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E12BAF"/>
    <w:multiLevelType w:val="hybridMultilevel"/>
    <w:tmpl w:val="81586CDC"/>
    <w:lvl w:ilvl="0" w:tplc="04090001">
      <w:start w:val="1"/>
      <w:numFmt w:val="bullet"/>
      <w:lvlText w:val=""/>
      <w:lvlJc w:val="left"/>
      <w:pPr>
        <w:ind w:left="720" w:hanging="360"/>
      </w:pPr>
      <w:rPr>
        <w:rFonts w:ascii="Symbol" w:hAnsi="Symbol" w:hint="default"/>
      </w:rPr>
    </w:lvl>
    <w:lvl w:ilvl="1" w:tplc="C70A6430">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790C79"/>
    <w:multiLevelType w:val="hybridMultilevel"/>
    <w:tmpl w:val="71261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142E6A"/>
    <w:multiLevelType w:val="hybridMultilevel"/>
    <w:tmpl w:val="8F567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F04258"/>
    <w:multiLevelType w:val="hybridMultilevel"/>
    <w:tmpl w:val="B9CA1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D6E64B3"/>
    <w:multiLevelType w:val="hybridMultilevel"/>
    <w:tmpl w:val="025837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61786C"/>
    <w:multiLevelType w:val="hybridMultilevel"/>
    <w:tmpl w:val="34CAB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500B43"/>
    <w:multiLevelType w:val="hybridMultilevel"/>
    <w:tmpl w:val="80B083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8C1346"/>
    <w:multiLevelType w:val="hybridMultilevel"/>
    <w:tmpl w:val="26665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16162"/>
    <w:multiLevelType w:val="hybridMultilevel"/>
    <w:tmpl w:val="7F709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4"/>
  </w:num>
  <w:num w:numId="4">
    <w:abstractNumId w:val="18"/>
  </w:num>
  <w:num w:numId="5">
    <w:abstractNumId w:val="9"/>
  </w:num>
  <w:num w:numId="6">
    <w:abstractNumId w:val="1"/>
  </w:num>
  <w:num w:numId="7">
    <w:abstractNumId w:val="5"/>
  </w:num>
  <w:num w:numId="8">
    <w:abstractNumId w:val="10"/>
  </w:num>
  <w:num w:numId="9">
    <w:abstractNumId w:val="4"/>
  </w:num>
  <w:num w:numId="10">
    <w:abstractNumId w:val="22"/>
  </w:num>
  <w:num w:numId="11">
    <w:abstractNumId w:val="14"/>
  </w:num>
  <w:num w:numId="12">
    <w:abstractNumId w:val="17"/>
  </w:num>
  <w:num w:numId="13">
    <w:abstractNumId w:val="11"/>
  </w:num>
  <w:num w:numId="14">
    <w:abstractNumId w:val="3"/>
  </w:num>
  <w:num w:numId="15">
    <w:abstractNumId w:val="23"/>
  </w:num>
  <w:num w:numId="16">
    <w:abstractNumId w:val="21"/>
  </w:num>
  <w:num w:numId="17">
    <w:abstractNumId w:val="7"/>
  </w:num>
  <w:num w:numId="18">
    <w:abstractNumId w:val="12"/>
  </w:num>
  <w:num w:numId="19">
    <w:abstractNumId w:val="26"/>
  </w:num>
  <w:num w:numId="20">
    <w:abstractNumId w:val="13"/>
  </w:num>
  <w:num w:numId="21">
    <w:abstractNumId w:val="0"/>
  </w:num>
  <w:num w:numId="22">
    <w:abstractNumId w:val="15"/>
  </w:num>
  <w:num w:numId="23">
    <w:abstractNumId w:val="8"/>
  </w:num>
  <w:num w:numId="24">
    <w:abstractNumId w:val="25"/>
  </w:num>
  <w:num w:numId="25">
    <w:abstractNumId w:val="19"/>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C9"/>
    <w:rsid w:val="000074A4"/>
    <w:rsid w:val="00016104"/>
    <w:rsid w:val="00017C7F"/>
    <w:rsid w:val="00023220"/>
    <w:rsid w:val="0002613E"/>
    <w:rsid w:val="00036B00"/>
    <w:rsid w:val="00044C7D"/>
    <w:rsid w:val="00055236"/>
    <w:rsid w:val="00082439"/>
    <w:rsid w:val="00083D53"/>
    <w:rsid w:val="00097859"/>
    <w:rsid w:val="000A3061"/>
    <w:rsid w:val="000A74D0"/>
    <w:rsid w:val="000B1DAA"/>
    <w:rsid w:val="000B3A35"/>
    <w:rsid w:val="000B3E01"/>
    <w:rsid w:val="000C0351"/>
    <w:rsid w:val="000C2CAE"/>
    <w:rsid w:val="000C584F"/>
    <w:rsid w:val="000C6475"/>
    <w:rsid w:val="000F2043"/>
    <w:rsid w:val="000F2DDA"/>
    <w:rsid w:val="000F4762"/>
    <w:rsid w:val="001101A5"/>
    <w:rsid w:val="0011369F"/>
    <w:rsid w:val="001146DE"/>
    <w:rsid w:val="001173F4"/>
    <w:rsid w:val="00131EB2"/>
    <w:rsid w:val="00141ECD"/>
    <w:rsid w:val="0014272B"/>
    <w:rsid w:val="0015199A"/>
    <w:rsid w:val="00152C60"/>
    <w:rsid w:val="00154DB0"/>
    <w:rsid w:val="001560D7"/>
    <w:rsid w:val="00162E7C"/>
    <w:rsid w:val="00164255"/>
    <w:rsid w:val="00164AD0"/>
    <w:rsid w:val="001717B6"/>
    <w:rsid w:val="00171AB3"/>
    <w:rsid w:val="00173AA2"/>
    <w:rsid w:val="00173ABE"/>
    <w:rsid w:val="00176035"/>
    <w:rsid w:val="0017692C"/>
    <w:rsid w:val="00184E53"/>
    <w:rsid w:val="001906D6"/>
    <w:rsid w:val="00193443"/>
    <w:rsid w:val="00193ED3"/>
    <w:rsid w:val="00194AB1"/>
    <w:rsid w:val="001B1C1D"/>
    <w:rsid w:val="001B4944"/>
    <w:rsid w:val="001C614D"/>
    <w:rsid w:val="001D2F3A"/>
    <w:rsid w:val="001E15F5"/>
    <w:rsid w:val="001E5A05"/>
    <w:rsid w:val="001E6FD0"/>
    <w:rsid w:val="001F3AC9"/>
    <w:rsid w:val="001F6688"/>
    <w:rsid w:val="00203565"/>
    <w:rsid w:val="00203C6E"/>
    <w:rsid w:val="002065EA"/>
    <w:rsid w:val="0021146E"/>
    <w:rsid w:val="002153C8"/>
    <w:rsid w:val="002165B3"/>
    <w:rsid w:val="002310FA"/>
    <w:rsid w:val="0023311F"/>
    <w:rsid w:val="00234AED"/>
    <w:rsid w:val="0023579D"/>
    <w:rsid w:val="00235973"/>
    <w:rsid w:val="00236BC5"/>
    <w:rsid w:val="002421DF"/>
    <w:rsid w:val="0024344F"/>
    <w:rsid w:val="00247FD6"/>
    <w:rsid w:val="00253D4C"/>
    <w:rsid w:val="0026359A"/>
    <w:rsid w:val="002704F2"/>
    <w:rsid w:val="0027162B"/>
    <w:rsid w:val="0027172F"/>
    <w:rsid w:val="0027548F"/>
    <w:rsid w:val="00282D11"/>
    <w:rsid w:val="00286E72"/>
    <w:rsid w:val="00292EA4"/>
    <w:rsid w:val="00294E2A"/>
    <w:rsid w:val="00294EAF"/>
    <w:rsid w:val="002A2762"/>
    <w:rsid w:val="002B4BB4"/>
    <w:rsid w:val="002B5FFD"/>
    <w:rsid w:val="002C17E1"/>
    <w:rsid w:val="002C795A"/>
    <w:rsid w:val="002D4D88"/>
    <w:rsid w:val="002D6DCE"/>
    <w:rsid w:val="002E0158"/>
    <w:rsid w:val="002F00B6"/>
    <w:rsid w:val="002F0853"/>
    <w:rsid w:val="002F1D09"/>
    <w:rsid w:val="002F2271"/>
    <w:rsid w:val="002F2C74"/>
    <w:rsid w:val="002F4255"/>
    <w:rsid w:val="002F5F02"/>
    <w:rsid w:val="002F674B"/>
    <w:rsid w:val="003117E7"/>
    <w:rsid w:val="00314395"/>
    <w:rsid w:val="003152B9"/>
    <w:rsid w:val="00315CDD"/>
    <w:rsid w:val="00317343"/>
    <w:rsid w:val="00321155"/>
    <w:rsid w:val="00333AEA"/>
    <w:rsid w:val="00342339"/>
    <w:rsid w:val="0035208D"/>
    <w:rsid w:val="003557D8"/>
    <w:rsid w:val="0037155E"/>
    <w:rsid w:val="00373C88"/>
    <w:rsid w:val="00374206"/>
    <w:rsid w:val="003837CF"/>
    <w:rsid w:val="00385C5A"/>
    <w:rsid w:val="003963CF"/>
    <w:rsid w:val="003A05FB"/>
    <w:rsid w:val="003A588B"/>
    <w:rsid w:val="003B1F5D"/>
    <w:rsid w:val="003B29DD"/>
    <w:rsid w:val="003B5CCF"/>
    <w:rsid w:val="003B78A1"/>
    <w:rsid w:val="003B7A86"/>
    <w:rsid w:val="003C1128"/>
    <w:rsid w:val="003C2B3B"/>
    <w:rsid w:val="003C6503"/>
    <w:rsid w:val="003D0F37"/>
    <w:rsid w:val="003E4F6E"/>
    <w:rsid w:val="00407B43"/>
    <w:rsid w:val="00410FF0"/>
    <w:rsid w:val="004138AC"/>
    <w:rsid w:val="00417525"/>
    <w:rsid w:val="0041777B"/>
    <w:rsid w:val="004203F4"/>
    <w:rsid w:val="00424FA0"/>
    <w:rsid w:val="00434F0B"/>
    <w:rsid w:val="004356F5"/>
    <w:rsid w:val="0044687A"/>
    <w:rsid w:val="004508E4"/>
    <w:rsid w:val="00450D6B"/>
    <w:rsid w:val="00455FA5"/>
    <w:rsid w:val="004768CE"/>
    <w:rsid w:val="00480BB1"/>
    <w:rsid w:val="00491A01"/>
    <w:rsid w:val="00492A8B"/>
    <w:rsid w:val="004930D8"/>
    <w:rsid w:val="004968EA"/>
    <w:rsid w:val="00496EBD"/>
    <w:rsid w:val="00497311"/>
    <w:rsid w:val="004A0887"/>
    <w:rsid w:val="004A22A7"/>
    <w:rsid w:val="004A6479"/>
    <w:rsid w:val="004B7C64"/>
    <w:rsid w:val="004C498B"/>
    <w:rsid w:val="004D1CBB"/>
    <w:rsid w:val="004E01F7"/>
    <w:rsid w:val="004E45BF"/>
    <w:rsid w:val="004E4BA7"/>
    <w:rsid w:val="004E68BA"/>
    <w:rsid w:val="004F4018"/>
    <w:rsid w:val="0050124E"/>
    <w:rsid w:val="00504242"/>
    <w:rsid w:val="00523221"/>
    <w:rsid w:val="00524804"/>
    <w:rsid w:val="00527AB7"/>
    <w:rsid w:val="0053338D"/>
    <w:rsid w:val="00533518"/>
    <w:rsid w:val="00535F88"/>
    <w:rsid w:val="00551B99"/>
    <w:rsid w:val="005533CE"/>
    <w:rsid w:val="0055587A"/>
    <w:rsid w:val="00556B96"/>
    <w:rsid w:val="00560B7D"/>
    <w:rsid w:val="0056470C"/>
    <w:rsid w:val="00572565"/>
    <w:rsid w:val="00577019"/>
    <w:rsid w:val="00581DC4"/>
    <w:rsid w:val="0058627A"/>
    <w:rsid w:val="00587807"/>
    <w:rsid w:val="00593C0A"/>
    <w:rsid w:val="00595315"/>
    <w:rsid w:val="00596358"/>
    <w:rsid w:val="005A11D7"/>
    <w:rsid w:val="005A4699"/>
    <w:rsid w:val="005A4BA8"/>
    <w:rsid w:val="005A7AB9"/>
    <w:rsid w:val="005B08B2"/>
    <w:rsid w:val="005B7430"/>
    <w:rsid w:val="005C702D"/>
    <w:rsid w:val="005D7D8A"/>
    <w:rsid w:val="005D7FDA"/>
    <w:rsid w:val="005E0D45"/>
    <w:rsid w:val="005F3348"/>
    <w:rsid w:val="00602730"/>
    <w:rsid w:val="006079A6"/>
    <w:rsid w:val="00616562"/>
    <w:rsid w:val="006177E9"/>
    <w:rsid w:val="00626CBF"/>
    <w:rsid w:val="00631270"/>
    <w:rsid w:val="00631682"/>
    <w:rsid w:val="00631B58"/>
    <w:rsid w:val="00634C1B"/>
    <w:rsid w:val="00634DE5"/>
    <w:rsid w:val="00637DC8"/>
    <w:rsid w:val="00642401"/>
    <w:rsid w:val="0064263A"/>
    <w:rsid w:val="00644206"/>
    <w:rsid w:val="006477B0"/>
    <w:rsid w:val="006509C1"/>
    <w:rsid w:val="00653BAB"/>
    <w:rsid w:val="006571B0"/>
    <w:rsid w:val="006616E6"/>
    <w:rsid w:val="00664688"/>
    <w:rsid w:val="00673C44"/>
    <w:rsid w:val="0068622D"/>
    <w:rsid w:val="006867AF"/>
    <w:rsid w:val="00696FC3"/>
    <w:rsid w:val="006A3AA3"/>
    <w:rsid w:val="006B12F1"/>
    <w:rsid w:val="006B13EC"/>
    <w:rsid w:val="006B1E69"/>
    <w:rsid w:val="006B250F"/>
    <w:rsid w:val="006B260E"/>
    <w:rsid w:val="006B3E37"/>
    <w:rsid w:val="006B6739"/>
    <w:rsid w:val="006B73EE"/>
    <w:rsid w:val="006B7EC1"/>
    <w:rsid w:val="006C1ADD"/>
    <w:rsid w:val="006E0E7A"/>
    <w:rsid w:val="006E1FFE"/>
    <w:rsid w:val="006E35B5"/>
    <w:rsid w:val="006E510D"/>
    <w:rsid w:val="0070611D"/>
    <w:rsid w:val="007061D6"/>
    <w:rsid w:val="007128FA"/>
    <w:rsid w:val="007172CB"/>
    <w:rsid w:val="0073350F"/>
    <w:rsid w:val="007374E5"/>
    <w:rsid w:val="00745667"/>
    <w:rsid w:val="007468B9"/>
    <w:rsid w:val="00752785"/>
    <w:rsid w:val="00755DB9"/>
    <w:rsid w:val="00755F85"/>
    <w:rsid w:val="00757777"/>
    <w:rsid w:val="00762118"/>
    <w:rsid w:val="00771039"/>
    <w:rsid w:val="00773261"/>
    <w:rsid w:val="00773CC1"/>
    <w:rsid w:val="0077701A"/>
    <w:rsid w:val="007861E6"/>
    <w:rsid w:val="00787F35"/>
    <w:rsid w:val="007904D6"/>
    <w:rsid w:val="007923E7"/>
    <w:rsid w:val="007928AB"/>
    <w:rsid w:val="00795B45"/>
    <w:rsid w:val="007A490D"/>
    <w:rsid w:val="007B2841"/>
    <w:rsid w:val="007C4304"/>
    <w:rsid w:val="007C5230"/>
    <w:rsid w:val="007C7A6C"/>
    <w:rsid w:val="007E2623"/>
    <w:rsid w:val="007E46D0"/>
    <w:rsid w:val="007E6DE8"/>
    <w:rsid w:val="007E7EE6"/>
    <w:rsid w:val="007F1470"/>
    <w:rsid w:val="007F27F6"/>
    <w:rsid w:val="007F6CAD"/>
    <w:rsid w:val="008014E1"/>
    <w:rsid w:val="00815941"/>
    <w:rsid w:val="00817194"/>
    <w:rsid w:val="0082174B"/>
    <w:rsid w:val="00824CE6"/>
    <w:rsid w:val="0083599E"/>
    <w:rsid w:val="0084446C"/>
    <w:rsid w:val="00851E10"/>
    <w:rsid w:val="00853013"/>
    <w:rsid w:val="00861760"/>
    <w:rsid w:val="00863705"/>
    <w:rsid w:val="008763B8"/>
    <w:rsid w:val="00877B95"/>
    <w:rsid w:val="00877BE8"/>
    <w:rsid w:val="008805EB"/>
    <w:rsid w:val="00882B79"/>
    <w:rsid w:val="00887785"/>
    <w:rsid w:val="0089097E"/>
    <w:rsid w:val="0089503B"/>
    <w:rsid w:val="008969BD"/>
    <w:rsid w:val="00897528"/>
    <w:rsid w:val="008B1183"/>
    <w:rsid w:val="008B1CEB"/>
    <w:rsid w:val="008C61DD"/>
    <w:rsid w:val="008C6B28"/>
    <w:rsid w:val="008D0919"/>
    <w:rsid w:val="008D0E23"/>
    <w:rsid w:val="008D31A9"/>
    <w:rsid w:val="008D320F"/>
    <w:rsid w:val="008D691B"/>
    <w:rsid w:val="008E18B1"/>
    <w:rsid w:val="008E2A21"/>
    <w:rsid w:val="008E2DD8"/>
    <w:rsid w:val="008E5FA7"/>
    <w:rsid w:val="008E745B"/>
    <w:rsid w:val="008F4E44"/>
    <w:rsid w:val="00906222"/>
    <w:rsid w:val="009067B7"/>
    <w:rsid w:val="00916B9B"/>
    <w:rsid w:val="00922FE8"/>
    <w:rsid w:val="00931DD0"/>
    <w:rsid w:val="00932691"/>
    <w:rsid w:val="00933F30"/>
    <w:rsid w:val="00941119"/>
    <w:rsid w:val="00941968"/>
    <w:rsid w:val="009422C2"/>
    <w:rsid w:val="0094429D"/>
    <w:rsid w:val="00961FE2"/>
    <w:rsid w:val="009677F8"/>
    <w:rsid w:val="00970076"/>
    <w:rsid w:val="00970A6A"/>
    <w:rsid w:val="00980B85"/>
    <w:rsid w:val="00982162"/>
    <w:rsid w:val="00997544"/>
    <w:rsid w:val="009A31D7"/>
    <w:rsid w:val="009A62CC"/>
    <w:rsid w:val="009A6711"/>
    <w:rsid w:val="009A7CEA"/>
    <w:rsid w:val="009B03D5"/>
    <w:rsid w:val="009B0520"/>
    <w:rsid w:val="009B2799"/>
    <w:rsid w:val="009C3C50"/>
    <w:rsid w:val="009D1257"/>
    <w:rsid w:val="009E261A"/>
    <w:rsid w:val="009E6C4F"/>
    <w:rsid w:val="009F0191"/>
    <w:rsid w:val="009F5EDA"/>
    <w:rsid w:val="00A01D87"/>
    <w:rsid w:val="00A038B8"/>
    <w:rsid w:val="00A06E5C"/>
    <w:rsid w:val="00A15194"/>
    <w:rsid w:val="00A1566E"/>
    <w:rsid w:val="00A23784"/>
    <w:rsid w:val="00A2615D"/>
    <w:rsid w:val="00A40354"/>
    <w:rsid w:val="00A40956"/>
    <w:rsid w:val="00A40D69"/>
    <w:rsid w:val="00A5004E"/>
    <w:rsid w:val="00A57ECF"/>
    <w:rsid w:val="00A72187"/>
    <w:rsid w:val="00A735BD"/>
    <w:rsid w:val="00A76847"/>
    <w:rsid w:val="00A77F49"/>
    <w:rsid w:val="00A853D6"/>
    <w:rsid w:val="00AA2939"/>
    <w:rsid w:val="00AA3A23"/>
    <w:rsid w:val="00AB1633"/>
    <w:rsid w:val="00AB4222"/>
    <w:rsid w:val="00AC4764"/>
    <w:rsid w:val="00AE28E7"/>
    <w:rsid w:val="00AE61BC"/>
    <w:rsid w:val="00AE6BA8"/>
    <w:rsid w:val="00B200F1"/>
    <w:rsid w:val="00B2241B"/>
    <w:rsid w:val="00B26DF5"/>
    <w:rsid w:val="00B35BE4"/>
    <w:rsid w:val="00B36666"/>
    <w:rsid w:val="00B4103E"/>
    <w:rsid w:val="00B4135A"/>
    <w:rsid w:val="00B52D60"/>
    <w:rsid w:val="00B60FD7"/>
    <w:rsid w:val="00B70258"/>
    <w:rsid w:val="00B70C4D"/>
    <w:rsid w:val="00B74D79"/>
    <w:rsid w:val="00B8431D"/>
    <w:rsid w:val="00B87E93"/>
    <w:rsid w:val="00B95640"/>
    <w:rsid w:val="00B97C6E"/>
    <w:rsid w:val="00BA13DE"/>
    <w:rsid w:val="00BA17D7"/>
    <w:rsid w:val="00BA6F9A"/>
    <w:rsid w:val="00BB0A75"/>
    <w:rsid w:val="00BD0A06"/>
    <w:rsid w:val="00BD2F70"/>
    <w:rsid w:val="00BD68D8"/>
    <w:rsid w:val="00BE3388"/>
    <w:rsid w:val="00BE4C3B"/>
    <w:rsid w:val="00BE56D9"/>
    <w:rsid w:val="00BE5E54"/>
    <w:rsid w:val="00BF19B8"/>
    <w:rsid w:val="00BF5FC3"/>
    <w:rsid w:val="00C02B96"/>
    <w:rsid w:val="00C12254"/>
    <w:rsid w:val="00C20289"/>
    <w:rsid w:val="00C27212"/>
    <w:rsid w:val="00C3305C"/>
    <w:rsid w:val="00C45682"/>
    <w:rsid w:val="00C5179E"/>
    <w:rsid w:val="00C52729"/>
    <w:rsid w:val="00C65891"/>
    <w:rsid w:val="00C73CB8"/>
    <w:rsid w:val="00C8063B"/>
    <w:rsid w:val="00C83005"/>
    <w:rsid w:val="00C84544"/>
    <w:rsid w:val="00C91F4C"/>
    <w:rsid w:val="00C92660"/>
    <w:rsid w:val="00C92EE5"/>
    <w:rsid w:val="00C93DE7"/>
    <w:rsid w:val="00CB58CE"/>
    <w:rsid w:val="00CB6017"/>
    <w:rsid w:val="00CC2CB9"/>
    <w:rsid w:val="00CD0183"/>
    <w:rsid w:val="00CD30C8"/>
    <w:rsid w:val="00CE4FC1"/>
    <w:rsid w:val="00CE7AE1"/>
    <w:rsid w:val="00CF0EB0"/>
    <w:rsid w:val="00CF6D57"/>
    <w:rsid w:val="00D01CF3"/>
    <w:rsid w:val="00D07E84"/>
    <w:rsid w:val="00D20A0A"/>
    <w:rsid w:val="00D2165A"/>
    <w:rsid w:val="00D253A4"/>
    <w:rsid w:val="00D279C2"/>
    <w:rsid w:val="00D3157C"/>
    <w:rsid w:val="00D32396"/>
    <w:rsid w:val="00D379CC"/>
    <w:rsid w:val="00D40170"/>
    <w:rsid w:val="00D46C9D"/>
    <w:rsid w:val="00D600AD"/>
    <w:rsid w:val="00D6307A"/>
    <w:rsid w:val="00D71BAE"/>
    <w:rsid w:val="00D867D6"/>
    <w:rsid w:val="00D90901"/>
    <w:rsid w:val="00D90CDF"/>
    <w:rsid w:val="00D93B2B"/>
    <w:rsid w:val="00D93EE4"/>
    <w:rsid w:val="00DA36BE"/>
    <w:rsid w:val="00DA5C23"/>
    <w:rsid w:val="00DB1091"/>
    <w:rsid w:val="00DB11BC"/>
    <w:rsid w:val="00DB2EDA"/>
    <w:rsid w:val="00DC26C4"/>
    <w:rsid w:val="00DE41C4"/>
    <w:rsid w:val="00DE47CF"/>
    <w:rsid w:val="00DF41B1"/>
    <w:rsid w:val="00E10A7F"/>
    <w:rsid w:val="00E14516"/>
    <w:rsid w:val="00E20AC9"/>
    <w:rsid w:val="00E20E41"/>
    <w:rsid w:val="00E27ECF"/>
    <w:rsid w:val="00E51FC3"/>
    <w:rsid w:val="00E52919"/>
    <w:rsid w:val="00E530A3"/>
    <w:rsid w:val="00E63474"/>
    <w:rsid w:val="00E7133D"/>
    <w:rsid w:val="00E72E2B"/>
    <w:rsid w:val="00E85278"/>
    <w:rsid w:val="00E965E9"/>
    <w:rsid w:val="00EA2A33"/>
    <w:rsid w:val="00EA7939"/>
    <w:rsid w:val="00EB4789"/>
    <w:rsid w:val="00EC2ACF"/>
    <w:rsid w:val="00EC3525"/>
    <w:rsid w:val="00ED7177"/>
    <w:rsid w:val="00EE6867"/>
    <w:rsid w:val="00EE75A8"/>
    <w:rsid w:val="00EE7A4F"/>
    <w:rsid w:val="00EF4590"/>
    <w:rsid w:val="00EF606A"/>
    <w:rsid w:val="00F001F3"/>
    <w:rsid w:val="00F01C78"/>
    <w:rsid w:val="00F03FE7"/>
    <w:rsid w:val="00F1007F"/>
    <w:rsid w:val="00F1748F"/>
    <w:rsid w:val="00F2227C"/>
    <w:rsid w:val="00F452C4"/>
    <w:rsid w:val="00F52E9F"/>
    <w:rsid w:val="00F5335B"/>
    <w:rsid w:val="00F720FE"/>
    <w:rsid w:val="00F774EB"/>
    <w:rsid w:val="00F93263"/>
    <w:rsid w:val="00FB1F73"/>
    <w:rsid w:val="00FB51F8"/>
    <w:rsid w:val="00FB7450"/>
    <w:rsid w:val="00FC27FA"/>
    <w:rsid w:val="00FC4A76"/>
    <w:rsid w:val="00FD1510"/>
    <w:rsid w:val="00FD1C11"/>
    <w:rsid w:val="00FD29D0"/>
    <w:rsid w:val="00FE1096"/>
    <w:rsid w:val="00FF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599A5"/>
  <w15:docId w15:val="{9E8CCF2C-D84C-473D-AD1F-D621EACB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EDA"/>
    <w:rPr>
      <w:rFonts w:cs="Arial"/>
      <w:sz w:val="24"/>
      <w:szCs w:val="24"/>
    </w:rPr>
  </w:style>
  <w:style w:type="paragraph" w:styleId="Heading1">
    <w:name w:val="heading 1"/>
    <w:basedOn w:val="Normal"/>
    <w:link w:val="Heading1Char"/>
    <w:uiPriority w:val="9"/>
    <w:qFormat/>
    <w:rsid w:val="000B3E01"/>
    <w:pPr>
      <w:spacing w:before="100" w:beforeAutospacing="1" w:after="100" w:afterAutospacing="1"/>
      <w:outlineLvl w:val="0"/>
    </w:pPr>
    <w:rPr>
      <w:rFonts w:cs="Times New Roman"/>
      <w:b/>
      <w:bCs/>
      <w:kern w:val="36"/>
      <w:sz w:val="48"/>
      <w:szCs w:val="48"/>
    </w:rPr>
  </w:style>
  <w:style w:type="paragraph" w:styleId="Heading2">
    <w:name w:val="heading 2"/>
    <w:basedOn w:val="Normal"/>
    <w:link w:val="Heading2Char"/>
    <w:uiPriority w:val="9"/>
    <w:qFormat/>
    <w:rsid w:val="000B3E01"/>
    <w:pPr>
      <w:spacing w:before="100" w:beforeAutospacing="1" w:after="100" w:afterAutospacing="1"/>
      <w:outlineLvl w:val="1"/>
    </w:pPr>
    <w:rPr>
      <w:rFonts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ECF"/>
    <w:rPr>
      <w:color w:val="0000FF"/>
      <w:u w:val="single"/>
    </w:rPr>
  </w:style>
  <w:style w:type="table" w:styleId="TableGrid">
    <w:name w:val="Table Grid"/>
    <w:basedOn w:val="TableNormal"/>
    <w:uiPriority w:val="59"/>
    <w:rsid w:val="00F9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paragraph" w:styleId="FootnoteText">
    <w:name w:val="footnote text"/>
    <w:basedOn w:val="Normal"/>
    <w:link w:val="FootnoteTextChar"/>
    <w:rsid w:val="00F1748F"/>
    <w:rPr>
      <w:sz w:val="20"/>
      <w:szCs w:val="20"/>
    </w:rPr>
  </w:style>
  <w:style w:type="character" w:customStyle="1" w:styleId="FootnoteTextChar">
    <w:name w:val="Footnote Text Char"/>
    <w:basedOn w:val="DefaultParagraphFont"/>
    <w:link w:val="FootnoteText"/>
    <w:rsid w:val="00F1748F"/>
    <w:rPr>
      <w:rFonts w:cs="Arial"/>
    </w:rPr>
  </w:style>
  <w:style w:type="character" w:styleId="FootnoteReference">
    <w:name w:val="footnote reference"/>
    <w:basedOn w:val="DefaultParagraphFont"/>
    <w:uiPriority w:val="99"/>
    <w:rsid w:val="00F1748F"/>
    <w:rPr>
      <w:vertAlign w:val="superscript"/>
    </w:rPr>
  </w:style>
  <w:style w:type="paragraph" w:customStyle="1" w:styleId="N0-FlLftBullet">
    <w:name w:val="N0-Fl Lft Bullet"/>
    <w:basedOn w:val="Normal"/>
    <w:uiPriority w:val="99"/>
    <w:rsid w:val="00154DB0"/>
    <w:pPr>
      <w:tabs>
        <w:tab w:val="left" w:pos="576"/>
      </w:tabs>
      <w:spacing w:after="240" w:line="240" w:lineRule="atLeast"/>
      <w:ind w:left="576" w:hanging="576"/>
    </w:pPr>
    <w:rPr>
      <w:rFonts w:ascii="Garamond" w:hAnsi="Garamond" w:cs="Times New Roman"/>
      <w:szCs w:val="20"/>
    </w:rPr>
  </w:style>
  <w:style w:type="character" w:customStyle="1" w:styleId="FooterChar">
    <w:name w:val="Footer Char"/>
    <w:basedOn w:val="DefaultParagraphFont"/>
    <w:link w:val="Footer"/>
    <w:uiPriority w:val="99"/>
    <w:rsid w:val="0027172F"/>
    <w:rPr>
      <w:rFonts w:cs="Arial"/>
      <w:sz w:val="24"/>
      <w:szCs w:val="24"/>
    </w:rPr>
  </w:style>
  <w:style w:type="paragraph" w:customStyle="1" w:styleId="L1-FlLSp12">
    <w:name w:val="L1-FlL Sp&amp;1/2"/>
    <w:basedOn w:val="Normal"/>
    <w:link w:val="L1-FlLSp12Char"/>
    <w:rsid w:val="006B6739"/>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sid w:val="006B6739"/>
    <w:rPr>
      <w:rFonts w:ascii="Garamond" w:hAnsi="Garamond"/>
      <w:sz w:val="24"/>
    </w:rPr>
  </w:style>
  <w:style w:type="character" w:customStyle="1" w:styleId="Heading1Char">
    <w:name w:val="Heading 1 Char"/>
    <w:basedOn w:val="DefaultParagraphFont"/>
    <w:link w:val="Heading1"/>
    <w:uiPriority w:val="9"/>
    <w:rsid w:val="000B3E01"/>
    <w:rPr>
      <w:b/>
      <w:bCs/>
      <w:kern w:val="36"/>
      <w:sz w:val="48"/>
      <w:szCs w:val="48"/>
    </w:rPr>
  </w:style>
  <w:style w:type="character" w:customStyle="1" w:styleId="Heading2Char">
    <w:name w:val="Heading 2 Char"/>
    <w:basedOn w:val="DefaultParagraphFont"/>
    <w:link w:val="Heading2"/>
    <w:uiPriority w:val="9"/>
    <w:rsid w:val="000B3E01"/>
    <w:rPr>
      <w:b/>
      <w:bCs/>
      <w:sz w:val="36"/>
      <w:szCs w:val="36"/>
    </w:rPr>
  </w:style>
  <w:style w:type="character" w:customStyle="1" w:styleId="slug-pub-date">
    <w:name w:val="slug-pub-date"/>
    <w:basedOn w:val="DefaultParagraphFont"/>
    <w:rsid w:val="000B3E01"/>
  </w:style>
  <w:style w:type="character" w:customStyle="1" w:styleId="apple-converted-space">
    <w:name w:val="apple-converted-space"/>
    <w:basedOn w:val="DefaultParagraphFont"/>
    <w:rsid w:val="000B3E01"/>
  </w:style>
  <w:style w:type="character" w:customStyle="1" w:styleId="slug-vol">
    <w:name w:val="slug-vol"/>
    <w:basedOn w:val="DefaultParagraphFont"/>
    <w:rsid w:val="000B3E01"/>
  </w:style>
  <w:style w:type="character" w:customStyle="1" w:styleId="slug-issue">
    <w:name w:val="slug-issue"/>
    <w:basedOn w:val="DefaultParagraphFont"/>
    <w:rsid w:val="000B3E01"/>
  </w:style>
  <w:style w:type="character" w:customStyle="1" w:styleId="slug-pages">
    <w:name w:val="slug-pages"/>
    <w:basedOn w:val="DefaultParagraphFont"/>
    <w:rsid w:val="000B3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999308023">
      <w:bodyDiv w:val="1"/>
      <w:marLeft w:val="0"/>
      <w:marRight w:val="0"/>
      <w:marTop w:val="0"/>
      <w:marBottom w:val="0"/>
      <w:divBdr>
        <w:top w:val="none" w:sz="0" w:space="0" w:color="auto"/>
        <w:left w:val="none" w:sz="0" w:space="0" w:color="auto"/>
        <w:bottom w:val="none" w:sz="0" w:space="0" w:color="auto"/>
        <w:right w:val="none" w:sz="0" w:space="0" w:color="auto"/>
      </w:divBdr>
    </w:div>
    <w:div w:id="1327901260">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 w:id="1544826682">
      <w:bodyDiv w:val="1"/>
      <w:marLeft w:val="0"/>
      <w:marRight w:val="0"/>
      <w:marTop w:val="0"/>
      <w:marBottom w:val="0"/>
      <w:divBdr>
        <w:top w:val="none" w:sz="0" w:space="0" w:color="auto"/>
        <w:left w:val="none" w:sz="0" w:space="0" w:color="auto"/>
        <w:bottom w:val="none" w:sz="0" w:space="0" w:color="auto"/>
        <w:right w:val="none" w:sz="0" w:space="0" w:color="auto"/>
      </w:divBdr>
      <w:divsChild>
        <w:div w:id="1049186866">
          <w:marLeft w:val="0"/>
          <w:marRight w:val="0"/>
          <w:marTop w:val="0"/>
          <w:marBottom w:val="0"/>
          <w:divBdr>
            <w:top w:val="none" w:sz="0" w:space="0" w:color="auto"/>
            <w:left w:val="none" w:sz="0" w:space="0" w:color="auto"/>
            <w:bottom w:val="none" w:sz="0" w:space="0" w:color="auto"/>
            <w:right w:val="none" w:sz="0" w:space="0" w:color="auto"/>
          </w:divBdr>
          <w:divsChild>
            <w:div w:id="1016345765">
              <w:marLeft w:val="3180"/>
              <w:marRight w:val="0"/>
              <w:marTop w:val="0"/>
              <w:marBottom w:val="0"/>
              <w:divBdr>
                <w:top w:val="none" w:sz="0" w:space="0" w:color="auto"/>
                <w:left w:val="none" w:sz="0" w:space="0" w:color="auto"/>
                <w:bottom w:val="none" w:sz="0" w:space="0" w:color="auto"/>
                <w:right w:val="none" w:sz="0" w:space="0" w:color="auto"/>
              </w:divBdr>
              <w:divsChild>
                <w:div w:id="2144344291">
                  <w:marLeft w:val="0"/>
                  <w:marRight w:val="0"/>
                  <w:marTop w:val="0"/>
                  <w:marBottom w:val="0"/>
                  <w:divBdr>
                    <w:top w:val="none" w:sz="0" w:space="0" w:color="auto"/>
                    <w:left w:val="none" w:sz="0" w:space="0" w:color="auto"/>
                    <w:bottom w:val="none" w:sz="0" w:space="0" w:color="auto"/>
                    <w:right w:val="none" w:sz="0" w:space="0" w:color="auto"/>
                  </w:divBdr>
                  <w:divsChild>
                    <w:div w:id="1763836921">
                      <w:marLeft w:val="0"/>
                      <w:marRight w:val="0"/>
                      <w:marTop w:val="0"/>
                      <w:marBottom w:val="150"/>
                      <w:divBdr>
                        <w:top w:val="none" w:sz="0" w:space="0" w:color="auto"/>
                        <w:left w:val="none" w:sz="0" w:space="0" w:color="auto"/>
                        <w:bottom w:val="none" w:sz="0" w:space="0" w:color="auto"/>
                        <w:right w:val="none" w:sz="0" w:space="0" w:color="auto"/>
                      </w:divBdr>
                      <w:divsChild>
                        <w:div w:id="57829806">
                          <w:marLeft w:val="0"/>
                          <w:marRight w:val="0"/>
                          <w:marTop w:val="0"/>
                          <w:marBottom w:val="0"/>
                          <w:divBdr>
                            <w:top w:val="none" w:sz="0" w:space="0" w:color="auto"/>
                            <w:left w:val="none" w:sz="0" w:space="0" w:color="auto"/>
                            <w:bottom w:val="none" w:sz="0" w:space="0" w:color="auto"/>
                            <w:right w:val="none" w:sz="0" w:space="0" w:color="auto"/>
                          </w:divBdr>
                          <w:divsChild>
                            <w:div w:id="2247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0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399B5-993C-4C45-8082-72D48DB0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Template>
  <TotalTime>198</TotalTime>
  <Pages>7</Pages>
  <Words>2627</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Gerry Ramker, BJS</dc:creator>
  <cp:lastModifiedBy>Adams, Devon</cp:lastModifiedBy>
  <cp:revision>3</cp:revision>
  <cp:lastPrinted>2014-03-19T21:12:00Z</cp:lastPrinted>
  <dcterms:created xsi:type="dcterms:W3CDTF">2015-03-12T13:45:00Z</dcterms:created>
  <dcterms:modified xsi:type="dcterms:W3CDTF">2015-03-12T17:24:00Z</dcterms:modified>
</cp:coreProperties>
</file>