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DA7885" w:rsidRDefault="00DA7885" w:rsidP="00DA7885">
      <w:pPr>
        <w:pStyle w:val="Heading1"/>
      </w:pPr>
      <w:r>
        <w:t>SUPPORTING STATEMENT</w:t>
      </w:r>
    </w:p>
    <w:p w:rsidR="005B532F" w:rsidRDefault="003B0D8A" w:rsidP="00DA7885">
      <w:pPr>
        <w:pStyle w:val="Heading1"/>
        <w:tabs>
          <w:tab w:val="clear" w:pos="3150"/>
        </w:tabs>
        <w:ind w:left="2340" w:hanging="1980"/>
      </w:pPr>
      <w:r>
        <w:t>A.  JUSTIFICATION</w:t>
      </w:r>
      <w:r w:rsidR="006F2E10">
        <w:t xml:space="preserve">: </w:t>
      </w:r>
    </w:p>
    <w:p w:rsidR="0003309B" w:rsidRPr="00DA7885" w:rsidRDefault="0003309B" w:rsidP="00DA7885">
      <w:pPr>
        <w:autoSpaceDE w:val="0"/>
        <w:autoSpaceDN w:val="0"/>
        <w:adjustRightInd w:val="0"/>
        <w:ind w:left="360"/>
      </w:pPr>
      <w:r w:rsidRPr="00DA7885">
        <w:t>PD F 1048, “</w:t>
      </w:r>
      <w:r w:rsidR="00DA7885">
        <w:t>Claim for L</w:t>
      </w:r>
      <w:r w:rsidRPr="00DA7885">
        <w:t xml:space="preserve">ost, </w:t>
      </w:r>
      <w:r w:rsidR="00DA7885">
        <w:t>Stolen, or D</w:t>
      </w:r>
      <w:r w:rsidRPr="00DA7885">
        <w:t>estroyed United States Savings Bonds.”</w:t>
      </w:r>
    </w:p>
    <w:p w:rsidR="0003309B" w:rsidRPr="00DA7885" w:rsidRDefault="0003309B" w:rsidP="00DA7885">
      <w:pPr>
        <w:autoSpaceDE w:val="0"/>
        <w:autoSpaceDN w:val="0"/>
        <w:adjustRightInd w:val="0"/>
        <w:ind w:left="360"/>
      </w:pPr>
      <w:r w:rsidRPr="00DA7885">
        <w:t>PD F</w:t>
      </w:r>
      <w:r w:rsidR="00DA7885">
        <w:t xml:space="preserve"> 2243, “Supplemental S</w:t>
      </w:r>
      <w:r w:rsidRPr="00DA7885">
        <w:t xml:space="preserve">tatement for United States Securities.” </w:t>
      </w:r>
    </w:p>
    <w:p w:rsidR="003B0D8A" w:rsidRDefault="003B0D8A" w:rsidP="003B0D8A">
      <w:pPr>
        <w:rPr>
          <w:b/>
          <w:bCs/>
        </w:rPr>
      </w:pPr>
      <w:r>
        <w:rPr>
          <w:b/>
          <w:bCs/>
        </w:rPr>
        <w:t xml:space="preserve"> </w:t>
      </w: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020C21" w:rsidRPr="00F72599" w:rsidRDefault="001148AE" w:rsidP="00F72599">
      <w:pPr>
        <w:ind w:left="270"/>
      </w:pPr>
      <w:r w:rsidRPr="00F72599">
        <w:t>The informa</w:t>
      </w:r>
      <w:r w:rsidR="00020C21" w:rsidRPr="00F72599">
        <w:t>tion collected through PD F 1048 and PD F 2243</w:t>
      </w:r>
      <w:r w:rsidRPr="00F72599">
        <w:t xml:space="preserve"> is necessary</w:t>
      </w:r>
      <w:r w:rsidR="00020C21" w:rsidRPr="00F72599">
        <w:t xml:space="preserve"> to apply for relief on account of the loss, theft, or destruction</w:t>
      </w:r>
      <w:r w:rsidR="00F72599" w:rsidRPr="00F72599">
        <w:t xml:space="preserve"> of United States Savings Bonds or </w:t>
      </w:r>
      <w:r w:rsidR="00F72599">
        <w:t xml:space="preserve">the non-receipt of United States </w:t>
      </w:r>
      <w:r w:rsidR="00F72599" w:rsidRPr="00F72599">
        <w:t>Securities.</w:t>
      </w:r>
    </w:p>
    <w:p w:rsidR="00020C21" w:rsidRDefault="00020C21" w:rsidP="00AC44A5">
      <w:pPr>
        <w:ind w:left="270"/>
      </w:pPr>
    </w:p>
    <w:p w:rsidR="003B0D8A" w:rsidRDefault="003579BB" w:rsidP="003B0D8A">
      <w:pPr>
        <w:rPr>
          <w:b/>
          <w:bCs/>
        </w:rPr>
      </w:pPr>
      <w:r>
        <w:rPr>
          <w:b/>
          <w:bCs/>
        </w:rPr>
        <w:t xml:space="preserve">2.  </w:t>
      </w:r>
      <w:r w:rsidR="003B0D8A">
        <w:rPr>
          <w:b/>
          <w:bCs/>
        </w:rPr>
        <w:t>Indicate how, by whom and for what purpose is this information used?</w:t>
      </w:r>
    </w:p>
    <w:p w:rsidR="001853BE" w:rsidRPr="001148AE" w:rsidRDefault="00007EC5" w:rsidP="001148AE">
      <w:pPr>
        <w:tabs>
          <w:tab w:val="left" w:pos="270"/>
        </w:tabs>
        <w:autoSpaceDE w:val="0"/>
        <w:autoSpaceDN w:val="0"/>
        <w:adjustRightInd w:val="0"/>
        <w:ind w:left="270"/>
      </w:pPr>
      <w:r w:rsidRPr="001148AE">
        <w:rPr>
          <w:color w:val="000000"/>
        </w:rPr>
        <w:t xml:space="preserve">The information on the completed form is used by the Department of the Treasury, Bureau of the Public Debt </w:t>
      </w:r>
      <w:r w:rsidR="001853BE" w:rsidRPr="001148AE">
        <w:rPr>
          <w:color w:val="000000"/>
        </w:rPr>
        <w:t xml:space="preserve">to </w:t>
      </w:r>
      <w:r w:rsidR="001853BE" w:rsidRPr="001148AE">
        <w:t>identify the securities involved and to establish the authority to</w:t>
      </w:r>
      <w:r w:rsidR="0003309B">
        <w:t xml:space="preserve"> </w:t>
      </w:r>
      <w:r w:rsidR="001853BE" w:rsidRPr="001148AE">
        <w:t xml:space="preserve">issue </w:t>
      </w:r>
      <w:r w:rsidR="0003309B">
        <w:t xml:space="preserve">substitute </w:t>
      </w:r>
      <w:r w:rsidR="00D62B4E">
        <w:t>securities or payment in lieu ther</w:t>
      </w:r>
      <w:r w:rsidR="00020C21">
        <w:t>e</w:t>
      </w:r>
      <w:r w:rsidR="00D62B4E">
        <w:t>of</w:t>
      </w:r>
      <w:r w:rsidR="001853BE" w:rsidRPr="001148AE">
        <w:t>.  Without the information, the transaction cannot be completed.</w:t>
      </w:r>
    </w:p>
    <w:p w:rsidR="000D6FF8" w:rsidRDefault="000D6FF8" w:rsidP="003B0D8A">
      <w:pPr>
        <w:rPr>
          <w:b/>
          <w:bCs/>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The form</w:t>
      </w:r>
      <w:r w:rsidR="00D62B4E">
        <w:t>s are</w:t>
      </w:r>
      <w:r w:rsidRPr="00E24781">
        <w:t xml:space="preserve">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w:t>
      </w:r>
      <w:r w:rsidR="00D62B4E">
        <w:t>s are</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March 5</w:t>
      </w:r>
      <w:r w:rsidR="0057687D">
        <w:t>, 2012</w:t>
      </w:r>
      <w:r>
        <w:t xml:space="preserve">, page </w:t>
      </w:r>
      <w:r w:rsidR="00D62B4E">
        <w:t>13175</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lastRenderedPageBreak/>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D62B4E" w:rsidP="00E06DD6">
      <w:pPr>
        <w:autoSpaceDE w:val="0"/>
        <w:autoSpaceDN w:val="0"/>
        <w:adjustRightInd w:val="0"/>
        <w:ind w:left="360"/>
      </w:pPr>
      <w:r>
        <w:t>The average time needed is 2</w:t>
      </w:r>
      <w:r w:rsidR="00E06DD6" w:rsidRPr="00A37430">
        <w:t>0 minutes per response multiplied by the estimated number of responses (</w:t>
      </w:r>
      <w:r>
        <w:t>72,0</w:t>
      </w:r>
      <w:r w:rsidR="00202CF4">
        <w:t>00</w:t>
      </w:r>
      <w:r w:rsidR="00E06DD6" w:rsidRPr="00A37430">
        <w:t>) reflects the total burden of</w:t>
      </w:r>
      <w:r>
        <w:t xml:space="preserve"> 24,000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DA7885">
        <w:t>50</w:t>
      </w:r>
      <w:r w:rsidR="004471E7">
        <w:t xml:space="preserve">,000 </w:t>
      </w:r>
      <w:proofErr w:type="gramStart"/>
      <w:r w:rsidR="00D62B4E">
        <w:t>@  $</w:t>
      </w:r>
      <w:proofErr w:type="gramEnd"/>
      <w:r w:rsidR="00D62B4E">
        <w:t>4</w:t>
      </w:r>
      <w:r w:rsidR="00202CF4">
        <w:t xml:space="preserve">0.00/M   = $   </w:t>
      </w:r>
      <w:r w:rsidR="00DA7885">
        <w:t>2,00</w:t>
      </w:r>
      <w:r w:rsidR="004471E7">
        <w:t>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Case Processing Cost</w:t>
      </w:r>
      <w:r w:rsidR="00D65747">
        <w:t>:</w:t>
      </w:r>
      <w:r w:rsidR="00D65747">
        <w:tab/>
      </w:r>
      <w:r w:rsidR="004471E7">
        <w:t xml:space="preserve">72,000    </w:t>
      </w:r>
      <w:r w:rsidR="00202CF4">
        <w:t>1.50/</w:t>
      </w:r>
      <w:proofErr w:type="gramStart"/>
      <w:r w:rsidR="00202CF4">
        <w:t>form  =</w:t>
      </w:r>
      <w:proofErr w:type="gramEnd"/>
      <w:r w:rsidR="00202CF4">
        <w:t xml:space="preserve">  </w:t>
      </w:r>
      <w:r w:rsidR="004471E7">
        <w:t>108,000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DA7885">
        <w:t>110,500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15259E" w:rsidRDefault="0015259E" w:rsidP="008858E1">
      <w:pPr>
        <w:ind w:left="360"/>
      </w:pPr>
      <w:r w:rsidRPr="0015259E">
        <w:t xml:space="preserve">Requests of this nature have begun to decline with the introduction of </w:t>
      </w:r>
      <w:proofErr w:type="spellStart"/>
      <w:r w:rsidRPr="0015259E">
        <w:t>TreasuryDirect</w:t>
      </w:r>
      <w:proofErr w:type="spellEnd"/>
      <w:r w:rsidRPr="0015259E">
        <w:t xml:space="preserve"> and will continue to decline as a result of the discontinuation of the sale of paper savings bonds as of January 1, 2012. A reduction of 8,000 responses resulted in a decrease of 2,400 hours attributed to a program change due to agency discretion.  Total burden hours request</w:t>
      </w:r>
      <w:r w:rsidR="005C6D1B">
        <w:t>ed</w:t>
      </w:r>
      <w:r w:rsidRPr="0015259E">
        <w:t xml:space="preserve"> this submission is 24,000.</w:t>
      </w:r>
      <w:bookmarkStart w:id="0" w:name="_GoBack"/>
      <w:bookmarkEnd w:id="0"/>
    </w:p>
    <w:p w:rsidR="0015259E" w:rsidRDefault="0015259E" w:rsidP="008858E1">
      <w:pPr>
        <w:ind w:left="360"/>
      </w:pPr>
    </w:p>
    <w:p w:rsidR="004C18DD" w:rsidRDefault="004471E7" w:rsidP="008858E1">
      <w:pPr>
        <w:ind w:left="360"/>
      </w:pPr>
      <w:r>
        <w:t>Th</w:t>
      </w:r>
      <w:r w:rsidR="00DA7885">
        <w:t>e increase in Item 14 reflects</w:t>
      </w:r>
      <w:r>
        <w:t xml:space="preserve"> program data</w:t>
      </w:r>
      <w:r w:rsidR="00DA7885">
        <w:t xml:space="preserve"> reported by the program office. Previous supporting statements contained estimated figures.</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202CF4">
        <w:t xml:space="preserve">xpiration date on Form PD F </w:t>
      </w:r>
      <w:r w:rsidR="00DA7885">
        <w:t>1048 and 2243</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num>
  <w:num w:numId="5">
    <w:abstractNumId w:val="5"/>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0C21"/>
    <w:rsid w:val="0003309B"/>
    <w:rsid w:val="00070EFC"/>
    <w:rsid w:val="0007793D"/>
    <w:rsid w:val="000A31EA"/>
    <w:rsid w:val="000D440F"/>
    <w:rsid w:val="000D6FF8"/>
    <w:rsid w:val="000E5C6A"/>
    <w:rsid w:val="001148AE"/>
    <w:rsid w:val="00150A4C"/>
    <w:rsid w:val="0015259E"/>
    <w:rsid w:val="001853BE"/>
    <w:rsid w:val="001C5819"/>
    <w:rsid w:val="001C70FB"/>
    <w:rsid w:val="001E69AA"/>
    <w:rsid w:val="00202CF4"/>
    <w:rsid w:val="0022429F"/>
    <w:rsid w:val="0025581A"/>
    <w:rsid w:val="00296077"/>
    <w:rsid w:val="002B1779"/>
    <w:rsid w:val="003579BB"/>
    <w:rsid w:val="003B0D8A"/>
    <w:rsid w:val="004471E7"/>
    <w:rsid w:val="004C18DD"/>
    <w:rsid w:val="004D430F"/>
    <w:rsid w:val="0057687D"/>
    <w:rsid w:val="00593248"/>
    <w:rsid w:val="005A53F2"/>
    <w:rsid w:val="005B532F"/>
    <w:rsid w:val="005C6D1B"/>
    <w:rsid w:val="005F12F2"/>
    <w:rsid w:val="006119E1"/>
    <w:rsid w:val="00617809"/>
    <w:rsid w:val="006F2E10"/>
    <w:rsid w:val="0072099F"/>
    <w:rsid w:val="008237EF"/>
    <w:rsid w:val="008452C8"/>
    <w:rsid w:val="008858E1"/>
    <w:rsid w:val="00910AF8"/>
    <w:rsid w:val="009D4AAC"/>
    <w:rsid w:val="00AC44A5"/>
    <w:rsid w:val="00B42AEC"/>
    <w:rsid w:val="00C575D8"/>
    <w:rsid w:val="00CB60E3"/>
    <w:rsid w:val="00CB6FB0"/>
    <w:rsid w:val="00D17F90"/>
    <w:rsid w:val="00D62B4E"/>
    <w:rsid w:val="00D65747"/>
    <w:rsid w:val="00D91738"/>
    <w:rsid w:val="00DA7885"/>
    <w:rsid w:val="00E06DD6"/>
    <w:rsid w:val="00F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Reference</cp:lastModifiedBy>
  <cp:revision>4</cp:revision>
  <cp:lastPrinted>2012-04-26T14:49:00Z</cp:lastPrinted>
  <dcterms:created xsi:type="dcterms:W3CDTF">2012-05-31T18:34:00Z</dcterms:created>
  <dcterms:modified xsi:type="dcterms:W3CDTF">2012-05-31T19:03:00Z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