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4A0" w:rsidRPr="009B392E" w:rsidRDefault="008214A0" w:rsidP="007B1355">
      <w:pPr>
        <w:pStyle w:val="Title"/>
        <w:ind w:right="713"/>
        <w:rPr>
          <w:szCs w:val="24"/>
        </w:rPr>
      </w:pPr>
    </w:p>
    <w:p w:rsidR="00CF4158" w:rsidRPr="009B392E" w:rsidRDefault="00CF4158" w:rsidP="007B1355">
      <w:pPr>
        <w:pStyle w:val="Title"/>
        <w:ind w:right="713"/>
        <w:rPr>
          <w:b w:val="0"/>
          <w:bCs w:val="0"/>
          <w:szCs w:val="24"/>
        </w:rPr>
      </w:pPr>
      <w:r w:rsidRPr="009B392E">
        <w:rPr>
          <w:szCs w:val="24"/>
        </w:rPr>
        <w:t>Supporting Statement</w:t>
      </w:r>
    </w:p>
    <w:p w:rsidR="009340CE" w:rsidRPr="009B392E" w:rsidRDefault="008214A0" w:rsidP="007B1355">
      <w:pPr>
        <w:pStyle w:val="Title"/>
        <w:ind w:right="713"/>
        <w:rPr>
          <w:szCs w:val="24"/>
        </w:rPr>
      </w:pPr>
      <w:r w:rsidRPr="009B392E">
        <w:rPr>
          <w:szCs w:val="24"/>
        </w:rPr>
        <w:t>Market Risk</w:t>
      </w:r>
    </w:p>
    <w:p w:rsidR="008214A0" w:rsidRPr="009B392E" w:rsidRDefault="008214A0" w:rsidP="007B1355">
      <w:pPr>
        <w:pStyle w:val="Title"/>
        <w:ind w:right="713"/>
        <w:rPr>
          <w:szCs w:val="24"/>
        </w:rPr>
      </w:pPr>
      <w:r w:rsidRPr="009B392E">
        <w:rPr>
          <w:szCs w:val="24"/>
        </w:rPr>
        <w:t>OMB Control No. 1557-NEW</w:t>
      </w:r>
    </w:p>
    <w:p w:rsidR="00CF4158" w:rsidRPr="009B392E" w:rsidRDefault="00CF4158" w:rsidP="007B1355">
      <w:pPr>
        <w:ind w:right="713"/>
        <w:rPr>
          <w:b/>
          <w:bCs/>
          <w:szCs w:val="24"/>
        </w:rPr>
      </w:pPr>
    </w:p>
    <w:p w:rsidR="00CF4158" w:rsidRDefault="00CF4158" w:rsidP="007B1355">
      <w:pPr>
        <w:ind w:right="713"/>
        <w:rPr>
          <w:b/>
          <w:bCs/>
          <w:szCs w:val="24"/>
        </w:rPr>
      </w:pPr>
      <w:r w:rsidRPr="009B392E">
        <w:rPr>
          <w:b/>
          <w:bCs/>
          <w:szCs w:val="24"/>
        </w:rPr>
        <w:t>A.  Justification.</w:t>
      </w:r>
    </w:p>
    <w:p w:rsidR="001630CF" w:rsidRPr="00100372" w:rsidRDefault="001630CF" w:rsidP="007B1355">
      <w:pPr>
        <w:ind w:right="713"/>
        <w:rPr>
          <w:b/>
          <w:bCs/>
          <w:szCs w:val="24"/>
        </w:rPr>
      </w:pPr>
    </w:p>
    <w:p w:rsidR="00CF4158" w:rsidRDefault="00CF4158" w:rsidP="007B1355">
      <w:pPr>
        <w:ind w:right="713"/>
        <w:rPr>
          <w:b/>
          <w:bCs/>
          <w:i/>
          <w:iCs/>
          <w:szCs w:val="24"/>
        </w:rPr>
      </w:pPr>
      <w:r w:rsidRPr="00100372">
        <w:rPr>
          <w:b/>
          <w:bCs/>
          <w:i/>
          <w:iCs/>
          <w:szCs w:val="24"/>
        </w:rPr>
        <w:t>1.  Circumstances that make the collection necessary:</w:t>
      </w:r>
    </w:p>
    <w:p w:rsidR="001630CF" w:rsidRPr="00100372" w:rsidRDefault="001630CF" w:rsidP="007B1355">
      <w:pPr>
        <w:ind w:right="713"/>
        <w:rPr>
          <w:b/>
          <w:bCs/>
          <w:i/>
          <w:iCs/>
          <w:szCs w:val="24"/>
        </w:rPr>
      </w:pPr>
    </w:p>
    <w:p w:rsidR="001630CF" w:rsidRDefault="006C667A" w:rsidP="007B1355">
      <w:pPr>
        <w:ind w:right="713" w:firstLine="720"/>
      </w:pPr>
      <w:r w:rsidRPr="005E74BC">
        <w:t xml:space="preserve">The Office of the Comptroller of the Currency (OCC), Board of Governors of the Federal Reserve System (Board), </w:t>
      </w:r>
      <w:r>
        <w:t xml:space="preserve">and </w:t>
      </w:r>
      <w:r w:rsidRPr="005E74BC">
        <w:t>Federal Deposit Insurance Corporation (FDIC)</w:t>
      </w:r>
      <w:r>
        <w:t xml:space="preserve"> </w:t>
      </w:r>
      <w:r w:rsidRPr="005E74BC">
        <w:t xml:space="preserve">are </w:t>
      </w:r>
      <w:r w:rsidR="00347BB9">
        <w:t>issuing a final rule revising</w:t>
      </w:r>
      <w:r>
        <w:t xml:space="preserve"> t</w:t>
      </w:r>
      <w:r w:rsidR="00722162">
        <w:t>heir market risk capital rules</w:t>
      </w:r>
      <w:r w:rsidR="00347BB9">
        <w:t xml:space="preserve"> to modify their scope</w:t>
      </w:r>
      <w:r>
        <w:t xml:space="preserve"> to better capture positions</w:t>
      </w:r>
      <w:r w:rsidRPr="00205376">
        <w:t xml:space="preserve"> for which the market risk capital rule</w:t>
      </w:r>
      <w:r>
        <w:t>s</w:t>
      </w:r>
      <w:r w:rsidRPr="00205376">
        <w:t xml:space="preserve"> </w:t>
      </w:r>
      <w:r>
        <w:t>are</w:t>
      </w:r>
      <w:r w:rsidRPr="00205376">
        <w:t xml:space="preserve"> appropriate</w:t>
      </w:r>
      <w:r>
        <w:t>;</w:t>
      </w:r>
      <w:r w:rsidRPr="00F935AC">
        <w:t xml:space="preserve"> </w:t>
      </w:r>
      <w:r>
        <w:t>reduce procyclicality in market risk capital requirements; enhance the rules’ sensitivity to risks that are not adequately captured under the current regulatory measurement methodologies; and increase transparency through enhanced disclosures.</w:t>
      </w:r>
    </w:p>
    <w:p w:rsidR="00B92C5D" w:rsidRDefault="00B92C5D" w:rsidP="007B1355">
      <w:pPr>
        <w:ind w:right="713" w:firstLine="720"/>
      </w:pPr>
    </w:p>
    <w:p w:rsidR="00B92C5D" w:rsidRDefault="00B92C5D" w:rsidP="007B1355">
      <w:pPr>
        <w:ind w:right="713" w:firstLine="720"/>
      </w:pPr>
      <w:r>
        <w:t>The OCC previously submitted this collection for approval pursuant to the notice of proposed rulemaking issued on January 11, 2011 (76 FR 1890).  OMB issued a comment in response to the submission.  On December 21, 2011 the agencies issued a second NPRM (76 FR 79380).  The information collection requirements remained unchanged under the second proposal and, therefore, the OCC did not submit them for approval.  The information collection requirements in the final rule are substantially identical to those contained in the notices of proposed rulemaking and OCC is submitting them again for review.</w:t>
      </w:r>
    </w:p>
    <w:p w:rsidR="006C667A" w:rsidRPr="00344BA7" w:rsidRDefault="006C667A" w:rsidP="007B1355">
      <w:pPr>
        <w:ind w:right="713" w:firstLine="720"/>
        <w:rPr>
          <w:szCs w:val="24"/>
        </w:rPr>
      </w:pPr>
    </w:p>
    <w:p w:rsidR="00CF4158" w:rsidRDefault="00CF4158" w:rsidP="007B1355">
      <w:pPr>
        <w:pStyle w:val="BodyText"/>
        <w:ind w:right="713"/>
        <w:rPr>
          <w:b/>
          <w:bCs/>
          <w:szCs w:val="24"/>
        </w:rPr>
      </w:pPr>
      <w:r w:rsidRPr="009B392E">
        <w:rPr>
          <w:b/>
          <w:bCs/>
          <w:szCs w:val="24"/>
        </w:rPr>
        <w:t>2.  Use of the information:</w:t>
      </w:r>
    </w:p>
    <w:p w:rsidR="001630CF" w:rsidRDefault="001630CF" w:rsidP="007B1355">
      <w:pPr>
        <w:pStyle w:val="BodyText"/>
        <w:ind w:right="713"/>
        <w:rPr>
          <w:b/>
          <w:bCs/>
          <w:szCs w:val="24"/>
        </w:rPr>
      </w:pPr>
    </w:p>
    <w:p w:rsidR="00100372" w:rsidRDefault="00100372" w:rsidP="007B1355">
      <w:pPr>
        <w:ind w:right="713" w:firstLine="720"/>
        <w:rPr>
          <w:szCs w:val="24"/>
        </w:rPr>
      </w:pPr>
      <w:r w:rsidRPr="009B392E">
        <w:rPr>
          <w:rStyle w:val="documentbody1"/>
          <w:rFonts w:ascii="Times New Roman" w:hAnsi="Times New Roman"/>
          <w:color w:val="000000"/>
          <w:sz w:val="24"/>
          <w:szCs w:val="24"/>
        </w:rPr>
        <w:t>The information collection requirements are found in sections 3</w:t>
      </w:r>
      <w:r w:rsidR="00D26512">
        <w:rPr>
          <w:rStyle w:val="documentbody1"/>
          <w:rFonts w:ascii="Times New Roman" w:hAnsi="Times New Roman"/>
          <w:color w:val="000000"/>
          <w:sz w:val="24"/>
          <w:szCs w:val="24"/>
        </w:rPr>
        <w:t>-</w:t>
      </w:r>
      <w:r w:rsidR="00307BD7">
        <w:rPr>
          <w:rStyle w:val="documentbody1"/>
          <w:rFonts w:ascii="Times New Roman" w:hAnsi="Times New Roman"/>
          <w:color w:val="000000"/>
          <w:sz w:val="24"/>
          <w:szCs w:val="24"/>
        </w:rPr>
        <w:t>11</w:t>
      </w:r>
      <w:r w:rsidR="004E55A0">
        <w:rPr>
          <w:rStyle w:val="documentbody1"/>
          <w:rFonts w:ascii="Times New Roman" w:hAnsi="Times New Roman"/>
          <w:color w:val="000000"/>
          <w:sz w:val="24"/>
          <w:szCs w:val="24"/>
        </w:rPr>
        <w:t xml:space="preserve"> </w:t>
      </w:r>
      <w:r w:rsidRPr="009B392E">
        <w:rPr>
          <w:rStyle w:val="documentbody1"/>
          <w:rFonts w:ascii="Times New Roman" w:hAnsi="Times New Roman"/>
          <w:color w:val="000000"/>
          <w:sz w:val="24"/>
          <w:szCs w:val="24"/>
        </w:rPr>
        <w:t>of the proposed rule.  The</w:t>
      </w:r>
      <w:r w:rsidR="00596C68">
        <w:rPr>
          <w:rStyle w:val="documentbody1"/>
          <w:rFonts w:ascii="Times New Roman" w:hAnsi="Times New Roman"/>
          <w:color w:val="000000"/>
          <w:sz w:val="24"/>
          <w:szCs w:val="24"/>
        </w:rPr>
        <w:t xml:space="preserve"> </w:t>
      </w:r>
      <w:r w:rsidR="00722162">
        <w:rPr>
          <w:rStyle w:val="documentbody1"/>
          <w:rFonts w:ascii="Times New Roman" w:hAnsi="Times New Roman"/>
          <w:color w:val="000000"/>
          <w:sz w:val="24"/>
          <w:szCs w:val="24"/>
        </w:rPr>
        <w:t>proposed</w:t>
      </w:r>
      <w:r w:rsidR="00596C68">
        <w:rPr>
          <w:rStyle w:val="documentbody1"/>
          <w:rFonts w:ascii="Times New Roman" w:hAnsi="Times New Roman"/>
          <w:color w:val="000000"/>
          <w:sz w:val="24"/>
          <w:szCs w:val="24"/>
        </w:rPr>
        <w:t xml:space="preserve"> rule</w:t>
      </w:r>
      <w:r w:rsidRPr="009B392E">
        <w:rPr>
          <w:rStyle w:val="documentbody1"/>
          <w:rFonts w:ascii="Times New Roman" w:hAnsi="Times New Roman"/>
          <w:color w:val="000000"/>
          <w:sz w:val="24"/>
          <w:szCs w:val="24"/>
        </w:rPr>
        <w:t xml:space="preserve"> will</w:t>
      </w:r>
      <w:r w:rsidRPr="009B392E">
        <w:rPr>
          <w:szCs w:val="24"/>
        </w:rPr>
        <w:t xml:space="preserve"> enhance risk sensitivity and introduce requirements for </w:t>
      </w:r>
      <w:r w:rsidR="00596C68">
        <w:rPr>
          <w:szCs w:val="24"/>
        </w:rPr>
        <w:t xml:space="preserve">the </w:t>
      </w:r>
      <w:r w:rsidRPr="009B392E">
        <w:rPr>
          <w:szCs w:val="24"/>
        </w:rPr>
        <w:t>public disclosure of certain qualitative and quantitative information about a bank’s or bank holding compan</w:t>
      </w:r>
      <w:r w:rsidR="00596C68">
        <w:rPr>
          <w:szCs w:val="24"/>
        </w:rPr>
        <w:t>y’s</w:t>
      </w:r>
      <w:r w:rsidRPr="009B392E">
        <w:rPr>
          <w:szCs w:val="24"/>
        </w:rPr>
        <w:t xml:space="preserve"> market risk. The collection of information is necessary to ensure capital adequacy according to the level of market risk.</w:t>
      </w:r>
    </w:p>
    <w:p w:rsidR="001630CF" w:rsidRPr="009B392E" w:rsidRDefault="001630CF" w:rsidP="007B1355">
      <w:pPr>
        <w:ind w:right="713" w:firstLine="720"/>
        <w:rPr>
          <w:rStyle w:val="documentbody1"/>
          <w:rFonts w:ascii="Times New Roman" w:hAnsi="Times New Roman"/>
          <w:sz w:val="24"/>
          <w:szCs w:val="24"/>
        </w:rPr>
      </w:pPr>
    </w:p>
    <w:p w:rsidR="00100372" w:rsidRDefault="00100372" w:rsidP="007B1355">
      <w:pPr>
        <w:pStyle w:val="BodyText"/>
        <w:tabs>
          <w:tab w:val="left" w:pos="0"/>
        </w:tabs>
        <w:ind w:right="713"/>
        <w:rPr>
          <w:rStyle w:val="documentbody1"/>
          <w:rFonts w:ascii="Times New Roman" w:hAnsi="Times New Roman"/>
          <w:i w:val="0"/>
          <w:color w:val="000000"/>
          <w:sz w:val="24"/>
          <w:szCs w:val="24"/>
        </w:rPr>
      </w:pPr>
      <w:r w:rsidRPr="009B392E">
        <w:rPr>
          <w:rStyle w:val="documentbody1"/>
          <w:rFonts w:ascii="Times New Roman" w:hAnsi="Times New Roman"/>
          <w:b/>
          <w:i w:val="0"/>
          <w:color w:val="000000"/>
          <w:sz w:val="24"/>
          <w:szCs w:val="24"/>
        </w:rPr>
        <w:tab/>
      </w:r>
      <w:r w:rsidRPr="009B392E">
        <w:rPr>
          <w:rStyle w:val="documentbody1"/>
          <w:rFonts w:ascii="Times New Roman" w:hAnsi="Times New Roman"/>
          <w:i w:val="0"/>
          <w:color w:val="000000"/>
          <w:sz w:val="24"/>
          <w:szCs w:val="24"/>
        </w:rPr>
        <w:t xml:space="preserve">Section 3 sets forth the requirements for applying the market risk framework.  Section 3(a)(1) requires </w:t>
      </w:r>
      <w:r w:rsidR="00DD240D">
        <w:rPr>
          <w:rStyle w:val="documentbody1"/>
          <w:rFonts w:ascii="Times New Roman" w:hAnsi="Times New Roman"/>
          <w:i w:val="0"/>
          <w:color w:val="000000"/>
          <w:sz w:val="24"/>
          <w:szCs w:val="24"/>
        </w:rPr>
        <w:t>banks</w:t>
      </w:r>
      <w:r w:rsidR="00596C68">
        <w:rPr>
          <w:rStyle w:val="documentbody1"/>
          <w:rFonts w:ascii="Times New Roman" w:hAnsi="Times New Roman"/>
          <w:i w:val="0"/>
          <w:color w:val="000000"/>
          <w:sz w:val="24"/>
          <w:szCs w:val="24"/>
        </w:rPr>
        <w:t xml:space="preserve"> to have </w:t>
      </w:r>
      <w:r w:rsidRPr="009B392E">
        <w:rPr>
          <w:rStyle w:val="documentbody1"/>
          <w:rFonts w:ascii="Times New Roman" w:hAnsi="Times New Roman"/>
          <w:i w:val="0"/>
          <w:color w:val="000000"/>
          <w:sz w:val="24"/>
          <w:szCs w:val="24"/>
        </w:rPr>
        <w:t>clearly defined policies and procedures for determining which trading assets and trading liabilities are trading positions and specifies</w:t>
      </w:r>
      <w:r w:rsidR="00565380">
        <w:rPr>
          <w:rStyle w:val="documentbody1"/>
          <w:rFonts w:ascii="Times New Roman" w:hAnsi="Times New Roman"/>
          <w:i w:val="0"/>
          <w:color w:val="000000"/>
          <w:sz w:val="24"/>
          <w:szCs w:val="24"/>
        </w:rPr>
        <w:t xml:space="preserve"> </w:t>
      </w:r>
      <w:r w:rsidR="00722162">
        <w:rPr>
          <w:rStyle w:val="documentbody1"/>
          <w:rFonts w:ascii="Times New Roman" w:hAnsi="Times New Roman"/>
          <w:i w:val="0"/>
          <w:color w:val="000000"/>
          <w:sz w:val="24"/>
          <w:szCs w:val="24"/>
        </w:rPr>
        <w:t xml:space="preserve">the </w:t>
      </w:r>
      <w:r w:rsidR="00565380">
        <w:rPr>
          <w:rStyle w:val="documentbody1"/>
          <w:rFonts w:ascii="Times New Roman" w:hAnsi="Times New Roman"/>
          <w:i w:val="0"/>
          <w:color w:val="000000"/>
          <w:sz w:val="24"/>
          <w:szCs w:val="24"/>
        </w:rPr>
        <w:t xml:space="preserve">issues </w:t>
      </w:r>
      <w:r w:rsidR="00DD240D">
        <w:rPr>
          <w:rStyle w:val="documentbody1"/>
          <w:rFonts w:ascii="Times New Roman" w:hAnsi="Times New Roman"/>
          <w:i w:val="0"/>
          <w:color w:val="000000"/>
          <w:sz w:val="24"/>
          <w:szCs w:val="24"/>
        </w:rPr>
        <w:t>banks</w:t>
      </w:r>
      <w:r w:rsidR="00596C68">
        <w:rPr>
          <w:rStyle w:val="documentbody1"/>
          <w:rFonts w:ascii="Times New Roman" w:hAnsi="Times New Roman"/>
          <w:i w:val="0"/>
          <w:color w:val="000000"/>
          <w:sz w:val="24"/>
          <w:szCs w:val="24"/>
        </w:rPr>
        <w:t xml:space="preserve"> must take into account in drafting those policies and procedures</w:t>
      </w:r>
      <w:r w:rsidRPr="009B392E">
        <w:rPr>
          <w:rStyle w:val="documentbody1"/>
          <w:rFonts w:ascii="Times New Roman" w:hAnsi="Times New Roman"/>
          <w:i w:val="0"/>
          <w:color w:val="000000"/>
          <w:sz w:val="24"/>
          <w:szCs w:val="24"/>
        </w:rPr>
        <w:t xml:space="preserve">.  Section 3(a)(2) requires </w:t>
      </w:r>
      <w:r w:rsidR="00DD240D">
        <w:rPr>
          <w:rStyle w:val="documentbody1"/>
          <w:rFonts w:ascii="Times New Roman" w:hAnsi="Times New Roman"/>
          <w:i w:val="0"/>
          <w:color w:val="000000"/>
          <w:sz w:val="24"/>
          <w:szCs w:val="24"/>
        </w:rPr>
        <w:t>bank</w:t>
      </w:r>
      <w:r w:rsidR="00565380">
        <w:rPr>
          <w:rStyle w:val="documentbody1"/>
          <w:rFonts w:ascii="Times New Roman" w:hAnsi="Times New Roman"/>
          <w:i w:val="0"/>
          <w:color w:val="000000"/>
          <w:sz w:val="24"/>
          <w:szCs w:val="24"/>
        </w:rPr>
        <w:t xml:space="preserve">s </w:t>
      </w:r>
      <w:r w:rsidR="00596C68">
        <w:rPr>
          <w:rStyle w:val="documentbody1"/>
          <w:rFonts w:ascii="Times New Roman" w:hAnsi="Times New Roman"/>
          <w:i w:val="0"/>
          <w:color w:val="000000"/>
          <w:sz w:val="24"/>
          <w:szCs w:val="24"/>
        </w:rPr>
        <w:t xml:space="preserve">to have </w:t>
      </w:r>
      <w:r w:rsidRPr="009B392E">
        <w:rPr>
          <w:rStyle w:val="documentbody1"/>
          <w:rFonts w:ascii="Times New Roman" w:hAnsi="Times New Roman"/>
          <w:i w:val="0"/>
          <w:color w:val="000000"/>
          <w:sz w:val="24"/>
          <w:szCs w:val="24"/>
        </w:rPr>
        <w:t xml:space="preserve">a clearly defined trading and hedging strategy for trading positions </w:t>
      </w:r>
      <w:r w:rsidR="00FB7513">
        <w:rPr>
          <w:rStyle w:val="documentbody1"/>
          <w:rFonts w:ascii="Times New Roman" w:hAnsi="Times New Roman"/>
          <w:i w:val="0"/>
          <w:color w:val="000000"/>
          <w:sz w:val="24"/>
          <w:szCs w:val="24"/>
        </w:rPr>
        <w:t xml:space="preserve">that is </w:t>
      </w:r>
      <w:r w:rsidRPr="009B392E">
        <w:rPr>
          <w:rStyle w:val="documentbody1"/>
          <w:rFonts w:ascii="Times New Roman" w:hAnsi="Times New Roman"/>
          <w:i w:val="0"/>
          <w:color w:val="000000"/>
          <w:sz w:val="24"/>
          <w:szCs w:val="24"/>
        </w:rPr>
        <w:t xml:space="preserve">approved by senior management and </w:t>
      </w:r>
      <w:r w:rsidR="00FB7513">
        <w:rPr>
          <w:rStyle w:val="documentbody1"/>
          <w:rFonts w:ascii="Times New Roman" w:hAnsi="Times New Roman"/>
          <w:i w:val="0"/>
          <w:color w:val="000000"/>
          <w:sz w:val="24"/>
          <w:szCs w:val="24"/>
        </w:rPr>
        <w:t xml:space="preserve">that </w:t>
      </w:r>
      <w:r w:rsidRPr="009B392E">
        <w:rPr>
          <w:rStyle w:val="documentbody1"/>
          <w:rFonts w:ascii="Times New Roman" w:hAnsi="Times New Roman"/>
          <w:i w:val="0"/>
          <w:color w:val="000000"/>
          <w:sz w:val="24"/>
          <w:szCs w:val="24"/>
        </w:rPr>
        <w:t xml:space="preserve">specifies what </w:t>
      </w:r>
      <w:r w:rsidR="00596C68">
        <w:rPr>
          <w:rStyle w:val="documentbody1"/>
          <w:rFonts w:ascii="Times New Roman" w:hAnsi="Times New Roman"/>
          <w:i w:val="0"/>
          <w:color w:val="000000"/>
          <w:sz w:val="24"/>
          <w:szCs w:val="24"/>
        </w:rPr>
        <w:t xml:space="preserve">each </w:t>
      </w:r>
      <w:r w:rsidRPr="009B392E">
        <w:rPr>
          <w:rStyle w:val="documentbody1"/>
          <w:rFonts w:ascii="Times New Roman" w:hAnsi="Times New Roman"/>
          <w:i w:val="0"/>
          <w:color w:val="000000"/>
          <w:sz w:val="24"/>
          <w:szCs w:val="24"/>
        </w:rPr>
        <w:t xml:space="preserve">strategy must articulate.  Section 3(b)(1) requires </w:t>
      </w:r>
      <w:r w:rsidR="00DD240D">
        <w:rPr>
          <w:rStyle w:val="documentbody1"/>
          <w:rFonts w:ascii="Times New Roman" w:hAnsi="Times New Roman"/>
          <w:i w:val="0"/>
          <w:color w:val="000000"/>
          <w:sz w:val="24"/>
          <w:szCs w:val="24"/>
        </w:rPr>
        <w:t>bank</w:t>
      </w:r>
      <w:r w:rsidR="00565380">
        <w:rPr>
          <w:rStyle w:val="documentbody1"/>
          <w:rFonts w:ascii="Times New Roman" w:hAnsi="Times New Roman"/>
          <w:i w:val="0"/>
          <w:color w:val="000000"/>
          <w:sz w:val="24"/>
          <w:szCs w:val="24"/>
        </w:rPr>
        <w:t>s</w:t>
      </w:r>
      <w:r w:rsidR="00596C68">
        <w:rPr>
          <w:rStyle w:val="documentbody1"/>
          <w:rFonts w:ascii="Times New Roman" w:hAnsi="Times New Roman"/>
          <w:i w:val="0"/>
          <w:color w:val="000000"/>
          <w:sz w:val="24"/>
          <w:szCs w:val="24"/>
        </w:rPr>
        <w:t xml:space="preserve"> to have </w:t>
      </w:r>
      <w:r w:rsidRPr="009B392E">
        <w:rPr>
          <w:rStyle w:val="documentbody1"/>
          <w:rFonts w:ascii="Times New Roman" w:hAnsi="Times New Roman"/>
          <w:i w:val="0"/>
          <w:color w:val="000000"/>
          <w:sz w:val="24"/>
          <w:szCs w:val="24"/>
        </w:rPr>
        <w:t>clearly defined policies and procedures for actively managing all covered positions and specifies the minimum require</w:t>
      </w:r>
      <w:r w:rsidR="00596C68">
        <w:rPr>
          <w:rStyle w:val="documentbody1"/>
          <w:rFonts w:ascii="Times New Roman" w:hAnsi="Times New Roman"/>
          <w:i w:val="0"/>
          <w:color w:val="000000"/>
          <w:sz w:val="24"/>
          <w:szCs w:val="24"/>
        </w:rPr>
        <w:t>ments for those policies and procedures</w:t>
      </w:r>
      <w:r w:rsidRPr="009B392E">
        <w:rPr>
          <w:rStyle w:val="documentbody1"/>
          <w:rFonts w:ascii="Times New Roman" w:hAnsi="Times New Roman"/>
          <w:i w:val="0"/>
          <w:color w:val="000000"/>
          <w:sz w:val="24"/>
          <w:szCs w:val="24"/>
        </w:rPr>
        <w:t xml:space="preserve">.  Sections 3(c)(4) through 3(c)(10) require the annual review of internal models and </w:t>
      </w:r>
      <w:r w:rsidR="00722162">
        <w:rPr>
          <w:rStyle w:val="documentbody1"/>
          <w:rFonts w:ascii="Times New Roman" w:hAnsi="Times New Roman"/>
          <w:i w:val="0"/>
          <w:color w:val="000000"/>
          <w:sz w:val="24"/>
          <w:szCs w:val="24"/>
        </w:rPr>
        <w:t>specify</w:t>
      </w:r>
      <w:r w:rsidR="00FB7513">
        <w:rPr>
          <w:rStyle w:val="documentbody1"/>
          <w:rFonts w:ascii="Times New Roman" w:hAnsi="Times New Roman"/>
          <w:i w:val="0"/>
          <w:color w:val="000000"/>
          <w:sz w:val="24"/>
          <w:szCs w:val="24"/>
        </w:rPr>
        <w:t xml:space="preserve"> </w:t>
      </w:r>
      <w:r w:rsidRPr="009B392E">
        <w:rPr>
          <w:rStyle w:val="documentbody1"/>
          <w:rFonts w:ascii="Times New Roman" w:hAnsi="Times New Roman"/>
          <w:i w:val="0"/>
          <w:color w:val="000000"/>
          <w:sz w:val="24"/>
          <w:szCs w:val="24"/>
        </w:rPr>
        <w:t xml:space="preserve">certain requirements </w:t>
      </w:r>
      <w:r w:rsidR="00422CAC">
        <w:rPr>
          <w:rStyle w:val="documentbody1"/>
          <w:rFonts w:ascii="Times New Roman" w:hAnsi="Times New Roman"/>
          <w:i w:val="0"/>
          <w:color w:val="000000"/>
          <w:sz w:val="24"/>
          <w:szCs w:val="24"/>
        </w:rPr>
        <w:t>for those</w:t>
      </w:r>
      <w:r w:rsidRPr="009B392E">
        <w:rPr>
          <w:rStyle w:val="documentbody1"/>
          <w:rFonts w:ascii="Times New Roman" w:hAnsi="Times New Roman"/>
          <w:i w:val="0"/>
          <w:color w:val="000000"/>
          <w:sz w:val="24"/>
          <w:szCs w:val="24"/>
        </w:rPr>
        <w:t xml:space="preserve"> model</w:t>
      </w:r>
      <w:r w:rsidR="00422CAC">
        <w:rPr>
          <w:rStyle w:val="documentbody1"/>
          <w:rFonts w:ascii="Times New Roman" w:hAnsi="Times New Roman"/>
          <w:i w:val="0"/>
          <w:color w:val="000000"/>
          <w:sz w:val="24"/>
          <w:szCs w:val="24"/>
        </w:rPr>
        <w:t>s</w:t>
      </w:r>
      <w:r w:rsidRPr="009B392E">
        <w:rPr>
          <w:rStyle w:val="documentbody1"/>
          <w:rFonts w:ascii="Times New Roman" w:hAnsi="Times New Roman"/>
          <w:i w:val="0"/>
          <w:color w:val="000000"/>
          <w:sz w:val="24"/>
          <w:szCs w:val="24"/>
        </w:rPr>
        <w:t xml:space="preserve">.  Section 3(d) requires </w:t>
      </w:r>
      <w:r w:rsidR="00422CAC">
        <w:rPr>
          <w:rStyle w:val="documentbody1"/>
          <w:rFonts w:ascii="Times New Roman" w:hAnsi="Times New Roman"/>
          <w:i w:val="0"/>
          <w:color w:val="000000"/>
          <w:sz w:val="24"/>
          <w:szCs w:val="24"/>
        </w:rPr>
        <w:t xml:space="preserve">the bank’s internal audit group to prepare </w:t>
      </w:r>
      <w:r w:rsidRPr="009B392E">
        <w:rPr>
          <w:rStyle w:val="documentbody1"/>
          <w:rFonts w:ascii="Times New Roman" w:hAnsi="Times New Roman"/>
          <w:i w:val="0"/>
          <w:color w:val="000000"/>
          <w:sz w:val="24"/>
          <w:szCs w:val="24"/>
        </w:rPr>
        <w:t xml:space="preserve">an annual report to the board of directors on the effectiveness of controls supporting </w:t>
      </w:r>
      <w:r w:rsidR="00596C68">
        <w:rPr>
          <w:rStyle w:val="documentbody1"/>
          <w:rFonts w:ascii="Times New Roman" w:hAnsi="Times New Roman"/>
          <w:i w:val="0"/>
          <w:color w:val="000000"/>
          <w:sz w:val="24"/>
          <w:szCs w:val="24"/>
        </w:rPr>
        <w:t xml:space="preserve">the </w:t>
      </w:r>
      <w:r w:rsidRPr="009B392E">
        <w:rPr>
          <w:rStyle w:val="documentbody1"/>
          <w:rFonts w:ascii="Times New Roman" w:hAnsi="Times New Roman"/>
          <w:i w:val="0"/>
          <w:color w:val="000000"/>
          <w:sz w:val="24"/>
          <w:szCs w:val="24"/>
        </w:rPr>
        <w:t xml:space="preserve">market risk measurement systems.  </w:t>
      </w:r>
    </w:p>
    <w:p w:rsidR="001630CF" w:rsidRPr="009B392E" w:rsidRDefault="001630CF" w:rsidP="007B1355">
      <w:pPr>
        <w:pStyle w:val="BodyText"/>
        <w:tabs>
          <w:tab w:val="left" w:pos="0"/>
        </w:tabs>
        <w:ind w:right="713"/>
        <w:rPr>
          <w:rStyle w:val="documentbody1"/>
          <w:rFonts w:ascii="Times New Roman" w:hAnsi="Times New Roman"/>
          <w:i w:val="0"/>
          <w:color w:val="000000"/>
          <w:sz w:val="24"/>
          <w:szCs w:val="24"/>
        </w:rPr>
      </w:pPr>
    </w:p>
    <w:p w:rsidR="00100372" w:rsidRDefault="00100372" w:rsidP="007B1355">
      <w:pPr>
        <w:pStyle w:val="BodyText"/>
        <w:tabs>
          <w:tab w:val="left" w:pos="0"/>
        </w:tabs>
        <w:ind w:right="713"/>
        <w:rPr>
          <w:rStyle w:val="documentbody1"/>
          <w:rFonts w:ascii="Times New Roman" w:hAnsi="Times New Roman"/>
          <w:i w:val="0"/>
          <w:color w:val="000000"/>
          <w:sz w:val="24"/>
          <w:szCs w:val="24"/>
        </w:rPr>
      </w:pPr>
      <w:r w:rsidRPr="009B392E">
        <w:rPr>
          <w:rStyle w:val="documentbody1"/>
          <w:rFonts w:ascii="Times New Roman" w:hAnsi="Times New Roman"/>
          <w:i w:val="0"/>
          <w:color w:val="000000"/>
          <w:sz w:val="24"/>
          <w:szCs w:val="24"/>
        </w:rPr>
        <w:lastRenderedPageBreak/>
        <w:tab/>
        <w:t>Section 4(</w:t>
      </w:r>
      <w:r w:rsidR="00422CAC">
        <w:rPr>
          <w:rStyle w:val="documentbody1"/>
          <w:rFonts w:ascii="Times New Roman" w:hAnsi="Times New Roman"/>
          <w:i w:val="0"/>
          <w:color w:val="000000"/>
          <w:sz w:val="24"/>
          <w:szCs w:val="24"/>
        </w:rPr>
        <w:t>b</w:t>
      </w:r>
      <w:r w:rsidRPr="009B392E">
        <w:rPr>
          <w:rStyle w:val="documentbody1"/>
          <w:rFonts w:ascii="Times New Roman" w:hAnsi="Times New Roman"/>
          <w:i w:val="0"/>
          <w:color w:val="000000"/>
          <w:sz w:val="24"/>
          <w:szCs w:val="24"/>
        </w:rPr>
        <w:t>) requires quarterly backtesting.  Section 5(a)</w:t>
      </w:r>
      <w:r w:rsidR="00347BB9">
        <w:rPr>
          <w:rStyle w:val="documentbody1"/>
          <w:rFonts w:ascii="Times New Roman" w:hAnsi="Times New Roman"/>
          <w:i w:val="0"/>
          <w:color w:val="000000"/>
          <w:sz w:val="24"/>
          <w:szCs w:val="24"/>
        </w:rPr>
        <w:t>(5)</w:t>
      </w:r>
      <w:r w:rsidRPr="009B392E">
        <w:rPr>
          <w:rStyle w:val="documentbody1"/>
          <w:rFonts w:ascii="Times New Roman" w:hAnsi="Times New Roman"/>
          <w:i w:val="0"/>
          <w:color w:val="000000"/>
          <w:sz w:val="24"/>
          <w:szCs w:val="24"/>
        </w:rPr>
        <w:t xml:space="preserve"> requires institutions to demonstrate to the agencies the appropriateness of proxies used to capture risks within value-at- risk models.  Section 5(c) requires institutions to </w:t>
      </w:r>
      <w:r w:rsidR="00565380">
        <w:rPr>
          <w:rStyle w:val="documentbody1"/>
          <w:rFonts w:ascii="Times New Roman" w:hAnsi="Times New Roman"/>
          <w:i w:val="0"/>
          <w:color w:val="000000"/>
          <w:sz w:val="24"/>
          <w:szCs w:val="24"/>
        </w:rPr>
        <w:t xml:space="preserve">develop, </w:t>
      </w:r>
      <w:r w:rsidRPr="009B392E">
        <w:rPr>
          <w:rStyle w:val="documentbody1"/>
          <w:rFonts w:ascii="Times New Roman" w:hAnsi="Times New Roman"/>
          <w:i w:val="0"/>
          <w:color w:val="000000"/>
          <w:sz w:val="24"/>
          <w:szCs w:val="24"/>
        </w:rPr>
        <w:t>retain</w:t>
      </w:r>
      <w:r w:rsidR="00565380">
        <w:rPr>
          <w:rStyle w:val="documentbody1"/>
          <w:rFonts w:ascii="Times New Roman" w:hAnsi="Times New Roman"/>
          <w:i w:val="0"/>
          <w:color w:val="000000"/>
          <w:sz w:val="24"/>
          <w:szCs w:val="24"/>
        </w:rPr>
        <w:t>,</w:t>
      </w:r>
      <w:r w:rsidRPr="009B392E">
        <w:rPr>
          <w:rStyle w:val="documentbody1"/>
          <w:rFonts w:ascii="Times New Roman" w:hAnsi="Times New Roman"/>
          <w:i w:val="0"/>
          <w:color w:val="000000"/>
          <w:sz w:val="24"/>
          <w:szCs w:val="24"/>
        </w:rPr>
        <w:t xml:space="preserve"> </w:t>
      </w:r>
      <w:r w:rsidR="00565380">
        <w:rPr>
          <w:rStyle w:val="documentbody1"/>
          <w:rFonts w:ascii="Times New Roman" w:hAnsi="Times New Roman"/>
          <w:i w:val="0"/>
          <w:color w:val="000000"/>
          <w:sz w:val="24"/>
          <w:szCs w:val="24"/>
        </w:rPr>
        <w:t xml:space="preserve">and make available to the agencies </w:t>
      </w:r>
      <w:r w:rsidRPr="009B392E">
        <w:rPr>
          <w:rStyle w:val="documentbody1"/>
          <w:rFonts w:ascii="Times New Roman" w:hAnsi="Times New Roman"/>
          <w:i w:val="0"/>
          <w:color w:val="000000"/>
          <w:sz w:val="24"/>
          <w:szCs w:val="24"/>
        </w:rPr>
        <w:t>value-at-risk and profit and loss information on subportfolios for two years.  Section 6(b)</w:t>
      </w:r>
      <w:r w:rsidR="00ED6EE0">
        <w:rPr>
          <w:rStyle w:val="documentbody1"/>
          <w:rFonts w:ascii="Times New Roman" w:hAnsi="Times New Roman"/>
          <w:i w:val="0"/>
          <w:color w:val="000000"/>
          <w:sz w:val="24"/>
          <w:szCs w:val="24"/>
        </w:rPr>
        <w:t>(3)</w:t>
      </w:r>
      <w:r w:rsidRPr="009B392E">
        <w:rPr>
          <w:rStyle w:val="documentbody1"/>
          <w:rFonts w:ascii="Times New Roman" w:hAnsi="Times New Roman"/>
          <w:i w:val="0"/>
          <w:color w:val="000000"/>
          <w:sz w:val="24"/>
          <w:szCs w:val="24"/>
        </w:rPr>
        <w:t xml:space="preserve"> requires </w:t>
      </w:r>
      <w:r w:rsidR="00DD240D">
        <w:rPr>
          <w:rStyle w:val="documentbody1"/>
          <w:rFonts w:ascii="Times New Roman" w:hAnsi="Times New Roman"/>
          <w:i w:val="0"/>
          <w:color w:val="000000"/>
          <w:sz w:val="24"/>
          <w:szCs w:val="24"/>
        </w:rPr>
        <w:t>bank</w:t>
      </w:r>
      <w:r w:rsidR="00565380">
        <w:rPr>
          <w:rStyle w:val="documentbody1"/>
          <w:rFonts w:ascii="Times New Roman" w:hAnsi="Times New Roman"/>
          <w:i w:val="0"/>
          <w:color w:val="000000"/>
          <w:sz w:val="24"/>
          <w:szCs w:val="24"/>
        </w:rPr>
        <w:t xml:space="preserve">s to have </w:t>
      </w:r>
      <w:r w:rsidRPr="009B392E">
        <w:rPr>
          <w:rStyle w:val="documentbody1"/>
          <w:rFonts w:ascii="Times New Roman" w:hAnsi="Times New Roman"/>
          <w:i w:val="0"/>
          <w:color w:val="000000"/>
          <w:sz w:val="24"/>
          <w:szCs w:val="24"/>
        </w:rPr>
        <w:t xml:space="preserve">policies and procedures </w:t>
      </w:r>
      <w:r w:rsidR="00A2105F">
        <w:rPr>
          <w:rStyle w:val="documentbody1"/>
          <w:rFonts w:ascii="Times New Roman" w:hAnsi="Times New Roman"/>
          <w:i w:val="0"/>
          <w:color w:val="000000"/>
          <w:sz w:val="24"/>
          <w:szCs w:val="24"/>
        </w:rPr>
        <w:t>that describe how they determine</w:t>
      </w:r>
      <w:r w:rsidR="00565380">
        <w:rPr>
          <w:rStyle w:val="documentbody1"/>
          <w:rFonts w:ascii="Times New Roman" w:hAnsi="Times New Roman"/>
          <w:i w:val="0"/>
          <w:color w:val="000000"/>
          <w:sz w:val="24"/>
          <w:szCs w:val="24"/>
        </w:rPr>
        <w:t xml:space="preserve"> the period of significant financial stress used to calculate the institution’s</w:t>
      </w:r>
      <w:r w:rsidRPr="009B392E">
        <w:rPr>
          <w:rStyle w:val="documentbody1"/>
          <w:rFonts w:ascii="Times New Roman" w:hAnsi="Times New Roman"/>
          <w:i w:val="0"/>
          <w:color w:val="000000"/>
          <w:sz w:val="24"/>
          <w:szCs w:val="24"/>
        </w:rPr>
        <w:t xml:space="preserve"> stressed value-at-risk models and </w:t>
      </w:r>
      <w:r w:rsidR="00ED6EE0">
        <w:rPr>
          <w:rStyle w:val="documentbody1"/>
          <w:rFonts w:ascii="Times New Roman" w:hAnsi="Times New Roman"/>
          <w:i w:val="0"/>
          <w:color w:val="000000"/>
          <w:sz w:val="24"/>
          <w:szCs w:val="24"/>
        </w:rPr>
        <w:t xml:space="preserve">also requires </w:t>
      </w:r>
      <w:r w:rsidR="00565380">
        <w:rPr>
          <w:rStyle w:val="documentbody1"/>
          <w:rFonts w:ascii="Times New Roman" w:hAnsi="Times New Roman"/>
          <w:i w:val="0"/>
          <w:color w:val="000000"/>
          <w:sz w:val="24"/>
          <w:szCs w:val="24"/>
        </w:rPr>
        <w:t xml:space="preserve">institutions </w:t>
      </w:r>
      <w:r w:rsidR="00ED6EE0">
        <w:rPr>
          <w:rStyle w:val="documentbody1"/>
          <w:rFonts w:ascii="Times New Roman" w:hAnsi="Times New Roman"/>
          <w:i w:val="0"/>
          <w:color w:val="000000"/>
          <w:sz w:val="24"/>
          <w:szCs w:val="24"/>
        </w:rPr>
        <w:t xml:space="preserve">to </w:t>
      </w:r>
      <w:r w:rsidR="00565380">
        <w:rPr>
          <w:rStyle w:val="documentbody1"/>
          <w:rFonts w:ascii="Times New Roman" w:hAnsi="Times New Roman"/>
          <w:i w:val="0"/>
          <w:color w:val="000000"/>
          <w:sz w:val="24"/>
          <w:szCs w:val="24"/>
        </w:rPr>
        <w:t xml:space="preserve">obtain the </w:t>
      </w:r>
      <w:r w:rsidRPr="009B392E">
        <w:rPr>
          <w:rStyle w:val="documentbody1"/>
          <w:rFonts w:ascii="Times New Roman" w:hAnsi="Times New Roman"/>
          <w:i w:val="0"/>
          <w:color w:val="000000"/>
          <w:sz w:val="24"/>
          <w:szCs w:val="24"/>
        </w:rPr>
        <w:t>prior approval</w:t>
      </w:r>
      <w:r w:rsidR="00565380">
        <w:rPr>
          <w:rStyle w:val="documentbody1"/>
          <w:rFonts w:ascii="Times New Roman" w:hAnsi="Times New Roman"/>
          <w:i w:val="0"/>
          <w:color w:val="000000"/>
          <w:sz w:val="24"/>
          <w:szCs w:val="24"/>
        </w:rPr>
        <w:t xml:space="preserve"> </w:t>
      </w:r>
      <w:r w:rsidR="00AB4340">
        <w:rPr>
          <w:rStyle w:val="documentbody1"/>
          <w:rFonts w:ascii="Times New Roman" w:hAnsi="Times New Roman"/>
          <w:i w:val="0"/>
          <w:color w:val="000000"/>
          <w:sz w:val="24"/>
          <w:szCs w:val="24"/>
        </w:rPr>
        <w:t xml:space="preserve">of the agencies </w:t>
      </w:r>
      <w:r w:rsidR="00565380">
        <w:rPr>
          <w:rStyle w:val="documentbody1"/>
          <w:rFonts w:ascii="Times New Roman" w:hAnsi="Times New Roman"/>
          <w:i w:val="0"/>
          <w:color w:val="000000"/>
          <w:sz w:val="24"/>
          <w:szCs w:val="24"/>
        </w:rPr>
        <w:t>fo</w:t>
      </w:r>
      <w:r w:rsidR="00AB4340">
        <w:rPr>
          <w:rStyle w:val="documentbody1"/>
          <w:rFonts w:ascii="Times New Roman" w:hAnsi="Times New Roman"/>
          <w:i w:val="0"/>
          <w:color w:val="000000"/>
          <w:sz w:val="24"/>
          <w:szCs w:val="24"/>
        </w:rPr>
        <w:t xml:space="preserve">r </w:t>
      </w:r>
      <w:r w:rsidR="00565380">
        <w:rPr>
          <w:rStyle w:val="documentbody1"/>
          <w:rFonts w:ascii="Times New Roman" w:hAnsi="Times New Roman"/>
          <w:i w:val="0"/>
          <w:color w:val="000000"/>
          <w:sz w:val="24"/>
          <w:szCs w:val="24"/>
        </w:rPr>
        <w:t>any material changes to these policies and procedures.</w:t>
      </w:r>
      <w:r w:rsidRPr="009B392E">
        <w:rPr>
          <w:rStyle w:val="documentbody1"/>
          <w:rFonts w:ascii="Times New Roman" w:hAnsi="Times New Roman"/>
          <w:i w:val="0"/>
          <w:color w:val="000000"/>
          <w:sz w:val="24"/>
          <w:szCs w:val="24"/>
        </w:rPr>
        <w:t xml:space="preserve">  </w:t>
      </w:r>
    </w:p>
    <w:p w:rsidR="000227BF" w:rsidRDefault="000227BF" w:rsidP="007B1355">
      <w:pPr>
        <w:pStyle w:val="BodyText"/>
        <w:tabs>
          <w:tab w:val="left" w:pos="0"/>
        </w:tabs>
        <w:ind w:right="713"/>
        <w:rPr>
          <w:rStyle w:val="documentbody1"/>
          <w:rFonts w:ascii="Times New Roman" w:hAnsi="Times New Roman"/>
          <w:i w:val="0"/>
          <w:color w:val="000000"/>
          <w:sz w:val="24"/>
          <w:szCs w:val="24"/>
        </w:rPr>
      </w:pPr>
    </w:p>
    <w:p w:rsidR="000227BF" w:rsidRDefault="000227BF" w:rsidP="000D2639">
      <w:pPr>
        <w:pStyle w:val="BodyText"/>
        <w:tabs>
          <w:tab w:val="left" w:pos="0"/>
        </w:tabs>
        <w:rPr>
          <w:rStyle w:val="documentbody1"/>
          <w:rFonts w:ascii="Times New Roman" w:hAnsi="Times New Roman"/>
          <w:i w:val="0"/>
          <w:color w:val="000000"/>
          <w:sz w:val="24"/>
          <w:szCs w:val="24"/>
        </w:rPr>
      </w:pPr>
      <w:r>
        <w:t xml:space="preserve">         </w:t>
      </w:r>
      <w:r w:rsidRPr="000A0232">
        <w:rPr>
          <w:i w:val="0"/>
          <w:szCs w:val="24"/>
        </w:rPr>
        <w:t xml:space="preserve">   </w:t>
      </w:r>
      <w:r w:rsidR="000A0232" w:rsidRPr="000A0232">
        <w:rPr>
          <w:rStyle w:val="documentbody1"/>
          <w:rFonts w:ascii="Times New Roman" w:hAnsi="Times New Roman"/>
          <w:i w:val="0"/>
          <w:color w:val="000000"/>
          <w:sz w:val="24"/>
          <w:szCs w:val="24"/>
        </w:rPr>
        <w:t>Section 7(b)(1)</w:t>
      </w:r>
      <w:r w:rsidR="00AB4340">
        <w:rPr>
          <w:rStyle w:val="documentbody1"/>
          <w:rFonts w:ascii="Times New Roman" w:hAnsi="Times New Roman"/>
          <w:i w:val="0"/>
          <w:color w:val="000000"/>
          <w:sz w:val="24"/>
          <w:szCs w:val="24"/>
        </w:rPr>
        <w:t xml:space="preserve"> details the requirements for the modeling of specific risks.</w:t>
      </w:r>
      <w:r w:rsidR="000A0232" w:rsidRPr="000A0232">
        <w:rPr>
          <w:rStyle w:val="documentbody1"/>
          <w:rFonts w:ascii="Times New Roman" w:hAnsi="Times New Roman"/>
          <w:i w:val="0"/>
          <w:color w:val="000000"/>
          <w:sz w:val="24"/>
          <w:szCs w:val="24"/>
        </w:rPr>
        <w:t xml:space="preserve"> </w:t>
      </w:r>
      <w:r w:rsidR="00AB4340">
        <w:rPr>
          <w:rStyle w:val="documentbody1"/>
          <w:rFonts w:ascii="Times New Roman" w:hAnsi="Times New Roman"/>
          <w:i w:val="0"/>
          <w:color w:val="000000"/>
          <w:sz w:val="24"/>
          <w:szCs w:val="24"/>
        </w:rPr>
        <w:t xml:space="preserve"> </w:t>
      </w:r>
      <w:r w:rsidR="00347BB9">
        <w:rPr>
          <w:rStyle w:val="documentbody1"/>
          <w:rFonts w:ascii="Times New Roman" w:hAnsi="Times New Roman"/>
          <w:i w:val="0"/>
          <w:color w:val="000000"/>
          <w:sz w:val="24"/>
          <w:szCs w:val="24"/>
        </w:rPr>
        <w:t>Section 8</w:t>
      </w:r>
      <w:r w:rsidR="000A0232" w:rsidRPr="000A0232">
        <w:rPr>
          <w:rStyle w:val="documentbody1"/>
          <w:rFonts w:ascii="Times New Roman" w:hAnsi="Times New Roman"/>
          <w:i w:val="0"/>
          <w:color w:val="000000"/>
          <w:sz w:val="24"/>
          <w:szCs w:val="24"/>
        </w:rPr>
        <w:t xml:space="preserve"> require</w:t>
      </w:r>
      <w:r w:rsidR="00347BB9">
        <w:rPr>
          <w:rStyle w:val="documentbody1"/>
          <w:rFonts w:ascii="Times New Roman" w:hAnsi="Times New Roman"/>
          <w:i w:val="0"/>
          <w:color w:val="000000"/>
          <w:sz w:val="24"/>
          <w:szCs w:val="24"/>
        </w:rPr>
        <w:t>s</w:t>
      </w:r>
      <w:r w:rsidR="000A0232" w:rsidRPr="000A0232">
        <w:rPr>
          <w:rStyle w:val="documentbody1"/>
          <w:rFonts w:ascii="Times New Roman" w:hAnsi="Times New Roman"/>
          <w:i w:val="0"/>
          <w:color w:val="000000"/>
          <w:sz w:val="24"/>
          <w:szCs w:val="24"/>
        </w:rPr>
        <w:t xml:space="preserve"> prior written approvals for incremental risk.  Section 9(a) requires prior approval for </w:t>
      </w:r>
      <w:r w:rsidR="00B52FEE">
        <w:rPr>
          <w:rStyle w:val="documentbody1"/>
          <w:rFonts w:ascii="Times New Roman" w:hAnsi="Times New Roman"/>
          <w:i w:val="0"/>
          <w:color w:val="000000"/>
          <w:sz w:val="24"/>
          <w:szCs w:val="24"/>
        </w:rPr>
        <w:t xml:space="preserve">the use of a </w:t>
      </w:r>
      <w:r w:rsidR="000A0232" w:rsidRPr="000A0232">
        <w:rPr>
          <w:rStyle w:val="documentbody1"/>
          <w:rFonts w:ascii="Times New Roman" w:hAnsi="Times New Roman"/>
          <w:i w:val="0"/>
          <w:color w:val="000000"/>
          <w:sz w:val="24"/>
          <w:szCs w:val="24"/>
        </w:rPr>
        <w:t>comprehensive risk</w:t>
      </w:r>
      <w:r w:rsidR="00B52FEE">
        <w:rPr>
          <w:rStyle w:val="documentbody1"/>
          <w:rFonts w:ascii="Times New Roman" w:hAnsi="Times New Roman"/>
          <w:i w:val="0"/>
          <w:color w:val="000000"/>
          <w:sz w:val="24"/>
          <w:szCs w:val="24"/>
        </w:rPr>
        <w:t xml:space="preserve"> measure</w:t>
      </w:r>
      <w:r w:rsidR="000A0232" w:rsidRPr="000A0232">
        <w:rPr>
          <w:rStyle w:val="documentbody1"/>
          <w:rFonts w:ascii="Times New Roman" w:hAnsi="Times New Roman"/>
          <w:i w:val="0"/>
          <w:color w:val="000000"/>
          <w:sz w:val="24"/>
          <w:szCs w:val="24"/>
        </w:rPr>
        <w:t xml:space="preserve">.  Section 9(c)(2) requires </w:t>
      </w:r>
      <w:r w:rsidR="00B52FEE">
        <w:rPr>
          <w:rStyle w:val="documentbody1"/>
          <w:rFonts w:ascii="Times New Roman" w:hAnsi="Times New Roman"/>
          <w:i w:val="0"/>
          <w:color w:val="000000"/>
          <w:sz w:val="24"/>
          <w:szCs w:val="24"/>
        </w:rPr>
        <w:t xml:space="preserve">banks to retain and </w:t>
      </w:r>
      <w:r w:rsidR="000A0232" w:rsidRPr="000A0232">
        <w:rPr>
          <w:rStyle w:val="documentbody1"/>
          <w:rFonts w:ascii="Times New Roman" w:hAnsi="Times New Roman"/>
          <w:i w:val="0"/>
          <w:color w:val="000000"/>
          <w:sz w:val="24"/>
          <w:szCs w:val="24"/>
        </w:rPr>
        <w:t>report the results of supervisory stress testing</w:t>
      </w:r>
      <w:r w:rsidR="006C667A">
        <w:rPr>
          <w:rStyle w:val="documentbody1"/>
          <w:rFonts w:ascii="Times New Roman" w:hAnsi="Times New Roman"/>
          <w:i w:val="0"/>
          <w:color w:val="000000"/>
          <w:sz w:val="24"/>
          <w:szCs w:val="24"/>
        </w:rPr>
        <w:t>.  Section 10</w:t>
      </w:r>
      <w:r w:rsidR="00347BB9">
        <w:rPr>
          <w:rStyle w:val="documentbody1"/>
          <w:rFonts w:ascii="Times New Roman" w:hAnsi="Times New Roman"/>
          <w:i w:val="0"/>
          <w:color w:val="000000"/>
          <w:sz w:val="24"/>
          <w:szCs w:val="24"/>
        </w:rPr>
        <w:t xml:space="preserve">(f)(2)(i) </w:t>
      </w:r>
      <w:r w:rsidR="000A0232" w:rsidRPr="000A0232">
        <w:rPr>
          <w:rStyle w:val="documentbody1"/>
          <w:rFonts w:ascii="Times New Roman" w:hAnsi="Times New Roman"/>
          <w:i w:val="0"/>
          <w:color w:val="000000"/>
          <w:sz w:val="24"/>
          <w:szCs w:val="24"/>
        </w:rPr>
        <w:t xml:space="preserve">requires documentation </w:t>
      </w:r>
      <w:r w:rsidR="000D2639">
        <w:rPr>
          <w:rStyle w:val="documentbody1"/>
          <w:rFonts w:ascii="Times New Roman" w:hAnsi="Times New Roman"/>
          <w:i w:val="0"/>
          <w:color w:val="000000"/>
          <w:sz w:val="24"/>
          <w:szCs w:val="24"/>
        </w:rPr>
        <w:t>the</w:t>
      </w:r>
      <w:r w:rsidR="000A0232" w:rsidRPr="000A0232">
        <w:rPr>
          <w:rStyle w:val="documentbody1"/>
          <w:rFonts w:ascii="Times New Roman" w:hAnsi="Times New Roman"/>
          <w:i w:val="0"/>
          <w:color w:val="000000"/>
          <w:sz w:val="24"/>
          <w:szCs w:val="24"/>
        </w:rPr>
        <w:t xml:space="preserve"> analysis of risk characteristics of each securitization position </w:t>
      </w:r>
      <w:r w:rsidR="000D2639">
        <w:rPr>
          <w:rStyle w:val="documentbody1"/>
          <w:rFonts w:ascii="Times New Roman" w:hAnsi="Times New Roman"/>
          <w:i w:val="0"/>
          <w:color w:val="000000"/>
          <w:sz w:val="24"/>
          <w:szCs w:val="24"/>
        </w:rPr>
        <w:t>held by a bank</w:t>
      </w:r>
      <w:r w:rsidR="000A0232" w:rsidRPr="000A0232">
        <w:rPr>
          <w:rStyle w:val="documentbody1"/>
          <w:rFonts w:ascii="Times New Roman" w:hAnsi="Times New Roman"/>
          <w:i w:val="0"/>
          <w:color w:val="000000"/>
          <w:sz w:val="24"/>
          <w:szCs w:val="24"/>
        </w:rPr>
        <w:t>.  Section 11 requires quarterly quantitative disclosures, annual qualitative disclosures, and a formal disclosure policy approved by the board of directors that addresses the bank’s approach for determining the market risk disclosures it makes.</w:t>
      </w:r>
    </w:p>
    <w:p w:rsidR="001630CF" w:rsidRPr="009B392E" w:rsidRDefault="001630CF" w:rsidP="007B1355">
      <w:pPr>
        <w:pStyle w:val="BodyText"/>
        <w:tabs>
          <w:tab w:val="left" w:pos="0"/>
        </w:tabs>
        <w:ind w:right="713"/>
        <w:rPr>
          <w:i w:val="0"/>
          <w:szCs w:val="24"/>
        </w:rPr>
      </w:pPr>
    </w:p>
    <w:p w:rsidR="00CF4158" w:rsidRDefault="00CF4158" w:rsidP="007B1355">
      <w:pPr>
        <w:ind w:right="713"/>
        <w:rPr>
          <w:b/>
          <w:bCs/>
          <w:i/>
          <w:iCs/>
          <w:szCs w:val="24"/>
        </w:rPr>
      </w:pPr>
      <w:r w:rsidRPr="009B392E">
        <w:rPr>
          <w:b/>
          <w:bCs/>
          <w:i/>
          <w:iCs/>
          <w:szCs w:val="24"/>
        </w:rPr>
        <w:t>3.  Consideration of the use of improved information technology:</w:t>
      </w:r>
    </w:p>
    <w:p w:rsidR="001630CF" w:rsidRPr="00B834A2" w:rsidRDefault="001630CF" w:rsidP="007B1355">
      <w:pPr>
        <w:ind w:right="713"/>
        <w:rPr>
          <w:b/>
          <w:bCs/>
          <w:i/>
          <w:iCs/>
          <w:szCs w:val="24"/>
        </w:rPr>
      </w:pPr>
    </w:p>
    <w:p w:rsidR="00CF4158" w:rsidRPr="00BA5DD2" w:rsidRDefault="00CF4158" w:rsidP="007B1355">
      <w:pPr>
        <w:pStyle w:val="BodyText"/>
        <w:ind w:right="713"/>
        <w:rPr>
          <w:i w:val="0"/>
        </w:rPr>
      </w:pPr>
      <w:r w:rsidRPr="00BA5DD2">
        <w:rPr>
          <w:i w:val="0"/>
        </w:rPr>
        <w:t>National banks may use any information technology that permits review by OCC examiners.</w:t>
      </w:r>
    </w:p>
    <w:p w:rsidR="001630CF" w:rsidRPr="00B834A2" w:rsidRDefault="001630CF" w:rsidP="007B1355">
      <w:pPr>
        <w:pStyle w:val="BodyText"/>
        <w:ind w:right="713"/>
        <w:rPr>
          <w:i w:val="0"/>
          <w:iCs w:val="0"/>
          <w:szCs w:val="24"/>
        </w:rPr>
      </w:pPr>
    </w:p>
    <w:p w:rsidR="00CF4158" w:rsidRDefault="00CF4158" w:rsidP="007B1355">
      <w:pPr>
        <w:ind w:right="713"/>
        <w:rPr>
          <w:b/>
          <w:bCs/>
          <w:i/>
          <w:iCs/>
          <w:szCs w:val="24"/>
        </w:rPr>
      </w:pPr>
      <w:r w:rsidRPr="009B392E">
        <w:rPr>
          <w:b/>
          <w:bCs/>
          <w:i/>
          <w:iCs/>
          <w:szCs w:val="24"/>
        </w:rPr>
        <w:t>4.  Efforts to identify duplication:</w:t>
      </w:r>
    </w:p>
    <w:p w:rsidR="001630CF" w:rsidRPr="009B392E" w:rsidRDefault="001630CF" w:rsidP="007B1355">
      <w:pPr>
        <w:ind w:right="713"/>
        <w:rPr>
          <w:b/>
          <w:bCs/>
          <w:i/>
          <w:iCs/>
          <w:szCs w:val="24"/>
        </w:rPr>
      </w:pPr>
    </w:p>
    <w:p w:rsidR="00CF4158" w:rsidRPr="009B392E" w:rsidRDefault="00CF4158" w:rsidP="007B1355">
      <w:pPr>
        <w:ind w:right="713"/>
        <w:rPr>
          <w:szCs w:val="24"/>
        </w:rPr>
      </w:pPr>
      <w:r w:rsidRPr="009B392E">
        <w:rPr>
          <w:szCs w:val="24"/>
        </w:rPr>
        <w:t>The required information is unique and is not duplicative of any other information already collected.</w:t>
      </w:r>
    </w:p>
    <w:p w:rsidR="00CF4158" w:rsidRPr="009B392E" w:rsidRDefault="00CF4158" w:rsidP="007B1355">
      <w:pPr>
        <w:ind w:right="713"/>
        <w:rPr>
          <w:szCs w:val="24"/>
        </w:rPr>
      </w:pPr>
    </w:p>
    <w:p w:rsidR="00CF4158" w:rsidRDefault="00CF4158" w:rsidP="007B1355">
      <w:pPr>
        <w:pStyle w:val="BodyText"/>
        <w:ind w:right="713"/>
        <w:rPr>
          <w:b/>
        </w:rPr>
      </w:pPr>
      <w:r w:rsidRPr="00B834A2">
        <w:rPr>
          <w:b/>
        </w:rPr>
        <w:t>5.  Methods used to minimize burden if the collection has a significant impact on a substantial number of small entities:</w:t>
      </w:r>
    </w:p>
    <w:p w:rsidR="001630CF" w:rsidRPr="00B834A2" w:rsidRDefault="001630CF" w:rsidP="007B1355">
      <w:pPr>
        <w:pStyle w:val="BodyText"/>
        <w:ind w:right="713"/>
        <w:rPr>
          <w:b/>
          <w:bCs/>
          <w:szCs w:val="24"/>
        </w:rPr>
      </w:pPr>
    </w:p>
    <w:p w:rsidR="00CF4158" w:rsidRDefault="00CF4158" w:rsidP="007B1355">
      <w:pPr>
        <w:ind w:right="713"/>
        <w:rPr>
          <w:szCs w:val="24"/>
        </w:rPr>
      </w:pPr>
      <w:r w:rsidRPr="009B392E">
        <w:rPr>
          <w:szCs w:val="24"/>
        </w:rPr>
        <w:t>Not applicable.  The collection does not have a significant impact on a substantial number of small</w:t>
      </w:r>
      <w:r w:rsidR="00B834A2">
        <w:rPr>
          <w:szCs w:val="24"/>
        </w:rPr>
        <w:t xml:space="preserve"> entities.</w:t>
      </w:r>
    </w:p>
    <w:p w:rsidR="001630CF" w:rsidRPr="009B392E" w:rsidRDefault="001630CF" w:rsidP="007B1355">
      <w:pPr>
        <w:ind w:right="713"/>
        <w:rPr>
          <w:szCs w:val="24"/>
        </w:rPr>
      </w:pPr>
    </w:p>
    <w:p w:rsidR="00CF4158" w:rsidRDefault="00CF4158" w:rsidP="007B1355">
      <w:pPr>
        <w:pStyle w:val="BodyText"/>
        <w:ind w:right="713"/>
        <w:rPr>
          <w:b/>
        </w:rPr>
      </w:pPr>
      <w:r w:rsidRPr="00B834A2">
        <w:rPr>
          <w:b/>
        </w:rPr>
        <w:t>6.  Consequences to the Federal program if the collection were conducted less frequently:</w:t>
      </w:r>
    </w:p>
    <w:p w:rsidR="001630CF" w:rsidRPr="00B834A2" w:rsidRDefault="001630CF" w:rsidP="007B1355">
      <w:pPr>
        <w:pStyle w:val="BodyText"/>
        <w:ind w:right="713"/>
        <w:rPr>
          <w:b/>
          <w:bCs/>
          <w:szCs w:val="24"/>
        </w:rPr>
      </w:pPr>
    </w:p>
    <w:p w:rsidR="00CF4158" w:rsidRDefault="00CF4158" w:rsidP="007B1355">
      <w:pPr>
        <w:ind w:right="713"/>
        <w:rPr>
          <w:szCs w:val="24"/>
        </w:rPr>
      </w:pPr>
      <w:r w:rsidRPr="009B392E">
        <w:rPr>
          <w:szCs w:val="24"/>
        </w:rPr>
        <w:t>The OCC will not be able to adequately monitor capital levels and ensure safety and soundness.</w:t>
      </w:r>
    </w:p>
    <w:p w:rsidR="001630CF" w:rsidRPr="009B392E" w:rsidRDefault="001630CF" w:rsidP="007B1355">
      <w:pPr>
        <w:ind w:right="713"/>
        <w:rPr>
          <w:szCs w:val="24"/>
        </w:rPr>
      </w:pPr>
    </w:p>
    <w:p w:rsidR="00CF4158" w:rsidRDefault="00CF4158" w:rsidP="007B1355">
      <w:pPr>
        <w:pStyle w:val="BodyText"/>
        <w:ind w:right="713"/>
        <w:rPr>
          <w:b/>
        </w:rPr>
      </w:pPr>
      <w:r w:rsidRPr="00B834A2">
        <w:rPr>
          <w:b/>
        </w:rPr>
        <w:t>7.  Special circumstances that would cause an information collection to be conducted in a manner inconsistent with 5 CFR Part 1320:</w:t>
      </w:r>
    </w:p>
    <w:p w:rsidR="001630CF" w:rsidRPr="00B834A2" w:rsidRDefault="001630CF" w:rsidP="007B1355">
      <w:pPr>
        <w:pStyle w:val="BodyText"/>
        <w:ind w:right="713"/>
        <w:rPr>
          <w:b/>
          <w:bCs/>
          <w:szCs w:val="24"/>
        </w:rPr>
      </w:pPr>
    </w:p>
    <w:p w:rsidR="007C16DE" w:rsidRDefault="00CF4158" w:rsidP="007B1355">
      <w:pPr>
        <w:ind w:right="713"/>
      </w:pPr>
      <w:r w:rsidRPr="009B392E">
        <w:t>The information collection will be conducted in a manner consistent with 5 CFR Part 1320.</w:t>
      </w:r>
    </w:p>
    <w:p w:rsidR="001630CF" w:rsidRPr="00B834A2" w:rsidRDefault="001630CF" w:rsidP="007B1355">
      <w:pPr>
        <w:ind w:right="713"/>
        <w:rPr>
          <w:b/>
          <w:bCs/>
          <w:szCs w:val="24"/>
        </w:rPr>
      </w:pPr>
    </w:p>
    <w:p w:rsidR="001630CF" w:rsidRDefault="00CF4158" w:rsidP="007B1355">
      <w:pPr>
        <w:pStyle w:val="BodyText"/>
        <w:ind w:right="713"/>
        <w:rPr>
          <w:b/>
        </w:rPr>
      </w:pPr>
      <w:r w:rsidRPr="00B834A2">
        <w:rPr>
          <w:b/>
        </w:rPr>
        <w:t xml:space="preserve">8.  Efforts to consult with persons outside the agency: </w:t>
      </w:r>
    </w:p>
    <w:p w:rsidR="00CF4158" w:rsidRPr="00B834A2" w:rsidRDefault="00CF4158" w:rsidP="007B1355">
      <w:pPr>
        <w:pStyle w:val="BodyText"/>
        <w:ind w:right="713"/>
        <w:rPr>
          <w:b/>
          <w:i w:val="0"/>
          <w:iCs w:val="0"/>
          <w:szCs w:val="24"/>
        </w:rPr>
      </w:pPr>
      <w:r w:rsidRPr="00B834A2">
        <w:rPr>
          <w:b/>
        </w:rPr>
        <w:t xml:space="preserve"> </w:t>
      </w:r>
    </w:p>
    <w:p w:rsidR="00CF4158" w:rsidRDefault="00CF4158" w:rsidP="007B1355">
      <w:pPr>
        <w:pStyle w:val="Footer"/>
        <w:tabs>
          <w:tab w:val="clear" w:pos="4320"/>
          <w:tab w:val="clear" w:pos="8640"/>
        </w:tabs>
        <w:autoSpaceDE w:val="0"/>
        <w:autoSpaceDN w:val="0"/>
        <w:adjustRightInd w:val="0"/>
        <w:ind w:right="713"/>
      </w:pPr>
      <w:r w:rsidRPr="009B392E">
        <w:t xml:space="preserve">The </w:t>
      </w:r>
      <w:r w:rsidR="00751DA4" w:rsidRPr="009B392E">
        <w:t xml:space="preserve">information collection requirements contained in </w:t>
      </w:r>
      <w:r w:rsidR="00FB6048">
        <w:t>this rule were issued for 90 days of comment (76 FR 1890 (January 11, 2011)).  No comments were received.</w:t>
      </w:r>
    </w:p>
    <w:p w:rsidR="001630CF" w:rsidRPr="00B834A2" w:rsidRDefault="001630CF" w:rsidP="007B1355">
      <w:pPr>
        <w:pStyle w:val="Footer"/>
        <w:tabs>
          <w:tab w:val="clear" w:pos="4320"/>
          <w:tab w:val="clear" w:pos="8640"/>
        </w:tabs>
        <w:autoSpaceDE w:val="0"/>
        <w:autoSpaceDN w:val="0"/>
        <w:adjustRightInd w:val="0"/>
        <w:ind w:right="713"/>
        <w:rPr>
          <w:i/>
          <w:iCs/>
          <w:szCs w:val="24"/>
        </w:rPr>
      </w:pPr>
    </w:p>
    <w:p w:rsidR="00CF4158" w:rsidRDefault="00CF4158" w:rsidP="007B1355">
      <w:pPr>
        <w:pStyle w:val="BodyText"/>
        <w:ind w:right="713"/>
        <w:rPr>
          <w:b/>
        </w:rPr>
      </w:pPr>
      <w:r w:rsidRPr="00B834A2">
        <w:rPr>
          <w:b/>
        </w:rPr>
        <w:lastRenderedPageBreak/>
        <w:t>9.  Payment or gift to respondents:</w:t>
      </w:r>
    </w:p>
    <w:p w:rsidR="001630CF" w:rsidRPr="00B834A2" w:rsidRDefault="001630CF" w:rsidP="007B1355">
      <w:pPr>
        <w:pStyle w:val="BodyText"/>
        <w:ind w:right="713"/>
        <w:rPr>
          <w:b/>
          <w:bCs/>
          <w:szCs w:val="24"/>
        </w:rPr>
      </w:pPr>
    </w:p>
    <w:p w:rsidR="00CF4158" w:rsidRDefault="00CF4158" w:rsidP="007B1355">
      <w:pPr>
        <w:ind w:right="713"/>
        <w:rPr>
          <w:szCs w:val="24"/>
        </w:rPr>
      </w:pPr>
      <w:r w:rsidRPr="009B392E">
        <w:rPr>
          <w:szCs w:val="24"/>
        </w:rPr>
        <w:t>None.</w:t>
      </w:r>
    </w:p>
    <w:p w:rsidR="001630CF" w:rsidRPr="009B392E" w:rsidRDefault="001630CF" w:rsidP="007B1355">
      <w:pPr>
        <w:ind w:right="713"/>
        <w:rPr>
          <w:szCs w:val="24"/>
        </w:rPr>
      </w:pPr>
    </w:p>
    <w:p w:rsidR="00CF4158" w:rsidRDefault="00CF4158" w:rsidP="007B1355">
      <w:pPr>
        <w:pStyle w:val="BodyText"/>
        <w:ind w:right="713"/>
        <w:rPr>
          <w:b/>
        </w:rPr>
      </w:pPr>
      <w:r w:rsidRPr="00B834A2">
        <w:rPr>
          <w:b/>
        </w:rPr>
        <w:t>10.  Any assurance of confidentiality:</w:t>
      </w:r>
    </w:p>
    <w:p w:rsidR="001630CF" w:rsidRPr="00B834A2" w:rsidRDefault="001630CF" w:rsidP="007B1355">
      <w:pPr>
        <w:pStyle w:val="BodyText"/>
        <w:ind w:right="713"/>
        <w:rPr>
          <w:b/>
          <w:bCs/>
          <w:szCs w:val="24"/>
        </w:rPr>
      </w:pPr>
    </w:p>
    <w:p w:rsidR="00D76AC8" w:rsidRPr="00D76AC8" w:rsidRDefault="00D76AC8" w:rsidP="00D76AC8">
      <w:pPr>
        <w:rPr>
          <w:szCs w:val="24"/>
        </w:rPr>
      </w:pPr>
      <w:r w:rsidRPr="00D76AC8">
        <w:rPr>
          <w:szCs w:val="24"/>
        </w:rPr>
        <w:t>The information will be kept private to the extent permissible by law.</w:t>
      </w:r>
    </w:p>
    <w:p w:rsidR="001630CF" w:rsidRPr="009B392E" w:rsidRDefault="001630CF" w:rsidP="007B1355">
      <w:pPr>
        <w:ind w:right="713"/>
        <w:rPr>
          <w:szCs w:val="24"/>
        </w:rPr>
      </w:pPr>
    </w:p>
    <w:p w:rsidR="00CF4158" w:rsidRDefault="00CF4158" w:rsidP="007B1355">
      <w:pPr>
        <w:pStyle w:val="BodyText"/>
        <w:ind w:right="713"/>
        <w:rPr>
          <w:b/>
        </w:rPr>
      </w:pPr>
      <w:r w:rsidRPr="00B834A2">
        <w:rPr>
          <w:b/>
        </w:rPr>
        <w:t>11.  Justification for questions of a sensitive nature:</w:t>
      </w:r>
    </w:p>
    <w:p w:rsidR="001630CF" w:rsidRPr="00B834A2" w:rsidRDefault="001630CF" w:rsidP="007B1355">
      <w:pPr>
        <w:pStyle w:val="BodyText"/>
        <w:ind w:right="713"/>
        <w:rPr>
          <w:b/>
          <w:bCs/>
          <w:szCs w:val="24"/>
        </w:rPr>
      </w:pPr>
    </w:p>
    <w:p w:rsidR="00987F88" w:rsidRDefault="00CF4158" w:rsidP="007B1355">
      <w:pPr>
        <w:ind w:right="713"/>
      </w:pPr>
      <w:r w:rsidRPr="009B392E">
        <w:t>There are no questions of a sensitive nature.</w:t>
      </w:r>
    </w:p>
    <w:p w:rsidR="001630CF" w:rsidRPr="00B834A2" w:rsidRDefault="001630CF" w:rsidP="007B1355">
      <w:pPr>
        <w:ind w:right="713"/>
        <w:rPr>
          <w:szCs w:val="24"/>
        </w:rPr>
      </w:pPr>
    </w:p>
    <w:p w:rsidR="00CF4158" w:rsidRDefault="00CF4158" w:rsidP="007B1355">
      <w:pPr>
        <w:pStyle w:val="BodyText"/>
        <w:ind w:right="713"/>
        <w:rPr>
          <w:b/>
          <w:bCs/>
          <w:szCs w:val="24"/>
        </w:rPr>
      </w:pPr>
      <w:r w:rsidRPr="009B392E">
        <w:rPr>
          <w:b/>
          <w:bCs/>
          <w:szCs w:val="24"/>
        </w:rPr>
        <w:t>12.  Burden estimate:</w:t>
      </w:r>
    </w:p>
    <w:p w:rsidR="001630CF" w:rsidRPr="009B392E" w:rsidRDefault="001630CF" w:rsidP="007B1355">
      <w:pPr>
        <w:pStyle w:val="BodyText"/>
        <w:ind w:right="713"/>
        <w:rPr>
          <w:b/>
          <w:bCs/>
          <w:szCs w:val="24"/>
        </w:rPr>
      </w:pPr>
    </w:p>
    <w:p w:rsidR="00B834A2" w:rsidRDefault="009B392E" w:rsidP="007B1355">
      <w:pPr>
        <w:ind w:right="713"/>
        <w:rPr>
          <w:rStyle w:val="documentbody1"/>
          <w:rFonts w:ascii="Times New Roman" w:hAnsi="Times New Roman"/>
          <w:color w:val="000000"/>
          <w:sz w:val="24"/>
          <w:szCs w:val="24"/>
        </w:rPr>
      </w:pPr>
      <w:r w:rsidRPr="009B392E">
        <w:rPr>
          <w:rStyle w:val="documentbody1"/>
          <w:rFonts w:ascii="Times New Roman" w:hAnsi="Times New Roman"/>
          <w:color w:val="000000"/>
          <w:sz w:val="24"/>
          <w:szCs w:val="24"/>
        </w:rPr>
        <w:t>Number of Respondents:  15</w:t>
      </w:r>
      <w:r w:rsidRPr="009B392E">
        <w:br/>
      </w:r>
      <w:r w:rsidRPr="009B392E">
        <w:rPr>
          <w:rStyle w:val="documentbody1"/>
          <w:rFonts w:ascii="Times New Roman" w:hAnsi="Times New Roman"/>
          <w:color w:val="000000"/>
          <w:sz w:val="24"/>
          <w:szCs w:val="24"/>
        </w:rPr>
        <w:t>Estimated Burden Per Respond</w:t>
      </w:r>
      <w:r w:rsidR="0024270B">
        <w:rPr>
          <w:rStyle w:val="documentbody1"/>
          <w:rFonts w:ascii="Times New Roman" w:hAnsi="Times New Roman"/>
          <w:color w:val="000000"/>
          <w:sz w:val="24"/>
          <w:szCs w:val="24"/>
        </w:rPr>
        <w:t xml:space="preserve">ent:  </w:t>
      </w:r>
      <w:r w:rsidR="00F20CBD">
        <w:rPr>
          <w:rStyle w:val="documentbody1"/>
          <w:rFonts w:ascii="Times New Roman" w:hAnsi="Times New Roman"/>
          <w:color w:val="000000"/>
          <w:sz w:val="24"/>
          <w:szCs w:val="24"/>
        </w:rPr>
        <w:t>1,964</w:t>
      </w:r>
      <w:r w:rsidRPr="009B392E">
        <w:rPr>
          <w:rStyle w:val="documentbody1"/>
          <w:rFonts w:ascii="Times New Roman" w:hAnsi="Times New Roman"/>
          <w:color w:val="000000"/>
          <w:sz w:val="24"/>
          <w:szCs w:val="24"/>
        </w:rPr>
        <w:t xml:space="preserve"> hours</w:t>
      </w:r>
    </w:p>
    <w:p w:rsidR="00CF4158" w:rsidRDefault="009B392E" w:rsidP="007B1355">
      <w:pPr>
        <w:ind w:right="713"/>
        <w:rPr>
          <w:rStyle w:val="documentbody1"/>
          <w:rFonts w:ascii="Times New Roman" w:hAnsi="Times New Roman"/>
          <w:color w:val="000000"/>
          <w:sz w:val="24"/>
          <w:szCs w:val="24"/>
        </w:rPr>
      </w:pPr>
      <w:r w:rsidRPr="009B392E">
        <w:rPr>
          <w:rStyle w:val="documentbody1"/>
          <w:rFonts w:ascii="Times New Roman" w:hAnsi="Times New Roman"/>
          <w:color w:val="000000"/>
          <w:sz w:val="24"/>
          <w:szCs w:val="24"/>
        </w:rPr>
        <w:t xml:space="preserve">Total Estimated Annual Burden:  </w:t>
      </w:r>
      <w:r w:rsidR="00F20CBD">
        <w:rPr>
          <w:rStyle w:val="documentbody1"/>
          <w:rFonts w:ascii="Times New Roman" w:hAnsi="Times New Roman"/>
          <w:color w:val="000000"/>
          <w:sz w:val="24"/>
          <w:szCs w:val="24"/>
        </w:rPr>
        <w:t>29,460</w:t>
      </w:r>
      <w:r w:rsidRPr="009B392E">
        <w:rPr>
          <w:rStyle w:val="documentbody1"/>
          <w:rFonts w:ascii="Times New Roman" w:hAnsi="Times New Roman"/>
          <w:color w:val="000000"/>
          <w:sz w:val="24"/>
          <w:szCs w:val="24"/>
        </w:rPr>
        <w:t xml:space="preserve"> hours</w:t>
      </w:r>
    </w:p>
    <w:p w:rsidR="001630CF" w:rsidRPr="00B834A2" w:rsidRDefault="001630CF" w:rsidP="007B1355">
      <w:pPr>
        <w:ind w:right="713"/>
        <w:rPr>
          <w:rStyle w:val="a"/>
          <w:color w:val="000000"/>
          <w:szCs w:val="24"/>
        </w:rPr>
      </w:pPr>
    </w:p>
    <w:p w:rsidR="00CF4158" w:rsidRDefault="00CF4158" w:rsidP="007B1355">
      <w:pPr>
        <w:ind w:right="713"/>
        <w:rPr>
          <w:b/>
          <w:bCs/>
          <w:i/>
          <w:iCs/>
          <w:szCs w:val="24"/>
        </w:rPr>
      </w:pPr>
      <w:r w:rsidRPr="009B392E">
        <w:rPr>
          <w:b/>
          <w:bCs/>
          <w:i/>
          <w:iCs/>
          <w:szCs w:val="24"/>
        </w:rPr>
        <w:t>Cost of Hour Burden to Respondents:</w:t>
      </w:r>
    </w:p>
    <w:p w:rsidR="001630CF" w:rsidRPr="00B834A2" w:rsidRDefault="001630CF" w:rsidP="007B1355">
      <w:pPr>
        <w:ind w:right="713"/>
        <w:rPr>
          <w:b/>
          <w:bCs/>
          <w:i/>
          <w:iCs/>
          <w:szCs w:val="24"/>
        </w:rPr>
      </w:pPr>
    </w:p>
    <w:p w:rsidR="00CF4158" w:rsidRDefault="00CF4158" w:rsidP="007B1355">
      <w:pPr>
        <w:ind w:right="713"/>
        <w:rPr>
          <w:szCs w:val="24"/>
        </w:rPr>
      </w:pPr>
      <w:r w:rsidRPr="009B392E">
        <w:rPr>
          <w:szCs w:val="24"/>
        </w:rPr>
        <w:t>The OCC estimates the cost of the hour burden to respondents as follows:</w:t>
      </w:r>
    </w:p>
    <w:p w:rsidR="001630CF" w:rsidRPr="00B834A2" w:rsidRDefault="001630CF" w:rsidP="007B1355">
      <w:pPr>
        <w:ind w:right="713"/>
        <w:rPr>
          <w:szCs w:val="24"/>
        </w:rPr>
      </w:pPr>
    </w:p>
    <w:p w:rsidR="00CF4158" w:rsidRDefault="00197230" w:rsidP="007B1355">
      <w:pPr>
        <w:pStyle w:val="Footer"/>
        <w:tabs>
          <w:tab w:val="clear" w:pos="4320"/>
          <w:tab w:val="clear" w:pos="8640"/>
        </w:tabs>
        <w:ind w:right="713"/>
        <w:rPr>
          <w:szCs w:val="24"/>
        </w:rPr>
      </w:pPr>
      <w:r>
        <w:rPr>
          <w:rStyle w:val="documentbody1"/>
          <w:rFonts w:ascii="Times New Roman" w:hAnsi="Times New Roman"/>
          <w:color w:val="000000"/>
          <w:sz w:val="24"/>
          <w:szCs w:val="24"/>
        </w:rPr>
        <w:t>33,060</w:t>
      </w:r>
      <w:r w:rsidR="00CF4158" w:rsidRPr="009B392E">
        <w:rPr>
          <w:rStyle w:val="a"/>
          <w:szCs w:val="24"/>
        </w:rPr>
        <w:t xml:space="preserve"> </w:t>
      </w:r>
      <w:r w:rsidR="00823DD3" w:rsidRPr="009B392E">
        <w:rPr>
          <w:rStyle w:val="a"/>
          <w:szCs w:val="24"/>
        </w:rPr>
        <w:t xml:space="preserve">hours </w:t>
      </w:r>
      <w:r w:rsidR="00CF4158" w:rsidRPr="009B392E">
        <w:rPr>
          <w:szCs w:val="24"/>
        </w:rPr>
        <w:t xml:space="preserve">x $100/hour (combination </w:t>
      </w:r>
      <w:r>
        <w:rPr>
          <w:szCs w:val="24"/>
        </w:rPr>
        <w:t>of various levels of staff) = $3</w:t>
      </w:r>
      <w:r w:rsidR="00FA401F">
        <w:rPr>
          <w:szCs w:val="24"/>
        </w:rPr>
        <w:t>,</w:t>
      </w:r>
      <w:r>
        <w:rPr>
          <w:szCs w:val="24"/>
        </w:rPr>
        <w:t>306</w:t>
      </w:r>
      <w:r w:rsidR="00FA401F">
        <w:rPr>
          <w:szCs w:val="24"/>
        </w:rPr>
        <w:t>,000</w:t>
      </w:r>
    </w:p>
    <w:p w:rsidR="001630CF" w:rsidRPr="009B392E" w:rsidRDefault="001630CF" w:rsidP="007B1355">
      <w:pPr>
        <w:pStyle w:val="Footer"/>
        <w:tabs>
          <w:tab w:val="clear" w:pos="4320"/>
          <w:tab w:val="clear" w:pos="8640"/>
        </w:tabs>
        <w:ind w:right="713"/>
        <w:rPr>
          <w:szCs w:val="24"/>
        </w:rPr>
      </w:pPr>
    </w:p>
    <w:p w:rsidR="001630CF" w:rsidRDefault="00BA5DD2" w:rsidP="007B1355">
      <w:pPr>
        <w:ind w:right="713"/>
        <w:rPr>
          <w:szCs w:val="24"/>
        </w:rPr>
      </w:pPr>
      <w:r>
        <w:rPr>
          <w:szCs w:val="24"/>
        </w:rPr>
        <w:t>Total Hour Burden Cost:  $</w:t>
      </w:r>
      <w:r w:rsidR="00197230">
        <w:rPr>
          <w:szCs w:val="24"/>
        </w:rPr>
        <w:t>3,306,000</w:t>
      </w:r>
    </w:p>
    <w:p w:rsidR="00CF4158" w:rsidRPr="009B392E" w:rsidRDefault="00CF4158" w:rsidP="007B1355">
      <w:pPr>
        <w:ind w:right="713"/>
        <w:rPr>
          <w:szCs w:val="24"/>
        </w:rPr>
      </w:pPr>
      <w:r w:rsidRPr="009B392E">
        <w:rPr>
          <w:szCs w:val="24"/>
        </w:rPr>
        <w:t xml:space="preserve">                                         </w:t>
      </w:r>
      <w:r w:rsidRPr="009B392E">
        <w:rPr>
          <w:szCs w:val="24"/>
        </w:rPr>
        <w:tab/>
      </w:r>
      <w:r w:rsidRPr="009B392E">
        <w:rPr>
          <w:szCs w:val="24"/>
        </w:rPr>
        <w:tab/>
      </w:r>
      <w:r w:rsidRPr="009B392E">
        <w:rPr>
          <w:szCs w:val="24"/>
        </w:rPr>
        <w:tab/>
      </w:r>
    </w:p>
    <w:p w:rsidR="00CF4158" w:rsidRDefault="00CF4158" w:rsidP="007B1355">
      <w:pPr>
        <w:pStyle w:val="BodyText"/>
        <w:ind w:right="713"/>
        <w:rPr>
          <w:b/>
        </w:rPr>
      </w:pPr>
      <w:r w:rsidRPr="0024270B">
        <w:rPr>
          <w:b/>
        </w:rPr>
        <w:t>13.  Estimate of total annual costs to respondents (excluding cost of hour burden in Item #12):</w:t>
      </w:r>
    </w:p>
    <w:p w:rsidR="001630CF" w:rsidRPr="0024270B" w:rsidRDefault="001630CF" w:rsidP="007B1355">
      <w:pPr>
        <w:pStyle w:val="BodyText"/>
        <w:ind w:right="713"/>
        <w:rPr>
          <w:b/>
          <w:bCs/>
          <w:szCs w:val="24"/>
        </w:rPr>
      </w:pPr>
    </w:p>
    <w:p w:rsidR="00CF4158" w:rsidRDefault="00CF4158" w:rsidP="007B1355">
      <w:pPr>
        <w:ind w:right="713"/>
        <w:rPr>
          <w:szCs w:val="24"/>
        </w:rPr>
      </w:pPr>
      <w:r w:rsidRPr="009B392E">
        <w:rPr>
          <w:szCs w:val="24"/>
        </w:rPr>
        <w:t>Not applicable.</w:t>
      </w:r>
    </w:p>
    <w:p w:rsidR="001630CF" w:rsidRPr="009B392E" w:rsidRDefault="001630CF" w:rsidP="007B1355">
      <w:pPr>
        <w:ind w:right="713"/>
        <w:rPr>
          <w:szCs w:val="24"/>
        </w:rPr>
      </w:pPr>
    </w:p>
    <w:p w:rsidR="00CF4158" w:rsidRDefault="00CF4158" w:rsidP="007B1355">
      <w:pPr>
        <w:pStyle w:val="BodyText"/>
        <w:ind w:right="713"/>
        <w:rPr>
          <w:b/>
        </w:rPr>
      </w:pPr>
      <w:r w:rsidRPr="0024270B">
        <w:rPr>
          <w:b/>
        </w:rPr>
        <w:t>14.  Estimate of annualized costs to the Federal government:</w:t>
      </w:r>
    </w:p>
    <w:p w:rsidR="001630CF" w:rsidRPr="0024270B" w:rsidRDefault="001630CF" w:rsidP="007B1355">
      <w:pPr>
        <w:pStyle w:val="BodyText"/>
        <w:ind w:right="713"/>
        <w:rPr>
          <w:b/>
          <w:bCs/>
          <w:szCs w:val="24"/>
        </w:rPr>
      </w:pPr>
    </w:p>
    <w:p w:rsidR="00CF4158" w:rsidRDefault="00CF4158" w:rsidP="007B1355">
      <w:pPr>
        <w:ind w:right="713"/>
      </w:pPr>
      <w:r w:rsidRPr="009B392E">
        <w:t>Not applicable.</w:t>
      </w:r>
    </w:p>
    <w:p w:rsidR="001630CF" w:rsidRPr="0024270B" w:rsidRDefault="001630CF" w:rsidP="007B1355">
      <w:pPr>
        <w:ind w:right="713"/>
        <w:rPr>
          <w:szCs w:val="24"/>
        </w:rPr>
      </w:pPr>
    </w:p>
    <w:p w:rsidR="00CF4158" w:rsidRPr="001630CF" w:rsidRDefault="00CF4158" w:rsidP="007B1355">
      <w:pPr>
        <w:pStyle w:val="BodyText"/>
        <w:ind w:right="713"/>
        <w:rPr>
          <w:b/>
        </w:rPr>
      </w:pPr>
      <w:r w:rsidRPr="001630CF">
        <w:rPr>
          <w:b/>
        </w:rPr>
        <w:t>15.  Change in burden:</w:t>
      </w:r>
    </w:p>
    <w:p w:rsidR="001630CF" w:rsidRPr="0024270B" w:rsidRDefault="001630CF" w:rsidP="007B1355">
      <w:pPr>
        <w:pStyle w:val="BodyText"/>
        <w:ind w:right="713"/>
        <w:rPr>
          <w:b/>
          <w:bCs/>
          <w:szCs w:val="24"/>
        </w:rPr>
      </w:pPr>
    </w:p>
    <w:p w:rsidR="00CF4158" w:rsidRDefault="00CF4158" w:rsidP="007B1355">
      <w:pPr>
        <w:ind w:right="713"/>
        <w:rPr>
          <w:i/>
          <w:iCs/>
          <w:szCs w:val="24"/>
          <w:u w:val="single"/>
        </w:rPr>
      </w:pPr>
      <w:r w:rsidRPr="009B392E">
        <w:rPr>
          <w:i/>
          <w:iCs/>
          <w:szCs w:val="24"/>
          <w:u w:val="single"/>
        </w:rPr>
        <w:t>Former Burden:</w:t>
      </w:r>
    </w:p>
    <w:p w:rsidR="001630CF" w:rsidRPr="009B392E" w:rsidRDefault="001630CF" w:rsidP="007B1355">
      <w:pPr>
        <w:ind w:right="713"/>
        <w:rPr>
          <w:i/>
          <w:iCs/>
          <w:szCs w:val="24"/>
          <w:u w:val="single"/>
        </w:rPr>
      </w:pPr>
    </w:p>
    <w:p w:rsidR="00CF4158" w:rsidRDefault="00CF4158" w:rsidP="007B1355">
      <w:pPr>
        <w:pStyle w:val="Footer"/>
        <w:tabs>
          <w:tab w:val="clear" w:pos="4320"/>
          <w:tab w:val="clear" w:pos="8640"/>
        </w:tabs>
        <w:ind w:right="713"/>
      </w:pPr>
      <w:r w:rsidRPr="009B392E">
        <w:t>N/A</w:t>
      </w:r>
    </w:p>
    <w:p w:rsidR="001630CF" w:rsidRPr="0024270B" w:rsidRDefault="001630CF" w:rsidP="007B1355">
      <w:pPr>
        <w:pStyle w:val="Footer"/>
        <w:tabs>
          <w:tab w:val="clear" w:pos="4320"/>
          <w:tab w:val="clear" w:pos="8640"/>
        </w:tabs>
        <w:ind w:right="713"/>
        <w:rPr>
          <w:szCs w:val="24"/>
        </w:rPr>
      </w:pPr>
    </w:p>
    <w:p w:rsidR="00CF4158" w:rsidRDefault="00CF4158" w:rsidP="007B1355">
      <w:pPr>
        <w:ind w:right="713"/>
        <w:rPr>
          <w:i/>
          <w:iCs/>
          <w:szCs w:val="24"/>
          <w:u w:val="single"/>
        </w:rPr>
      </w:pPr>
      <w:r w:rsidRPr="009B392E">
        <w:rPr>
          <w:i/>
          <w:iCs/>
          <w:szCs w:val="24"/>
          <w:u w:val="single"/>
        </w:rPr>
        <w:t>New Burden:</w:t>
      </w:r>
    </w:p>
    <w:p w:rsidR="001630CF" w:rsidRPr="009B392E" w:rsidRDefault="001630CF" w:rsidP="007B1355">
      <w:pPr>
        <w:ind w:right="713"/>
        <w:rPr>
          <w:szCs w:val="24"/>
        </w:rPr>
      </w:pPr>
    </w:p>
    <w:p w:rsidR="00CF4158" w:rsidRDefault="00F76935" w:rsidP="007B1355">
      <w:pPr>
        <w:ind w:right="713"/>
        <w:rPr>
          <w:szCs w:val="24"/>
        </w:rPr>
      </w:pPr>
      <w:r>
        <w:rPr>
          <w:szCs w:val="24"/>
        </w:rPr>
        <w:t>15</w:t>
      </w:r>
      <w:r w:rsidR="00CF4158" w:rsidRPr="009B392E">
        <w:rPr>
          <w:szCs w:val="24"/>
        </w:rPr>
        <w:t xml:space="preserve"> respondents; </w:t>
      </w:r>
      <w:r w:rsidR="00197230">
        <w:rPr>
          <w:szCs w:val="24"/>
        </w:rPr>
        <w:t>2,204</w:t>
      </w:r>
      <w:r w:rsidR="00CF4158" w:rsidRPr="009B392E">
        <w:rPr>
          <w:szCs w:val="24"/>
        </w:rPr>
        <w:t xml:space="preserve"> b</w:t>
      </w:r>
      <w:r w:rsidR="00CF4158" w:rsidRPr="009B392E">
        <w:rPr>
          <w:rStyle w:val="a"/>
          <w:szCs w:val="24"/>
        </w:rPr>
        <w:t>urden hours per respondent</w:t>
      </w:r>
      <w:r w:rsidR="00CF4158" w:rsidRPr="009B392E">
        <w:rPr>
          <w:szCs w:val="24"/>
        </w:rPr>
        <w:t xml:space="preserve">; </w:t>
      </w:r>
      <w:r w:rsidR="00197230">
        <w:rPr>
          <w:szCs w:val="24"/>
        </w:rPr>
        <w:t>33,060</w:t>
      </w:r>
      <w:r w:rsidR="00125298" w:rsidRPr="009B392E">
        <w:rPr>
          <w:szCs w:val="24"/>
        </w:rPr>
        <w:t xml:space="preserve"> </w:t>
      </w:r>
      <w:r w:rsidR="00CF4158" w:rsidRPr="009B392E">
        <w:rPr>
          <w:szCs w:val="24"/>
        </w:rPr>
        <w:t>burden hours</w:t>
      </w:r>
    </w:p>
    <w:p w:rsidR="001630CF" w:rsidRPr="009B392E" w:rsidRDefault="001630CF" w:rsidP="007B1355">
      <w:pPr>
        <w:ind w:right="713"/>
        <w:rPr>
          <w:szCs w:val="24"/>
        </w:rPr>
      </w:pPr>
    </w:p>
    <w:p w:rsidR="00CF4158" w:rsidRDefault="00CF4158" w:rsidP="007B1355">
      <w:pPr>
        <w:ind w:right="713"/>
        <w:rPr>
          <w:i/>
          <w:iCs/>
          <w:szCs w:val="24"/>
          <w:u w:val="single"/>
        </w:rPr>
      </w:pPr>
      <w:r w:rsidRPr="009B392E">
        <w:rPr>
          <w:i/>
          <w:iCs/>
          <w:szCs w:val="24"/>
          <w:u w:val="single"/>
        </w:rPr>
        <w:t>Difference:</w:t>
      </w:r>
    </w:p>
    <w:p w:rsidR="001630CF" w:rsidRPr="009B392E" w:rsidRDefault="001630CF" w:rsidP="007B1355">
      <w:pPr>
        <w:ind w:right="713"/>
        <w:rPr>
          <w:szCs w:val="24"/>
        </w:rPr>
      </w:pPr>
    </w:p>
    <w:p w:rsidR="00CF4158" w:rsidRDefault="00CF4158" w:rsidP="007B1355">
      <w:pPr>
        <w:ind w:right="713"/>
        <w:rPr>
          <w:szCs w:val="24"/>
        </w:rPr>
      </w:pPr>
      <w:r w:rsidRPr="009B392E">
        <w:rPr>
          <w:szCs w:val="24"/>
        </w:rPr>
        <w:lastRenderedPageBreak/>
        <w:t>The program change (increase) is due to the fact that this is a new collection.</w:t>
      </w:r>
    </w:p>
    <w:p w:rsidR="001630CF" w:rsidRPr="009B392E" w:rsidRDefault="001630CF" w:rsidP="007B1355">
      <w:pPr>
        <w:ind w:right="713"/>
        <w:rPr>
          <w:szCs w:val="24"/>
        </w:rPr>
      </w:pPr>
    </w:p>
    <w:p w:rsidR="00CF4158" w:rsidRDefault="00CF4158" w:rsidP="007B1355">
      <w:pPr>
        <w:pStyle w:val="BodyText"/>
        <w:ind w:right="713"/>
        <w:rPr>
          <w:b/>
        </w:rPr>
      </w:pPr>
      <w:r w:rsidRPr="00F76935">
        <w:rPr>
          <w:b/>
        </w:rPr>
        <w:t>16.  Information regarding collections whose results are to be published for statistical use:</w:t>
      </w:r>
    </w:p>
    <w:p w:rsidR="001630CF" w:rsidRPr="00F76935" w:rsidRDefault="001630CF" w:rsidP="007B1355">
      <w:pPr>
        <w:pStyle w:val="BodyText"/>
        <w:ind w:right="713"/>
        <w:rPr>
          <w:b/>
          <w:bCs/>
          <w:szCs w:val="24"/>
        </w:rPr>
      </w:pPr>
    </w:p>
    <w:p w:rsidR="00CF4158" w:rsidRDefault="00CF4158" w:rsidP="007B1355">
      <w:pPr>
        <w:ind w:right="713"/>
        <w:rPr>
          <w:szCs w:val="24"/>
        </w:rPr>
      </w:pPr>
      <w:r w:rsidRPr="009B392E">
        <w:rPr>
          <w:szCs w:val="24"/>
        </w:rPr>
        <w:t>The OCC has no plans to publish the information for statistical purposes.</w:t>
      </w:r>
    </w:p>
    <w:p w:rsidR="001630CF" w:rsidRPr="009B392E" w:rsidRDefault="001630CF" w:rsidP="007B1355">
      <w:pPr>
        <w:ind w:right="713"/>
        <w:rPr>
          <w:szCs w:val="24"/>
        </w:rPr>
      </w:pPr>
    </w:p>
    <w:p w:rsidR="00CF4158" w:rsidRDefault="00CF4158" w:rsidP="007B1355">
      <w:pPr>
        <w:pStyle w:val="BodyText"/>
        <w:ind w:right="713"/>
        <w:rPr>
          <w:b/>
        </w:rPr>
      </w:pPr>
      <w:r w:rsidRPr="00F76935">
        <w:rPr>
          <w:b/>
        </w:rPr>
        <w:t>17.  Reasons for not displaying OMB approval expiration date:</w:t>
      </w:r>
    </w:p>
    <w:p w:rsidR="001630CF" w:rsidRPr="00F76935" w:rsidRDefault="001630CF" w:rsidP="007B1355">
      <w:pPr>
        <w:pStyle w:val="BodyText"/>
        <w:ind w:right="713"/>
        <w:rPr>
          <w:b/>
          <w:bCs/>
          <w:szCs w:val="24"/>
        </w:rPr>
      </w:pPr>
    </w:p>
    <w:p w:rsidR="00CF4158" w:rsidRDefault="00CF4158" w:rsidP="007B1355">
      <w:pPr>
        <w:ind w:right="713"/>
        <w:rPr>
          <w:szCs w:val="24"/>
        </w:rPr>
      </w:pPr>
      <w:r w:rsidRPr="009B392E">
        <w:rPr>
          <w:szCs w:val="24"/>
        </w:rPr>
        <w:t>The OCC is not requesting permission to not display the OMB approval expiration date.</w:t>
      </w:r>
    </w:p>
    <w:p w:rsidR="001630CF" w:rsidRPr="009B392E" w:rsidRDefault="001630CF" w:rsidP="007B1355">
      <w:pPr>
        <w:ind w:right="713"/>
        <w:rPr>
          <w:szCs w:val="24"/>
        </w:rPr>
      </w:pPr>
    </w:p>
    <w:p w:rsidR="00CF4158" w:rsidRDefault="00CF4158" w:rsidP="007B1355">
      <w:pPr>
        <w:pStyle w:val="BodyText"/>
        <w:ind w:right="713"/>
        <w:rPr>
          <w:b/>
        </w:rPr>
      </w:pPr>
      <w:r w:rsidRPr="001630CF">
        <w:rPr>
          <w:b/>
        </w:rPr>
        <w:t>18.  Exceptions to the certification statement in Item 19 of OMB Form 83-I:</w:t>
      </w:r>
    </w:p>
    <w:p w:rsidR="001630CF" w:rsidRPr="001630CF" w:rsidRDefault="001630CF" w:rsidP="007B1355">
      <w:pPr>
        <w:pStyle w:val="BodyText"/>
        <w:ind w:right="713"/>
        <w:rPr>
          <w:b/>
          <w:bCs/>
          <w:szCs w:val="24"/>
        </w:rPr>
      </w:pPr>
    </w:p>
    <w:p w:rsidR="00CF4158" w:rsidRPr="009B392E" w:rsidRDefault="00CF4158" w:rsidP="007B1355">
      <w:pPr>
        <w:ind w:right="713"/>
        <w:rPr>
          <w:szCs w:val="24"/>
        </w:rPr>
      </w:pPr>
      <w:r w:rsidRPr="009B392E">
        <w:rPr>
          <w:szCs w:val="24"/>
        </w:rPr>
        <w:t>None.</w:t>
      </w:r>
    </w:p>
    <w:p w:rsidR="00CF4158" w:rsidRPr="009B392E" w:rsidRDefault="00CF4158" w:rsidP="007B1355">
      <w:pPr>
        <w:ind w:right="713"/>
        <w:rPr>
          <w:b/>
          <w:bCs/>
          <w:szCs w:val="24"/>
        </w:rPr>
      </w:pPr>
    </w:p>
    <w:p w:rsidR="00CF4158" w:rsidRPr="009B392E" w:rsidRDefault="00CF4158" w:rsidP="007B1355">
      <w:pPr>
        <w:ind w:right="713"/>
        <w:rPr>
          <w:szCs w:val="24"/>
        </w:rPr>
      </w:pPr>
      <w:r w:rsidRPr="009B392E">
        <w:rPr>
          <w:b/>
          <w:bCs/>
          <w:szCs w:val="24"/>
        </w:rPr>
        <w:t>B.  Collections of Information Employing Statistical Methods.</w:t>
      </w:r>
    </w:p>
    <w:p w:rsidR="00CF4158" w:rsidRPr="009B392E" w:rsidRDefault="00CF4158" w:rsidP="007B1355">
      <w:pPr>
        <w:ind w:right="713"/>
        <w:rPr>
          <w:szCs w:val="24"/>
        </w:rPr>
      </w:pPr>
    </w:p>
    <w:p w:rsidR="00CF4158" w:rsidRPr="009B392E" w:rsidRDefault="00CF4158" w:rsidP="007B1355">
      <w:pPr>
        <w:ind w:right="713"/>
        <w:rPr>
          <w:szCs w:val="24"/>
        </w:rPr>
      </w:pPr>
      <w:r w:rsidRPr="009B392E">
        <w:rPr>
          <w:szCs w:val="24"/>
        </w:rPr>
        <w:t>Not applicable.</w:t>
      </w:r>
    </w:p>
    <w:p w:rsidR="00CF4158" w:rsidRPr="009B392E" w:rsidRDefault="00CF4158" w:rsidP="007B1355">
      <w:pPr>
        <w:ind w:right="713"/>
        <w:rPr>
          <w:szCs w:val="24"/>
        </w:rPr>
      </w:pPr>
    </w:p>
    <w:p w:rsidR="00CF4158" w:rsidRPr="009B392E" w:rsidRDefault="00CF4158" w:rsidP="007B1355">
      <w:pPr>
        <w:ind w:right="713"/>
        <w:jc w:val="center"/>
        <w:rPr>
          <w:szCs w:val="24"/>
        </w:rPr>
      </w:pPr>
    </w:p>
    <w:sectPr w:rsidR="00CF4158" w:rsidRPr="009B392E" w:rsidSect="00D34B00">
      <w:footerReference w:type="even" r:id="rId7"/>
      <w:footerReference w:type="default" r:id="rId8"/>
      <w:pgSz w:w="12240" w:h="15840" w:code="1"/>
      <w:pgMar w:top="1440" w:right="547"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E6C" w:rsidRDefault="00931E6C">
      <w:r>
        <w:separator/>
      </w:r>
    </w:p>
  </w:endnote>
  <w:endnote w:type="continuationSeparator" w:id="0">
    <w:p w:rsidR="00931E6C" w:rsidRDefault="00931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D1C" w:rsidRDefault="00FE2191">
    <w:pPr>
      <w:pStyle w:val="Footer"/>
      <w:framePr w:wrap="around" w:vAnchor="text" w:hAnchor="margin" w:xAlign="center" w:y="1"/>
      <w:rPr>
        <w:rStyle w:val="PageNumber"/>
      </w:rPr>
    </w:pPr>
    <w:r>
      <w:rPr>
        <w:rStyle w:val="PageNumber"/>
      </w:rPr>
      <w:fldChar w:fldCharType="begin"/>
    </w:r>
    <w:r w:rsidR="00945D1C">
      <w:rPr>
        <w:rStyle w:val="PageNumber"/>
      </w:rPr>
      <w:instrText xml:space="preserve">PAGE  </w:instrText>
    </w:r>
    <w:r>
      <w:rPr>
        <w:rStyle w:val="PageNumber"/>
      </w:rPr>
      <w:fldChar w:fldCharType="end"/>
    </w:r>
  </w:p>
  <w:p w:rsidR="00945D1C" w:rsidRDefault="00945D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D1C" w:rsidRDefault="00FE2191">
    <w:pPr>
      <w:pStyle w:val="Footer"/>
      <w:framePr w:wrap="around" w:vAnchor="text" w:hAnchor="margin" w:xAlign="center" w:y="1"/>
      <w:rPr>
        <w:rStyle w:val="PageNumber"/>
      </w:rPr>
    </w:pPr>
    <w:r>
      <w:rPr>
        <w:rStyle w:val="PageNumber"/>
      </w:rPr>
      <w:fldChar w:fldCharType="begin"/>
    </w:r>
    <w:r w:rsidR="00945D1C">
      <w:rPr>
        <w:rStyle w:val="PageNumber"/>
      </w:rPr>
      <w:instrText xml:space="preserve">PAGE  </w:instrText>
    </w:r>
    <w:r>
      <w:rPr>
        <w:rStyle w:val="PageNumber"/>
      </w:rPr>
      <w:fldChar w:fldCharType="separate"/>
    </w:r>
    <w:r w:rsidR="00D76AC8">
      <w:rPr>
        <w:rStyle w:val="PageNumber"/>
        <w:noProof/>
      </w:rPr>
      <w:t>3</w:t>
    </w:r>
    <w:r>
      <w:rPr>
        <w:rStyle w:val="PageNumber"/>
      </w:rPr>
      <w:fldChar w:fldCharType="end"/>
    </w:r>
  </w:p>
  <w:p w:rsidR="00945D1C" w:rsidRDefault="00945D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E6C" w:rsidRDefault="00931E6C">
      <w:r>
        <w:separator/>
      </w:r>
    </w:p>
  </w:footnote>
  <w:footnote w:type="continuationSeparator" w:id="0">
    <w:p w:rsidR="00931E6C" w:rsidRDefault="00931E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3"/>
  </w:num>
  <w:num w:numId="3">
    <w:abstractNumId w:val="2"/>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2"/>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07793"/>
    <w:rsid w:val="000009B7"/>
    <w:rsid w:val="000227BF"/>
    <w:rsid w:val="00050D4E"/>
    <w:rsid w:val="000615EB"/>
    <w:rsid w:val="00081CF7"/>
    <w:rsid w:val="000A0232"/>
    <w:rsid w:val="000D2639"/>
    <w:rsid w:val="000D3BB6"/>
    <w:rsid w:val="00100372"/>
    <w:rsid w:val="00107592"/>
    <w:rsid w:val="00125298"/>
    <w:rsid w:val="001630CF"/>
    <w:rsid w:val="00197230"/>
    <w:rsid w:val="001C3E54"/>
    <w:rsid w:val="001F6CEE"/>
    <w:rsid w:val="002258A6"/>
    <w:rsid w:val="0023458C"/>
    <w:rsid w:val="0024270B"/>
    <w:rsid w:val="002567C5"/>
    <w:rsid w:val="00261FEE"/>
    <w:rsid w:val="002730FB"/>
    <w:rsid w:val="002A2974"/>
    <w:rsid w:val="002D6A3E"/>
    <w:rsid w:val="002E02A3"/>
    <w:rsid w:val="00307793"/>
    <w:rsid w:val="00307BD7"/>
    <w:rsid w:val="00333819"/>
    <w:rsid w:val="00341BFA"/>
    <w:rsid w:val="00344BA7"/>
    <w:rsid w:val="00347BB9"/>
    <w:rsid w:val="003C0745"/>
    <w:rsid w:val="003F37A0"/>
    <w:rsid w:val="00422CAC"/>
    <w:rsid w:val="00435FF9"/>
    <w:rsid w:val="00474C30"/>
    <w:rsid w:val="004B1749"/>
    <w:rsid w:val="004B437B"/>
    <w:rsid w:val="004C0172"/>
    <w:rsid w:val="004E55A0"/>
    <w:rsid w:val="00500179"/>
    <w:rsid w:val="00501A0E"/>
    <w:rsid w:val="00510815"/>
    <w:rsid w:val="00547179"/>
    <w:rsid w:val="005553FA"/>
    <w:rsid w:val="00565380"/>
    <w:rsid w:val="00596C68"/>
    <w:rsid w:val="005B629D"/>
    <w:rsid w:val="005E122D"/>
    <w:rsid w:val="00657121"/>
    <w:rsid w:val="006749E8"/>
    <w:rsid w:val="00677665"/>
    <w:rsid w:val="006868D7"/>
    <w:rsid w:val="0069342D"/>
    <w:rsid w:val="006C667A"/>
    <w:rsid w:val="006C6F95"/>
    <w:rsid w:val="006E3A3F"/>
    <w:rsid w:val="00712671"/>
    <w:rsid w:val="00722162"/>
    <w:rsid w:val="00722B3B"/>
    <w:rsid w:val="00732179"/>
    <w:rsid w:val="00747AEC"/>
    <w:rsid w:val="00751DA4"/>
    <w:rsid w:val="0079469E"/>
    <w:rsid w:val="007A393F"/>
    <w:rsid w:val="007B1355"/>
    <w:rsid w:val="007C16DE"/>
    <w:rsid w:val="007C7EFD"/>
    <w:rsid w:val="007E538B"/>
    <w:rsid w:val="007F4439"/>
    <w:rsid w:val="008214A0"/>
    <w:rsid w:val="00823178"/>
    <w:rsid w:val="00823DD3"/>
    <w:rsid w:val="008904D2"/>
    <w:rsid w:val="008967A2"/>
    <w:rsid w:val="008A676C"/>
    <w:rsid w:val="008C14A0"/>
    <w:rsid w:val="008D67E1"/>
    <w:rsid w:val="008E1225"/>
    <w:rsid w:val="009103AC"/>
    <w:rsid w:val="00931E6C"/>
    <w:rsid w:val="009340CE"/>
    <w:rsid w:val="00945D1C"/>
    <w:rsid w:val="009673F3"/>
    <w:rsid w:val="00987F88"/>
    <w:rsid w:val="00997324"/>
    <w:rsid w:val="009B392E"/>
    <w:rsid w:val="00A2105F"/>
    <w:rsid w:val="00A30A81"/>
    <w:rsid w:val="00A37962"/>
    <w:rsid w:val="00A77E28"/>
    <w:rsid w:val="00AB4340"/>
    <w:rsid w:val="00AE0BDF"/>
    <w:rsid w:val="00B441B9"/>
    <w:rsid w:val="00B522B9"/>
    <w:rsid w:val="00B52FEE"/>
    <w:rsid w:val="00B61C01"/>
    <w:rsid w:val="00B834A2"/>
    <w:rsid w:val="00B92C5D"/>
    <w:rsid w:val="00B97342"/>
    <w:rsid w:val="00BA5DD2"/>
    <w:rsid w:val="00BB6FEC"/>
    <w:rsid w:val="00C02ADA"/>
    <w:rsid w:val="00C73F72"/>
    <w:rsid w:val="00CC3BF2"/>
    <w:rsid w:val="00CF4158"/>
    <w:rsid w:val="00D006C8"/>
    <w:rsid w:val="00D04F60"/>
    <w:rsid w:val="00D13540"/>
    <w:rsid w:val="00D23F38"/>
    <w:rsid w:val="00D26512"/>
    <w:rsid w:val="00D26567"/>
    <w:rsid w:val="00D34B00"/>
    <w:rsid w:val="00D57A37"/>
    <w:rsid w:val="00D76AC8"/>
    <w:rsid w:val="00DB0001"/>
    <w:rsid w:val="00DD240D"/>
    <w:rsid w:val="00E00A8C"/>
    <w:rsid w:val="00E20575"/>
    <w:rsid w:val="00E22554"/>
    <w:rsid w:val="00E3144A"/>
    <w:rsid w:val="00E406E9"/>
    <w:rsid w:val="00E55554"/>
    <w:rsid w:val="00E77001"/>
    <w:rsid w:val="00E9176A"/>
    <w:rsid w:val="00EB334F"/>
    <w:rsid w:val="00ED4C23"/>
    <w:rsid w:val="00ED6EE0"/>
    <w:rsid w:val="00EE216E"/>
    <w:rsid w:val="00EF1FAB"/>
    <w:rsid w:val="00F10DD5"/>
    <w:rsid w:val="00F20CBD"/>
    <w:rsid w:val="00F6231A"/>
    <w:rsid w:val="00F636B6"/>
    <w:rsid w:val="00F6445C"/>
    <w:rsid w:val="00F76935"/>
    <w:rsid w:val="00F770A2"/>
    <w:rsid w:val="00F93211"/>
    <w:rsid w:val="00FA3159"/>
    <w:rsid w:val="00FA401F"/>
    <w:rsid w:val="00FB6048"/>
    <w:rsid w:val="00FB7513"/>
    <w:rsid w:val="00FE21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B00"/>
    <w:rPr>
      <w:sz w:val="24"/>
    </w:rPr>
  </w:style>
  <w:style w:type="paragraph" w:styleId="Heading1">
    <w:name w:val="heading 1"/>
    <w:basedOn w:val="Normal"/>
    <w:next w:val="Normal"/>
    <w:qFormat/>
    <w:rsid w:val="00D34B00"/>
    <w:pPr>
      <w:keepNext/>
      <w:spacing w:before="240" w:after="60"/>
      <w:outlineLvl w:val="0"/>
    </w:pPr>
    <w:rPr>
      <w:b/>
      <w:kern w:val="28"/>
      <w:sz w:val="28"/>
    </w:rPr>
  </w:style>
  <w:style w:type="paragraph" w:styleId="Heading2">
    <w:name w:val="heading 2"/>
    <w:basedOn w:val="Normal"/>
    <w:next w:val="Normal"/>
    <w:qFormat/>
    <w:rsid w:val="00D34B00"/>
    <w:pPr>
      <w:keepNext/>
      <w:spacing w:before="240" w:after="60"/>
      <w:outlineLvl w:val="1"/>
    </w:pPr>
    <w:rPr>
      <w:b/>
    </w:rPr>
  </w:style>
  <w:style w:type="paragraph" w:styleId="Heading3">
    <w:name w:val="heading 3"/>
    <w:basedOn w:val="Normal"/>
    <w:next w:val="Normal"/>
    <w:qFormat/>
    <w:rsid w:val="00D34B00"/>
    <w:pPr>
      <w:keepNext/>
      <w:spacing w:before="240" w:after="60"/>
      <w:outlineLvl w:val="2"/>
    </w:pPr>
    <w:rPr>
      <w:u w:val="single"/>
    </w:rPr>
  </w:style>
  <w:style w:type="paragraph" w:styleId="Heading4">
    <w:name w:val="heading 4"/>
    <w:basedOn w:val="Normal"/>
    <w:next w:val="Normal"/>
    <w:qFormat/>
    <w:rsid w:val="00D34B00"/>
    <w:pPr>
      <w:keepNext/>
      <w:spacing w:line="480" w:lineRule="auto"/>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D34B00"/>
    <w:rPr>
      <w:vertAlign w:val="superscript"/>
    </w:rPr>
  </w:style>
  <w:style w:type="paragraph" w:styleId="FootnoteText">
    <w:name w:val="footnote text"/>
    <w:basedOn w:val="Normal"/>
    <w:semiHidden/>
    <w:rsid w:val="00D34B00"/>
    <w:rPr>
      <w:sz w:val="20"/>
    </w:rPr>
  </w:style>
  <w:style w:type="paragraph" w:customStyle="1" w:styleId="ArticleNumber">
    <w:name w:val="Article Number"/>
    <w:basedOn w:val="Normal"/>
    <w:rsid w:val="00D34B00"/>
    <w:pPr>
      <w:numPr>
        <w:numId w:val="16"/>
      </w:numPr>
      <w:spacing w:line="480" w:lineRule="auto"/>
      <w:jc w:val="center"/>
    </w:pPr>
  </w:style>
  <w:style w:type="paragraph" w:customStyle="1" w:styleId="ArticleLevel1">
    <w:name w:val="Article Level (1)"/>
    <w:basedOn w:val="Normal"/>
    <w:rsid w:val="00D34B00"/>
    <w:pPr>
      <w:numPr>
        <w:ilvl w:val="1"/>
        <w:numId w:val="13"/>
      </w:numPr>
      <w:tabs>
        <w:tab w:val="clear" w:pos="1080"/>
      </w:tabs>
      <w:spacing w:line="480" w:lineRule="auto"/>
    </w:pPr>
  </w:style>
  <w:style w:type="paragraph" w:customStyle="1" w:styleId="ArticleLevela">
    <w:name w:val="Article Level (a)"/>
    <w:basedOn w:val="Normal"/>
    <w:rsid w:val="00D34B00"/>
    <w:pPr>
      <w:numPr>
        <w:ilvl w:val="2"/>
        <w:numId w:val="14"/>
      </w:numPr>
      <w:tabs>
        <w:tab w:val="clear" w:pos="1440"/>
      </w:tabs>
      <w:spacing w:line="480" w:lineRule="auto"/>
      <w:ind w:left="2160"/>
    </w:pPr>
  </w:style>
  <w:style w:type="paragraph" w:customStyle="1" w:styleId="ArticleLeveli">
    <w:name w:val="Article Level (i)"/>
    <w:basedOn w:val="Normal"/>
    <w:rsid w:val="00D34B00"/>
    <w:pPr>
      <w:numPr>
        <w:ilvl w:val="3"/>
        <w:numId w:val="15"/>
      </w:numPr>
      <w:tabs>
        <w:tab w:val="clear" w:pos="2160"/>
      </w:tabs>
      <w:spacing w:line="480" w:lineRule="auto"/>
      <w:ind w:left="2880"/>
    </w:pPr>
  </w:style>
  <w:style w:type="paragraph" w:styleId="Title">
    <w:name w:val="Title"/>
    <w:basedOn w:val="Normal"/>
    <w:qFormat/>
    <w:rsid w:val="00D34B00"/>
    <w:pPr>
      <w:jc w:val="center"/>
    </w:pPr>
    <w:rPr>
      <w:b/>
      <w:bCs/>
    </w:rPr>
  </w:style>
  <w:style w:type="paragraph" w:styleId="Footer">
    <w:name w:val="footer"/>
    <w:basedOn w:val="Normal"/>
    <w:rsid w:val="00D34B00"/>
    <w:pPr>
      <w:tabs>
        <w:tab w:val="center" w:pos="4320"/>
        <w:tab w:val="right" w:pos="8640"/>
      </w:tabs>
    </w:pPr>
  </w:style>
  <w:style w:type="character" w:styleId="PageNumber">
    <w:name w:val="page number"/>
    <w:basedOn w:val="DefaultParagraphFont"/>
    <w:rsid w:val="00D34B00"/>
  </w:style>
  <w:style w:type="paragraph" w:styleId="BodyText">
    <w:name w:val="Body Text"/>
    <w:basedOn w:val="Normal"/>
    <w:rsid w:val="00D34B00"/>
    <w:rPr>
      <w:i/>
      <w:iCs/>
    </w:rPr>
  </w:style>
  <w:style w:type="character" w:customStyle="1" w:styleId="a">
    <w:name w:val="_"/>
    <w:rsid w:val="00D34B00"/>
  </w:style>
  <w:style w:type="character" w:customStyle="1" w:styleId="documentbody1">
    <w:name w:val="documentbody1"/>
    <w:basedOn w:val="DefaultParagraphFont"/>
    <w:rsid w:val="00D34B00"/>
    <w:rPr>
      <w:rFonts w:ascii="Verdana" w:hAnsi="Verdana" w:hint="default"/>
      <w:sz w:val="19"/>
      <w:szCs w:val="19"/>
    </w:rPr>
  </w:style>
  <w:style w:type="character" w:styleId="Hyperlink">
    <w:name w:val="Hyperlink"/>
    <w:basedOn w:val="DefaultParagraphFont"/>
    <w:rsid w:val="00D34B00"/>
    <w:rPr>
      <w:color w:val="0000FF"/>
      <w:u w:val="single"/>
    </w:rPr>
  </w:style>
  <w:style w:type="paragraph" w:styleId="BodyTextIndent">
    <w:name w:val="Body Text Indent"/>
    <w:basedOn w:val="Normal"/>
    <w:rsid w:val="00D34B00"/>
    <w:pPr>
      <w:ind w:firstLine="720"/>
    </w:pPr>
    <w:rPr>
      <w:color w:val="000000"/>
    </w:rPr>
  </w:style>
  <w:style w:type="character" w:styleId="CommentReference">
    <w:name w:val="annotation reference"/>
    <w:basedOn w:val="DefaultParagraphFont"/>
    <w:semiHidden/>
    <w:rsid w:val="00D34B00"/>
    <w:rPr>
      <w:sz w:val="16"/>
      <w:szCs w:val="16"/>
    </w:rPr>
  </w:style>
  <w:style w:type="paragraph" w:styleId="CommentText">
    <w:name w:val="annotation text"/>
    <w:basedOn w:val="Normal"/>
    <w:semiHidden/>
    <w:rsid w:val="00D34B00"/>
    <w:rPr>
      <w:sz w:val="20"/>
    </w:rPr>
  </w:style>
  <w:style w:type="paragraph" w:styleId="BalloonText">
    <w:name w:val="Balloon Text"/>
    <w:basedOn w:val="Normal"/>
    <w:semiHidden/>
    <w:rsid w:val="00307793"/>
    <w:rPr>
      <w:rFonts w:ascii="Tahoma" w:hAnsi="Tahoma" w:cs="Tahoma"/>
      <w:sz w:val="16"/>
      <w:szCs w:val="16"/>
    </w:rPr>
  </w:style>
  <w:style w:type="paragraph" w:styleId="CommentSubject">
    <w:name w:val="annotation subject"/>
    <w:basedOn w:val="CommentText"/>
    <w:next w:val="CommentText"/>
    <w:semiHidden/>
    <w:rsid w:val="00AB4340"/>
    <w:rPr>
      <w:b/>
      <w:bCs/>
    </w:rPr>
  </w:style>
</w:styles>
</file>

<file path=word/webSettings.xml><?xml version="1.0" encoding="utf-8"?>
<w:webSettings xmlns:r="http://schemas.openxmlformats.org/officeDocument/2006/relationships" xmlns:w="http://schemas.openxmlformats.org/wordprocessingml/2006/main">
  <w:divs>
    <w:div w:id="984235073">
      <w:bodyDiv w:val="1"/>
      <w:marLeft w:val="0"/>
      <w:marRight w:val="0"/>
      <w:marTop w:val="0"/>
      <w:marBottom w:val="0"/>
      <w:divBdr>
        <w:top w:val="none" w:sz="0" w:space="0" w:color="auto"/>
        <w:left w:val="none" w:sz="0" w:space="0" w:color="auto"/>
        <w:bottom w:val="none" w:sz="0" w:space="0" w:color="auto"/>
        <w:right w:val="none" w:sz="0" w:space="0" w:color="auto"/>
      </w:divBdr>
    </w:div>
    <w:div w:id="1276254154">
      <w:bodyDiv w:val="1"/>
      <w:marLeft w:val="0"/>
      <w:marRight w:val="0"/>
      <w:marTop w:val="0"/>
      <w:marBottom w:val="0"/>
      <w:divBdr>
        <w:top w:val="none" w:sz="0" w:space="0" w:color="auto"/>
        <w:left w:val="none" w:sz="0" w:space="0" w:color="auto"/>
        <w:bottom w:val="none" w:sz="0" w:space="0" w:color="auto"/>
        <w:right w:val="none" w:sz="0" w:space="0" w:color="auto"/>
      </w:divBdr>
    </w:div>
    <w:div w:id="1751653221">
      <w:bodyDiv w:val="1"/>
      <w:marLeft w:val="0"/>
      <w:marRight w:val="0"/>
      <w:marTop w:val="0"/>
      <w:marBottom w:val="0"/>
      <w:divBdr>
        <w:top w:val="none" w:sz="0" w:space="0" w:color="auto"/>
        <w:left w:val="none" w:sz="0" w:space="0" w:color="auto"/>
        <w:bottom w:val="none" w:sz="0" w:space="0" w:color="auto"/>
        <w:right w:val="none" w:sz="0" w:space="0" w:color="auto"/>
      </w:divBdr>
    </w:div>
    <w:div w:id="200272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1013</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BASEL II – NOTICE OF PROPOSED RULEMAKING</vt:lpstr>
    </vt:vector>
  </TitlesOfParts>
  <Company>OCC</Company>
  <LinksUpToDate>false</LinksUpToDate>
  <CharactersWithSpaces>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 II – NOTICE OF PROPOSED RULEMAKING</dc:title>
  <dc:subject/>
  <dc:creator>Administrator</dc:creator>
  <cp:keywords/>
  <dc:description/>
  <cp:lastModifiedBy>mary.gottlieb</cp:lastModifiedBy>
  <cp:revision>2</cp:revision>
  <cp:lastPrinted>2010-12-03T19:22:00Z</cp:lastPrinted>
  <dcterms:created xsi:type="dcterms:W3CDTF">2012-12-05T20:49:00Z</dcterms:created>
  <dcterms:modified xsi:type="dcterms:W3CDTF">2012-12-05T20:49:00Z</dcterms:modified>
</cp:coreProperties>
</file>