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CB" w:rsidRPr="00FF3199" w:rsidRDefault="009F7ECB" w:rsidP="00FF3199">
      <w:pPr>
        <w:jc w:val="center"/>
        <w:rPr>
          <w:rFonts w:ascii="Arial" w:hAnsi="Arial" w:cs="Arial"/>
        </w:rPr>
      </w:pPr>
      <w:bookmarkStart w:id="0" w:name="_Toc39471685"/>
      <w:bookmarkStart w:id="1" w:name="_Toc39472121"/>
      <w:bookmarkStart w:id="2" w:name="_Toc71340264"/>
      <w:bookmarkStart w:id="3" w:name="_GoBack"/>
      <w:bookmarkEnd w:id="3"/>
      <w:r w:rsidRPr="00FF3199">
        <w:rPr>
          <w:rFonts w:ascii="Arial" w:hAnsi="Arial" w:cs="Arial"/>
        </w:rPr>
        <w:t>18-12-02 Fulbright-Hays--Doctoral Dissertation Research Abroad (DDRA), Faculty Research Abroad (FRA), Seminars Abroad (SA), Fellows</w:t>
      </w:r>
      <w:bookmarkEnd w:id="0"/>
      <w:bookmarkEnd w:id="1"/>
      <w:bookmarkEnd w:id="2"/>
    </w:p>
    <w:p w:rsidR="009F7ECB" w:rsidRDefault="009F7ECB" w:rsidP="009F7ECB">
      <w:pPr>
        <w:rPr>
          <w:rFonts w:ascii="Arial" w:eastAsia="MS Mincho" w:hAnsi="Arial" w:cs="Arial"/>
          <w:sz w:val="22"/>
        </w:rPr>
      </w:pPr>
    </w:p>
    <w:p w:rsidR="009F7ECB" w:rsidRDefault="009F7ECB" w:rsidP="009F7ECB">
      <w:pPr>
        <w:tabs>
          <w:tab w:val="right" w:pos="9360"/>
        </w:tabs>
        <w:rPr>
          <w:rFonts w:ascii="Arial" w:eastAsia="MS Mincho" w:hAnsi="Arial" w:cs="Arial"/>
          <w:sz w:val="18"/>
        </w:rPr>
      </w:pPr>
      <w:r>
        <w:rPr>
          <w:rFonts w:ascii="Arial" w:eastAsia="MS Mincho" w:hAnsi="Arial" w:cs="Arial"/>
          <w:sz w:val="22"/>
        </w:rPr>
        <w:tab/>
      </w:r>
      <w:r>
        <w:rPr>
          <w:rFonts w:ascii="Arial" w:eastAsia="MS Mincho" w:hAnsi="Arial" w:cs="Arial"/>
          <w:sz w:val="18"/>
        </w:rPr>
        <w:t>(64 FR 30175-30177)</w:t>
      </w:r>
    </w:p>
    <w:p w:rsidR="00FF3199" w:rsidRDefault="00FF3199" w:rsidP="009F7ECB">
      <w:pPr>
        <w:tabs>
          <w:tab w:val="right" w:pos="9360"/>
        </w:tabs>
        <w:rPr>
          <w:rFonts w:ascii="Arial" w:eastAsia="MS Mincho" w:hAnsi="Arial" w:cs="Arial"/>
          <w:sz w:val="18"/>
        </w:rPr>
      </w:pPr>
      <w:r>
        <w:rPr>
          <w:rFonts w:ascii="Arial" w:eastAsia="MS Mincho" w:hAnsi="Arial" w:cs="Arial"/>
          <w:sz w:val="18"/>
        </w:rPr>
        <w:tab/>
        <w:t>June 4, 1999</w:t>
      </w:r>
    </w:p>
    <w:p w:rsidR="00FF3199" w:rsidRPr="00FF3199" w:rsidRDefault="00FF3199" w:rsidP="00FF3199">
      <w:pPr>
        <w:rPr>
          <w:rFonts w:ascii="Arial" w:eastAsia="MS Mincho" w:hAnsi="Arial" w:cs="Arial"/>
        </w:rPr>
      </w:pPr>
    </w:p>
    <w:bookmarkStart w:id="4" w:name="Notice181202"/>
    <w:bookmarkEnd w:id="4"/>
    <w:p w:rsidR="009F7ECB" w:rsidRPr="00FF3199" w:rsidRDefault="009F7ECB" w:rsidP="00FF3199">
      <w:pPr>
        <w:rPr>
          <w:rFonts w:ascii="Arial" w:eastAsia="MS Mincho" w:hAnsi="Arial" w:cs="Arial"/>
        </w:rPr>
      </w:pPr>
      <w:r w:rsidRPr="00FF3199">
        <w:rPr>
          <w:rFonts w:ascii="Arial" w:eastAsia="MS Mincho" w:hAnsi="Arial" w:cs="Arial"/>
        </w:rPr>
        <w:fldChar w:fldCharType="begin"/>
      </w:r>
      <w:r w:rsidRPr="00FF3199">
        <w:rPr>
          <w:rFonts w:ascii="Arial" w:eastAsia="MS Mincho" w:hAnsi="Arial" w:cs="Arial"/>
        </w:rPr>
        <w:instrText>HYPERLINK  \l "Backto181202"</w:instrText>
      </w:r>
      <w:r w:rsidRPr="00FF3199">
        <w:rPr>
          <w:rFonts w:ascii="Arial" w:eastAsia="MS Mincho" w:hAnsi="Arial" w:cs="Arial"/>
        </w:rPr>
      </w:r>
      <w:r w:rsidRPr="00FF3199">
        <w:rPr>
          <w:rFonts w:ascii="Arial" w:eastAsia="MS Mincho" w:hAnsi="Arial" w:cs="Arial"/>
        </w:rPr>
        <w:fldChar w:fldCharType="separate"/>
      </w:r>
      <w:r w:rsidRPr="00FF3199">
        <w:rPr>
          <w:rStyle w:val="Hyperlink"/>
          <w:rFonts w:ascii="Arial" w:eastAsia="MS Mincho" w:hAnsi="Arial" w:cs="Arial"/>
        </w:rPr>
        <w:t>1</w:t>
      </w:r>
      <w:r w:rsidRPr="00FF3199">
        <w:rPr>
          <w:rStyle w:val="Hyperlink"/>
          <w:rFonts w:ascii="Arial" w:eastAsia="MS Mincho" w:hAnsi="Arial" w:cs="Arial"/>
        </w:rPr>
        <w:t>8</w:t>
      </w:r>
      <w:r w:rsidRPr="00FF3199">
        <w:rPr>
          <w:rStyle w:val="Hyperlink"/>
          <w:rFonts w:ascii="Arial" w:eastAsia="MS Mincho" w:hAnsi="Arial" w:cs="Arial"/>
        </w:rPr>
        <w:t>-</w:t>
      </w:r>
      <w:r w:rsidRPr="00FF3199">
        <w:rPr>
          <w:rStyle w:val="Hyperlink"/>
          <w:rFonts w:ascii="Arial" w:eastAsia="MS Mincho" w:hAnsi="Arial" w:cs="Arial"/>
        </w:rPr>
        <w:t>1</w:t>
      </w:r>
      <w:r w:rsidRPr="00FF3199">
        <w:rPr>
          <w:rStyle w:val="Hyperlink"/>
          <w:rFonts w:ascii="Arial" w:eastAsia="MS Mincho" w:hAnsi="Arial" w:cs="Arial"/>
        </w:rPr>
        <w:t>2</w:t>
      </w:r>
      <w:r w:rsidRPr="00FF3199">
        <w:rPr>
          <w:rStyle w:val="Hyperlink"/>
          <w:rFonts w:ascii="Arial" w:eastAsia="MS Mincho" w:hAnsi="Arial" w:cs="Arial"/>
        </w:rPr>
        <w:t>-02</w:t>
      </w:r>
      <w:r w:rsidRPr="00FF3199">
        <w:rPr>
          <w:rFonts w:ascii="Arial" w:eastAsia="MS Mincho" w:hAnsi="Arial" w:cs="Arial"/>
        </w:rPr>
        <w:fldChar w:fldCharType="end"/>
      </w:r>
      <w:r w:rsidRPr="00FF3199">
        <w:rPr>
          <w:rFonts w:ascii="Arial" w:eastAsia="MS Mincho" w:hAnsi="Arial" w:cs="Arial"/>
        </w:rPr>
        <w:tab/>
      </w:r>
      <w:r w:rsidRPr="00FF3199">
        <w:rPr>
          <w:rFonts w:ascii="Arial" w:eastAsia="MS Mincho" w:hAnsi="Arial" w:cs="Arial"/>
        </w:rPr>
        <w:tab/>
      </w:r>
    </w:p>
    <w:p w:rsidR="009F7ECB" w:rsidRPr="00FF3199" w:rsidRDefault="009F7ECB" w:rsidP="00FF3199">
      <w:pPr>
        <w:rPr>
          <w:rFonts w:ascii="Arial" w:hAnsi="Arial" w:cs="Arial"/>
          <w:b/>
        </w:rPr>
      </w:pPr>
      <w:bookmarkStart w:id="5" w:name="_Toc39471686"/>
      <w:r w:rsidRPr="00FF3199">
        <w:rPr>
          <w:rFonts w:ascii="Arial" w:hAnsi="Arial" w:cs="Arial"/>
          <w:b/>
        </w:rPr>
        <w:t>SYSTEM NAME:</w:t>
      </w:r>
      <w:bookmarkEnd w:id="5"/>
      <w:r w:rsidRPr="00FF3199">
        <w:rPr>
          <w:rFonts w:ascii="Arial" w:hAnsi="Arial" w:cs="Arial"/>
          <w:b/>
        </w:rPr>
        <w:t xml:space="preserve"> </w:t>
      </w:r>
    </w:p>
    <w:p w:rsidR="009F7ECB" w:rsidRPr="00FF3199" w:rsidRDefault="009F7ECB" w:rsidP="00FF3199">
      <w:pPr>
        <w:rPr>
          <w:rFonts w:ascii="Arial" w:eastAsia="MS Mincho" w:hAnsi="Arial" w:cs="Arial"/>
        </w:rPr>
      </w:pPr>
      <w:r w:rsidRPr="00FF3199">
        <w:rPr>
          <w:rFonts w:ascii="Arial" w:eastAsia="MS Mincho" w:hAnsi="Arial" w:cs="Arial"/>
        </w:rPr>
        <w:tab/>
        <w:t>Fulbright-Hays--Doctoral Dissertation Research Abroad (DDRA), Faculty Research Abroad (FRA), Seminars Abroad (SA), Fellows.</w:t>
      </w:r>
    </w:p>
    <w:p w:rsidR="009F7ECB" w:rsidRPr="00FF3199" w:rsidRDefault="009F7ECB" w:rsidP="00FF3199">
      <w:pPr>
        <w:rPr>
          <w:rFonts w:ascii="Arial" w:hAnsi="Arial" w:cs="Arial"/>
          <w:b/>
        </w:rPr>
      </w:pPr>
      <w:bookmarkStart w:id="6" w:name="_Toc39471687"/>
      <w:r w:rsidRPr="00FF3199">
        <w:rPr>
          <w:rFonts w:ascii="Arial" w:hAnsi="Arial" w:cs="Arial"/>
          <w:b/>
        </w:rPr>
        <w:t>SECURITY CLASSIFICATION:</w:t>
      </w:r>
      <w:bookmarkEnd w:id="6"/>
      <w:r w:rsidRPr="00FF3199">
        <w:rPr>
          <w:rFonts w:ascii="Arial" w:hAnsi="Arial" w:cs="Arial"/>
          <w:b/>
        </w:rPr>
        <w:t xml:space="preserve"> </w:t>
      </w:r>
    </w:p>
    <w:p w:rsidR="009F7ECB" w:rsidRPr="00FF3199" w:rsidRDefault="009F7ECB" w:rsidP="00FF3199">
      <w:pPr>
        <w:rPr>
          <w:rFonts w:ascii="Arial" w:eastAsia="MS Mincho" w:hAnsi="Arial" w:cs="Arial"/>
        </w:rPr>
      </w:pPr>
      <w:r w:rsidRPr="00FF3199">
        <w:rPr>
          <w:rFonts w:ascii="Arial" w:eastAsia="MS Mincho" w:hAnsi="Arial" w:cs="Arial"/>
        </w:rPr>
        <w:tab/>
        <w:t>None.</w:t>
      </w:r>
    </w:p>
    <w:p w:rsidR="009F7ECB" w:rsidRPr="00FF3199" w:rsidRDefault="009F7ECB" w:rsidP="00FF3199">
      <w:pPr>
        <w:rPr>
          <w:rFonts w:ascii="Arial" w:hAnsi="Arial" w:cs="Arial"/>
          <w:b/>
        </w:rPr>
      </w:pPr>
      <w:bookmarkStart w:id="7" w:name="_Toc39471688"/>
      <w:r w:rsidRPr="00FF3199">
        <w:rPr>
          <w:rFonts w:ascii="Arial" w:hAnsi="Arial" w:cs="Arial"/>
          <w:b/>
        </w:rPr>
        <w:t>SYSTEM LOCATION:</w:t>
      </w:r>
      <w:bookmarkEnd w:id="7"/>
      <w:r w:rsidRPr="00FF3199">
        <w:rPr>
          <w:rFonts w:ascii="Arial" w:hAnsi="Arial" w:cs="Arial"/>
          <w:b/>
        </w:rPr>
        <w:t xml:space="preserve"> </w:t>
      </w:r>
    </w:p>
    <w:p w:rsidR="009F7ECB" w:rsidRPr="00FF3199" w:rsidRDefault="009F7ECB" w:rsidP="00FF3199">
      <w:pPr>
        <w:rPr>
          <w:rFonts w:ascii="Arial" w:eastAsia="MS Mincho" w:hAnsi="Arial" w:cs="Arial"/>
        </w:rPr>
      </w:pPr>
      <w:r w:rsidRPr="00FF3199">
        <w:rPr>
          <w:rFonts w:ascii="Arial" w:eastAsia="MS Mincho" w:hAnsi="Arial" w:cs="Arial"/>
        </w:rPr>
        <w:tab/>
        <w:t>International Education and Graduate Programs Service, Office of Postsecondary Education, U.S. Department of Education, 1250 Maryland Avenue, SW., Room 600, Portals Building, Washington, DC 20202-5331.</w:t>
      </w:r>
    </w:p>
    <w:p w:rsidR="009F7ECB" w:rsidRPr="00FF3199" w:rsidRDefault="009F7ECB" w:rsidP="00FF3199">
      <w:pPr>
        <w:rPr>
          <w:rFonts w:ascii="Arial" w:eastAsia="MS Mincho" w:hAnsi="Arial" w:cs="Arial"/>
          <w:b/>
        </w:rPr>
      </w:pPr>
      <w:r w:rsidRPr="00FF3199">
        <w:rPr>
          <w:rFonts w:ascii="Arial" w:eastAsia="MS Mincho" w:hAnsi="Arial" w:cs="Arial"/>
        </w:rPr>
        <w:tab/>
      </w:r>
      <w:proofErr w:type="spellStart"/>
      <w:r w:rsidRPr="00FF3199">
        <w:rPr>
          <w:rFonts w:ascii="Arial" w:eastAsia="MS Mincho" w:hAnsi="Arial" w:cs="Arial"/>
        </w:rPr>
        <w:t>AppNet</w:t>
      </w:r>
      <w:proofErr w:type="spellEnd"/>
      <w:r w:rsidRPr="00FF3199">
        <w:rPr>
          <w:rFonts w:ascii="Arial" w:eastAsia="MS Mincho" w:hAnsi="Arial" w:cs="Arial"/>
        </w:rPr>
        <w:t xml:space="preserve">, </w:t>
      </w:r>
      <w:smartTag w:uri="urn:schemas-microsoft-com:office:smarttags" w:element="Street">
        <w:smartTag w:uri="urn:schemas-microsoft-com:office:smarttags" w:element="address">
          <w:r w:rsidRPr="00FF3199">
            <w:rPr>
              <w:rFonts w:ascii="Arial" w:eastAsia="MS Mincho" w:hAnsi="Arial" w:cs="Arial"/>
            </w:rPr>
            <w:t>103 W. Broad Street</w:t>
          </w:r>
        </w:smartTag>
      </w:smartTag>
      <w:r w:rsidRPr="00FF3199">
        <w:rPr>
          <w:rFonts w:ascii="Arial" w:eastAsia="MS Mincho" w:hAnsi="Arial" w:cs="Arial"/>
        </w:rPr>
        <w:t xml:space="preserve">, Fifth Floor, </w:t>
      </w:r>
      <w:smartTag w:uri="urn:schemas-microsoft-com:office:smarttags" w:element="place">
        <w:smartTag w:uri="urn:schemas-microsoft-com:office:smarttags" w:element="City">
          <w:r w:rsidRPr="00FF3199">
            <w:rPr>
              <w:rFonts w:ascii="Arial" w:eastAsia="MS Mincho" w:hAnsi="Arial" w:cs="Arial"/>
            </w:rPr>
            <w:t>Falls Church</w:t>
          </w:r>
        </w:smartTag>
        <w:r w:rsidRPr="00FF3199">
          <w:rPr>
            <w:rFonts w:ascii="Arial" w:eastAsia="MS Mincho" w:hAnsi="Arial" w:cs="Arial"/>
          </w:rPr>
          <w:t xml:space="preserve">, </w:t>
        </w:r>
        <w:smartTag w:uri="urn:schemas-microsoft-com:office:smarttags" w:element="State">
          <w:r w:rsidRPr="00FF3199">
            <w:rPr>
              <w:rFonts w:ascii="Arial" w:eastAsia="MS Mincho" w:hAnsi="Arial" w:cs="Arial"/>
            </w:rPr>
            <w:t>VA</w:t>
          </w:r>
        </w:smartTag>
        <w:r w:rsidRPr="00FF3199">
          <w:rPr>
            <w:rFonts w:ascii="Arial" w:eastAsia="MS Mincho" w:hAnsi="Arial" w:cs="Arial"/>
          </w:rPr>
          <w:t xml:space="preserve"> </w:t>
        </w:r>
        <w:smartTag w:uri="urn:schemas-microsoft-com:office:smarttags" w:element="PostalCode">
          <w:r w:rsidRPr="00FF3199">
            <w:rPr>
              <w:rFonts w:ascii="Arial" w:eastAsia="MS Mincho" w:hAnsi="Arial" w:cs="Arial"/>
            </w:rPr>
            <w:t>22046</w:t>
          </w:r>
        </w:smartTag>
      </w:smartTag>
      <w:r w:rsidRPr="00FF3199">
        <w:rPr>
          <w:rFonts w:ascii="Arial" w:eastAsia="MS Mincho" w:hAnsi="Arial" w:cs="Arial"/>
        </w:rPr>
        <w:t xml:space="preserve">. </w:t>
      </w:r>
      <w:r w:rsidRPr="00FF3199">
        <w:rPr>
          <w:rFonts w:ascii="Arial" w:eastAsia="MS Mincho" w:hAnsi="Arial" w:cs="Arial"/>
          <w:b/>
        </w:rPr>
        <w:t>CATEGORIES OF INDIVIDUALS COVERED BY THE SYSTEM:</w:t>
      </w:r>
    </w:p>
    <w:p w:rsidR="009F7ECB" w:rsidRPr="00FF3199" w:rsidRDefault="009F7ECB" w:rsidP="00FF3199">
      <w:pPr>
        <w:rPr>
          <w:rFonts w:ascii="Arial" w:eastAsia="MS Mincho" w:hAnsi="Arial" w:cs="Arial"/>
          <w:b/>
        </w:rPr>
      </w:pPr>
      <w:r w:rsidRPr="00FF3199">
        <w:rPr>
          <w:rFonts w:ascii="Arial" w:eastAsia="MS Mincho" w:hAnsi="Arial" w:cs="Arial"/>
        </w:rPr>
        <w:tab/>
        <w:t xml:space="preserve">This system contains records on teachers or prospective teachers who have been selected to be recipients for Fulbright-Hays awards to enable them to engage in </w:t>
      </w:r>
      <w:r w:rsidRPr="00FF3199">
        <w:rPr>
          <w:rFonts w:ascii="Arial" w:eastAsia="MS Mincho" w:hAnsi="Arial" w:cs="Arial"/>
          <w:b/>
        </w:rPr>
        <w:t>foreign language and area studies projects overseas.</w:t>
      </w:r>
    </w:p>
    <w:p w:rsidR="009F7ECB" w:rsidRPr="00FF3199" w:rsidRDefault="009F7ECB" w:rsidP="00FF3199">
      <w:pPr>
        <w:rPr>
          <w:rFonts w:ascii="Arial" w:hAnsi="Arial" w:cs="Arial"/>
          <w:b/>
        </w:rPr>
      </w:pPr>
      <w:bookmarkStart w:id="8" w:name="_Toc39471689"/>
      <w:r w:rsidRPr="00FF3199">
        <w:rPr>
          <w:rFonts w:ascii="Arial" w:hAnsi="Arial" w:cs="Arial"/>
          <w:b/>
        </w:rPr>
        <w:t>CATEGORIES OF RECORDS IN THE SYSTEM:</w:t>
      </w:r>
      <w:bookmarkEnd w:id="8"/>
    </w:p>
    <w:p w:rsidR="009F7ECB" w:rsidRPr="00FF3199" w:rsidRDefault="009F7ECB" w:rsidP="00FF3199">
      <w:pPr>
        <w:rPr>
          <w:rFonts w:ascii="Arial" w:eastAsia="MS Mincho" w:hAnsi="Arial" w:cs="Arial"/>
        </w:rPr>
      </w:pPr>
      <w:r w:rsidRPr="00FF3199">
        <w:rPr>
          <w:rFonts w:ascii="Arial" w:eastAsia="MS Mincho" w:hAnsi="Arial" w:cs="Arial"/>
        </w:rPr>
        <w:tab/>
        <w:t>The Fulbright-Hays Records System consists of a variety of records relating to an individual's applications for, and participation in, the Fulbright-Hays DDRA, FRA or SA programs. In addition to the individual's name, the system contains the participant's address, telephone number, educational institution, date and place of birth, citizenship, social security number, veteran's status, names of accompanying dependents, previous overseas travel, educational and employment background, student loan default status, a health statement, transcripts, references, project description and project cost based on either the cost-of-living in the host country or the annualized salary of a faculty member, field reader and US Embassy comments, award documents, and final project reports.</w:t>
      </w:r>
    </w:p>
    <w:p w:rsidR="009F7ECB" w:rsidRPr="00FF3199" w:rsidRDefault="009F7ECB" w:rsidP="00FF3199">
      <w:pPr>
        <w:rPr>
          <w:rFonts w:ascii="Arial" w:hAnsi="Arial" w:cs="Arial"/>
          <w:b/>
        </w:rPr>
      </w:pPr>
      <w:bookmarkStart w:id="9" w:name="_Toc39471690"/>
      <w:r w:rsidRPr="00FF3199">
        <w:rPr>
          <w:rFonts w:ascii="Arial" w:hAnsi="Arial" w:cs="Arial"/>
          <w:b/>
        </w:rPr>
        <w:t>AUTHORITY FOR MAINTENANCE OF THE SYSTEM:</w:t>
      </w:r>
      <w:bookmarkEnd w:id="9"/>
    </w:p>
    <w:p w:rsidR="009F7ECB" w:rsidRPr="00FF3199" w:rsidRDefault="009F7ECB" w:rsidP="00FF3199">
      <w:pPr>
        <w:rPr>
          <w:rFonts w:ascii="Arial" w:eastAsia="MS Mincho" w:hAnsi="Arial" w:cs="Arial"/>
        </w:rPr>
      </w:pPr>
      <w:r w:rsidRPr="00FF3199">
        <w:rPr>
          <w:rFonts w:ascii="Arial" w:eastAsia="MS Mincho" w:hAnsi="Arial" w:cs="Arial"/>
        </w:rPr>
        <w:tab/>
        <w:t>The Mutual Educational and Cultural Exchange Act of 1961, as amended (22 U.S.C. 2451-2458).</w:t>
      </w:r>
    </w:p>
    <w:p w:rsidR="009F7ECB" w:rsidRPr="00FF3199" w:rsidRDefault="009F7ECB" w:rsidP="00FF3199">
      <w:pPr>
        <w:rPr>
          <w:rFonts w:ascii="Arial" w:hAnsi="Arial" w:cs="Arial"/>
          <w:b/>
        </w:rPr>
      </w:pPr>
      <w:bookmarkStart w:id="10" w:name="_Toc39471691"/>
      <w:r w:rsidRPr="00FF3199">
        <w:rPr>
          <w:rFonts w:ascii="Arial" w:hAnsi="Arial" w:cs="Arial"/>
          <w:b/>
        </w:rPr>
        <w:t>PURPOSE(S):</w:t>
      </w:r>
      <w:bookmarkEnd w:id="10"/>
      <w:r w:rsidRPr="00FF3199">
        <w:rPr>
          <w:rFonts w:ascii="Arial" w:hAnsi="Arial" w:cs="Arial"/>
          <w:b/>
        </w:rPr>
        <w:t xml:space="preserve"> </w:t>
      </w:r>
    </w:p>
    <w:p w:rsidR="009F7ECB" w:rsidRPr="00FF3199" w:rsidRDefault="009F7ECB" w:rsidP="00FF3199">
      <w:pPr>
        <w:rPr>
          <w:rFonts w:ascii="Arial" w:eastAsia="MS Mincho" w:hAnsi="Arial" w:cs="Arial"/>
        </w:rPr>
      </w:pPr>
      <w:r w:rsidRPr="00FF3199">
        <w:rPr>
          <w:rFonts w:ascii="Arial" w:eastAsia="MS Mincho" w:hAnsi="Arial" w:cs="Arial"/>
        </w:rPr>
        <w:tab/>
        <w:t>The information contained in this system is used for the following purposes: (1) To determine the applicants' qualifications, eligibility, suitability and feasibility; (2) to award benefits for overseas research; (3) to monitor the progress of the project including its accomplishments; and (4) to demonstrate the program's effectiveness.</w:t>
      </w:r>
    </w:p>
    <w:p w:rsidR="009F7ECB" w:rsidRPr="00FF3199" w:rsidRDefault="009F7ECB" w:rsidP="00FF3199">
      <w:pPr>
        <w:rPr>
          <w:rFonts w:ascii="Arial" w:hAnsi="Arial" w:cs="Arial"/>
          <w:b/>
        </w:rPr>
      </w:pPr>
      <w:bookmarkStart w:id="11" w:name="_Toc39471692"/>
      <w:r w:rsidRPr="00FF3199">
        <w:rPr>
          <w:rFonts w:ascii="Arial" w:hAnsi="Arial" w:cs="Arial"/>
          <w:b/>
        </w:rPr>
        <w:t>ROUTINE USES OF RECORDS MAINTAINED IN THE SYSTEM, INCLUDING CATEGORIES OF USERS AND THE PURPOSES OF SUCH USES:</w:t>
      </w:r>
      <w:bookmarkEnd w:id="11"/>
    </w:p>
    <w:p w:rsidR="009F7ECB" w:rsidRPr="00FF3199" w:rsidRDefault="009F7ECB" w:rsidP="00FF3199">
      <w:pPr>
        <w:rPr>
          <w:rFonts w:ascii="Arial" w:eastAsia="MS Mincho" w:hAnsi="Arial" w:cs="Arial"/>
        </w:rPr>
      </w:pPr>
      <w:r w:rsidRPr="00FF3199">
        <w:rPr>
          <w:rFonts w:ascii="Arial" w:eastAsia="MS Mincho" w:hAnsi="Arial" w:cs="Arial"/>
        </w:rPr>
        <w:tab/>
        <w:t>The Department of Education (Department) may disclose information contained in a record in this system of records under the routine uses listed in this system of records without the consent of the individual if the disclosure is compatible with the purposes for which the record was collected. These disclosures may be made on a case-by-case basis or, if the Department has complied with the computer matching requirements of the Act, under a computer matching agreement.</w:t>
      </w:r>
    </w:p>
    <w:p w:rsidR="009F7ECB" w:rsidRPr="00FF3199" w:rsidRDefault="009F7ECB" w:rsidP="00FF3199">
      <w:pPr>
        <w:rPr>
          <w:rFonts w:ascii="Arial" w:eastAsia="MS Mincho" w:hAnsi="Arial" w:cs="Arial"/>
        </w:rPr>
      </w:pPr>
      <w:r w:rsidRPr="00FF3199">
        <w:rPr>
          <w:rFonts w:ascii="Arial" w:eastAsia="MS Mincho" w:hAnsi="Arial" w:cs="Arial"/>
        </w:rPr>
        <w:lastRenderedPageBreak/>
        <w:tab/>
        <w:t xml:space="preserve">(1) </w:t>
      </w:r>
      <w:r w:rsidRPr="00FF3199">
        <w:rPr>
          <w:rFonts w:ascii="Arial" w:eastAsia="MS Mincho" w:hAnsi="Arial" w:cs="Arial"/>
          <w:i/>
          <w:u w:val="single"/>
        </w:rPr>
        <w:t>Program Disclosure</w:t>
      </w:r>
      <w:r w:rsidRPr="00FF3199">
        <w:rPr>
          <w:rFonts w:ascii="Arial" w:eastAsia="MS Mincho" w:hAnsi="Arial" w:cs="Arial"/>
        </w:rPr>
        <w:t xml:space="preserve">. The Department may disclose information to field readers, the U.S. Department of State, U.S. Embassies, </w:t>
      </w:r>
      <w:proofErr w:type="spellStart"/>
      <w:r w:rsidRPr="00FF3199">
        <w:rPr>
          <w:rFonts w:ascii="Arial" w:eastAsia="MS Mincho" w:hAnsi="Arial" w:cs="Arial"/>
        </w:rPr>
        <w:t>binational</w:t>
      </w:r>
      <w:proofErr w:type="spellEnd"/>
      <w:r w:rsidRPr="00FF3199">
        <w:rPr>
          <w:rFonts w:ascii="Arial" w:eastAsia="MS Mincho" w:hAnsi="Arial" w:cs="Arial"/>
        </w:rPr>
        <w:t xml:space="preserve"> commissions, the J. William Fulbright Foreign Scholarship Board, foreign educators and officials so that the information can be used to determine the qualifications, eligibility, suitability, feasibility, and award benefits for overseas research.</w:t>
      </w:r>
    </w:p>
    <w:p w:rsidR="009F7ECB" w:rsidRPr="00FF3199" w:rsidRDefault="009F7ECB" w:rsidP="00FF3199">
      <w:pPr>
        <w:rPr>
          <w:rFonts w:ascii="Arial" w:eastAsia="MS Mincho" w:hAnsi="Arial" w:cs="Arial"/>
        </w:rPr>
      </w:pPr>
      <w:r w:rsidRPr="00FF3199">
        <w:rPr>
          <w:rFonts w:ascii="Arial" w:eastAsia="MS Mincho" w:hAnsi="Arial" w:cs="Arial"/>
        </w:rPr>
        <w:tab/>
        <w:t xml:space="preserve">(2) </w:t>
      </w:r>
      <w:r w:rsidRPr="00FF3199">
        <w:rPr>
          <w:rFonts w:ascii="Arial" w:eastAsia="MS Mincho" w:hAnsi="Arial" w:cs="Arial"/>
          <w:i/>
          <w:u w:val="single"/>
        </w:rPr>
        <w:t>Disclosure for Use by Other Law Enforcement Agencies</w:t>
      </w:r>
      <w:r w:rsidRPr="00FF3199">
        <w:rPr>
          <w:rFonts w:ascii="Arial" w:eastAsia="MS Mincho" w:hAnsi="Arial" w:cs="Arial"/>
        </w:rPr>
        <w:t xml:space="preserve">. The Department may disclose information to any Federal, State, local, or foreign agency or other public authority responsible for enforcing, investigating, or prosecuting violations of administrative, civil, or criminal law or regulation if that information is relevant to any enforcement, regulatory, investigative, or </w:t>
      </w:r>
      <w:proofErr w:type="spellStart"/>
      <w:r w:rsidRPr="00FF3199">
        <w:rPr>
          <w:rFonts w:ascii="Arial" w:eastAsia="MS Mincho" w:hAnsi="Arial" w:cs="Arial"/>
        </w:rPr>
        <w:t>prosecutive</w:t>
      </w:r>
      <w:proofErr w:type="spellEnd"/>
      <w:r w:rsidRPr="00FF3199">
        <w:rPr>
          <w:rFonts w:ascii="Arial" w:eastAsia="MS Mincho" w:hAnsi="Arial" w:cs="Arial"/>
        </w:rPr>
        <w:t xml:space="preserve"> responsibility within the receiving entity's jurisdiction.</w:t>
      </w:r>
    </w:p>
    <w:p w:rsidR="009F7ECB" w:rsidRPr="00FF3199" w:rsidRDefault="009F7ECB" w:rsidP="00FF3199">
      <w:pPr>
        <w:rPr>
          <w:rFonts w:ascii="Arial" w:eastAsia="MS Mincho" w:hAnsi="Arial" w:cs="Arial"/>
        </w:rPr>
      </w:pPr>
      <w:r w:rsidRPr="00FF3199">
        <w:rPr>
          <w:rFonts w:ascii="Arial" w:eastAsia="MS Mincho" w:hAnsi="Arial" w:cs="Arial"/>
        </w:rPr>
        <w:tab/>
        <w:t xml:space="preserve">(3) </w:t>
      </w:r>
      <w:r w:rsidRPr="00FF3199">
        <w:rPr>
          <w:rFonts w:ascii="Arial" w:eastAsia="MS Mincho" w:hAnsi="Arial" w:cs="Arial"/>
          <w:i/>
          <w:u w:val="single"/>
        </w:rPr>
        <w:t>Enforcement Disclosure</w:t>
      </w:r>
      <w:r w:rsidRPr="00FF3199">
        <w:rPr>
          <w:rFonts w:ascii="Arial" w:eastAsia="MS Mincho" w:hAnsi="Arial" w:cs="Arial"/>
        </w:rPr>
        <w:t>. 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Tribal, or local, charged with the responsibility of investigating or prosecuting that violation or charged with enforcing or implementing the statute, executive order, rule, regulation, or order issued pursuant thereto.</w:t>
      </w:r>
    </w:p>
    <w:p w:rsidR="009F7ECB" w:rsidRPr="00FF3199" w:rsidRDefault="009F7ECB" w:rsidP="00FF3199">
      <w:pPr>
        <w:rPr>
          <w:rFonts w:ascii="Arial" w:eastAsia="MS Mincho" w:hAnsi="Arial" w:cs="Arial"/>
          <w:i/>
        </w:rPr>
      </w:pPr>
      <w:r w:rsidRPr="00FF3199">
        <w:rPr>
          <w:rFonts w:ascii="Arial" w:eastAsia="MS Mincho" w:hAnsi="Arial" w:cs="Arial"/>
        </w:rPr>
        <w:tab/>
        <w:t xml:space="preserve">(4) </w:t>
      </w:r>
      <w:r w:rsidRPr="00FF3199">
        <w:rPr>
          <w:rFonts w:ascii="Arial" w:eastAsia="MS Mincho" w:hAnsi="Arial" w:cs="Arial"/>
          <w:i/>
          <w:u w:val="single"/>
        </w:rPr>
        <w:t>Litigation and Alternative Dispute Resolution (ADR) Disclosures</w:t>
      </w:r>
      <w:r w:rsidRPr="00FF3199">
        <w:rPr>
          <w:rFonts w:ascii="Arial" w:eastAsia="MS Mincho" w:hAnsi="Arial" w:cs="Arial"/>
          <w:i/>
        </w:rPr>
        <w:t>.</w:t>
      </w:r>
    </w:p>
    <w:p w:rsidR="009F7ECB" w:rsidRPr="00FF3199" w:rsidRDefault="009F7ECB" w:rsidP="00FF3199">
      <w:pPr>
        <w:rPr>
          <w:rFonts w:ascii="Arial" w:eastAsia="MS Mincho" w:hAnsi="Arial" w:cs="Arial"/>
        </w:rPr>
      </w:pPr>
      <w:r w:rsidRPr="00FF3199">
        <w:rPr>
          <w:rFonts w:ascii="Arial" w:eastAsia="MS Mincho" w:hAnsi="Arial" w:cs="Arial"/>
        </w:rPr>
        <w:tab/>
        <w:t xml:space="preserve">(a) </w:t>
      </w:r>
      <w:r w:rsidRPr="00FF3199">
        <w:rPr>
          <w:rFonts w:ascii="Arial" w:eastAsia="MS Mincho" w:hAnsi="Arial" w:cs="Arial"/>
          <w:i/>
          <w:u w:val="single"/>
        </w:rPr>
        <w:t>Introduction</w:t>
      </w:r>
      <w:r w:rsidRPr="00FF3199">
        <w:rPr>
          <w:rFonts w:ascii="Arial" w:eastAsia="MS Mincho" w:hAnsi="Arial" w:cs="Arial"/>
        </w:rPr>
        <w:t>. In the event that one of the parties listed below is involved in litigation or ADR, or has an interest in litigation ADR, the Department may disclose certain records to the parties described in paragraphs (b), (c) and (d) of this routine use under the conditions specified in those paragraphs:</w:t>
      </w:r>
    </w:p>
    <w:p w:rsidR="009F7ECB" w:rsidRPr="00FF3199" w:rsidRDefault="009F7ECB" w:rsidP="00FF3199">
      <w:pPr>
        <w:rPr>
          <w:rFonts w:ascii="Arial" w:eastAsia="MS Mincho" w:hAnsi="Arial" w:cs="Arial"/>
        </w:rPr>
      </w:pPr>
      <w:r w:rsidRPr="00FF3199">
        <w:rPr>
          <w:rFonts w:ascii="Arial" w:eastAsia="MS Mincho" w:hAnsi="Arial" w:cs="Arial"/>
        </w:rPr>
        <w:tab/>
        <w:t>(</w:t>
      </w:r>
      <w:proofErr w:type="spellStart"/>
      <w:r w:rsidRPr="00FF3199">
        <w:rPr>
          <w:rFonts w:ascii="Arial" w:eastAsia="MS Mincho" w:hAnsi="Arial" w:cs="Arial"/>
        </w:rPr>
        <w:t>i</w:t>
      </w:r>
      <w:proofErr w:type="spellEnd"/>
      <w:r w:rsidRPr="00FF3199">
        <w:rPr>
          <w:rFonts w:ascii="Arial" w:eastAsia="MS Mincho" w:hAnsi="Arial" w:cs="Arial"/>
        </w:rPr>
        <w:t>) The Department of Education, or any component of the Department; or</w:t>
      </w:r>
    </w:p>
    <w:p w:rsidR="009F7ECB" w:rsidRPr="00FF3199" w:rsidRDefault="009F7ECB" w:rsidP="00FF3199">
      <w:pPr>
        <w:rPr>
          <w:rFonts w:ascii="Arial" w:eastAsia="MS Mincho" w:hAnsi="Arial" w:cs="Arial"/>
        </w:rPr>
      </w:pPr>
      <w:r w:rsidRPr="00FF3199">
        <w:rPr>
          <w:rFonts w:ascii="Arial" w:eastAsia="MS Mincho" w:hAnsi="Arial" w:cs="Arial"/>
        </w:rPr>
        <w:tab/>
        <w:t>(ii) Any Department employee in his or her official capacity; or</w:t>
      </w:r>
    </w:p>
    <w:p w:rsidR="009F7ECB" w:rsidRPr="00FF3199" w:rsidRDefault="009F7ECB" w:rsidP="00FF3199">
      <w:pPr>
        <w:rPr>
          <w:rFonts w:ascii="Arial" w:eastAsia="MS Mincho" w:hAnsi="Arial" w:cs="Arial"/>
        </w:rPr>
      </w:pPr>
      <w:r w:rsidRPr="00FF3199">
        <w:rPr>
          <w:rFonts w:ascii="Arial" w:eastAsia="MS Mincho" w:hAnsi="Arial" w:cs="Arial"/>
        </w:rPr>
        <w:tab/>
        <w:t>(iii) Any Department employee in his or her individual capacity if the Department of Justice (DOJ) has agreed to provide or arrange for representation for the employee;</w:t>
      </w:r>
    </w:p>
    <w:p w:rsidR="009F7ECB" w:rsidRPr="00FF3199" w:rsidRDefault="009F7ECB" w:rsidP="00FF3199">
      <w:pPr>
        <w:rPr>
          <w:rFonts w:ascii="Arial" w:eastAsia="MS Mincho" w:hAnsi="Arial" w:cs="Arial"/>
        </w:rPr>
      </w:pPr>
      <w:r w:rsidRPr="00FF3199">
        <w:rPr>
          <w:rFonts w:ascii="Arial" w:eastAsia="MS Mincho" w:hAnsi="Arial" w:cs="Arial"/>
        </w:rPr>
        <w:tab/>
        <w:t>(iv) Any Department employee in his or her individual capacity where the agency has agreed to represent the employee; or</w:t>
      </w:r>
    </w:p>
    <w:p w:rsidR="009F7ECB" w:rsidRPr="00FF3199" w:rsidRDefault="009F7ECB" w:rsidP="00FF3199">
      <w:pPr>
        <w:rPr>
          <w:rFonts w:ascii="Arial" w:eastAsia="MS Mincho" w:hAnsi="Arial" w:cs="Arial"/>
        </w:rPr>
      </w:pPr>
      <w:r w:rsidRPr="00FF3199">
        <w:rPr>
          <w:rFonts w:ascii="Arial" w:eastAsia="MS Mincho" w:hAnsi="Arial" w:cs="Arial"/>
        </w:rPr>
        <w:tab/>
        <w:t>(v) The United States where the Department determines that the litigation is likely to affect the Department or any of its components.</w:t>
      </w:r>
    </w:p>
    <w:p w:rsidR="009F7ECB" w:rsidRPr="00FF3199" w:rsidRDefault="009F7ECB" w:rsidP="00FF3199">
      <w:pPr>
        <w:rPr>
          <w:rFonts w:ascii="Arial" w:eastAsia="MS Mincho" w:hAnsi="Arial" w:cs="Arial"/>
        </w:rPr>
      </w:pPr>
      <w:r w:rsidRPr="00FF3199">
        <w:rPr>
          <w:rFonts w:ascii="Arial" w:eastAsia="MS Mincho" w:hAnsi="Arial" w:cs="Arial"/>
        </w:rPr>
        <w:tab/>
        <w:t>(b</w:t>
      </w:r>
      <w:r w:rsidRPr="00FF3199">
        <w:rPr>
          <w:rFonts w:ascii="Arial" w:eastAsia="MS Mincho" w:hAnsi="Arial" w:cs="Arial"/>
          <w:i/>
        </w:rPr>
        <w:t xml:space="preserve">) </w:t>
      </w:r>
      <w:r w:rsidRPr="00FF3199">
        <w:rPr>
          <w:rFonts w:ascii="Arial" w:eastAsia="MS Mincho" w:hAnsi="Arial" w:cs="Arial"/>
          <w:i/>
          <w:u w:val="single"/>
        </w:rPr>
        <w:t>Disclosure to the DOJ</w:t>
      </w:r>
      <w:r w:rsidRPr="00FF3199">
        <w:rPr>
          <w:rFonts w:ascii="Arial" w:eastAsia="MS Mincho" w:hAnsi="Arial" w:cs="Arial"/>
        </w:rPr>
        <w:t>. If the Department determines that disclosure of certain records to the DOJ is relevant and necessary to litigation or ADR, the Department may disclose those records as a routine use to the DOJ.</w:t>
      </w:r>
    </w:p>
    <w:p w:rsidR="009F7ECB" w:rsidRPr="00FF3199" w:rsidRDefault="009F7ECB" w:rsidP="00FF3199">
      <w:pPr>
        <w:rPr>
          <w:rFonts w:ascii="Arial" w:eastAsia="MS Mincho" w:hAnsi="Arial" w:cs="Arial"/>
        </w:rPr>
      </w:pPr>
      <w:r w:rsidRPr="00FF3199">
        <w:rPr>
          <w:rFonts w:ascii="Arial" w:eastAsia="MS Mincho" w:hAnsi="Arial" w:cs="Arial"/>
        </w:rPr>
        <w:tab/>
        <w:t xml:space="preserve">(c) </w:t>
      </w:r>
      <w:r w:rsidRPr="00FF3199">
        <w:rPr>
          <w:rFonts w:ascii="Arial" w:eastAsia="MS Mincho" w:hAnsi="Arial" w:cs="Arial"/>
          <w:i/>
          <w:u w:val="single"/>
        </w:rPr>
        <w:t>Administrative Disclosures</w:t>
      </w:r>
      <w:r w:rsidRPr="00FF3199">
        <w:rPr>
          <w:rFonts w:ascii="Arial" w:eastAsia="MS Mincho" w:hAnsi="Arial" w:cs="Arial"/>
        </w:rPr>
        <w:t>. If the Department determines that disclosure of certain records to an adjudicative body before which the Department is authorized to appear, an individual or entity designated by the Department or otherwise empowered to resolve or mediate disputes is relevant and necessary to the administrative litigation, the Department may disclose those records as a routine use to the adjudicative body, individual, or entity.</w:t>
      </w:r>
    </w:p>
    <w:p w:rsidR="009F7ECB" w:rsidRDefault="009F7ECB" w:rsidP="00FF3199">
      <w:pPr>
        <w:rPr>
          <w:rFonts w:ascii="Arial" w:eastAsia="MS Mincho" w:hAnsi="Arial" w:cs="Arial"/>
        </w:rPr>
      </w:pPr>
      <w:r w:rsidRPr="00FF3199">
        <w:rPr>
          <w:rFonts w:ascii="Arial" w:eastAsia="MS Mincho" w:hAnsi="Arial" w:cs="Arial"/>
        </w:rPr>
        <w:tab/>
        <w:t xml:space="preserve">(d) </w:t>
      </w:r>
      <w:r w:rsidRPr="00FF3199">
        <w:rPr>
          <w:rFonts w:ascii="Arial" w:eastAsia="MS Mincho" w:hAnsi="Arial" w:cs="Arial"/>
          <w:i/>
          <w:u w:val="single"/>
        </w:rPr>
        <w:t>Parties, counsels, representatives and witnesses</w:t>
      </w:r>
      <w:r w:rsidRPr="00FF3199">
        <w:rPr>
          <w:rFonts w:ascii="Arial" w:eastAsia="MS Mincho" w:hAnsi="Arial" w:cs="Arial"/>
        </w:rPr>
        <w:t>. If the Department determines that disclosure of certain records to a party, counsel, representative or witness in an administrative proceeding is relevant and necessary to the litigation, the Department may disclose those records as a routine use to the party, counsel, representative or witness.</w:t>
      </w:r>
    </w:p>
    <w:p w:rsidR="00FF3199" w:rsidRPr="00FF3199" w:rsidRDefault="00FF3199" w:rsidP="00FF3199">
      <w:pPr>
        <w:rPr>
          <w:rFonts w:ascii="Arial" w:eastAsia="MS Mincho" w:hAnsi="Arial" w:cs="Arial"/>
        </w:rPr>
      </w:pPr>
    </w:p>
    <w:p w:rsidR="009F7ECB" w:rsidRPr="00FF3199" w:rsidRDefault="009F7ECB" w:rsidP="00FF3199">
      <w:pPr>
        <w:rPr>
          <w:rFonts w:ascii="Arial" w:eastAsia="MS Mincho" w:hAnsi="Arial" w:cs="Arial"/>
        </w:rPr>
      </w:pPr>
      <w:r w:rsidRPr="00FF3199">
        <w:rPr>
          <w:rFonts w:ascii="Arial" w:eastAsia="MS Mincho" w:hAnsi="Arial" w:cs="Arial"/>
        </w:rPr>
        <w:lastRenderedPageBreak/>
        <w:tab/>
        <w:t xml:space="preserve">(5) </w:t>
      </w:r>
      <w:r w:rsidRPr="00FF3199">
        <w:rPr>
          <w:rFonts w:ascii="Arial" w:eastAsia="MS Mincho" w:hAnsi="Arial" w:cs="Arial"/>
          <w:i/>
          <w:u w:val="single"/>
        </w:rPr>
        <w:t>Employment, Benefit, and Contracting Disclosure</w:t>
      </w:r>
      <w:r w:rsidRPr="00FF3199">
        <w:rPr>
          <w:rFonts w:ascii="Arial" w:eastAsia="MS Mincho" w:hAnsi="Arial" w:cs="Arial"/>
        </w:rPr>
        <w:t>.</w:t>
      </w:r>
    </w:p>
    <w:p w:rsidR="009F7ECB" w:rsidRPr="00FF3199" w:rsidRDefault="009F7ECB" w:rsidP="00FF3199">
      <w:pPr>
        <w:rPr>
          <w:rFonts w:ascii="Arial" w:eastAsia="MS Mincho" w:hAnsi="Arial" w:cs="Arial"/>
        </w:rPr>
      </w:pPr>
      <w:r w:rsidRPr="00FF3199">
        <w:rPr>
          <w:rFonts w:ascii="Arial" w:eastAsia="MS Mincho" w:hAnsi="Arial" w:cs="Arial"/>
        </w:rPr>
        <w:tab/>
        <w:t xml:space="preserve">(a) </w:t>
      </w:r>
      <w:r w:rsidRPr="00FF3199">
        <w:rPr>
          <w:rFonts w:ascii="Arial" w:eastAsia="MS Mincho" w:hAnsi="Arial" w:cs="Arial"/>
          <w:i/>
          <w:u w:val="single"/>
        </w:rPr>
        <w:t>For Decisions by the Department</w:t>
      </w:r>
      <w:r w:rsidRPr="00FF3199">
        <w:rPr>
          <w:rFonts w:ascii="Arial" w:eastAsia="MS Mincho" w:hAnsi="Arial" w:cs="Arial"/>
        </w:rPr>
        <w:t>.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9F7ECB" w:rsidRPr="00FF3199" w:rsidRDefault="009F7ECB" w:rsidP="00FF3199">
      <w:pPr>
        <w:rPr>
          <w:rFonts w:ascii="Arial" w:eastAsia="MS Mincho" w:hAnsi="Arial" w:cs="Arial"/>
        </w:rPr>
      </w:pPr>
      <w:r w:rsidRPr="00FF3199">
        <w:rPr>
          <w:rFonts w:ascii="Arial" w:eastAsia="MS Mincho" w:hAnsi="Arial" w:cs="Arial"/>
        </w:rPr>
        <w:tab/>
        <w:t xml:space="preserve">(b) </w:t>
      </w:r>
      <w:r w:rsidRPr="00FF3199">
        <w:rPr>
          <w:rFonts w:ascii="Arial" w:eastAsia="MS Mincho" w:hAnsi="Arial" w:cs="Arial"/>
          <w:i/>
          <w:u w:val="single"/>
        </w:rPr>
        <w:t>For Decisions by Other Public Agencies and Professional Organizations</w:t>
      </w:r>
      <w:r w:rsidRPr="00FF3199">
        <w:rPr>
          <w:rFonts w:ascii="Arial" w:eastAsia="MS Mincho" w:hAnsi="Arial" w:cs="Arial"/>
        </w:rPr>
        <w:t>.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9F7ECB" w:rsidRPr="00FF3199" w:rsidRDefault="009F7ECB" w:rsidP="00FF3199">
      <w:pPr>
        <w:rPr>
          <w:rFonts w:ascii="Arial" w:eastAsia="MS Mincho" w:hAnsi="Arial" w:cs="Arial"/>
        </w:rPr>
      </w:pPr>
      <w:r w:rsidRPr="00FF3199">
        <w:rPr>
          <w:rFonts w:ascii="Arial" w:eastAsia="MS Mincho" w:hAnsi="Arial" w:cs="Arial"/>
        </w:rPr>
        <w:tab/>
        <w:t xml:space="preserve">(6) </w:t>
      </w:r>
      <w:r w:rsidRPr="00FF3199">
        <w:rPr>
          <w:rFonts w:ascii="Arial" w:eastAsia="MS Mincho" w:hAnsi="Arial" w:cs="Arial"/>
          <w:i/>
          <w:u w:val="single"/>
        </w:rPr>
        <w:t>Employee Grievance, Complaint or Conduct Disclosure</w:t>
      </w:r>
      <w:r w:rsidRPr="00FF3199">
        <w:rPr>
          <w:rFonts w:ascii="Arial" w:eastAsia="MS Mincho" w:hAnsi="Arial" w:cs="Arial"/>
        </w:rPr>
        <w:t>. The Department may disclose a record in this system of records to another agency of the Federal Government if the record is relevant to one of the following proceedings regarding a present or former employee of the Department: complaint, grievance, discipline or competence determination proceedings. The disclosure may only be made during the course of the proceeding.</w:t>
      </w:r>
    </w:p>
    <w:p w:rsidR="009F7ECB" w:rsidRPr="00FF3199" w:rsidRDefault="009F7ECB" w:rsidP="00FF3199">
      <w:pPr>
        <w:rPr>
          <w:rFonts w:ascii="Arial" w:eastAsia="MS Mincho" w:hAnsi="Arial" w:cs="Arial"/>
        </w:rPr>
      </w:pPr>
      <w:r w:rsidRPr="00FF3199">
        <w:rPr>
          <w:rFonts w:ascii="Arial" w:eastAsia="MS Mincho" w:hAnsi="Arial" w:cs="Arial"/>
        </w:rPr>
        <w:tab/>
        <w:t xml:space="preserve">(7) </w:t>
      </w:r>
      <w:r w:rsidRPr="00FF3199">
        <w:rPr>
          <w:rFonts w:ascii="Arial" w:eastAsia="MS Mincho" w:hAnsi="Arial" w:cs="Arial"/>
          <w:i/>
          <w:u w:val="single"/>
        </w:rPr>
        <w:t>Labor Organization Disclosure</w:t>
      </w:r>
      <w:r w:rsidRPr="00FF3199">
        <w:rPr>
          <w:rFonts w:ascii="Arial" w:eastAsia="MS Mincho" w:hAnsi="Arial" w:cs="Arial"/>
          <w:i/>
        </w:rPr>
        <w:t>.</w:t>
      </w:r>
      <w:r w:rsidRPr="00FF3199">
        <w:rPr>
          <w:rFonts w:ascii="Arial" w:eastAsia="MS Mincho" w:hAnsi="Arial" w:cs="Arial"/>
        </w:rPr>
        <w:t xml:space="preserve"> A component of the Department may disclose records to a labor organization if a contract between the component and a labor organization recognized under Title V of the United States Code, Chapter 71, provides that the Department will disclose personal records relevant to the organization's mission. The disclosures will be made only as authorized by law.</w:t>
      </w:r>
    </w:p>
    <w:p w:rsidR="009F7ECB" w:rsidRPr="00FF3199" w:rsidRDefault="009F7ECB" w:rsidP="00FF3199">
      <w:pPr>
        <w:rPr>
          <w:rFonts w:ascii="Arial" w:eastAsia="MS Mincho" w:hAnsi="Arial" w:cs="Arial"/>
        </w:rPr>
      </w:pPr>
      <w:r w:rsidRPr="00FF3199">
        <w:rPr>
          <w:rFonts w:ascii="Arial" w:eastAsia="MS Mincho" w:hAnsi="Arial" w:cs="Arial"/>
        </w:rPr>
        <w:tab/>
        <w:t xml:space="preserve">(8) </w:t>
      </w:r>
      <w:r w:rsidRPr="00FF3199">
        <w:rPr>
          <w:rFonts w:ascii="Arial" w:eastAsia="MS Mincho" w:hAnsi="Arial" w:cs="Arial"/>
          <w:i/>
          <w:u w:val="single"/>
        </w:rPr>
        <w:t>Freedom of Information Act (FOIA) Advice Disclosure</w:t>
      </w:r>
      <w:r w:rsidRPr="00FF3199">
        <w:rPr>
          <w:rFonts w:ascii="Arial" w:eastAsia="MS Mincho" w:hAnsi="Arial" w:cs="Arial"/>
        </w:rPr>
        <w:t>. The Department may disclose records to the Department of Justice and the Office of Management and Budget if the Department concludes that disclosure is desirable or necessary in determining whether particular records are required to be disclosed under the FOIA.</w:t>
      </w:r>
    </w:p>
    <w:p w:rsidR="009F7ECB" w:rsidRPr="00FF3199" w:rsidRDefault="009F7ECB" w:rsidP="00FF3199">
      <w:pPr>
        <w:rPr>
          <w:rFonts w:ascii="Arial" w:eastAsia="MS Mincho" w:hAnsi="Arial" w:cs="Arial"/>
        </w:rPr>
      </w:pPr>
      <w:r w:rsidRPr="00FF3199">
        <w:rPr>
          <w:rFonts w:ascii="Arial" w:eastAsia="MS Mincho" w:hAnsi="Arial" w:cs="Arial"/>
        </w:rPr>
        <w:tab/>
        <w:t xml:space="preserve">(9) </w:t>
      </w:r>
      <w:r w:rsidRPr="00FF3199">
        <w:rPr>
          <w:rFonts w:ascii="Arial" w:eastAsia="MS Mincho" w:hAnsi="Arial" w:cs="Arial"/>
          <w:i/>
          <w:u w:val="single"/>
        </w:rPr>
        <w:t>Disclosure to the Department of Justice (DOJ)</w:t>
      </w:r>
      <w:r w:rsidRPr="00FF3199">
        <w:rPr>
          <w:rFonts w:ascii="Arial" w:eastAsia="MS Mincho" w:hAnsi="Arial" w:cs="Arial"/>
          <w:i/>
        </w:rPr>
        <w:t>.</w:t>
      </w:r>
      <w:r w:rsidRPr="00FF3199">
        <w:rPr>
          <w:rFonts w:ascii="Arial" w:eastAsia="MS Mincho" w:hAnsi="Arial" w:cs="Arial"/>
        </w:rPr>
        <w:t xml:space="preserve"> The Department may disclose records to the DOJ to the extent necessary for obtaining DOJ advice on any matter relevant to an audit, inspection, or other inquiry related to the programs covered by this system.</w:t>
      </w:r>
    </w:p>
    <w:p w:rsidR="009F7ECB" w:rsidRPr="00FF3199" w:rsidRDefault="009F7ECB" w:rsidP="00FF3199">
      <w:pPr>
        <w:rPr>
          <w:rFonts w:ascii="Arial" w:eastAsia="MS Mincho" w:hAnsi="Arial" w:cs="Arial"/>
        </w:rPr>
      </w:pPr>
      <w:r w:rsidRPr="00FF3199">
        <w:rPr>
          <w:rFonts w:ascii="Arial" w:eastAsia="MS Mincho" w:hAnsi="Arial" w:cs="Arial"/>
        </w:rPr>
        <w:tab/>
        <w:t xml:space="preserve">(10) </w:t>
      </w:r>
      <w:r w:rsidRPr="00FF3199">
        <w:rPr>
          <w:rFonts w:ascii="Arial" w:eastAsia="MS Mincho" w:hAnsi="Arial" w:cs="Arial"/>
          <w:i/>
          <w:u w:val="single"/>
        </w:rPr>
        <w:t>Contract Disclosure</w:t>
      </w:r>
      <w:r w:rsidRPr="00FF3199">
        <w:rPr>
          <w:rFonts w:ascii="Arial" w:eastAsia="MS Mincho" w:hAnsi="Arial" w:cs="Arial"/>
        </w:rPr>
        <w:t>. If the Department contracts with an entity for the purposes of performing any function that requires disclosure of records in this system to employees of the contractor, the Department may disclose the records to those employees. Before entering into such a contract, the Department shall require the contractor to maintain Privacy Act safeguards as required under 5 U.S.C. 552a(m) with respect to the records in the system.</w:t>
      </w:r>
    </w:p>
    <w:p w:rsidR="009F7ECB" w:rsidRPr="00FF3199" w:rsidRDefault="009F7ECB" w:rsidP="00FF3199">
      <w:pPr>
        <w:rPr>
          <w:rFonts w:ascii="Arial" w:eastAsia="MS Mincho" w:hAnsi="Arial" w:cs="Arial"/>
        </w:rPr>
      </w:pPr>
      <w:r w:rsidRPr="00FF3199">
        <w:rPr>
          <w:rFonts w:ascii="Arial" w:eastAsia="MS Mincho" w:hAnsi="Arial" w:cs="Arial"/>
        </w:rPr>
        <w:tab/>
        <w:t xml:space="preserve">(11) </w:t>
      </w:r>
      <w:r w:rsidRPr="00FF3199">
        <w:rPr>
          <w:rFonts w:ascii="Arial" w:eastAsia="MS Mincho" w:hAnsi="Arial" w:cs="Arial"/>
          <w:i/>
          <w:u w:val="single"/>
        </w:rPr>
        <w:t>Research Disclosure</w:t>
      </w:r>
      <w:r w:rsidRPr="00FF3199">
        <w:rPr>
          <w:rFonts w:ascii="Arial" w:eastAsia="MS Mincho" w:hAnsi="Arial" w:cs="Arial"/>
        </w:rPr>
        <w:t xml:space="preserve">. The Department may disclose records to a researcher if an appropriate official of the Department 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 purposes of this system of records. The researcher </w:t>
      </w:r>
      <w:r w:rsidRPr="00FF3199">
        <w:rPr>
          <w:rFonts w:ascii="Arial" w:eastAsia="MS Mincho" w:hAnsi="Arial" w:cs="Arial"/>
        </w:rPr>
        <w:lastRenderedPageBreak/>
        <w:t>shall be required to maintain Privacy Act safeguards with respect to the disclosed records.</w:t>
      </w:r>
    </w:p>
    <w:p w:rsidR="009F7ECB" w:rsidRPr="00FF3199" w:rsidRDefault="009F7ECB" w:rsidP="00FF3199">
      <w:pPr>
        <w:rPr>
          <w:rFonts w:ascii="Arial" w:eastAsia="MS Mincho" w:hAnsi="Arial" w:cs="Arial"/>
        </w:rPr>
      </w:pPr>
      <w:r w:rsidRPr="00FF3199">
        <w:rPr>
          <w:rFonts w:ascii="Arial" w:eastAsia="MS Mincho" w:hAnsi="Arial" w:cs="Arial"/>
        </w:rPr>
        <w:tab/>
        <w:t xml:space="preserve">(12) </w:t>
      </w:r>
      <w:r w:rsidRPr="00FF3199">
        <w:rPr>
          <w:rFonts w:ascii="Arial" w:eastAsia="MS Mincho" w:hAnsi="Arial" w:cs="Arial"/>
          <w:i/>
          <w:u w:val="single"/>
        </w:rPr>
        <w:t>Congressional Member Disclosure</w:t>
      </w:r>
      <w:r w:rsidRPr="00FF3199">
        <w:rPr>
          <w:rFonts w:ascii="Arial" w:eastAsia="MS Mincho" w:hAnsi="Arial" w:cs="Arial"/>
        </w:rPr>
        <w:t>. The Department may disclose records to a member of Congress from the record of an individual in response to an inquiry from the member made at the written request of that individual. The Member's right to the information is no greater than the right of the individual who requested it.</w:t>
      </w:r>
    </w:p>
    <w:p w:rsidR="009F7ECB" w:rsidRPr="00FF3199" w:rsidRDefault="009F7ECB" w:rsidP="00FF3199">
      <w:pPr>
        <w:rPr>
          <w:rFonts w:ascii="Arial" w:eastAsia="MS Mincho" w:hAnsi="Arial" w:cs="Arial"/>
        </w:rPr>
      </w:pPr>
      <w:r w:rsidRPr="00FF3199">
        <w:rPr>
          <w:rFonts w:ascii="Arial" w:eastAsia="MS Mincho" w:hAnsi="Arial" w:cs="Arial"/>
        </w:rPr>
        <w:tab/>
        <w:t xml:space="preserve">(13) </w:t>
      </w:r>
      <w:r w:rsidRPr="00FF3199">
        <w:rPr>
          <w:rFonts w:ascii="Arial" w:eastAsia="MS Mincho" w:hAnsi="Arial" w:cs="Arial"/>
          <w:i/>
          <w:u w:val="single"/>
        </w:rPr>
        <w:t>Disclosure to the Office of Management and Budget (OMB) for Credit Reform Act (CRA) Support</w:t>
      </w:r>
      <w:r w:rsidRPr="00FF3199">
        <w:rPr>
          <w:rFonts w:ascii="Arial" w:eastAsia="MS Mincho" w:hAnsi="Arial" w:cs="Arial"/>
        </w:rPr>
        <w:t>. The Department may disclose records to OMB as necessary to fulfill CRA requirements.</w:t>
      </w:r>
    </w:p>
    <w:p w:rsidR="009F7ECB" w:rsidRPr="00FF3199" w:rsidRDefault="009F7ECB" w:rsidP="00FF3199">
      <w:pPr>
        <w:rPr>
          <w:rFonts w:ascii="Arial" w:hAnsi="Arial" w:cs="Arial"/>
        </w:rPr>
      </w:pPr>
      <w:bookmarkStart w:id="12" w:name="_Toc39471693"/>
      <w:r w:rsidRPr="00FF3199">
        <w:rPr>
          <w:rFonts w:ascii="Arial" w:hAnsi="Arial" w:cs="Arial"/>
          <w:b/>
        </w:rPr>
        <w:t>DISCLOSURE TO CONSUMER REPORTING AGENCIES</w:t>
      </w:r>
      <w:r w:rsidRPr="00FF3199">
        <w:rPr>
          <w:rFonts w:ascii="Arial" w:hAnsi="Arial" w:cs="Arial"/>
        </w:rPr>
        <w:t>:</w:t>
      </w:r>
      <w:bookmarkEnd w:id="12"/>
    </w:p>
    <w:p w:rsidR="009F7ECB" w:rsidRPr="00FF3199" w:rsidRDefault="009F7ECB" w:rsidP="00FF3199">
      <w:pPr>
        <w:rPr>
          <w:rFonts w:ascii="Arial" w:eastAsia="MS Mincho" w:hAnsi="Arial" w:cs="Arial"/>
        </w:rPr>
      </w:pPr>
      <w:r w:rsidRPr="00FF3199">
        <w:rPr>
          <w:rFonts w:ascii="Arial" w:eastAsia="MS Mincho" w:hAnsi="Arial" w:cs="Arial"/>
        </w:rPr>
        <w:tab/>
      </w:r>
      <w:r w:rsidRPr="00FF3199">
        <w:rPr>
          <w:rFonts w:ascii="Arial" w:eastAsia="MS Mincho" w:hAnsi="Arial" w:cs="Arial"/>
          <w:i/>
          <w:u w:val="single"/>
        </w:rPr>
        <w:t>Disclosures pursuant to 5 U.S.C. 552a(b)(12)</w:t>
      </w:r>
      <w:r w:rsidRPr="00FF3199">
        <w:rPr>
          <w:rFonts w:ascii="Arial" w:eastAsia="MS Mincho" w:hAnsi="Arial" w:cs="Arial"/>
          <w:i/>
        </w:rPr>
        <w:t>:</w:t>
      </w:r>
      <w:r w:rsidRPr="00FF3199">
        <w:rPr>
          <w:rFonts w:ascii="Arial" w:eastAsia="MS Mincho" w:hAnsi="Arial" w:cs="Arial"/>
        </w:rPr>
        <w:t xml:space="preserve"> The Department may disclose to a consumer reporting agency information regarding a claim by the Department which is determined to be valid and overdue as follows: (1) The name, address, taxpayer identification number and other information necessary to establish the identity of the individual responsible for the claim; (2) the amount, status, and history of the claim; and (3) the program under which the claim arose. The Department may disclose the information specified in this paragraph under 5 U.S.C. 552a(b)(12) and the procedures contained in subsection 31 U.S.C. 3711(e). A consumer reporting agency to which these disclosures may be made is defined at 31 U.S.C. 3701(a)(3).</w:t>
      </w:r>
    </w:p>
    <w:p w:rsidR="009F7ECB" w:rsidRPr="00FF3199" w:rsidRDefault="009F7ECB" w:rsidP="00FF3199">
      <w:pPr>
        <w:rPr>
          <w:rFonts w:ascii="Arial" w:hAnsi="Arial" w:cs="Arial"/>
          <w:b/>
        </w:rPr>
      </w:pPr>
      <w:bookmarkStart w:id="13" w:name="_Toc39471694"/>
      <w:r w:rsidRPr="00FF3199">
        <w:rPr>
          <w:rFonts w:ascii="Arial" w:hAnsi="Arial" w:cs="Arial"/>
          <w:b/>
        </w:rPr>
        <w:t>POLICIES AND PRACTICES FOR STORING, RETRIEVING, ACCESSING, RETAINING, AND DISPOSING OF RECORDS IN THE SYSTEM:</w:t>
      </w:r>
      <w:bookmarkEnd w:id="13"/>
    </w:p>
    <w:p w:rsidR="009F7ECB" w:rsidRPr="00FF3199" w:rsidRDefault="009F7ECB" w:rsidP="00FF3199">
      <w:pPr>
        <w:rPr>
          <w:rFonts w:ascii="Arial" w:hAnsi="Arial" w:cs="Arial"/>
        </w:rPr>
      </w:pPr>
      <w:bookmarkStart w:id="14" w:name="_Toc39471695"/>
      <w:r w:rsidRPr="00FF3199">
        <w:rPr>
          <w:rFonts w:ascii="Arial" w:hAnsi="Arial" w:cs="Arial"/>
          <w:b/>
        </w:rPr>
        <w:t>STORAGE</w:t>
      </w:r>
      <w:r w:rsidRPr="00FF3199">
        <w:rPr>
          <w:rFonts w:ascii="Arial" w:hAnsi="Arial" w:cs="Arial"/>
        </w:rPr>
        <w:t>:</w:t>
      </w:r>
      <w:bookmarkEnd w:id="14"/>
    </w:p>
    <w:p w:rsidR="009F7ECB" w:rsidRPr="00FF3199" w:rsidRDefault="009F7ECB" w:rsidP="00FF3199">
      <w:pPr>
        <w:rPr>
          <w:rFonts w:ascii="Arial" w:eastAsia="MS Mincho" w:hAnsi="Arial" w:cs="Arial"/>
        </w:rPr>
      </w:pPr>
      <w:r w:rsidRPr="00FF3199">
        <w:rPr>
          <w:rFonts w:ascii="Arial" w:eastAsia="MS Mincho" w:hAnsi="Arial" w:cs="Arial"/>
        </w:rPr>
        <w:tab/>
        <w:t xml:space="preserve">The records are maintained in hardcopy, filed in standard filing cabinets and in an electronic data warehouse maintained by </w:t>
      </w:r>
      <w:proofErr w:type="spellStart"/>
      <w:r w:rsidRPr="00FF3199">
        <w:rPr>
          <w:rFonts w:ascii="Arial" w:eastAsia="MS Mincho" w:hAnsi="Arial" w:cs="Arial"/>
        </w:rPr>
        <w:t>AppNet</w:t>
      </w:r>
      <w:proofErr w:type="spellEnd"/>
      <w:r w:rsidRPr="00FF3199">
        <w:rPr>
          <w:rFonts w:ascii="Arial" w:eastAsia="MS Mincho" w:hAnsi="Arial" w:cs="Arial"/>
        </w:rPr>
        <w:t xml:space="preserve"> and accessible by </w:t>
      </w:r>
      <w:proofErr w:type="spellStart"/>
      <w:r w:rsidRPr="00FF3199">
        <w:rPr>
          <w:rFonts w:ascii="Arial" w:eastAsia="MS Mincho" w:hAnsi="Arial" w:cs="Arial"/>
        </w:rPr>
        <w:t>AppNet</w:t>
      </w:r>
      <w:proofErr w:type="spellEnd"/>
      <w:r w:rsidRPr="00FF3199">
        <w:rPr>
          <w:rFonts w:ascii="Arial" w:eastAsia="MS Mincho" w:hAnsi="Arial" w:cs="Arial"/>
        </w:rPr>
        <w:t>, individual participants, participants' institutions and U.S. Department of Education personnel.</w:t>
      </w:r>
    </w:p>
    <w:p w:rsidR="009F7ECB" w:rsidRPr="00FF3199" w:rsidRDefault="009F7ECB" w:rsidP="00FF3199">
      <w:pPr>
        <w:rPr>
          <w:rFonts w:ascii="Arial" w:hAnsi="Arial" w:cs="Arial"/>
          <w:b/>
        </w:rPr>
      </w:pPr>
      <w:bookmarkStart w:id="15" w:name="_Toc39471696"/>
      <w:r w:rsidRPr="00FF3199">
        <w:rPr>
          <w:rFonts w:ascii="Arial" w:hAnsi="Arial" w:cs="Arial"/>
          <w:b/>
        </w:rPr>
        <w:t>RETRIEVABILITY:</w:t>
      </w:r>
      <w:bookmarkEnd w:id="15"/>
    </w:p>
    <w:p w:rsidR="009F7ECB" w:rsidRPr="00FF3199" w:rsidRDefault="009F7ECB" w:rsidP="00FF3199">
      <w:pPr>
        <w:rPr>
          <w:rFonts w:ascii="Arial" w:eastAsia="MS Mincho" w:hAnsi="Arial" w:cs="Arial"/>
        </w:rPr>
      </w:pPr>
      <w:r w:rsidRPr="00FF3199">
        <w:rPr>
          <w:rFonts w:ascii="Arial" w:eastAsia="MS Mincho" w:hAnsi="Arial" w:cs="Arial"/>
        </w:rPr>
        <w:tab/>
        <w:t>Hardcopy files are retrieved by individual names and educational institution. Electronic files can be accessed through all data elements.</w:t>
      </w:r>
    </w:p>
    <w:p w:rsidR="009F7ECB" w:rsidRPr="00FF3199" w:rsidRDefault="009F7ECB" w:rsidP="00FF3199">
      <w:pPr>
        <w:rPr>
          <w:rFonts w:ascii="Arial" w:hAnsi="Arial" w:cs="Arial"/>
          <w:b/>
        </w:rPr>
      </w:pPr>
      <w:bookmarkStart w:id="16" w:name="_Toc39471697"/>
      <w:r w:rsidRPr="00FF3199">
        <w:rPr>
          <w:rFonts w:ascii="Arial" w:hAnsi="Arial" w:cs="Arial"/>
          <w:b/>
        </w:rPr>
        <w:t>SAFEGUARDS:</w:t>
      </w:r>
      <w:bookmarkEnd w:id="16"/>
    </w:p>
    <w:p w:rsidR="009F7ECB" w:rsidRPr="00FF3199" w:rsidRDefault="009F7ECB" w:rsidP="00FF3199">
      <w:pPr>
        <w:rPr>
          <w:rFonts w:ascii="Arial" w:eastAsia="MS Mincho" w:hAnsi="Arial" w:cs="Arial"/>
        </w:rPr>
      </w:pPr>
      <w:r w:rsidRPr="00FF3199">
        <w:rPr>
          <w:rFonts w:ascii="Arial" w:eastAsia="MS Mincho" w:hAnsi="Arial" w:cs="Arial"/>
        </w:rPr>
        <w:tab/>
        <w:t>All physical access to the Department of Education site, and the sites of Department contractors where this system of records is maintained, is controlled and monitored by personnel who check each individual entering the building.</w:t>
      </w:r>
    </w:p>
    <w:p w:rsidR="009F7ECB" w:rsidRPr="00FF3199" w:rsidRDefault="009F7ECB" w:rsidP="00FF3199">
      <w:pPr>
        <w:rPr>
          <w:rFonts w:ascii="Arial" w:eastAsia="MS Mincho" w:hAnsi="Arial" w:cs="Arial"/>
        </w:rPr>
      </w:pPr>
      <w:r w:rsidRPr="00FF3199">
        <w:rPr>
          <w:rFonts w:ascii="Arial" w:eastAsia="MS Mincho" w:hAnsi="Arial" w:cs="Arial"/>
        </w:rPr>
        <w:tab/>
        <w:t xml:space="preserve">The computer system employed by </w:t>
      </w:r>
      <w:proofErr w:type="spellStart"/>
      <w:r w:rsidRPr="00FF3199">
        <w:rPr>
          <w:rFonts w:ascii="Arial" w:eastAsia="MS Mincho" w:hAnsi="Arial" w:cs="Arial"/>
        </w:rPr>
        <w:t>AppNet</w:t>
      </w:r>
      <w:proofErr w:type="spellEnd"/>
      <w:r w:rsidRPr="00FF3199">
        <w:rPr>
          <w:rFonts w:ascii="Arial" w:eastAsia="MS Mincho" w:hAnsi="Arial" w:cs="Arial"/>
        </w:rPr>
        <w:t xml:space="preserve"> offers a high degree of resistance to tampering and circumvention. This security system limits data access to Department of Education and contract staff grantees on a "need-to-know" basis, and controls individual users' ability to access and alter records within the system. All users of this system of records are given a unique user ID with personal identifiers. All interactions by individual users with the system are recorded.</w:t>
      </w:r>
    </w:p>
    <w:p w:rsidR="009F7ECB" w:rsidRPr="00FF3199" w:rsidRDefault="009F7ECB" w:rsidP="00FF3199">
      <w:pPr>
        <w:rPr>
          <w:rFonts w:ascii="Arial" w:hAnsi="Arial" w:cs="Arial"/>
          <w:b/>
        </w:rPr>
      </w:pPr>
      <w:bookmarkStart w:id="17" w:name="_Toc39471698"/>
      <w:r w:rsidRPr="00FF3199">
        <w:rPr>
          <w:rFonts w:ascii="Arial" w:hAnsi="Arial" w:cs="Arial"/>
          <w:b/>
        </w:rPr>
        <w:t>RETENTION AND DISPOSAL:</w:t>
      </w:r>
      <w:bookmarkEnd w:id="17"/>
    </w:p>
    <w:p w:rsidR="009F7ECB" w:rsidRDefault="009F7ECB" w:rsidP="00FF3199">
      <w:pPr>
        <w:rPr>
          <w:rFonts w:ascii="Arial" w:eastAsia="MS Mincho" w:hAnsi="Arial" w:cs="Arial"/>
        </w:rPr>
      </w:pPr>
      <w:r w:rsidRPr="00FF3199">
        <w:rPr>
          <w:rFonts w:ascii="Arial" w:eastAsia="MS Mincho" w:hAnsi="Arial" w:cs="Arial"/>
        </w:rPr>
        <w:tab/>
        <w:t>Hardcopy records are maintained for five years and then destroyed. Data stored in the electronic data warehouse are maintained until the need for longitudinal studies to demonstrate program effectiveness is no longer required.</w:t>
      </w:r>
    </w:p>
    <w:p w:rsidR="00FF3199" w:rsidRDefault="00FF3199" w:rsidP="00FF3199">
      <w:pPr>
        <w:rPr>
          <w:rFonts w:ascii="Arial" w:eastAsia="MS Mincho" w:hAnsi="Arial" w:cs="Arial"/>
        </w:rPr>
      </w:pPr>
    </w:p>
    <w:p w:rsidR="00FF3199" w:rsidRDefault="00FF3199" w:rsidP="00FF3199">
      <w:pPr>
        <w:rPr>
          <w:rFonts w:ascii="Arial" w:eastAsia="MS Mincho" w:hAnsi="Arial" w:cs="Arial"/>
        </w:rPr>
      </w:pPr>
    </w:p>
    <w:p w:rsidR="00FF3199" w:rsidRPr="00FF3199" w:rsidRDefault="00FF3199" w:rsidP="00FF3199">
      <w:pPr>
        <w:rPr>
          <w:rFonts w:ascii="Arial" w:eastAsia="MS Mincho" w:hAnsi="Arial" w:cs="Arial"/>
        </w:rPr>
      </w:pPr>
    </w:p>
    <w:p w:rsidR="009F7ECB" w:rsidRPr="00FF3199" w:rsidRDefault="009F7ECB" w:rsidP="00FF3199">
      <w:pPr>
        <w:rPr>
          <w:rFonts w:ascii="Arial" w:hAnsi="Arial" w:cs="Arial"/>
          <w:b/>
        </w:rPr>
      </w:pPr>
      <w:bookmarkStart w:id="18" w:name="_Toc39471699"/>
      <w:r w:rsidRPr="00FF3199">
        <w:rPr>
          <w:rFonts w:ascii="Arial" w:hAnsi="Arial" w:cs="Arial"/>
          <w:b/>
        </w:rPr>
        <w:lastRenderedPageBreak/>
        <w:t>SYSTEM MANAGER(S) AND ADDRESS:</w:t>
      </w:r>
      <w:bookmarkEnd w:id="18"/>
    </w:p>
    <w:p w:rsidR="009F7ECB" w:rsidRPr="00FF3199" w:rsidRDefault="009F7ECB" w:rsidP="00FF3199">
      <w:pPr>
        <w:rPr>
          <w:rFonts w:ascii="Arial" w:eastAsia="MS Mincho" w:hAnsi="Arial" w:cs="Arial"/>
        </w:rPr>
      </w:pPr>
      <w:r w:rsidRPr="00FF3199">
        <w:rPr>
          <w:rFonts w:ascii="Arial" w:eastAsia="MS Mincho" w:hAnsi="Arial" w:cs="Arial"/>
        </w:rPr>
        <w:tab/>
        <w:t>Director, International Education and Graduate Programs Service, Office of Postsecondary Education, U.S. Department of Education, 400 Maryland Avenue, SW., Room 600B, Portals Building, Washington, DC  20202-5247.</w:t>
      </w:r>
    </w:p>
    <w:p w:rsidR="009F7ECB" w:rsidRPr="00FF3199" w:rsidRDefault="009F7ECB" w:rsidP="00FF3199">
      <w:pPr>
        <w:rPr>
          <w:rFonts w:ascii="Arial" w:hAnsi="Arial" w:cs="Arial"/>
          <w:b/>
        </w:rPr>
      </w:pPr>
      <w:bookmarkStart w:id="19" w:name="_Toc39471700"/>
      <w:r w:rsidRPr="00FF3199">
        <w:rPr>
          <w:rFonts w:ascii="Arial" w:hAnsi="Arial" w:cs="Arial"/>
          <w:b/>
        </w:rPr>
        <w:t>NOTIFICATION PROCEDURE:</w:t>
      </w:r>
      <w:bookmarkEnd w:id="19"/>
    </w:p>
    <w:p w:rsidR="009F7ECB" w:rsidRPr="00FF3199" w:rsidRDefault="009F7ECB" w:rsidP="00FF3199">
      <w:pPr>
        <w:rPr>
          <w:rFonts w:ascii="Arial" w:eastAsia="MS Mincho" w:hAnsi="Arial" w:cs="Arial"/>
        </w:rPr>
      </w:pPr>
      <w:r w:rsidRPr="00FF3199">
        <w:rPr>
          <w:rFonts w:ascii="Arial" w:eastAsia="MS Mincho" w:hAnsi="Arial" w:cs="Arial"/>
        </w:rPr>
        <w:tab/>
        <w:t>If you wish to determine whether a record exists regarding you in the system of records, provide the system manager with your name, date of birth, social security number, the year of the award, the name of the grantee institution, major country in which you conducted your educational activity. Your request must meet the requirements of the regulations at 34 CFR 5b.5, including proof of identity.</w:t>
      </w:r>
    </w:p>
    <w:p w:rsidR="009F7ECB" w:rsidRPr="00FF3199" w:rsidRDefault="009F7ECB" w:rsidP="00FF3199">
      <w:pPr>
        <w:rPr>
          <w:rFonts w:ascii="Arial" w:hAnsi="Arial" w:cs="Arial"/>
          <w:b/>
        </w:rPr>
      </w:pPr>
      <w:bookmarkStart w:id="20" w:name="_Toc39471701"/>
      <w:r w:rsidRPr="00FF3199">
        <w:rPr>
          <w:rFonts w:ascii="Arial" w:hAnsi="Arial" w:cs="Arial"/>
          <w:b/>
        </w:rPr>
        <w:t>RECORD ACCESS PROCEDURES:</w:t>
      </w:r>
      <w:bookmarkEnd w:id="20"/>
      <w:r w:rsidRPr="00FF3199">
        <w:rPr>
          <w:rFonts w:ascii="Arial" w:hAnsi="Arial" w:cs="Arial"/>
          <w:b/>
        </w:rPr>
        <w:t xml:space="preserve"> </w:t>
      </w:r>
    </w:p>
    <w:p w:rsidR="009F7ECB" w:rsidRPr="00FF3199" w:rsidRDefault="009F7ECB" w:rsidP="00FF3199">
      <w:pPr>
        <w:rPr>
          <w:rFonts w:ascii="Arial" w:eastAsia="MS Mincho" w:hAnsi="Arial" w:cs="Arial"/>
        </w:rPr>
      </w:pPr>
      <w:r w:rsidRPr="00FF3199">
        <w:rPr>
          <w:rFonts w:ascii="Arial" w:eastAsia="MS Mincho" w:hAnsi="Arial" w:cs="Arial"/>
        </w:rPr>
        <w:tab/>
        <w:t>If you wish to gain access to records regarding you in this system of records, contact the system manager at the address listed above and follow the steps outlined in the Notification Procedures. Your request must meet the requirements of the regulations at 34 CFR 5b.5, including proof of identity.</w:t>
      </w:r>
    </w:p>
    <w:p w:rsidR="009F7ECB" w:rsidRPr="00FF3199" w:rsidRDefault="009F7ECB" w:rsidP="00FF3199">
      <w:pPr>
        <w:rPr>
          <w:rFonts w:ascii="Arial" w:hAnsi="Arial" w:cs="Arial"/>
          <w:b/>
        </w:rPr>
      </w:pPr>
      <w:bookmarkStart w:id="21" w:name="_Toc39471702"/>
      <w:r w:rsidRPr="00FF3199">
        <w:rPr>
          <w:rFonts w:ascii="Arial" w:hAnsi="Arial" w:cs="Arial"/>
          <w:b/>
        </w:rPr>
        <w:t>CONTESTING RECORD PROCEDURES:</w:t>
      </w:r>
      <w:bookmarkEnd w:id="21"/>
    </w:p>
    <w:p w:rsidR="009F7ECB" w:rsidRPr="00FF3199" w:rsidRDefault="009F7ECB" w:rsidP="00FF3199">
      <w:pPr>
        <w:rPr>
          <w:rFonts w:ascii="Arial" w:eastAsia="MS Mincho" w:hAnsi="Arial" w:cs="Arial"/>
        </w:rPr>
      </w:pPr>
      <w:r w:rsidRPr="00FF3199">
        <w:rPr>
          <w:rFonts w:ascii="Arial" w:eastAsia="MS Mincho" w:hAnsi="Arial" w:cs="Arial"/>
        </w:rPr>
        <w:tab/>
        <w:t>If you wish to contest the content of a record in this system of records, contact the system manager at the address listed above. Your request must meet the requirements of the regulations at 34 CFR 5b.7, including proof of identity.</w:t>
      </w:r>
    </w:p>
    <w:p w:rsidR="009F7ECB" w:rsidRPr="00FF3199" w:rsidRDefault="009F7ECB" w:rsidP="00FF3199">
      <w:pPr>
        <w:rPr>
          <w:rFonts w:ascii="Arial" w:hAnsi="Arial" w:cs="Arial"/>
          <w:b/>
        </w:rPr>
      </w:pPr>
      <w:bookmarkStart w:id="22" w:name="_Toc39471703"/>
      <w:r w:rsidRPr="00FF3199">
        <w:rPr>
          <w:rFonts w:ascii="Arial" w:hAnsi="Arial" w:cs="Arial"/>
          <w:b/>
        </w:rPr>
        <w:t>RECORD SOURCE CATEGORIES:</w:t>
      </w:r>
      <w:bookmarkEnd w:id="22"/>
    </w:p>
    <w:p w:rsidR="009F7ECB" w:rsidRPr="00FF3199" w:rsidRDefault="009F7ECB" w:rsidP="00FF3199">
      <w:pPr>
        <w:rPr>
          <w:rFonts w:ascii="Arial" w:eastAsia="MS Mincho" w:hAnsi="Arial" w:cs="Arial"/>
        </w:rPr>
      </w:pPr>
      <w:r w:rsidRPr="00FF3199">
        <w:rPr>
          <w:rFonts w:ascii="Arial" w:eastAsia="MS Mincho" w:hAnsi="Arial" w:cs="Arial"/>
        </w:rPr>
        <w:tab/>
        <w:t xml:space="preserve">Information is obtained from the individual on approved application forms and from field readers, and may be secured from the U.S. Department of State, U.S. Embassies, </w:t>
      </w:r>
      <w:proofErr w:type="spellStart"/>
      <w:r w:rsidRPr="00FF3199">
        <w:rPr>
          <w:rFonts w:ascii="Arial" w:eastAsia="MS Mincho" w:hAnsi="Arial" w:cs="Arial"/>
        </w:rPr>
        <w:t>binational</w:t>
      </w:r>
      <w:proofErr w:type="spellEnd"/>
      <w:r w:rsidRPr="00FF3199">
        <w:rPr>
          <w:rFonts w:ascii="Arial" w:eastAsia="MS Mincho" w:hAnsi="Arial" w:cs="Arial"/>
        </w:rPr>
        <w:t xml:space="preserve"> commissions, the J. William Fulbright Foreign Scholarship Board, and foreign educators and officials.</w:t>
      </w:r>
    </w:p>
    <w:p w:rsidR="009F7ECB" w:rsidRPr="00FF3199" w:rsidRDefault="009F7ECB" w:rsidP="00FF3199">
      <w:pPr>
        <w:rPr>
          <w:rFonts w:ascii="Arial" w:hAnsi="Arial" w:cs="Arial"/>
          <w:b/>
        </w:rPr>
      </w:pPr>
      <w:bookmarkStart w:id="23" w:name="_Toc39471704"/>
      <w:r w:rsidRPr="00FF3199">
        <w:rPr>
          <w:rFonts w:ascii="Arial" w:hAnsi="Arial" w:cs="Arial"/>
          <w:b/>
        </w:rPr>
        <w:t>SYSTEM EXEMPTED FROM CERTAIN PROVISIONS OF THE ACT:</w:t>
      </w:r>
      <w:bookmarkEnd w:id="23"/>
    </w:p>
    <w:p w:rsidR="009F7ECB" w:rsidRPr="00FF3199" w:rsidRDefault="009F7ECB" w:rsidP="00FF3199">
      <w:pPr>
        <w:rPr>
          <w:rFonts w:ascii="Arial" w:eastAsia="MS Mincho" w:hAnsi="Arial" w:cs="Arial"/>
        </w:rPr>
      </w:pPr>
      <w:r w:rsidRPr="00FF3199">
        <w:rPr>
          <w:rFonts w:ascii="Arial" w:eastAsia="MS Mincho" w:hAnsi="Arial" w:cs="Arial"/>
        </w:rPr>
        <w:tab/>
        <w:t>None.</w:t>
      </w:r>
    </w:p>
    <w:sectPr w:rsidR="009F7ECB" w:rsidRPr="00FF3199" w:rsidSect="00FF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CB"/>
    <w:rsid w:val="00284DC7"/>
    <w:rsid w:val="007B4A2C"/>
    <w:rsid w:val="009F7ECB"/>
    <w:rsid w:val="00CD2F1F"/>
    <w:rsid w:val="00FF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ECB"/>
    <w:rPr>
      <w:sz w:val="24"/>
      <w:szCs w:val="24"/>
    </w:rPr>
  </w:style>
  <w:style w:type="paragraph" w:styleId="Heading1">
    <w:name w:val="heading 1"/>
    <w:basedOn w:val="Normal"/>
    <w:next w:val="Normal"/>
    <w:autoRedefine/>
    <w:qFormat/>
    <w:rsid w:val="009F7ECB"/>
    <w:pPr>
      <w:keepNext/>
      <w:spacing w:before="120"/>
      <w:jc w:val="center"/>
      <w:outlineLvl w:val="0"/>
    </w:pPr>
    <w:rPr>
      <w:rFonts w:eastAsia="MS Mincho"/>
    </w:rPr>
  </w:style>
  <w:style w:type="paragraph" w:styleId="Heading2">
    <w:name w:val="heading 2"/>
    <w:basedOn w:val="Normal"/>
    <w:next w:val="Normal"/>
    <w:autoRedefine/>
    <w:qFormat/>
    <w:rsid w:val="009F7ECB"/>
    <w:pPr>
      <w:keepNext/>
      <w:tabs>
        <w:tab w:val="right" w:pos="9360"/>
      </w:tabs>
      <w:outlineLvl w:val="1"/>
    </w:pPr>
    <w:rPr>
      <w:rFonts w:ascii="Arial" w:eastAsia="MS Mincho" w:hAnsi="Arial" w:cs="Arial"/>
      <w:b/>
      <w:sz w:val="22"/>
    </w:rPr>
  </w:style>
  <w:style w:type="paragraph" w:styleId="Heading3">
    <w:name w:val="heading 3"/>
    <w:basedOn w:val="Normal"/>
    <w:next w:val="Normal"/>
    <w:autoRedefine/>
    <w:qFormat/>
    <w:rsid w:val="009F7ECB"/>
    <w:pPr>
      <w:keepNext/>
      <w:spacing w:before="120"/>
      <w:outlineLvl w:val="2"/>
    </w:pPr>
    <w:rPr>
      <w:rFonts w:ascii="Arial" w:eastAsia="MS Mincho" w:hAnsi="Arial" w:cs="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F7E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ECB"/>
    <w:rPr>
      <w:sz w:val="24"/>
      <w:szCs w:val="24"/>
    </w:rPr>
  </w:style>
  <w:style w:type="paragraph" w:styleId="Heading1">
    <w:name w:val="heading 1"/>
    <w:basedOn w:val="Normal"/>
    <w:next w:val="Normal"/>
    <w:autoRedefine/>
    <w:qFormat/>
    <w:rsid w:val="009F7ECB"/>
    <w:pPr>
      <w:keepNext/>
      <w:spacing w:before="120"/>
      <w:jc w:val="center"/>
      <w:outlineLvl w:val="0"/>
    </w:pPr>
    <w:rPr>
      <w:rFonts w:eastAsia="MS Mincho"/>
    </w:rPr>
  </w:style>
  <w:style w:type="paragraph" w:styleId="Heading2">
    <w:name w:val="heading 2"/>
    <w:basedOn w:val="Normal"/>
    <w:next w:val="Normal"/>
    <w:autoRedefine/>
    <w:qFormat/>
    <w:rsid w:val="009F7ECB"/>
    <w:pPr>
      <w:keepNext/>
      <w:tabs>
        <w:tab w:val="right" w:pos="9360"/>
      </w:tabs>
      <w:outlineLvl w:val="1"/>
    </w:pPr>
    <w:rPr>
      <w:rFonts w:ascii="Arial" w:eastAsia="MS Mincho" w:hAnsi="Arial" w:cs="Arial"/>
      <w:b/>
      <w:sz w:val="22"/>
    </w:rPr>
  </w:style>
  <w:style w:type="paragraph" w:styleId="Heading3">
    <w:name w:val="heading 3"/>
    <w:basedOn w:val="Normal"/>
    <w:next w:val="Normal"/>
    <w:autoRedefine/>
    <w:qFormat/>
    <w:rsid w:val="009F7ECB"/>
    <w:pPr>
      <w:keepNext/>
      <w:spacing w:before="120"/>
      <w:outlineLvl w:val="2"/>
    </w:pPr>
    <w:rPr>
      <w:rFonts w:ascii="Arial" w:eastAsia="MS Mincho" w:hAnsi="Arial" w:cs="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F7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18-12-02 Fulbright-Hays--Doctoral Dissertation Research Abroad (DDRA), Faculty Research Abroad (FRA), Seminars Abroad (SA), Fellows</vt:lpstr>
    </vt:vector>
  </TitlesOfParts>
  <Company>Department of Education</Company>
  <LinksUpToDate>false</LinksUpToDate>
  <CharactersWithSpaces>14239</CharactersWithSpaces>
  <SharedDoc>false</SharedDoc>
  <HLinks>
    <vt:vector size="6" baseType="variant">
      <vt:variant>
        <vt:i4>6094917</vt:i4>
      </vt:variant>
      <vt:variant>
        <vt:i4>0</vt:i4>
      </vt:variant>
      <vt:variant>
        <vt:i4>0</vt:i4>
      </vt:variant>
      <vt:variant>
        <vt:i4>5</vt:i4>
      </vt:variant>
      <vt:variant>
        <vt:lpwstr/>
      </vt:variant>
      <vt:variant>
        <vt:lpwstr>Backto181202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18-12-02 Fulbright-Hays--Doctoral Dissertation Research Abroad (DDRA), Faculty Research Abroad (FRA), Seminars Abroad (SA), Fellows</dc:title>
  <dc:creator>denise.mcgland</dc:creator>
  <cp:lastModifiedBy>Authorised User</cp:lastModifiedBy>
  <cp:revision>2</cp:revision>
  <dcterms:created xsi:type="dcterms:W3CDTF">2012-04-05T17:24:00Z</dcterms:created>
  <dcterms:modified xsi:type="dcterms:W3CDTF">2012-04-05T17:24:00Z</dcterms:modified>
</cp:coreProperties>
</file>