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21" w:rsidRDefault="00C33221" w:rsidP="00AE28EF">
      <w:pPr>
        <w:spacing w:line="320" w:lineRule="atLeast"/>
      </w:pPr>
    </w:p>
    <w:p w:rsidR="00B65F9A" w:rsidRDefault="00B65F9A"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pStyle w:val="Cov-Title"/>
        <w:spacing w:line="320" w:lineRule="atLeast"/>
        <w:rPr>
          <w:szCs w:val="40"/>
        </w:rPr>
      </w:pPr>
      <w:r w:rsidRPr="005C26EF">
        <w:rPr>
          <w:szCs w:val="40"/>
        </w:rPr>
        <w:t>2008/</w:t>
      </w:r>
      <w:r>
        <w:rPr>
          <w:szCs w:val="40"/>
        </w:rPr>
        <w:t>12</w:t>
      </w:r>
      <w:r w:rsidRPr="005C26EF">
        <w:rPr>
          <w:szCs w:val="40"/>
        </w:rPr>
        <w:t xml:space="preserve"> Baccalaureate and Bey</w:t>
      </w:r>
      <w:r>
        <w:rPr>
          <w:szCs w:val="40"/>
        </w:rPr>
        <w:t>ond</w:t>
      </w:r>
    </w:p>
    <w:p w:rsidR="00C33221" w:rsidRDefault="00C33221" w:rsidP="00AE28EF">
      <w:pPr>
        <w:pStyle w:val="Cov-Title"/>
        <w:spacing w:line="320" w:lineRule="atLeast"/>
        <w:rPr>
          <w:szCs w:val="40"/>
        </w:rPr>
      </w:pPr>
      <w:r>
        <w:rPr>
          <w:szCs w:val="40"/>
        </w:rPr>
        <w:t>Longitudinal Study: (B&amp;B:08/12</w:t>
      </w:r>
      <w:r w:rsidRPr="005C26EF">
        <w:rPr>
          <w:szCs w:val="40"/>
        </w:rPr>
        <w:t>)</w:t>
      </w:r>
    </w:p>
    <w:p w:rsidR="00C33221" w:rsidRDefault="00C33221" w:rsidP="00AE28EF">
      <w:pPr>
        <w:pStyle w:val="Cov-Title"/>
        <w:spacing w:line="320" w:lineRule="atLeast"/>
      </w:pPr>
    </w:p>
    <w:p w:rsidR="00C33221" w:rsidRDefault="00C33221" w:rsidP="00AE28EF">
      <w:pPr>
        <w:pStyle w:val="Cov-Title"/>
        <w:spacing w:line="320" w:lineRule="atLeast"/>
      </w:pPr>
    </w:p>
    <w:p w:rsidR="00C33221" w:rsidRDefault="00C33221" w:rsidP="00AE28EF">
      <w:pPr>
        <w:spacing w:line="320" w:lineRule="atLeast"/>
      </w:pPr>
    </w:p>
    <w:p w:rsidR="00C33221" w:rsidRDefault="00C33221" w:rsidP="00AE28EF">
      <w:pPr>
        <w:pStyle w:val="Cov-Subtitle"/>
        <w:spacing w:line="320" w:lineRule="atLeast"/>
      </w:pPr>
      <w:r w:rsidRPr="005C26EF">
        <w:t>Supporting Statement</w:t>
      </w:r>
      <w:r>
        <w:t xml:space="preserve"> Part A</w:t>
      </w:r>
    </w:p>
    <w:p w:rsidR="00C33221" w:rsidRDefault="00C33221" w:rsidP="00AE28EF">
      <w:pPr>
        <w:pStyle w:val="Cov-Subtitle"/>
        <w:spacing w:line="320" w:lineRule="atLeast"/>
      </w:pPr>
      <w:r w:rsidRPr="005C26EF">
        <w:t>Request for OMB Review</w:t>
      </w:r>
    </w:p>
    <w:p w:rsidR="00C33221" w:rsidRDefault="00C33221" w:rsidP="00D920E5">
      <w:pPr>
        <w:pStyle w:val="Cov-Subtitle"/>
        <w:spacing w:line="320" w:lineRule="atLeast"/>
      </w:pPr>
      <w:r w:rsidRPr="005C26EF">
        <w:t xml:space="preserve">OMB </w:t>
      </w:r>
      <w:r w:rsidRPr="00547FA9">
        <w:t># 1850-0729 v</w:t>
      </w:r>
      <w:r>
        <w:t>.</w:t>
      </w:r>
      <w:r w:rsidR="005B137B">
        <w:t>8</w:t>
      </w:r>
      <w:bookmarkStart w:id="0" w:name="_GoBack"/>
      <w:bookmarkEnd w:id="0"/>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pStyle w:val="Cov-Address"/>
        <w:spacing w:line="320" w:lineRule="atLeast"/>
      </w:pPr>
      <w:r w:rsidRPr="005C26EF">
        <w:t>Submitted by</w:t>
      </w:r>
    </w:p>
    <w:p w:rsidR="00C33221" w:rsidRDefault="00C33221" w:rsidP="00AE28EF">
      <w:pPr>
        <w:pStyle w:val="Cov-Address"/>
        <w:spacing w:line="320" w:lineRule="atLeast"/>
      </w:pPr>
      <w:smartTag w:uri="urn:schemas-microsoft-com:office:smarttags" w:element="PlaceName">
        <w:smartTag w:uri="urn:schemas-microsoft-com:office:smarttags" w:element="place">
          <w:smartTag w:uri="urn:schemas-microsoft-com:office:smarttags" w:element="PlaceName">
            <w:r w:rsidRPr="005C26EF">
              <w:t>National</w:t>
            </w:r>
          </w:smartTag>
          <w:r w:rsidRPr="005C26EF">
            <w:t xml:space="preserve"> </w:t>
          </w:r>
          <w:smartTag w:uri="urn:schemas-microsoft-com:office:smarttags" w:element="PlaceType">
            <w:r w:rsidRPr="005C26EF">
              <w:t>Center</w:t>
            </w:r>
          </w:smartTag>
        </w:smartTag>
      </w:smartTag>
      <w:r w:rsidRPr="005C26EF">
        <w:t xml:space="preserve"> for Education Statistics</w:t>
      </w:r>
    </w:p>
    <w:p w:rsidR="00C33221" w:rsidRDefault="00C33221" w:rsidP="00AE28EF">
      <w:pPr>
        <w:pStyle w:val="Cov-Address"/>
        <w:spacing w:line="320" w:lineRule="atLeast"/>
      </w:pPr>
      <w:smartTag w:uri="urn:schemas-microsoft-com:office:smarttags" w:element="country-region">
        <w:smartTag w:uri="urn:schemas-microsoft-com:office:smarttags" w:element="place">
          <w:r w:rsidRPr="005C26EF">
            <w:t>U.S.</w:t>
          </w:r>
        </w:smartTag>
      </w:smartTag>
      <w:r w:rsidRPr="005C26EF">
        <w:t xml:space="preserve"> Department of Education</w:t>
      </w:r>
    </w:p>
    <w:p w:rsidR="00C33221" w:rsidRDefault="00C33221" w:rsidP="00AE28EF">
      <w:pPr>
        <w:pStyle w:val="Cov-Address"/>
        <w:spacing w:line="320" w:lineRule="atLeast"/>
        <w:rPr>
          <w:rFonts w:ascii="Arial Black" w:hAnsi="Arial Black"/>
          <w:szCs w:val="24"/>
        </w:rPr>
      </w:pPr>
    </w:p>
    <w:p w:rsidR="00C33221" w:rsidRDefault="00C33221" w:rsidP="00AE28EF">
      <w:pPr>
        <w:pStyle w:val="Cov-Address"/>
        <w:spacing w:line="320" w:lineRule="atLeast"/>
        <w:rPr>
          <w:rFonts w:ascii="Arial Black" w:hAnsi="Arial Black"/>
          <w:szCs w:val="24"/>
        </w:rPr>
      </w:pPr>
    </w:p>
    <w:p w:rsidR="00C33221" w:rsidRDefault="00F3387E" w:rsidP="00942732">
      <w:pPr>
        <w:pStyle w:val="Cov-Address"/>
        <w:spacing w:line="320" w:lineRule="atLeast"/>
        <w:rPr>
          <w:rFonts w:ascii="Arial Black" w:hAnsi="Arial Black"/>
          <w:szCs w:val="24"/>
        </w:rPr>
      </w:pPr>
      <w:r>
        <w:rPr>
          <w:rFonts w:ascii="Arial Black" w:hAnsi="Arial Black"/>
          <w:szCs w:val="24"/>
        </w:rPr>
        <w:t xml:space="preserve">April </w:t>
      </w:r>
      <w:r w:rsidR="009D20A4">
        <w:rPr>
          <w:rFonts w:ascii="Arial Black" w:hAnsi="Arial Black"/>
          <w:szCs w:val="24"/>
        </w:rPr>
        <w:t>23</w:t>
      </w:r>
      <w:r w:rsidR="00C33221">
        <w:rPr>
          <w:rFonts w:ascii="Arial Black" w:hAnsi="Arial Black"/>
          <w:szCs w:val="24"/>
        </w:rPr>
        <w:t>, 201</w:t>
      </w:r>
      <w:r w:rsidR="00593677">
        <w:rPr>
          <w:rFonts w:ascii="Arial Black" w:hAnsi="Arial Black"/>
          <w:szCs w:val="24"/>
        </w:rPr>
        <w:t>2</w:t>
      </w:r>
    </w:p>
    <w:p w:rsidR="00C33221" w:rsidRDefault="00C33221" w:rsidP="00AE28EF">
      <w:pPr>
        <w:spacing w:line="320" w:lineRule="atLeast"/>
      </w:pPr>
    </w:p>
    <w:p w:rsidR="00C33221" w:rsidRPr="005C26EF" w:rsidRDefault="00C33221" w:rsidP="007F733A">
      <w:pPr>
        <w:spacing w:line="320" w:lineRule="atLeast"/>
        <w:sectPr w:rsidR="00C33221" w:rsidRPr="005C26EF" w:rsidSect="002225C7">
          <w:headerReference w:type="even" r:id="rId9"/>
          <w:headerReference w:type="default" r:id="rId10"/>
          <w:footerReference w:type="even" r:id="rId11"/>
          <w:footerReference w:type="default" r:id="rId12"/>
          <w:pgSz w:w="12240" w:h="15840" w:code="1"/>
          <w:pgMar w:top="1008" w:right="1008" w:bottom="1008" w:left="1008" w:header="720" w:footer="720" w:gutter="0"/>
          <w:cols w:space="720"/>
          <w:docGrid w:linePitch="360"/>
        </w:sectPr>
      </w:pPr>
    </w:p>
    <w:p w:rsidR="00C33221" w:rsidRDefault="00C33221" w:rsidP="00B776D5">
      <w:pPr>
        <w:pStyle w:val="TOCHeading"/>
        <w:spacing w:after="120"/>
      </w:pPr>
      <w:r w:rsidRPr="005C26EF">
        <w:lastRenderedPageBreak/>
        <w:t>Contents</w:t>
      </w:r>
    </w:p>
    <w:p w:rsidR="00335136" w:rsidRDefault="00AC12DE" w:rsidP="00B776D5">
      <w:pPr>
        <w:pStyle w:val="TOC1"/>
        <w:rPr>
          <w:rFonts w:asciiTheme="minorHAnsi" w:eastAsiaTheme="minorEastAsia" w:hAnsiTheme="minorHAnsi" w:cstheme="minorBidi"/>
          <w:sz w:val="22"/>
          <w:szCs w:val="22"/>
        </w:rPr>
      </w:pPr>
      <w:r w:rsidRPr="00AC12DE">
        <w:fldChar w:fldCharType="begin"/>
      </w:r>
      <w:r w:rsidR="00C33221">
        <w:instrText xml:space="preserve"> TOC \h \z \t "Heading 1,1,Heading 2,2,Heading 3,3,ES Heading 1,1" </w:instrText>
      </w:r>
      <w:r w:rsidRPr="00AC12DE">
        <w:fldChar w:fldCharType="separate"/>
      </w:r>
      <w:hyperlink w:anchor="_Toc322356391" w:history="1">
        <w:r w:rsidR="00335136" w:rsidRPr="00B8620D">
          <w:rPr>
            <w:rStyle w:val="Hyperlink"/>
          </w:rPr>
          <w:t>A.</w:t>
        </w:r>
        <w:r w:rsidR="00335136">
          <w:rPr>
            <w:rFonts w:asciiTheme="minorHAnsi" w:eastAsiaTheme="minorEastAsia" w:hAnsiTheme="minorHAnsi" w:cstheme="minorBidi"/>
            <w:sz w:val="22"/>
            <w:szCs w:val="22"/>
          </w:rPr>
          <w:tab/>
        </w:r>
        <w:r w:rsidR="00335136" w:rsidRPr="00B8620D">
          <w:rPr>
            <w:rStyle w:val="Hyperlink"/>
          </w:rPr>
          <w:t>Justification</w:t>
        </w:r>
        <w:r w:rsidR="00335136">
          <w:rPr>
            <w:webHidden/>
          </w:rPr>
          <w:tab/>
        </w:r>
        <w:r>
          <w:rPr>
            <w:webHidden/>
          </w:rPr>
          <w:fldChar w:fldCharType="begin"/>
        </w:r>
        <w:r w:rsidR="00335136">
          <w:rPr>
            <w:webHidden/>
          </w:rPr>
          <w:instrText xml:space="preserve"> PAGEREF _Toc322356391 \h </w:instrText>
        </w:r>
        <w:r>
          <w:rPr>
            <w:webHidden/>
          </w:rPr>
        </w:r>
        <w:r>
          <w:rPr>
            <w:webHidden/>
          </w:rPr>
          <w:fldChar w:fldCharType="separate"/>
        </w:r>
        <w:r w:rsidR="00335136">
          <w:rPr>
            <w:webHidden/>
          </w:rPr>
          <w:t>4</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392" w:history="1">
        <w:r w:rsidR="00335136" w:rsidRPr="00B8620D">
          <w:rPr>
            <w:rStyle w:val="Hyperlink"/>
          </w:rPr>
          <w:t>1.</w:t>
        </w:r>
        <w:r w:rsidR="00335136">
          <w:rPr>
            <w:rFonts w:asciiTheme="minorHAnsi" w:eastAsiaTheme="minorEastAsia" w:hAnsiTheme="minorHAnsi" w:cstheme="minorBidi"/>
            <w:bCs w:val="0"/>
            <w:szCs w:val="22"/>
          </w:rPr>
          <w:tab/>
        </w:r>
        <w:r w:rsidR="00335136" w:rsidRPr="00B8620D">
          <w:rPr>
            <w:rStyle w:val="Hyperlink"/>
          </w:rPr>
          <w:t>Circumstances Making Collection of Information Necessary</w:t>
        </w:r>
        <w:r w:rsidR="00335136">
          <w:rPr>
            <w:webHidden/>
          </w:rPr>
          <w:tab/>
        </w:r>
        <w:r>
          <w:rPr>
            <w:webHidden/>
          </w:rPr>
          <w:fldChar w:fldCharType="begin"/>
        </w:r>
        <w:r w:rsidR="00335136">
          <w:rPr>
            <w:webHidden/>
          </w:rPr>
          <w:instrText xml:space="preserve"> PAGEREF _Toc322356392 \h </w:instrText>
        </w:r>
        <w:r>
          <w:rPr>
            <w:webHidden/>
          </w:rPr>
        </w:r>
        <w:r>
          <w:rPr>
            <w:webHidden/>
          </w:rPr>
          <w:fldChar w:fldCharType="separate"/>
        </w:r>
        <w:r w:rsidR="00335136">
          <w:rPr>
            <w:webHidden/>
          </w:rPr>
          <w:t>4</w:t>
        </w:r>
        <w:r>
          <w:rPr>
            <w:webHidden/>
          </w:rPr>
          <w:fldChar w:fldCharType="end"/>
        </w:r>
      </w:hyperlink>
    </w:p>
    <w:p w:rsidR="00335136" w:rsidRDefault="00AC12DE">
      <w:pPr>
        <w:pStyle w:val="TOC3"/>
        <w:tabs>
          <w:tab w:val="left" w:pos="1440"/>
        </w:tabs>
        <w:rPr>
          <w:rFonts w:asciiTheme="minorHAnsi" w:eastAsiaTheme="minorEastAsia" w:hAnsiTheme="minorHAnsi" w:cstheme="minorBidi"/>
          <w:szCs w:val="22"/>
        </w:rPr>
      </w:pPr>
      <w:hyperlink w:anchor="_Toc322356393" w:history="1">
        <w:r w:rsidR="00335136" w:rsidRPr="00B8620D">
          <w:rPr>
            <w:rStyle w:val="Hyperlink"/>
          </w:rPr>
          <w:t>a.</w:t>
        </w:r>
        <w:r w:rsidR="00335136">
          <w:rPr>
            <w:rFonts w:asciiTheme="minorHAnsi" w:eastAsiaTheme="minorEastAsia" w:hAnsiTheme="minorHAnsi" w:cstheme="minorBidi"/>
            <w:szCs w:val="22"/>
          </w:rPr>
          <w:tab/>
        </w:r>
        <w:r w:rsidR="00335136" w:rsidRPr="00B8620D">
          <w:rPr>
            <w:rStyle w:val="Hyperlink"/>
          </w:rPr>
          <w:t>Purpose of this Submission</w:t>
        </w:r>
        <w:r w:rsidR="00335136">
          <w:rPr>
            <w:webHidden/>
          </w:rPr>
          <w:tab/>
        </w:r>
        <w:r>
          <w:rPr>
            <w:webHidden/>
          </w:rPr>
          <w:fldChar w:fldCharType="begin"/>
        </w:r>
        <w:r w:rsidR="00335136">
          <w:rPr>
            <w:webHidden/>
          </w:rPr>
          <w:instrText xml:space="preserve"> PAGEREF _Toc322356393 \h </w:instrText>
        </w:r>
        <w:r>
          <w:rPr>
            <w:webHidden/>
          </w:rPr>
        </w:r>
        <w:r>
          <w:rPr>
            <w:webHidden/>
          </w:rPr>
          <w:fldChar w:fldCharType="separate"/>
        </w:r>
        <w:r w:rsidR="00335136">
          <w:rPr>
            <w:webHidden/>
          </w:rPr>
          <w:t>4</w:t>
        </w:r>
        <w:r>
          <w:rPr>
            <w:webHidden/>
          </w:rPr>
          <w:fldChar w:fldCharType="end"/>
        </w:r>
      </w:hyperlink>
    </w:p>
    <w:p w:rsidR="00335136" w:rsidRDefault="00AC12DE">
      <w:pPr>
        <w:pStyle w:val="TOC3"/>
        <w:tabs>
          <w:tab w:val="left" w:pos="1440"/>
        </w:tabs>
        <w:rPr>
          <w:rFonts w:asciiTheme="minorHAnsi" w:eastAsiaTheme="minorEastAsia" w:hAnsiTheme="minorHAnsi" w:cstheme="minorBidi"/>
          <w:szCs w:val="22"/>
        </w:rPr>
      </w:pPr>
      <w:hyperlink w:anchor="_Toc322356394" w:history="1">
        <w:r w:rsidR="00335136" w:rsidRPr="00B8620D">
          <w:rPr>
            <w:rStyle w:val="Hyperlink"/>
          </w:rPr>
          <w:t>b.</w:t>
        </w:r>
        <w:r w:rsidR="00335136">
          <w:rPr>
            <w:rFonts w:asciiTheme="minorHAnsi" w:eastAsiaTheme="minorEastAsia" w:hAnsiTheme="minorHAnsi" w:cstheme="minorBidi"/>
            <w:szCs w:val="22"/>
          </w:rPr>
          <w:tab/>
        </w:r>
        <w:r w:rsidR="00335136" w:rsidRPr="00B8620D">
          <w:rPr>
            <w:rStyle w:val="Hyperlink"/>
          </w:rPr>
          <w:t>Legislative Authorization</w:t>
        </w:r>
        <w:r w:rsidR="00335136">
          <w:rPr>
            <w:webHidden/>
          </w:rPr>
          <w:tab/>
        </w:r>
        <w:r>
          <w:rPr>
            <w:webHidden/>
          </w:rPr>
          <w:fldChar w:fldCharType="begin"/>
        </w:r>
        <w:r w:rsidR="00335136">
          <w:rPr>
            <w:webHidden/>
          </w:rPr>
          <w:instrText xml:space="preserve"> PAGEREF _Toc322356394 \h </w:instrText>
        </w:r>
        <w:r>
          <w:rPr>
            <w:webHidden/>
          </w:rPr>
        </w:r>
        <w:r>
          <w:rPr>
            <w:webHidden/>
          </w:rPr>
          <w:fldChar w:fldCharType="separate"/>
        </w:r>
        <w:r w:rsidR="00335136">
          <w:rPr>
            <w:webHidden/>
          </w:rPr>
          <w:t>4</w:t>
        </w:r>
        <w:r>
          <w:rPr>
            <w:webHidden/>
          </w:rPr>
          <w:fldChar w:fldCharType="end"/>
        </w:r>
      </w:hyperlink>
    </w:p>
    <w:p w:rsidR="00335136" w:rsidRDefault="00AC12DE">
      <w:pPr>
        <w:pStyle w:val="TOC3"/>
        <w:tabs>
          <w:tab w:val="left" w:pos="1440"/>
        </w:tabs>
        <w:rPr>
          <w:rFonts w:asciiTheme="minorHAnsi" w:eastAsiaTheme="minorEastAsia" w:hAnsiTheme="minorHAnsi" w:cstheme="minorBidi"/>
          <w:szCs w:val="22"/>
        </w:rPr>
      </w:pPr>
      <w:hyperlink w:anchor="_Toc322356395" w:history="1">
        <w:r w:rsidR="00335136" w:rsidRPr="00B8620D">
          <w:rPr>
            <w:rStyle w:val="Hyperlink"/>
          </w:rPr>
          <w:t>c.</w:t>
        </w:r>
        <w:r w:rsidR="00335136">
          <w:rPr>
            <w:rFonts w:asciiTheme="minorHAnsi" w:eastAsiaTheme="minorEastAsia" w:hAnsiTheme="minorHAnsi" w:cstheme="minorBidi"/>
            <w:szCs w:val="22"/>
          </w:rPr>
          <w:tab/>
        </w:r>
        <w:r w:rsidR="00335136" w:rsidRPr="00B8620D">
          <w:rPr>
            <w:rStyle w:val="Hyperlink"/>
          </w:rPr>
          <w:t>Prior B&amp;B Studies</w:t>
        </w:r>
        <w:r w:rsidR="00335136">
          <w:rPr>
            <w:webHidden/>
          </w:rPr>
          <w:tab/>
        </w:r>
        <w:r>
          <w:rPr>
            <w:webHidden/>
          </w:rPr>
          <w:fldChar w:fldCharType="begin"/>
        </w:r>
        <w:r w:rsidR="00335136">
          <w:rPr>
            <w:webHidden/>
          </w:rPr>
          <w:instrText xml:space="preserve"> PAGEREF _Toc322356395 \h </w:instrText>
        </w:r>
        <w:r>
          <w:rPr>
            <w:webHidden/>
          </w:rPr>
        </w:r>
        <w:r>
          <w:rPr>
            <w:webHidden/>
          </w:rPr>
          <w:fldChar w:fldCharType="separate"/>
        </w:r>
        <w:r w:rsidR="00335136">
          <w:rPr>
            <w:webHidden/>
          </w:rPr>
          <w:t>5</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396" w:history="1">
        <w:r w:rsidR="00335136" w:rsidRPr="00B8620D">
          <w:rPr>
            <w:rStyle w:val="Hyperlink"/>
          </w:rPr>
          <w:t>2.</w:t>
        </w:r>
        <w:r w:rsidR="00335136">
          <w:rPr>
            <w:rFonts w:asciiTheme="minorHAnsi" w:eastAsiaTheme="minorEastAsia" w:hAnsiTheme="minorHAnsi" w:cstheme="minorBidi"/>
            <w:bCs w:val="0"/>
            <w:szCs w:val="22"/>
          </w:rPr>
          <w:tab/>
        </w:r>
        <w:r w:rsidR="00335136" w:rsidRPr="00B8620D">
          <w:rPr>
            <w:rStyle w:val="Hyperlink"/>
          </w:rPr>
          <w:t>Purpose and Uses of the Data</w:t>
        </w:r>
        <w:r w:rsidR="00335136">
          <w:rPr>
            <w:webHidden/>
          </w:rPr>
          <w:tab/>
        </w:r>
        <w:r>
          <w:rPr>
            <w:webHidden/>
          </w:rPr>
          <w:fldChar w:fldCharType="begin"/>
        </w:r>
        <w:r w:rsidR="00335136">
          <w:rPr>
            <w:webHidden/>
          </w:rPr>
          <w:instrText xml:space="preserve"> PAGEREF _Toc322356396 \h </w:instrText>
        </w:r>
        <w:r>
          <w:rPr>
            <w:webHidden/>
          </w:rPr>
        </w:r>
        <w:r>
          <w:rPr>
            <w:webHidden/>
          </w:rPr>
          <w:fldChar w:fldCharType="separate"/>
        </w:r>
        <w:r w:rsidR="00335136">
          <w:rPr>
            <w:webHidden/>
          </w:rPr>
          <w:t>6</w:t>
        </w:r>
        <w:r>
          <w:rPr>
            <w:webHidden/>
          </w:rPr>
          <w:fldChar w:fldCharType="end"/>
        </w:r>
      </w:hyperlink>
    </w:p>
    <w:p w:rsidR="00335136" w:rsidRDefault="00AC12DE">
      <w:pPr>
        <w:pStyle w:val="TOC3"/>
        <w:tabs>
          <w:tab w:val="left" w:pos="1440"/>
        </w:tabs>
        <w:rPr>
          <w:rFonts w:asciiTheme="minorHAnsi" w:eastAsiaTheme="minorEastAsia" w:hAnsiTheme="minorHAnsi" w:cstheme="minorBidi"/>
          <w:szCs w:val="22"/>
        </w:rPr>
      </w:pPr>
      <w:hyperlink w:anchor="_Toc322356397" w:history="1">
        <w:r w:rsidR="00335136" w:rsidRPr="00B8620D">
          <w:rPr>
            <w:rStyle w:val="Hyperlink"/>
          </w:rPr>
          <w:t>a.</w:t>
        </w:r>
        <w:r w:rsidR="00335136">
          <w:rPr>
            <w:rFonts w:asciiTheme="minorHAnsi" w:eastAsiaTheme="minorEastAsia" w:hAnsiTheme="minorHAnsi" w:cstheme="minorBidi"/>
            <w:szCs w:val="22"/>
          </w:rPr>
          <w:tab/>
        </w:r>
        <w:r w:rsidR="00335136" w:rsidRPr="00B8620D">
          <w:rPr>
            <w:rStyle w:val="Hyperlink"/>
          </w:rPr>
          <w:t>The B&amp;B Cohort</w:t>
        </w:r>
        <w:r w:rsidR="00335136">
          <w:rPr>
            <w:webHidden/>
          </w:rPr>
          <w:tab/>
        </w:r>
        <w:r>
          <w:rPr>
            <w:webHidden/>
          </w:rPr>
          <w:fldChar w:fldCharType="begin"/>
        </w:r>
        <w:r w:rsidR="00335136">
          <w:rPr>
            <w:webHidden/>
          </w:rPr>
          <w:instrText xml:space="preserve"> PAGEREF _Toc322356397 \h </w:instrText>
        </w:r>
        <w:r>
          <w:rPr>
            <w:webHidden/>
          </w:rPr>
        </w:r>
        <w:r>
          <w:rPr>
            <w:webHidden/>
          </w:rPr>
          <w:fldChar w:fldCharType="separate"/>
        </w:r>
        <w:r w:rsidR="00335136">
          <w:rPr>
            <w:webHidden/>
          </w:rPr>
          <w:t>6</w:t>
        </w:r>
        <w:r>
          <w:rPr>
            <w:webHidden/>
          </w:rPr>
          <w:fldChar w:fldCharType="end"/>
        </w:r>
      </w:hyperlink>
    </w:p>
    <w:p w:rsidR="00335136" w:rsidRDefault="00AC12DE">
      <w:pPr>
        <w:pStyle w:val="TOC3"/>
        <w:tabs>
          <w:tab w:val="left" w:pos="1440"/>
        </w:tabs>
        <w:rPr>
          <w:rFonts w:asciiTheme="minorHAnsi" w:eastAsiaTheme="minorEastAsia" w:hAnsiTheme="minorHAnsi" w:cstheme="minorBidi"/>
          <w:szCs w:val="22"/>
        </w:rPr>
      </w:pPr>
      <w:hyperlink w:anchor="_Toc322356398" w:history="1">
        <w:r w:rsidR="00335136" w:rsidRPr="00B8620D">
          <w:rPr>
            <w:rStyle w:val="Hyperlink"/>
          </w:rPr>
          <w:t>b.</w:t>
        </w:r>
        <w:r w:rsidR="00335136">
          <w:rPr>
            <w:rFonts w:asciiTheme="minorHAnsi" w:eastAsiaTheme="minorEastAsia" w:hAnsiTheme="minorHAnsi" w:cstheme="minorBidi"/>
            <w:szCs w:val="22"/>
          </w:rPr>
          <w:tab/>
        </w:r>
        <w:r w:rsidR="00335136" w:rsidRPr="00B8620D">
          <w:rPr>
            <w:rStyle w:val="Hyperlink"/>
          </w:rPr>
          <w:t>Policy Relevance</w:t>
        </w:r>
        <w:r w:rsidR="00335136">
          <w:rPr>
            <w:webHidden/>
          </w:rPr>
          <w:tab/>
        </w:r>
        <w:r>
          <w:rPr>
            <w:webHidden/>
          </w:rPr>
          <w:fldChar w:fldCharType="begin"/>
        </w:r>
        <w:r w:rsidR="00335136">
          <w:rPr>
            <w:webHidden/>
          </w:rPr>
          <w:instrText xml:space="preserve"> PAGEREF _Toc322356398 \h </w:instrText>
        </w:r>
        <w:r>
          <w:rPr>
            <w:webHidden/>
          </w:rPr>
        </w:r>
        <w:r>
          <w:rPr>
            <w:webHidden/>
          </w:rPr>
          <w:fldChar w:fldCharType="separate"/>
        </w:r>
        <w:r w:rsidR="00335136">
          <w:rPr>
            <w:webHidden/>
          </w:rPr>
          <w:t>6</w:t>
        </w:r>
        <w:r>
          <w:rPr>
            <w:webHidden/>
          </w:rPr>
          <w:fldChar w:fldCharType="end"/>
        </w:r>
      </w:hyperlink>
    </w:p>
    <w:p w:rsidR="00335136" w:rsidRDefault="00AC12DE">
      <w:pPr>
        <w:pStyle w:val="TOC3"/>
        <w:tabs>
          <w:tab w:val="left" w:pos="1440"/>
        </w:tabs>
        <w:rPr>
          <w:rFonts w:asciiTheme="minorHAnsi" w:eastAsiaTheme="minorEastAsia" w:hAnsiTheme="minorHAnsi" w:cstheme="minorBidi"/>
          <w:szCs w:val="22"/>
        </w:rPr>
      </w:pPr>
      <w:hyperlink w:anchor="_Toc322356399" w:history="1">
        <w:r w:rsidR="00335136" w:rsidRPr="00B8620D">
          <w:rPr>
            <w:rStyle w:val="Hyperlink"/>
          </w:rPr>
          <w:t>c.</w:t>
        </w:r>
        <w:r w:rsidR="00335136">
          <w:rPr>
            <w:rFonts w:asciiTheme="minorHAnsi" w:eastAsiaTheme="minorEastAsia" w:hAnsiTheme="minorHAnsi" w:cstheme="minorBidi"/>
            <w:szCs w:val="22"/>
          </w:rPr>
          <w:tab/>
        </w:r>
        <w:r w:rsidR="00335136" w:rsidRPr="00B8620D">
          <w:rPr>
            <w:rStyle w:val="Hyperlink"/>
          </w:rPr>
          <w:t>Previous Agency Use of the Data</w:t>
        </w:r>
        <w:r w:rsidR="00335136">
          <w:rPr>
            <w:webHidden/>
          </w:rPr>
          <w:tab/>
        </w:r>
        <w:r>
          <w:rPr>
            <w:webHidden/>
          </w:rPr>
          <w:fldChar w:fldCharType="begin"/>
        </w:r>
        <w:r w:rsidR="00335136">
          <w:rPr>
            <w:webHidden/>
          </w:rPr>
          <w:instrText xml:space="preserve"> PAGEREF _Toc322356399 \h </w:instrText>
        </w:r>
        <w:r>
          <w:rPr>
            <w:webHidden/>
          </w:rPr>
        </w:r>
        <w:r>
          <w:rPr>
            <w:webHidden/>
          </w:rPr>
          <w:fldChar w:fldCharType="separate"/>
        </w:r>
        <w:r w:rsidR="00335136">
          <w:rPr>
            <w:webHidden/>
          </w:rPr>
          <w:t>8</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0" w:history="1">
        <w:r w:rsidR="00335136" w:rsidRPr="00B8620D">
          <w:rPr>
            <w:rStyle w:val="Hyperlink"/>
          </w:rPr>
          <w:t>3.</w:t>
        </w:r>
        <w:r w:rsidR="00335136">
          <w:rPr>
            <w:rFonts w:asciiTheme="minorHAnsi" w:eastAsiaTheme="minorEastAsia" w:hAnsiTheme="minorHAnsi" w:cstheme="minorBidi"/>
            <w:bCs w:val="0"/>
            <w:szCs w:val="22"/>
          </w:rPr>
          <w:tab/>
        </w:r>
        <w:r w:rsidR="00335136" w:rsidRPr="00B8620D">
          <w:rPr>
            <w:rStyle w:val="Hyperlink"/>
          </w:rPr>
          <w:t>Use of Information Technology</w:t>
        </w:r>
        <w:r w:rsidR="00335136">
          <w:rPr>
            <w:webHidden/>
          </w:rPr>
          <w:tab/>
        </w:r>
        <w:r>
          <w:rPr>
            <w:webHidden/>
          </w:rPr>
          <w:fldChar w:fldCharType="begin"/>
        </w:r>
        <w:r w:rsidR="00335136">
          <w:rPr>
            <w:webHidden/>
          </w:rPr>
          <w:instrText xml:space="preserve"> PAGEREF _Toc322356400 \h </w:instrText>
        </w:r>
        <w:r>
          <w:rPr>
            <w:webHidden/>
          </w:rPr>
        </w:r>
        <w:r>
          <w:rPr>
            <w:webHidden/>
          </w:rPr>
          <w:fldChar w:fldCharType="separate"/>
        </w:r>
        <w:r w:rsidR="00335136">
          <w:rPr>
            <w:webHidden/>
          </w:rPr>
          <w:t>10</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1" w:history="1">
        <w:r w:rsidR="00335136" w:rsidRPr="00B8620D">
          <w:rPr>
            <w:rStyle w:val="Hyperlink"/>
            <w:caps/>
          </w:rPr>
          <w:t>4.</w:t>
        </w:r>
        <w:r w:rsidR="00335136">
          <w:rPr>
            <w:rFonts w:asciiTheme="minorHAnsi" w:eastAsiaTheme="minorEastAsia" w:hAnsiTheme="minorHAnsi" w:cstheme="minorBidi"/>
            <w:bCs w:val="0"/>
            <w:szCs w:val="22"/>
          </w:rPr>
          <w:tab/>
        </w:r>
        <w:r w:rsidR="00335136" w:rsidRPr="00B8620D">
          <w:rPr>
            <w:rStyle w:val="Hyperlink"/>
          </w:rPr>
          <w:t>Efforts to Identify Duplication</w:t>
        </w:r>
        <w:r w:rsidR="00335136">
          <w:rPr>
            <w:webHidden/>
          </w:rPr>
          <w:tab/>
        </w:r>
        <w:r>
          <w:rPr>
            <w:webHidden/>
          </w:rPr>
          <w:fldChar w:fldCharType="begin"/>
        </w:r>
        <w:r w:rsidR="00335136">
          <w:rPr>
            <w:webHidden/>
          </w:rPr>
          <w:instrText xml:space="preserve"> PAGEREF _Toc322356401 \h </w:instrText>
        </w:r>
        <w:r>
          <w:rPr>
            <w:webHidden/>
          </w:rPr>
        </w:r>
        <w:r>
          <w:rPr>
            <w:webHidden/>
          </w:rPr>
          <w:fldChar w:fldCharType="separate"/>
        </w:r>
        <w:r w:rsidR="00335136">
          <w:rPr>
            <w:webHidden/>
          </w:rPr>
          <w:t>10</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2" w:history="1">
        <w:r w:rsidR="00335136" w:rsidRPr="00B8620D">
          <w:rPr>
            <w:rStyle w:val="Hyperlink"/>
          </w:rPr>
          <w:t>5.</w:t>
        </w:r>
        <w:r w:rsidR="00335136">
          <w:rPr>
            <w:rFonts w:asciiTheme="minorHAnsi" w:eastAsiaTheme="minorEastAsia" w:hAnsiTheme="minorHAnsi" w:cstheme="minorBidi"/>
            <w:bCs w:val="0"/>
            <w:szCs w:val="22"/>
          </w:rPr>
          <w:tab/>
        </w:r>
        <w:r w:rsidR="00335136" w:rsidRPr="00B8620D">
          <w:rPr>
            <w:rStyle w:val="Hyperlink"/>
          </w:rPr>
          <w:t>Method Used to Minimize Burden on Small Businesses</w:t>
        </w:r>
        <w:r w:rsidR="00335136">
          <w:rPr>
            <w:webHidden/>
          </w:rPr>
          <w:tab/>
        </w:r>
        <w:r>
          <w:rPr>
            <w:webHidden/>
          </w:rPr>
          <w:fldChar w:fldCharType="begin"/>
        </w:r>
        <w:r w:rsidR="00335136">
          <w:rPr>
            <w:webHidden/>
          </w:rPr>
          <w:instrText xml:space="preserve"> PAGEREF _Toc322356402 \h </w:instrText>
        </w:r>
        <w:r>
          <w:rPr>
            <w:webHidden/>
          </w:rPr>
        </w:r>
        <w:r>
          <w:rPr>
            <w:webHidden/>
          </w:rPr>
          <w:fldChar w:fldCharType="separate"/>
        </w:r>
        <w:r w:rsidR="00335136">
          <w:rPr>
            <w:webHidden/>
          </w:rPr>
          <w:t>11</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3" w:history="1">
        <w:r w:rsidR="00335136" w:rsidRPr="00B8620D">
          <w:rPr>
            <w:rStyle w:val="Hyperlink"/>
          </w:rPr>
          <w:t>6.</w:t>
        </w:r>
        <w:r w:rsidR="00335136">
          <w:rPr>
            <w:rFonts w:asciiTheme="minorHAnsi" w:eastAsiaTheme="minorEastAsia" w:hAnsiTheme="minorHAnsi" w:cstheme="minorBidi"/>
            <w:bCs w:val="0"/>
            <w:szCs w:val="22"/>
          </w:rPr>
          <w:tab/>
        </w:r>
        <w:r w:rsidR="00335136" w:rsidRPr="00B8620D">
          <w:rPr>
            <w:rStyle w:val="Hyperlink"/>
          </w:rPr>
          <w:t>Frequency of Data Collection</w:t>
        </w:r>
        <w:r w:rsidR="00335136">
          <w:rPr>
            <w:webHidden/>
          </w:rPr>
          <w:tab/>
        </w:r>
        <w:r>
          <w:rPr>
            <w:webHidden/>
          </w:rPr>
          <w:fldChar w:fldCharType="begin"/>
        </w:r>
        <w:r w:rsidR="00335136">
          <w:rPr>
            <w:webHidden/>
          </w:rPr>
          <w:instrText xml:space="preserve"> PAGEREF _Toc322356403 \h </w:instrText>
        </w:r>
        <w:r>
          <w:rPr>
            <w:webHidden/>
          </w:rPr>
        </w:r>
        <w:r>
          <w:rPr>
            <w:webHidden/>
          </w:rPr>
          <w:fldChar w:fldCharType="separate"/>
        </w:r>
        <w:r w:rsidR="00335136">
          <w:rPr>
            <w:webHidden/>
          </w:rPr>
          <w:t>11</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4" w:history="1">
        <w:r w:rsidR="00335136" w:rsidRPr="00B8620D">
          <w:rPr>
            <w:rStyle w:val="Hyperlink"/>
            <w:caps/>
          </w:rPr>
          <w:t>7.</w:t>
        </w:r>
        <w:r w:rsidR="00335136">
          <w:rPr>
            <w:rFonts w:asciiTheme="minorHAnsi" w:eastAsiaTheme="minorEastAsia" w:hAnsiTheme="minorHAnsi" w:cstheme="minorBidi"/>
            <w:bCs w:val="0"/>
            <w:szCs w:val="22"/>
          </w:rPr>
          <w:tab/>
        </w:r>
        <w:r w:rsidR="00335136" w:rsidRPr="00B8620D">
          <w:rPr>
            <w:rStyle w:val="Hyperlink"/>
          </w:rPr>
          <w:t>Special Circumstances of Data Collection</w:t>
        </w:r>
        <w:r w:rsidR="00335136">
          <w:rPr>
            <w:webHidden/>
          </w:rPr>
          <w:tab/>
        </w:r>
        <w:r>
          <w:rPr>
            <w:webHidden/>
          </w:rPr>
          <w:fldChar w:fldCharType="begin"/>
        </w:r>
        <w:r w:rsidR="00335136">
          <w:rPr>
            <w:webHidden/>
          </w:rPr>
          <w:instrText xml:space="preserve"> PAGEREF _Toc322356404 \h </w:instrText>
        </w:r>
        <w:r>
          <w:rPr>
            <w:webHidden/>
          </w:rPr>
        </w:r>
        <w:r>
          <w:rPr>
            <w:webHidden/>
          </w:rPr>
          <w:fldChar w:fldCharType="separate"/>
        </w:r>
        <w:r w:rsidR="00335136">
          <w:rPr>
            <w:webHidden/>
          </w:rPr>
          <w:t>11</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5" w:history="1">
        <w:r w:rsidR="00335136" w:rsidRPr="00B8620D">
          <w:rPr>
            <w:rStyle w:val="Hyperlink"/>
          </w:rPr>
          <w:t>8.</w:t>
        </w:r>
        <w:r w:rsidR="00335136">
          <w:rPr>
            <w:rFonts w:asciiTheme="minorHAnsi" w:eastAsiaTheme="minorEastAsia" w:hAnsiTheme="minorHAnsi" w:cstheme="minorBidi"/>
            <w:bCs w:val="0"/>
            <w:szCs w:val="22"/>
          </w:rPr>
          <w:tab/>
        </w:r>
        <w:r w:rsidR="00335136" w:rsidRPr="00B8620D">
          <w:rPr>
            <w:rStyle w:val="Hyperlink"/>
          </w:rPr>
          <w:t>Consultants Outside the Agency</w:t>
        </w:r>
        <w:r w:rsidR="00335136">
          <w:rPr>
            <w:webHidden/>
          </w:rPr>
          <w:tab/>
        </w:r>
        <w:r>
          <w:rPr>
            <w:webHidden/>
          </w:rPr>
          <w:fldChar w:fldCharType="begin"/>
        </w:r>
        <w:r w:rsidR="00335136">
          <w:rPr>
            <w:webHidden/>
          </w:rPr>
          <w:instrText xml:space="preserve"> PAGEREF _Toc322356405 \h </w:instrText>
        </w:r>
        <w:r>
          <w:rPr>
            <w:webHidden/>
          </w:rPr>
        </w:r>
        <w:r>
          <w:rPr>
            <w:webHidden/>
          </w:rPr>
          <w:fldChar w:fldCharType="separate"/>
        </w:r>
        <w:r w:rsidR="00335136">
          <w:rPr>
            <w:webHidden/>
          </w:rPr>
          <w:t>11</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6" w:history="1">
        <w:r w:rsidR="00335136" w:rsidRPr="00B8620D">
          <w:rPr>
            <w:rStyle w:val="Hyperlink"/>
          </w:rPr>
          <w:t>9.</w:t>
        </w:r>
        <w:r w:rsidR="00335136">
          <w:rPr>
            <w:rFonts w:asciiTheme="minorHAnsi" w:eastAsiaTheme="minorEastAsia" w:hAnsiTheme="minorHAnsi" w:cstheme="minorBidi"/>
            <w:bCs w:val="0"/>
            <w:szCs w:val="22"/>
          </w:rPr>
          <w:tab/>
        </w:r>
        <w:r w:rsidR="00335136" w:rsidRPr="00B8620D">
          <w:rPr>
            <w:rStyle w:val="Hyperlink"/>
          </w:rPr>
          <w:t>Provision of Payments or Gifts to Respondents</w:t>
        </w:r>
        <w:r w:rsidR="00335136">
          <w:rPr>
            <w:webHidden/>
          </w:rPr>
          <w:tab/>
        </w:r>
        <w:r>
          <w:rPr>
            <w:webHidden/>
          </w:rPr>
          <w:fldChar w:fldCharType="begin"/>
        </w:r>
        <w:r w:rsidR="00335136">
          <w:rPr>
            <w:webHidden/>
          </w:rPr>
          <w:instrText xml:space="preserve"> PAGEREF _Toc322356406 \h </w:instrText>
        </w:r>
        <w:r>
          <w:rPr>
            <w:webHidden/>
          </w:rPr>
        </w:r>
        <w:r>
          <w:rPr>
            <w:webHidden/>
          </w:rPr>
          <w:fldChar w:fldCharType="separate"/>
        </w:r>
        <w:r w:rsidR="00335136">
          <w:rPr>
            <w:webHidden/>
          </w:rPr>
          <w:t>12</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7" w:history="1">
        <w:r w:rsidR="00335136" w:rsidRPr="00B8620D">
          <w:rPr>
            <w:rStyle w:val="Hyperlink"/>
            <w:caps/>
          </w:rPr>
          <w:t>10.</w:t>
        </w:r>
        <w:r w:rsidR="00335136">
          <w:rPr>
            <w:rFonts w:asciiTheme="minorHAnsi" w:eastAsiaTheme="minorEastAsia" w:hAnsiTheme="minorHAnsi" w:cstheme="minorBidi"/>
            <w:bCs w:val="0"/>
            <w:szCs w:val="22"/>
          </w:rPr>
          <w:tab/>
        </w:r>
        <w:r w:rsidR="00335136" w:rsidRPr="00B8620D">
          <w:rPr>
            <w:rStyle w:val="Hyperlink"/>
          </w:rPr>
          <w:t>Assurance of Confidentiality</w:t>
        </w:r>
        <w:r w:rsidR="00335136">
          <w:rPr>
            <w:webHidden/>
          </w:rPr>
          <w:tab/>
        </w:r>
        <w:r>
          <w:rPr>
            <w:webHidden/>
          </w:rPr>
          <w:fldChar w:fldCharType="begin"/>
        </w:r>
        <w:r w:rsidR="00335136">
          <w:rPr>
            <w:webHidden/>
          </w:rPr>
          <w:instrText xml:space="preserve"> PAGEREF _Toc322356407 \h </w:instrText>
        </w:r>
        <w:r>
          <w:rPr>
            <w:webHidden/>
          </w:rPr>
        </w:r>
        <w:r>
          <w:rPr>
            <w:webHidden/>
          </w:rPr>
          <w:fldChar w:fldCharType="separate"/>
        </w:r>
        <w:r w:rsidR="00335136">
          <w:rPr>
            <w:webHidden/>
          </w:rPr>
          <w:t>13</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8" w:history="1">
        <w:r w:rsidR="00335136" w:rsidRPr="00B8620D">
          <w:rPr>
            <w:rStyle w:val="Hyperlink"/>
          </w:rPr>
          <w:t>11.</w:t>
        </w:r>
        <w:r w:rsidR="00335136">
          <w:rPr>
            <w:rFonts w:asciiTheme="minorHAnsi" w:eastAsiaTheme="minorEastAsia" w:hAnsiTheme="minorHAnsi" w:cstheme="minorBidi"/>
            <w:bCs w:val="0"/>
            <w:szCs w:val="22"/>
          </w:rPr>
          <w:tab/>
        </w:r>
        <w:r w:rsidR="00335136" w:rsidRPr="00B8620D">
          <w:rPr>
            <w:rStyle w:val="Hyperlink"/>
          </w:rPr>
          <w:t>Sensitive Questions</w:t>
        </w:r>
        <w:r w:rsidR="00335136">
          <w:rPr>
            <w:webHidden/>
          </w:rPr>
          <w:tab/>
        </w:r>
        <w:r>
          <w:rPr>
            <w:webHidden/>
          </w:rPr>
          <w:fldChar w:fldCharType="begin"/>
        </w:r>
        <w:r w:rsidR="00335136">
          <w:rPr>
            <w:webHidden/>
          </w:rPr>
          <w:instrText xml:space="preserve"> PAGEREF _Toc322356408 \h </w:instrText>
        </w:r>
        <w:r>
          <w:rPr>
            <w:webHidden/>
          </w:rPr>
        </w:r>
        <w:r>
          <w:rPr>
            <w:webHidden/>
          </w:rPr>
          <w:fldChar w:fldCharType="separate"/>
        </w:r>
        <w:r w:rsidR="00335136">
          <w:rPr>
            <w:webHidden/>
          </w:rPr>
          <w:t>15</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09" w:history="1">
        <w:r w:rsidR="00335136" w:rsidRPr="00B8620D">
          <w:rPr>
            <w:rStyle w:val="Hyperlink"/>
          </w:rPr>
          <w:t>12.</w:t>
        </w:r>
        <w:r w:rsidR="00335136">
          <w:rPr>
            <w:rFonts w:asciiTheme="minorHAnsi" w:eastAsiaTheme="minorEastAsia" w:hAnsiTheme="minorHAnsi" w:cstheme="minorBidi"/>
            <w:bCs w:val="0"/>
            <w:szCs w:val="22"/>
          </w:rPr>
          <w:tab/>
        </w:r>
        <w:r w:rsidR="00335136" w:rsidRPr="00B8620D">
          <w:rPr>
            <w:rStyle w:val="Hyperlink"/>
          </w:rPr>
          <w:t>Estimates of Response Burden</w:t>
        </w:r>
        <w:r w:rsidR="00335136">
          <w:rPr>
            <w:webHidden/>
          </w:rPr>
          <w:tab/>
        </w:r>
        <w:r>
          <w:rPr>
            <w:webHidden/>
          </w:rPr>
          <w:fldChar w:fldCharType="begin"/>
        </w:r>
        <w:r w:rsidR="00335136">
          <w:rPr>
            <w:webHidden/>
          </w:rPr>
          <w:instrText xml:space="preserve"> PAGEREF _Toc322356409 \h </w:instrText>
        </w:r>
        <w:r>
          <w:rPr>
            <w:webHidden/>
          </w:rPr>
        </w:r>
        <w:r>
          <w:rPr>
            <w:webHidden/>
          </w:rPr>
          <w:fldChar w:fldCharType="separate"/>
        </w:r>
        <w:r w:rsidR="00335136">
          <w:rPr>
            <w:webHidden/>
          </w:rPr>
          <w:t>15</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10" w:history="1">
        <w:r w:rsidR="00335136" w:rsidRPr="00B8620D">
          <w:rPr>
            <w:rStyle w:val="Hyperlink"/>
          </w:rPr>
          <w:t>13.</w:t>
        </w:r>
        <w:r w:rsidR="00335136">
          <w:rPr>
            <w:rFonts w:asciiTheme="minorHAnsi" w:eastAsiaTheme="minorEastAsia" w:hAnsiTheme="minorHAnsi" w:cstheme="minorBidi"/>
            <w:bCs w:val="0"/>
            <w:szCs w:val="22"/>
          </w:rPr>
          <w:tab/>
        </w:r>
        <w:r w:rsidR="00335136" w:rsidRPr="00B8620D">
          <w:rPr>
            <w:rStyle w:val="Hyperlink"/>
          </w:rPr>
          <w:t>Estimates of Cost to Respondents</w:t>
        </w:r>
        <w:r w:rsidR="00335136">
          <w:rPr>
            <w:webHidden/>
          </w:rPr>
          <w:tab/>
        </w:r>
        <w:r>
          <w:rPr>
            <w:webHidden/>
          </w:rPr>
          <w:fldChar w:fldCharType="begin"/>
        </w:r>
        <w:r w:rsidR="00335136">
          <w:rPr>
            <w:webHidden/>
          </w:rPr>
          <w:instrText xml:space="preserve"> PAGEREF _Toc322356410 \h </w:instrText>
        </w:r>
        <w:r>
          <w:rPr>
            <w:webHidden/>
          </w:rPr>
        </w:r>
        <w:r>
          <w:rPr>
            <w:webHidden/>
          </w:rPr>
          <w:fldChar w:fldCharType="separate"/>
        </w:r>
        <w:r w:rsidR="00335136">
          <w:rPr>
            <w:webHidden/>
          </w:rPr>
          <w:t>15</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11" w:history="1">
        <w:r w:rsidR="00335136" w:rsidRPr="00B8620D">
          <w:rPr>
            <w:rStyle w:val="Hyperlink"/>
          </w:rPr>
          <w:t>14.</w:t>
        </w:r>
        <w:r w:rsidR="00335136">
          <w:rPr>
            <w:rFonts w:asciiTheme="minorHAnsi" w:eastAsiaTheme="minorEastAsia" w:hAnsiTheme="minorHAnsi" w:cstheme="minorBidi"/>
            <w:bCs w:val="0"/>
            <w:szCs w:val="22"/>
          </w:rPr>
          <w:tab/>
        </w:r>
        <w:r w:rsidR="00335136" w:rsidRPr="00B8620D">
          <w:rPr>
            <w:rStyle w:val="Hyperlink"/>
          </w:rPr>
          <w:t>Costs to the Federal Government</w:t>
        </w:r>
        <w:r w:rsidR="00335136">
          <w:rPr>
            <w:webHidden/>
          </w:rPr>
          <w:tab/>
        </w:r>
        <w:r>
          <w:rPr>
            <w:webHidden/>
          </w:rPr>
          <w:fldChar w:fldCharType="begin"/>
        </w:r>
        <w:r w:rsidR="00335136">
          <w:rPr>
            <w:webHidden/>
          </w:rPr>
          <w:instrText xml:space="preserve"> PAGEREF _Toc322356411 \h </w:instrText>
        </w:r>
        <w:r>
          <w:rPr>
            <w:webHidden/>
          </w:rPr>
        </w:r>
        <w:r>
          <w:rPr>
            <w:webHidden/>
          </w:rPr>
          <w:fldChar w:fldCharType="separate"/>
        </w:r>
        <w:r w:rsidR="00335136">
          <w:rPr>
            <w:webHidden/>
          </w:rPr>
          <w:t>15</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12" w:history="1">
        <w:r w:rsidR="00335136" w:rsidRPr="00B8620D">
          <w:rPr>
            <w:rStyle w:val="Hyperlink"/>
          </w:rPr>
          <w:t>15.</w:t>
        </w:r>
        <w:r w:rsidR="00335136">
          <w:rPr>
            <w:rFonts w:asciiTheme="minorHAnsi" w:eastAsiaTheme="minorEastAsia" w:hAnsiTheme="minorHAnsi" w:cstheme="minorBidi"/>
            <w:bCs w:val="0"/>
            <w:szCs w:val="22"/>
          </w:rPr>
          <w:tab/>
        </w:r>
        <w:r w:rsidR="00335136" w:rsidRPr="00B8620D">
          <w:rPr>
            <w:rStyle w:val="Hyperlink"/>
          </w:rPr>
          <w:t>Response Burden and Costs</w:t>
        </w:r>
        <w:r w:rsidR="00335136">
          <w:rPr>
            <w:webHidden/>
          </w:rPr>
          <w:tab/>
        </w:r>
        <w:r>
          <w:rPr>
            <w:webHidden/>
          </w:rPr>
          <w:fldChar w:fldCharType="begin"/>
        </w:r>
        <w:r w:rsidR="00335136">
          <w:rPr>
            <w:webHidden/>
          </w:rPr>
          <w:instrText xml:space="preserve"> PAGEREF _Toc322356412 \h </w:instrText>
        </w:r>
        <w:r>
          <w:rPr>
            <w:webHidden/>
          </w:rPr>
        </w:r>
        <w:r>
          <w:rPr>
            <w:webHidden/>
          </w:rPr>
          <w:fldChar w:fldCharType="separate"/>
        </w:r>
        <w:r w:rsidR="00335136">
          <w:rPr>
            <w:webHidden/>
          </w:rPr>
          <w:t>16</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13" w:history="1">
        <w:r w:rsidR="00335136" w:rsidRPr="00B8620D">
          <w:rPr>
            <w:rStyle w:val="Hyperlink"/>
          </w:rPr>
          <w:t>16.</w:t>
        </w:r>
        <w:r w:rsidR="00335136">
          <w:rPr>
            <w:rFonts w:asciiTheme="minorHAnsi" w:eastAsiaTheme="minorEastAsia" w:hAnsiTheme="minorHAnsi" w:cstheme="minorBidi"/>
            <w:bCs w:val="0"/>
            <w:szCs w:val="22"/>
          </w:rPr>
          <w:tab/>
        </w:r>
        <w:r w:rsidR="00335136" w:rsidRPr="00B8620D">
          <w:rPr>
            <w:rStyle w:val="Hyperlink"/>
          </w:rPr>
          <w:t>Publication Plans and Time Schedule</w:t>
        </w:r>
        <w:r w:rsidR="00335136">
          <w:rPr>
            <w:webHidden/>
          </w:rPr>
          <w:tab/>
        </w:r>
        <w:r>
          <w:rPr>
            <w:webHidden/>
          </w:rPr>
          <w:fldChar w:fldCharType="begin"/>
        </w:r>
        <w:r w:rsidR="00335136">
          <w:rPr>
            <w:webHidden/>
          </w:rPr>
          <w:instrText xml:space="preserve"> PAGEREF _Toc322356413 \h </w:instrText>
        </w:r>
        <w:r>
          <w:rPr>
            <w:webHidden/>
          </w:rPr>
        </w:r>
        <w:r>
          <w:rPr>
            <w:webHidden/>
          </w:rPr>
          <w:fldChar w:fldCharType="separate"/>
        </w:r>
        <w:r w:rsidR="00335136">
          <w:rPr>
            <w:webHidden/>
          </w:rPr>
          <w:t>17</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14" w:history="1">
        <w:r w:rsidR="00335136" w:rsidRPr="00B8620D">
          <w:rPr>
            <w:rStyle w:val="Hyperlink"/>
          </w:rPr>
          <w:t>17.</w:t>
        </w:r>
        <w:r w:rsidR="00335136">
          <w:rPr>
            <w:rFonts w:asciiTheme="minorHAnsi" w:eastAsiaTheme="minorEastAsia" w:hAnsiTheme="minorHAnsi" w:cstheme="minorBidi"/>
            <w:bCs w:val="0"/>
            <w:szCs w:val="22"/>
          </w:rPr>
          <w:tab/>
        </w:r>
        <w:r w:rsidR="00335136" w:rsidRPr="00B8620D">
          <w:rPr>
            <w:rStyle w:val="Hyperlink"/>
          </w:rPr>
          <w:t>Approval to Not Display Expiration Date for OMB Approval</w:t>
        </w:r>
        <w:r w:rsidR="00335136">
          <w:rPr>
            <w:webHidden/>
          </w:rPr>
          <w:tab/>
        </w:r>
        <w:r>
          <w:rPr>
            <w:webHidden/>
          </w:rPr>
          <w:fldChar w:fldCharType="begin"/>
        </w:r>
        <w:r w:rsidR="00335136">
          <w:rPr>
            <w:webHidden/>
          </w:rPr>
          <w:instrText xml:space="preserve"> PAGEREF _Toc322356414 \h </w:instrText>
        </w:r>
        <w:r>
          <w:rPr>
            <w:webHidden/>
          </w:rPr>
        </w:r>
        <w:r>
          <w:rPr>
            <w:webHidden/>
          </w:rPr>
          <w:fldChar w:fldCharType="separate"/>
        </w:r>
        <w:r w:rsidR="00335136">
          <w:rPr>
            <w:webHidden/>
          </w:rPr>
          <w:t>18</w:t>
        </w:r>
        <w:r>
          <w:rPr>
            <w:webHidden/>
          </w:rPr>
          <w:fldChar w:fldCharType="end"/>
        </w:r>
      </w:hyperlink>
    </w:p>
    <w:p w:rsidR="00335136" w:rsidRDefault="00AC12DE">
      <w:pPr>
        <w:pStyle w:val="TOC2"/>
        <w:tabs>
          <w:tab w:val="left" w:pos="1080"/>
        </w:tabs>
        <w:rPr>
          <w:rFonts w:asciiTheme="minorHAnsi" w:eastAsiaTheme="minorEastAsia" w:hAnsiTheme="minorHAnsi" w:cstheme="minorBidi"/>
          <w:bCs w:val="0"/>
          <w:szCs w:val="22"/>
        </w:rPr>
      </w:pPr>
      <w:hyperlink w:anchor="_Toc322356415" w:history="1">
        <w:r w:rsidR="00335136" w:rsidRPr="00B8620D">
          <w:rPr>
            <w:rStyle w:val="Hyperlink"/>
          </w:rPr>
          <w:t>18.</w:t>
        </w:r>
        <w:r w:rsidR="00335136">
          <w:rPr>
            <w:rFonts w:asciiTheme="minorHAnsi" w:eastAsiaTheme="minorEastAsia" w:hAnsiTheme="minorHAnsi" w:cstheme="minorBidi"/>
            <w:bCs w:val="0"/>
            <w:szCs w:val="22"/>
          </w:rPr>
          <w:tab/>
        </w:r>
        <w:r w:rsidR="00335136" w:rsidRPr="00B8620D">
          <w:rPr>
            <w:rStyle w:val="Hyperlink"/>
          </w:rPr>
          <w:t>Exceptions to Certification for Paperwork Reduction Act Submissions</w:t>
        </w:r>
        <w:r w:rsidR="00335136">
          <w:rPr>
            <w:webHidden/>
          </w:rPr>
          <w:tab/>
        </w:r>
        <w:r>
          <w:rPr>
            <w:webHidden/>
          </w:rPr>
          <w:fldChar w:fldCharType="begin"/>
        </w:r>
        <w:r w:rsidR="00335136">
          <w:rPr>
            <w:webHidden/>
          </w:rPr>
          <w:instrText xml:space="preserve"> PAGEREF _Toc322356415 \h </w:instrText>
        </w:r>
        <w:r>
          <w:rPr>
            <w:webHidden/>
          </w:rPr>
        </w:r>
        <w:r>
          <w:rPr>
            <w:webHidden/>
          </w:rPr>
          <w:fldChar w:fldCharType="separate"/>
        </w:r>
        <w:r w:rsidR="00335136">
          <w:rPr>
            <w:webHidden/>
          </w:rPr>
          <w:t>18</w:t>
        </w:r>
        <w:r>
          <w:rPr>
            <w:webHidden/>
          </w:rPr>
          <w:fldChar w:fldCharType="end"/>
        </w:r>
      </w:hyperlink>
    </w:p>
    <w:p w:rsidR="00810A8B" w:rsidRPr="00A01934" w:rsidRDefault="00AC12DE" w:rsidP="00A01934">
      <w:pPr>
        <w:spacing w:before="360" w:after="120"/>
        <w:ind w:left="576" w:hanging="576"/>
      </w:pPr>
      <w:r>
        <w:fldChar w:fldCharType="end"/>
      </w:r>
      <w:r w:rsidR="00C33221" w:rsidRPr="00810A8B">
        <w:t>A</w:t>
      </w:r>
      <w:r w:rsidR="00810A8B" w:rsidRPr="00810A8B">
        <w:t xml:space="preserve">ppendix A. </w:t>
      </w:r>
      <w:r w:rsidR="00C33221" w:rsidRPr="00810A8B">
        <w:t xml:space="preserve">Studies Addressing Issues </w:t>
      </w:r>
      <w:r w:rsidR="00C33221" w:rsidRPr="00A01934">
        <w:t>Relevant to NCES’ Postsecondary Longitudinal and Sample Surveys Studies Program</w:t>
      </w:r>
    </w:p>
    <w:p w:rsidR="00C33221" w:rsidRPr="00A01934" w:rsidRDefault="00810A8B" w:rsidP="00A01934">
      <w:pPr>
        <w:spacing w:before="120" w:after="120"/>
        <w:ind w:left="576" w:hanging="576"/>
      </w:pPr>
      <w:r w:rsidRPr="00A01934">
        <w:t xml:space="preserve">Appendix </w:t>
      </w:r>
      <w:r w:rsidR="00C33221" w:rsidRPr="00A01934">
        <w:t>B.</w:t>
      </w:r>
      <w:r w:rsidR="00A01934" w:rsidRPr="00A01934">
        <w:t xml:space="preserve"> </w:t>
      </w:r>
      <w:r w:rsidR="00C33221" w:rsidRPr="00A01934">
        <w:t>Technical Review Panel Contact List</w:t>
      </w:r>
    </w:p>
    <w:p w:rsidR="00C33221" w:rsidRPr="00A01934" w:rsidRDefault="00810A8B" w:rsidP="00A01934">
      <w:pPr>
        <w:spacing w:before="120" w:after="120"/>
        <w:ind w:left="576" w:hanging="576"/>
      </w:pPr>
      <w:r w:rsidRPr="00A01934">
        <w:t xml:space="preserve">Appendix </w:t>
      </w:r>
      <w:r w:rsidR="00C33221" w:rsidRPr="00A01934">
        <w:t>C.</w:t>
      </w:r>
      <w:r w:rsidR="00A01934" w:rsidRPr="00A01934">
        <w:t xml:space="preserve"> </w:t>
      </w:r>
      <w:r w:rsidR="006E01DF">
        <w:t xml:space="preserve">Contractor </w:t>
      </w:r>
      <w:r w:rsidR="00C33221" w:rsidRPr="00A01934">
        <w:t>Confidentiality</w:t>
      </w:r>
      <w:r w:rsidR="002225C7">
        <w:t xml:space="preserve"> </w:t>
      </w:r>
      <w:r w:rsidR="00D07AA9" w:rsidRPr="00A01934">
        <w:t>Agreements</w:t>
      </w:r>
    </w:p>
    <w:p w:rsidR="00C33221" w:rsidRPr="00A01934" w:rsidRDefault="00810A8B" w:rsidP="00A01934">
      <w:pPr>
        <w:spacing w:before="120" w:after="120"/>
        <w:ind w:left="576" w:hanging="576"/>
      </w:pPr>
      <w:r w:rsidRPr="00A01934">
        <w:t xml:space="preserve">Appendix </w:t>
      </w:r>
      <w:r w:rsidR="00C33221" w:rsidRPr="00A01934">
        <w:t>D.</w:t>
      </w:r>
      <w:r w:rsidR="00A01934" w:rsidRPr="00A01934">
        <w:t xml:space="preserve"> </w:t>
      </w:r>
      <w:r w:rsidR="006E01DF">
        <w:t xml:space="preserve">Respondent </w:t>
      </w:r>
      <w:r w:rsidR="00C33221" w:rsidRPr="00A01934">
        <w:t>Letters and Contacting Materials</w:t>
      </w:r>
    </w:p>
    <w:p w:rsidR="00C33221" w:rsidRPr="00A01934" w:rsidRDefault="00810A8B" w:rsidP="00A01934">
      <w:pPr>
        <w:spacing w:before="120" w:after="120"/>
        <w:ind w:left="576" w:hanging="576"/>
      </w:pPr>
      <w:r w:rsidRPr="00A01934">
        <w:t xml:space="preserve">Appendix </w:t>
      </w:r>
      <w:r w:rsidR="00C33221" w:rsidRPr="00A01934">
        <w:t>E.</w:t>
      </w:r>
      <w:r w:rsidR="00A01934" w:rsidRPr="00A01934">
        <w:t xml:space="preserve"> </w:t>
      </w:r>
      <w:r w:rsidR="00C33221" w:rsidRPr="00A01934">
        <w:t>Linkages to Administrative Data</w:t>
      </w:r>
      <w:r w:rsidR="00D07AA9" w:rsidRPr="00A01934">
        <w:t xml:space="preserve"> Sources</w:t>
      </w:r>
    </w:p>
    <w:p w:rsidR="00C33221" w:rsidRPr="00A01934" w:rsidRDefault="00810A8B" w:rsidP="00A01934">
      <w:pPr>
        <w:spacing w:before="120" w:after="120"/>
        <w:ind w:left="576" w:hanging="576"/>
      </w:pPr>
      <w:r w:rsidRPr="00A01934">
        <w:t xml:space="preserve">Appendix </w:t>
      </w:r>
      <w:r w:rsidR="00C33221" w:rsidRPr="00A01934">
        <w:t>F.</w:t>
      </w:r>
      <w:r w:rsidR="00A01934" w:rsidRPr="00A01934">
        <w:t xml:space="preserve"> </w:t>
      </w:r>
      <w:r w:rsidR="00C33221" w:rsidRPr="00A01934">
        <w:t>Data Security Language for Vendor Contracts</w:t>
      </w:r>
    </w:p>
    <w:p w:rsidR="00C33221" w:rsidRPr="00A01934" w:rsidRDefault="00810A8B" w:rsidP="00A01934">
      <w:pPr>
        <w:spacing w:before="120" w:after="120"/>
        <w:ind w:left="576" w:hanging="576"/>
      </w:pPr>
      <w:r w:rsidRPr="00A01934">
        <w:t xml:space="preserve">Appendix </w:t>
      </w:r>
      <w:r w:rsidR="00C33221" w:rsidRPr="00A01934">
        <w:t>G</w:t>
      </w:r>
      <w:r w:rsidR="00A01934" w:rsidRPr="00A01934">
        <w:t xml:space="preserve">. </w:t>
      </w:r>
      <w:r w:rsidR="00C33221" w:rsidRPr="00A01934">
        <w:t>Data Collection Instrument</w:t>
      </w:r>
    </w:p>
    <w:p w:rsidR="00721099" w:rsidRPr="00A01934" w:rsidRDefault="00721099" w:rsidP="00721099">
      <w:pPr>
        <w:spacing w:before="120" w:after="120"/>
        <w:ind w:left="576" w:hanging="576"/>
      </w:pPr>
      <w:bookmarkStart w:id="1" w:name="_Toc144287315"/>
      <w:r w:rsidRPr="00A01934">
        <w:t xml:space="preserve">Appendix </w:t>
      </w:r>
      <w:r>
        <w:t>H</w:t>
      </w:r>
      <w:r w:rsidRPr="00A01934">
        <w:t xml:space="preserve">. </w:t>
      </w:r>
      <w:r w:rsidRPr="00847BA6">
        <w:t xml:space="preserve">Exploration of </w:t>
      </w:r>
      <w:r>
        <w:t xml:space="preserve">the R-indicator in a </w:t>
      </w:r>
      <w:r w:rsidRPr="00847BA6">
        <w:t>Responsive Design</w:t>
      </w:r>
    </w:p>
    <w:p w:rsidR="00721099" w:rsidRPr="00721099" w:rsidRDefault="00721099" w:rsidP="00721099">
      <w:pPr>
        <w:spacing w:before="120" w:after="120"/>
        <w:ind w:left="576" w:hanging="576"/>
      </w:pPr>
      <w:r w:rsidRPr="00A01934">
        <w:t xml:space="preserve">Appendix </w:t>
      </w:r>
      <w:r>
        <w:t>I</w:t>
      </w:r>
      <w:r w:rsidRPr="00A01934">
        <w:t xml:space="preserve">. </w:t>
      </w:r>
      <w:r w:rsidRPr="00721099">
        <w:t>Selected Results of the B&amp;B:08/12 Field Test</w:t>
      </w:r>
    </w:p>
    <w:p w:rsidR="00721099" w:rsidRPr="00A01934" w:rsidRDefault="00721099" w:rsidP="00721099">
      <w:pPr>
        <w:spacing w:before="120" w:after="120"/>
        <w:ind w:left="576" w:hanging="576"/>
      </w:pPr>
      <w:r w:rsidRPr="00A01934">
        <w:t xml:space="preserve">Appendix </w:t>
      </w:r>
      <w:r>
        <w:t>J</w:t>
      </w:r>
      <w:r w:rsidRPr="00A01934">
        <w:t xml:space="preserve">. </w:t>
      </w:r>
      <w:r>
        <w:t>Cognitive Testing Report</w:t>
      </w:r>
    </w:p>
    <w:p w:rsidR="00C33221" w:rsidRDefault="00C33221" w:rsidP="00AE28EF">
      <w:pPr>
        <w:pStyle w:val="Title"/>
        <w:spacing w:line="320" w:lineRule="atLeast"/>
      </w:pPr>
      <w:r w:rsidRPr="005C26EF">
        <w:br w:type="page"/>
        <w:t>List of Tables</w:t>
      </w:r>
      <w:bookmarkEnd w:id="1"/>
    </w:p>
    <w:p w:rsidR="00335136" w:rsidRDefault="00AC12DE">
      <w:pPr>
        <w:pStyle w:val="TOC5"/>
        <w:rPr>
          <w:rFonts w:asciiTheme="minorHAnsi" w:eastAsiaTheme="minorEastAsia" w:hAnsiTheme="minorHAnsi" w:cstheme="minorBidi"/>
          <w:sz w:val="22"/>
          <w:szCs w:val="22"/>
        </w:rPr>
      </w:pPr>
      <w:r>
        <w:rPr>
          <w:b/>
          <w:bCs/>
          <w:szCs w:val="24"/>
        </w:rPr>
        <w:fldChar w:fldCharType="begin"/>
      </w:r>
      <w:r w:rsidR="00835A08">
        <w:rPr>
          <w:b/>
          <w:bCs/>
          <w:szCs w:val="24"/>
        </w:rPr>
        <w:instrText xml:space="preserve"> TOC \t "Table Title,5" </w:instrText>
      </w:r>
      <w:r>
        <w:rPr>
          <w:b/>
          <w:bCs/>
          <w:szCs w:val="24"/>
        </w:rPr>
        <w:fldChar w:fldCharType="separate"/>
      </w:r>
      <w:r w:rsidR="00335136">
        <w:t>Table 1.</w:t>
      </w:r>
      <w:r w:rsidR="00335136">
        <w:rPr>
          <w:rFonts w:asciiTheme="minorHAnsi" w:eastAsiaTheme="minorEastAsia" w:hAnsiTheme="minorHAnsi" w:cstheme="minorBidi"/>
          <w:sz w:val="22"/>
          <w:szCs w:val="22"/>
        </w:rPr>
        <w:tab/>
      </w:r>
      <w:r w:rsidR="00335136">
        <w:t>Chronology of NPSAS and its longitudinal components</w:t>
      </w:r>
      <w:r w:rsidR="00335136">
        <w:tab/>
      </w:r>
      <w:r>
        <w:fldChar w:fldCharType="begin"/>
      </w:r>
      <w:r w:rsidR="00335136">
        <w:instrText xml:space="preserve"> PAGEREF _Toc322356416 \h </w:instrText>
      </w:r>
      <w:r>
        <w:fldChar w:fldCharType="separate"/>
      </w:r>
      <w:r w:rsidR="00335136">
        <w:t>6</w:t>
      </w:r>
      <w:r>
        <w:fldChar w:fldCharType="end"/>
      </w:r>
    </w:p>
    <w:p w:rsidR="00335136" w:rsidRDefault="00335136">
      <w:pPr>
        <w:pStyle w:val="TOC5"/>
        <w:rPr>
          <w:rFonts w:asciiTheme="minorHAnsi" w:eastAsiaTheme="minorEastAsia" w:hAnsiTheme="minorHAnsi" w:cstheme="minorBidi"/>
          <w:sz w:val="22"/>
          <w:szCs w:val="22"/>
        </w:rPr>
      </w:pPr>
      <w:r>
        <w:t>Table 2.</w:t>
      </w:r>
      <w:r>
        <w:rPr>
          <w:rFonts w:asciiTheme="minorHAnsi" w:eastAsiaTheme="minorEastAsia" w:hAnsiTheme="minorHAnsi" w:cstheme="minorBidi"/>
          <w:sz w:val="22"/>
          <w:szCs w:val="22"/>
        </w:rPr>
        <w:tab/>
      </w:r>
      <w:r>
        <w:t>Distribution of interview mode for NPSAS:08 and B&amp;B:08 cohort field test and full-scale studies</w:t>
      </w:r>
      <w:r>
        <w:tab/>
      </w:r>
      <w:r w:rsidR="00AC12DE">
        <w:fldChar w:fldCharType="begin"/>
      </w:r>
      <w:r>
        <w:instrText xml:space="preserve"> PAGEREF _Toc322356417 \h </w:instrText>
      </w:r>
      <w:r w:rsidR="00AC12DE">
        <w:fldChar w:fldCharType="separate"/>
      </w:r>
      <w:r>
        <w:t>10</w:t>
      </w:r>
      <w:r w:rsidR="00AC12DE">
        <w:fldChar w:fldCharType="end"/>
      </w:r>
    </w:p>
    <w:p w:rsidR="00335136" w:rsidRDefault="00335136">
      <w:pPr>
        <w:pStyle w:val="TOC5"/>
        <w:rPr>
          <w:rFonts w:asciiTheme="minorHAnsi" w:eastAsiaTheme="minorEastAsia" w:hAnsiTheme="minorHAnsi" w:cstheme="minorBidi"/>
          <w:sz w:val="22"/>
          <w:szCs w:val="22"/>
        </w:rPr>
      </w:pPr>
      <w:r>
        <w:t>Table 3.</w:t>
      </w:r>
      <w:r>
        <w:rPr>
          <w:rFonts w:asciiTheme="minorHAnsi" w:eastAsiaTheme="minorEastAsia" w:hAnsiTheme="minorHAnsi" w:cstheme="minorBidi"/>
          <w:sz w:val="22"/>
          <w:szCs w:val="22"/>
        </w:rPr>
        <w:tab/>
      </w:r>
      <w:r>
        <w:t>Estimated burden and costs to B&amp;B:08/12 future respondents</w:t>
      </w:r>
      <w:r>
        <w:tab/>
      </w:r>
      <w:r w:rsidR="00AC12DE">
        <w:fldChar w:fldCharType="begin"/>
      </w:r>
      <w:r>
        <w:instrText xml:space="preserve"> PAGEREF _Toc322356418 \h </w:instrText>
      </w:r>
      <w:r w:rsidR="00AC12DE">
        <w:fldChar w:fldCharType="separate"/>
      </w:r>
      <w:r>
        <w:t>15</w:t>
      </w:r>
      <w:r w:rsidR="00AC12DE">
        <w:fldChar w:fldCharType="end"/>
      </w:r>
    </w:p>
    <w:p w:rsidR="00335136" w:rsidRDefault="00335136">
      <w:pPr>
        <w:pStyle w:val="TOC5"/>
        <w:rPr>
          <w:rFonts w:asciiTheme="minorHAnsi" w:eastAsiaTheme="minorEastAsia" w:hAnsiTheme="minorHAnsi" w:cstheme="minorBidi"/>
          <w:sz w:val="22"/>
          <w:szCs w:val="22"/>
        </w:rPr>
      </w:pPr>
      <w:r>
        <w:t>Table 4.</w:t>
      </w:r>
      <w:r>
        <w:rPr>
          <w:rFonts w:asciiTheme="minorHAnsi" w:eastAsiaTheme="minorEastAsia" w:hAnsiTheme="minorHAnsi" w:cstheme="minorBidi"/>
          <w:sz w:val="22"/>
          <w:szCs w:val="22"/>
        </w:rPr>
        <w:tab/>
      </w:r>
      <w:r>
        <w:t>Individual and total costs to the National Center for Education Statistics for the B&amp;B:08/12 full-scale implementation</w:t>
      </w:r>
      <w:r>
        <w:tab/>
      </w:r>
      <w:r w:rsidR="00AC12DE">
        <w:fldChar w:fldCharType="begin"/>
      </w:r>
      <w:r>
        <w:instrText xml:space="preserve"> PAGEREF _Toc322356419 \h </w:instrText>
      </w:r>
      <w:r w:rsidR="00AC12DE">
        <w:fldChar w:fldCharType="separate"/>
      </w:r>
      <w:r>
        <w:t>16</w:t>
      </w:r>
      <w:r w:rsidR="00AC12DE">
        <w:fldChar w:fldCharType="end"/>
      </w:r>
    </w:p>
    <w:p w:rsidR="00335136" w:rsidRDefault="00335136">
      <w:pPr>
        <w:pStyle w:val="TOC5"/>
        <w:rPr>
          <w:rFonts w:asciiTheme="minorHAnsi" w:eastAsiaTheme="minorEastAsia" w:hAnsiTheme="minorHAnsi" w:cstheme="minorBidi"/>
          <w:sz w:val="22"/>
          <w:szCs w:val="22"/>
        </w:rPr>
      </w:pPr>
      <w:r>
        <w:t>Table 5.</w:t>
      </w:r>
      <w:r>
        <w:rPr>
          <w:rFonts w:asciiTheme="minorHAnsi" w:eastAsiaTheme="minorEastAsia" w:hAnsiTheme="minorHAnsi" w:cstheme="minorBidi"/>
          <w:sz w:val="22"/>
          <w:szCs w:val="22"/>
        </w:rPr>
        <w:tab/>
      </w:r>
      <w:r>
        <w:t>Contract costs for B&amp;B:08/12</w:t>
      </w:r>
      <w:r>
        <w:tab/>
      </w:r>
      <w:r w:rsidR="00AC12DE">
        <w:fldChar w:fldCharType="begin"/>
      </w:r>
      <w:r>
        <w:instrText xml:space="preserve"> PAGEREF _Toc322356420 \h </w:instrText>
      </w:r>
      <w:r w:rsidR="00AC12DE">
        <w:fldChar w:fldCharType="separate"/>
      </w:r>
      <w:r>
        <w:t>17</w:t>
      </w:r>
      <w:r w:rsidR="00AC12DE">
        <w:fldChar w:fldCharType="end"/>
      </w:r>
    </w:p>
    <w:p w:rsidR="00335136" w:rsidRDefault="00335136">
      <w:pPr>
        <w:pStyle w:val="TOC5"/>
        <w:rPr>
          <w:rFonts w:asciiTheme="minorHAnsi" w:eastAsiaTheme="minorEastAsia" w:hAnsiTheme="minorHAnsi" w:cstheme="minorBidi"/>
          <w:sz w:val="22"/>
          <w:szCs w:val="22"/>
        </w:rPr>
      </w:pPr>
      <w:r>
        <w:t xml:space="preserve">Table </w:t>
      </w:r>
      <w:r w:rsidRPr="00C97244">
        <w:t>6</w:t>
      </w:r>
      <w:r>
        <w:t>.</w:t>
      </w:r>
      <w:r>
        <w:rPr>
          <w:rFonts w:asciiTheme="minorHAnsi" w:eastAsiaTheme="minorEastAsia" w:hAnsiTheme="minorHAnsi" w:cstheme="minorBidi"/>
          <w:sz w:val="22"/>
          <w:szCs w:val="22"/>
        </w:rPr>
        <w:tab/>
      </w:r>
      <w:r>
        <w:t>Operational schedule for B&amp;B:08/12</w:t>
      </w:r>
      <w:r>
        <w:tab/>
      </w:r>
      <w:r w:rsidR="00AC12DE">
        <w:fldChar w:fldCharType="begin"/>
      </w:r>
      <w:r>
        <w:instrText xml:space="preserve"> PAGEREF _Toc322356421 \h </w:instrText>
      </w:r>
      <w:r w:rsidR="00AC12DE">
        <w:fldChar w:fldCharType="separate"/>
      </w:r>
      <w:r>
        <w:t>18</w:t>
      </w:r>
      <w:r w:rsidR="00AC12DE">
        <w:fldChar w:fldCharType="end"/>
      </w:r>
    </w:p>
    <w:p w:rsidR="00C33221" w:rsidRDefault="00AC12DE" w:rsidP="00854546">
      <w:pPr>
        <w:pStyle w:val="TableofFigures"/>
        <w:tabs>
          <w:tab w:val="clear" w:pos="720"/>
          <w:tab w:val="clear" w:pos="9350"/>
          <w:tab w:val="left" w:pos="1080"/>
          <w:tab w:val="left" w:leader="dot" w:pos="9090"/>
        </w:tabs>
        <w:ind w:left="1166" w:hanging="1166"/>
        <w:rPr>
          <w:b/>
          <w:bCs/>
          <w:szCs w:val="24"/>
        </w:rPr>
      </w:pPr>
      <w:r>
        <w:rPr>
          <w:b/>
          <w:bCs/>
          <w:szCs w:val="24"/>
        </w:rPr>
        <w:fldChar w:fldCharType="end"/>
      </w:r>
    </w:p>
    <w:p w:rsidR="00835A08" w:rsidRPr="00835A08" w:rsidRDefault="00835A08" w:rsidP="00835A08"/>
    <w:p w:rsidR="00C33221" w:rsidRDefault="00C33221" w:rsidP="00920FAC">
      <w:pPr>
        <w:tabs>
          <w:tab w:val="left" w:pos="360"/>
          <w:tab w:val="right" w:leader="dot" w:pos="9346"/>
        </w:tabs>
        <w:rPr>
          <w:sz w:val="22"/>
          <w:u w:val="words"/>
        </w:rPr>
        <w:sectPr w:rsidR="00C33221" w:rsidSect="002225C7">
          <w:headerReference w:type="even" r:id="rId13"/>
          <w:headerReference w:type="default" r:id="rId14"/>
          <w:footerReference w:type="even" r:id="rId15"/>
          <w:footerReference w:type="default" r:id="rId16"/>
          <w:headerReference w:type="first" r:id="rId17"/>
          <w:footerReference w:type="first" r:id="rId18"/>
          <w:pgSz w:w="12240" w:h="15840"/>
          <w:pgMar w:top="1008" w:right="1008" w:bottom="1008" w:left="1008" w:header="720" w:footer="720" w:gutter="0"/>
          <w:pgNumType w:fmt="lowerRoman"/>
          <w:cols w:space="720"/>
        </w:sectPr>
      </w:pPr>
    </w:p>
    <w:p w:rsidR="00C33221" w:rsidRDefault="00C33221" w:rsidP="004F1598">
      <w:pPr>
        <w:pStyle w:val="Heading1"/>
        <w:numPr>
          <w:ilvl w:val="0"/>
          <w:numId w:val="16"/>
        </w:numPr>
        <w:tabs>
          <w:tab w:val="clear" w:pos="152"/>
        </w:tabs>
        <w:spacing w:line="320" w:lineRule="atLeast"/>
        <w:ind w:left="540" w:hanging="540"/>
      </w:pPr>
      <w:bookmarkStart w:id="2" w:name="_Toc283667334"/>
      <w:bookmarkStart w:id="3" w:name="_Toc283667335"/>
      <w:bookmarkStart w:id="4" w:name="_Toc283667336"/>
      <w:bookmarkStart w:id="5" w:name="_Toc322356391"/>
      <w:bookmarkEnd w:id="2"/>
      <w:bookmarkEnd w:id="3"/>
      <w:bookmarkEnd w:id="4"/>
      <w:r w:rsidRPr="005C26EF">
        <w:t>Justification</w:t>
      </w:r>
      <w:bookmarkEnd w:id="5"/>
    </w:p>
    <w:p w:rsidR="00C33221" w:rsidRDefault="00C33221" w:rsidP="004F1598">
      <w:pPr>
        <w:pStyle w:val="Heading2"/>
        <w:numPr>
          <w:ilvl w:val="1"/>
          <w:numId w:val="16"/>
        </w:numPr>
        <w:tabs>
          <w:tab w:val="clear" w:pos="979"/>
        </w:tabs>
        <w:spacing w:line="320" w:lineRule="atLeast"/>
        <w:ind w:left="1080" w:hanging="540"/>
      </w:pPr>
      <w:bookmarkStart w:id="6" w:name="_Toc322356392"/>
      <w:r w:rsidRPr="005C26EF">
        <w:t>Circumstances Making Collection of Information Necessary</w:t>
      </w:r>
      <w:bookmarkEnd w:id="6"/>
    </w:p>
    <w:p w:rsidR="00C33221" w:rsidRDefault="00C33221" w:rsidP="004F1598">
      <w:pPr>
        <w:pStyle w:val="Heading3"/>
        <w:numPr>
          <w:ilvl w:val="2"/>
          <w:numId w:val="16"/>
        </w:numPr>
        <w:tabs>
          <w:tab w:val="clear" w:pos="1253"/>
        </w:tabs>
        <w:spacing w:line="320" w:lineRule="atLeast"/>
        <w:ind w:left="1620" w:hanging="540"/>
      </w:pPr>
      <w:bookmarkStart w:id="7" w:name="_Toc322356393"/>
      <w:r w:rsidRPr="005C26EF">
        <w:t>Purpose of this Submission</w:t>
      </w:r>
      <w:bookmarkEnd w:id="7"/>
    </w:p>
    <w:p w:rsidR="00C33221" w:rsidRDefault="00C33221" w:rsidP="00427FFC">
      <w:pPr>
        <w:pStyle w:val="BodyText"/>
        <w:ind w:firstLine="0"/>
      </w:pPr>
      <w:r>
        <w:t xml:space="preserve">The </w:t>
      </w:r>
      <w:r w:rsidRPr="00F12AB8">
        <w:t>National Center for Education Statistics (NCES)</w:t>
      </w:r>
      <w:r>
        <w:t xml:space="preserve">, within </w:t>
      </w:r>
      <w:r w:rsidRPr="00F12AB8">
        <w:t>the U.S. Department of Education</w:t>
      </w:r>
      <w:r>
        <w:t xml:space="preserve"> (ED), is requesting approval to conduct a second follow-up </w:t>
      </w:r>
      <w:r w:rsidR="00B82AC9">
        <w:t xml:space="preserve">data collection </w:t>
      </w:r>
      <w:r>
        <w:t xml:space="preserve">and file matching for </w:t>
      </w:r>
      <w:r w:rsidRPr="00F12AB8">
        <w:t>the 20</w:t>
      </w:r>
      <w:r>
        <w:t xml:space="preserve">08/12 Baccalaureate and Beyond Longitudinal </w:t>
      </w:r>
      <w:r w:rsidRPr="00F12AB8">
        <w:t>Study (</w:t>
      </w:r>
      <w:r>
        <w:t>B&amp;B</w:t>
      </w:r>
      <w:r w:rsidRPr="00F12AB8">
        <w:t>:</w:t>
      </w:r>
      <w:r>
        <w:t>08/12)</w:t>
      </w:r>
      <w:r w:rsidRPr="00F12AB8">
        <w:t xml:space="preserve">. This study is being conducted </w:t>
      </w:r>
      <w:r>
        <w:t xml:space="preserve">under contract # </w:t>
      </w:r>
      <w:r w:rsidRPr="00FD6EC1">
        <w:t>ED-05-CO-0033</w:t>
      </w:r>
      <w:r>
        <w:t xml:space="preserve"> with</w:t>
      </w:r>
      <w:r w:rsidRPr="00F12AB8">
        <w:t xml:space="preserve"> RTI International</w:t>
      </w:r>
      <w:r w:rsidRPr="00F12AB8">
        <w:rPr>
          <w:rStyle w:val="FootnoteReference"/>
          <w:sz w:val="20"/>
          <w:szCs w:val="20"/>
        </w:rPr>
        <w:footnoteReference w:id="2"/>
      </w:r>
      <w:r>
        <w:t xml:space="preserve"> and</w:t>
      </w:r>
      <w:r w:rsidRPr="00F12AB8">
        <w:t xml:space="preserve"> its </w:t>
      </w:r>
      <w:r>
        <w:t xml:space="preserve">primary </w:t>
      </w:r>
      <w:r w:rsidRPr="00F12AB8">
        <w:t>subcontractor, MPR Associates</w:t>
      </w:r>
      <w:r>
        <w:t>,</w:t>
      </w:r>
      <w:r w:rsidRPr="00F12AB8">
        <w:t xml:space="preserve"> </w:t>
      </w:r>
      <w:r>
        <w:t>and consultants Dr. Cynthia Decker and Ms. Andrea Sykes</w:t>
      </w:r>
      <w:r w:rsidRPr="00FD6EC1">
        <w:t>.</w:t>
      </w:r>
      <w:r>
        <w:t xml:space="preserve"> </w:t>
      </w:r>
    </w:p>
    <w:p w:rsidR="00C33221" w:rsidRPr="007A2305" w:rsidRDefault="00C33221" w:rsidP="00807790">
      <w:pPr>
        <w:pStyle w:val="BodyText"/>
      </w:pPr>
      <w:r>
        <w:t>W</w:t>
      </w:r>
      <w:r w:rsidRPr="00F12AB8">
        <w:t xml:space="preserve">e are requesting clearance for data </w:t>
      </w:r>
      <w:r>
        <w:t>collection materials</w:t>
      </w:r>
      <w:r w:rsidRPr="00F12AB8">
        <w:t xml:space="preserve"> and procedures</w:t>
      </w:r>
      <w:r>
        <w:t xml:space="preserve"> for the second follow-up with the B&amp;B:08 cohort, including interviews and file matching</w:t>
      </w:r>
      <w:r w:rsidRPr="00F12AB8">
        <w:t xml:space="preserve">. </w:t>
      </w:r>
      <w:r>
        <w:t>We are also requesting approval to conduct panel maintenance activities to support possible future contacts with the B&amp;B:08 cohort</w:t>
      </w:r>
      <w:r>
        <w:rPr>
          <w:rStyle w:val="FootnoteReference"/>
        </w:rPr>
        <w:footnoteReference w:id="3"/>
      </w:r>
      <w:r>
        <w:t xml:space="preserve">. </w:t>
      </w:r>
      <w:r w:rsidR="009D49F0">
        <w:t>Th</w:t>
      </w:r>
      <w:r w:rsidR="009E005E">
        <w:t xml:space="preserve">e proposed </w:t>
      </w:r>
      <w:r w:rsidR="009D49F0">
        <w:t xml:space="preserve">data collection follows </w:t>
      </w:r>
      <w:r w:rsidRPr="00F12AB8">
        <w:t xml:space="preserve">a field test study </w:t>
      </w:r>
      <w:r w:rsidR="009D49F0">
        <w:t xml:space="preserve">conducted </w:t>
      </w:r>
      <w:r w:rsidRPr="00F12AB8">
        <w:t>in 20</w:t>
      </w:r>
      <w:r>
        <w:t>11</w:t>
      </w:r>
      <w:r w:rsidR="00FD411A">
        <w:t xml:space="preserve">. </w:t>
      </w:r>
      <w:r w:rsidR="00FF43FA">
        <w:t xml:space="preserve">Because only minimal changes </w:t>
      </w:r>
      <w:r w:rsidR="00FD411A">
        <w:t>were</w:t>
      </w:r>
      <w:r w:rsidR="00FF43FA">
        <w:t xml:space="preserve"> expected between the field test and full scale studies, a</w:t>
      </w:r>
      <w:r w:rsidR="00212017">
        <w:t xml:space="preserve"> waiver of the </w:t>
      </w:r>
      <w:r w:rsidR="00FF43FA">
        <w:t xml:space="preserve">60-day Federal Register Notice </w:t>
      </w:r>
      <w:r w:rsidR="00212017">
        <w:t xml:space="preserve">was requested in the field test OMB </w:t>
      </w:r>
      <w:r w:rsidR="00FF43FA">
        <w:t xml:space="preserve">submission. The waiver was </w:t>
      </w:r>
      <w:r w:rsidR="00212017">
        <w:t xml:space="preserve">approved by OMB </w:t>
      </w:r>
      <w:r w:rsidR="00FF43FA">
        <w:t xml:space="preserve">on July 1, 2011 </w:t>
      </w:r>
      <w:r w:rsidR="00212017">
        <w:t>(</w:t>
      </w:r>
      <w:r w:rsidR="00052FAA">
        <w:t xml:space="preserve">OMB# </w:t>
      </w:r>
      <w:r w:rsidR="00052FAA" w:rsidRPr="00052FAA">
        <w:t>1850-0729 v.7</w:t>
      </w:r>
      <w:r w:rsidR="00212017">
        <w:t>).</w:t>
      </w:r>
      <w:r w:rsidR="002F0BC7">
        <w:t xml:space="preserve"> </w:t>
      </w:r>
      <w:r w:rsidR="00804D01">
        <w:t>T</w:t>
      </w:r>
      <w:r w:rsidR="002F0BC7">
        <w:t xml:space="preserve">his submission </w:t>
      </w:r>
      <w:r w:rsidR="009E005E">
        <w:t xml:space="preserve">proposes a full-scale experimental design </w:t>
      </w:r>
      <w:r w:rsidR="002F0BC7">
        <w:t xml:space="preserve">resulting from the </w:t>
      </w:r>
      <w:r w:rsidR="009E005E">
        <w:t xml:space="preserve">field test </w:t>
      </w:r>
      <w:r w:rsidR="002F0BC7">
        <w:t xml:space="preserve">experiments </w:t>
      </w:r>
      <w:r w:rsidR="009E005E">
        <w:t xml:space="preserve">that </w:t>
      </w:r>
      <w:r w:rsidR="002F0BC7" w:rsidRPr="002F0BC7">
        <w:t>explore</w:t>
      </w:r>
      <w:r w:rsidR="00804D01">
        <w:t>d</w:t>
      </w:r>
      <w:r w:rsidR="002F0BC7" w:rsidRPr="002F0BC7">
        <w:t xml:space="preserve"> new approaches to using</w:t>
      </w:r>
      <w:r w:rsidR="002F0BC7">
        <w:t xml:space="preserve"> </w:t>
      </w:r>
      <w:r w:rsidR="00807790">
        <w:t xml:space="preserve">monetary </w:t>
      </w:r>
      <w:r w:rsidR="002F0BC7" w:rsidRPr="002F0BC7">
        <w:t xml:space="preserve">incentives to address concerns </w:t>
      </w:r>
      <w:r w:rsidR="00807790">
        <w:t xml:space="preserve">of </w:t>
      </w:r>
      <w:r w:rsidR="002F0BC7" w:rsidRPr="002F0BC7">
        <w:t>nonresponse bias</w:t>
      </w:r>
      <w:r w:rsidR="00807790">
        <w:t xml:space="preserve">. </w:t>
      </w:r>
      <w:r w:rsidRPr="007A2305">
        <w:t xml:space="preserve"> </w:t>
      </w:r>
      <w:r w:rsidR="009E005E">
        <w:t>Survey instrument revisions are proposed based on observations from cognitive testing conducted from October 2011 through February 2012.</w:t>
      </w:r>
    </w:p>
    <w:p w:rsidR="00C33221" w:rsidRPr="007A2305" w:rsidRDefault="00C33221" w:rsidP="000E094A">
      <w:pPr>
        <w:spacing w:before="120" w:after="120" w:line="320" w:lineRule="atLeast"/>
        <w:ind w:firstLine="720"/>
        <w:rPr>
          <w:szCs w:val="24"/>
        </w:rPr>
      </w:pPr>
      <w:r w:rsidRPr="007A2305">
        <w:rPr>
          <w:szCs w:val="24"/>
        </w:rPr>
        <w:t>The Baccalaureate and Beyond Longitudinal Study (B&amp;B)</w:t>
      </w:r>
      <w:r>
        <w:rPr>
          <w:szCs w:val="24"/>
        </w:rPr>
        <w:t xml:space="preserve"> is designed to follow a cohort of baccalaureate recipients and collect</w:t>
      </w:r>
      <w:r w:rsidRPr="007A2305">
        <w:rPr>
          <w:szCs w:val="24"/>
        </w:rPr>
        <w:t xml:space="preserve"> information about the education, training, employment, workforce activities, and other life experiences </w:t>
      </w:r>
      <w:r>
        <w:rPr>
          <w:szCs w:val="24"/>
        </w:rPr>
        <w:t>in the years following degree completion</w:t>
      </w:r>
      <w:r w:rsidRPr="007A2305">
        <w:rPr>
          <w:szCs w:val="24"/>
        </w:rPr>
        <w:t>.  </w:t>
      </w:r>
      <w:r>
        <w:rPr>
          <w:szCs w:val="24"/>
        </w:rPr>
        <w:t xml:space="preserve">Data from B&amp;B are </w:t>
      </w:r>
      <w:r w:rsidRPr="007A2305">
        <w:rPr>
          <w:szCs w:val="24"/>
        </w:rPr>
        <w:t xml:space="preserve">used to help </w:t>
      </w:r>
      <w:r w:rsidR="00947D42">
        <w:rPr>
          <w:szCs w:val="24"/>
        </w:rPr>
        <w:t>researchers and policymakers</w:t>
      </w:r>
      <w:r w:rsidRPr="007A2305">
        <w:rPr>
          <w:szCs w:val="24"/>
        </w:rPr>
        <w:t xml:space="preserve"> better understand the choices college graduates make regarding employment and education in the years following receipt of the bachelor’s degree.</w:t>
      </w:r>
    </w:p>
    <w:p w:rsidR="00C33221" w:rsidRDefault="00C33221" w:rsidP="00E41A23">
      <w:pPr>
        <w:pStyle w:val="BodyText"/>
      </w:pPr>
      <w:r w:rsidRPr="007B0F8F">
        <w:t>Previous publications</w:t>
      </w:r>
      <w:r w:rsidRPr="005C26EF">
        <w:t xml:space="preserve"> related to or based on data from </w:t>
      </w:r>
      <w:r w:rsidR="00AC3288">
        <w:t>B&amp;B</w:t>
      </w:r>
      <w:r w:rsidRPr="005C26EF">
        <w:t xml:space="preserve"> are listed in </w:t>
      </w:r>
      <w:r w:rsidR="00956000">
        <w:t>A</w:t>
      </w:r>
      <w:r w:rsidRPr="005B101F">
        <w:t>ppendix A. Appendix</w:t>
      </w:r>
      <w:r>
        <w:t> </w:t>
      </w:r>
      <w:r w:rsidRPr="007B0F8F">
        <w:t>B lists the study</w:t>
      </w:r>
      <w:r>
        <w:t>’</w:t>
      </w:r>
      <w:r w:rsidRPr="007B0F8F">
        <w:t>s Technical Review Panel (TRP)</w:t>
      </w:r>
      <w:r>
        <w:t>. T</w:t>
      </w:r>
      <w:r w:rsidRPr="007B0F8F">
        <w:t>he confidentiality pledge and affidavit of nondisclosure completed by all project staff having access to individually</w:t>
      </w:r>
      <w:r>
        <w:t>-</w:t>
      </w:r>
      <w:r w:rsidRPr="007B0F8F">
        <w:t>id</w:t>
      </w:r>
      <w:r w:rsidR="00956000">
        <w:t>entifying data are provided in A</w:t>
      </w:r>
      <w:r w:rsidRPr="007B0F8F">
        <w:t>ppendix</w:t>
      </w:r>
      <w:r>
        <w:t> </w:t>
      </w:r>
      <w:r w:rsidRPr="007B0F8F">
        <w:t>C</w:t>
      </w:r>
      <w:r>
        <w:t xml:space="preserve">. </w:t>
      </w:r>
      <w:r w:rsidRPr="007B0F8F">
        <w:t xml:space="preserve">Letters and all contacting materials are found in </w:t>
      </w:r>
      <w:r w:rsidR="00956000">
        <w:t>A</w:t>
      </w:r>
      <w:r w:rsidRPr="007B0F8F">
        <w:t>ppendix</w:t>
      </w:r>
      <w:r>
        <w:t> </w:t>
      </w:r>
      <w:r w:rsidRPr="007B0F8F">
        <w:t>D</w:t>
      </w:r>
      <w:r>
        <w:t>.</w:t>
      </w:r>
      <w:r w:rsidRPr="007B0F8F">
        <w:t xml:space="preserve"> A description of the security procedures in place for the linkages to administrative data sources is provided in </w:t>
      </w:r>
      <w:r w:rsidR="00956000">
        <w:t>A</w:t>
      </w:r>
      <w:r w:rsidRPr="007B0F8F">
        <w:t>ppendix</w:t>
      </w:r>
      <w:r>
        <w:t> </w:t>
      </w:r>
      <w:r w:rsidRPr="007B0F8F">
        <w:t>E. Data security language for vendor contracts is shown in Appendix</w:t>
      </w:r>
      <w:r>
        <w:t> </w:t>
      </w:r>
      <w:r w:rsidRPr="007B0F8F">
        <w:t xml:space="preserve">F. </w:t>
      </w:r>
      <w:r w:rsidR="00F530B8">
        <w:t xml:space="preserve">The data collection instrument facsimile is presented in </w:t>
      </w:r>
      <w:r w:rsidR="00956000">
        <w:t>A</w:t>
      </w:r>
      <w:r w:rsidR="00F530B8">
        <w:t xml:space="preserve">ppendix G. Appendices H and I include results from explorations of the R-indicator in a responsive design, and selected findings from the field test data collection experiments. A report summarizing findings from the cognitive testing conducted in preparation for full-scale instrument development is included in </w:t>
      </w:r>
      <w:r w:rsidR="00956000">
        <w:t>A</w:t>
      </w:r>
      <w:r w:rsidR="00F530B8">
        <w:t>ppendix J.</w:t>
      </w:r>
    </w:p>
    <w:p w:rsidR="00C33221" w:rsidRDefault="00C33221" w:rsidP="004F1598">
      <w:pPr>
        <w:pStyle w:val="Heading3"/>
        <w:numPr>
          <w:ilvl w:val="2"/>
          <w:numId w:val="16"/>
        </w:numPr>
        <w:tabs>
          <w:tab w:val="clear" w:pos="1253"/>
        </w:tabs>
        <w:spacing w:line="320" w:lineRule="atLeast"/>
        <w:ind w:left="1620" w:hanging="540"/>
      </w:pPr>
      <w:bookmarkStart w:id="8" w:name="_Toc322356394"/>
      <w:r w:rsidRPr="005C26EF">
        <w:t>Legislative Authorization</w:t>
      </w:r>
      <w:bookmarkEnd w:id="8"/>
    </w:p>
    <w:p w:rsidR="00C33221" w:rsidRDefault="00C33221" w:rsidP="00427FFC">
      <w:pPr>
        <w:pStyle w:val="BodyText"/>
        <w:ind w:firstLine="0"/>
      </w:pPr>
      <w:r>
        <w:t xml:space="preserve">The </w:t>
      </w:r>
      <w:r w:rsidRPr="005C26EF">
        <w:t>B&amp;B</w:t>
      </w:r>
      <w:r>
        <w:t xml:space="preserve"> longitudinal series</w:t>
      </w:r>
      <w:r w:rsidRPr="005C26EF">
        <w:t xml:space="preserve"> is </w:t>
      </w:r>
      <w:r>
        <w:t xml:space="preserve">conducted </w:t>
      </w:r>
      <w:r w:rsidRPr="005C26EF">
        <w:t xml:space="preserve">by NCES within the Institute of Education Sciences (IES) in close consultation with other offices and organizations within and outside the U.S. Department of Education (ED). </w:t>
      </w:r>
      <w:r w:rsidR="005A2019" w:rsidRPr="00AD28AD">
        <w:t xml:space="preserve">B&amp;B is authorized </w:t>
      </w:r>
      <w:r w:rsidR="005A2019">
        <w:t>by</w:t>
      </w:r>
      <w:r w:rsidR="005A2019" w:rsidRPr="00AD28AD">
        <w:t xml:space="preserve"> the Education Sciences Reform Act of 2002 (</w:t>
      </w:r>
      <w:r w:rsidR="005A2019">
        <w:t xml:space="preserve">20 U.S.C. </w:t>
      </w:r>
      <w:r w:rsidR="005A2019" w:rsidRPr="00E719D1">
        <w:t>§ 9543</w:t>
      </w:r>
      <w:r w:rsidR="00CB01EB" w:rsidRPr="00AD28AD">
        <w:t>), which requires NCES to:</w:t>
      </w:r>
    </w:p>
    <w:p w:rsidR="00C33221" w:rsidRDefault="00C33221" w:rsidP="00061160">
      <w:pPr>
        <w:pStyle w:val="Quote"/>
        <w:spacing w:line="240" w:lineRule="auto"/>
        <w:ind w:right="1440"/>
        <w:jc w:val="both"/>
        <w:rPr>
          <w:sz w:val="20"/>
        </w:rPr>
      </w:pPr>
      <w:r w:rsidRPr="007474C4">
        <w:rPr>
          <w:sz w:val="20"/>
          <w:szCs w:val="20"/>
        </w:rPr>
        <w:t xml:space="preserve">…collect, report, analyze, and disseminate statistical data related to education in the United States and in other nations, including: </w:t>
      </w:r>
    </w:p>
    <w:p w:rsidR="00C33221" w:rsidRDefault="00C33221" w:rsidP="00061160">
      <w:pPr>
        <w:pStyle w:val="Quote"/>
        <w:spacing w:line="240" w:lineRule="auto"/>
        <w:ind w:right="1440"/>
        <w:jc w:val="both"/>
        <w:rPr>
          <w:sz w:val="20"/>
        </w:rPr>
      </w:pPr>
      <w:r w:rsidRPr="007474C4">
        <w:rPr>
          <w:sz w:val="20"/>
          <w:szCs w:val="20"/>
        </w:rPr>
        <w:t>(1) collecting, acquiring, compiling and disseminating full and complete statistics on the condition and progress of education, at the preschool, elementary, secondary, and postsecondary levels in the United States, including data on—</w:t>
      </w:r>
    </w:p>
    <w:p w:rsidR="00C33221" w:rsidRDefault="00C33221" w:rsidP="00061160">
      <w:pPr>
        <w:pStyle w:val="Quote"/>
        <w:spacing w:line="240" w:lineRule="auto"/>
        <w:ind w:right="1440"/>
        <w:jc w:val="both"/>
        <w:rPr>
          <w:sz w:val="20"/>
        </w:rPr>
      </w:pPr>
      <w:r w:rsidRPr="007474C4">
        <w:rPr>
          <w:sz w:val="20"/>
          <w:szCs w:val="20"/>
        </w:rPr>
        <w:t>(E) educational access to and opportunity for postsecondary education, including data on financial aid to postsecondary students</w:t>
      </w:r>
    </w:p>
    <w:p w:rsidR="00C33221" w:rsidRDefault="00C33221">
      <w:pPr>
        <w:pStyle w:val="BlockText"/>
        <w:spacing w:line="320" w:lineRule="atLeast"/>
        <w:ind w:left="0"/>
      </w:pPr>
      <w:r w:rsidRPr="005C26EF">
        <w:t>Section 183 of the Education Sciences Reform Act of 2002 further states that</w:t>
      </w:r>
    </w:p>
    <w:p w:rsidR="00C33221" w:rsidRDefault="00C33221" w:rsidP="00061160">
      <w:pPr>
        <w:pStyle w:val="Quote"/>
        <w:spacing w:line="240" w:lineRule="auto"/>
        <w:ind w:right="1440"/>
        <w:jc w:val="both"/>
        <w:rPr>
          <w:sz w:val="20"/>
          <w:szCs w:val="20"/>
        </w:rPr>
      </w:pPr>
      <w:r>
        <w:rPr>
          <w:sz w:val="20"/>
          <w:szCs w:val="20"/>
        </w:rPr>
        <w:t>…</w:t>
      </w:r>
      <w:r w:rsidRPr="007474C4">
        <w:rPr>
          <w:sz w:val="20"/>
          <w:szCs w:val="20"/>
        </w:rPr>
        <w:t>all collection, maintenance, use, and wide dissemination of data by the Institute, including each office, board, committee, and Center of the Institute, shall conform with the requirements of section 552A of title 5, United States Code [which protects the confidentiality rights of individual respondents with regard to the data collected, reported, and published under this title].</w:t>
      </w:r>
    </w:p>
    <w:p w:rsidR="00C33221" w:rsidRDefault="00C33221" w:rsidP="004F1598">
      <w:pPr>
        <w:pStyle w:val="Heading3"/>
        <w:numPr>
          <w:ilvl w:val="2"/>
          <w:numId w:val="16"/>
        </w:numPr>
        <w:tabs>
          <w:tab w:val="clear" w:pos="1253"/>
        </w:tabs>
        <w:spacing w:line="320" w:lineRule="atLeast"/>
        <w:ind w:left="1620" w:hanging="540"/>
      </w:pPr>
      <w:bookmarkStart w:id="9" w:name="_Toc279966848"/>
      <w:bookmarkStart w:id="10" w:name="_Toc322356395"/>
      <w:r w:rsidRPr="005C26EF">
        <w:t>Prior B&amp;B Studies</w:t>
      </w:r>
      <w:bookmarkEnd w:id="9"/>
      <w:bookmarkEnd w:id="10"/>
    </w:p>
    <w:p w:rsidR="00BE4645" w:rsidRDefault="00BE4645" w:rsidP="00427FFC">
      <w:pPr>
        <w:pStyle w:val="BodyText"/>
        <w:ind w:firstLine="0"/>
      </w:pPr>
      <w:r>
        <w:t>The B&amp;B series provides a longitudinal study of the education, work, financial, and personal experiences of individuals who have completed a bachelor’s degree at a given point in time. Three B&amp;B cohorts, each sampled almost a decade apart, have allowed researchers to evaluate how baccalaureate degree recipients have fared at differing times in recent history. S</w:t>
      </w:r>
      <w:r w:rsidRPr="001D4377">
        <w:t>tudents</w:t>
      </w:r>
      <w:r>
        <w:t xml:space="preserve"> are identified as bachelor’s degree recipients</w:t>
      </w:r>
      <w:r w:rsidRPr="001D4377">
        <w:t xml:space="preserve"> </w:t>
      </w:r>
      <w:r>
        <w:t>through the</w:t>
      </w:r>
      <w:r w:rsidRPr="001D4377">
        <w:t xml:space="preserve"> National Postsecondary Student Aid Study</w:t>
      </w:r>
      <w:r>
        <w:t xml:space="preserve"> (NPSAS)</w:t>
      </w:r>
      <w:r w:rsidR="00947D42">
        <w:t xml:space="preserve">, </w:t>
      </w:r>
      <w:r w:rsidRPr="001D4377">
        <w:t>a nationally representative</w:t>
      </w:r>
      <w:r>
        <w:t xml:space="preserve"> </w:t>
      </w:r>
      <w:r w:rsidR="00A85E54">
        <w:t>trend</w:t>
      </w:r>
      <w:r>
        <w:t xml:space="preserve"> study </w:t>
      </w:r>
      <w:r w:rsidRPr="001D4377">
        <w:t xml:space="preserve">of postsecondary students designed to determine how students and their families pay for postsecondary education. </w:t>
      </w:r>
      <w:r>
        <w:t xml:space="preserve">B&amp;B:08/12 is the second follow-up of a panel of baccalaureate degree recipients identified in </w:t>
      </w:r>
      <w:r w:rsidR="00A85E54">
        <w:t>t</w:t>
      </w:r>
      <w:r>
        <w:t>he 2007–08 National Postsecondary Student Aid Survey (NPSAS:08)</w:t>
      </w:r>
      <w:r w:rsidR="00A7274A">
        <w:t xml:space="preserve"> and re-interviewed in 2009 as part of the B&amp;B:08/09 first follow-up</w:t>
      </w:r>
      <w:r>
        <w:t>.</w:t>
      </w:r>
    </w:p>
    <w:p w:rsidR="001B4DC0" w:rsidRDefault="00323C30" w:rsidP="00A01934">
      <w:pPr>
        <w:pStyle w:val="BodyText"/>
      </w:pPr>
      <w:r>
        <w:t>B&amp;B:08/12</w:t>
      </w:r>
      <w:r w:rsidRPr="005C26EF">
        <w:t xml:space="preserve"> </w:t>
      </w:r>
      <w:r>
        <w:t xml:space="preserve">is </w:t>
      </w:r>
      <w:r w:rsidRPr="005C26EF">
        <w:t>the third cohort of bachelor</w:t>
      </w:r>
      <w:r>
        <w:t>’</w:t>
      </w:r>
      <w:r w:rsidRPr="005C26EF">
        <w:t>s degree recipients selected from a NPSAS base</w:t>
      </w:r>
      <w:r>
        <w:t>-</w:t>
      </w:r>
      <w:r w:rsidRPr="005C26EF">
        <w:t xml:space="preserve">year sample for longitudinal study by NCES. The </w:t>
      </w:r>
      <w:r>
        <w:t>first cohort (</w:t>
      </w:r>
      <w:r w:rsidRPr="005C26EF">
        <w:t>B&amp;B:93</w:t>
      </w:r>
      <w:r>
        <w:t>/03), received their bachelor’s degrees during the 1992–93 academic year and was re-interview</w:t>
      </w:r>
      <w:r w:rsidRPr="005C26EF">
        <w:t>ed in 1994, 1997, and 2003</w:t>
      </w:r>
      <w:r>
        <w:t xml:space="preserve"> (one, four, and 10 years after college graduation, respectively)</w:t>
      </w:r>
      <w:r w:rsidRPr="005C26EF">
        <w:t>.</w:t>
      </w:r>
      <w:r>
        <w:t xml:space="preserve"> Postsecondary transcripts were also collected for this cohort.</w:t>
      </w:r>
      <w:r w:rsidRPr="005C26EF">
        <w:t xml:space="preserve"> </w:t>
      </w:r>
      <w:r w:rsidRPr="00DC31B7">
        <w:t xml:space="preserve">The </w:t>
      </w:r>
      <w:r>
        <w:t>second cohort, who graduated in 1999–2000 (</w:t>
      </w:r>
      <w:r w:rsidRPr="00DC31B7">
        <w:t>B&amp;B:2000</w:t>
      </w:r>
      <w:r>
        <w:t xml:space="preserve">/01), </w:t>
      </w:r>
      <w:r w:rsidRPr="00DC31B7">
        <w:t xml:space="preserve">was </w:t>
      </w:r>
      <w:r>
        <w:t>re-interview</w:t>
      </w:r>
      <w:r w:rsidRPr="00DC31B7">
        <w:t xml:space="preserve">ed </w:t>
      </w:r>
      <w:r>
        <w:t xml:space="preserve">one year after bachelor’s degree completion </w:t>
      </w:r>
      <w:r w:rsidRPr="00DC31B7">
        <w:t xml:space="preserve">in 2001. </w:t>
      </w:r>
      <w:r>
        <w:t xml:space="preserve">The current cohort contains students who earned their bachelor’s degrees in 2007–08. This cohort has completed one follow-up (B&amp;B:08/09), which included a transcript data collection. B&amp;B:08/12 will be the second follow-up </w:t>
      </w:r>
      <w:r w:rsidRPr="00DC31B7">
        <w:t xml:space="preserve">of the B&amp;B:08 cohort, </w:t>
      </w:r>
      <w:r>
        <w:t xml:space="preserve">and </w:t>
      </w:r>
      <w:r w:rsidRPr="00DC31B7">
        <w:t>will be conducted 4</w:t>
      </w:r>
      <w:r>
        <w:t xml:space="preserve"> </w:t>
      </w:r>
      <w:r w:rsidRPr="00DC31B7">
        <w:t xml:space="preserve">years following </w:t>
      </w:r>
      <w:r>
        <w:t xml:space="preserve">bachelor’s </w:t>
      </w:r>
      <w:r w:rsidRPr="00DC31B7">
        <w:t>degree completion</w:t>
      </w:r>
      <w:r>
        <w:t>.</w:t>
      </w:r>
    </w:p>
    <w:p w:rsidR="001B4DC0" w:rsidRDefault="00323C30" w:rsidP="00A01934">
      <w:pPr>
        <w:pStyle w:val="BodyText"/>
      </w:pPr>
      <w:r w:rsidRPr="005C26EF">
        <w:t xml:space="preserve">The chronology of the previous administrations of the NPSAS study and its associated longitudinal components is presented in </w:t>
      </w:r>
      <w:r>
        <w:t>T</w:t>
      </w:r>
      <w:r w:rsidRPr="005C26EF">
        <w:t>able</w:t>
      </w:r>
      <w:r>
        <w:t> </w:t>
      </w:r>
      <w:r w:rsidRPr="005C26EF">
        <w:t xml:space="preserve">1. </w:t>
      </w:r>
      <w:r>
        <w:t xml:space="preserve">Similar to the first </w:t>
      </w:r>
      <w:r w:rsidRPr="005C26EF">
        <w:t>B&amp;B</w:t>
      </w:r>
      <w:r>
        <w:t xml:space="preserve"> series</w:t>
      </w:r>
      <w:r w:rsidRPr="005C26EF">
        <w:t>, a</w:t>
      </w:r>
      <w:r>
        <w:t xml:space="preserve">dditional </w:t>
      </w:r>
      <w:r w:rsidRPr="005C26EF">
        <w:t>follow-up</w:t>
      </w:r>
      <w:r>
        <w:t xml:space="preserve"> studies with the B&amp;B:08 cohort</w:t>
      </w:r>
      <w:r w:rsidRPr="005C26EF">
        <w:t xml:space="preserve"> </w:t>
      </w:r>
      <w:r>
        <w:t xml:space="preserve">may be </w:t>
      </w:r>
      <w:r w:rsidR="00573A64">
        <w:t xml:space="preserve">conducted </w:t>
      </w:r>
      <w:r>
        <w:t>10 years after bachelor’s degree receipt (contingent upon future contract(s) being awarded). For all studies, full-scale data collection was preceded by a field test data collection one year earlier in order to test methods and procedures planned for the full-scale data collection.</w:t>
      </w:r>
    </w:p>
    <w:p w:rsidR="001B4DC0" w:rsidRDefault="00323C30" w:rsidP="003811A9">
      <w:pPr>
        <w:pStyle w:val="TableTitle"/>
      </w:pPr>
      <w:bookmarkStart w:id="11" w:name="_Toc320867484"/>
      <w:bookmarkStart w:id="12" w:name="_Toc320870699"/>
      <w:bookmarkStart w:id="13" w:name="_Toc322356416"/>
      <w:r w:rsidRPr="005C26EF">
        <w:t>Table 1.</w:t>
      </w:r>
      <w:r w:rsidRPr="005C26EF">
        <w:tab/>
        <w:t>Chronology of NPSAS and its longitudinal components</w:t>
      </w:r>
      <w:bookmarkEnd w:id="11"/>
      <w:bookmarkEnd w:id="12"/>
      <w:bookmarkEnd w:id="13"/>
    </w:p>
    <w:tbl>
      <w:tblPr>
        <w:tblStyle w:val="TableGrid"/>
        <w:tblW w:w="5000" w:type="pct"/>
        <w:tblLayout w:type="fixed"/>
        <w:tblLook w:val="01E0"/>
      </w:tblPr>
      <w:tblGrid>
        <w:gridCol w:w="2610"/>
        <w:gridCol w:w="2610"/>
        <w:gridCol w:w="2610"/>
        <w:gridCol w:w="2610"/>
      </w:tblGrid>
      <w:tr w:rsidR="00323C30" w:rsidRPr="00E41A23" w:rsidTr="003811A9">
        <w:trPr>
          <w:cnfStyle w:val="100000000000"/>
        </w:trPr>
        <w:tc>
          <w:tcPr>
            <w:cnfStyle w:val="001000000100"/>
            <w:tcW w:w="2394" w:type="dxa"/>
          </w:tcPr>
          <w:p w:rsidR="001B4DC0" w:rsidRPr="003811A9" w:rsidRDefault="00323C30" w:rsidP="003811A9">
            <w:pPr>
              <w:pStyle w:val="Tablebody"/>
            </w:pPr>
            <w:r w:rsidRPr="003811A9">
              <w:t>Base year</w:t>
            </w:r>
          </w:p>
        </w:tc>
        <w:tc>
          <w:tcPr>
            <w:tcW w:w="2394" w:type="dxa"/>
          </w:tcPr>
          <w:p w:rsidR="001B4DC0" w:rsidRPr="003811A9" w:rsidRDefault="00323C30" w:rsidP="003811A9">
            <w:pPr>
              <w:pStyle w:val="Tablebody"/>
              <w:cnfStyle w:val="100000000000"/>
            </w:pPr>
            <w:r w:rsidRPr="003811A9">
              <w:t>First follow-up</w:t>
            </w:r>
          </w:p>
        </w:tc>
        <w:tc>
          <w:tcPr>
            <w:tcW w:w="2394" w:type="dxa"/>
          </w:tcPr>
          <w:p w:rsidR="001B4DC0" w:rsidRPr="003811A9" w:rsidRDefault="00323C30" w:rsidP="003811A9">
            <w:pPr>
              <w:pStyle w:val="Tablebody"/>
              <w:cnfStyle w:val="100000000000"/>
            </w:pPr>
            <w:r w:rsidRPr="003811A9">
              <w:t>Second follow-up</w:t>
            </w:r>
          </w:p>
        </w:tc>
        <w:tc>
          <w:tcPr>
            <w:tcW w:w="2394" w:type="dxa"/>
          </w:tcPr>
          <w:p w:rsidR="001B4DC0" w:rsidRPr="003811A9" w:rsidRDefault="00323C30" w:rsidP="003811A9">
            <w:pPr>
              <w:pStyle w:val="Tablebody"/>
              <w:cnfStyle w:val="100000000000"/>
            </w:pPr>
            <w:r w:rsidRPr="003811A9">
              <w:t>Third follow-up</w:t>
            </w:r>
          </w:p>
        </w:tc>
      </w:tr>
      <w:tr w:rsidR="00323C30" w:rsidRPr="009C0354" w:rsidTr="003811A9">
        <w:tc>
          <w:tcPr>
            <w:cnfStyle w:val="001000000000"/>
            <w:tcW w:w="2394" w:type="dxa"/>
          </w:tcPr>
          <w:p w:rsidR="001B4DC0" w:rsidRDefault="00323C30" w:rsidP="003811A9">
            <w:pPr>
              <w:pStyle w:val="Tablebody"/>
            </w:pPr>
            <w:r w:rsidRPr="009C0354">
              <w:t>NPSAS:90</w:t>
            </w:r>
          </w:p>
        </w:tc>
        <w:tc>
          <w:tcPr>
            <w:tcW w:w="2394" w:type="dxa"/>
          </w:tcPr>
          <w:p w:rsidR="001B4DC0" w:rsidRDefault="00323C30" w:rsidP="003811A9">
            <w:pPr>
              <w:pStyle w:val="Tablebody"/>
              <w:cnfStyle w:val="000000000000"/>
            </w:pPr>
            <w:r w:rsidRPr="009C0354">
              <w:t>BPS:90/92</w:t>
            </w:r>
          </w:p>
        </w:tc>
        <w:tc>
          <w:tcPr>
            <w:tcW w:w="2394" w:type="dxa"/>
          </w:tcPr>
          <w:p w:rsidR="001B4DC0" w:rsidRDefault="00323C30" w:rsidP="003811A9">
            <w:pPr>
              <w:pStyle w:val="Tablebody"/>
              <w:cnfStyle w:val="000000000000"/>
            </w:pPr>
            <w:r w:rsidRPr="009C0354">
              <w:t>BPS:90/94</w:t>
            </w:r>
          </w:p>
        </w:tc>
        <w:tc>
          <w:tcPr>
            <w:tcW w:w="2394" w:type="dxa"/>
          </w:tcPr>
          <w:p w:rsidR="001B4DC0" w:rsidRDefault="00323C30" w:rsidP="003811A9">
            <w:pPr>
              <w:pStyle w:val="Tablebody"/>
              <w:cnfStyle w:val="000000000000"/>
            </w:pPr>
            <w:r w:rsidRPr="009C0354">
              <w:t>—</w:t>
            </w:r>
          </w:p>
        </w:tc>
      </w:tr>
      <w:tr w:rsidR="00323C30" w:rsidRPr="009C0354" w:rsidTr="003811A9">
        <w:tc>
          <w:tcPr>
            <w:cnfStyle w:val="001000000000"/>
            <w:tcW w:w="2394" w:type="dxa"/>
          </w:tcPr>
          <w:p w:rsidR="001B4DC0" w:rsidRDefault="00323C30" w:rsidP="003811A9">
            <w:pPr>
              <w:pStyle w:val="Tablebody"/>
              <w:rPr>
                <w:b/>
                <w:bCs/>
              </w:rPr>
            </w:pPr>
            <w:r w:rsidRPr="00306F8C">
              <w:rPr>
                <w:b/>
                <w:bCs/>
              </w:rPr>
              <w:t>NPSAS:93</w:t>
            </w:r>
          </w:p>
        </w:tc>
        <w:tc>
          <w:tcPr>
            <w:tcW w:w="2394" w:type="dxa"/>
          </w:tcPr>
          <w:p w:rsidR="001B4DC0" w:rsidRDefault="00323C30" w:rsidP="003811A9">
            <w:pPr>
              <w:pStyle w:val="Tablebody"/>
              <w:cnfStyle w:val="000000000000"/>
              <w:rPr>
                <w:b/>
                <w:bCs/>
              </w:rPr>
            </w:pPr>
            <w:r w:rsidRPr="00306F8C">
              <w:rPr>
                <w:b/>
                <w:bCs/>
              </w:rPr>
              <w:t>B&amp;B:93/94</w:t>
            </w:r>
            <w:r w:rsidRPr="00306F8C">
              <w:rPr>
                <w:vertAlign w:val="superscript"/>
              </w:rPr>
              <w:t>1</w:t>
            </w:r>
          </w:p>
        </w:tc>
        <w:tc>
          <w:tcPr>
            <w:tcW w:w="2394" w:type="dxa"/>
          </w:tcPr>
          <w:p w:rsidR="001B4DC0" w:rsidRDefault="00323C30" w:rsidP="003811A9">
            <w:pPr>
              <w:pStyle w:val="Tablebody"/>
              <w:cnfStyle w:val="000000000000"/>
              <w:rPr>
                <w:b/>
                <w:bCs/>
              </w:rPr>
            </w:pPr>
            <w:r w:rsidRPr="00306F8C">
              <w:rPr>
                <w:b/>
                <w:bCs/>
              </w:rPr>
              <w:t>B&amp;B:93/97</w:t>
            </w:r>
          </w:p>
        </w:tc>
        <w:tc>
          <w:tcPr>
            <w:tcW w:w="2394" w:type="dxa"/>
          </w:tcPr>
          <w:p w:rsidR="001B4DC0" w:rsidRDefault="00323C30" w:rsidP="003811A9">
            <w:pPr>
              <w:pStyle w:val="Tablebody"/>
              <w:cnfStyle w:val="000000000000"/>
              <w:rPr>
                <w:b/>
                <w:bCs/>
              </w:rPr>
            </w:pPr>
            <w:r w:rsidRPr="00306F8C">
              <w:rPr>
                <w:b/>
                <w:bCs/>
              </w:rPr>
              <w:t>B&amp;B:93/03</w:t>
            </w:r>
          </w:p>
        </w:tc>
      </w:tr>
      <w:tr w:rsidR="00323C30" w:rsidRPr="009C0354" w:rsidTr="003811A9">
        <w:tc>
          <w:tcPr>
            <w:cnfStyle w:val="001000000000"/>
            <w:tcW w:w="2394" w:type="dxa"/>
          </w:tcPr>
          <w:p w:rsidR="001B4DC0" w:rsidRDefault="00323C30" w:rsidP="003811A9">
            <w:pPr>
              <w:pStyle w:val="Tablebody"/>
            </w:pPr>
            <w:r w:rsidRPr="009C0354">
              <w:t>NPSAS:96</w:t>
            </w:r>
          </w:p>
        </w:tc>
        <w:tc>
          <w:tcPr>
            <w:tcW w:w="2394" w:type="dxa"/>
          </w:tcPr>
          <w:p w:rsidR="001B4DC0" w:rsidRDefault="00323C30" w:rsidP="003811A9">
            <w:pPr>
              <w:pStyle w:val="Tablebody"/>
              <w:cnfStyle w:val="000000000000"/>
            </w:pPr>
            <w:r w:rsidRPr="009C0354">
              <w:t>BPS:96/98</w:t>
            </w:r>
          </w:p>
        </w:tc>
        <w:tc>
          <w:tcPr>
            <w:tcW w:w="2394" w:type="dxa"/>
          </w:tcPr>
          <w:p w:rsidR="001B4DC0" w:rsidRDefault="00323C30" w:rsidP="003811A9">
            <w:pPr>
              <w:pStyle w:val="Tablebody"/>
              <w:cnfStyle w:val="000000000000"/>
            </w:pPr>
            <w:r w:rsidRPr="009C0354">
              <w:t>BPS:96/01</w:t>
            </w:r>
          </w:p>
        </w:tc>
        <w:tc>
          <w:tcPr>
            <w:tcW w:w="2394" w:type="dxa"/>
          </w:tcPr>
          <w:p w:rsidR="001B4DC0" w:rsidRDefault="00323C30" w:rsidP="003811A9">
            <w:pPr>
              <w:pStyle w:val="Tablebody"/>
              <w:cnfStyle w:val="000000000000"/>
            </w:pPr>
            <w:r w:rsidRPr="009C0354">
              <w:t>—</w:t>
            </w:r>
          </w:p>
        </w:tc>
      </w:tr>
      <w:tr w:rsidR="00323C30" w:rsidRPr="009C0354" w:rsidTr="003811A9">
        <w:tc>
          <w:tcPr>
            <w:cnfStyle w:val="001000000000"/>
            <w:tcW w:w="2394" w:type="dxa"/>
          </w:tcPr>
          <w:p w:rsidR="001B4DC0" w:rsidRDefault="00323C30" w:rsidP="003811A9">
            <w:pPr>
              <w:pStyle w:val="Tablebody"/>
              <w:rPr>
                <w:b/>
                <w:bCs/>
              </w:rPr>
            </w:pPr>
            <w:r w:rsidRPr="00306F8C">
              <w:rPr>
                <w:b/>
                <w:bCs/>
              </w:rPr>
              <w:t>NPSAS:2000</w:t>
            </w:r>
          </w:p>
        </w:tc>
        <w:tc>
          <w:tcPr>
            <w:tcW w:w="2394" w:type="dxa"/>
          </w:tcPr>
          <w:p w:rsidR="001B4DC0" w:rsidRDefault="00323C30" w:rsidP="003811A9">
            <w:pPr>
              <w:pStyle w:val="Tablebody"/>
              <w:cnfStyle w:val="000000000000"/>
              <w:rPr>
                <w:b/>
                <w:bCs/>
              </w:rPr>
            </w:pPr>
            <w:r w:rsidRPr="00306F8C">
              <w:rPr>
                <w:b/>
                <w:bCs/>
              </w:rPr>
              <w:t>B&amp;B:2000/01</w:t>
            </w:r>
          </w:p>
        </w:tc>
        <w:tc>
          <w:tcPr>
            <w:tcW w:w="2394" w:type="dxa"/>
          </w:tcPr>
          <w:p w:rsidR="001B4DC0" w:rsidRDefault="00323C30" w:rsidP="003811A9">
            <w:pPr>
              <w:pStyle w:val="Tablebody"/>
              <w:cnfStyle w:val="000000000000"/>
            </w:pPr>
            <w:r w:rsidRPr="009C0354">
              <w:t>—</w:t>
            </w:r>
          </w:p>
        </w:tc>
        <w:tc>
          <w:tcPr>
            <w:tcW w:w="2394" w:type="dxa"/>
          </w:tcPr>
          <w:p w:rsidR="001B4DC0" w:rsidRDefault="00323C30" w:rsidP="003811A9">
            <w:pPr>
              <w:pStyle w:val="Tablebody"/>
              <w:cnfStyle w:val="000000000000"/>
            </w:pPr>
            <w:r w:rsidRPr="009C0354">
              <w:t>—</w:t>
            </w:r>
          </w:p>
        </w:tc>
      </w:tr>
      <w:tr w:rsidR="00323C30" w:rsidRPr="009C0354" w:rsidTr="003811A9">
        <w:tc>
          <w:tcPr>
            <w:cnfStyle w:val="001000000000"/>
            <w:tcW w:w="2394" w:type="dxa"/>
          </w:tcPr>
          <w:p w:rsidR="001B4DC0" w:rsidRDefault="00323C30" w:rsidP="003811A9">
            <w:pPr>
              <w:pStyle w:val="Tablebody"/>
            </w:pPr>
            <w:r w:rsidRPr="009C0354">
              <w:t>NPSAS:04</w:t>
            </w:r>
          </w:p>
        </w:tc>
        <w:tc>
          <w:tcPr>
            <w:tcW w:w="2394" w:type="dxa"/>
          </w:tcPr>
          <w:p w:rsidR="001B4DC0" w:rsidRDefault="00323C30" w:rsidP="003811A9">
            <w:pPr>
              <w:pStyle w:val="Tablebody"/>
              <w:cnfStyle w:val="000000000000"/>
            </w:pPr>
            <w:r w:rsidRPr="009C0354">
              <w:t>BPS:04/06</w:t>
            </w:r>
          </w:p>
        </w:tc>
        <w:tc>
          <w:tcPr>
            <w:tcW w:w="2394" w:type="dxa"/>
          </w:tcPr>
          <w:p w:rsidR="001B4DC0" w:rsidRDefault="00323C30" w:rsidP="003811A9">
            <w:pPr>
              <w:pStyle w:val="Tablebody"/>
              <w:cnfStyle w:val="000000000000"/>
            </w:pPr>
            <w:r w:rsidRPr="009C0354">
              <w:t>BPS:04/09</w:t>
            </w:r>
          </w:p>
        </w:tc>
        <w:tc>
          <w:tcPr>
            <w:tcW w:w="2394" w:type="dxa"/>
          </w:tcPr>
          <w:p w:rsidR="001B4DC0" w:rsidRDefault="00323C30" w:rsidP="003811A9">
            <w:pPr>
              <w:pStyle w:val="Tablebody"/>
              <w:cnfStyle w:val="000000000000"/>
            </w:pPr>
            <w:r w:rsidRPr="009C0354">
              <w:t>—</w:t>
            </w:r>
          </w:p>
        </w:tc>
      </w:tr>
      <w:tr w:rsidR="00323C30" w:rsidRPr="009C0354" w:rsidTr="003811A9">
        <w:tc>
          <w:tcPr>
            <w:cnfStyle w:val="001000000000"/>
            <w:tcW w:w="2394" w:type="dxa"/>
          </w:tcPr>
          <w:p w:rsidR="001B4DC0" w:rsidRDefault="00323C30" w:rsidP="003811A9">
            <w:pPr>
              <w:pStyle w:val="Tablebody"/>
              <w:rPr>
                <w:b/>
                <w:bCs/>
              </w:rPr>
            </w:pPr>
            <w:r w:rsidRPr="00306F8C">
              <w:rPr>
                <w:b/>
                <w:bCs/>
              </w:rPr>
              <w:t>NPSAS:08</w:t>
            </w:r>
          </w:p>
        </w:tc>
        <w:tc>
          <w:tcPr>
            <w:tcW w:w="2394" w:type="dxa"/>
          </w:tcPr>
          <w:p w:rsidR="001B4DC0" w:rsidRDefault="00323C30" w:rsidP="003811A9">
            <w:pPr>
              <w:pStyle w:val="Tablebody"/>
              <w:cnfStyle w:val="000000000000"/>
              <w:rPr>
                <w:b/>
                <w:bCs/>
              </w:rPr>
            </w:pPr>
            <w:r w:rsidRPr="00306F8C">
              <w:rPr>
                <w:b/>
                <w:bCs/>
              </w:rPr>
              <w:t>B&amp;B:08/09</w:t>
            </w:r>
            <w:r w:rsidRPr="00306F8C">
              <w:rPr>
                <w:vertAlign w:val="superscript"/>
              </w:rPr>
              <w:t>1</w:t>
            </w:r>
          </w:p>
        </w:tc>
        <w:tc>
          <w:tcPr>
            <w:tcW w:w="2394" w:type="dxa"/>
          </w:tcPr>
          <w:p w:rsidR="001B4DC0" w:rsidRDefault="00323C30" w:rsidP="003811A9">
            <w:pPr>
              <w:pStyle w:val="Tablebody"/>
              <w:cnfStyle w:val="000000000000"/>
              <w:rPr>
                <w:b/>
                <w:bCs/>
              </w:rPr>
            </w:pPr>
            <w:r w:rsidRPr="00306F8C">
              <w:rPr>
                <w:b/>
                <w:bCs/>
              </w:rPr>
              <w:t>B&amp;B:08/12</w:t>
            </w:r>
          </w:p>
        </w:tc>
        <w:tc>
          <w:tcPr>
            <w:tcW w:w="2394" w:type="dxa"/>
          </w:tcPr>
          <w:p w:rsidR="001B4DC0" w:rsidRDefault="00323C30" w:rsidP="003811A9">
            <w:pPr>
              <w:pStyle w:val="Tablebody"/>
              <w:cnfStyle w:val="000000000000"/>
              <w:rPr>
                <w:b/>
                <w:bCs/>
              </w:rPr>
            </w:pPr>
            <w:r w:rsidRPr="00306F8C">
              <w:rPr>
                <w:b/>
                <w:bCs/>
              </w:rPr>
              <w:t>TBD</w:t>
            </w:r>
          </w:p>
        </w:tc>
      </w:tr>
    </w:tbl>
    <w:p w:rsidR="001B4DC0" w:rsidRDefault="00323C30" w:rsidP="003811A9">
      <w:pPr>
        <w:pStyle w:val="Tablenotes"/>
      </w:pPr>
      <w:r w:rsidRPr="005C26EF">
        <w:t>— Not applicable.</w:t>
      </w:r>
    </w:p>
    <w:p w:rsidR="001B4DC0" w:rsidRDefault="00323C30" w:rsidP="003811A9">
      <w:pPr>
        <w:pStyle w:val="Tablenotes"/>
      </w:pPr>
      <w:r w:rsidRPr="002F3ACF">
        <w:rPr>
          <w:vertAlign w:val="superscript"/>
        </w:rPr>
        <w:t>1</w:t>
      </w:r>
      <w:r w:rsidRPr="005C26EF">
        <w:t xml:space="preserve"> Includes transcript study</w:t>
      </w:r>
    </w:p>
    <w:p w:rsidR="001B4DC0" w:rsidRDefault="00323C30" w:rsidP="003811A9">
      <w:pPr>
        <w:pStyle w:val="Source-last"/>
      </w:pPr>
      <w:r w:rsidRPr="005C26EF">
        <w:t>NOTE: B&amp;B = Baccalaureate and Beyond</w:t>
      </w:r>
      <w:r>
        <w:t xml:space="preserve">; </w:t>
      </w:r>
      <w:r w:rsidRPr="005C26EF">
        <w:t>BPS = Beginning Postsecondary Students;</w:t>
      </w:r>
      <w:r>
        <w:t xml:space="preserve"> </w:t>
      </w:r>
      <w:r w:rsidRPr="005C26EF">
        <w:t>NPSAS = National Postsecondary Student Aid Study.</w:t>
      </w:r>
    </w:p>
    <w:p w:rsidR="00C33221" w:rsidRDefault="00C33221" w:rsidP="004F1598">
      <w:pPr>
        <w:pStyle w:val="Heading2"/>
        <w:numPr>
          <w:ilvl w:val="1"/>
          <w:numId w:val="16"/>
        </w:numPr>
        <w:tabs>
          <w:tab w:val="clear" w:pos="979"/>
        </w:tabs>
        <w:spacing w:line="320" w:lineRule="atLeast"/>
        <w:ind w:left="1080" w:hanging="540"/>
      </w:pPr>
      <w:bookmarkStart w:id="14" w:name="_Toc279966850"/>
      <w:bookmarkStart w:id="15" w:name="_Toc322356396"/>
      <w:r w:rsidRPr="005C26EF">
        <w:t>Purpose and Uses of the Data</w:t>
      </w:r>
      <w:bookmarkEnd w:id="14"/>
      <w:bookmarkEnd w:id="15"/>
    </w:p>
    <w:p w:rsidR="008F25B1" w:rsidRDefault="008F25B1" w:rsidP="00B327BF">
      <w:pPr>
        <w:pStyle w:val="Heading3"/>
        <w:numPr>
          <w:ilvl w:val="2"/>
          <w:numId w:val="15"/>
        </w:numPr>
        <w:tabs>
          <w:tab w:val="clear" w:pos="1253"/>
          <w:tab w:val="num" w:pos="1620"/>
        </w:tabs>
        <w:ind w:left="1620" w:hanging="540"/>
      </w:pPr>
      <w:bookmarkStart w:id="16" w:name="_Toc322356397"/>
      <w:r>
        <w:t>The B&amp;B Cohort</w:t>
      </w:r>
      <w:bookmarkEnd w:id="16"/>
    </w:p>
    <w:p w:rsidR="00323C30" w:rsidRDefault="00323C30" w:rsidP="00427FFC">
      <w:pPr>
        <w:pStyle w:val="BodyText"/>
        <w:ind w:firstLine="0"/>
      </w:pPr>
      <w:r w:rsidRPr="005C26EF">
        <w:t xml:space="preserve">The </w:t>
      </w:r>
      <w:r>
        <w:t xml:space="preserve">primary purpose of the </w:t>
      </w:r>
      <w:r w:rsidRPr="005C26EF">
        <w:t xml:space="preserve">B&amp;B studies </w:t>
      </w:r>
      <w:r>
        <w:t xml:space="preserve">is to </w:t>
      </w:r>
      <w:r w:rsidRPr="005C26EF">
        <w:t xml:space="preserve">describe the </w:t>
      </w:r>
      <w:r>
        <w:t>postbaccalaureate paths of new college graduates,</w:t>
      </w:r>
      <w:r w:rsidRPr="005C26EF">
        <w:t xml:space="preserve"> with a focus on </w:t>
      </w:r>
      <w:r>
        <w:t xml:space="preserve">their experiences in the labor market </w:t>
      </w:r>
      <w:r w:rsidR="009E7232">
        <w:t xml:space="preserve">and </w:t>
      </w:r>
      <w:r>
        <w:t xml:space="preserve">post-baccalaureate education, their </w:t>
      </w:r>
      <w:r w:rsidRPr="005C26EF">
        <w:t>education</w:t>
      </w:r>
      <w:r>
        <w:t>-related debt,</w:t>
      </w:r>
      <w:r w:rsidRPr="005C26EF">
        <w:t xml:space="preserve"> and </w:t>
      </w:r>
      <w:r>
        <w:t>the experiences of those who have begun careers in K</w:t>
      </w:r>
      <w:r w:rsidRPr="00E64ED3">
        <w:rPr>
          <w:szCs w:val="20"/>
        </w:rPr>
        <w:t>–</w:t>
      </w:r>
      <w:r>
        <w:t xml:space="preserve">12 education. Since graduating from college in 2007–08, members of this </w:t>
      </w:r>
      <w:r w:rsidR="00A7274A">
        <w:t>B&amp;B</w:t>
      </w:r>
      <w:r>
        <w:t xml:space="preserve"> cohort have been moving into and out of the workforce, enrolling in additional undergraduate and graduate education, forming families, and repaying undergraduate education-related debt. </w:t>
      </w:r>
      <w:r w:rsidR="00A7274A">
        <w:t>Documenting these choices and pathways, along with individual, institutional, and employment characteristics that may be related to those choices,</w:t>
      </w:r>
      <w:r>
        <w:t xml:space="preserve"> provide</w:t>
      </w:r>
      <w:r w:rsidR="00A85E54">
        <w:t>s</w:t>
      </w:r>
      <w:r>
        <w:t xml:space="preserve"> critical information on the costs and benefits of a bachelor’s degree in today’s workforce.</w:t>
      </w:r>
    </w:p>
    <w:p w:rsidR="008F25B1" w:rsidRDefault="00323C30" w:rsidP="008F25B1">
      <w:pPr>
        <w:pStyle w:val="BodyText"/>
      </w:pPr>
      <w:r>
        <w:t>T</w:t>
      </w:r>
      <w:r w:rsidRPr="005C26EF">
        <w:t xml:space="preserve">he B&amp;B </w:t>
      </w:r>
      <w:r>
        <w:t xml:space="preserve">series of </w:t>
      </w:r>
      <w:r w:rsidRPr="005C26EF">
        <w:t xml:space="preserve">studies </w:t>
      </w:r>
      <w:r>
        <w:t>is</w:t>
      </w:r>
      <w:r w:rsidRPr="005C26EF">
        <w:t xml:space="preserve"> </w:t>
      </w:r>
      <w:r>
        <w:t>critical</w:t>
      </w:r>
      <w:r w:rsidRPr="005C26EF">
        <w:t xml:space="preserve"> to understanding the education paths of </w:t>
      </w:r>
      <w:r w:rsidRPr="005C26EF">
        <w:rPr>
          <w:i/>
          <w:iCs/>
        </w:rPr>
        <w:t>all types</w:t>
      </w:r>
      <w:r w:rsidRPr="005C26EF">
        <w:t xml:space="preserve"> of bachelor</w:t>
      </w:r>
      <w:r>
        <w:t>’</w:t>
      </w:r>
      <w:r w:rsidRPr="005C26EF">
        <w:t>s degree recipients</w:t>
      </w:r>
      <w:r>
        <w:t xml:space="preserve">. </w:t>
      </w:r>
      <w:r w:rsidRPr="005C26EF">
        <w:t xml:space="preserve">These studies include both traditional-age and </w:t>
      </w:r>
      <w:r>
        <w:t>non-traditional-age college graduates</w:t>
      </w:r>
      <w:r w:rsidRPr="005C26EF">
        <w:t xml:space="preserve">, </w:t>
      </w:r>
      <w:r>
        <w:t xml:space="preserve">populations </w:t>
      </w:r>
      <w:r w:rsidRPr="005C26EF">
        <w:t>whose education options and choices often diverge considerably</w:t>
      </w:r>
      <w:r>
        <w:t>, and allow study of</w:t>
      </w:r>
      <w:r w:rsidRPr="005C26EF">
        <w:t xml:space="preserve"> the undergraduate paths taken by </w:t>
      </w:r>
      <w:r>
        <w:t>these different</w:t>
      </w:r>
      <w:r w:rsidRPr="005C26EF">
        <w:t xml:space="preserve"> graduates, particularly the time </w:t>
      </w:r>
      <w:r>
        <w:t>they take</w:t>
      </w:r>
      <w:r w:rsidRPr="005C26EF">
        <w:t xml:space="preserve"> to complete the bachelor</w:t>
      </w:r>
      <w:r>
        <w:t>’</w:t>
      </w:r>
      <w:r w:rsidRPr="005C26EF">
        <w:t>s degree</w:t>
      </w:r>
      <w:r>
        <w:t>.</w:t>
      </w:r>
    </w:p>
    <w:p w:rsidR="008F25B1" w:rsidRDefault="008F25B1" w:rsidP="00B327BF">
      <w:pPr>
        <w:pStyle w:val="Heading3"/>
        <w:numPr>
          <w:ilvl w:val="2"/>
          <w:numId w:val="15"/>
        </w:numPr>
        <w:tabs>
          <w:tab w:val="clear" w:pos="1253"/>
          <w:tab w:val="num" w:pos="1530"/>
        </w:tabs>
        <w:ind w:left="1620" w:hanging="540"/>
      </w:pPr>
      <w:bookmarkStart w:id="17" w:name="_Toc322356398"/>
      <w:r>
        <w:t>Policy Relevance</w:t>
      </w:r>
      <w:bookmarkEnd w:id="17"/>
    </w:p>
    <w:p w:rsidR="00323C30" w:rsidRDefault="00323C30" w:rsidP="00D33888">
      <w:pPr>
        <w:pStyle w:val="BodyText"/>
        <w:ind w:firstLine="0"/>
      </w:pPr>
      <w:r>
        <w:t xml:space="preserve">The B&amp;B:08/12 data will allow researchers to address a wide variety of policy-relevant topics, including the consequences of undergraduate education debt, the career and </w:t>
      </w:r>
      <w:r w:rsidR="004F6C34">
        <w:t xml:space="preserve">continuing </w:t>
      </w:r>
      <w:r>
        <w:t>education paths of science, technology, engineering, and mathematics (STEM) graduates, the academic preparation and career paths of K–12 teachers</w:t>
      </w:r>
      <w:r w:rsidR="004F6C34">
        <w:t>, and the impact of the recent recession on graduates’ employment decisions</w:t>
      </w:r>
    </w:p>
    <w:p w:rsidR="00323C30" w:rsidRDefault="00A7274A" w:rsidP="003811A9">
      <w:pPr>
        <w:pStyle w:val="BodyText"/>
      </w:pPr>
      <w:r>
        <w:rPr>
          <w:b/>
        </w:rPr>
        <w:t xml:space="preserve">Education debt and loan repayment. </w:t>
      </w:r>
      <w:r w:rsidR="00323C30">
        <w:t xml:space="preserve">First, as the price of college has increased across the country, focus on the amount of education debt students accrue and whether loan repayment is burdensome has also increased. Borrowing for an undergraduate education is predicated on the assumption that future employment will allow the debt to be repaid. B&amp;B:08/12 will provide the latest information on recent college graduates’ debt burden and employment experiences, including </w:t>
      </w:r>
      <w:r w:rsidR="009565CA">
        <w:t xml:space="preserve">their selection of income-based and income-contingent repayment plans, and </w:t>
      </w:r>
      <w:r w:rsidR="00323C30">
        <w:t>whether their income is sufficient to repay their loans. The data will also allow an examination of the rates of repayment and default on federal student loans among students who graduated from various types of institutions, and the relationship between loan debt and post-baccalaureate enrollment</w:t>
      </w:r>
      <w:r w:rsidR="00343CB1">
        <w:t xml:space="preserve"> and employment</w:t>
      </w:r>
      <w:r w:rsidR="00323C30">
        <w:t xml:space="preserve">, in particular, whether contemporary college graduates make different graduate enrollment </w:t>
      </w:r>
      <w:r w:rsidR="00343CB1">
        <w:t xml:space="preserve">and employment </w:t>
      </w:r>
      <w:r w:rsidR="00323C30">
        <w:t>decisions than they might otherwise due to their education-related debt.</w:t>
      </w:r>
    </w:p>
    <w:p w:rsidR="00323C30" w:rsidRDefault="00A7274A" w:rsidP="003811A9">
      <w:pPr>
        <w:pStyle w:val="BodyText"/>
      </w:pPr>
      <w:r>
        <w:rPr>
          <w:b/>
        </w:rPr>
        <w:t xml:space="preserve">Science, technology, engineering, and mathematics. </w:t>
      </w:r>
      <w:r w:rsidR="00323C30">
        <w:t>Second, given the crucial roles that science and technology play in the global economy and solving critical social problems, policymakers and business leaders need information on college graduates’ science, technology, engineering, and mathematics (STEM) expertise and use of that expertise in the labor market. The importance that policymakers place on recruiting and retaining people in high-skill STEM occupations was clear in President Obama’s State of the Union address in January 2012. Reflecting this concern, the administration’s Engage to Excel initiative aims to fill the projected 1 million jobs that will become available in STEM fields between 2008 and 2018 with highly-skilled workers. Analyzing the paths of graduates with STEM majors as well as those who work in STEM occupations will provide information about why and when people move into and out of STEM jobs. T</w:t>
      </w:r>
      <w:r w:rsidR="00323C30" w:rsidRPr="00EC46EE">
        <w:t xml:space="preserve">he B&amp;B </w:t>
      </w:r>
      <w:r w:rsidR="00323C30">
        <w:t>data allow the study of</w:t>
      </w:r>
      <w:r w:rsidR="00323C30" w:rsidRPr="00EC46EE">
        <w:t xml:space="preserve"> whether college graduates with training in these fields are using that training in the workplace or pursuing graduate education</w:t>
      </w:r>
      <w:r w:rsidR="00323C30">
        <w:t xml:space="preserve"> in STEM fields</w:t>
      </w:r>
      <w:r w:rsidR="00323C30" w:rsidRPr="00EC46EE">
        <w:t>.</w:t>
      </w:r>
    </w:p>
    <w:p w:rsidR="00323C30" w:rsidRDefault="00A7274A" w:rsidP="003811A9">
      <w:pPr>
        <w:pStyle w:val="BodyText"/>
      </w:pPr>
      <w:r>
        <w:rPr>
          <w:b/>
        </w:rPr>
        <w:t xml:space="preserve">The K-12 teacher pipeline. </w:t>
      </w:r>
      <w:r w:rsidR="00323C30">
        <w:t xml:space="preserve">Third, K–12 teacher recruitment and retention </w:t>
      </w:r>
      <w:r>
        <w:t>continue to be</w:t>
      </w:r>
      <w:r w:rsidR="00323C30">
        <w:t xml:space="preserve"> important issues for education policymakers, and B&amp;B’s focus on those who enter K-12 teaching after college graduation allows in-depth study of teacher experiences, satisfaction, and mobility into and out of the K–12 teaching profession. T</w:t>
      </w:r>
      <w:r w:rsidR="00323C30" w:rsidRPr="00EC46EE">
        <w:t xml:space="preserve">here is a particular interest in the capacity of </w:t>
      </w:r>
      <w:r w:rsidR="00323C30">
        <w:t xml:space="preserve">K–12 </w:t>
      </w:r>
      <w:r w:rsidR="00323C30" w:rsidRPr="00EC46EE">
        <w:t xml:space="preserve">teachers </w:t>
      </w:r>
      <w:r w:rsidR="00323C30">
        <w:t>in</w:t>
      </w:r>
      <w:r w:rsidR="00323C30" w:rsidRPr="00EC46EE">
        <w:t xml:space="preserve"> </w:t>
      </w:r>
      <w:r w:rsidR="00323C30">
        <w:t>STEM</w:t>
      </w:r>
      <w:r w:rsidR="00323C30" w:rsidRPr="00EC46EE">
        <w:t xml:space="preserve"> disciplines to prepare future generations of scientists, engineers</w:t>
      </w:r>
      <w:r w:rsidR="00323C30">
        <w:t>,</w:t>
      </w:r>
      <w:r w:rsidR="00323C30" w:rsidRPr="00EC46EE">
        <w:t xml:space="preserve"> and mathematicians</w:t>
      </w:r>
      <w:r w:rsidR="00323C30">
        <w:t>, and the B&amp;B:08/12 data allow close examination of these issues not only because of the oversample of STEM graduates but also because of the Postsecondary Education Transcript Study (PETS) data. As part of PETS, NCES collected B&amp;B:08 graduates’ transcripts from the degree-granting institution, permitting study of students’ level of preparation and performance in undergraduate mathematics and science courses. B&amp;B’s unique contribution to policymakers’ understanding of the K–12 teaching workforce is researchers’ ability to use these data to compare K–12 teachers with their similarly educated peers on such important topics as career paths, workplace satisfaction, and salaries.</w:t>
      </w:r>
    </w:p>
    <w:p w:rsidR="00323C30" w:rsidRDefault="00A7274A" w:rsidP="003811A9">
      <w:pPr>
        <w:pStyle w:val="BodyText"/>
      </w:pPr>
      <w:r>
        <w:rPr>
          <w:b/>
        </w:rPr>
        <w:t xml:space="preserve">Employment in an economic downturn. </w:t>
      </w:r>
      <w:r w:rsidR="00323C30">
        <w:t>Finally, the B&amp;B:08 cohort is well-suited for examining recent college graduates’ employment and job search experiences in challenging economic conditions, which include higher-than-normal unemployment rates and longer unemployment spells. The data from this study will allow an examination of un- and under-employment, job satisfaction, job search behavior, and the value of the bachelor’s degree in finding employment.</w:t>
      </w:r>
    </w:p>
    <w:p w:rsidR="00323C30" w:rsidRDefault="00323C30" w:rsidP="003811A9">
      <w:pPr>
        <w:pStyle w:val="BodyText"/>
      </w:pPr>
      <w:r>
        <w:t>S</w:t>
      </w:r>
      <w:r w:rsidRPr="005C26EF">
        <w:t>pecific questions to be addressed in B&amp;B:</w:t>
      </w:r>
      <w:r>
        <w:t>08/12 include the following:</w:t>
      </w:r>
    </w:p>
    <w:p w:rsidR="00323C30" w:rsidRPr="001653CD" w:rsidRDefault="00F776AE" w:rsidP="00B63DF2">
      <w:pPr>
        <w:pStyle w:val="BodyText"/>
        <w:keepNext/>
        <w:rPr>
          <w:b/>
        </w:rPr>
      </w:pPr>
      <w:r w:rsidRPr="00F776AE">
        <w:rPr>
          <w:b/>
        </w:rPr>
        <w:t>Debt and Finances</w:t>
      </w:r>
    </w:p>
    <w:p w:rsidR="00323C30" w:rsidRPr="003811A9" w:rsidRDefault="00323C30" w:rsidP="003811A9">
      <w:pPr>
        <w:pStyle w:val="bulletround"/>
      </w:pPr>
      <w:r w:rsidRPr="005C26EF">
        <w:t>How much do bachelor</w:t>
      </w:r>
      <w:r>
        <w:t>’</w:t>
      </w:r>
      <w:r w:rsidRPr="005C26EF">
        <w:t xml:space="preserve">s degree </w:t>
      </w:r>
      <w:r w:rsidRPr="003811A9">
        <w:t xml:space="preserve">recipients owe on undergraduate student loans 4 years after college? What proportion of students borrowed further for </w:t>
      </w:r>
      <w:r w:rsidR="001653CD">
        <w:t>additional</w:t>
      </w:r>
      <w:r w:rsidR="001653CD" w:rsidRPr="003811A9">
        <w:t xml:space="preserve"> </w:t>
      </w:r>
      <w:r w:rsidRPr="003811A9">
        <w:t>education</w:t>
      </w:r>
      <w:r w:rsidR="001653CD">
        <w:t xml:space="preserve"> and training</w:t>
      </w:r>
      <w:r w:rsidRPr="003811A9">
        <w:t>?</w:t>
      </w:r>
    </w:p>
    <w:p w:rsidR="00323C30" w:rsidRDefault="001653CD" w:rsidP="003811A9">
      <w:pPr>
        <w:pStyle w:val="bulletround"/>
      </w:pPr>
      <w:r>
        <w:t>H</w:t>
      </w:r>
      <w:r w:rsidR="00323C30" w:rsidRPr="003811A9">
        <w:t xml:space="preserve">ow is the status of </w:t>
      </w:r>
      <w:r>
        <w:t>graduates’</w:t>
      </w:r>
      <w:r w:rsidR="00A85E54">
        <w:t xml:space="preserve"> </w:t>
      </w:r>
      <w:r w:rsidR="00323C30" w:rsidRPr="003811A9">
        <w:t xml:space="preserve">loans associated with their </w:t>
      </w:r>
      <w:r>
        <w:t xml:space="preserve">early </w:t>
      </w:r>
      <w:r w:rsidR="00323C30" w:rsidRPr="003811A9">
        <w:t>labor market experience</w:t>
      </w:r>
      <w:r w:rsidR="00323C30">
        <w:t xml:space="preserve">s? </w:t>
      </w:r>
      <w:r w:rsidR="00323C30" w:rsidRPr="005C26EF">
        <w:t xml:space="preserve">If in repayment, what are the monthly payments? </w:t>
      </w:r>
      <w:r w:rsidR="00323C30">
        <w:t>Who is having difficulty repaying? Are families helping to repay loans?</w:t>
      </w:r>
    </w:p>
    <w:p w:rsidR="00323C30" w:rsidRDefault="00323C30" w:rsidP="00323C30">
      <w:pPr>
        <w:pStyle w:val="BodyText"/>
        <w:keepNext/>
        <w:rPr>
          <w:b/>
        </w:rPr>
      </w:pPr>
      <w:r w:rsidRPr="001D27DD">
        <w:rPr>
          <w:b/>
        </w:rPr>
        <w:t xml:space="preserve">Graduate </w:t>
      </w:r>
      <w:r w:rsidR="00835A08">
        <w:rPr>
          <w:b/>
        </w:rPr>
        <w:t xml:space="preserve">Education </w:t>
      </w:r>
      <w:r>
        <w:rPr>
          <w:b/>
        </w:rPr>
        <w:t>and STEM</w:t>
      </w:r>
    </w:p>
    <w:p w:rsidR="00323C30" w:rsidRPr="003811A9" w:rsidRDefault="00323C30" w:rsidP="003811A9">
      <w:pPr>
        <w:pStyle w:val="bulletround"/>
      </w:pPr>
      <w:r w:rsidRPr="005C26EF">
        <w:t xml:space="preserve">What factors are </w:t>
      </w:r>
      <w:r w:rsidRPr="003811A9">
        <w:t>associated with enrollment beyond the bachelor’s degree? What factors do college graduates consider when deciding to enroll in additional undergraduate education and/or graduate education?</w:t>
      </w:r>
    </w:p>
    <w:p w:rsidR="00323C30" w:rsidRPr="003811A9" w:rsidRDefault="00323C30" w:rsidP="003811A9">
      <w:pPr>
        <w:pStyle w:val="bulletround"/>
      </w:pPr>
      <w:r w:rsidRPr="003811A9">
        <w:t>What percentage of college graduates enroll in graduate or professional degree programs, and what percentage complete a graduate or professional degree within 4 years of receiving a bachelor’s degree?</w:t>
      </w:r>
    </w:p>
    <w:p w:rsidR="00323C30" w:rsidRDefault="00323C30" w:rsidP="003811A9">
      <w:pPr>
        <w:pStyle w:val="bulletround"/>
      </w:pPr>
      <w:r w:rsidRPr="003811A9">
        <w:t xml:space="preserve">What percentage of bachelor’s degree recipients who enroll in graduate education do so in STEM fields, and what proportion </w:t>
      </w:r>
      <w:r>
        <w:t>of those had undergraduate majors in STEM fields? How does this enrollment relate to graduates’ career paths?</w:t>
      </w:r>
    </w:p>
    <w:p w:rsidR="00323C30" w:rsidRDefault="00323C30" w:rsidP="003811A9">
      <w:pPr>
        <w:pStyle w:val="bulletround"/>
      </w:pPr>
      <w:r>
        <w:t xml:space="preserve">What paths do </w:t>
      </w:r>
      <w:r w:rsidRPr="003811A9">
        <w:t>college</w:t>
      </w:r>
      <w:r>
        <w:t xml:space="preserve"> graduates with bachelor’s degrees in STEM fields take after graduation? What percentage obtain employment or enroll in further education</w:t>
      </w:r>
      <w:r w:rsidRPr="00D80944">
        <w:t xml:space="preserve"> </w:t>
      </w:r>
      <w:r>
        <w:t xml:space="preserve">in STEM fields? What percentage of graduates who received a non-STEM bachelor’s degree are employed in STEM occupations? </w:t>
      </w:r>
    </w:p>
    <w:p w:rsidR="00323C30" w:rsidRDefault="00323C30" w:rsidP="00323C30">
      <w:pPr>
        <w:pStyle w:val="BodyText"/>
        <w:keepNext/>
        <w:rPr>
          <w:b/>
        </w:rPr>
      </w:pPr>
      <w:r w:rsidRPr="001D27DD">
        <w:rPr>
          <w:b/>
        </w:rPr>
        <w:t xml:space="preserve">K–12 </w:t>
      </w:r>
      <w:r w:rsidR="00835A08" w:rsidRPr="001D27DD">
        <w:rPr>
          <w:b/>
        </w:rPr>
        <w:t>Teaching</w:t>
      </w:r>
    </w:p>
    <w:p w:rsidR="00323C30" w:rsidRPr="003811A9" w:rsidRDefault="00323C30" w:rsidP="003811A9">
      <w:pPr>
        <w:pStyle w:val="bulletround"/>
      </w:pPr>
      <w:r>
        <w:t xml:space="preserve">How did the undergraduate experiences </w:t>
      </w:r>
      <w:r w:rsidRPr="003811A9">
        <w:t>of graduates who taught differ from those of graduates who considered teaching, those who prepared to teach, and other graduates?</w:t>
      </w:r>
    </w:p>
    <w:p w:rsidR="00323C30" w:rsidRDefault="00323C30" w:rsidP="003811A9">
      <w:pPr>
        <w:pStyle w:val="bulletround"/>
      </w:pPr>
      <w:r w:rsidRPr="003811A9">
        <w:t>What percentage of college graduates were employed as a teacher within 4 years of receiving a bachelor’s degree? What percentage taught</w:t>
      </w:r>
      <w:r>
        <w:t xml:space="preserve"> throughout the period</w:t>
      </w:r>
      <w:r w:rsidRPr="005C26EF">
        <w:t>?</w:t>
      </w:r>
    </w:p>
    <w:p w:rsidR="00323C30" w:rsidRDefault="00835A08" w:rsidP="00323C30">
      <w:pPr>
        <w:pStyle w:val="BodyText"/>
        <w:keepNext/>
        <w:rPr>
          <w:b/>
        </w:rPr>
      </w:pPr>
      <w:r w:rsidRPr="001D27DD">
        <w:rPr>
          <w:b/>
        </w:rPr>
        <w:t>Labor Market Outcomes</w:t>
      </w:r>
    </w:p>
    <w:p w:rsidR="00323C30" w:rsidRPr="003811A9" w:rsidRDefault="00323C30" w:rsidP="003811A9">
      <w:pPr>
        <w:pStyle w:val="bulletround"/>
      </w:pPr>
      <w:r w:rsidRPr="005C26EF">
        <w:t>What type</w:t>
      </w:r>
      <w:r>
        <w:t>s</w:t>
      </w:r>
      <w:r w:rsidRPr="005C26EF">
        <w:t xml:space="preserve"> of careers are college graduates </w:t>
      </w:r>
      <w:r w:rsidRPr="003811A9">
        <w:t>pursuing, and how successful are they in obtaining jobs within 4 years of graduation?</w:t>
      </w:r>
    </w:p>
    <w:p w:rsidR="00323C30" w:rsidRDefault="00323C30" w:rsidP="003811A9">
      <w:pPr>
        <w:pStyle w:val="bulletround"/>
      </w:pPr>
      <w:r w:rsidRPr="003811A9">
        <w:t>How do 2007–08 graduates’ labor market outcomes 4 years after receiving a bachelor’s degree compare to those observed among 1992–93 graduates</w:t>
      </w:r>
      <w:r>
        <w:t xml:space="preserve"> in 1997?</w:t>
      </w:r>
    </w:p>
    <w:p w:rsidR="008F25B1" w:rsidRDefault="00323C30" w:rsidP="008F25B1">
      <w:pPr>
        <w:pStyle w:val="BodyText"/>
        <w:ind w:firstLine="0"/>
      </w:pPr>
      <w:r>
        <w:t xml:space="preserve">Answers to these and other questions are vital if policymakers are to respond adequately to changing environments in postsecondary education and the labor market. As appendix A indicates, since B&amp;B’s inception, the B&amp;B series of data have been used extensively to explore </w:t>
      </w:r>
      <w:r w:rsidRPr="00F12AB8">
        <w:t>Postsecondary</w:t>
      </w:r>
      <w:r>
        <w:t>, Adult, and Career Education (PACE) program issues and have resulted in numerous NCES publications.</w:t>
      </w:r>
    </w:p>
    <w:p w:rsidR="008F25B1" w:rsidRPr="008F25B1" w:rsidRDefault="008F25B1" w:rsidP="00B327BF">
      <w:pPr>
        <w:pStyle w:val="Heading3"/>
        <w:numPr>
          <w:ilvl w:val="2"/>
          <w:numId w:val="15"/>
        </w:numPr>
        <w:tabs>
          <w:tab w:val="clear" w:pos="1253"/>
          <w:tab w:val="num" w:pos="1620"/>
        </w:tabs>
        <w:ind w:left="1530" w:hanging="450"/>
        <w:rPr>
          <w:rStyle w:val="SubtleEmphasis"/>
          <w:rFonts w:cs="Arial"/>
          <w:i w:val="0"/>
          <w:iCs w:val="0"/>
          <w:color w:val="auto"/>
        </w:rPr>
      </w:pPr>
      <w:bookmarkStart w:id="18" w:name="_Toc322356399"/>
      <w:r w:rsidRPr="008F25B1">
        <w:t>Previous Agency Use of the Data</w:t>
      </w:r>
      <w:bookmarkEnd w:id="18"/>
    </w:p>
    <w:p w:rsidR="0061799E" w:rsidRDefault="0061799E" w:rsidP="00B63DF2">
      <w:pPr>
        <w:pStyle w:val="Heading4"/>
        <w:numPr>
          <w:ilvl w:val="0"/>
          <w:numId w:val="20"/>
        </w:numPr>
      </w:pPr>
      <w:r>
        <w:t>Education</w:t>
      </w:r>
    </w:p>
    <w:p w:rsidR="0061799E" w:rsidRDefault="0061799E" w:rsidP="0061799E">
      <w:pPr>
        <w:pStyle w:val="BodyText"/>
        <w:ind w:firstLine="0"/>
      </w:pPr>
      <w:r>
        <w:t>In addition to postbaccalaureate experiences, B&amp;B data allow examination of graduates’ undergraduate experiences. Between one-third and one-half of bachelor’s degree recipients (35 percent among 1992–93 graduates, 39 percent among 1999–2000 graduates, and 44 percent among the B&amp;B:08/12 cohort of 2007–08 graduates) completed the bachelor’s degree within 4 years of postsecondary entry, and most (74 percent of 1992–93, 73 percent of 1999–2000, and 76 percent of 2007–08 graduates) completed their degrees within 6 years of entering postsecondary education (Bradburn et al., 2003; Cataldi et al.,</w:t>
      </w:r>
      <w:r w:rsidR="00285D54">
        <w:t xml:space="preserve"> 2011; McCormick and Horn, 1996</w:t>
      </w:r>
      <w:r>
        <w:t>). In all three cohorts, 63–65 percent of graduates earned their degrees from public colleges and universities (Bradburn et al., 2003; Cataldi et al., 2011; McCormick and Horn, 1996).</w:t>
      </w:r>
    </w:p>
    <w:p w:rsidR="0061799E" w:rsidRDefault="0061799E" w:rsidP="0061799E">
      <w:pPr>
        <w:pStyle w:val="BodyText"/>
      </w:pPr>
      <w:r>
        <w:t>Once they complete a bachelor’s degree, many graduates continue formal education at various postsecondary levels. In 1994, about one-quarter (27 percent) of 1992–93 graduates had enrolled for further education, including 17</w:t>
      </w:r>
      <w:r>
        <w:rPr>
          <w:vertAlign w:val="superscript"/>
        </w:rPr>
        <w:t xml:space="preserve"> </w:t>
      </w:r>
      <w:r>
        <w:t>percent who were enrolled at the graduate level (McCormick and Horn, 1996). By 1997, 30 percent had enrolled in graduate education, and 12 percent had earned graduate or first-professional degrees. By 2003, some 40 percent of 1992–93 bachelor’s degree recipients had enrolled in a master’s, first-professional, or doctoral degree program, including 25 percent who had completed such a degree, 6 percent who were currently enrolled, and 9 percent who had enrolled in a graduate program but left before completion (Bradburn, Nevill, and Cataldi, 2006).</w:t>
      </w:r>
    </w:p>
    <w:p w:rsidR="0061799E" w:rsidRDefault="0061799E" w:rsidP="0061799E">
      <w:pPr>
        <w:pStyle w:val="BodyText"/>
      </w:pPr>
      <w:r>
        <w:t>On average, most graduates waited 2 to 3 years to enroll in a graduate degree program, and among those who enrolled between 1993 and 2003, about 62 percent had earned at least one graduate degree by 2003 (Nevill and Chen, 2007). Master’s degree students took an average of 3 years to complete their degree, first-professional students took about 4 years, and doctoral students took more than 5 years. Rates of persistence and completion were higher among students who entered graduate school immediately after earning a bachelor’s degree, who attended full time and enrolled continuously, and who enrolled in multiple graduate degree programs (Nevill and Chen, 2007).</w:t>
      </w:r>
    </w:p>
    <w:p w:rsidR="0061799E" w:rsidRDefault="0061799E" w:rsidP="008E0929">
      <w:pPr>
        <w:pStyle w:val="ESHeading4"/>
        <w:numPr>
          <w:ilvl w:val="0"/>
          <w:numId w:val="20"/>
        </w:numPr>
      </w:pPr>
      <w:r>
        <w:t>Employment, Career Paths, and Teaching</w:t>
      </w:r>
    </w:p>
    <w:p w:rsidR="0061799E" w:rsidRDefault="0061799E" w:rsidP="0061799E">
      <w:pPr>
        <w:pStyle w:val="BodyText"/>
        <w:ind w:firstLine="0"/>
      </w:pPr>
      <w:r>
        <w:t>In the year after graduation, 87 percent of both 1992–93 and 1999–2000 bachelor’s degree recipients were employed, most (73-77 percent) full time (Bradburn et al., 2003; McCormick and Horn, 1996). Among employed graduates, about 70 percent in each cohort believed their job had career potential or was the start of a career, and about three-quarters were in jobs related to their undergraduate major. In 1997, some 89 percent of 1992–93 graduates were employed, 81 percent full time (McCormick et al., 1999). Four-fifths of graduates employed in 1997 believed their jobs had career potential, and 73 percent believed their jobs were related to their undergraduate major.</w:t>
      </w:r>
    </w:p>
    <w:p w:rsidR="0061799E" w:rsidRDefault="0061799E" w:rsidP="0061799E">
      <w:pPr>
        <w:pStyle w:val="BodyText"/>
      </w:pPr>
      <w:r>
        <w:t>About 5 percent of each cohort were unemployed 1 year out, with an additional 1 percent of 1999–2000 graduates laid off or waiting to report to work in 2001 (Bradburn et al., 2003; McCormick and Horn, 1996). At the 4-year mark, 3 percent of 1992–93 graduates were unemployed. Among the most recent cohort of graduates from 2007–08, 84 percent were employed—57 percent in one full-time job—and 9 percent were unemployed one year after graduation in 2009 (Cataldi et al., 2011).</w:t>
      </w:r>
    </w:p>
    <w:p w:rsidR="0061799E" w:rsidRDefault="0061799E" w:rsidP="0061799E">
      <w:pPr>
        <w:pStyle w:val="BodyText"/>
      </w:pPr>
      <w:r>
        <w:t>The first follow-up data also laid the groundwork for studying graduates’ experiences teaching at the elementary and secondary levels. The proportion of graduates who had taught within 1 year of receiving a bachelor’s degree increased slightly, from 10 percent to 12 percent, between the 1992–93 and 1999–2000 cohorts, respectively, while 8 percent of the 2007–08 cohort had taught within one year. An additional 5 percent of 1992–93 and 2007–08 graduates and 3 percent of 1999–2000 graduates had prepared or been certified to teach, but had not taught within the year following graduation.</w:t>
      </w:r>
    </w:p>
    <w:p w:rsidR="0061799E" w:rsidRDefault="0061799E" w:rsidP="0061799E">
      <w:pPr>
        <w:pStyle w:val="BodyText"/>
      </w:pPr>
      <w:r>
        <w:t xml:space="preserve">Later follow-ups of the 1992–93 cohort allowed further study of the teacher pipeline. Thirteen percent of graduates had taught by 1997 (Henke, Chen, and </w:t>
      </w:r>
      <w:proofErr w:type="spellStart"/>
      <w:r>
        <w:t>Geis</w:t>
      </w:r>
      <w:proofErr w:type="spellEnd"/>
      <w:r>
        <w:t>, 2000), although 21 percent of those who had taught since graduation were not teaching in 1997. By 2003, one-fifth (20 percent) of 1992–93 bachelor’s degree recipients had taught in an elementary or secondary school. Approximately 11 percent of these graduates were teaching when interviewed in 2003, and another 9 percent had taught at some point but were not teaching at the time of the interview.</w:t>
      </w:r>
    </w:p>
    <w:p w:rsidR="0061799E" w:rsidRDefault="0061799E" w:rsidP="008E0929">
      <w:pPr>
        <w:pStyle w:val="ESHeading4"/>
        <w:numPr>
          <w:ilvl w:val="0"/>
          <w:numId w:val="20"/>
        </w:numPr>
      </w:pPr>
      <w:r>
        <w:t>Student loan debt and debt burden</w:t>
      </w:r>
    </w:p>
    <w:p w:rsidR="0061799E" w:rsidRDefault="0061799E" w:rsidP="0061799E">
      <w:pPr>
        <w:pStyle w:val="BodyText"/>
        <w:ind w:firstLine="0"/>
      </w:pPr>
      <w:r>
        <w:t>Choy and Li (2006) compared graduates’ student loan repayment status and resulting debt burdens (monthly loan payments as a percentage of monthly salary income) 1 year after graduation between the first two cohorts. Members of the earlier cohort finished their undergraduate borrowing before the changes in the Stafford loan program were implemented, whereas most members of the later cohort had done their undergraduate borrowing under the new rules. Although both the percentage of graduates who had borrowed for their undergraduate education and the average total amount borrowed (adjusting for inflation) increased, the median debt burden 1year after graduating was about the same for both cohorts.</w:t>
      </w:r>
    </w:p>
    <w:p w:rsidR="0061799E" w:rsidRDefault="0061799E" w:rsidP="0061799E">
      <w:pPr>
        <w:pStyle w:val="BodyText"/>
      </w:pPr>
      <w:r>
        <w:t>By 2003, three-quarters of 1993–94 graduates with no additional degree enrollment had repaid all of their undergraduate loans. Of the 26 percent who were still repaying their loans in 2003, the median debt burden was 3.3 percent. Among Stafford loan borrowers, 5 percent had a deferment, 12 percent had a period of forbearance, and 10 percent defaulted at some point. Students did not tend to have immediate repayment problems; the average length of time between graduation and the first deferment, forbearance, or default was from 4 to 5 years. For many, the problems were temporary, with 45 percent of defaulters entering repayment later. In addition, most of those who deferred or had periods of forbearance were able to recover financially and did not default.</w:t>
      </w:r>
    </w:p>
    <w:p w:rsidR="00C33221" w:rsidRDefault="00C33221" w:rsidP="004F1598">
      <w:pPr>
        <w:pStyle w:val="Heading2"/>
        <w:numPr>
          <w:ilvl w:val="1"/>
          <w:numId w:val="16"/>
        </w:numPr>
        <w:tabs>
          <w:tab w:val="clear" w:pos="979"/>
        </w:tabs>
        <w:spacing w:line="320" w:lineRule="atLeast"/>
        <w:ind w:left="1080" w:hanging="540"/>
      </w:pPr>
      <w:bookmarkStart w:id="19" w:name="_Toc174182796"/>
      <w:bookmarkStart w:id="20" w:name="_Toc174182866"/>
      <w:bookmarkStart w:id="21" w:name="_Toc174182952"/>
      <w:bookmarkStart w:id="22" w:name="_Toc174183070"/>
      <w:bookmarkStart w:id="23" w:name="_Toc174183319"/>
      <w:bookmarkStart w:id="24" w:name="_Toc174183381"/>
      <w:bookmarkStart w:id="25" w:name="_Toc281389125"/>
      <w:bookmarkStart w:id="26" w:name="_Toc281391793"/>
      <w:bookmarkStart w:id="27" w:name="_Toc281392118"/>
      <w:bookmarkStart w:id="28" w:name="_Toc281400580"/>
      <w:bookmarkStart w:id="29" w:name="_Toc281402633"/>
      <w:bookmarkStart w:id="30" w:name="_Toc281405329"/>
      <w:bookmarkStart w:id="31" w:name="_Toc281389126"/>
      <w:bookmarkStart w:id="32" w:name="_Toc281391794"/>
      <w:bookmarkStart w:id="33" w:name="_Toc281392119"/>
      <w:bookmarkStart w:id="34" w:name="_Toc281400581"/>
      <w:bookmarkStart w:id="35" w:name="_Toc281402634"/>
      <w:bookmarkStart w:id="36" w:name="_Toc281405330"/>
      <w:bookmarkStart w:id="37" w:name="_Toc281389127"/>
      <w:bookmarkStart w:id="38" w:name="_Toc281391795"/>
      <w:bookmarkStart w:id="39" w:name="_Toc281392120"/>
      <w:bookmarkStart w:id="40" w:name="_Toc281400582"/>
      <w:bookmarkStart w:id="41" w:name="_Toc281402635"/>
      <w:bookmarkStart w:id="42" w:name="_Toc281405331"/>
      <w:bookmarkStart w:id="43" w:name="_Toc281389128"/>
      <w:bookmarkStart w:id="44" w:name="_Toc281391796"/>
      <w:bookmarkStart w:id="45" w:name="_Toc281392121"/>
      <w:bookmarkStart w:id="46" w:name="_Toc281400583"/>
      <w:bookmarkStart w:id="47" w:name="_Toc281402636"/>
      <w:bookmarkStart w:id="48" w:name="_Toc281405332"/>
      <w:bookmarkStart w:id="49" w:name="_Toc174182799"/>
      <w:bookmarkStart w:id="50" w:name="_Toc174182869"/>
      <w:bookmarkStart w:id="51" w:name="_Toc174182955"/>
      <w:bookmarkStart w:id="52" w:name="_Toc174183073"/>
      <w:bookmarkStart w:id="53" w:name="_Toc174183322"/>
      <w:bookmarkStart w:id="54" w:name="_Toc174183384"/>
      <w:bookmarkStart w:id="55" w:name="_Toc174182800"/>
      <w:bookmarkStart w:id="56" w:name="_Toc174182870"/>
      <w:bookmarkStart w:id="57" w:name="_Toc174182956"/>
      <w:bookmarkStart w:id="58" w:name="_Toc174183074"/>
      <w:bookmarkStart w:id="59" w:name="_Toc174183323"/>
      <w:bookmarkStart w:id="60" w:name="_Toc174183385"/>
      <w:bookmarkStart w:id="61" w:name="_Toc174182801"/>
      <w:bookmarkStart w:id="62" w:name="_Toc174182871"/>
      <w:bookmarkStart w:id="63" w:name="_Toc174182957"/>
      <w:bookmarkStart w:id="64" w:name="_Toc174183075"/>
      <w:bookmarkStart w:id="65" w:name="_Toc174183324"/>
      <w:bookmarkStart w:id="66" w:name="_Toc174183386"/>
      <w:bookmarkStart w:id="67" w:name="_Toc281389129"/>
      <w:bookmarkStart w:id="68" w:name="_Toc281391797"/>
      <w:bookmarkStart w:id="69" w:name="_Toc281392122"/>
      <w:bookmarkStart w:id="70" w:name="_Toc281400584"/>
      <w:bookmarkStart w:id="71" w:name="_Toc281402637"/>
      <w:bookmarkStart w:id="72" w:name="_Toc281405333"/>
      <w:bookmarkStart w:id="73" w:name="_Toc32235640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C26EF">
        <w:t>Use of Information Technology</w:t>
      </w:r>
      <w:bookmarkEnd w:id="73"/>
    </w:p>
    <w:p w:rsidR="00C33221" w:rsidRDefault="00C33221" w:rsidP="00427FFC">
      <w:pPr>
        <w:pStyle w:val="BodyText"/>
        <w:ind w:firstLine="0"/>
      </w:pPr>
      <w:r w:rsidRPr="009248FB">
        <w:t xml:space="preserve">To improve the efficiency of student data collection, B&amp;B:08/12 will use web-based student interviewing. The modes of data collection will be web-based self-administered surveys and </w:t>
      </w:r>
      <w:r>
        <w:t>computer-assisted telephone interviewing (</w:t>
      </w:r>
      <w:r w:rsidRPr="009248FB">
        <w:t>CATI</w:t>
      </w:r>
      <w:r>
        <w:t>)</w:t>
      </w:r>
      <w:r w:rsidRPr="009248FB">
        <w:t xml:space="preserve">. </w:t>
      </w:r>
    </w:p>
    <w:p w:rsidR="00C33221" w:rsidRDefault="00C33221" w:rsidP="003811A9">
      <w:pPr>
        <w:pStyle w:val="BodyText"/>
      </w:pPr>
      <w:r w:rsidRPr="007A2305">
        <w:t xml:space="preserve">Recent collections have demonstrated that </w:t>
      </w:r>
      <w:r>
        <w:t>about</w:t>
      </w:r>
      <w:r w:rsidRPr="007A2305">
        <w:t xml:space="preserve"> </w:t>
      </w:r>
      <w:r w:rsidR="003F1B59">
        <w:t>8</w:t>
      </w:r>
      <w:r w:rsidR="003F1B59" w:rsidRPr="007A2305">
        <w:t>0</w:t>
      </w:r>
      <w:r w:rsidR="003811A9">
        <w:t xml:space="preserve"> percent</w:t>
      </w:r>
      <w:r w:rsidRPr="007A2305">
        <w:t xml:space="preserve"> of </w:t>
      </w:r>
      <w:r>
        <w:t>interview</w:t>
      </w:r>
      <w:r w:rsidRPr="007A2305">
        <w:t xml:space="preserve"> </w:t>
      </w:r>
      <w:r>
        <w:t>completions</w:t>
      </w:r>
      <w:r w:rsidRPr="007A2305">
        <w:t xml:space="preserve"> </w:t>
      </w:r>
      <w:r>
        <w:t>have been web interviews. Table 2 shows the distribution by mode of interview completions for the NPSAS:08 and B&amp;B cohort.</w:t>
      </w:r>
    </w:p>
    <w:p w:rsidR="00C33221" w:rsidRDefault="00C33221" w:rsidP="003811A9">
      <w:pPr>
        <w:pStyle w:val="TableTitle"/>
      </w:pPr>
      <w:bookmarkStart w:id="74" w:name="_Toc320867485"/>
      <w:bookmarkStart w:id="75" w:name="_Toc320870700"/>
      <w:bookmarkStart w:id="76" w:name="_Toc322356417"/>
      <w:r w:rsidRPr="008605DE">
        <w:t xml:space="preserve">Table </w:t>
      </w:r>
      <w:r>
        <w:t>2.</w:t>
      </w:r>
      <w:r>
        <w:tab/>
        <w:t xml:space="preserve">Distribution of </w:t>
      </w:r>
      <w:r w:rsidR="003811A9">
        <w:t xml:space="preserve">interview mode </w:t>
      </w:r>
      <w:r>
        <w:t xml:space="preserve">for NPSAS:08 and B&amp;B:08 </w:t>
      </w:r>
      <w:r w:rsidR="007E7625">
        <w:t xml:space="preserve">cohort </w:t>
      </w:r>
      <w:r>
        <w:t>field test and full-scale studies</w:t>
      </w:r>
      <w:bookmarkEnd w:id="74"/>
      <w:bookmarkEnd w:id="75"/>
      <w:bookmarkEnd w:id="76"/>
    </w:p>
    <w:tbl>
      <w:tblPr>
        <w:tblStyle w:val="TableGrid"/>
        <w:tblW w:w="5000" w:type="pct"/>
        <w:tblLayout w:type="fixed"/>
        <w:tblLook w:val="00A0"/>
      </w:tblPr>
      <w:tblGrid>
        <w:gridCol w:w="4985"/>
        <w:gridCol w:w="1818"/>
        <w:gridCol w:w="1818"/>
        <w:gridCol w:w="1819"/>
      </w:tblGrid>
      <w:tr w:rsidR="003811A9" w:rsidRPr="002C68D4" w:rsidTr="003811A9">
        <w:trPr>
          <w:cnfStyle w:val="100000000000"/>
          <w:trHeight w:val="300"/>
          <w:tblHeader/>
        </w:trPr>
        <w:tc>
          <w:tcPr>
            <w:cnfStyle w:val="001000000100"/>
            <w:tcW w:w="4985" w:type="dxa"/>
            <w:vMerge w:val="restart"/>
            <w:noWrap/>
          </w:tcPr>
          <w:p w:rsidR="003811A9" w:rsidRPr="00DD3671" w:rsidRDefault="003811A9" w:rsidP="003811A9">
            <w:pPr>
              <w:pStyle w:val="Tablebody"/>
            </w:pPr>
            <w:r w:rsidRPr="00DD3671">
              <w:t>Study</w:t>
            </w:r>
          </w:p>
        </w:tc>
        <w:tc>
          <w:tcPr>
            <w:tcW w:w="5455" w:type="dxa"/>
            <w:gridSpan w:val="3"/>
            <w:noWrap/>
          </w:tcPr>
          <w:p w:rsidR="003811A9" w:rsidRPr="00DD3671" w:rsidRDefault="007E7625" w:rsidP="007E7625">
            <w:pPr>
              <w:pStyle w:val="Tableheadingcentered"/>
              <w:cnfStyle w:val="100000000000"/>
            </w:pPr>
            <w:r>
              <w:t>Distribution</w:t>
            </w:r>
            <w:r w:rsidR="003811A9">
              <w:t xml:space="preserve"> by </w:t>
            </w:r>
            <w:r w:rsidRPr="00DD3671">
              <w:t>mode</w:t>
            </w:r>
            <w:r>
              <w:t xml:space="preserve"> of</w:t>
            </w:r>
            <w:r w:rsidRPr="00DD3671">
              <w:t xml:space="preserve"> </w:t>
            </w:r>
            <w:r w:rsidR="003811A9" w:rsidRPr="00DD3671">
              <w:t xml:space="preserve">interview </w:t>
            </w:r>
          </w:p>
        </w:tc>
      </w:tr>
      <w:tr w:rsidR="003811A9" w:rsidRPr="002C68D4" w:rsidTr="003811A9">
        <w:trPr>
          <w:cnfStyle w:val="100000000000"/>
          <w:trHeight w:val="300"/>
          <w:tblHeader/>
        </w:trPr>
        <w:tc>
          <w:tcPr>
            <w:cnfStyle w:val="001000000100"/>
            <w:tcW w:w="4985" w:type="dxa"/>
            <w:vMerge/>
            <w:noWrap/>
          </w:tcPr>
          <w:p w:rsidR="003811A9" w:rsidRPr="00DD3671" w:rsidRDefault="003811A9" w:rsidP="003811A9">
            <w:pPr>
              <w:pStyle w:val="Tablebody"/>
            </w:pPr>
          </w:p>
        </w:tc>
        <w:tc>
          <w:tcPr>
            <w:tcW w:w="1818" w:type="dxa"/>
            <w:noWrap/>
          </w:tcPr>
          <w:p w:rsidR="003811A9" w:rsidRPr="00DD3671" w:rsidRDefault="003811A9" w:rsidP="003811A9">
            <w:pPr>
              <w:pStyle w:val="Tablenumbers"/>
              <w:cnfStyle w:val="100000000000"/>
            </w:pPr>
            <w:r w:rsidRPr="00DD3671">
              <w:t xml:space="preserve">Web </w:t>
            </w:r>
          </w:p>
        </w:tc>
        <w:tc>
          <w:tcPr>
            <w:tcW w:w="1818" w:type="dxa"/>
            <w:noWrap/>
          </w:tcPr>
          <w:p w:rsidR="003811A9" w:rsidRPr="00DD3671" w:rsidRDefault="003811A9" w:rsidP="003811A9">
            <w:pPr>
              <w:pStyle w:val="Tablenumbers"/>
              <w:cnfStyle w:val="100000000000"/>
            </w:pPr>
            <w:r w:rsidRPr="00DD3671">
              <w:t>Telephone</w:t>
            </w:r>
          </w:p>
        </w:tc>
        <w:tc>
          <w:tcPr>
            <w:tcW w:w="1819" w:type="dxa"/>
          </w:tcPr>
          <w:p w:rsidR="003811A9" w:rsidRPr="00DD3671" w:rsidRDefault="003811A9" w:rsidP="003811A9">
            <w:pPr>
              <w:pStyle w:val="Tablenumbers"/>
              <w:cnfStyle w:val="100000000000"/>
            </w:pPr>
            <w:r w:rsidRPr="00DD3671">
              <w:t>Field</w:t>
            </w:r>
          </w:p>
        </w:tc>
      </w:tr>
      <w:tr w:rsidR="00C33221" w:rsidRPr="002C68D4" w:rsidTr="003811A9">
        <w:trPr>
          <w:trHeight w:val="300"/>
        </w:trPr>
        <w:tc>
          <w:tcPr>
            <w:cnfStyle w:val="001000000000"/>
            <w:tcW w:w="4985" w:type="dxa"/>
            <w:noWrap/>
          </w:tcPr>
          <w:p w:rsidR="00C33221" w:rsidRPr="00DD3671" w:rsidRDefault="00C33221" w:rsidP="003811A9">
            <w:pPr>
              <w:pStyle w:val="Tablebody"/>
            </w:pPr>
            <w:r w:rsidRPr="00DD3671">
              <w:t>NPSAS:08 field test</w:t>
            </w:r>
          </w:p>
        </w:tc>
        <w:tc>
          <w:tcPr>
            <w:tcW w:w="1818" w:type="dxa"/>
            <w:noWrap/>
          </w:tcPr>
          <w:p w:rsidR="00C33221" w:rsidRPr="00DD3671" w:rsidRDefault="00C33221" w:rsidP="003811A9">
            <w:pPr>
              <w:pStyle w:val="Tablenumbers"/>
              <w:cnfStyle w:val="000000000000"/>
            </w:pPr>
            <w:r w:rsidRPr="00DD3671">
              <w:t>73.4</w:t>
            </w:r>
          </w:p>
        </w:tc>
        <w:tc>
          <w:tcPr>
            <w:tcW w:w="1818" w:type="dxa"/>
            <w:noWrap/>
          </w:tcPr>
          <w:p w:rsidR="00C33221" w:rsidRPr="00DD3671" w:rsidRDefault="00C33221" w:rsidP="003811A9">
            <w:pPr>
              <w:pStyle w:val="Tablenumbers"/>
              <w:cnfStyle w:val="000000000000"/>
            </w:pPr>
            <w:r w:rsidRPr="00DD3671">
              <w:t>26.6</w:t>
            </w:r>
          </w:p>
        </w:tc>
        <w:tc>
          <w:tcPr>
            <w:tcW w:w="1819" w:type="dxa"/>
          </w:tcPr>
          <w:p w:rsidR="00C33221" w:rsidRPr="00DD3671" w:rsidRDefault="003811A9" w:rsidP="003811A9">
            <w:pPr>
              <w:pStyle w:val="Tablenumbers"/>
              <w:cnfStyle w:val="000000000000"/>
            </w:pPr>
            <w:r>
              <w:t>†</w:t>
            </w:r>
          </w:p>
        </w:tc>
      </w:tr>
      <w:tr w:rsidR="00C33221" w:rsidRPr="002C68D4" w:rsidTr="003811A9">
        <w:trPr>
          <w:trHeight w:val="300"/>
        </w:trPr>
        <w:tc>
          <w:tcPr>
            <w:cnfStyle w:val="001000000000"/>
            <w:tcW w:w="4985" w:type="dxa"/>
            <w:noWrap/>
          </w:tcPr>
          <w:p w:rsidR="00C33221" w:rsidRPr="00DD3671" w:rsidRDefault="00C33221" w:rsidP="003811A9">
            <w:pPr>
              <w:pStyle w:val="Tablebody"/>
            </w:pPr>
            <w:r w:rsidRPr="00DD3671">
              <w:t>NPSAS:08 full-scale</w:t>
            </w:r>
          </w:p>
        </w:tc>
        <w:tc>
          <w:tcPr>
            <w:tcW w:w="1818" w:type="dxa"/>
            <w:noWrap/>
          </w:tcPr>
          <w:p w:rsidR="00C33221" w:rsidRPr="00DD3671" w:rsidRDefault="00C33221" w:rsidP="003811A9">
            <w:pPr>
              <w:pStyle w:val="Tablenumbers"/>
              <w:cnfStyle w:val="000000000000"/>
            </w:pPr>
            <w:r w:rsidRPr="00DD3671">
              <w:t>69.1</w:t>
            </w:r>
          </w:p>
        </w:tc>
        <w:tc>
          <w:tcPr>
            <w:tcW w:w="1818" w:type="dxa"/>
            <w:noWrap/>
          </w:tcPr>
          <w:p w:rsidR="00C33221" w:rsidRPr="00DD3671" w:rsidRDefault="00C33221" w:rsidP="003811A9">
            <w:pPr>
              <w:pStyle w:val="Tablenumbers"/>
              <w:cnfStyle w:val="000000000000"/>
            </w:pPr>
            <w:r w:rsidRPr="00DD3671">
              <w:t>30.9</w:t>
            </w:r>
          </w:p>
        </w:tc>
        <w:tc>
          <w:tcPr>
            <w:tcW w:w="1819" w:type="dxa"/>
          </w:tcPr>
          <w:p w:rsidR="00C33221" w:rsidRPr="00DD3671" w:rsidRDefault="003811A9" w:rsidP="003811A9">
            <w:pPr>
              <w:pStyle w:val="Tablenumbers"/>
              <w:cnfStyle w:val="000000000000"/>
            </w:pPr>
            <w:r>
              <w:t>†</w:t>
            </w:r>
          </w:p>
        </w:tc>
      </w:tr>
      <w:tr w:rsidR="00C33221" w:rsidRPr="002C68D4" w:rsidTr="003811A9">
        <w:trPr>
          <w:trHeight w:val="300"/>
        </w:trPr>
        <w:tc>
          <w:tcPr>
            <w:cnfStyle w:val="001000000000"/>
            <w:tcW w:w="4985" w:type="dxa"/>
            <w:noWrap/>
          </w:tcPr>
          <w:p w:rsidR="00C33221" w:rsidRPr="00DD3671" w:rsidRDefault="00C33221" w:rsidP="003811A9">
            <w:pPr>
              <w:pStyle w:val="Tablebody"/>
            </w:pPr>
            <w:r w:rsidRPr="00DD3671">
              <w:t>B&amp;B:08/09 field test</w:t>
            </w:r>
          </w:p>
        </w:tc>
        <w:tc>
          <w:tcPr>
            <w:tcW w:w="1818" w:type="dxa"/>
            <w:noWrap/>
          </w:tcPr>
          <w:p w:rsidR="00C33221" w:rsidRPr="00DD3671" w:rsidRDefault="00C33221" w:rsidP="003811A9">
            <w:pPr>
              <w:pStyle w:val="Tablenumbers"/>
              <w:cnfStyle w:val="000000000000"/>
            </w:pPr>
            <w:r w:rsidRPr="00DD3671">
              <w:t>72.9</w:t>
            </w:r>
          </w:p>
        </w:tc>
        <w:tc>
          <w:tcPr>
            <w:tcW w:w="1818" w:type="dxa"/>
            <w:noWrap/>
          </w:tcPr>
          <w:p w:rsidR="00C33221" w:rsidRPr="00DD3671" w:rsidRDefault="00C33221" w:rsidP="003811A9">
            <w:pPr>
              <w:pStyle w:val="Tablenumbers"/>
              <w:cnfStyle w:val="000000000000"/>
            </w:pPr>
            <w:r w:rsidRPr="00DD3671">
              <w:t>23.7</w:t>
            </w:r>
          </w:p>
        </w:tc>
        <w:tc>
          <w:tcPr>
            <w:tcW w:w="1819" w:type="dxa"/>
          </w:tcPr>
          <w:p w:rsidR="00C33221" w:rsidRPr="00DD3671" w:rsidRDefault="00C33221" w:rsidP="003811A9">
            <w:pPr>
              <w:pStyle w:val="Tablenumbers"/>
              <w:cnfStyle w:val="000000000000"/>
            </w:pPr>
            <w:r w:rsidRPr="00DD3671">
              <w:t>3.3</w:t>
            </w:r>
          </w:p>
        </w:tc>
      </w:tr>
      <w:tr w:rsidR="00C33221" w:rsidRPr="002C68D4" w:rsidTr="003811A9">
        <w:trPr>
          <w:trHeight w:val="300"/>
        </w:trPr>
        <w:tc>
          <w:tcPr>
            <w:cnfStyle w:val="001000000000"/>
            <w:tcW w:w="4985" w:type="dxa"/>
            <w:noWrap/>
          </w:tcPr>
          <w:p w:rsidR="00C33221" w:rsidRPr="00DD3671" w:rsidRDefault="00C33221" w:rsidP="003811A9">
            <w:pPr>
              <w:pStyle w:val="Tablebody"/>
            </w:pPr>
            <w:r w:rsidRPr="00DD3671">
              <w:t>B&amp;B:08/09 full-scale</w:t>
            </w:r>
          </w:p>
        </w:tc>
        <w:tc>
          <w:tcPr>
            <w:tcW w:w="1818" w:type="dxa"/>
            <w:noWrap/>
          </w:tcPr>
          <w:p w:rsidR="00C33221" w:rsidRPr="00DD3671" w:rsidRDefault="00C33221" w:rsidP="003811A9">
            <w:pPr>
              <w:pStyle w:val="Tablenumbers"/>
              <w:cnfStyle w:val="000000000000"/>
            </w:pPr>
            <w:r w:rsidRPr="00DD3671">
              <w:t>81.0</w:t>
            </w:r>
          </w:p>
        </w:tc>
        <w:tc>
          <w:tcPr>
            <w:tcW w:w="1818" w:type="dxa"/>
            <w:noWrap/>
          </w:tcPr>
          <w:p w:rsidR="00C33221" w:rsidRPr="00DD3671" w:rsidRDefault="00C33221" w:rsidP="003811A9">
            <w:pPr>
              <w:pStyle w:val="Tablenumbers"/>
              <w:cnfStyle w:val="000000000000"/>
            </w:pPr>
            <w:r w:rsidRPr="00DD3671">
              <w:t>16.0</w:t>
            </w:r>
          </w:p>
        </w:tc>
        <w:tc>
          <w:tcPr>
            <w:tcW w:w="1819" w:type="dxa"/>
          </w:tcPr>
          <w:p w:rsidR="00C33221" w:rsidRPr="00DD3671" w:rsidRDefault="00C33221" w:rsidP="003811A9">
            <w:pPr>
              <w:pStyle w:val="Tablenumbers"/>
              <w:cnfStyle w:val="000000000000"/>
            </w:pPr>
            <w:r w:rsidRPr="00DD3671">
              <w:t>3.0</w:t>
            </w:r>
          </w:p>
        </w:tc>
      </w:tr>
      <w:tr w:rsidR="00174B82" w:rsidRPr="002C68D4" w:rsidTr="003811A9">
        <w:trPr>
          <w:trHeight w:val="300"/>
        </w:trPr>
        <w:tc>
          <w:tcPr>
            <w:cnfStyle w:val="001000000000"/>
            <w:tcW w:w="4985" w:type="dxa"/>
            <w:noWrap/>
          </w:tcPr>
          <w:p w:rsidR="00174B82" w:rsidRPr="00DD3671" w:rsidRDefault="00174B82" w:rsidP="003811A9">
            <w:pPr>
              <w:pStyle w:val="Tablebody"/>
            </w:pPr>
            <w:r>
              <w:t>B&amp;B:08/12 field test</w:t>
            </w:r>
          </w:p>
        </w:tc>
        <w:tc>
          <w:tcPr>
            <w:tcW w:w="1818" w:type="dxa"/>
            <w:noWrap/>
          </w:tcPr>
          <w:p w:rsidR="00174B82" w:rsidRPr="00DD3671" w:rsidRDefault="00174B82" w:rsidP="003811A9">
            <w:pPr>
              <w:pStyle w:val="Tablenumbers"/>
              <w:cnfStyle w:val="000000000000"/>
            </w:pPr>
            <w:r>
              <w:t>9</w:t>
            </w:r>
            <w:r w:rsidR="00AD3DBF">
              <w:t>3</w:t>
            </w:r>
            <w:r>
              <w:t>.0</w:t>
            </w:r>
          </w:p>
        </w:tc>
        <w:tc>
          <w:tcPr>
            <w:tcW w:w="1818" w:type="dxa"/>
            <w:noWrap/>
          </w:tcPr>
          <w:p w:rsidR="00174B82" w:rsidRPr="00DD3671" w:rsidRDefault="00AD3DBF" w:rsidP="003811A9">
            <w:pPr>
              <w:pStyle w:val="Tablenumbers"/>
              <w:cnfStyle w:val="000000000000"/>
            </w:pPr>
            <w:r>
              <w:t>7.</w:t>
            </w:r>
            <w:r w:rsidR="00174B82">
              <w:t>0</w:t>
            </w:r>
          </w:p>
        </w:tc>
        <w:tc>
          <w:tcPr>
            <w:tcW w:w="1819" w:type="dxa"/>
          </w:tcPr>
          <w:p w:rsidR="00174B82" w:rsidRPr="00DD3671" w:rsidRDefault="003811A9" w:rsidP="003811A9">
            <w:pPr>
              <w:pStyle w:val="Tablenumbers"/>
              <w:cnfStyle w:val="000000000000"/>
            </w:pPr>
            <w:r>
              <w:t>†</w:t>
            </w:r>
          </w:p>
        </w:tc>
      </w:tr>
    </w:tbl>
    <w:p w:rsidR="003811A9" w:rsidRDefault="003811A9" w:rsidP="003811A9">
      <w:pPr>
        <w:pStyle w:val="Source"/>
      </w:pPr>
      <w:bookmarkStart w:id="77" w:name="_Toc281516515"/>
      <w:bookmarkStart w:id="78" w:name="_Toc281389133"/>
      <w:bookmarkStart w:id="79" w:name="_Toc281391801"/>
      <w:bookmarkStart w:id="80" w:name="_Toc281392126"/>
      <w:bookmarkStart w:id="81" w:name="_Toc281400588"/>
      <w:bookmarkStart w:id="82" w:name="_Toc281402641"/>
      <w:bookmarkStart w:id="83" w:name="_Toc281405337"/>
      <w:bookmarkStart w:id="84" w:name="_Toc281516517"/>
      <w:bookmarkEnd w:id="77"/>
      <w:bookmarkEnd w:id="78"/>
      <w:bookmarkEnd w:id="79"/>
      <w:bookmarkEnd w:id="80"/>
      <w:bookmarkEnd w:id="81"/>
      <w:bookmarkEnd w:id="82"/>
      <w:bookmarkEnd w:id="83"/>
      <w:bookmarkEnd w:id="84"/>
      <w:r>
        <w:t xml:space="preserve">† Not </w:t>
      </w:r>
      <w:r w:rsidRPr="003811A9">
        <w:t>applicable</w:t>
      </w:r>
      <w:r>
        <w:t>.</w:t>
      </w:r>
    </w:p>
    <w:p w:rsidR="00C33221" w:rsidRDefault="00C33221" w:rsidP="003811A9">
      <w:pPr>
        <w:pStyle w:val="Source-last"/>
        <w:rPr>
          <w:b/>
        </w:rPr>
      </w:pPr>
      <w:r>
        <w:t>NOTE: B&amp;B:08/09</w:t>
      </w:r>
      <w:r w:rsidRPr="00C82DFB">
        <w:t xml:space="preserve"> = </w:t>
      </w:r>
      <w:r>
        <w:t>2008/09</w:t>
      </w:r>
      <w:r w:rsidRPr="00C82DFB">
        <w:t xml:space="preserve"> Baccalaureat</w:t>
      </w:r>
      <w:r>
        <w:t>e and Beyond Longitudinal Study; NPSAS:08 = 2007–08 National Postsecondary Student Aid Study.</w:t>
      </w:r>
    </w:p>
    <w:p w:rsidR="00C33221" w:rsidRDefault="00C33221" w:rsidP="004F1598">
      <w:pPr>
        <w:pStyle w:val="Heading2"/>
        <w:numPr>
          <w:ilvl w:val="1"/>
          <w:numId w:val="16"/>
        </w:numPr>
        <w:tabs>
          <w:tab w:val="clear" w:pos="979"/>
        </w:tabs>
        <w:spacing w:line="320" w:lineRule="atLeast"/>
        <w:ind w:left="1080" w:hanging="540"/>
        <w:rPr>
          <w:caps/>
        </w:rPr>
      </w:pPr>
      <w:bookmarkStart w:id="85" w:name="_Toc322356401"/>
      <w:r w:rsidRPr="005C26EF">
        <w:t>Efforts to Identify Duplication</w:t>
      </w:r>
      <w:bookmarkEnd w:id="85"/>
    </w:p>
    <w:p w:rsidR="00C33221" w:rsidRDefault="00C33221" w:rsidP="00427FFC">
      <w:pPr>
        <w:pStyle w:val="BodyText"/>
        <w:ind w:firstLine="0"/>
      </w:pPr>
      <w:r>
        <w:t>I</w:t>
      </w:r>
      <w:r w:rsidRPr="005C26EF">
        <w:t xml:space="preserve">n the planning </w:t>
      </w:r>
      <w:r>
        <w:t xml:space="preserve">and conduct of </w:t>
      </w:r>
      <w:r w:rsidRPr="005C26EF">
        <w:t xml:space="preserve">the B&amp;B study series, NCES has consulted with </w:t>
      </w:r>
      <w:r>
        <w:t xml:space="preserve">university researchers, </w:t>
      </w:r>
      <w:r w:rsidRPr="005C26EF">
        <w:t xml:space="preserve">other federal and nonfederal </w:t>
      </w:r>
      <w:r>
        <w:t xml:space="preserve">experts, and relevant </w:t>
      </w:r>
      <w:r w:rsidRPr="005C26EF">
        <w:t xml:space="preserve">groups and associations to improve the </w:t>
      </w:r>
      <w:r>
        <w:t xml:space="preserve">focus of the B&amp;B study series and </w:t>
      </w:r>
      <w:r w:rsidRPr="005C26EF">
        <w:t xml:space="preserve">to </w:t>
      </w:r>
      <w:r>
        <w:t xml:space="preserve">ensure that B&amp;B </w:t>
      </w:r>
      <w:r w:rsidRPr="005C26EF">
        <w:t>avoid</w:t>
      </w:r>
      <w:r>
        <w:t>s</w:t>
      </w:r>
      <w:r w:rsidRPr="005C26EF">
        <w:t xml:space="preserve"> duplication of effort</w:t>
      </w:r>
      <w:r>
        <w:t xml:space="preserve"> with similar studies. NCES routinely consults with staff in ED’</w:t>
      </w:r>
      <w:r w:rsidRPr="005C26EF">
        <w:t xml:space="preserve">s Office of Postsecondary Education, </w:t>
      </w:r>
      <w:r>
        <w:t xml:space="preserve">the National Science Foundation, </w:t>
      </w:r>
      <w:r w:rsidRPr="005C26EF">
        <w:t>the American Council on Education,</w:t>
      </w:r>
      <w:r>
        <w:t xml:space="preserve"> the Career College Association, </w:t>
      </w:r>
      <w:r w:rsidRPr="005C26EF">
        <w:t>the National Association of Independent Colleges and Universities, the Institute for Higher Education Policy, and the National Council for the Accreditation of Teacher Education</w:t>
      </w:r>
      <w:r>
        <w:t xml:space="preserve"> to </w:t>
      </w:r>
      <w:r w:rsidRPr="005C26EF">
        <w:t xml:space="preserve">confirm that the data to be collected </w:t>
      </w:r>
      <w:r>
        <w:t xml:space="preserve">for the B&amp;B study </w:t>
      </w:r>
      <w:r w:rsidRPr="005C26EF">
        <w:t>are not available from any other sources</w:t>
      </w:r>
      <w:r>
        <w:t xml:space="preserve">. Further, these consultations provide methodological insights from the results of other longitudinal postsecondary student studies conducted by NCES and other federal agencies and nonfederal sources, and the consultations assure that the data collected through B&amp;B will meet the needs of the federal government and other relevant organizations. </w:t>
      </w:r>
    </w:p>
    <w:p w:rsidR="00C33221" w:rsidRDefault="00C33221" w:rsidP="004F1598">
      <w:pPr>
        <w:pStyle w:val="Heading2"/>
        <w:numPr>
          <w:ilvl w:val="1"/>
          <w:numId w:val="16"/>
        </w:numPr>
        <w:tabs>
          <w:tab w:val="clear" w:pos="979"/>
        </w:tabs>
        <w:spacing w:line="320" w:lineRule="atLeast"/>
        <w:ind w:left="1080" w:hanging="540"/>
      </w:pPr>
      <w:bookmarkStart w:id="86" w:name="_Toc174172874"/>
      <w:bookmarkStart w:id="87" w:name="_Toc174182808"/>
      <w:bookmarkStart w:id="88" w:name="_Toc174182878"/>
      <w:bookmarkStart w:id="89" w:name="_Toc174182964"/>
      <w:bookmarkStart w:id="90" w:name="_Toc174183082"/>
      <w:bookmarkStart w:id="91" w:name="_Toc174183331"/>
      <w:bookmarkStart w:id="92" w:name="_Toc174183393"/>
      <w:bookmarkStart w:id="93" w:name="_Toc322356402"/>
      <w:bookmarkEnd w:id="86"/>
      <w:bookmarkEnd w:id="87"/>
      <w:bookmarkEnd w:id="88"/>
      <w:bookmarkEnd w:id="89"/>
      <w:bookmarkEnd w:id="90"/>
      <w:bookmarkEnd w:id="91"/>
      <w:bookmarkEnd w:id="92"/>
      <w:r>
        <w:t>Method Used to Minimize Burden on Small Businesses</w:t>
      </w:r>
      <w:bookmarkEnd w:id="93"/>
    </w:p>
    <w:p w:rsidR="00C33221" w:rsidRDefault="00C33221" w:rsidP="00427FFC">
      <w:pPr>
        <w:pStyle w:val="BodyText"/>
        <w:ind w:firstLine="0"/>
      </w:pPr>
      <w:r w:rsidRPr="00021E6E">
        <w:t>B&amp;B does not impose any burden on small businesses or other small entities. </w:t>
      </w:r>
    </w:p>
    <w:p w:rsidR="00C33221" w:rsidRDefault="00C33221" w:rsidP="004F1598">
      <w:pPr>
        <w:pStyle w:val="Heading2"/>
        <w:numPr>
          <w:ilvl w:val="1"/>
          <w:numId w:val="16"/>
        </w:numPr>
        <w:tabs>
          <w:tab w:val="clear" w:pos="979"/>
        </w:tabs>
        <w:spacing w:line="320" w:lineRule="atLeast"/>
        <w:ind w:left="1080" w:hanging="540"/>
      </w:pPr>
      <w:bookmarkStart w:id="94" w:name="_Toc322356403"/>
      <w:r w:rsidRPr="005C26EF">
        <w:t>Frequency of Data Collection</w:t>
      </w:r>
      <w:bookmarkEnd w:id="94"/>
    </w:p>
    <w:p w:rsidR="00C33221" w:rsidRDefault="00C33221" w:rsidP="00427FFC">
      <w:pPr>
        <w:pStyle w:val="BodyText"/>
        <w:ind w:firstLine="0"/>
      </w:pPr>
      <w:r>
        <w:t>A new B&amp;B cohort has been created about every eight years since the first set of studies was initiated with NPSAS:93. B&amp;B:</w:t>
      </w:r>
      <w:r w:rsidR="00EC3E44">
        <w:t>93</w:t>
      </w:r>
      <w:r>
        <w:t xml:space="preserve"> and B&amp;B:</w:t>
      </w:r>
      <w:r w:rsidR="00EC3E44">
        <w:t>08</w:t>
      </w:r>
      <w:r>
        <w:t xml:space="preserve"> were the two cohorts in which </w:t>
      </w:r>
      <w:r w:rsidRPr="005C26EF">
        <w:t>college transcript data</w:t>
      </w:r>
      <w:r>
        <w:t xml:space="preserve"> were collected</w:t>
      </w:r>
      <w:r w:rsidRPr="005C26EF">
        <w:t xml:space="preserve">. </w:t>
      </w:r>
      <w:r>
        <w:t xml:space="preserve">The current </w:t>
      </w:r>
      <w:r w:rsidRPr="005C26EF">
        <w:t xml:space="preserve">B&amp;B </w:t>
      </w:r>
      <w:r>
        <w:t xml:space="preserve">study, B&amp;B:08/12, </w:t>
      </w:r>
      <w:r w:rsidRPr="005C26EF">
        <w:t xml:space="preserve">will </w:t>
      </w:r>
      <w:r>
        <w:t>be conducted 4</w:t>
      </w:r>
      <w:r w:rsidRPr="005C26EF">
        <w:t xml:space="preserve"> year</w:t>
      </w:r>
      <w:r>
        <w:t>s</w:t>
      </w:r>
      <w:r w:rsidRPr="005C26EF">
        <w:t xml:space="preserve"> after </w:t>
      </w:r>
      <w:r>
        <w:t xml:space="preserve">the base-year </w:t>
      </w:r>
      <w:r w:rsidRPr="005C26EF">
        <w:t>NPSAS:08 data collection</w:t>
      </w:r>
      <w:r>
        <w:t xml:space="preserve">. Though not currently </w:t>
      </w:r>
      <w:r w:rsidR="00083175">
        <w:t>contracted</w:t>
      </w:r>
      <w:r>
        <w:t xml:space="preserve">, </w:t>
      </w:r>
      <w:r w:rsidR="00083175">
        <w:t>at least one</w:t>
      </w:r>
      <w:r>
        <w:t xml:space="preserve"> additional follow-up stud</w:t>
      </w:r>
      <w:r w:rsidR="00083175">
        <w:t xml:space="preserve">y </w:t>
      </w:r>
      <w:r>
        <w:t xml:space="preserve">of the B&amp;B:08 cohort </w:t>
      </w:r>
      <w:r w:rsidR="00083175">
        <w:t>is anticipated in 2018.</w:t>
      </w:r>
      <w:r>
        <w:t xml:space="preserve"> </w:t>
      </w:r>
    </w:p>
    <w:p w:rsidR="00C33221" w:rsidRDefault="00C33221" w:rsidP="007E7625">
      <w:pPr>
        <w:pStyle w:val="BodyText"/>
      </w:pPr>
      <w:r w:rsidRPr="005C26EF">
        <w:t xml:space="preserve">The NPSAS </w:t>
      </w:r>
      <w:r>
        <w:t>and its longitudinal spin-off studies, B</w:t>
      </w:r>
      <w:r w:rsidRPr="005C26EF">
        <w:t>PS and B&amp;B</w:t>
      </w:r>
      <w:r>
        <w:t>,</w:t>
      </w:r>
      <w:r w:rsidRPr="005C26EF">
        <w:t xml:space="preserve"> </w:t>
      </w:r>
      <w:r>
        <w:t>are conducted to reflect t</w:t>
      </w:r>
      <w:r w:rsidRPr="005C26EF">
        <w:t>he large-scale and rapid changes in federal policy concerning postsecondary student aid</w:t>
      </w:r>
      <w:r>
        <w:t>—</w:t>
      </w:r>
      <w:r w:rsidRPr="005C26EF">
        <w:t>eligibility restrictions change, size</w:t>
      </w:r>
      <w:r>
        <w:t>s</w:t>
      </w:r>
      <w:r w:rsidRPr="005C26EF">
        <w:t xml:space="preserve"> of grant and loan amounts fluctuate, and the balance between various aid options</w:t>
      </w:r>
      <w:r w:rsidR="00223246">
        <w:t xml:space="preserve"> can </w:t>
      </w:r>
      <w:r w:rsidRPr="005C26EF">
        <w:t>change</w:t>
      </w:r>
      <w:r w:rsidR="00223246">
        <w:t xml:space="preserve"> </w:t>
      </w:r>
      <w:r w:rsidRPr="005C26EF">
        <w:t>dramatically. A recurri</w:t>
      </w:r>
      <w:r>
        <w:t>ng study is essential to help</w:t>
      </w:r>
      <w:r w:rsidRPr="005C26EF">
        <w:t xml:space="preserve"> predict future costs for financial aid because loan programs create continued obligations for the federal government as long as the loans are being repaid</w:t>
      </w:r>
      <w:r>
        <w:t>. Second, r</w:t>
      </w:r>
      <w:r w:rsidRPr="005C26EF">
        <w:t xml:space="preserve">epeated surveys </w:t>
      </w:r>
      <w:r>
        <w:t xml:space="preserve">can capture the changing nature of </w:t>
      </w:r>
      <w:r w:rsidRPr="005C26EF">
        <w:t>the postsecondary environment. With the longitudinal design of the NPSAS survey and B&amp;B follow-ups, representative national samples of degree-receiving postsecondary students with similar base</w:t>
      </w:r>
      <w:r>
        <w:t>-</w:t>
      </w:r>
      <w:r w:rsidRPr="005C26EF">
        <w:t xml:space="preserve">year characteristics </w:t>
      </w:r>
      <w:r>
        <w:t>may</w:t>
      </w:r>
      <w:r w:rsidRPr="005C26EF">
        <w:t xml:space="preserve"> be compared over time to determine the effect</w:t>
      </w:r>
      <w:r>
        <w:t>s</w:t>
      </w:r>
      <w:r w:rsidRPr="005C26EF">
        <w:t xml:space="preserve"> of </w:t>
      </w:r>
      <w:r>
        <w:t xml:space="preserve">changes in </w:t>
      </w:r>
      <w:r w:rsidRPr="005C26EF">
        <w:t xml:space="preserve">federal policy and programs. </w:t>
      </w:r>
    </w:p>
    <w:p w:rsidR="00C33221" w:rsidRDefault="00C33221" w:rsidP="004F1598">
      <w:pPr>
        <w:pStyle w:val="Heading2"/>
        <w:numPr>
          <w:ilvl w:val="1"/>
          <w:numId w:val="16"/>
        </w:numPr>
        <w:tabs>
          <w:tab w:val="clear" w:pos="979"/>
        </w:tabs>
        <w:spacing w:line="320" w:lineRule="atLeast"/>
        <w:ind w:left="1080" w:hanging="540"/>
        <w:rPr>
          <w:caps/>
        </w:rPr>
      </w:pPr>
      <w:bookmarkStart w:id="95" w:name="_Toc179362775"/>
      <w:bookmarkStart w:id="96" w:name="_Toc322356404"/>
      <w:r w:rsidRPr="005C26EF">
        <w:t>Special Circumstances of Data Collection</w:t>
      </w:r>
      <w:bookmarkEnd w:id="95"/>
      <w:bookmarkEnd w:id="96"/>
    </w:p>
    <w:p w:rsidR="00C33221" w:rsidRDefault="00C33221" w:rsidP="00427FFC">
      <w:pPr>
        <w:pStyle w:val="BodyText"/>
        <w:ind w:firstLine="0"/>
      </w:pPr>
      <w:r w:rsidRPr="005C26EF">
        <w:t xml:space="preserve">No special circumstances of data collection are anticipated. </w:t>
      </w:r>
    </w:p>
    <w:p w:rsidR="00C33221" w:rsidRDefault="00C33221" w:rsidP="004F1598">
      <w:pPr>
        <w:pStyle w:val="Heading2"/>
        <w:numPr>
          <w:ilvl w:val="1"/>
          <w:numId w:val="16"/>
        </w:numPr>
        <w:tabs>
          <w:tab w:val="clear" w:pos="979"/>
        </w:tabs>
        <w:spacing w:line="320" w:lineRule="atLeast"/>
        <w:ind w:left="1080" w:hanging="540"/>
      </w:pPr>
      <w:bookmarkStart w:id="97" w:name="_Toc322356405"/>
      <w:r w:rsidRPr="005C26EF">
        <w:t xml:space="preserve">Consultants </w:t>
      </w:r>
      <w:r>
        <w:t>O</w:t>
      </w:r>
      <w:r w:rsidRPr="005C26EF">
        <w:t>utside the Agency</w:t>
      </w:r>
      <w:bookmarkEnd w:id="97"/>
      <w:r w:rsidRPr="005C26EF">
        <w:t xml:space="preserve"> </w:t>
      </w:r>
      <w:r w:rsidR="00AC12DE" w:rsidRPr="005C26EF">
        <w:fldChar w:fldCharType="begin"/>
      </w:r>
      <w:r w:rsidRPr="005C26EF">
        <w:instrText xml:space="preserve"> "9.</w:instrText>
      </w:r>
      <w:r w:rsidRPr="005C26EF">
        <w:tab/>
        <w:instrText>Consultants Outside the Agency " \l 2</w:instrText>
      </w:r>
      <w:r w:rsidR="00AC12DE" w:rsidRPr="005C26EF">
        <w:fldChar w:fldCharType="end"/>
      </w:r>
    </w:p>
    <w:p w:rsidR="001B4DC0" w:rsidRDefault="0022691F" w:rsidP="00427FFC">
      <w:pPr>
        <w:pStyle w:val="BodyText"/>
        <w:ind w:firstLine="0"/>
      </w:pPr>
      <w:r w:rsidRPr="00062311">
        <w:t>The 60-day Federal Register notice was published on February 11, 2011 (7</w:t>
      </w:r>
      <w:r>
        <w:t>6</w:t>
      </w:r>
      <w:r w:rsidRPr="00062311">
        <w:t xml:space="preserve"> FR, No. </w:t>
      </w:r>
      <w:r>
        <w:t>29</w:t>
      </w:r>
      <w:r w:rsidRPr="00062311">
        <w:t>, p. 7827).  No public comments were received in response to this notice.</w:t>
      </w:r>
      <w:r w:rsidR="003D491B" w:rsidRPr="003D491B">
        <w:rPr>
          <w:rFonts w:ascii="Arial" w:hAnsi="Arial" w:cs="Arial"/>
          <w:sz w:val="22"/>
          <w:szCs w:val="22"/>
        </w:rPr>
        <w:t xml:space="preserve"> </w:t>
      </w:r>
      <w:r w:rsidR="003D491B">
        <w:t>The OMB approval of</w:t>
      </w:r>
      <w:r w:rsidR="003D491B" w:rsidRPr="003D491B">
        <w:t xml:space="preserve"> the field test portion</w:t>
      </w:r>
      <w:r w:rsidR="003D491B">
        <w:t xml:space="preserve"> indicated that </w:t>
      </w:r>
      <w:r w:rsidR="003D491B" w:rsidRPr="003D491B">
        <w:t>NCES does not have to conduct a 60 day comment period prior to submitting its plans for the full scale study,</w:t>
      </w:r>
      <w:r w:rsidR="003D491B">
        <w:t xml:space="preserve"> </w:t>
      </w:r>
      <w:r w:rsidR="003D491B" w:rsidRPr="003D491B">
        <w:t xml:space="preserve">since they are already specified </w:t>
      </w:r>
      <w:r w:rsidR="003D491B">
        <w:t>in the field test submission</w:t>
      </w:r>
      <w:r w:rsidR="003D491B" w:rsidRPr="003D491B">
        <w:t>, except for the decisi</w:t>
      </w:r>
      <w:r w:rsidR="003D491B">
        <w:t>o</w:t>
      </w:r>
      <w:r w:rsidR="003D491B" w:rsidRPr="003D491B">
        <w:t>ns resulting from the experiments embedded in</w:t>
      </w:r>
      <w:r w:rsidR="003D491B">
        <w:t xml:space="preserve"> the </w:t>
      </w:r>
      <w:r w:rsidR="003D491B" w:rsidRPr="003D491B">
        <w:t>field test.</w:t>
      </w:r>
    </w:p>
    <w:p w:rsidR="00194570" w:rsidRDefault="00C33221" w:rsidP="007E7625">
      <w:pPr>
        <w:pStyle w:val="BodyText"/>
      </w:pPr>
      <w:r w:rsidRPr="005C26EF">
        <w:t xml:space="preserve">Recognizing the significance of </w:t>
      </w:r>
      <w:r>
        <w:t xml:space="preserve">the B&amp;B:08/12 </w:t>
      </w:r>
      <w:r w:rsidRPr="005C26EF">
        <w:t xml:space="preserve">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ED, and the federal government. </w:t>
      </w:r>
    </w:p>
    <w:p w:rsidR="00C33221" w:rsidRDefault="00C33221" w:rsidP="007E7625">
      <w:pPr>
        <w:pStyle w:val="BodyText"/>
      </w:pPr>
      <w:r w:rsidRPr="005C26EF">
        <w:t xml:space="preserve">Previous B&amp;B implementations have benefited from a standing federal review panel </w:t>
      </w:r>
      <w:r>
        <w:t xml:space="preserve">comprising </w:t>
      </w:r>
      <w:r w:rsidRPr="005C26EF">
        <w:t xml:space="preserve">staff from </w:t>
      </w:r>
      <w:r>
        <w:t xml:space="preserve">many federal </w:t>
      </w:r>
      <w:r w:rsidRPr="005C26EF">
        <w:t>offices</w:t>
      </w:r>
      <w:r>
        <w:t xml:space="preserve">, </w:t>
      </w:r>
      <w:r w:rsidRPr="005C26EF">
        <w:t>in</w:t>
      </w:r>
      <w:r>
        <w:t xml:space="preserve">cluding </w:t>
      </w:r>
      <w:r w:rsidRPr="005C26EF">
        <w:t>ED</w:t>
      </w:r>
      <w:r>
        <w:t xml:space="preserve">’s Office of Postsecondary Education, OMB, </w:t>
      </w:r>
      <w:r w:rsidRPr="005C26EF">
        <w:t xml:space="preserve">and </w:t>
      </w:r>
      <w:r>
        <w:t xml:space="preserve">the Congressional Budget Office. </w:t>
      </w:r>
      <w:r w:rsidRPr="005C26EF">
        <w:t>Some members of this panel also belong to the TRP for NPSAS. The membership of the TRP (see appendix</w:t>
      </w:r>
      <w:r w:rsidR="007E7625">
        <w:t xml:space="preserve"> </w:t>
      </w:r>
      <w:r w:rsidRPr="005C26EF">
        <w:t>B) represents a broad spectrum of the postsecondary communit</w:t>
      </w:r>
      <w:r>
        <w:t>y</w:t>
      </w:r>
      <w:r w:rsidRPr="005C26EF">
        <w:t>. The nonfederal members serve as expert reviewers on the technical aspects of the study design, data collection procedures, and instrument design, especially item content and format. The TRP</w:t>
      </w:r>
      <w:r>
        <w:t xml:space="preserve"> reviewed </w:t>
      </w:r>
      <w:r w:rsidRPr="005C26EF">
        <w:t xml:space="preserve">the </w:t>
      </w:r>
      <w:r>
        <w:t xml:space="preserve">proposed study design and </w:t>
      </w:r>
      <w:r w:rsidRPr="005C26EF">
        <w:t xml:space="preserve">data </w:t>
      </w:r>
      <w:r>
        <w:t>domains</w:t>
      </w:r>
      <w:r w:rsidRPr="005C26EF">
        <w:t xml:space="preserve"> during </w:t>
      </w:r>
      <w:r>
        <w:t>its</w:t>
      </w:r>
      <w:r w:rsidRPr="005C26EF">
        <w:t xml:space="preserve"> meeting in </w:t>
      </w:r>
      <w:r w:rsidR="00150EA4">
        <w:t xml:space="preserve">November </w:t>
      </w:r>
      <w:r>
        <w:t>2011.</w:t>
      </w:r>
    </w:p>
    <w:p w:rsidR="00C33221" w:rsidRPr="001B4DC0" w:rsidRDefault="00C33221" w:rsidP="004F1598">
      <w:pPr>
        <w:pStyle w:val="Heading2"/>
        <w:numPr>
          <w:ilvl w:val="1"/>
          <w:numId w:val="16"/>
        </w:numPr>
        <w:tabs>
          <w:tab w:val="clear" w:pos="979"/>
        </w:tabs>
        <w:spacing w:line="320" w:lineRule="atLeast"/>
        <w:ind w:left="1080" w:hanging="540"/>
      </w:pPr>
      <w:bookmarkStart w:id="98" w:name="_Toc436108510"/>
      <w:bookmarkStart w:id="99" w:name="_Toc322356406"/>
      <w:r w:rsidRPr="001B4DC0">
        <w:t>Provision of Payments or Gifts to Respondents</w:t>
      </w:r>
      <w:bookmarkEnd w:id="98"/>
      <w:bookmarkEnd w:id="99"/>
      <w:r w:rsidRPr="001B4DC0">
        <w:t xml:space="preserve"> </w:t>
      </w:r>
    </w:p>
    <w:p w:rsidR="00A85E54" w:rsidRDefault="002F213C">
      <w:pPr>
        <w:pStyle w:val="BodyText"/>
        <w:ind w:firstLine="0"/>
      </w:pPr>
      <w:r w:rsidRPr="001B4DC0">
        <w:t>The use of incentives is proposed for three purposes</w:t>
      </w:r>
      <w:r w:rsidR="00B721F7">
        <w:t>:</w:t>
      </w:r>
    </w:p>
    <w:p w:rsidR="00A85E54" w:rsidRDefault="00F776AE">
      <w:pPr>
        <w:pStyle w:val="BodyText"/>
        <w:numPr>
          <w:ilvl w:val="0"/>
          <w:numId w:val="21"/>
        </w:numPr>
      </w:pPr>
      <w:r w:rsidRPr="00F776AE">
        <w:rPr>
          <w:i/>
        </w:rPr>
        <w:t>To encourage sample members to update their contact information prior to the start of data collection.</w:t>
      </w:r>
      <w:r w:rsidR="00487C65">
        <w:t xml:space="preserve"> </w:t>
      </w:r>
      <w:r w:rsidR="00487C65" w:rsidRPr="001B4DC0">
        <w:t>All cases will be offered an incentive of $</w:t>
      </w:r>
      <w:r w:rsidR="00487C65">
        <w:t xml:space="preserve">10 </w:t>
      </w:r>
      <w:r w:rsidR="00487C65" w:rsidRPr="001B4DC0">
        <w:t>to update their contact information via the study website prior to the start of data collection</w:t>
      </w:r>
      <w:r w:rsidR="00487C65">
        <w:t xml:space="preserve"> (approximately 3-4 weeks before the 2012 data collection begins)</w:t>
      </w:r>
      <w:r w:rsidR="00487C65" w:rsidRPr="001B4DC0">
        <w:t>. </w:t>
      </w:r>
    </w:p>
    <w:p w:rsidR="00A85E54" w:rsidRDefault="00F776AE">
      <w:pPr>
        <w:pStyle w:val="BodyText"/>
        <w:numPr>
          <w:ilvl w:val="0"/>
          <w:numId w:val="21"/>
        </w:numPr>
      </w:pPr>
      <w:r w:rsidRPr="00F776AE">
        <w:rPr>
          <w:i/>
        </w:rPr>
        <w:t>To encourage early response using the self-administered web survey.</w:t>
      </w:r>
      <w:r w:rsidR="00487C65" w:rsidRPr="00487C65">
        <w:t xml:space="preserve"> </w:t>
      </w:r>
      <w:r w:rsidR="00487C65" w:rsidRPr="001B4DC0">
        <w:t xml:space="preserve">Once data collection begins, </w:t>
      </w:r>
      <w:r w:rsidR="00487C65">
        <w:t>all cases</w:t>
      </w:r>
      <w:r w:rsidR="00487C65" w:rsidRPr="001B4DC0">
        <w:t xml:space="preserve"> will be offered </w:t>
      </w:r>
      <w:r w:rsidR="00487C65">
        <w:t>an initial incentive of $20, $35, or $55, based on their predicted response propensity</w:t>
      </w:r>
      <w:r w:rsidR="00487C65">
        <w:rPr>
          <w:rStyle w:val="FootnoteReference"/>
        </w:rPr>
        <w:footnoteReference w:id="4"/>
      </w:r>
      <w:r w:rsidR="00487C65">
        <w:t>.</w:t>
      </w:r>
      <w:r w:rsidR="003719EC">
        <w:t xml:space="preserve">  </w:t>
      </w:r>
    </w:p>
    <w:p w:rsidR="00A85E54" w:rsidRDefault="00F776AE">
      <w:pPr>
        <w:pStyle w:val="BodyText"/>
        <w:numPr>
          <w:ilvl w:val="0"/>
          <w:numId w:val="21"/>
        </w:numPr>
        <w:rPr>
          <w:i/>
        </w:rPr>
      </w:pPr>
      <w:r w:rsidRPr="00F776AE">
        <w:rPr>
          <w:i/>
        </w:rPr>
        <w:t>To minimize nonresponse bias through a responsive design approach that will be tested experimentally (see Part B, section 3.c)</w:t>
      </w:r>
      <w:r w:rsidR="00487C65">
        <w:rPr>
          <w:i/>
        </w:rPr>
        <w:t>.</w:t>
      </w:r>
      <w:r w:rsidR="00487C65">
        <w:t xml:space="preserve"> After about 3 months of data collection, the first step of the responsive design approach will be implemented.  As an experimental treatment, cases among the remaining nonrespondents that have been identified as the most likely to contribute to nonresponse bias will be offered an additional $15 incentive.</w:t>
      </w:r>
      <w:r w:rsidRPr="00F776AE">
        <w:rPr>
          <w:i/>
        </w:rPr>
        <w:t xml:space="preserve"> </w:t>
      </w:r>
    </w:p>
    <w:p w:rsidR="00A85E54" w:rsidRDefault="002F213C">
      <w:pPr>
        <w:pStyle w:val="BodyText"/>
        <w:ind w:firstLine="0"/>
      </w:pPr>
      <w:r>
        <w:t xml:space="preserve">The Tests of Procedures and Methods section, Supporting Statement Part B section 8 of this submission, discusses in detail specialized plans for reducing nonresponse bias through </w:t>
      </w:r>
      <w:r w:rsidR="001B4DC0">
        <w:t xml:space="preserve"> a responsive data collection design that</w:t>
      </w:r>
      <w:r>
        <w:t xml:space="preserve"> will identify and provide special treatment for </w:t>
      </w:r>
      <w:r w:rsidR="005A3290">
        <w:t>nonresponding cases</w:t>
      </w:r>
      <w:r w:rsidR="00204045">
        <w:t xml:space="preserve"> </w:t>
      </w:r>
      <w:r>
        <w:t xml:space="preserve">predicted to </w:t>
      </w:r>
      <w:r w:rsidR="005A3290">
        <w:t>contribute most to nonresponse bias</w:t>
      </w:r>
      <w:r>
        <w:t xml:space="preserve">. The use of incentives is an integral part of the overall data collection plan that includes multiple strategies to minimize </w:t>
      </w:r>
      <w:r w:rsidR="001727AA">
        <w:t xml:space="preserve">bias-inducing </w:t>
      </w:r>
      <w:r>
        <w:t>nonresponse (e.g. intensive tracing, the use of specially trained interviewers</w:t>
      </w:r>
      <w:r w:rsidR="00204045">
        <w:t xml:space="preserve"> </w:t>
      </w:r>
      <w:r>
        <w:t xml:space="preserve">and abbreviated interviews.) </w:t>
      </w:r>
    </w:p>
    <w:p w:rsidR="00241CE3" w:rsidRPr="005A3290" w:rsidRDefault="002F213C" w:rsidP="007E7625">
      <w:pPr>
        <w:pStyle w:val="BodyText"/>
      </w:pPr>
      <w:r w:rsidRPr="005A3290">
        <w:t xml:space="preserve">The Education Longitudinal Study of 2002 Third Follow-Up field test project conducted an incentive experiment during the panel contact information update phase.  Half of the field test student sample was randomly assigned to the treatment group (offered a $10 incentive) and the remaining half to the control group (offered no incentive). Sample members assigned to the treatment group were offered a $10 incentive for confirming or updating their contact information.  Overall, the $10 treatment group had a higher participation rate (25 percent) than the control group (20 percent, </w:t>
      </w:r>
      <w:r w:rsidRPr="005A3290">
        <w:rPr>
          <w:i/>
          <w:iCs/>
        </w:rPr>
        <w:t xml:space="preserve">t </w:t>
      </w:r>
      <w:r w:rsidRPr="005A3290">
        <w:t xml:space="preserve">= 1.90, </w:t>
      </w:r>
      <w:r w:rsidRPr="005A3290">
        <w:rPr>
          <w:i/>
          <w:iCs/>
        </w:rPr>
        <w:t xml:space="preserve">p &lt; </w:t>
      </w:r>
      <w:r w:rsidRPr="005A3290">
        <w:t xml:space="preserve">.05). Further evaluation of the overall data from the panel maintenance effort illustrates that the contact information provided by those who responded largely included new information not already in the study database. For 82 percent of the responding cases, at least one new address, phone number, or email address was provided for </w:t>
      </w:r>
      <w:r w:rsidR="00487C65" w:rsidRPr="005A3290">
        <w:t>the</w:t>
      </w:r>
      <w:r w:rsidRPr="005A3290">
        <w:t xml:space="preserve"> student, parent, or both. This indicated that participation was not limited to the easiest-to-locate cases whose information was already current in the database. Being able to make direct contact with the sample student during data collection saves time and costs, and is likely to increase interview participation. Given the results of this experiment, we recommend the implementation of this incentive procedure for B&amp;B.</w:t>
      </w:r>
    </w:p>
    <w:p w:rsidR="00241CE3" w:rsidRPr="005A3290" w:rsidRDefault="001A07C0" w:rsidP="007E7625">
      <w:pPr>
        <w:pStyle w:val="BodyText"/>
      </w:pPr>
      <w:r>
        <w:t>By</w:t>
      </w:r>
      <w:r w:rsidR="002F213C" w:rsidRPr="005A3290">
        <w:t xml:space="preserve"> maximiz</w:t>
      </w:r>
      <w:r>
        <w:t>ing</w:t>
      </w:r>
      <w:r w:rsidR="002F213C" w:rsidRPr="005A3290">
        <w:t xml:space="preserve"> our locat</w:t>
      </w:r>
      <w:r>
        <w:t xml:space="preserve">ing </w:t>
      </w:r>
      <w:r w:rsidR="002F213C" w:rsidRPr="005A3290">
        <w:t>rates and encourag</w:t>
      </w:r>
      <w:r>
        <w:t>ing</w:t>
      </w:r>
      <w:r w:rsidR="002F213C" w:rsidRPr="005A3290">
        <w:t xml:space="preserve"> nonresponding sample members to participate in the study</w:t>
      </w:r>
      <w:r>
        <w:t>, we expect to reduce nonresponse bias</w:t>
      </w:r>
      <w:r w:rsidR="002F213C" w:rsidRPr="005A3290">
        <w:t xml:space="preserve">. </w:t>
      </w:r>
      <w:r>
        <w:t>Additionally, t</w:t>
      </w:r>
      <w:r w:rsidR="002F213C" w:rsidRPr="005A3290">
        <w:t>he use of incentives provides significant advantages to the government in terms of timely data collection</w:t>
      </w:r>
      <w:r>
        <w:t xml:space="preserve"> and </w:t>
      </w:r>
      <w:r w:rsidR="002F213C" w:rsidRPr="005A3290">
        <w:t>decreased data collection costs</w:t>
      </w:r>
      <w:r>
        <w:t>: i</w:t>
      </w:r>
      <w:r w:rsidR="002F213C" w:rsidRPr="005A3290">
        <w:t>t is likely that the large majority of interviews for which the incentives are paid will be conducted on the Web before more costly, labor intensive CATI outbound calling efforts commence.</w:t>
      </w:r>
    </w:p>
    <w:p w:rsidR="00C33221" w:rsidRDefault="00C33221" w:rsidP="004F1598">
      <w:pPr>
        <w:pStyle w:val="Heading2"/>
        <w:numPr>
          <w:ilvl w:val="1"/>
          <w:numId w:val="16"/>
        </w:numPr>
        <w:tabs>
          <w:tab w:val="clear" w:pos="979"/>
        </w:tabs>
        <w:spacing w:line="320" w:lineRule="atLeast"/>
        <w:ind w:left="1080" w:hanging="540"/>
        <w:rPr>
          <w:caps/>
        </w:rPr>
      </w:pPr>
      <w:r>
        <w:t xml:space="preserve"> </w:t>
      </w:r>
      <w:bookmarkStart w:id="100" w:name="_Toc281389139"/>
      <w:bookmarkStart w:id="101" w:name="_Toc281391807"/>
      <w:bookmarkStart w:id="102" w:name="_Toc281392132"/>
      <w:bookmarkStart w:id="103" w:name="_Toc281400594"/>
      <w:bookmarkStart w:id="104" w:name="_Toc281402647"/>
      <w:bookmarkStart w:id="105" w:name="_Toc281405343"/>
      <w:bookmarkStart w:id="106" w:name="_Toc281516523"/>
      <w:bookmarkStart w:id="107" w:name="_Toc279660029"/>
      <w:bookmarkStart w:id="108" w:name="_Toc279661569"/>
      <w:bookmarkStart w:id="109" w:name="_Toc279662069"/>
      <w:bookmarkStart w:id="110" w:name="_Toc279662115"/>
      <w:bookmarkStart w:id="111" w:name="_Toc279662590"/>
      <w:bookmarkStart w:id="112" w:name="_Toc279662789"/>
      <w:bookmarkStart w:id="113" w:name="_Toc279663304"/>
      <w:bookmarkStart w:id="114" w:name="_Toc279664154"/>
      <w:bookmarkStart w:id="115" w:name="_Toc279664249"/>
      <w:bookmarkStart w:id="116" w:name="_Toc279664297"/>
      <w:bookmarkStart w:id="117" w:name="_Toc174172880"/>
      <w:bookmarkStart w:id="118" w:name="_Toc174182814"/>
      <w:bookmarkStart w:id="119" w:name="_Toc174182884"/>
      <w:bookmarkStart w:id="120" w:name="_Toc174182970"/>
      <w:bookmarkStart w:id="121" w:name="_Toc174183088"/>
      <w:bookmarkStart w:id="122" w:name="_Toc174183337"/>
      <w:bookmarkStart w:id="123" w:name="_Toc174183399"/>
      <w:bookmarkStart w:id="124" w:name="_Toc32235640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5C26EF">
        <w:t>Assurance of Confidentiality</w:t>
      </w:r>
      <w:bookmarkEnd w:id="124"/>
    </w:p>
    <w:p w:rsidR="00C33221" w:rsidRPr="00710075" w:rsidRDefault="00C33221" w:rsidP="00427FFC">
      <w:pPr>
        <w:pStyle w:val="BodyText"/>
        <w:ind w:firstLine="0"/>
      </w:pPr>
      <w:r w:rsidRPr="000404EE">
        <w:t xml:space="preserve">NCES assures participating individuals and institutions that </w:t>
      </w:r>
      <w:r>
        <w:t xml:space="preserve">all </w:t>
      </w:r>
      <w:r w:rsidRPr="000404EE">
        <w:t xml:space="preserve">identifiable </w:t>
      </w:r>
      <w:r>
        <w:t>information</w:t>
      </w:r>
      <w:r w:rsidRPr="000404EE">
        <w:t xml:space="preserve"> collected under B&amp;B and related programs </w:t>
      </w:r>
      <w:r>
        <w:t xml:space="preserve">may be used only for statistical purposes and may not be disclosed, or used, in identifiable form for any other purpose except as required by law [Education Sciences Reform Act of 2002 (ESRA 2002), 20 U.S.C. </w:t>
      </w:r>
      <w:r w:rsidRPr="00710075">
        <w:t>§</w:t>
      </w:r>
      <w:r>
        <w:t xml:space="preserve"> 9573].</w:t>
      </w:r>
    </w:p>
    <w:p w:rsidR="00C33221" w:rsidRDefault="00C33221" w:rsidP="007E7625">
      <w:pPr>
        <w:pStyle w:val="BodyText"/>
      </w:pPr>
      <w:r>
        <w:t>B&amp;B</w:t>
      </w:r>
      <w:r w:rsidRPr="009C0354">
        <w:t>:</w:t>
      </w:r>
      <w:r>
        <w:t>08/</w:t>
      </w:r>
      <w:r w:rsidRPr="009C0354">
        <w:t>12</w:t>
      </w:r>
      <w:r w:rsidRPr="000404EE">
        <w:t xml:space="preserve"> </w:t>
      </w:r>
      <w:r>
        <w:t>d</w:t>
      </w:r>
      <w:r w:rsidRPr="000404EE">
        <w:t>ata security and confidentiality protection procedures are in place to ensure that RTI and its subcontractors compl</w:t>
      </w:r>
      <w:r>
        <w:t>y</w:t>
      </w:r>
      <w:r w:rsidRPr="000404EE">
        <w:t xml:space="preserve"> with all privacy requirements, including</w:t>
      </w:r>
      <w:r>
        <w:t xml:space="preserve"> the following</w:t>
      </w:r>
      <w:r w:rsidRPr="000404EE">
        <w:t xml:space="preserve">: </w:t>
      </w:r>
    </w:p>
    <w:p w:rsidR="00C33221" w:rsidRDefault="00C33221" w:rsidP="004F1598">
      <w:pPr>
        <w:pStyle w:val="bulletround"/>
        <w:numPr>
          <w:ilvl w:val="0"/>
          <w:numId w:val="13"/>
        </w:numPr>
        <w:tabs>
          <w:tab w:val="clear" w:pos="720"/>
        </w:tabs>
        <w:spacing w:line="320" w:lineRule="atLeast"/>
        <w:ind w:left="1080"/>
      </w:pPr>
      <w:r w:rsidRPr="000404EE">
        <w:t>Statement of Work of this contract;</w:t>
      </w:r>
    </w:p>
    <w:p w:rsidR="00C33221" w:rsidRDefault="00C33221" w:rsidP="004F1598">
      <w:pPr>
        <w:pStyle w:val="bulletround"/>
        <w:numPr>
          <w:ilvl w:val="0"/>
          <w:numId w:val="13"/>
        </w:numPr>
        <w:tabs>
          <w:tab w:val="clear" w:pos="720"/>
        </w:tabs>
        <w:spacing w:line="320" w:lineRule="atLeast"/>
        <w:ind w:left="1080"/>
      </w:pPr>
      <w:r w:rsidRPr="000404EE">
        <w:t>Privacy Act of 1974 U.S.C. § 552(a) (2009);</w:t>
      </w:r>
    </w:p>
    <w:p w:rsidR="00C33221" w:rsidRDefault="00C33221" w:rsidP="004F1598">
      <w:pPr>
        <w:pStyle w:val="bulletround"/>
        <w:numPr>
          <w:ilvl w:val="0"/>
          <w:numId w:val="13"/>
        </w:numPr>
        <w:tabs>
          <w:tab w:val="clear" w:pos="720"/>
        </w:tabs>
        <w:spacing w:line="320" w:lineRule="atLeast"/>
        <w:ind w:left="1080"/>
      </w:pPr>
      <w:r w:rsidRPr="000404EE">
        <w:t xml:space="preserve">U.S. Department of Education Incident Handling Procedures (February 2009); </w:t>
      </w:r>
    </w:p>
    <w:p w:rsidR="00C33221" w:rsidRDefault="00C33221" w:rsidP="004F1598">
      <w:pPr>
        <w:pStyle w:val="bulletround"/>
        <w:numPr>
          <w:ilvl w:val="0"/>
          <w:numId w:val="13"/>
        </w:numPr>
        <w:tabs>
          <w:tab w:val="clear" w:pos="720"/>
        </w:tabs>
        <w:spacing w:line="320" w:lineRule="atLeast"/>
        <w:ind w:left="1080"/>
      </w:pPr>
      <w:r w:rsidRPr="000404EE">
        <w:t xml:space="preserve">U.S. Department of Education General Handbook for Information Technology Security General Support Systems and Major Applications Inventory Procedures (March 2005); </w:t>
      </w:r>
    </w:p>
    <w:p w:rsidR="00C33221" w:rsidRDefault="00C33221" w:rsidP="004F1598">
      <w:pPr>
        <w:pStyle w:val="bulletround"/>
        <w:numPr>
          <w:ilvl w:val="0"/>
          <w:numId w:val="13"/>
        </w:numPr>
        <w:tabs>
          <w:tab w:val="clear" w:pos="720"/>
        </w:tabs>
        <w:spacing w:line="320" w:lineRule="atLeast"/>
        <w:ind w:left="1080"/>
      </w:pPr>
      <w:r w:rsidRPr="000404EE">
        <w:t>U.S. Department of Education, ACS Directive OM:5-101, Contractor Employee Personnel Security Screenings</w:t>
      </w:r>
      <w:r>
        <w:t>;</w:t>
      </w:r>
    </w:p>
    <w:p w:rsidR="00C33221" w:rsidRDefault="00C33221" w:rsidP="004F1598">
      <w:pPr>
        <w:pStyle w:val="bulletround"/>
        <w:numPr>
          <w:ilvl w:val="0"/>
          <w:numId w:val="13"/>
        </w:numPr>
        <w:tabs>
          <w:tab w:val="clear" w:pos="720"/>
        </w:tabs>
        <w:spacing w:line="320" w:lineRule="atLeast"/>
        <w:ind w:left="1080"/>
      </w:pPr>
      <w:r w:rsidRPr="000404EE">
        <w:t>Family Educational and Privacy Act of 1974, 20 U.S.C. §</w:t>
      </w:r>
      <w:r w:rsidRPr="000404EE">
        <w:rPr>
          <w:color w:val="FF0000"/>
        </w:rPr>
        <w:t xml:space="preserve"> </w:t>
      </w:r>
      <w:r w:rsidRPr="000404EE">
        <w:t>1232g (2009);</w:t>
      </w:r>
    </w:p>
    <w:p w:rsidR="00C33221" w:rsidRDefault="00C33221" w:rsidP="004F1598">
      <w:pPr>
        <w:pStyle w:val="bulletround"/>
        <w:numPr>
          <w:ilvl w:val="0"/>
          <w:numId w:val="13"/>
        </w:numPr>
        <w:tabs>
          <w:tab w:val="clear" w:pos="720"/>
        </w:tabs>
        <w:spacing w:line="320" w:lineRule="atLeast"/>
        <w:ind w:left="1080"/>
      </w:pPr>
      <w:r>
        <w:t>E</w:t>
      </w:r>
      <w:r w:rsidRPr="002953DD">
        <w:t>SRA, 20 U.S.C. §</w:t>
      </w:r>
      <w:r>
        <w:t xml:space="preserve"> </w:t>
      </w:r>
      <w:r w:rsidRPr="00407EB2">
        <w:t>9573</w:t>
      </w:r>
      <w:r w:rsidRPr="002953DD">
        <w:t xml:space="preserve"> (2009)</w:t>
      </w:r>
      <w:r w:rsidRPr="000404EE">
        <w:t>;</w:t>
      </w:r>
      <w:r>
        <w:t xml:space="preserve"> and</w:t>
      </w:r>
    </w:p>
    <w:p w:rsidR="00C33221" w:rsidRDefault="00C33221" w:rsidP="004F1598">
      <w:pPr>
        <w:pStyle w:val="bulletround"/>
        <w:numPr>
          <w:ilvl w:val="0"/>
          <w:numId w:val="13"/>
        </w:numPr>
        <w:tabs>
          <w:tab w:val="clear" w:pos="720"/>
        </w:tabs>
        <w:spacing w:line="320" w:lineRule="atLeast"/>
        <w:ind w:left="1080"/>
      </w:pPr>
      <w:r>
        <w:t>All</w:t>
      </w:r>
      <w:r w:rsidRPr="000404EE">
        <w:t xml:space="preserve"> new legislation, which impacts the data collection through this contract. </w:t>
      </w:r>
    </w:p>
    <w:p w:rsidR="00C33221" w:rsidRDefault="00C33221" w:rsidP="00427FFC">
      <w:pPr>
        <w:pStyle w:val="BodyText"/>
        <w:ind w:firstLine="0"/>
      </w:pPr>
      <w:r w:rsidRPr="000404EE">
        <w:t xml:space="preserve">To ensure that confidentiality is </w:t>
      </w:r>
      <w:r>
        <w:t>appropriately</w:t>
      </w:r>
      <w:r w:rsidRPr="000404EE">
        <w:t xml:space="preserve"> maintained at all times, RTI requires that vendors who assist in locating and tracing sample members follow procedures to appropriately safeguard personally identifying information. RTI</w:t>
      </w:r>
      <w:r>
        <w:t>’</w:t>
      </w:r>
      <w:r w:rsidRPr="000404EE">
        <w:t>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 Appendix</w:t>
      </w:r>
      <w:r>
        <w:t> </w:t>
      </w:r>
      <w:r w:rsidRPr="000404EE">
        <w:t>F documents the data security language contained in vendor contracts.</w:t>
      </w:r>
    </w:p>
    <w:p w:rsidR="00C33221" w:rsidRPr="000404EE" w:rsidRDefault="00C33221" w:rsidP="007E7625">
      <w:pPr>
        <w:pStyle w:val="BodyText"/>
      </w:pPr>
      <w:r w:rsidRPr="000404EE">
        <w:t xml:space="preserve">RTI will also comply with </w:t>
      </w:r>
      <w:r>
        <w:t>ED’</w:t>
      </w:r>
      <w:r w:rsidRPr="000404EE">
        <w:t>s IT security policy requirements</w:t>
      </w:r>
      <w:r>
        <w:t>,</w:t>
      </w:r>
      <w:r w:rsidRPr="000404EE">
        <w:t xml:space="preserve"> as set forth in the Handbook for Information Assurance Security Policy and related procedures and guidance as well as IT security requirements in the Federal Information Security Management Act, OMB Circulars, and the National Institute of Standards and Technology standards and guidance.</w:t>
      </w:r>
    </w:p>
    <w:p w:rsidR="00C33221" w:rsidRPr="000404EE" w:rsidRDefault="00C33221" w:rsidP="007E7625">
      <w:pPr>
        <w:pStyle w:val="BodyText"/>
      </w:pPr>
      <w:r w:rsidRPr="000404EE">
        <w:t xml:space="preserve">RTI will adhere to NCES Statistical Standards, as described at </w:t>
      </w:r>
      <w:hyperlink r:id="rId19" w:history="1">
        <w:r w:rsidRPr="000404EE">
          <w:rPr>
            <w:rStyle w:val="Hyperlink"/>
          </w:rPr>
          <w:t>http://nces.ed.gov/statprog/2002/std4_2.asp</w:t>
        </w:r>
      </w:hyperlink>
      <w:r w:rsidRPr="000404EE">
        <w:t>.</w:t>
      </w:r>
    </w:p>
    <w:p w:rsidR="00C33221" w:rsidRPr="009C0354" w:rsidRDefault="00C33221" w:rsidP="007E7625">
      <w:pPr>
        <w:pStyle w:val="BodyText"/>
      </w:pPr>
      <w:r w:rsidRPr="009C0354">
        <w:t>B&amp;B:</w:t>
      </w:r>
      <w:r>
        <w:t>08/</w:t>
      </w:r>
      <w:r w:rsidRPr="009C0354">
        <w:t xml:space="preserve">12 data security </w:t>
      </w:r>
      <w:r>
        <w:t xml:space="preserve">procedures require that </w:t>
      </w:r>
      <w:r w:rsidRPr="009C0354">
        <w:t xml:space="preserve">notarized nondisclosure affidavits </w:t>
      </w:r>
      <w:r>
        <w:t xml:space="preserve">be </w:t>
      </w:r>
      <w:r w:rsidRPr="009C0354">
        <w:t>obtained from all personnel who will have access to individual identifiers (copies of the agreement and affidavit are provided in appendix</w:t>
      </w:r>
      <w:r w:rsidR="007E7625">
        <w:t xml:space="preserve"> </w:t>
      </w:r>
      <w:r w:rsidRPr="009C0354">
        <w:t xml:space="preserve">F). Also implemented are personnel training regarding the meaning of confidentiality; controlled and protected access to computer files; built-in safeguards concerning status monitoring and receipt control systems; and a secure, staffed, in-house computing facility. </w:t>
      </w:r>
      <w:r>
        <w:t xml:space="preserve">The </w:t>
      </w:r>
      <w:r w:rsidRPr="009C0354">
        <w:t xml:space="preserve">procedures </w:t>
      </w:r>
      <w:r>
        <w:t xml:space="preserve">for </w:t>
      </w:r>
      <w:r w:rsidRPr="009C0354">
        <w:t>securing sensitive project data</w:t>
      </w:r>
      <w:r>
        <w:t xml:space="preserve"> will include </w:t>
      </w:r>
      <w:r w:rsidRPr="009C0354">
        <w:t xml:space="preserve">the following: physical/environment protections, building access controls, system access controls, system login restrictions, user identification and authorization procedures, encryption, and project file storage/archiving/destruction. </w:t>
      </w:r>
    </w:p>
    <w:p w:rsidR="00C33221" w:rsidRDefault="00C33221" w:rsidP="007E7625">
      <w:pPr>
        <w:pStyle w:val="BodyText"/>
      </w:pPr>
      <w:r w:rsidRPr="000404EE">
        <w:t>There are several security measures in place to protect data during file matching procedures. NCES has a secure data transfer system, which uses Secure Socket</w:t>
      </w:r>
      <w:r>
        <w:t>s</w:t>
      </w:r>
      <w:r w:rsidRPr="000404EE">
        <w:t xml:space="preserve"> Layer technology, allowing the transfer of encrypted data over the Internet. The NCES secure server will be used for all administrative data sources</w:t>
      </w:r>
      <w:r>
        <w:t>,</w:t>
      </w:r>
      <w:r w:rsidRPr="000404EE">
        <w:t xml:space="preserve"> with the exception of the National Student Clearinghouse (NSC)</w:t>
      </w:r>
      <w:r>
        <w:t>,</w:t>
      </w:r>
      <w:r w:rsidRPr="000404EE">
        <w:t xml:space="preserve"> which has its own secure F</w:t>
      </w:r>
      <w:r>
        <w:t xml:space="preserve">ile </w:t>
      </w:r>
      <w:r w:rsidRPr="000404EE">
        <w:t>T</w:t>
      </w:r>
      <w:r>
        <w:t xml:space="preserve">ransfer </w:t>
      </w:r>
      <w:r w:rsidRPr="000404EE">
        <w:t>P</w:t>
      </w:r>
      <w:r>
        <w:t>rotocol</w:t>
      </w:r>
      <w:r w:rsidRPr="000404EE">
        <w:t xml:space="preserve"> site. All data transfers will be encrypted using F</w:t>
      </w:r>
      <w:r>
        <w:t xml:space="preserve">ederal </w:t>
      </w:r>
      <w:r w:rsidRPr="000404EE">
        <w:t>I</w:t>
      </w:r>
      <w:r>
        <w:t xml:space="preserve">nformation </w:t>
      </w:r>
      <w:r w:rsidRPr="000404EE">
        <w:t>P</w:t>
      </w:r>
      <w:r>
        <w:t xml:space="preserve">rocessing </w:t>
      </w:r>
      <w:r w:rsidRPr="000404EE">
        <w:t>S</w:t>
      </w:r>
      <w:r>
        <w:t>tandards</w:t>
      </w:r>
      <w:r w:rsidRPr="000404EE">
        <w:t xml:space="preserve"> 14</w:t>
      </w:r>
      <w:r>
        <w:t>0-2 validated encryption tools.</w:t>
      </w:r>
    </w:p>
    <w:p w:rsidR="00C33221" w:rsidRDefault="00C33221" w:rsidP="007E7625">
      <w:pPr>
        <w:pStyle w:val="BodyText"/>
      </w:pPr>
      <w:r w:rsidRPr="000404EE">
        <w:t xml:space="preserve">Furthermore, </w:t>
      </w:r>
      <w:r>
        <w:t>ED</w:t>
      </w:r>
      <w:r w:rsidRPr="000404EE">
        <w:t xml:space="preserve"> has established a policy regarding the personnel security screening requirements for all contractor employees and their subcontractors</w:t>
      </w:r>
      <w:r>
        <w:t xml:space="preserve"> to secure the confidentiality of B&amp;B respondents</w:t>
      </w:r>
      <w:r w:rsidRPr="000404EE">
        <w:t xml:space="preserve">. The contractor must comply with these personnel security screening requirements throughout the life of the contract. The </w:t>
      </w:r>
      <w:r>
        <w:t>ED</w:t>
      </w:r>
      <w:r w:rsidRPr="000404EE">
        <w:t xml:space="preserve"> directive that contractors must comply with is OM: 5-101, which was last updated on </w:t>
      </w:r>
      <w:r>
        <w:t>January 29, 20</w:t>
      </w:r>
      <w:r w:rsidRPr="000404EE">
        <w:t>08. There are several requirements that the contractor must meet for each employee working on the contract for 30</w:t>
      </w:r>
      <w:r>
        <w:t> </w:t>
      </w:r>
      <w:r w:rsidRPr="000404EE">
        <w:t>days or more. Among these requirements are that each person working on the contract must be assigned a position risk level. The risk levels are high, moderate, and low</w:t>
      </w:r>
      <w:r>
        <w:t>,</w:t>
      </w:r>
      <w:r w:rsidRPr="000404EE">
        <w:t xml:space="preserve"> based on the level of harm that a person in the position can cause to </w:t>
      </w:r>
      <w:r>
        <w:t>ED’</w:t>
      </w:r>
      <w:r w:rsidRPr="000404EE">
        <w:t xml:space="preserve">s interests. Each person working on the contract must complete the requirements for a </w:t>
      </w:r>
      <w:r>
        <w:t>“</w:t>
      </w:r>
      <w:r w:rsidRPr="000404EE">
        <w:t>Contractor Security Screening.</w:t>
      </w:r>
      <w:r>
        <w:t>”</w:t>
      </w:r>
      <w:r w:rsidRPr="000404EE">
        <w:t xml:space="preserve"> Depending on the risk level assigned to each person</w:t>
      </w:r>
      <w:r>
        <w:t>’</w:t>
      </w:r>
      <w:r w:rsidRPr="000404EE">
        <w:t xml:space="preserve">s position, a follow-up background investigation by </w:t>
      </w:r>
      <w:r>
        <w:t>ED</w:t>
      </w:r>
      <w:r w:rsidRPr="000404EE">
        <w:t xml:space="preserve"> will occur. </w:t>
      </w:r>
    </w:p>
    <w:p w:rsidR="00C33221" w:rsidRDefault="00C33221" w:rsidP="007E7625">
      <w:pPr>
        <w:pStyle w:val="BodyText"/>
        <w:rPr>
          <w:highlight w:val="lightGray"/>
        </w:rPr>
      </w:pPr>
      <w:r w:rsidRPr="000404EE">
        <w:t>Study notification materials sent to institutions will describe the voluntary nature of the B&amp;B:08/12 interview and convey the extent to which study member identifiers and responses will be kept confidential. Similarly, the scripts to be read by telephone staff will be very specific in the assurances made to sample members and contacts. Contacting materials are presented in appendix</w:t>
      </w:r>
      <w:r>
        <w:t> </w:t>
      </w:r>
      <w:r w:rsidRPr="000404EE">
        <w:t>D. The following confidentiality language is provided in the study brochure that is supplied to all sample members:</w:t>
      </w:r>
    </w:p>
    <w:p w:rsidR="00C33221" w:rsidRPr="00A73490" w:rsidRDefault="00C33221" w:rsidP="004573DC">
      <w:pPr>
        <w:pStyle w:val="BlockText"/>
        <w:ind w:right="1440"/>
        <w:jc w:val="both"/>
        <w:rPr>
          <w:sz w:val="20"/>
        </w:rPr>
      </w:pPr>
      <w:r w:rsidRPr="007474C4">
        <w:rPr>
          <w:sz w:val="20"/>
        </w:rPr>
        <w:t xml:space="preserve">The 2012 Baccalaureate and Beyond Longitudinal Study </w:t>
      </w:r>
      <w:r>
        <w:rPr>
          <w:sz w:val="20"/>
        </w:rPr>
        <w:t>(B&amp;B</w:t>
      </w:r>
      <w:r w:rsidRPr="009C0354">
        <w:t>:</w:t>
      </w:r>
      <w:r>
        <w:t>08/</w:t>
      </w:r>
      <w:r w:rsidRPr="009C0354">
        <w:t>12</w:t>
      </w:r>
      <w:r>
        <w:rPr>
          <w:sz w:val="20"/>
        </w:rPr>
        <w:t xml:space="preserve">) </w:t>
      </w:r>
      <w:r w:rsidRPr="007474C4">
        <w:rPr>
          <w:sz w:val="20"/>
        </w:rPr>
        <w:t>is conducted under the authority of the Education Sciences Reform Act (ESRA) of 2002 (20 U.S.C. § 9512) which authorize NCES to collect and disseminate information about education in the United States. Collection is most often done through surveys.</w:t>
      </w:r>
    </w:p>
    <w:p w:rsidR="00C33221" w:rsidRPr="00A73490" w:rsidRDefault="00C33221" w:rsidP="00A73490">
      <w:pPr>
        <w:pStyle w:val="BlockText"/>
        <w:ind w:right="1440"/>
        <w:jc w:val="both"/>
        <w:rPr>
          <w:sz w:val="20"/>
        </w:rPr>
      </w:pPr>
      <w:r w:rsidRPr="007474C4">
        <w:rPr>
          <w:sz w:val="20"/>
        </w:rPr>
        <w:t xml:space="preserve">NCES is required to follow strict procedures to protect the confidentiality of persons in the collection, reporting, and publication of data. All individually identifiable information supplied by individuals or institutions to </w:t>
      </w:r>
      <w:r w:rsidR="003F1B59">
        <w:rPr>
          <w:sz w:val="20"/>
        </w:rPr>
        <w:t>NCES</w:t>
      </w:r>
      <w:r w:rsidRPr="007474C4">
        <w:rPr>
          <w:sz w:val="20"/>
        </w:rPr>
        <w:t xml:space="preserve"> may be used only for statistical purposes and may not be disclosed or used in identifiable form for any other purpose, </w:t>
      </w:r>
      <w:r w:rsidRPr="00CC7B8A">
        <w:rPr>
          <w:sz w:val="20"/>
        </w:rPr>
        <w:t xml:space="preserve">except as required </w:t>
      </w:r>
      <w:r w:rsidRPr="007474C4">
        <w:rPr>
          <w:sz w:val="20"/>
        </w:rPr>
        <w:t>by law (20 U.S.C. § 9573).</w:t>
      </w:r>
    </w:p>
    <w:p w:rsidR="00C33221" w:rsidRDefault="00C33221" w:rsidP="004F1598">
      <w:pPr>
        <w:pStyle w:val="Heading2"/>
        <w:numPr>
          <w:ilvl w:val="1"/>
          <w:numId w:val="16"/>
        </w:numPr>
        <w:tabs>
          <w:tab w:val="clear" w:pos="979"/>
        </w:tabs>
        <w:spacing w:line="320" w:lineRule="atLeast"/>
        <w:ind w:left="1080" w:hanging="540"/>
      </w:pPr>
      <w:bookmarkStart w:id="125" w:name="_Toc322356408"/>
      <w:r w:rsidRPr="005C26EF">
        <w:t>Sensitive Questions</w:t>
      </w:r>
      <w:bookmarkEnd w:id="125"/>
    </w:p>
    <w:p w:rsidR="00C33221" w:rsidRDefault="00C33221" w:rsidP="00427FFC">
      <w:pPr>
        <w:pStyle w:val="BodyText"/>
        <w:ind w:firstLine="0"/>
      </w:pPr>
      <w:r>
        <w:t>The B&amp;B:08/12 interview contains items about earnings, assets and debts, and marital and family status. 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that responses may be used only for statistical purposes, except as required by law (</w:t>
      </w:r>
      <w:r w:rsidRPr="007474C4">
        <w:rPr>
          <w:sz w:val="20"/>
        </w:rPr>
        <w:t>20 U.S.C. § 9573</w:t>
      </w:r>
      <w:r>
        <w:t xml:space="preserve">). Several procedures have been implemented to provide these assurances to respondents.  They </w:t>
      </w:r>
      <w:r w:rsidRPr="000F5BB9">
        <w:t>are outlined in the confidentiality agreements shown in appendix C.</w:t>
      </w:r>
    </w:p>
    <w:p w:rsidR="00C33221" w:rsidRDefault="00C33221" w:rsidP="007E7625">
      <w:pPr>
        <w:pStyle w:val="BodyText"/>
      </w:pPr>
      <w:r>
        <w:t>The collection of data related to income, earnings, assets, indebtedness, and long-range employment outcomes is central to understanding key policy issues driving this study. Financial assets and obligations can play an important role in the pursuit of education beyond the bachelor’s degree. In addition, information about income, earnings, and assets provides vital labor force variables and important indicators of the rate of return of educational experiences to the respondent.</w:t>
      </w:r>
    </w:p>
    <w:p w:rsidR="00C33221" w:rsidRDefault="00C33221" w:rsidP="007E7625">
      <w:pPr>
        <w:pStyle w:val="BodyText"/>
      </w:pPr>
      <w:r>
        <w:t xml:space="preserve">The collection of information about marital and family status also facilitates the exploration of key policy issues. Social and economic support provided by spouses can play an important role in promoting additional postsecondary education and the development of successful careers. Financial and family-related obligations also influence decisions about employment and education beyond the bachelor’s degree, so it is important to collect information about marital status and dependents. </w:t>
      </w:r>
    </w:p>
    <w:p w:rsidR="00C33221" w:rsidRDefault="00C33221" w:rsidP="004F1598">
      <w:pPr>
        <w:pStyle w:val="Heading2"/>
        <w:numPr>
          <w:ilvl w:val="1"/>
          <w:numId w:val="16"/>
        </w:numPr>
        <w:tabs>
          <w:tab w:val="clear" w:pos="979"/>
        </w:tabs>
        <w:spacing w:line="320" w:lineRule="atLeast"/>
        <w:ind w:left="1080" w:hanging="540"/>
      </w:pPr>
      <w:bookmarkStart w:id="126" w:name="_Toc283667351"/>
      <w:bookmarkStart w:id="127" w:name="_Toc322356409"/>
      <w:bookmarkEnd w:id="126"/>
      <w:r w:rsidRPr="005C26EF">
        <w:t>Estimates of Response Burden</w:t>
      </w:r>
      <w:bookmarkEnd w:id="127"/>
      <w:r w:rsidRPr="005C26EF">
        <w:t xml:space="preserve"> </w:t>
      </w:r>
    </w:p>
    <w:p w:rsidR="00C33221" w:rsidRDefault="00C33221" w:rsidP="00427FFC">
      <w:pPr>
        <w:pStyle w:val="BodyText"/>
        <w:ind w:firstLine="0"/>
      </w:pPr>
      <w:r>
        <w:t xml:space="preserve">B&amp;B:08/12 will involve </w:t>
      </w:r>
      <w:r w:rsidRPr="005C26EF">
        <w:t xml:space="preserve">the collection </w:t>
      </w:r>
      <w:r>
        <w:t xml:space="preserve">of respondent interview data by </w:t>
      </w:r>
      <w:r w:rsidRPr="005C26EF">
        <w:t>self-administered</w:t>
      </w:r>
      <w:r>
        <w:t xml:space="preserve"> web</w:t>
      </w:r>
      <w:r w:rsidRPr="005C26EF">
        <w:t>, telephone</w:t>
      </w:r>
      <w:r>
        <w:t>,</w:t>
      </w:r>
      <w:r w:rsidRPr="005C26EF">
        <w:t xml:space="preserve"> </w:t>
      </w:r>
      <w:r>
        <w:t xml:space="preserve">or </w:t>
      </w:r>
      <w:r w:rsidRPr="000F5BB9">
        <w:t xml:space="preserve">field interview. </w:t>
      </w:r>
    </w:p>
    <w:p w:rsidR="00460280" w:rsidRDefault="00C33221" w:rsidP="007E7625">
      <w:pPr>
        <w:pStyle w:val="BodyText"/>
      </w:pPr>
      <w:r w:rsidRPr="005C26EF">
        <w:t>The burden estimates</w:t>
      </w:r>
      <w:r w:rsidRPr="004951DD">
        <w:t>—</w:t>
      </w:r>
      <w:r>
        <w:t>including number of sample members, expected response rates, and estimated time per respondent</w:t>
      </w:r>
      <w:r w:rsidRPr="00534AFE">
        <w:t>—</w:t>
      </w:r>
      <w:r>
        <w:t xml:space="preserve">are shown in table 3. Table </w:t>
      </w:r>
      <w:r w:rsidR="00460280">
        <w:t>3 also</w:t>
      </w:r>
      <w:r>
        <w:t xml:space="preserve"> provides cost estimates to respondents </w:t>
      </w:r>
      <w:r w:rsidRPr="005C26EF">
        <w:t xml:space="preserve">for </w:t>
      </w:r>
      <w:r>
        <w:t xml:space="preserve">participation in </w:t>
      </w:r>
      <w:r w:rsidRPr="005C26EF">
        <w:t>data collection activity</w:t>
      </w:r>
      <w:r>
        <w:t xml:space="preserve">. </w:t>
      </w:r>
    </w:p>
    <w:p w:rsidR="002225C7" w:rsidRPr="00542B11" w:rsidRDefault="002225C7" w:rsidP="002225C7">
      <w:pPr>
        <w:pStyle w:val="TableTitle"/>
        <w:rPr>
          <w:sz w:val="18"/>
          <w:szCs w:val="18"/>
        </w:rPr>
      </w:pPr>
      <w:bookmarkStart w:id="128" w:name="_Toc320870701"/>
      <w:bookmarkStart w:id="129" w:name="_Toc322356418"/>
      <w:r>
        <w:t>Table 3.</w:t>
      </w:r>
      <w:r>
        <w:tab/>
      </w:r>
      <w:r w:rsidRPr="00425593">
        <w:t>Estimated burden and costs to B&amp;B:08/12 future respondents</w:t>
      </w:r>
      <w:bookmarkEnd w:id="128"/>
      <w:bookmarkEnd w:id="129"/>
    </w:p>
    <w:tbl>
      <w:tblPr>
        <w:tblStyle w:val="TableGrid"/>
        <w:tblW w:w="4980" w:type="pct"/>
        <w:tblLook w:val="04A0"/>
      </w:tblPr>
      <w:tblGrid>
        <w:gridCol w:w="2448"/>
        <w:gridCol w:w="828"/>
        <w:gridCol w:w="834"/>
        <w:gridCol w:w="967"/>
        <w:gridCol w:w="967"/>
        <w:gridCol w:w="736"/>
        <w:gridCol w:w="974"/>
        <w:gridCol w:w="809"/>
        <w:gridCol w:w="815"/>
        <w:gridCol w:w="1020"/>
      </w:tblGrid>
      <w:tr w:rsidR="002225C7" w:rsidRPr="002225C7" w:rsidTr="002225C7">
        <w:trPr>
          <w:cnfStyle w:val="100000000000"/>
        </w:trPr>
        <w:tc>
          <w:tcPr>
            <w:cnfStyle w:val="001000000100"/>
            <w:tcW w:w="2448" w:type="dxa"/>
          </w:tcPr>
          <w:p w:rsidR="002225C7" w:rsidRPr="002225C7" w:rsidRDefault="002225C7" w:rsidP="002225C7">
            <w:pPr>
              <w:pStyle w:val="Tabletext"/>
              <w:rPr>
                <w:sz w:val="17"/>
                <w:szCs w:val="17"/>
              </w:rPr>
            </w:pPr>
            <w:bookmarkStart w:id="130" w:name="RANGE!A1"/>
            <w:bookmarkStart w:id="131" w:name="RANGE!A3"/>
            <w:bookmarkStart w:id="132" w:name="RANGE!A18"/>
            <w:bookmarkStart w:id="133" w:name="RANGE!A12"/>
            <w:bookmarkEnd w:id="130"/>
            <w:bookmarkEnd w:id="131"/>
            <w:bookmarkEnd w:id="132"/>
            <w:bookmarkEnd w:id="133"/>
            <w:r w:rsidRPr="002225C7">
              <w:rPr>
                <w:sz w:val="17"/>
                <w:szCs w:val="17"/>
              </w:rPr>
              <w:t>Data collection</w:t>
            </w:r>
          </w:p>
        </w:tc>
        <w:tc>
          <w:tcPr>
            <w:tcW w:w="828" w:type="dxa"/>
            <w:hideMark/>
          </w:tcPr>
          <w:p w:rsidR="002225C7" w:rsidRPr="002225C7" w:rsidRDefault="002225C7" w:rsidP="002225C7">
            <w:pPr>
              <w:pStyle w:val="Tablenumbers"/>
              <w:cnfStyle w:val="100000000000"/>
              <w:rPr>
                <w:sz w:val="17"/>
                <w:szCs w:val="17"/>
              </w:rPr>
            </w:pPr>
            <w:r w:rsidRPr="002225C7">
              <w:rPr>
                <w:sz w:val="17"/>
                <w:szCs w:val="17"/>
              </w:rPr>
              <w:t>Date</w:t>
            </w:r>
          </w:p>
        </w:tc>
        <w:tc>
          <w:tcPr>
            <w:tcW w:w="834" w:type="dxa"/>
            <w:hideMark/>
          </w:tcPr>
          <w:p w:rsidR="002225C7" w:rsidRPr="002225C7" w:rsidRDefault="002225C7" w:rsidP="002225C7">
            <w:pPr>
              <w:pStyle w:val="Tablenumbers"/>
              <w:cnfStyle w:val="100000000000"/>
              <w:rPr>
                <w:sz w:val="17"/>
                <w:szCs w:val="17"/>
              </w:rPr>
            </w:pPr>
            <w:r w:rsidRPr="002225C7">
              <w:rPr>
                <w:sz w:val="17"/>
                <w:szCs w:val="17"/>
              </w:rPr>
              <w:t>Sample size</w:t>
            </w:r>
          </w:p>
        </w:tc>
        <w:tc>
          <w:tcPr>
            <w:tcW w:w="967" w:type="dxa"/>
            <w:hideMark/>
          </w:tcPr>
          <w:p w:rsidR="002225C7" w:rsidRPr="002225C7" w:rsidRDefault="002225C7" w:rsidP="002225C7">
            <w:pPr>
              <w:pStyle w:val="Tablenumbers"/>
              <w:cnfStyle w:val="100000000000"/>
              <w:rPr>
                <w:sz w:val="17"/>
                <w:szCs w:val="17"/>
              </w:rPr>
            </w:pPr>
            <w:r w:rsidRPr="002225C7">
              <w:rPr>
                <w:sz w:val="17"/>
                <w:szCs w:val="17"/>
              </w:rPr>
              <w:t>Expected eligible</w:t>
            </w:r>
          </w:p>
        </w:tc>
        <w:tc>
          <w:tcPr>
            <w:tcW w:w="967" w:type="dxa"/>
            <w:hideMark/>
          </w:tcPr>
          <w:p w:rsidR="002225C7" w:rsidRPr="002225C7" w:rsidRDefault="002225C7" w:rsidP="002225C7">
            <w:pPr>
              <w:pStyle w:val="Tablenumbers"/>
              <w:cnfStyle w:val="100000000000"/>
              <w:rPr>
                <w:sz w:val="17"/>
                <w:szCs w:val="17"/>
              </w:rPr>
            </w:pPr>
            <w:r w:rsidRPr="002225C7">
              <w:rPr>
                <w:sz w:val="17"/>
                <w:szCs w:val="17"/>
              </w:rPr>
              <w:t>Expected response rate</w:t>
            </w:r>
          </w:p>
        </w:tc>
        <w:tc>
          <w:tcPr>
            <w:tcW w:w="736" w:type="dxa"/>
            <w:hideMark/>
          </w:tcPr>
          <w:p w:rsidR="002225C7" w:rsidRPr="002225C7" w:rsidRDefault="002225C7" w:rsidP="002225C7">
            <w:pPr>
              <w:pStyle w:val="Tablenumbers"/>
              <w:cnfStyle w:val="100000000000"/>
              <w:rPr>
                <w:sz w:val="17"/>
                <w:szCs w:val="17"/>
              </w:rPr>
            </w:pPr>
            <w:r w:rsidRPr="002225C7">
              <w:rPr>
                <w:sz w:val="17"/>
                <w:szCs w:val="17"/>
              </w:rPr>
              <w:t>Yield</w:t>
            </w:r>
          </w:p>
        </w:tc>
        <w:tc>
          <w:tcPr>
            <w:tcW w:w="974" w:type="dxa"/>
            <w:hideMark/>
          </w:tcPr>
          <w:p w:rsidR="002225C7" w:rsidRPr="002225C7" w:rsidRDefault="002225C7" w:rsidP="002225C7">
            <w:pPr>
              <w:pStyle w:val="Tablenumbers"/>
              <w:cnfStyle w:val="100000000000"/>
              <w:rPr>
                <w:sz w:val="17"/>
                <w:szCs w:val="17"/>
              </w:rPr>
            </w:pPr>
            <w:r w:rsidRPr="002225C7">
              <w:rPr>
                <w:sz w:val="17"/>
                <w:szCs w:val="17"/>
              </w:rPr>
              <w:t xml:space="preserve">Average burden </w:t>
            </w:r>
            <w:r w:rsidRPr="002225C7">
              <w:rPr>
                <w:sz w:val="17"/>
                <w:szCs w:val="17"/>
              </w:rPr>
              <w:br/>
              <w:t>(minutes)</w:t>
            </w:r>
          </w:p>
        </w:tc>
        <w:tc>
          <w:tcPr>
            <w:tcW w:w="809" w:type="dxa"/>
            <w:hideMark/>
          </w:tcPr>
          <w:p w:rsidR="002225C7" w:rsidRPr="002225C7" w:rsidRDefault="002225C7" w:rsidP="002225C7">
            <w:pPr>
              <w:pStyle w:val="Tablenumbers"/>
              <w:cnfStyle w:val="100000000000"/>
              <w:rPr>
                <w:sz w:val="17"/>
                <w:szCs w:val="17"/>
              </w:rPr>
            </w:pPr>
            <w:r w:rsidRPr="002225C7">
              <w:rPr>
                <w:sz w:val="17"/>
                <w:szCs w:val="17"/>
              </w:rPr>
              <w:t>Total burden (hours)</w:t>
            </w:r>
          </w:p>
        </w:tc>
        <w:tc>
          <w:tcPr>
            <w:tcW w:w="815" w:type="dxa"/>
            <w:hideMark/>
          </w:tcPr>
          <w:p w:rsidR="002225C7" w:rsidRPr="002225C7" w:rsidRDefault="002225C7" w:rsidP="002225C7">
            <w:pPr>
              <w:pStyle w:val="Tablenumbers"/>
              <w:cnfStyle w:val="100000000000"/>
              <w:rPr>
                <w:sz w:val="17"/>
                <w:szCs w:val="17"/>
              </w:rPr>
            </w:pPr>
            <w:r w:rsidRPr="002225C7">
              <w:rPr>
                <w:sz w:val="17"/>
                <w:szCs w:val="17"/>
              </w:rPr>
              <w:t>Rate per hour ($)</w:t>
            </w:r>
          </w:p>
        </w:tc>
        <w:tc>
          <w:tcPr>
            <w:tcW w:w="1020" w:type="dxa"/>
            <w:hideMark/>
          </w:tcPr>
          <w:p w:rsidR="002225C7" w:rsidRPr="002225C7" w:rsidRDefault="002225C7" w:rsidP="002225C7">
            <w:pPr>
              <w:pStyle w:val="Tablenumbers"/>
              <w:cnfStyle w:val="100000000000"/>
              <w:rPr>
                <w:sz w:val="17"/>
                <w:szCs w:val="17"/>
              </w:rPr>
            </w:pPr>
            <w:r w:rsidRPr="002225C7">
              <w:rPr>
                <w:sz w:val="17"/>
                <w:szCs w:val="17"/>
              </w:rPr>
              <w:t>Total cost ($)</w:t>
            </w:r>
          </w:p>
        </w:tc>
      </w:tr>
      <w:tr w:rsidR="002225C7" w:rsidRPr="002225C7" w:rsidTr="00B4651D">
        <w:trPr>
          <w:trHeight w:val="413"/>
        </w:trPr>
        <w:tc>
          <w:tcPr>
            <w:cnfStyle w:val="001000000000"/>
            <w:tcW w:w="2448" w:type="dxa"/>
            <w:hideMark/>
          </w:tcPr>
          <w:p w:rsidR="002225C7" w:rsidRPr="002225C7" w:rsidRDefault="002225C7" w:rsidP="002225C7">
            <w:pPr>
              <w:pStyle w:val="Tabletext"/>
              <w:rPr>
                <w:sz w:val="17"/>
                <w:szCs w:val="17"/>
              </w:rPr>
            </w:pPr>
            <w:r w:rsidRPr="002225C7">
              <w:rPr>
                <w:sz w:val="17"/>
                <w:szCs w:val="17"/>
              </w:rPr>
              <w:t>B&amp;B:12 Full-scale</w:t>
            </w:r>
          </w:p>
        </w:tc>
        <w:tc>
          <w:tcPr>
            <w:tcW w:w="828" w:type="dxa"/>
            <w:hideMark/>
          </w:tcPr>
          <w:p w:rsidR="002225C7" w:rsidRPr="002225C7" w:rsidRDefault="002225C7" w:rsidP="002225C7">
            <w:pPr>
              <w:pStyle w:val="Tablenumbers"/>
              <w:cnfStyle w:val="000000000000"/>
              <w:rPr>
                <w:sz w:val="17"/>
                <w:szCs w:val="17"/>
              </w:rPr>
            </w:pPr>
          </w:p>
        </w:tc>
        <w:tc>
          <w:tcPr>
            <w:tcW w:w="834" w:type="dxa"/>
            <w:hideMark/>
          </w:tcPr>
          <w:p w:rsidR="002225C7" w:rsidRPr="002225C7" w:rsidRDefault="002225C7" w:rsidP="002225C7">
            <w:pPr>
              <w:pStyle w:val="Tablenumbers"/>
              <w:cnfStyle w:val="000000000000"/>
              <w:rPr>
                <w:sz w:val="17"/>
                <w:szCs w:val="17"/>
              </w:rPr>
            </w:pPr>
          </w:p>
        </w:tc>
        <w:tc>
          <w:tcPr>
            <w:tcW w:w="967" w:type="dxa"/>
            <w:hideMark/>
          </w:tcPr>
          <w:p w:rsidR="002225C7" w:rsidRPr="002225C7" w:rsidRDefault="002225C7" w:rsidP="002225C7">
            <w:pPr>
              <w:pStyle w:val="Tablenumbers"/>
              <w:cnfStyle w:val="000000000000"/>
              <w:rPr>
                <w:sz w:val="17"/>
                <w:szCs w:val="17"/>
              </w:rPr>
            </w:pPr>
          </w:p>
        </w:tc>
        <w:tc>
          <w:tcPr>
            <w:tcW w:w="967" w:type="dxa"/>
            <w:hideMark/>
          </w:tcPr>
          <w:p w:rsidR="002225C7" w:rsidRPr="002225C7" w:rsidRDefault="002225C7" w:rsidP="002225C7">
            <w:pPr>
              <w:pStyle w:val="Tablenumbers"/>
              <w:cnfStyle w:val="000000000000"/>
              <w:rPr>
                <w:sz w:val="17"/>
                <w:szCs w:val="17"/>
              </w:rPr>
            </w:pPr>
          </w:p>
        </w:tc>
        <w:tc>
          <w:tcPr>
            <w:tcW w:w="736" w:type="dxa"/>
            <w:hideMark/>
          </w:tcPr>
          <w:p w:rsidR="002225C7" w:rsidRPr="002225C7" w:rsidRDefault="002225C7" w:rsidP="002225C7">
            <w:pPr>
              <w:pStyle w:val="Tablenumbers"/>
              <w:cnfStyle w:val="000000000000"/>
              <w:rPr>
                <w:sz w:val="17"/>
                <w:szCs w:val="17"/>
              </w:rPr>
            </w:pPr>
          </w:p>
        </w:tc>
        <w:tc>
          <w:tcPr>
            <w:tcW w:w="974" w:type="dxa"/>
            <w:hideMark/>
          </w:tcPr>
          <w:p w:rsidR="002225C7" w:rsidRPr="002225C7" w:rsidRDefault="002225C7" w:rsidP="002225C7">
            <w:pPr>
              <w:pStyle w:val="Tablenumbers"/>
              <w:cnfStyle w:val="000000000000"/>
              <w:rPr>
                <w:sz w:val="17"/>
                <w:szCs w:val="17"/>
              </w:rPr>
            </w:pPr>
          </w:p>
        </w:tc>
        <w:tc>
          <w:tcPr>
            <w:tcW w:w="809" w:type="dxa"/>
            <w:tcBorders>
              <w:bottom w:val="nil"/>
            </w:tcBorders>
            <w:hideMark/>
          </w:tcPr>
          <w:p w:rsidR="002225C7" w:rsidRPr="002225C7" w:rsidRDefault="002225C7" w:rsidP="002225C7">
            <w:pPr>
              <w:pStyle w:val="Tablenumbers"/>
              <w:cnfStyle w:val="000000000000"/>
              <w:rPr>
                <w:sz w:val="17"/>
                <w:szCs w:val="17"/>
              </w:rPr>
            </w:pPr>
          </w:p>
        </w:tc>
        <w:tc>
          <w:tcPr>
            <w:tcW w:w="815" w:type="dxa"/>
            <w:tcBorders>
              <w:bottom w:val="nil"/>
            </w:tcBorders>
            <w:hideMark/>
          </w:tcPr>
          <w:p w:rsidR="002225C7" w:rsidRPr="002225C7" w:rsidRDefault="002225C7" w:rsidP="002225C7">
            <w:pPr>
              <w:pStyle w:val="Tablenumbers"/>
              <w:cnfStyle w:val="000000000000"/>
              <w:rPr>
                <w:sz w:val="17"/>
                <w:szCs w:val="17"/>
              </w:rPr>
            </w:pPr>
          </w:p>
        </w:tc>
        <w:tc>
          <w:tcPr>
            <w:tcW w:w="1020" w:type="dxa"/>
            <w:tcBorders>
              <w:bottom w:val="nil"/>
            </w:tcBorders>
            <w:noWrap/>
            <w:hideMark/>
          </w:tcPr>
          <w:p w:rsidR="002225C7" w:rsidRPr="002225C7" w:rsidRDefault="002225C7" w:rsidP="002225C7">
            <w:pPr>
              <w:pStyle w:val="Tablenumbers"/>
              <w:cnfStyle w:val="000000000000"/>
              <w:rPr>
                <w:sz w:val="17"/>
                <w:szCs w:val="17"/>
              </w:rPr>
            </w:pPr>
          </w:p>
        </w:tc>
      </w:tr>
      <w:tr w:rsidR="00B4651D" w:rsidRPr="002225C7" w:rsidTr="00B4651D">
        <w:trPr>
          <w:trHeight w:val="288"/>
        </w:trPr>
        <w:tc>
          <w:tcPr>
            <w:cnfStyle w:val="001000000000"/>
            <w:tcW w:w="2448" w:type="dxa"/>
            <w:hideMark/>
          </w:tcPr>
          <w:p w:rsidR="00B4651D" w:rsidRPr="002225C7" w:rsidRDefault="00B4651D" w:rsidP="002225C7">
            <w:pPr>
              <w:pStyle w:val="2enspsubgroup1"/>
              <w:rPr>
                <w:sz w:val="17"/>
                <w:szCs w:val="17"/>
              </w:rPr>
            </w:pPr>
            <w:r>
              <w:rPr>
                <w:sz w:val="17"/>
                <w:szCs w:val="17"/>
              </w:rPr>
              <w:t>Panel maintenance</w:t>
            </w:r>
          </w:p>
        </w:tc>
        <w:tc>
          <w:tcPr>
            <w:tcW w:w="828" w:type="dxa"/>
            <w:hideMark/>
          </w:tcPr>
          <w:p w:rsidR="00B4651D" w:rsidRPr="002225C7" w:rsidRDefault="00D55CF8" w:rsidP="002225C7">
            <w:pPr>
              <w:pStyle w:val="Tablenumbers"/>
              <w:cnfStyle w:val="000000000000"/>
              <w:rPr>
                <w:sz w:val="17"/>
                <w:szCs w:val="17"/>
              </w:rPr>
            </w:pPr>
            <w:r>
              <w:rPr>
                <w:sz w:val="17"/>
                <w:szCs w:val="17"/>
              </w:rPr>
              <w:t>12-Jun</w:t>
            </w:r>
          </w:p>
        </w:tc>
        <w:tc>
          <w:tcPr>
            <w:tcW w:w="834" w:type="dxa"/>
            <w:hideMark/>
          </w:tcPr>
          <w:p w:rsidR="00B4651D" w:rsidRPr="002225C7" w:rsidRDefault="00B4651D" w:rsidP="002225C7">
            <w:pPr>
              <w:pStyle w:val="Tablenumbers"/>
              <w:cnfStyle w:val="000000000000"/>
              <w:rPr>
                <w:sz w:val="17"/>
                <w:szCs w:val="17"/>
              </w:rPr>
            </w:pPr>
            <w:r>
              <w:rPr>
                <w:sz w:val="17"/>
                <w:szCs w:val="17"/>
              </w:rPr>
              <w:t>17,614</w:t>
            </w:r>
          </w:p>
        </w:tc>
        <w:tc>
          <w:tcPr>
            <w:tcW w:w="967" w:type="dxa"/>
            <w:hideMark/>
          </w:tcPr>
          <w:p w:rsidR="00B4651D" w:rsidRPr="002225C7" w:rsidRDefault="00B4651D" w:rsidP="002225C7">
            <w:pPr>
              <w:pStyle w:val="Tablenumbers"/>
              <w:cnfStyle w:val="000000000000"/>
              <w:rPr>
                <w:sz w:val="17"/>
                <w:szCs w:val="17"/>
              </w:rPr>
            </w:pPr>
            <w:r>
              <w:rPr>
                <w:sz w:val="17"/>
                <w:szCs w:val="17"/>
              </w:rPr>
              <w:t>17,614</w:t>
            </w:r>
          </w:p>
        </w:tc>
        <w:tc>
          <w:tcPr>
            <w:tcW w:w="967" w:type="dxa"/>
            <w:hideMark/>
          </w:tcPr>
          <w:p w:rsidR="00B4651D" w:rsidRPr="002225C7" w:rsidRDefault="00B4651D" w:rsidP="002225C7">
            <w:pPr>
              <w:pStyle w:val="Tablenumbers"/>
              <w:cnfStyle w:val="000000000000"/>
              <w:rPr>
                <w:sz w:val="17"/>
                <w:szCs w:val="17"/>
              </w:rPr>
            </w:pPr>
            <w:r>
              <w:rPr>
                <w:sz w:val="17"/>
                <w:szCs w:val="17"/>
              </w:rPr>
              <w:t>15</w:t>
            </w:r>
          </w:p>
        </w:tc>
        <w:tc>
          <w:tcPr>
            <w:tcW w:w="736" w:type="dxa"/>
            <w:hideMark/>
          </w:tcPr>
          <w:p w:rsidR="00B4651D" w:rsidRDefault="00B4651D" w:rsidP="002225C7">
            <w:pPr>
              <w:pStyle w:val="Tablenumbers"/>
              <w:cnfStyle w:val="000000000000"/>
              <w:rPr>
                <w:sz w:val="17"/>
                <w:szCs w:val="17"/>
              </w:rPr>
            </w:pPr>
            <w:r>
              <w:rPr>
                <w:sz w:val="17"/>
                <w:szCs w:val="17"/>
              </w:rPr>
              <w:t>2,642</w:t>
            </w:r>
          </w:p>
        </w:tc>
        <w:tc>
          <w:tcPr>
            <w:tcW w:w="974" w:type="dxa"/>
            <w:hideMark/>
          </w:tcPr>
          <w:p w:rsidR="00B4651D" w:rsidRPr="002225C7" w:rsidRDefault="00B4651D" w:rsidP="002225C7">
            <w:pPr>
              <w:pStyle w:val="Tablenumbers"/>
              <w:cnfStyle w:val="000000000000"/>
              <w:rPr>
                <w:sz w:val="17"/>
                <w:szCs w:val="17"/>
              </w:rPr>
            </w:pPr>
            <w:r>
              <w:rPr>
                <w:sz w:val="17"/>
                <w:szCs w:val="17"/>
              </w:rPr>
              <w:t>5</w:t>
            </w:r>
          </w:p>
        </w:tc>
        <w:tc>
          <w:tcPr>
            <w:tcW w:w="809" w:type="dxa"/>
            <w:tcBorders>
              <w:top w:val="nil"/>
              <w:bottom w:val="nil"/>
            </w:tcBorders>
            <w:hideMark/>
          </w:tcPr>
          <w:p w:rsidR="00B4651D" w:rsidRPr="002225C7" w:rsidRDefault="00B4651D" w:rsidP="00E11E09">
            <w:pPr>
              <w:pStyle w:val="Tablenumbers"/>
              <w:cnfStyle w:val="000000000000"/>
              <w:rPr>
                <w:sz w:val="17"/>
                <w:szCs w:val="17"/>
              </w:rPr>
            </w:pPr>
            <w:r>
              <w:rPr>
                <w:sz w:val="17"/>
                <w:szCs w:val="17"/>
              </w:rPr>
              <w:t>220</w:t>
            </w:r>
          </w:p>
        </w:tc>
        <w:tc>
          <w:tcPr>
            <w:tcW w:w="815" w:type="dxa"/>
            <w:tcBorders>
              <w:top w:val="nil"/>
              <w:bottom w:val="nil"/>
            </w:tcBorders>
            <w:hideMark/>
          </w:tcPr>
          <w:p w:rsidR="00B4651D" w:rsidRPr="002225C7" w:rsidRDefault="00B4651D" w:rsidP="002225C7">
            <w:pPr>
              <w:pStyle w:val="Tablenumbers"/>
              <w:cnfStyle w:val="000000000000"/>
              <w:rPr>
                <w:sz w:val="17"/>
                <w:szCs w:val="17"/>
              </w:rPr>
            </w:pPr>
            <w:r>
              <w:rPr>
                <w:sz w:val="17"/>
                <w:szCs w:val="17"/>
              </w:rPr>
              <w:t>$10</w:t>
            </w:r>
          </w:p>
        </w:tc>
        <w:tc>
          <w:tcPr>
            <w:tcW w:w="1020" w:type="dxa"/>
            <w:tcBorders>
              <w:top w:val="nil"/>
              <w:bottom w:val="nil"/>
            </w:tcBorders>
            <w:noWrap/>
            <w:hideMark/>
          </w:tcPr>
          <w:p w:rsidR="00B4651D" w:rsidRDefault="00B4651D" w:rsidP="002225C7">
            <w:pPr>
              <w:pStyle w:val="Tablenumbers"/>
              <w:cnfStyle w:val="000000000000"/>
              <w:rPr>
                <w:sz w:val="17"/>
                <w:szCs w:val="17"/>
              </w:rPr>
            </w:pPr>
            <w:r>
              <w:rPr>
                <w:sz w:val="17"/>
                <w:szCs w:val="17"/>
              </w:rPr>
              <w:t>$2,202</w:t>
            </w:r>
          </w:p>
        </w:tc>
      </w:tr>
      <w:tr w:rsidR="002225C7" w:rsidRPr="002225C7" w:rsidTr="00B4651D">
        <w:trPr>
          <w:trHeight w:val="270"/>
        </w:trPr>
        <w:tc>
          <w:tcPr>
            <w:cnfStyle w:val="001000000000"/>
            <w:tcW w:w="2448" w:type="dxa"/>
            <w:hideMark/>
          </w:tcPr>
          <w:p w:rsidR="002225C7" w:rsidRPr="002225C7" w:rsidRDefault="00104313" w:rsidP="002225C7">
            <w:pPr>
              <w:pStyle w:val="2enspsubgroup1"/>
              <w:rPr>
                <w:sz w:val="17"/>
                <w:szCs w:val="17"/>
              </w:rPr>
            </w:pPr>
            <w:r>
              <w:rPr>
                <w:sz w:val="17"/>
                <w:szCs w:val="17"/>
              </w:rPr>
              <w:t>I</w:t>
            </w:r>
            <w:r w:rsidR="002225C7" w:rsidRPr="002225C7">
              <w:rPr>
                <w:sz w:val="17"/>
                <w:szCs w:val="17"/>
              </w:rPr>
              <w:t>nterview</w:t>
            </w:r>
          </w:p>
        </w:tc>
        <w:tc>
          <w:tcPr>
            <w:tcW w:w="828" w:type="dxa"/>
            <w:hideMark/>
          </w:tcPr>
          <w:p w:rsidR="002225C7" w:rsidRPr="002225C7" w:rsidRDefault="002225C7" w:rsidP="002225C7">
            <w:pPr>
              <w:pStyle w:val="Tablenumbers"/>
              <w:cnfStyle w:val="000000000000"/>
              <w:rPr>
                <w:sz w:val="17"/>
                <w:szCs w:val="17"/>
              </w:rPr>
            </w:pPr>
            <w:r w:rsidRPr="002225C7">
              <w:rPr>
                <w:sz w:val="17"/>
                <w:szCs w:val="17"/>
              </w:rPr>
              <w:t>12-Jul</w:t>
            </w:r>
          </w:p>
        </w:tc>
        <w:tc>
          <w:tcPr>
            <w:tcW w:w="834" w:type="dxa"/>
            <w:hideMark/>
          </w:tcPr>
          <w:p w:rsidR="002225C7" w:rsidRPr="002225C7" w:rsidRDefault="002225C7" w:rsidP="002225C7">
            <w:pPr>
              <w:pStyle w:val="Tablenumbers"/>
              <w:cnfStyle w:val="000000000000"/>
              <w:rPr>
                <w:sz w:val="17"/>
                <w:szCs w:val="17"/>
              </w:rPr>
            </w:pPr>
            <w:r w:rsidRPr="002225C7">
              <w:rPr>
                <w:sz w:val="17"/>
                <w:szCs w:val="17"/>
              </w:rPr>
              <w:t>17,614</w:t>
            </w:r>
          </w:p>
        </w:tc>
        <w:tc>
          <w:tcPr>
            <w:tcW w:w="967" w:type="dxa"/>
            <w:hideMark/>
          </w:tcPr>
          <w:p w:rsidR="002225C7" w:rsidRPr="002225C7" w:rsidRDefault="002225C7" w:rsidP="002225C7">
            <w:pPr>
              <w:pStyle w:val="Tablenumbers"/>
              <w:cnfStyle w:val="000000000000"/>
              <w:rPr>
                <w:sz w:val="17"/>
                <w:szCs w:val="17"/>
              </w:rPr>
            </w:pPr>
            <w:r w:rsidRPr="002225C7">
              <w:rPr>
                <w:sz w:val="17"/>
                <w:szCs w:val="17"/>
              </w:rPr>
              <w:t>17,058</w:t>
            </w:r>
          </w:p>
        </w:tc>
        <w:tc>
          <w:tcPr>
            <w:tcW w:w="967" w:type="dxa"/>
            <w:hideMark/>
          </w:tcPr>
          <w:p w:rsidR="002225C7" w:rsidRPr="002225C7" w:rsidRDefault="002225C7" w:rsidP="002225C7">
            <w:pPr>
              <w:pStyle w:val="Tablenumbers"/>
              <w:cnfStyle w:val="000000000000"/>
              <w:rPr>
                <w:sz w:val="17"/>
                <w:szCs w:val="17"/>
              </w:rPr>
            </w:pPr>
            <w:r w:rsidRPr="002225C7">
              <w:rPr>
                <w:sz w:val="17"/>
                <w:szCs w:val="17"/>
              </w:rPr>
              <w:t>82</w:t>
            </w:r>
          </w:p>
        </w:tc>
        <w:tc>
          <w:tcPr>
            <w:tcW w:w="736" w:type="dxa"/>
            <w:hideMark/>
          </w:tcPr>
          <w:p w:rsidR="002225C7" w:rsidRPr="002225C7" w:rsidRDefault="00E11E09" w:rsidP="002225C7">
            <w:pPr>
              <w:pStyle w:val="Tablenumbers"/>
              <w:cnfStyle w:val="000000000000"/>
              <w:rPr>
                <w:sz w:val="17"/>
                <w:szCs w:val="17"/>
              </w:rPr>
            </w:pPr>
            <w:r>
              <w:rPr>
                <w:sz w:val="17"/>
                <w:szCs w:val="17"/>
              </w:rPr>
              <w:t>13,822</w:t>
            </w:r>
          </w:p>
        </w:tc>
        <w:tc>
          <w:tcPr>
            <w:tcW w:w="974" w:type="dxa"/>
            <w:hideMark/>
          </w:tcPr>
          <w:p w:rsidR="002225C7" w:rsidRPr="002225C7" w:rsidRDefault="002225C7" w:rsidP="002225C7">
            <w:pPr>
              <w:pStyle w:val="Tablenumbers"/>
              <w:cnfStyle w:val="000000000000"/>
              <w:rPr>
                <w:sz w:val="17"/>
                <w:szCs w:val="17"/>
              </w:rPr>
            </w:pPr>
            <w:r w:rsidRPr="002225C7">
              <w:rPr>
                <w:sz w:val="17"/>
                <w:szCs w:val="17"/>
              </w:rPr>
              <w:t>35</w:t>
            </w:r>
          </w:p>
        </w:tc>
        <w:tc>
          <w:tcPr>
            <w:tcW w:w="809" w:type="dxa"/>
            <w:tcBorders>
              <w:top w:val="nil"/>
              <w:bottom w:val="single" w:sz="12" w:space="0" w:color="auto"/>
            </w:tcBorders>
            <w:hideMark/>
          </w:tcPr>
          <w:p w:rsidR="002225C7" w:rsidRPr="002225C7" w:rsidRDefault="002225C7" w:rsidP="00E11E09">
            <w:pPr>
              <w:pStyle w:val="Tablenumbers"/>
              <w:cnfStyle w:val="000000000000"/>
              <w:rPr>
                <w:sz w:val="17"/>
                <w:szCs w:val="17"/>
              </w:rPr>
            </w:pPr>
            <w:r w:rsidRPr="002225C7">
              <w:rPr>
                <w:sz w:val="17"/>
                <w:szCs w:val="17"/>
              </w:rPr>
              <w:t>8,</w:t>
            </w:r>
            <w:r w:rsidR="00E11E09">
              <w:rPr>
                <w:sz w:val="17"/>
                <w:szCs w:val="17"/>
              </w:rPr>
              <w:t>063</w:t>
            </w:r>
          </w:p>
        </w:tc>
        <w:tc>
          <w:tcPr>
            <w:tcW w:w="815" w:type="dxa"/>
            <w:tcBorders>
              <w:top w:val="nil"/>
              <w:bottom w:val="single" w:sz="12" w:space="0" w:color="auto"/>
            </w:tcBorders>
            <w:hideMark/>
          </w:tcPr>
          <w:p w:rsidR="002225C7" w:rsidRPr="002225C7" w:rsidRDefault="002225C7" w:rsidP="002225C7">
            <w:pPr>
              <w:pStyle w:val="Tablenumbers"/>
              <w:cnfStyle w:val="000000000000"/>
              <w:rPr>
                <w:sz w:val="17"/>
                <w:szCs w:val="17"/>
              </w:rPr>
            </w:pPr>
            <w:r w:rsidRPr="002225C7">
              <w:rPr>
                <w:sz w:val="17"/>
                <w:szCs w:val="17"/>
              </w:rPr>
              <w:t xml:space="preserve">$10 </w:t>
            </w:r>
          </w:p>
        </w:tc>
        <w:tc>
          <w:tcPr>
            <w:tcW w:w="1020" w:type="dxa"/>
            <w:tcBorders>
              <w:top w:val="nil"/>
              <w:bottom w:val="single" w:sz="12" w:space="0" w:color="auto"/>
            </w:tcBorders>
            <w:noWrap/>
            <w:hideMark/>
          </w:tcPr>
          <w:p w:rsidR="002225C7" w:rsidRPr="002225C7" w:rsidRDefault="00E11E09" w:rsidP="002225C7">
            <w:pPr>
              <w:pStyle w:val="Tablenumbers"/>
              <w:cnfStyle w:val="000000000000"/>
              <w:rPr>
                <w:sz w:val="17"/>
                <w:szCs w:val="17"/>
              </w:rPr>
            </w:pPr>
            <w:r>
              <w:rPr>
                <w:sz w:val="17"/>
                <w:szCs w:val="17"/>
              </w:rPr>
              <w:t>$80,628</w:t>
            </w:r>
            <w:r w:rsidR="002225C7" w:rsidRPr="002225C7">
              <w:rPr>
                <w:sz w:val="17"/>
                <w:szCs w:val="17"/>
              </w:rPr>
              <w:t xml:space="preserve"> </w:t>
            </w:r>
          </w:p>
        </w:tc>
      </w:tr>
      <w:tr w:rsidR="00B4651D" w:rsidRPr="002225C7" w:rsidTr="00104313">
        <w:trPr>
          <w:trHeight w:val="321"/>
        </w:trPr>
        <w:tc>
          <w:tcPr>
            <w:cnfStyle w:val="001000000000"/>
            <w:tcW w:w="2448" w:type="dxa"/>
            <w:tcBorders>
              <w:bottom w:val="single" w:sz="12" w:space="0" w:color="auto"/>
            </w:tcBorders>
            <w:hideMark/>
          </w:tcPr>
          <w:p w:rsidR="00B4651D" w:rsidRPr="002225C7" w:rsidRDefault="00B4651D" w:rsidP="002225C7">
            <w:pPr>
              <w:pStyle w:val="2enspsubgroup1"/>
              <w:rPr>
                <w:sz w:val="17"/>
                <w:szCs w:val="17"/>
              </w:rPr>
            </w:pPr>
          </w:p>
        </w:tc>
        <w:tc>
          <w:tcPr>
            <w:tcW w:w="828" w:type="dxa"/>
            <w:tcBorders>
              <w:bottom w:val="single" w:sz="12" w:space="0" w:color="auto"/>
            </w:tcBorders>
            <w:hideMark/>
          </w:tcPr>
          <w:p w:rsidR="00B4651D" w:rsidRPr="002225C7" w:rsidRDefault="00B4651D" w:rsidP="002225C7">
            <w:pPr>
              <w:pStyle w:val="Tablenumbers"/>
              <w:cnfStyle w:val="000000000000"/>
              <w:rPr>
                <w:sz w:val="17"/>
                <w:szCs w:val="17"/>
              </w:rPr>
            </w:pPr>
          </w:p>
        </w:tc>
        <w:tc>
          <w:tcPr>
            <w:tcW w:w="834" w:type="dxa"/>
            <w:tcBorders>
              <w:bottom w:val="single" w:sz="12" w:space="0" w:color="auto"/>
            </w:tcBorders>
            <w:hideMark/>
          </w:tcPr>
          <w:p w:rsidR="00B4651D" w:rsidRPr="002225C7" w:rsidRDefault="00B4651D" w:rsidP="002225C7">
            <w:pPr>
              <w:pStyle w:val="Tablenumbers"/>
              <w:cnfStyle w:val="000000000000"/>
              <w:rPr>
                <w:sz w:val="17"/>
                <w:szCs w:val="17"/>
              </w:rPr>
            </w:pPr>
          </w:p>
        </w:tc>
        <w:tc>
          <w:tcPr>
            <w:tcW w:w="967" w:type="dxa"/>
            <w:tcBorders>
              <w:bottom w:val="single" w:sz="12" w:space="0" w:color="auto"/>
            </w:tcBorders>
            <w:hideMark/>
          </w:tcPr>
          <w:p w:rsidR="00B4651D" w:rsidRPr="002225C7" w:rsidRDefault="00B4651D" w:rsidP="002225C7">
            <w:pPr>
              <w:pStyle w:val="Tablenumbers"/>
              <w:cnfStyle w:val="000000000000"/>
              <w:rPr>
                <w:sz w:val="17"/>
                <w:szCs w:val="17"/>
              </w:rPr>
            </w:pPr>
          </w:p>
        </w:tc>
        <w:tc>
          <w:tcPr>
            <w:tcW w:w="967" w:type="dxa"/>
            <w:tcBorders>
              <w:bottom w:val="single" w:sz="12" w:space="0" w:color="auto"/>
            </w:tcBorders>
            <w:hideMark/>
          </w:tcPr>
          <w:p w:rsidR="00B4651D" w:rsidRPr="002225C7" w:rsidRDefault="00B4651D" w:rsidP="002225C7">
            <w:pPr>
              <w:pStyle w:val="Tablenumbers"/>
              <w:cnfStyle w:val="000000000000"/>
              <w:rPr>
                <w:sz w:val="17"/>
                <w:szCs w:val="17"/>
              </w:rPr>
            </w:pPr>
          </w:p>
        </w:tc>
        <w:tc>
          <w:tcPr>
            <w:tcW w:w="736" w:type="dxa"/>
            <w:tcBorders>
              <w:bottom w:val="single" w:sz="12" w:space="0" w:color="auto"/>
            </w:tcBorders>
            <w:hideMark/>
          </w:tcPr>
          <w:p w:rsidR="00B4651D" w:rsidRDefault="00B4651D" w:rsidP="002225C7">
            <w:pPr>
              <w:pStyle w:val="Tablenumbers"/>
              <w:cnfStyle w:val="000000000000"/>
              <w:rPr>
                <w:sz w:val="17"/>
                <w:szCs w:val="17"/>
              </w:rPr>
            </w:pPr>
          </w:p>
        </w:tc>
        <w:tc>
          <w:tcPr>
            <w:tcW w:w="974" w:type="dxa"/>
            <w:tcBorders>
              <w:bottom w:val="single" w:sz="12" w:space="0" w:color="auto"/>
            </w:tcBorders>
            <w:hideMark/>
          </w:tcPr>
          <w:p w:rsidR="00B4651D" w:rsidRPr="00B4651D" w:rsidRDefault="00B4651D" w:rsidP="002225C7">
            <w:pPr>
              <w:pStyle w:val="Tablenumbers"/>
              <w:cnfStyle w:val="000000000000"/>
              <w:rPr>
                <w:b/>
                <w:sz w:val="17"/>
                <w:szCs w:val="17"/>
              </w:rPr>
            </w:pPr>
            <w:r w:rsidRPr="00B4651D">
              <w:rPr>
                <w:b/>
                <w:sz w:val="17"/>
                <w:szCs w:val="17"/>
              </w:rPr>
              <w:t>Total</w:t>
            </w:r>
          </w:p>
        </w:tc>
        <w:tc>
          <w:tcPr>
            <w:tcW w:w="809" w:type="dxa"/>
            <w:tcBorders>
              <w:top w:val="single" w:sz="12" w:space="0" w:color="auto"/>
              <w:bottom w:val="single" w:sz="12" w:space="0" w:color="auto"/>
            </w:tcBorders>
            <w:hideMark/>
          </w:tcPr>
          <w:p w:rsidR="00B4651D" w:rsidRPr="00104313" w:rsidRDefault="00104313" w:rsidP="00E11E09">
            <w:pPr>
              <w:pStyle w:val="Tablenumbers"/>
              <w:cnfStyle w:val="000000000000"/>
              <w:rPr>
                <w:b/>
                <w:sz w:val="17"/>
                <w:szCs w:val="17"/>
              </w:rPr>
            </w:pPr>
            <w:r w:rsidRPr="00104313">
              <w:rPr>
                <w:b/>
                <w:sz w:val="17"/>
                <w:szCs w:val="17"/>
              </w:rPr>
              <w:t>8,283</w:t>
            </w:r>
          </w:p>
        </w:tc>
        <w:tc>
          <w:tcPr>
            <w:tcW w:w="815" w:type="dxa"/>
            <w:tcBorders>
              <w:top w:val="single" w:sz="12" w:space="0" w:color="auto"/>
              <w:bottom w:val="single" w:sz="12" w:space="0" w:color="auto"/>
            </w:tcBorders>
            <w:hideMark/>
          </w:tcPr>
          <w:p w:rsidR="00B4651D" w:rsidRPr="00104313" w:rsidRDefault="00104313" w:rsidP="002225C7">
            <w:pPr>
              <w:pStyle w:val="Tablenumbers"/>
              <w:cnfStyle w:val="000000000000"/>
              <w:rPr>
                <w:b/>
                <w:sz w:val="17"/>
                <w:szCs w:val="17"/>
              </w:rPr>
            </w:pPr>
            <w:r w:rsidRPr="00104313">
              <w:rPr>
                <w:b/>
                <w:sz w:val="17"/>
                <w:szCs w:val="17"/>
              </w:rPr>
              <w:t>$10</w:t>
            </w:r>
          </w:p>
        </w:tc>
        <w:tc>
          <w:tcPr>
            <w:tcW w:w="1020" w:type="dxa"/>
            <w:tcBorders>
              <w:top w:val="single" w:sz="12" w:space="0" w:color="auto"/>
              <w:bottom w:val="single" w:sz="12" w:space="0" w:color="auto"/>
            </w:tcBorders>
            <w:noWrap/>
            <w:hideMark/>
          </w:tcPr>
          <w:p w:rsidR="00B4651D" w:rsidRPr="00104313" w:rsidRDefault="00104313" w:rsidP="002225C7">
            <w:pPr>
              <w:pStyle w:val="Tablenumbers"/>
              <w:cnfStyle w:val="000000000000"/>
              <w:rPr>
                <w:b/>
                <w:sz w:val="17"/>
                <w:szCs w:val="17"/>
              </w:rPr>
            </w:pPr>
            <w:r w:rsidRPr="00104313">
              <w:rPr>
                <w:b/>
                <w:sz w:val="17"/>
                <w:szCs w:val="17"/>
              </w:rPr>
              <w:t>$82,830</w:t>
            </w:r>
          </w:p>
        </w:tc>
      </w:tr>
    </w:tbl>
    <w:p w:rsidR="002225C7" w:rsidRPr="00425593" w:rsidRDefault="002225C7" w:rsidP="002225C7">
      <w:pPr>
        <w:pStyle w:val="Source-8pt"/>
      </w:pPr>
      <w:r w:rsidRPr="00425593">
        <w:t xml:space="preserve">NOTE: B&amp;B:08/12 = 2008/12 Baccalaureate and Beyond Longitudinal Study. </w:t>
      </w:r>
    </w:p>
    <w:p w:rsidR="00C33221" w:rsidRDefault="00C33221" w:rsidP="004F1598">
      <w:pPr>
        <w:pStyle w:val="Heading2"/>
        <w:numPr>
          <w:ilvl w:val="1"/>
          <w:numId w:val="16"/>
        </w:numPr>
        <w:tabs>
          <w:tab w:val="clear" w:pos="979"/>
        </w:tabs>
        <w:spacing w:line="320" w:lineRule="atLeast"/>
        <w:ind w:left="1080" w:hanging="540"/>
      </w:pPr>
      <w:bookmarkStart w:id="134" w:name="_Toc284595877"/>
      <w:bookmarkStart w:id="135" w:name="_Toc284595878"/>
      <w:bookmarkStart w:id="136" w:name="_Toc284595960"/>
      <w:bookmarkStart w:id="137" w:name="_Toc284596020"/>
      <w:bookmarkStart w:id="138" w:name="_Toc322356410"/>
      <w:bookmarkEnd w:id="134"/>
      <w:bookmarkEnd w:id="135"/>
      <w:bookmarkEnd w:id="136"/>
      <w:bookmarkEnd w:id="137"/>
      <w:r w:rsidRPr="005C26EF">
        <w:t>Estimates of Cost</w:t>
      </w:r>
      <w:r w:rsidR="008878F3">
        <w:t xml:space="preserve"> to Respondents</w:t>
      </w:r>
      <w:bookmarkEnd w:id="138"/>
    </w:p>
    <w:p w:rsidR="001B4DC0" w:rsidRDefault="00973B10" w:rsidP="00427FFC">
      <w:pPr>
        <w:pStyle w:val="BodyText"/>
        <w:ind w:firstLine="0"/>
      </w:pPr>
      <w:r>
        <w:t>Respondents will incur no costs for equipment, printing, postage or any other costs associated with participation in this study.</w:t>
      </w:r>
    </w:p>
    <w:p w:rsidR="00C33221" w:rsidRDefault="00C33221" w:rsidP="004F1598">
      <w:pPr>
        <w:pStyle w:val="Heading2"/>
        <w:numPr>
          <w:ilvl w:val="1"/>
          <w:numId w:val="16"/>
        </w:numPr>
        <w:tabs>
          <w:tab w:val="clear" w:pos="979"/>
        </w:tabs>
        <w:spacing w:line="320" w:lineRule="atLeast"/>
        <w:ind w:left="1080" w:hanging="540"/>
      </w:pPr>
      <w:bookmarkStart w:id="139" w:name="_Toc322356411"/>
      <w:r w:rsidRPr="005C26EF">
        <w:t xml:space="preserve">Costs to </w:t>
      </w:r>
      <w:r>
        <w:t xml:space="preserve">the </w:t>
      </w:r>
      <w:r w:rsidRPr="005C26EF">
        <w:t>Federal Government</w:t>
      </w:r>
      <w:bookmarkEnd w:id="139"/>
    </w:p>
    <w:p w:rsidR="00C33221" w:rsidRDefault="00C33221" w:rsidP="00427FFC">
      <w:pPr>
        <w:pStyle w:val="BodyText"/>
        <w:ind w:firstLine="0"/>
      </w:pPr>
      <w:r w:rsidRPr="005C26EF">
        <w:t xml:space="preserve">A summary of </w:t>
      </w:r>
      <w:r w:rsidR="005A732E">
        <w:t xml:space="preserve">the </w:t>
      </w:r>
      <w:r w:rsidRPr="005C26EF">
        <w:t xml:space="preserve">estimated costs to the federal government for </w:t>
      </w:r>
      <w:r>
        <w:t>B&amp;B:08/12</w:t>
      </w:r>
      <w:r w:rsidR="005A732E">
        <w:t xml:space="preserve"> is</w:t>
      </w:r>
      <w:r w:rsidRPr="005C26EF">
        <w:t xml:space="preserve"> shown in </w:t>
      </w:r>
      <w:r>
        <w:t xml:space="preserve">Table </w:t>
      </w:r>
      <w:r w:rsidR="008878F3">
        <w:t>4</w:t>
      </w:r>
      <w:r w:rsidRPr="005C26EF">
        <w:t>. Included in the contract estimates are all staff time, reproduction, postage, and telephone costs associated with the management, data collection, analysis, and reporting for which clearance is requested. A more detailed breakdown of contract costs is provided in table</w:t>
      </w:r>
      <w:r>
        <w:t xml:space="preserve"> </w:t>
      </w:r>
      <w:r w:rsidR="008878F3">
        <w:t>5</w:t>
      </w:r>
      <w:r w:rsidRPr="005C26EF">
        <w:t xml:space="preserve">. </w:t>
      </w:r>
    </w:p>
    <w:p w:rsidR="00C33221" w:rsidRDefault="00C33221" w:rsidP="00CF1F7C">
      <w:pPr>
        <w:pStyle w:val="TableTitle"/>
        <w:spacing w:before="120"/>
        <w:ind w:left="994" w:hanging="994"/>
      </w:pPr>
      <w:bookmarkStart w:id="140" w:name="_Toc279664330"/>
      <w:bookmarkStart w:id="141" w:name="_Toc320867486"/>
      <w:bookmarkStart w:id="142" w:name="_Toc320870702"/>
      <w:bookmarkStart w:id="143" w:name="_Toc322356419"/>
      <w:r>
        <w:t>Ta</w:t>
      </w:r>
      <w:r w:rsidRPr="005C26EF">
        <w:t xml:space="preserve">ble </w:t>
      </w:r>
      <w:r w:rsidR="00460280">
        <w:t>4</w:t>
      </w:r>
      <w:r w:rsidRPr="005C26EF">
        <w:t>.</w:t>
      </w:r>
      <w:r w:rsidRPr="005C26EF">
        <w:tab/>
        <w:t>Individual and total costs to the National Center for Education Statistics for the B&amp;B:</w:t>
      </w:r>
      <w:r>
        <w:t>08/12</w:t>
      </w:r>
      <w:r w:rsidR="00CF1F7C">
        <w:t xml:space="preserve"> </w:t>
      </w:r>
      <w:r w:rsidRPr="005C26EF">
        <w:t>full-scale implementation</w:t>
      </w:r>
      <w:bookmarkEnd w:id="140"/>
      <w:bookmarkEnd w:id="141"/>
      <w:bookmarkEnd w:id="142"/>
      <w:bookmarkEnd w:id="143"/>
    </w:p>
    <w:tbl>
      <w:tblPr>
        <w:tblStyle w:val="TableGrid"/>
        <w:tblW w:w="5000" w:type="pct"/>
        <w:tblLayout w:type="fixed"/>
        <w:tblLook w:val="0020"/>
      </w:tblPr>
      <w:tblGrid>
        <w:gridCol w:w="5616"/>
        <w:gridCol w:w="4824"/>
      </w:tblGrid>
      <w:tr w:rsidR="00C33221" w:rsidRPr="005C26EF" w:rsidTr="00F33D5B">
        <w:trPr>
          <w:cnfStyle w:val="100000000000"/>
          <w:trHeight w:hRule="exact" w:val="288"/>
        </w:trPr>
        <w:tc>
          <w:tcPr>
            <w:tcW w:w="5314" w:type="dxa"/>
          </w:tcPr>
          <w:p w:rsidR="00C33221" w:rsidRDefault="00C33221" w:rsidP="00962294">
            <w:pPr>
              <w:pStyle w:val="Tableheading"/>
              <w:jc w:val="left"/>
            </w:pPr>
            <w:r w:rsidRPr="005C26EF">
              <w:t>Costs to NCES</w:t>
            </w:r>
          </w:p>
        </w:tc>
        <w:tc>
          <w:tcPr>
            <w:tcW w:w="4564" w:type="dxa"/>
          </w:tcPr>
          <w:p w:rsidR="00C33221" w:rsidRDefault="00C33221">
            <w:pPr>
              <w:pStyle w:val="Tableheading"/>
            </w:pPr>
            <w:r w:rsidRPr="005C26EF">
              <w:t>Amount</w:t>
            </w:r>
            <w:r>
              <w:t xml:space="preserve"> ($)</w:t>
            </w:r>
          </w:p>
        </w:tc>
      </w:tr>
      <w:tr w:rsidR="00C33221" w:rsidRPr="005C26EF" w:rsidTr="00F33D5B">
        <w:trPr>
          <w:trHeight w:hRule="exact" w:val="288"/>
        </w:trPr>
        <w:tc>
          <w:tcPr>
            <w:tcW w:w="5314" w:type="dxa"/>
          </w:tcPr>
          <w:p w:rsidR="00C33221" w:rsidRDefault="00C33221" w:rsidP="00BC5BC6">
            <w:pPr>
              <w:pStyle w:val="Tabletext"/>
            </w:pPr>
            <w:r>
              <w:t>B&amp;B:08/12</w:t>
            </w:r>
            <w:r w:rsidRPr="005C26EF">
              <w:t xml:space="preserve"> Full</w:t>
            </w:r>
            <w:r>
              <w:t>-s</w:t>
            </w:r>
            <w:r w:rsidRPr="005C26EF">
              <w:t>cale Study</w:t>
            </w:r>
          </w:p>
        </w:tc>
        <w:tc>
          <w:tcPr>
            <w:tcW w:w="4564" w:type="dxa"/>
          </w:tcPr>
          <w:p w:rsidR="00C33221" w:rsidRDefault="00C33221" w:rsidP="00BC5BC6">
            <w:pPr>
              <w:pStyle w:val="Tablenumbers"/>
            </w:pPr>
          </w:p>
        </w:tc>
      </w:tr>
      <w:tr w:rsidR="00C33221" w:rsidRPr="005C26EF" w:rsidTr="00F33D5B">
        <w:trPr>
          <w:trHeight w:hRule="exact" w:val="288"/>
        </w:trPr>
        <w:tc>
          <w:tcPr>
            <w:tcW w:w="5314" w:type="dxa"/>
          </w:tcPr>
          <w:p w:rsidR="00C33221" w:rsidRDefault="00C33221" w:rsidP="00BC5BC6">
            <w:pPr>
              <w:pStyle w:val="2enspsubgroup1"/>
            </w:pPr>
            <w:r w:rsidRPr="005C26EF">
              <w:t>Salaries and expenses</w:t>
            </w:r>
          </w:p>
        </w:tc>
        <w:tc>
          <w:tcPr>
            <w:tcW w:w="4564" w:type="dxa"/>
          </w:tcPr>
          <w:p w:rsidR="00C33221" w:rsidRDefault="00C33221" w:rsidP="00BC5BC6">
            <w:pPr>
              <w:pStyle w:val="Tablenumbers"/>
            </w:pPr>
            <w:r w:rsidRPr="00F51419">
              <w:t>300,000</w:t>
            </w:r>
          </w:p>
        </w:tc>
      </w:tr>
      <w:tr w:rsidR="00C33221" w:rsidRPr="005C26EF" w:rsidTr="00F33D5B">
        <w:trPr>
          <w:trHeight w:hRule="exact" w:val="288"/>
        </w:trPr>
        <w:tc>
          <w:tcPr>
            <w:tcW w:w="5314" w:type="dxa"/>
          </w:tcPr>
          <w:p w:rsidR="00C33221" w:rsidRDefault="00C33221" w:rsidP="00BC5BC6">
            <w:pPr>
              <w:pStyle w:val="2enspsubgroup1"/>
            </w:pPr>
            <w:r w:rsidRPr="005C26EF">
              <w:t>Contract costs</w:t>
            </w:r>
          </w:p>
        </w:tc>
        <w:tc>
          <w:tcPr>
            <w:tcW w:w="4564" w:type="dxa"/>
          </w:tcPr>
          <w:p w:rsidR="00C33221" w:rsidRDefault="00C33221" w:rsidP="00FB030B">
            <w:pPr>
              <w:pStyle w:val="Tablenumbers"/>
            </w:pPr>
            <w:r>
              <w:t>6,070</w:t>
            </w:r>
            <w:r w:rsidRPr="00F51419">
              <w:t>,</w:t>
            </w:r>
            <w:r>
              <w:t>419</w:t>
            </w:r>
          </w:p>
        </w:tc>
      </w:tr>
      <w:tr w:rsidR="00C33221" w:rsidRPr="005C26EF" w:rsidTr="00F33D5B">
        <w:trPr>
          <w:trHeight w:hRule="exact" w:val="288"/>
        </w:trPr>
        <w:tc>
          <w:tcPr>
            <w:tcW w:w="5314" w:type="dxa"/>
          </w:tcPr>
          <w:p w:rsidR="00C33221" w:rsidRDefault="00C33221" w:rsidP="00F33D5B">
            <w:pPr>
              <w:pStyle w:val="5ensptotal"/>
            </w:pPr>
            <w:r w:rsidRPr="005C26EF">
              <w:t>Total</w:t>
            </w:r>
          </w:p>
        </w:tc>
        <w:tc>
          <w:tcPr>
            <w:tcW w:w="4564" w:type="dxa"/>
          </w:tcPr>
          <w:p w:rsidR="00C33221" w:rsidRDefault="00C33221" w:rsidP="00FB030B">
            <w:pPr>
              <w:pStyle w:val="Tablenumbers"/>
            </w:pPr>
            <w:r>
              <w:t>6,370</w:t>
            </w:r>
            <w:r w:rsidRPr="00F51419">
              <w:t>,</w:t>
            </w:r>
            <w:r>
              <w:t>419</w:t>
            </w:r>
          </w:p>
        </w:tc>
      </w:tr>
    </w:tbl>
    <w:p w:rsidR="00C33221" w:rsidRDefault="00C33221" w:rsidP="00F33D5B">
      <w:pPr>
        <w:pStyle w:val="Source"/>
      </w:pPr>
      <w:r>
        <w:t>NOTE: B&amp;B:08/12 = 2008/12 Baccalaureate and Beyond Longitudinal Study</w:t>
      </w:r>
      <w:r w:rsidRPr="005C26EF">
        <w:t>.</w:t>
      </w:r>
    </w:p>
    <w:p w:rsidR="00C33221" w:rsidRDefault="00C33221" w:rsidP="004F1598">
      <w:pPr>
        <w:pStyle w:val="Heading2"/>
        <w:numPr>
          <w:ilvl w:val="1"/>
          <w:numId w:val="16"/>
        </w:numPr>
        <w:tabs>
          <w:tab w:val="clear" w:pos="979"/>
        </w:tabs>
        <w:spacing w:line="320" w:lineRule="atLeast"/>
        <w:ind w:left="1080" w:hanging="540"/>
      </w:pPr>
      <w:bookmarkStart w:id="144" w:name="_Toc322356412"/>
      <w:r w:rsidRPr="005C26EF">
        <w:t>Response Burden and Costs</w:t>
      </w:r>
      <w:bookmarkEnd w:id="144"/>
      <w:r w:rsidRPr="005C26EF">
        <w:t xml:space="preserve"> </w:t>
      </w:r>
    </w:p>
    <w:p w:rsidR="00C33221" w:rsidRDefault="00C33221" w:rsidP="00427FFC">
      <w:pPr>
        <w:pStyle w:val="BodyText"/>
        <w:ind w:firstLine="0"/>
      </w:pPr>
      <w:r w:rsidRPr="005C26EF">
        <w:t xml:space="preserve">Projected estimates for response burden and costs for </w:t>
      </w:r>
      <w:r w:rsidR="00B140F6">
        <w:t xml:space="preserve">the </w:t>
      </w:r>
      <w:r>
        <w:t>B&amp;B:08/12</w:t>
      </w:r>
      <w:r w:rsidR="00B140F6">
        <w:t xml:space="preserve"> full scale study</w:t>
      </w:r>
      <w:r>
        <w:t xml:space="preserve"> </w:t>
      </w:r>
      <w:r w:rsidRPr="005C26EF">
        <w:t xml:space="preserve">are based on experiences from </w:t>
      </w:r>
      <w:r w:rsidR="00062DED">
        <w:t xml:space="preserve">the recent </w:t>
      </w:r>
      <w:r w:rsidR="00B140F6">
        <w:t xml:space="preserve">field test as </w:t>
      </w:r>
      <w:r w:rsidR="00062DED">
        <w:t xml:space="preserve">well as other </w:t>
      </w:r>
      <w:r w:rsidR="00B140F6">
        <w:t xml:space="preserve">recent studies such as </w:t>
      </w:r>
      <w:r w:rsidRPr="005C26EF">
        <w:t>B&amp;B:93/03</w:t>
      </w:r>
      <w:r w:rsidR="00062DED">
        <w:t xml:space="preserve">, </w:t>
      </w:r>
      <w:r>
        <w:t>NPSAS:08 and B&amp;B:08/09</w:t>
      </w:r>
      <w:r w:rsidRPr="005C26EF">
        <w:t xml:space="preserve">. </w:t>
      </w:r>
      <w:r>
        <w:t>E</w:t>
      </w:r>
      <w:r w:rsidRPr="005C26EF">
        <w:t>stimated response burden for students is based on extensive timing analysis conduc</w:t>
      </w:r>
      <w:r w:rsidR="007F3C85">
        <w:t>ted in previous B&amp;B interviews.</w:t>
      </w:r>
    </w:p>
    <w:p w:rsidR="007F3C85" w:rsidRDefault="007F3C85" w:rsidP="00427FFC">
      <w:pPr>
        <w:pStyle w:val="BodyText"/>
        <w:ind w:firstLine="0"/>
      </w:pPr>
    </w:p>
    <w:p w:rsidR="007F3C85" w:rsidRDefault="007F3C85" w:rsidP="00427FFC">
      <w:pPr>
        <w:pStyle w:val="BodyText"/>
        <w:ind w:firstLine="0"/>
      </w:pPr>
      <w:r w:rsidRPr="007F3C85">
        <w:t xml:space="preserve">The respondent burden is increasing because the last OMB approval was for </w:t>
      </w:r>
      <w:r>
        <w:t xml:space="preserve">a </w:t>
      </w:r>
      <w:r w:rsidRPr="007F3C85">
        <w:t>smaller</w:t>
      </w:r>
      <w:r>
        <w:t>,</w:t>
      </w:r>
      <w:r w:rsidRPr="007F3C85">
        <w:t xml:space="preserve"> field test sample, while this is a request for approval for a full scale data collection.</w:t>
      </w:r>
    </w:p>
    <w:p w:rsidR="00C33221" w:rsidRDefault="00C33221" w:rsidP="003F4C67">
      <w:pPr>
        <w:pStyle w:val="TableTitle"/>
        <w:ind w:left="994" w:hanging="994"/>
      </w:pPr>
      <w:bookmarkStart w:id="145" w:name="_Toc279664331"/>
      <w:bookmarkStart w:id="146" w:name="_Toc320867487"/>
      <w:bookmarkStart w:id="147" w:name="_Toc320870703"/>
      <w:bookmarkStart w:id="148" w:name="_Toc322356420"/>
      <w:bookmarkStart w:id="149" w:name="OLE_LINK1"/>
      <w:bookmarkStart w:id="150" w:name="OLE_LINK2"/>
      <w:r w:rsidRPr="005C26EF">
        <w:t xml:space="preserve">Table </w:t>
      </w:r>
      <w:r w:rsidR="00460280">
        <w:t>5</w:t>
      </w:r>
      <w:r w:rsidRPr="005C26EF">
        <w:t>.</w:t>
      </w:r>
      <w:r w:rsidRPr="005C26EF">
        <w:tab/>
        <w:t>Contract costs for B&amp;B:</w:t>
      </w:r>
      <w:r>
        <w:t>08/12</w:t>
      </w:r>
      <w:bookmarkEnd w:id="145"/>
      <w:bookmarkEnd w:id="146"/>
      <w:bookmarkEnd w:id="147"/>
      <w:bookmarkEnd w:id="148"/>
    </w:p>
    <w:tbl>
      <w:tblPr>
        <w:tblStyle w:val="TableGrid"/>
        <w:tblW w:w="4991" w:type="pct"/>
        <w:tblLayout w:type="fixed"/>
        <w:tblLook w:val="01E0"/>
      </w:tblPr>
      <w:tblGrid>
        <w:gridCol w:w="1295"/>
        <w:gridCol w:w="6084"/>
        <w:gridCol w:w="3042"/>
      </w:tblGrid>
      <w:tr w:rsidR="00C33221" w:rsidRPr="00345816" w:rsidTr="00F33D5B">
        <w:trPr>
          <w:cnfStyle w:val="100000000000"/>
        </w:trPr>
        <w:tc>
          <w:tcPr>
            <w:cnfStyle w:val="001000000100"/>
            <w:tcW w:w="6769" w:type="dxa"/>
            <w:gridSpan w:val="2"/>
          </w:tcPr>
          <w:bookmarkEnd w:id="149"/>
          <w:bookmarkEnd w:id="150"/>
          <w:p w:rsidR="00C33221" w:rsidRPr="00E87169" w:rsidRDefault="00C33221" w:rsidP="00ED30CE">
            <w:pPr>
              <w:pStyle w:val="Tableheading"/>
              <w:spacing w:before="40" w:after="40"/>
              <w:jc w:val="left"/>
            </w:pPr>
            <w:r w:rsidRPr="00E87169">
              <w:t>Study area and task management</w:t>
            </w:r>
          </w:p>
        </w:tc>
        <w:tc>
          <w:tcPr>
            <w:tcW w:w="2790" w:type="dxa"/>
          </w:tcPr>
          <w:p w:rsidR="00C33221" w:rsidRPr="00E87169" w:rsidRDefault="00C33221" w:rsidP="00F33D5B">
            <w:pPr>
              <w:pStyle w:val="Tablenumbers"/>
              <w:cnfStyle w:val="100000000000"/>
            </w:pPr>
            <w:r w:rsidRPr="00E87169">
              <w:t>Budgeted amount ($)</w:t>
            </w:r>
          </w:p>
        </w:tc>
      </w:tr>
      <w:tr w:rsidR="00C33221" w:rsidRPr="003F4C67" w:rsidTr="00F33D5B">
        <w:trPr>
          <w:trHeight w:hRule="exact" w:val="245"/>
        </w:trPr>
        <w:tc>
          <w:tcPr>
            <w:cnfStyle w:val="001000000000"/>
            <w:tcW w:w="6769" w:type="dxa"/>
            <w:gridSpan w:val="2"/>
          </w:tcPr>
          <w:p w:rsidR="00C33221" w:rsidRPr="003F4C67" w:rsidRDefault="00C33221" w:rsidP="003F4C67">
            <w:pPr>
              <w:pStyle w:val="Tabletext"/>
              <w:spacing w:before="0" w:after="0"/>
              <w:rPr>
                <w:sz w:val="18"/>
                <w:szCs w:val="18"/>
              </w:rPr>
            </w:pPr>
            <w:r w:rsidRPr="003F4C67">
              <w:rPr>
                <w:sz w:val="18"/>
                <w:szCs w:val="18"/>
              </w:rPr>
              <w:t>Total </w:t>
            </w:r>
          </w:p>
        </w:tc>
        <w:tc>
          <w:tcPr>
            <w:tcW w:w="2790" w:type="dxa"/>
          </w:tcPr>
          <w:p w:rsidR="00C33221" w:rsidRPr="003F4C67" w:rsidRDefault="00C33221" w:rsidP="00F33D5B">
            <w:pPr>
              <w:pStyle w:val="Tablenumbers"/>
              <w:cnfStyle w:val="000000000000"/>
              <w:rPr>
                <w:sz w:val="18"/>
                <w:szCs w:val="18"/>
              </w:rPr>
            </w:pPr>
            <w:r w:rsidRPr="003F4C67">
              <w:rPr>
                <w:sz w:val="18"/>
                <w:szCs w:val="18"/>
              </w:rPr>
              <w:t>$</w:t>
            </w:r>
            <w:r w:rsidR="00F33D5B">
              <w:rPr>
                <w:sz w:val="18"/>
                <w:szCs w:val="18"/>
              </w:rPr>
              <w:t xml:space="preserve"> </w:t>
            </w:r>
            <w:r w:rsidRPr="003F4C67">
              <w:rPr>
                <w:sz w:val="18"/>
                <w:szCs w:val="18"/>
              </w:rPr>
              <w:t>8,452,370</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110</w:t>
            </w:r>
          </w:p>
        </w:tc>
        <w:tc>
          <w:tcPr>
            <w:tcW w:w="5581"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rPr>
                <w:rFonts w:cs="Arial"/>
                <w:sz w:val="18"/>
                <w:szCs w:val="18"/>
              </w:rPr>
            </w:pPr>
            <w:r w:rsidRPr="003F4C67">
              <w:rPr>
                <w:rFonts w:cs="Arial"/>
                <w:sz w:val="18"/>
                <w:szCs w:val="18"/>
              </w:rPr>
              <w:t>Post-award conference</w:t>
            </w:r>
          </w:p>
        </w:tc>
        <w:tc>
          <w:tcPr>
            <w:tcW w:w="2790" w:type="dxa"/>
          </w:tcPr>
          <w:p w:rsidR="00C33221" w:rsidRPr="003F4C67" w:rsidRDefault="00F33D5B" w:rsidP="00F33D5B">
            <w:pPr>
              <w:pStyle w:val="Tablenumbers"/>
              <w:cnfStyle w:val="000000000000"/>
              <w:rPr>
                <w:sz w:val="18"/>
                <w:szCs w:val="18"/>
              </w:rPr>
            </w:pPr>
            <w:r>
              <w:rPr>
                <w:sz w:val="18"/>
                <w:szCs w:val="18"/>
              </w:rPr>
              <w:t>25,929</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120</w:t>
            </w:r>
          </w:p>
        </w:tc>
        <w:tc>
          <w:tcPr>
            <w:tcW w:w="5581"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rPr>
                <w:rFonts w:cs="Arial"/>
                <w:sz w:val="18"/>
                <w:szCs w:val="18"/>
              </w:rPr>
            </w:pPr>
            <w:r w:rsidRPr="003F4C67">
              <w:rPr>
                <w:rFonts w:cs="Arial"/>
                <w:sz w:val="18"/>
                <w:szCs w:val="18"/>
              </w:rPr>
              <w:t>Schedules</w:t>
            </w:r>
          </w:p>
        </w:tc>
        <w:tc>
          <w:tcPr>
            <w:tcW w:w="2790" w:type="dxa"/>
          </w:tcPr>
          <w:p w:rsidR="00C33221" w:rsidRPr="003F4C67" w:rsidRDefault="00C33221" w:rsidP="00F33D5B">
            <w:pPr>
              <w:pStyle w:val="Tablenumbers"/>
              <w:cnfStyle w:val="000000000000"/>
              <w:rPr>
                <w:sz w:val="18"/>
                <w:szCs w:val="18"/>
              </w:rPr>
            </w:pPr>
            <w:r w:rsidRPr="003F4C67">
              <w:rPr>
                <w:sz w:val="18"/>
                <w:szCs w:val="18"/>
              </w:rPr>
              <w:t>53,310</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130</w:t>
            </w:r>
          </w:p>
        </w:tc>
        <w:tc>
          <w:tcPr>
            <w:tcW w:w="5581"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rPr>
                <w:rFonts w:cs="Arial"/>
                <w:sz w:val="18"/>
                <w:szCs w:val="18"/>
              </w:rPr>
            </w:pPr>
            <w:r w:rsidRPr="003F4C67">
              <w:rPr>
                <w:rFonts w:cs="Arial"/>
                <w:sz w:val="18"/>
                <w:szCs w:val="18"/>
              </w:rPr>
              <w:t>Monthly reports</w:t>
            </w:r>
          </w:p>
        </w:tc>
        <w:tc>
          <w:tcPr>
            <w:tcW w:w="2790" w:type="dxa"/>
          </w:tcPr>
          <w:p w:rsidR="00C33221" w:rsidRPr="003F4C67" w:rsidRDefault="00C33221" w:rsidP="00F33D5B">
            <w:pPr>
              <w:pStyle w:val="Tablenumbers"/>
              <w:cnfStyle w:val="000000000000"/>
              <w:rPr>
                <w:sz w:val="18"/>
                <w:szCs w:val="18"/>
              </w:rPr>
            </w:pPr>
            <w:r w:rsidRPr="003F4C67">
              <w:rPr>
                <w:sz w:val="18"/>
                <w:szCs w:val="18"/>
              </w:rPr>
              <w:t>277,054</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140</w:t>
            </w:r>
          </w:p>
        </w:tc>
        <w:tc>
          <w:tcPr>
            <w:tcW w:w="5581"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rPr>
                <w:rFonts w:cs="Arial"/>
                <w:sz w:val="18"/>
                <w:szCs w:val="18"/>
              </w:rPr>
            </w:pPr>
            <w:r w:rsidRPr="003F4C67">
              <w:rPr>
                <w:rFonts w:cs="Arial"/>
                <w:sz w:val="18"/>
                <w:szCs w:val="18"/>
              </w:rPr>
              <w:t>Integrated monitoring system</w:t>
            </w:r>
          </w:p>
        </w:tc>
        <w:tc>
          <w:tcPr>
            <w:tcW w:w="2790" w:type="dxa"/>
          </w:tcPr>
          <w:p w:rsidR="00C33221" w:rsidRPr="003F4C67" w:rsidRDefault="00C33221" w:rsidP="00F33D5B">
            <w:pPr>
              <w:pStyle w:val="Tablenumbers"/>
              <w:cnfStyle w:val="000000000000"/>
              <w:rPr>
                <w:sz w:val="18"/>
                <w:szCs w:val="18"/>
              </w:rPr>
            </w:pPr>
            <w:r w:rsidRPr="003F4C67">
              <w:rPr>
                <w:sz w:val="18"/>
                <w:szCs w:val="18"/>
              </w:rPr>
              <w:t>514,241</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150</w:t>
            </w:r>
          </w:p>
        </w:tc>
        <w:tc>
          <w:tcPr>
            <w:tcW w:w="5581"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rPr>
                <w:rFonts w:cs="Arial"/>
                <w:sz w:val="18"/>
                <w:szCs w:val="18"/>
              </w:rPr>
            </w:pPr>
            <w:r w:rsidRPr="003F4C67">
              <w:rPr>
                <w:rFonts w:cs="Arial"/>
                <w:sz w:val="18"/>
                <w:szCs w:val="18"/>
              </w:rPr>
              <w:t>Technical review panels</w:t>
            </w:r>
          </w:p>
        </w:tc>
        <w:tc>
          <w:tcPr>
            <w:tcW w:w="2790" w:type="dxa"/>
          </w:tcPr>
          <w:p w:rsidR="00C33221" w:rsidRPr="003F4C67" w:rsidRDefault="00C33221" w:rsidP="00F33D5B">
            <w:pPr>
              <w:pStyle w:val="Tablenumbers"/>
              <w:cnfStyle w:val="000000000000"/>
              <w:rPr>
                <w:sz w:val="18"/>
                <w:szCs w:val="18"/>
              </w:rPr>
            </w:pPr>
            <w:r w:rsidRPr="003F4C67">
              <w:rPr>
                <w:sz w:val="18"/>
                <w:szCs w:val="18"/>
              </w:rPr>
              <w:t>406,852</w:t>
            </w:r>
          </w:p>
        </w:tc>
      </w:tr>
      <w:tr w:rsidR="00F33D5B" w:rsidRPr="003F4C67" w:rsidTr="002225C7">
        <w:trPr>
          <w:trHeight w:hRule="exact" w:val="200"/>
        </w:trPr>
        <w:tc>
          <w:tcPr>
            <w:cnfStyle w:val="001000000000"/>
            <w:tcW w:w="6769" w:type="dxa"/>
            <w:gridSpan w:val="2"/>
          </w:tcPr>
          <w:p w:rsidR="00F33D5B" w:rsidRPr="003F4C67" w:rsidRDefault="00F33D5B" w:rsidP="003F4C67">
            <w:pPr>
              <w:pStyle w:val="Tabletext"/>
              <w:spacing w:before="0" w:after="0"/>
              <w:rPr>
                <w:sz w:val="18"/>
                <w:szCs w:val="18"/>
              </w:rPr>
            </w:pPr>
          </w:p>
        </w:tc>
        <w:tc>
          <w:tcPr>
            <w:tcW w:w="2790" w:type="dxa"/>
          </w:tcPr>
          <w:p w:rsidR="00F33D5B" w:rsidRPr="003F4C67" w:rsidRDefault="00F33D5B" w:rsidP="00F33D5B">
            <w:pPr>
              <w:pStyle w:val="Tablenumbers"/>
              <w:cnfStyle w:val="000000000000"/>
              <w:rPr>
                <w:sz w:val="18"/>
                <w:szCs w:val="18"/>
              </w:rPr>
            </w:pPr>
          </w:p>
        </w:tc>
      </w:tr>
      <w:tr w:rsidR="00C33221" w:rsidRPr="003F4C67" w:rsidTr="00F33D5B">
        <w:trPr>
          <w:trHeight w:hRule="exact" w:val="245"/>
        </w:trPr>
        <w:tc>
          <w:tcPr>
            <w:cnfStyle w:val="001000000000"/>
            <w:tcW w:w="6769" w:type="dxa"/>
            <w:gridSpan w:val="2"/>
          </w:tcPr>
          <w:p w:rsidR="00C33221" w:rsidRPr="003F4C67" w:rsidRDefault="00C33221" w:rsidP="003F4C67">
            <w:pPr>
              <w:pStyle w:val="Tabletext"/>
              <w:spacing w:before="0" w:after="0"/>
              <w:rPr>
                <w:sz w:val="18"/>
                <w:szCs w:val="18"/>
              </w:rPr>
            </w:pPr>
            <w:r w:rsidRPr="003F4C67">
              <w:rPr>
                <w:sz w:val="18"/>
                <w:szCs w:val="18"/>
              </w:rPr>
              <w:t>Field test (FT)</w:t>
            </w:r>
          </w:p>
        </w:tc>
        <w:tc>
          <w:tcPr>
            <w:tcW w:w="2790" w:type="dxa"/>
          </w:tcPr>
          <w:p w:rsidR="00C33221" w:rsidRPr="003F4C67" w:rsidRDefault="00C33221" w:rsidP="00F33D5B">
            <w:pPr>
              <w:pStyle w:val="Tablenumbers"/>
              <w:cnfStyle w:val="000000000000"/>
              <w:rPr>
                <w:sz w:val="18"/>
                <w:szCs w:val="18"/>
              </w:rPr>
            </w:pP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210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Sampling</w:t>
            </w:r>
          </w:p>
        </w:tc>
        <w:tc>
          <w:tcPr>
            <w:tcW w:w="2790" w:type="dxa"/>
          </w:tcPr>
          <w:p w:rsidR="00C33221" w:rsidRPr="003F4C67" w:rsidRDefault="00C33221" w:rsidP="00F33D5B">
            <w:pPr>
              <w:pStyle w:val="Tablenumbers"/>
              <w:cnfStyle w:val="000000000000"/>
              <w:rPr>
                <w:sz w:val="18"/>
                <w:szCs w:val="18"/>
              </w:rPr>
            </w:pPr>
            <w:r w:rsidRPr="003F4C67">
              <w:rPr>
                <w:sz w:val="18"/>
                <w:szCs w:val="18"/>
              </w:rPr>
              <w:t>51,838</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220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FT RIMG/OMB forms clearance</w:t>
            </w:r>
          </w:p>
        </w:tc>
        <w:tc>
          <w:tcPr>
            <w:tcW w:w="2790" w:type="dxa"/>
          </w:tcPr>
          <w:p w:rsidR="00C33221" w:rsidRPr="003F4C67" w:rsidRDefault="00C33221" w:rsidP="00F33D5B">
            <w:pPr>
              <w:pStyle w:val="Tablenumbers"/>
              <w:cnfStyle w:val="000000000000"/>
              <w:rPr>
                <w:sz w:val="18"/>
                <w:szCs w:val="18"/>
              </w:rPr>
            </w:pPr>
            <w:r w:rsidRPr="003F4C67">
              <w:rPr>
                <w:sz w:val="18"/>
                <w:szCs w:val="18"/>
              </w:rPr>
              <w:t>42,850</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231</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Instrumentation</w:t>
            </w:r>
          </w:p>
        </w:tc>
        <w:tc>
          <w:tcPr>
            <w:tcW w:w="2790" w:type="dxa"/>
          </w:tcPr>
          <w:p w:rsidR="00C33221" w:rsidRPr="003F4C67" w:rsidRDefault="00C33221" w:rsidP="00F33D5B">
            <w:pPr>
              <w:pStyle w:val="Tablenumbers"/>
              <w:cnfStyle w:val="000000000000"/>
              <w:rPr>
                <w:sz w:val="18"/>
                <w:szCs w:val="18"/>
              </w:rPr>
            </w:pPr>
            <w:r w:rsidRPr="003F4C67">
              <w:rPr>
                <w:sz w:val="18"/>
                <w:szCs w:val="18"/>
              </w:rPr>
              <w:t>687,399</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232</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Tracing</w:t>
            </w:r>
          </w:p>
        </w:tc>
        <w:tc>
          <w:tcPr>
            <w:tcW w:w="2790" w:type="dxa"/>
          </w:tcPr>
          <w:p w:rsidR="00C33221" w:rsidRPr="003F4C67" w:rsidRDefault="00C33221" w:rsidP="00F33D5B">
            <w:pPr>
              <w:pStyle w:val="Tablenumbers"/>
              <w:cnfStyle w:val="000000000000"/>
              <w:rPr>
                <w:sz w:val="18"/>
                <w:szCs w:val="18"/>
              </w:rPr>
            </w:pPr>
            <w:r w:rsidRPr="003F4C67">
              <w:rPr>
                <w:sz w:val="18"/>
                <w:szCs w:val="18"/>
              </w:rPr>
              <w:t>110,429</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234</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Training for help desk/CATI/CAPI data collection</w:t>
            </w:r>
          </w:p>
        </w:tc>
        <w:tc>
          <w:tcPr>
            <w:tcW w:w="2790" w:type="dxa"/>
          </w:tcPr>
          <w:p w:rsidR="00C33221" w:rsidRPr="003F4C67" w:rsidRDefault="00C33221" w:rsidP="00F33D5B">
            <w:pPr>
              <w:pStyle w:val="Tablenumbers"/>
              <w:cnfStyle w:val="000000000000"/>
              <w:rPr>
                <w:sz w:val="18"/>
                <w:szCs w:val="18"/>
              </w:rPr>
            </w:pPr>
            <w:r w:rsidRPr="003F4C67">
              <w:rPr>
                <w:sz w:val="18"/>
                <w:szCs w:val="18"/>
              </w:rPr>
              <w:t>166,054</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236</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Web/telephone/field data collection</w:t>
            </w:r>
          </w:p>
        </w:tc>
        <w:tc>
          <w:tcPr>
            <w:tcW w:w="2790" w:type="dxa"/>
          </w:tcPr>
          <w:p w:rsidR="00C33221" w:rsidRPr="003F4C67" w:rsidRDefault="00C33221" w:rsidP="00F33D5B">
            <w:pPr>
              <w:pStyle w:val="Tablenumbers"/>
              <w:cnfStyle w:val="000000000000"/>
              <w:rPr>
                <w:sz w:val="18"/>
                <w:szCs w:val="18"/>
              </w:rPr>
            </w:pPr>
            <w:r w:rsidRPr="003F4C67">
              <w:rPr>
                <w:sz w:val="18"/>
                <w:szCs w:val="18"/>
              </w:rPr>
              <w:t>310,044</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237</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Data processing</w:t>
            </w:r>
          </w:p>
        </w:tc>
        <w:tc>
          <w:tcPr>
            <w:tcW w:w="2790" w:type="dxa"/>
          </w:tcPr>
          <w:p w:rsidR="00C33221" w:rsidRPr="003F4C67" w:rsidRDefault="00C33221" w:rsidP="00F33D5B">
            <w:pPr>
              <w:pStyle w:val="Tablenumbers"/>
              <w:cnfStyle w:val="000000000000"/>
              <w:rPr>
                <w:sz w:val="18"/>
                <w:szCs w:val="18"/>
              </w:rPr>
            </w:pPr>
            <w:r w:rsidRPr="003F4C67">
              <w:rPr>
                <w:sz w:val="18"/>
                <w:szCs w:val="18"/>
              </w:rPr>
              <w:t>230,565</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240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Methodology report</w:t>
            </w:r>
          </w:p>
        </w:tc>
        <w:tc>
          <w:tcPr>
            <w:tcW w:w="2790" w:type="dxa"/>
          </w:tcPr>
          <w:p w:rsidR="00C33221" w:rsidRPr="003F4C67" w:rsidRDefault="00C33221" w:rsidP="00F33D5B">
            <w:pPr>
              <w:pStyle w:val="Tablenumbers"/>
              <w:cnfStyle w:val="000000000000"/>
              <w:rPr>
                <w:sz w:val="18"/>
                <w:szCs w:val="18"/>
              </w:rPr>
            </w:pPr>
            <w:r w:rsidRPr="003F4C67">
              <w:rPr>
                <w:sz w:val="18"/>
                <w:szCs w:val="18"/>
              </w:rPr>
              <w:t>144,079</w:t>
            </w:r>
          </w:p>
        </w:tc>
      </w:tr>
      <w:tr w:rsidR="00F33D5B" w:rsidRPr="003F4C67" w:rsidTr="002225C7">
        <w:trPr>
          <w:trHeight w:hRule="exact" w:val="200"/>
        </w:trPr>
        <w:tc>
          <w:tcPr>
            <w:cnfStyle w:val="001000000000"/>
            <w:tcW w:w="6769" w:type="dxa"/>
            <w:gridSpan w:val="2"/>
          </w:tcPr>
          <w:p w:rsidR="00F33D5B" w:rsidRPr="003F4C67" w:rsidRDefault="00F33D5B" w:rsidP="003F4C67">
            <w:pPr>
              <w:pStyle w:val="Tabletext"/>
              <w:spacing w:before="0" w:after="0"/>
              <w:rPr>
                <w:sz w:val="18"/>
                <w:szCs w:val="18"/>
              </w:rPr>
            </w:pPr>
          </w:p>
        </w:tc>
        <w:tc>
          <w:tcPr>
            <w:tcW w:w="2790" w:type="dxa"/>
          </w:tcPr>
          <w:p w:rsidR="00F33D5B" w:rsidRPr="003F4C67" w:rsidRDefault="00F33D5B" w:rsidP="00F33D5B">
            <w:pPr>
              <w:pStyle w:val="Tablenumbers"/>
              <w:cnfStyle w:val="000000000000"/>
              <w:rPr>
                <w:sz w:val="18"/>
                <w:szCs w:val="18"/>
              </w:rPr>
            </w:pPr>
          </w:p>
        </w:tc>
      </w:tr>
      <w:tr w:rsidR="00C33221" w:rsidRPr="003F4C67" w:rsidTr="00F33D5B">
        <w:trPr>
          <w:trHeight w:hRule="exact" w:val="245"/>
        </w:trPr>
        <w:tc>
          <w:tcPr>
            <w:cnfStyle w:val="001000000000"/>
            <w:tcW w:w="6769" w:type="dxa"/>
            <w:gridSpan w:val="2"/>
          </w:tcPr>
          <w:p w:rsidR="00C33221" w:rsidRPr="003F4C67" w:rsidRDefault="00C33221" w:rsidP="003F4C67">
            <w:pPr>
              <w:pStyle w:val="Tabletext"/>
              <w:spacing w:before="0" w:after="0"/>
              <w:rPr>
                <w:sz w:val="18"/>
                <w:szCs w:val="18"/>
              </w:rPr>
            </w:pPr>
            <w:r w:rsidRPr="003F4C67">
              <w:rPr>
                <w:sz w:val="18"/>
                <w:szCs w:val="18"/>
              </w:rPr>
              <w:t>Full-scale (FS) data collection</w:t>
            </w:r>
          </w:p>
        </w:tc>
        <w:tc>
          <w:tcPr>
            <w:tcW w:w="2790" w:type="dxa"/>
          </w:tcPr>
          <w:p w:rsidR="00C33221" w:rsidRPr="003F4C67" w:rsidRDefault="00C33221" w:rsidP="00F33D5B">
            <w:pPr>
              <w:pStyle w:val="Tablenumbers"/>
              <w:cnfStyle w:val="000000000000"/>
              <w:rPr>
                <w:sz w:val="18"/>
                <w:szCs w:val="18"/>
              </w:rPr>
            </w:pP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313</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FS student sample design and selection</w:t>
            </w:r>
          </w:p>
        </w:tc>
        <w:tc>
          <w:tcPr>
            <w:tcW w:w="2790" w:type="dxa"/>
          </w:tcPr>
          <w:p w:rsidR="00C33221" w:rsidRPr="003F4C67" w:rsidRDefault="00C33221" w:rsidP="00F33D5B">
            <w:pPr>
              <w:pStyle w:val="Tablenumbers"/>
              <w:cnfStyle w:val="000000000000"/>
              <w:rPr>
                <w:sz w:val="18"/>
                <w:szCs w:val="18"/>
              </w:rPr>
            </w:pPr>
            <w:r w:rsidRPr="003F4C67">
              <w:rPr>
                <w:sz w:val="18"/>
                <w:szCs w:val="18"/>
              </w:rPr>
              <w:t>40,527</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320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FS RIMG/OMB forms clearance</w:t>
            </w:r>
          </w:p>
        </w:tc>
        <w:tc>
          <w:tcPr>
            <w:tcW w:w="2790" w:type="dxa"/>
          </w:tcPr>
          <w:p w:rsidR="00C33221" w:rsidRPr="003F4C67" w:rsidRDefault="00C33221" w:rsidP="00F33D5B">
            <w:pPr>
              <w:pStyle w:val="Tablenumbers"/>
              <w:cnfStyle w:val="000000000000"/>
              <w:rPr>
                <w:sz w:val="18"/>
                <w:szCs w:val="18"/>
              </w:rPr>
            </w:pPr>
            <w:r w:rsidRPr="003F4C67">
              <w:rPr>
                <w:sz w:val="18"/>
                <w:szCs w:val="18"/>
              </w:rPr>
              <w:t>39,164</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331</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Instrumentation</w:t>
            </w:r>
          </w:p>
        </w:tc>
        <w:tc>
          <w:tcPr>
            <w:tcW w:w="2790" w:type="dxa"/>
          </w:tcPr>
          <w:p w:rsidR="00C33221" w:rsidRPr="003F4C67" w:rsidRDefault="00C33221" w:rsidP="00F33D5B">
            <w:pPr>
              <w:pStyle w:val="Tablenumbers"/>
              <w:cnfStyle w:val="000000000000"/>
              <w:rPr>
                <w:sz w:val="18"/>
                <w:szCs w:val="18"/>
              </w:rPr>
            </w:pPr>
            <w:r w:rsidRPr="003F4C67">
              <w:rPr>
                <w:sz w:val="18"/>
                <w:szCs w:val="18"/>
              </w:rPr>
              <w:t>563,809</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332</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Tracing</w:t>
            </w:r>
          </w:p>
        </w:tc>
        <w:tc>
          <w:tcPr>
            <w:tcW w:w="2790" w:type="dxa"/>
          </w:tcPr>
          <w:p w:rsidR="00C33221" w:rsidRPr="003F4C67" w:rsidRDefault="00C33221" w:rsidP="00F33D5B">
            <w:pPr>
              <w:pStyle w:val="Tablenumbers"/>
              <w:cnfStyle w:val="000000000000"/>
              <w:rPr>
                <w:sz w:val="18"/>
                <w:szCs w:val="18"/>
              </w:rPr>
            </w:pPr>
            <w:r w:rsidRPr="003F4C67">
              <w:rPr>
                <w:sz w:val="18"/>
                <w:szCs w:val="18"/>
              </w:rPr>
              <w:t>774,823</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334</w:t>
            </w:r>
          </w:p>
        </w:tc>
        <w:tc>
          <w:tcPr>
            <w:tcW w:w="5581" w:type="dxa"/>
          </w:tcPr>
          <w:p w:rsidR="00C33221" w:rsidRPr="003F4C67" w:rsidRDefault="00C33221" w:rsidP="003F1B59">
            <w:pPr>
              <w:pStyle w:val="Tabletext"/>
              <w:spacing w:before="0" w:after="0"/>
              <w:cnfStyle w:val="000000000000"/>
              <w:rPr>
                <w:sz w:val="18"/>
                <w:szCs w:val="18"/>
              </w:rPr>
            </w:pPr>
            <w:r w:rsidRPr="003F4C67">
              <w:rPr>
                <w:sz w:val="18"/>
                <w:szCs w:val="18"/>
              </w:rPr>
              <w:t>Training for help desk/CATI data collection</w:t>
            </w:r>
          </w:p>
        </w:tc>
        <w:tc>
          <w:tcPr>
            <w:tcW w:w="2790" w:type="dxa"/>
          </w:tcPr>
          <w:p w:rsidR="00C33221" w:rsidRPr="003F4C67" w:rsidRDefault="00C33221" w:rsidP="00F33D5B">
            <w:pPr>
              <w:pStyle w:val="Tablenumbers"/>
              <w:cnfStyle w:val="000000000000"/>
              <w:rPr>
                <w:sz w:val="18"/>
                <w:szCs w:val="18"/>
              </w:rPr>
            </w:pPr>
            <w:r w:rsidRPr="003F4C67">
              <w:rPr>
                <w:sz w:val="18"/>
                <w:szCs w:val="18"/>
              </w:rPr>
              <w:t>334,372</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336</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Web/telephone/field data collection</w:t>
            </w:r>
          </w:p>
        </w:tc>
        <w:tc>
          <w:tcPr>
            <w:tcW w:w="2790" w:type="dxa"/>
          </w:tcPr>
          <w:p w:rsidR="00C33221" w:rsidRPr="003F4C67" w:rsidRDefault="00C33221" w:rsidP="00F33D5B">
            <w:pPr>
              <w:pStyle w:val="Tablenumbers"/>
              <w:cnfStyle w:val="000000000000"/>
              <w:rPr>
                <w:sz w:val="18"/>
                <w:szCs w:val="18"/>
              </w:rPr>
            </w:pPr>
            <w:r w:rsidRPr="003F4C67">
              <w:rPr>
                <w:sz w:val="18"/>
                <w:szCs w:val="18"/>
              </w:rPr>
              <w:t>2,222,289</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337</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Data processing</w:t>
            </w:r>
          </w:p>
        </w:tc>
        <w:tc>
          <w:tcPr>
            <w:tcW w:w="2790" w:type="dxa"/>
          </w:tcPr>
          <w:p w:rsidR="00C33221" w:rsidRPr="003F4C67" w:rsidRDefault="00C33221" w:rsidP="00F33D5B">
            <w:pPr>
              <w:pStyle w:val="Tablenumbers"/>
              <w:cnfStyle w:val="000000000000"/>
              <w:rPr>
                <w:sz w:val="18"/>
                <w:szCs w:val="18"/>
              </w:rPr>
            </w:pPr>
            <w:r w:rsidRPr="003F4C67">
              <w:rPr>
                <w:sz w:val="18"/>
                <w:szCs w:val="18"/>
              </w:rPr>
              <w:t>351,664</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338</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Weighting, imputations, and nonresponse bias analysis</w:t>
            </w:r>
          </w:p>
        </w:tc>
        <w:tc>
          <w:tcPr>
            <w:tcW w:w="2790" w:type="dxa"/>
          </w:tcPr>
          <w:p w:rsidR="00C33221" w:rsidRPr="003F4C67" w:rsidRDefault="00C33221" w:rsidP="00F33D5B">
            <w:pPr>
              <w:pStyle w:val="Tablenumbers"/>
              <w:cnfStyle w:val="000000000000"/>
              <w:rPr>
                <w:sz w:val="18"/>
                <w:szCs w:val="18"/>
              </w:rPr>
            </w:pPr>
            <w:r w:rsidRPr="003F4C67">
              <w:rPr>
                <w:sz w:val="18"/>
                <w:szCs w:val="18"/>
              </w:rPr>
              <w:t>208,903</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339</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Data disclosure planning and prevention</w:t>
            </w:r>
          </w:p>
        </w:tc>
        <w:tc>
          <w:tcPr>
            <w:tcW w:w="2790" w:type="dxa"/>
          </w:tcPr>
          <w:p w:rsidR="00C33221" w:rsidRPr="003F4C67" w:rsidRDefault="00C33221" w:rsidP="00F33D5B">
            <w:pPr>
              <w:pStyle w:val="Tablenumbers"/>
              <w:cnfStyle w:val="000000000000"/>
              <w:rPr>
                <w:sz w:val="18"/>
                <w:szCs w:val="18"/>
              </w:rPr>
            </w:pPr>
            <w:r w:rsidRPr="003F4C67">
              <w:rPr>
                <w:sz w:val="18"/>
                <w:szCs w:val="18"/>
              </w:rPr>
              <w:t>41,855</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340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Methodology report</w:t>
            </w:r>
          </w:p>
        </w:tc>
        <w:tc>
          <w:tcPr>
            <w:tcW w:w="2790" w:type="dxa"/>
          </w:tcPr>
          <w:p w:rsidR="00C33221" w:rsidRPr="003F4C67" w:rsidRDefault="00C33221" w:rsidP="00F33D5B">
            <w:pPr>
              <w:pStyle w:val="Tablenumbers"/>
              <w:cnfStyle w:val="000000000000"/>
              <w:rPr>
                <w:sz w:val="18"/>
                <w:szCs w:val="18"/>
              </w:rPr>
            </w:pPr>
            <w:r w:rsidRPr="003F4C67">
              <w:rPr>
                <w:sz w:val="18"/>
                <w:szCs w:val="18"/>
              </w:rPr>
              <w:t>170,217</w:t>
            </w:r>
          </w:p>
        </w:tc>
      </w:tr>
      <w:tr w:rsidR="00F33D5B" w:rsidRPr="003F4C67" w:rsidTr="002225C7">
        <w:trPr>
          <w:trHeight w:hRule="exact" w:val="200"/>
        </w:trPr>
        <w:tc>
          <w:tcPr>
            <w:cnfStyle w:val="001000000000"/>
            <w:tcW w:w="6769" w:type="dxa"/>
            <w:gridSpan w:val="2"/>
          </w:tcPr>
          <w:p w:rsidR="00F33D5B" w:rsidRPr="003F4C67" w:rsidRDefault="00F33D5B" w:rsidP="003F4C67">
            <w:pPr>
              <w:pStyle w:val="Tabletext"/>
              <w:spacing w:before="0" w:after="0"/>
              <w:rPr>
                <w:sz w:val="18"/>
                <w:szCs w:val="18"/>
              </w:rPr>
            </w:pPr>
          </w:p>
        </w:tc>
        <w:tc>
          <w:tcPr>
            <w:tcW w:w="2790" w:type="dxa"/>
          </w:tcPr>
          <w:p w:rsidR="00F33D5B" w:rsidRPr="003F4C67" w:rsidRDefault="00F33D5B" w:rsidP="00F33D5B">
            <w:pPr>
              <w:pStyle w:val="Tablenumbers"/>
              <w:cnfStyle w:val="000000000000"/>
              <w:rPr>
                <w:sz w:val="18"/>
                <w:szCs w:val="18"/>
              </w:rPr>
            </w:pPr>
          </w:p>
        </w:tc>
      </w:tr>
      <w:tr w:rsidR="00C33221" w:rsidRPr="003F4C67" w:rsidTr="00F33D5B">
        <w:trPr>
          <w:trHeight w:hRule="exact" w:val="245"/>
        </w:trPr>
        <w:tc>
          <w:tcPr>
            <w:cnfStyle w:val="001000000000"/>
            <w:tcW w:w="6769" w:type="dxa"/>
            <w:gridSpan w:val="2"/>
          </w:tcPr>
          <w:p w:rsidR="00C33221" w:rsidRPr="003F4C67" w:rsidRDefault="00C33221" w:rsidP="003F4C67">
            <w:pPr>
              <w:pStyle w:val="Tabletext"/>
              <w:spacing w:before="0" w:after="0"/>
              <w:rPr>
                <w:sz w:val="18"/>
                <w:szCs w:val="18"/>
              </w:rPr>
            </w:pPr>
            <w:r w:rsidRPr="003F4C67">
              <w:rPr>
                <w:sz w:val="18"/>
                <w:szCs w:val="18"/>
              </w:rPr>
              <w:t>Descriptive reporting</w:t>
            </w:r>
          </w:p>
        </w:tc>
        <w:tc>
          <w:tcPr>
            <w:tcW w:w="2790" w:type="dxa"/>
          </w:tcPr>
          <w:p w:rsidR="00C33221" w:rsidRPr="003F4C67" w:rsidRDefault="00C33221" w:rsidP="00F33D5B">
            <w:pPr>
              <w:pStyle w:val="Tablenumbers"/>
              <w:cnfStyle w:val="000000000000"/>
              <w:rPr>
                <w:sz w:val="18"/>
                <w:szCs w:val="18"/>
              </w:rPr>
            </w:pP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410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ED tabulations</w:t>
            </w:r>
          </w:p>
        </w:tc>
        <w:tc>
          <w:tcPr>
            <w:tcW w:w="2790" w:type="dxa"/>
          </w:tcPr>
          <w:p w:rsidR="00C33221" w:rsidRPr="003F4C67" w:rsidRDefault="00C33221" w:rsidP="00F33D5B">
            <w:pPr>
              <w:pStyle w:val="Tablenumbers"/>
              <w:cnfStyle w:val="000000000000"/>
              <w:rPr>
                <w:sz w:val="18"/>
                <w:szCs w:val="18"/>
              </w:rPr>
            </w:pPr>
            <w:r w:rsidRPr="003F4C67">
              <w:rPr>
                <w:sz w:val="18"/>
                <w:szCs w:val="18"/>
              </w:rPr>
              <w:t>210,268</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420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Data analysis system</w:t>
            </w:r>
          </w:p>
        </w:tc>
        <w:tc>
          <w:tcPr>
            <w:tcW w:w="2790" w:type="dxa"/>
          </w:tcPr>
          <w:p w:rsidR="00C33221" w:rsidRPr="003F4C67" w:rsidRDefault="00C33221" w:rsidP="00F33D5B">
            <w:pPr>
              <w:pStyle w:val="Tablenumbers"/>
              <w:cnfStyle w:val="000000000000"/>
              <w:rPr>
                <w:sz w:val="18"/>
                <w:szCs w:val="18"/>
              </w:rPr>
            </w:pPr>
            <w:r w:rsidRPr="003F4C67">
              <w:rPr>
                <w:sz w:val="18"/>
                <w:szCs w:val="18"/>
              </w:rPr>
              <w:t>134,048</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430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Additional special tabulations</w:t>
            </w:r>
          </w:p>
        </w:tc>
        <w:tc>
          <w:tcPr>
            <w:tcW w:w="2790" w:type="dxa"/>
          </w:tcPr>
          <w:p w:rsidR="00C33221" w:rsidRPr="003F4C67" w:rsidRDefault="00C33221" w:rsidP="00F33D5B">
            <w:pPr>
              <w:pStyle w:val="Tablenumbers"/>
              <w:cnfStyle w:val="000000000000"/>
              <w:rPr>
                <w:sz w:val="18"/>
                <w:szCs w:val="18"/>
              </w:rPr>
            </w:pPr>
            <w:r w:rsidRPr="003F4C67">
              <w:rPr>
                <w:sz w:val="18"/>
                <w:szCs w:val="18"/>
              </w:rPr>
              <w:t>87,005</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440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Descriptive reports</w:t>
            </w:r>
          </w:p>
        </w:tc>
        <w:tc>
          <w:tcPr>
            <w:tcW w:w="2790" w:type="dxa"/>
          </w:tcPr>
          <w:p w:rsidR="00C33221" w:rsidRPr="003F4C67" w:rsidRDefault="00C33221" w:rsidP="00F33D5B">
            <w:pPr>
              <w:pStyle w:val="Tablenumbers"/>
              <w:cnfStyle w:val="000000000000"/>
              <w:rPr>
                <w:sz w:val="18"/>
                <w:szCs w:val="18"/>
              </w:rPr>
            </w:pPr>
            <w:r w:rsidRPr="003F4C67">
              <w:rPr>
                <w:sz w:val="18"/>
                <w:szCs w:val="18"/>
              </w:rPr>
              <w:t>210,037</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450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Respond to information requests</w:t>
            </w:r>
          </w:p>
        </w:tc>
        <w:tc>
          <w:tcPr>
            <w:tcW w:w="2790" w:type="dxa"/>
          </w:tcPr>
          <w:p w:rsidR="00C33221" w:rsidRPr="003F4C67" w:rsidRDefault="00C33221" w:rsidP="00F33D5B">
            <w:pPr>
              <w:pStyle w:val="Tablenumbers"/>
              <w:cnfStyle w:val="000000000000"/>
              <w:rPr>
                <w:sz w:val="18"/>
                <w:szCs w:val="18"/>
              </w:rPr>
            </w:pPr>
            <w:r w:rsidRPr="003F4C67">
              <w:rPr>
                <w:sz w:val="18"/>
                <w:szCs w:val="18"/>
              </w:rPr>
              <w:t>28,920</w:t>
            </w:r>
          </w:p>
        </w:tc>
      </w:tr>
      <w:tr w:rsidR="00C33221" w:rsidRPr="003F4C67" w:rsidTr="00F33D5B">
        <w:trPr>
          <w:trHeight w:hRule="exact" w:val="245"/>
        </w:trPr>
        <w:tc>
          <w:tcPr>
            <w:cnfStyle w:val="001000000000"/>
            <w:tcW w:w="1188" w:type="dxa"/>
          </w:tcPr>
          <w:p w:rsidR="00C33221" w:rsidRPr="003F4C67" w:rsidRDefault="00C33221" w:rsidP="003F4C67">
            <w:pPr>
              <w:pStyle w:val="2enspsubgroup1"/>
              <w:spacing w:before="0" w:after="0"/>
              <w:rPr>
                <w:sz w:val="18"/>
                <w:szCs w:val="18"/>
              </w:rPr>
            </w:pPr>
            <w:r w:rsidRPr="003F4C67">
              <w:rPr>
                <w:sz w:val="18"/>
                <w:szCs w:val="18"/>
              </w:rPr>
              <w:t>460</w:t>
            </w:r>
          </w:p>
        </w:tc>
        <w:tc>
          <w:tcPr>
            <w:tcW w:w="5581" w:type="dxa"/>
          </w:tcPr>
          <w:p w:rsidR="00C33221" w:rsidRPr="003F4C67" w:rsidRDefault="00C33221" w:rsidP="003F4C67">
            <w:pPr>
              <w:pStyle w:val="Tabletext"/>
              <w:spacing w:before="0" w:after="0"/>
              <w:cnfStyle w:val="000000000000"/>
              <w:rPr>
                <w:sz w:val="18"/>
                <w:szCs w:val="18"/>
              </w:rPr>
            </w:pPr>
            <w:r w:rsidRPr="003F4C67">
              <w:rPr>
                <w:sz w:val="18"/>
                <w:szCs w:val="18"/>
              </w:rPr>
              <w:t>Final technical memo</w:t>
            </w:r>
          </w:p>
        </w:tc>
        <w:tc>
          <w:tcPr>
            <w:tcW w:w="2790" w:type="dxa"/>
          </w:tcPr>
          <w:p w:rsidR="00C33221" w:rsidRPr="003F4C67" w:rsidRDefault="00C33221" w:rsidP="00F33D5B">
            <w:pPr>
              <w:pStyle w:val="Tablenumbers"/>
              <w:cnfStyle w:val="000000000000"/>
              <w:rPr>
                <w:sz w:val="18"/>
                <w:szCs w:val="18"/>
              </w:rPr>
            </w:pPr>
            <w:r w:rsidRPr="003F4C67">
              <w:rPr>
                <w:sz w:val="18"/>
                <w:szCs w:val="18"/>
              </w:rPr>
              <w:t>13,825</w:t>
            </w:r>
          </w:p>
        </w:tc>
      </w:tr>
    </w:tbl>
    <w:p w:rsidR="00C33221" w:rsidRDefault="00C33221" w:rsidP="00ED30CE">
      <w:pPr>
        <w:pStyle w:val="Source"/>
        <w:spacing w:after="360"/>
      </w:pPr>
      <w:r w:rsidRPr="005C26EF">
        <w:t xml:space="preserve">NOTE: Costs presented here do not include base or award fee. </w:t>
      </w:r>
      <w:r>
        <w:t xml:space="preserve">B&amp;B:08/12 = 2008/12 Baccalaureate and Beyond Longitudinal Study; CAPI = computer-assisted personal interviewing; </w:t>
      </w:r>
      <w:r w:rsidRPr="005C26EF">
        <w:t>CATI = computer</w:t>
      </w:r>
      <w:r>
        <w:t>-</w:t>
      </w:r>
      <w:r w:rsidRPr="005C26EF">
        <w:t>assisted telephone interview</w:t>
      </w:r>
      <w:r>
        <w:t>ing;</w:t>
      </w:r>
      <w:r w:rsidRPr="005C26EF">
        <w:t xml:space="preserve"> </w:t>
      </w:r>
      <w:r>
        <w:t>ED = Department of Education; OMB = Office of Management and Budget; RIMG = Regulatory Information Management Group.</w:t>
      </w:r>
    </w:p>
    <w:p w:rsidR="00C33221" w:rsidRDefault="00C33221" w:rsidP="004F1598">
      <w:pPr>
        <w:pStyle w:val="Heading2"/>
        <w:numPr>
          <w:ilvl w:val="1"/>
          <w:numId w:val="16"/>
        </w:numPr>
        <w:tabs>
          <w:tab w:val="clear" w:pos="979"/>
        </w:tabs>
        <w:ind w:left="1080" w:hanging="540"/>
      </w:pPr>
      <w:bookmarkStart w:id="151" w:name="_Toc322356413"/>
      <w:r w:rsidRPr="005C26EF">
        <w:t>Publication Plans and Time Schedule</w:t>
      </w:r>
      <w:bookmarkEnd w:id="151"/>
    </w:p>
    <w:p w:rsidR="00C33221" w:rsidRDefault="00C33221" w:rsidP="00427FFC">
      <w:pPr>
        <w:pStyle w:val="BodyText"/>
        <w:ind w:firstLine="0"/>
      </w:pPr>
      <w:r w:rsidRPr="005C26EF">
        <w:t xml:space="preserve">The formal contract for </w:t>
      </w:r>
      <w:r>
        <w:t>B&amp;B:08/12</w:t>
      </w:r>
      <w:r w:rsidRPr="005C26EF">
        <w:t xml:space="preserve"> requires the following reports, publications, or other public information releases:</w:t>
      </w:r>
    </w:p>
    <w:p w:rsidR="00C33221" w:rsidRPr="002225C7" w:rsidRDefault="00C33221" w:rsidP="002225C7">
      <w:pPr>
        <w:pStyle w:val="bulletround"/>
      </w:pPr>
      <w:r w:rsidRPr="002225C7">
        <w:t>A First Look, Statistics-In-Brief, and Web Tables for online dissemination to a broad audience;</w:t>
      </w:r>
    </w:p>
    <w:p w:rsidR="00C33221" w:rsidRPr="002225C7" w:rsidRDefault="00C33221" w:rsidP="002225C7">
      <w:pPr>
        <w:pStyle w:val="bulletround"/>
      </w:pPr>
      <w:r w:rsidRPr="002225C7">
        <w:t>Detailed methodological report describing all aspects of the full-scale study design and data collection procedures (a working paper detailing the methodological findings from the field test will also be produced);</w:t>
      </w:r>
    </w:p>
    <w:p w:rsidR="00C33221" w:rsidRPr="002225C7" w:rsidRDefault="00C33221" w:rsidP="002225C7">
      <w:pPr>
        <w:pStyle w:val="bulletround"/>
      </w:pPr>
      <w:r w:rsidRPr="002225C7">
        <w:t>Complete data files and documentation for research data users in the form of both a restricted-use electronic codebook and public-use data tools (i.e., QuickStats, PowerStats); and</w:t>
      </w:r>
    </w:p>
    <w:p w:rsidR="00C33221" w:rsidRPr="002225C7" w:rsidRDefault="00C33221" w:rsidP="002225C7">
      <w:pPr>
        <w:pStyle w:val="bulletround"/>
      </w:pPr>
      <w:r w:rsidRPr="002225C7">
        <w:t xml:space="preserve">Special tabulations of issues of interest to the higher education community, as determined by NCES. </w:t>
      </w:r>
    </w:p>
    <w:p w:rsidR="00C33221" w:rsidRDefault="00C33221" w:rsidP="00062DED">
      <w:pPr>
        <w:pStyle w:val="BodyText"/>
        <w:ind w:firstLine="0"/>
      </w:pPr>
      <w:r w:rsidRPr="005C26EF">
        <w:t xml:space="preserve">The operational schedule for the </w:t>
      </w:r>
      <w:r>
        <w:t>B&amp;B:08/12</w:t>
      </w:r>
      <w:r w:rsidRPr="005C26EF">
        <w:t xml:space="preserve"> full-scale study is shown in t</w:t>
      </w:r>
      <w:r>
        <w:t xml:space="preserve">able </w:t>
      </w:r>
      <w:r w:rsidR="008878F3">
        <w:t>6</w:t>
      </w:r>
      <w:r w:rsidRPr="005C26EF">
        <w:t>.</w:t>
      </w:r>
    </w:p>
    <w:p w:rsidR="00C33221" w:rsidRPr="002225C7" w:rsidRDefault="00C33221" w:rsidP="002225C7">
      <w:pPr>
        <w:pStyle w:val="TableTitle"/>
      </w:pPr>
      <w:bookmarkStart w:id="152" w:name="_Toc279664332"/>
      <w:bookmarkStart w:id="153" w:name="_Toc320867488"/>
      <w:bookmarkStart w:id="154" w:name="_Toc320870704"/>
      <w:bookmarkStart w:id="155" w:name="_Toc322356421"/>
      <w:r w:rsidRPr="002225C7">
        <w:t xml:space="preserve">Table </w:t>
      </w:r>
      <w:r w:rsidR="00460280" w:rsidRPr="002225C7">
        <w:rPr>
          <w:rStyle w:val="TableTitleChar"/>
        </w:rPr>
        <w:t>6</w:t>
      </w:r>
      <w:r w:rsidRPr="002225C7">
        <w:t>.</w:t>
      </w:r>
      <w:r w:rsidRPr="002225C7">
        <w:tab/>
        <w:t>Operational schedule for B&amp;B:08/12</w:t>
      </w:r>
      <w:bookmarkEnd w:id="152"/>
      <w:bookmarkEnd w:id="153"/>
      <w:bookmarkEnd w:id="154"/>
      <w:bookmarkEnd w:id="155"/>
    </w:p>
    <w:tbl>
      <w:tblPr>
        <w:tblStyle w:val="TableGrid"/>
        <w:tblW w:w="5000" w:type="pct"/>
        <w:tblLayout w:type="fixed"/>
        <w:tblLook w:val="01E0"/>
      </w:tblPr>
      <w:tblGrid>
        <w:gridCol w:w="6817"/>
        <w:gridCol w:w="1811"/>
        <w:gridCol w:w="1812"/>
      </w:tblGrid>
      <w:tr w:rsidR="00C33221" w:rsidRPr="005C26EF" w:rsidTr="00FA693D">
        <w:trPr>
          <w:cnfStyle w:val="100000000000"/>
        </w:trPr>
        <w:tc>
          <w:tcPr>
            <w:cnfStyle w:val="001000000100"/>
            <w:tcW w:w="6817" w:type="dxa"/>
          </w:tcPr>
          <w:p w:rsidR="00C33221" w:rsidRDefault="00C33221" w:rsidP="00306F8C">
            <w:pPr>
              <w:pStyle w:val="Tableheading"/>
              <w:spacing w:before="40" w:after="40"/>
              <w:jc w:val="left"/>
            </w:pPr>
            <w:r w:rsidRPr="005C26EF">
              <w:t>Activity</w:t>
            </w:r>
          </w:p>
        </w:tc>
        <w:tc>
          <w:tcPr>
            <w:tcW w:w="1811" w:type="dxa"/>
          </w:tcPr>
          <w:p w:rsidR="00C33221" w:rsidRDefault="00C33221" w:rsidP="00306F8C">
            <w:pPr>
              <w:pStyle w:val="Tableheading"/>
              <w:spacing w:before="40" w:after="40"/>
              <w:cnfStyle w:val="100000000000"/>
            </w:pPr>
            <w:r w:rsidRPr="005C26EF">
              <w:t>Start date</w:t>
            </w:r>
          </w:p>
        </w:tc>
        <w:tc>
          <w:tcPr>
            <w:tcW w:w="1812" w:type="dxa"/>
          </w:tcPr>
          <w:p w:rsidR="00C33221" w:rsidRDefault="00C33221" w:rsidP="00306F8C">
            <w:pPr>
              <w:pStyle w:val="Tableheading"/>
              <w:spacing w:before="40" w:after="40"/>
              <w:cnfStyle w:val="100000000000"/>
            </w:pPr>
            <w:r w:rsidRPr="005C26EF">
              <w:t>End date</w:t>
            </w:r>
          </w:p>
        </w:tc>
      </w:tr>
      <w:tr w:rsidR="00C33221" w:rsidRPr="005C26EF" w:rsidTr="00FA693D">
        <w:tc>
          <w:tcPr>
            <w:cnfStyle w:val="001000000000"/>
            <w:tcW w:w="6817" w:type="dxa"/>
          </w:tcPr>
          <w:p w:rsidR="00C33221" w:rsidRDefault="00C33221" w:rsidP="004320C5">
            <w:pPr>
              <w:pStyle w:val="Tabletext"/>
              <w:spacing w:before="40" w:after="40"/>
            </w:pPr>
            <w:r w:rsidRPr="005C26EF">
              <w:t>Full</w:t>
            </w:r>
            <w:r w:rsidR="00835A08">
              <w:t>-</w:t>
            </w:r>
            <w:r>
              <w:t>s</w:t>
            </w:r>
            <w:r w:rsidRPr="005C26EF">
              <w:t>cale</w:t>
            </w:r>
          </w:p>
        </w:tc>
        <w:tc>
          <w:tcPr>
            <w:tcW w:w="1811" w:type="dxa"/>
          </w:tcPr>
          <w:p w:rsidR="00C33221" w:rsidRPr="00ED30CE" w:rsidRDefault="00C33221" w:rsidP="00306F8C">
            <w:pPr>
              <w:pStyle w:val="Tablenumbers"/>
              <w:spacing w:before="40" w:after="40"/>
              <w:cnfStyle w:val="000000000000"/>
            </w:pPr>
          </w:p>
        </w:tc>
        <w:tc>
          <w:tcPr>
            <w:tcW w:w="1812" w:type="dxa"/>
          </w:tcPr>
          <w:p w:rsidR="00C33221" w:rsidRPr="00ED30CE" w:rsidRDefault="00C33221" w:rsidP="00306F8C">
            <w:pPr>
              <w:pStyle w:val="Tablenumbers"/>
              <w:spacing w:before="40" w:after="40"/>
              <w:cnfStyle w:val="000000000000"/>
            </w:pPr>
          </w:p>
        </w:tc>
      </w:tr>
      <w:tr w:rsidR="00C33221" w:rsidRPr="005C26EF" w:rsidTr="00FA693D">
        <w:tc>
          <w:tcPr>
            <w:cnfStyle w:val="001000000000"/>
            <w:tcW w:w="6817" w:type="dxa"/>
          </w:tcPr>
          <w:p w:rsidR="00C33221" w:rsidRDefault="00C33221" w:rsidP="00306F8C">
            <w:pPr>
              <w:pStyle w:val="2enspsubgroup1"/>
              <w:spacing w:before="40" w:after="40"/>
            </w:pPr>
            <w:r>
              <w:t>Modify/deliver sample specifications</w:t>
            </w:r>
          </w:p>
        </w:tc>
        <w:tc>
          <w:tcPr>
            <w:tcW w:w="1811" w:type="dxa"/>
          </w:tcPr>
          <w:p w:rsidR="00C33221" w:rsidRPr="00ED30CE" w:rsidRDefault="00A20B8E" w:rsidP="00880342">
            <w:pPr>
              <w:pStyle w:val="Tablenumbers"/>
              <w:spacing w:before="40" w:after="40"/>
              <w:cnfStyle w:val="000000000000"/>
            </w:pPr>
            <w:r>
              <w:t>4</w:t>
            </w:r>
            <w:r w:rsidR="00C33221" w:rsidRPr="00ED30CE">
              <w:t>/</w:t>
            </w:r>
            <w:r>
              <w:t>30</w:t>
            </w:r>
            <w:r w:rsidR="00C33221" w:rsidRPr="00ED30CE">
              <w:t>/2012</w:t>
            </w:r>
          </w:p>
        </w:tc>
        <w:tc>
          <w:tcPr>
            <w:tcW w:w="1812" w:type="dxa"/>
          </w:tcPr>
          <w:p w:rsidR="00C33221" w:rsidRPr="00ED30CE" w:rsidRDefault="00A20B8E" w:rsidP="00306F8C">
            <w:pPr>
              <w:pStyle w:val="Tablenumbers"/>
              <w:spacing w:before="40" w:after="40"/>
              <w:cnfStyle w:val="000000000000"/>
            </w:pPr>
            <w:r>
              <w:t>5</w:t>
            </w:r>
            <w:r w:rsidR="00C33221" w:rsidRPr="00ED30CE">
              <w:t>/</w:t>
            </w:r>
            <w:r>
              <w:t>11</w:t>
            </w:r>
            <w:r w:rsidR="00C33221" w:rsidRPr="00ED30CE">
              <w:t>/2012</w:t>
            </w:r>
          </w:p>
        </w:tc>
      </w:tr>
      <w:tr w:rsidR="00C33221" w:rsidRPr="005C26EF" w:rsidTr="00FA693D">
        <w:tc>
          <w:tcPr>
            <w:cnfStyle w:val="001000000000"/>
            <w:tcW w:w="6817" w:type="dxa"/>
          </w:tcPr>
          <w:p w:rsidR="00062DED" w:rsidRDefault="00062DED" w:rsidP="00306F8C">
            <w:pPr>
              <w:pStyle w:val="2enspsubgroup1"/>
              <w:spacing w:before="40" w:after="40"/>
            </w:pPr>
            <w:r>
              <w:t>Conduct locating, tracing and panel maintenance activities</w:t>
            </w:r>
          </w:p>
          <w:p w:rsidR="00C33221" w:rsidRDefault="00C33221" w:rsidP="00306F8C">
            <w:pPr>
              <w:pStyle w:val="2enspsubgroup1"/>
              <w:spacing w:before="40" w:after="40"/>
            </w:pPr>
            <w:r>
              <w:t>Conduct telephone and field training</w:t>
            </w:r>
          </w:p>
        </w:tc>
        <w:tc>
          <w:tcPr>
            <w:tcW w:w="1811" w:type="dxa"/>
          </w:tcPr>
          <w:p w:rsidR="00062DED" w:rsidRDefault="006A3BD1" w:rsidP="00880342">
            <w:pPr>
              <w:pStyle w:val="Tablenumbers"/>
              <w:spacing w:before="40" w:after="40"/>
              <w:cnfStyle w:val="000000000000"/>
            </w:pPr>
            <w:r>
              <w:t>6</w:t>
            </w:r>
            <w:r w:rsidR="00062DED">
              <w:t>/</w:t>
            </w:r>
            <w:r>
              <w:t>15</w:t>
            </w:r>
            <w:r w:rsidR="00062DED">
              <w:t>/12</w:t>
            </w:r>
          </w:p>
          <w:p w:rsidR="00C33221" w:rsidRPr="00ED30CE" w:rsidRDefault="00C33221" w:rsidP="00306F8C">
            <w:pPr>
              <w:pStyle w:val="Tablenumbers"/>
              <w:spacing w:before="40" w:after="40"/>
              <w:cnfStyle w:val="000000000000"/>
            </w:pPr>
            <w:r w:rsidRPr="00ED30CE">
              <w:t>7/9/2012</w:t>
            </w:r>
          </w:p>
        </w:tc>
        <w:tc>
          <w:tcPr>
            <w:tcW w:w="1812" w:type="dxa"/>
          </w:tcPr>
          <w:p w:rsidR="00062DED" w:rsidRDefault="00A20B8E" w:rsidP="00306F8C">
            <w:pPr>
              <w:pStyle w:val="Tablenumbers"/>
              <w:spacing w:before="40" w:after="40"/>
              <w:cnfStyle w:val="000000000000"/>
            </w:pPr>
            <w:r>
              <w:t>6</w:t>
            </w:r>
            <w:r w:rsidR="00062DED">
              <w:t>/</w:t>
            </w:r>
            <w:r>
              <w:t>26</w:t>
            </w:r>
            <w:r w:rsidR="00062DED">
              <w:t>/12</w:t>
            </w:r>
          </w:p>
          <w:p w:rsidR="00C33221" w:rsidRPr="00ED30CE" w:rsidRDefault="00A20B8E" w:rsidP="00E34771">
            <w:pPr>
              <w:pStyle w:val="Tablenumbers"/>
              <w:spacing w:before="40" w:after="40"/>
              <w:cnfStyle w:val="000000000000"/>
            </w:pPr>
            <w:r>
              <w:t>8</w:t>
            </w:r>
            <w:r w:rsidR="00C33221" w:rsidRPr="00ED30CE">
              <w:t>/</w:t>
            </w:r>
            <w:r>
              <w:t>9</w:t>
            </w:r>
            <w:r w:rsidR="00C33221" w:rsidRPr="00ED30CE">
              <w:t>/2012</w:t>
            </w:r>
          </w:p>
        </w:tc>
      </w:tr>
      <w:tr w:rsidR="00C33221" w:rsidRPr="005C26EF" w:rsidTr="00FA693D">
        <w:tc>
          <w:tcPr>
            <w:cnfStyle w:val="001000000000"/>
            <w:tcW w:w="6817" w:type="dxa"/>
          </w:tcPr>
          <w:p w:rsidR="00C33221" w:rsidRDefault="00C33221" w:rsidP="00306F8C">
            <w:pPr>
              <w:pStyle w:val="2enspsubgroup1"/>
              <w:spacing w:before="40" w:after="40"/>
            </w:pPr>
            <w:r>
              <w:t>D</w:t>
            </w:r>
            <w:r w:rsidRPr="005C26EF">
              <w:t>ata collection</w:t>
            </w:r>
          </w:p>
        </w:tc>
        <w:tc>
          <w:tcPr>
            <w:tcW w:w="1811" w:type="dxa"/>
          </w:tcPr>
          <w:p w:rsidR="00C33221" w:rsidRPr="00ED30CE" w:rsidRDefault="00C33221" w:rsidP="00306F8C">
            <w:pPr>
              <w:pStyle w:val="Tablenumbers"/>
              <w:spacing w:before="40" w:after="40"/>
              <w:cnfStyle w:val="000000000000"/>
            </w:pPr>
          </w:p>
        </w:tc>
        <w:tc>
          <w:tcPr>
            <w:tcW w:w="1812" w:type="dxa"/>
          </w:tcPr>
          <w:p w:rsidR="00C33221" w:rsidRPr="00ED30CE" w:rsidRDefault="00C33221" w:rsidP="00306F8C">
            <w:pPr>
              <w:pStyle w:val="Tablenumbers"/>
              <w:spacing w:before="40" w:after="40"/>
              <w:cnfStyle w:val="000000000000"/>
            </w:pPr>
          </w:p>
        </w:tc>
      </w:tr>
      <w:tr w:rsidR="00C33221" w:rsidRPr="005C26EF" w:rsidTr="00FA693D">
        <w:tc>
          <w:tcPr>
            <w:cnfStyle w:val="001000000000"/>
            <w:tcW w:w="6817" w:type="dxa"/>
          </w:tcPr>
          <w:p w:rsidR="00C33221" w:rsidRDefault="00C33221" w:rsidP="00306F8C">
            <w:pPr>
              <w:pStyle w:val="4enspsubgroup2"/>
              <w:spacing w:before="40" w:after="40"/>
            </w:pPr>
            <w:r w:rsidRPr="005C26EF">
              <w:t>Self-administered web interviews</w:t>
            </w:r>
          </w:p>
        </w:tc>
        <w:tc>
          <w:tcPr>
            <w:tcW w:w="1811" w:type="dxa"/>
          </w:tcPr>
          <w:p w:rsidR="00C33221" w:rsidRPr="00ED30CE" w:rsidRDefault="00295B31" w:rsidP="00306F8C">
            <w:pPr>
              <w:pStyle w:val="Tablenumbers"/>
              <w:spacing w:before="40" w:after="40"/>
              <w:cnfStyle w:val="000000000000"/>
            </w:pPr>
            <w:r>
              <w:t>7</w:t>
            </w:r>
            <w:r w:rsidR="00C33221" w:rsidRPr="00ED30CE">
              <w:t>/12/2012</w:t>
            </w:r>
          </w:p>
        </w:tc>
        <w:tc>
          <w:tcPr>
            <w:tcW w:w="1812" w:type="dxa"/>
          </w:tcPr>
          <w:p w:rsidR="00C33221" w:rsidRPr="00ED30CE" w:rsidRDefault="00C33221" w:rsidP="00306F8C">
            <w:pPr>
              <w:pStyle w:val="Tablenumbers"/>
              <w:spacing w:before="40" w:after="40"/>
              <w:cnfStyle w:val="000000000000"/>
            </w:pPr>
            <w:bookmarkStart w:id="156" w:name="OLE_LINK5"/>
            <w:bookmarkStart w:id="157" w:name="OLE_LINK6"/>
            <w:r w:rsidRPr="00ED30CE">
              <w:t>3/11/20</w:t>
            </w:r>
            <w:bookmarkEnd w:id="156"/>
            <w:bookmarkEnd w:id="157"/>
            <w:r w:rsidRPr="00ED30CE">
              <w:t>13</w:t>
            </w:r>
          </w:p>
        </w:tc>
      </w:tr>
      <w:tr w:rsidR="00C33221" w:rsidRPr="005C26EF" w:rsidTr="00FA693D">
        <w:tc>
          <w:tcPr>
            <w:cnfStyle w:val="001000000000"/>
            <w:tcW w:w="6817" w:type="dxa"/>
          </w:tcPr>
          <w:p w:rsidR="00C33221" w:rsidRDefault="00C33221" w:rsidP="00306F8C">
            <w:pPr>
              <w:pStyle w:val="4enspsubgroup2"/>
              <w:spacing w:before="40" w:after="40"/>
            </w:pPr>
            <w:r w:rsidRPr="005C26EF">
              <w:t>Conduct telephone interviews of students</w:t>
            </w:r>
          </w:p>
        </w:tc>
        <w:tc>
          <w:tcPr>
            <w:tcW w:w="1811" w:type="dxa"/>
          </w:tcPr>
          <w:p w:rsidR="00C33221" w:rsidRPr="00ED30CE" w:rsidRDefault="00295B31" w:rsidP="00306F8C">
            <w:pPr>
              <w:pStyle w:val="Tablenumbers"/>
              <w:spacing w:before="40" w:after="40"/>
              <w:cnfStyle w:val="000000000000"/>
            </w:pPr>
            <w:r>
              <w:t>8</w:t>
            </w:r>
            <w:r w:rsidR="00C33221" w:rsidRPr="00ED30CE">
              <w:t>1</w:t>
            </w:r>
            <w:r w:rsidR="006A3BD1">
              <w:t>0</w:t>
            </w:r>
            <w:r w:rsidR="00C33221" w:rsidRPr="00ED30CE">
              <w:t>/2012</w:t>
            </w:r>
          </w:p>
        </w:tc>
        <w:tc>
          <w:tcPr>
            <w:tcW w:w="1812" w:type="dxa"/>
          </w:tcPr>
          <w:p w:rsidR="00C33221" w:rsidRPr="00ED30CE" w:rsidRDefault="00C33221" w:rsidP="00306F8C">
            <w:pPr>
              <w:pStyle w:val="Tablenumbers"/>
              <w:spacing w:before="40" w:after="40"/>
              <w:cnfStyle w:val="000000000000"/>
            </w:pPr>
            <w:r w:rsidRPr="00ED30CE">
              <w:t>3/11/2013</w:t>
            </w:r>
          </w:p>
        </w:tc>
      </w:tr>
      <w:tr w:rsidR="00C33221" w:rsidRPr="005C26EF" w:rsidTr="00FA693D">
        <w:tc>
          <w:tcPr>
            <w:cnfStyle w:val="001000000000"/>
            <w:tcW w:w="6817" w:type="dxa"/>
          </w:tcPr>
          <w:p w:rsidR="00C33221" w:rsidRDefault="00C33221" w:rsidP="00306F8C">
            <w:pPr>
              <w:pStyle w:val="4enspsubgroup2"/>
              <w:spacing w:before="40" w:after="40"/>
            </w:pPr>
            <w:r w:rsidRPr="005C26EF">
              <w:t>Process data, construct data files</w:t>
            </w:r>
          </w:p>
        </w:tc>
        <w:tc>
          <w:tcPr>
            <w:tcW w:w="1811" w:type="dxa"/>
          </w:tcPr>
          <w:p w:rsidR="00C33221" w:rsidRPr="00ED30CE" w:rsidRDefault="00C33221" w:rsidP="00306F8C">
            <w:pPr>
              <w:pStyle w:val="Tablenumbers"/>
              <w:spacing w:before="40" w:after="40"/>
              <w:cnfStyle w:val="000000000000"/>
            </w:pPr>
            <w:r w:rsidRPr="00ED30CE">
              <w:t>7/12/2012</w:t>
            </w:r>
          </w:p>
        </w:tc>
        <w:tc>
          <w:tcPr>
            <w:tcW w:w="1812" w:type="dxa"/>
          </w:tcPr>
          <w:p w:rsidR="00C33221" w:rsidRPr="00ED30CE" w:rsidRDefault="00C33221" w:rsidP="00306F8C">
            <w:pPr>
              <w:pStyle w:val="Tablenumbers"/>
              <w:spacing w:before="40" w:after="40"/>
              <w:cnfStyle w:val="000000000000"/>
            </w:pPr>
            <w:r w:rsidRPr="00ED30CE">
              <w:t>4/15/2013</w:t>
            </w:r>
          </w:p>
        </w:tc>
      </w:tr>
      <w:tr w:rsidR="00C33221" w:rsidRPr="005C26EF" w:rsidTr="00FA693D">
        <w:tc>
          <w:tcPr>
            <w:cnfStyle w:val="001000000000"/>
            <w:tcW w:w="6817" w:type="dxa"/>
          </w:tcPr>
          <w:p w:rsidR="00C33221" w:rsidRDefault="00C33221" w:rsidP="00306F8C">
            <w:pPr>
              <w:pStyle w:val="4enspsubgroup2"/>
              <w:spacing w:before="40" w:after="40"/>
            </w:pPr>
            <w:r w:rsidRPr="005C26EF">
              <w:t xml:space="preserve">Prepare </w:t>
            </w:r>
            <w:r>
              <w:t xml:space="preserve">submit </w:t>
            </w:r>
            <w:r w:rsidRPr="005C26EF">
              <w:t>reports</w:t>
            </w:r>
          </w:p>
        </w:tc>
        <w:tc>
          <w:tcPr>
            <w:tcW w:w="1811" w:type="dxa"/>
          </w:tcPr>
          <w:p w:rsidR="00C33221" w:rsidRPr="00ED30CE" w:rsidRDefault="006A3BD1" w:rsidP="00306F8C">
            <w:pPr>
              <w:pStyle w:val="Tablenumbers"/>
              <w:spacing w:before="40" w:after="40"/>
              <w:cnfStyle w:val="000000000000"/>
            </w:pPr>
            <w:r>
              <w:t>8</w:t>
            </w:r>
            <w:r w:rsidR="00C33221" w:rsidRPr="00ED30CE">
              <w:t>/15/2012</w:t>
            </w:r>
          </w:p>
        </w:tc>
        <w:tc>
          <w:tcPr>
            <w:tcW w:w="1812" w:type="dxa"/>
          </w:tcPr>
          <w:p w:rsidR="00C33221" w:rsidRPr="00ED30CE" w:rsidRDefault="006A3BD1" w:rsidP="00306F8C">
            <w:pPr>
              <w:pStyle w:val="Tablenumbers"/>
              <w:spacing w:before="40" w:after="40"/>
              <w:cnfStyle w:val="000000000000"/>
            </w:pPr>
            <w:r>
              <w:t>4</w:t>
            </w:r>
            <w:r w:rsidR="00C33221" w:rsidRPr="00ED30CE">
              <w:t>/</w:t>
            </w:r>
            <w:r>
              <w:t>14</w:t>
            </w:r>
            <w:r w:rsidR="00C33221" w:rsidRPr="00ED30CE">
              <w:t>/201</w:t>
            </w:r>
            <w:r>
              <w:t>4</w:t>
            </w:r>
          </w:p>
        </w:tc>
      </w:tr>
    </w:tbl>
    <w:p w:rsidR="00C33221" w:rsidRDefault="00C33221" w:rsidP="00104F2C">
      <w:pPr>
        <w:pStyle w:val="Source"/>
        <w:spacing w:after="360"/>
      </w:pPr>
      <w:bookmarkStart w:id="158" w:name="_Toc146530915"/>
      <w:bookmarkStart w:id="159" w:name="_Toc371999233"/>
      <w:bookmarkStart w:id="160" w:name="_Toc372098085"/>
      <w:bookmarkEnd w:id="158"/>
      <w:r w:rsidRPr="00ED30CE">
        <w:t>NOTE: B&amp;B:08/12 = 2008/12 Baccalaureate and Beyond Longitudinal Study</w:t>
      </w:r>
    </w:p>
    <w:p w:rsidR="00C33221" w:rsidRDefault="00C33221" w:rsidP="004F1598">
      <w:pPr>
        <w:pStyle w:val="Heading2"/>
        <w:numPr>
          <w:ilvl w:val="1"/>
          <w:numId w:val="16"/>
        </w:numPr>
        <w:tabs>
          <w:tab w:val="clear" w:pos="979"/>
        </w:tabs>
        <w:spacing w:line="320" w:lineRule="atLeast"/>
        <w:ind w:left="1080" w:hanging="540"/>
      </w:pPr>
      <w:bookmarkStart w:id="161" w:name="_Toc322356414"/>
      <w:r w:rsidRPr="005C26EF">
        <w:t>Approval to Not Display Expiration Date for OMB Approval</w:t>
      </w:r>
      <w:bookmarkEnd w:id="159"/>
      <w:bookmarkEnd w:id="160"/>
      <w:bookmarkEnd w:id="161"/>
    </w:p>
    <w:p w:rsidR="00C33221" w:rsidRDefault="00C33221" w:rsidP="00427FFC">
      <w:pPr>
        <w:pStyle w:val="BodyText"/>
        <w:ind w:firstLine="0"/>
      </w:pPr>
      <w:bookmarkStart w:id="162" w:name="_Toc436108533"/>
      <w:r>
        <w:t>N/A: no</w:t>
      </w:r>
      <w:r w:rsidRPr="005C26EF">
        <w:t xml:space="preserve"> special exception is requested.</w:t>
      </w:r>
      <w:bookmarkEnd w:id="162"/>
    </w:p>
    <w:p w:rsidR="00C33221" w:rsidRDefault="00C33221" w:rsidP="004F1598">
      <w:pPr>
        <w:pStyle w:val="Heading2"/>
        <w:numPr>
          <w:ilvl w:val="1"/>
          <w:numId w:val="16"/>
        </w:numPr>
        <w:tabs>
          <w:tab w:val="clear" w:pos="979"/>
        </w:tabs>
        <w:spacing w:line="320" w:lineRule="atLeast"/>
        <w:ind w:left="1080" w:hanging="540"/>
      </w:pPr>
      <w:bookmarkStart w:id="163" w:name="_Toc371999234"/>
      <w:bookmarkStart w:id="164" w:name="_Toc372098086"/>
      <w:bookmarkStart w:id="165" w:name="_Toc436108534"/>
      <w:bookmarkStart w:id="166" w:name="_Toc322356415"/>
      <w:r w:rsidRPr="005C26EF">
        <w:t>Exceptions to Certification for Paperwork Reduction Act Submissions</w:t>
      </w:r>
      <w:bookmarkEnd w:id="163"/>
      <w:bookmarkEnd w:id="164"/>
      <w:bookmarkEnd w:id="165"/>
      <w:bookmarkEnd w:id="166"/>
    </w:p>
    <w:p w:rsidR="00C33221" w:rsidRPr="00061193" w:rsidRDefault="00C33221" w:rsidP="00427FFC">
      <w:pPr>
        <w:pStyle w:val="BodyText"/>
        <w:ind w:firstLine="0"/>
      </w:pPr>
      <w:r>
        <w:t xml:space="preserve">N/A: </w:t>
      </w:r>
      <w:r w:rsidRPr="005C26EF">
        <w:t>There are no exceptions to the certification statement identified in the Certification for Paperwork Reduction Act Submissions of OMB Form 8</w:t>
      </w:r>
      <w:bookmarkStart w:id="167" w:name="_Toc174172900"/>
      <w:bookmarkStart w:id="168" w:name="_Toc174182831"/>
      <w:bookmarkStart w:id="169" w:name="_Toc174182901"/>
      <w:bookmarkStart w:id="170" w:name="_Toc174182987"/>
      <w:bookmarkStart w:id="171" w:name="_Toc174183105"/>
      <w:bookmarkStart w:id="172" w:name="_Toc174183354"/>
      <w:bookmarkStart w:id="173" w:name="_Toc174183416"/>
      <w:bookmarkStart w:id="174" w:name="_Toc279664175"/>
      <w:bookmarkStart w:id="175" w:name="_Toc279664270"/>
      <w:bookmarkStart w:id="176" w:name="_Toc279664318"/>
      <w:bookmarkStart w:id="177" w:name="_Toc279664177"/>
      <w:bookmarkStart w:id="178" w:name="_Toc279664272"/>
      <w:bookmarkStart w:id="179" w:name="_Toc279664320"/>
      <w:bookmarkStart w:id="180" w:name="_Toc281389160"/>
      <w:bookmarkStart w:id="181" w:name="_Toc281391828"/>
      <w:bookmarkStart w:id="182" w:name="_Toc281392153"/>
      <w:bookmarkStart w:id="183" w:name="_Toc281400615"/>
      <w:bookmarkStart w:id="184" w:name="_Toc281402668"/>
      <w:bookmarkStart w:id="185" w:name="_Toc281405364"/>
      <w:bookmarkStart w:id="186" w:name="_Toc281516544"/>
      <w:bookmarkStart w:id="187" w:name="_Toc281389162"/>
      <w:bookmarkStart w:id="188" w:name="_Toc281391830"/>
      <w:bookmarkStart w:id="189" w:name="_Toc281392155"/>
      <w:bookmarkStart w:id="190" w:name="_Toc281400617"/>
      <w:bookmarkStart w:id="191" w:name="_Toc281402670"/>
      <w:bookmarkStart w:id="192" w:name="_Toc281405366"/>
      <w:bookmarkStart w:id="193" w:name="_Toc281516546"/>
      <w:bookmarkStart w:id="194" w:name="_Toc281389166"/>
      <w:bookmarkStart w:id="195" w:name="_Toc281391834"/>
      <w:bookmarkStart w:id="196" w:name="_Toc281392159"/>
      <w:bookmarkStart w:id="197" w:name="_Toc281400621"/>
      <w:bookmarkStart w:id="198" w:name="_Toc281402674"/>
      <w:bookmarkStart w:id="199" w:name="_Toc281405370"/>
      <w:bookmarkStart w:id="200" w:name="_Toc281516550"/>
      <w:bookmarkStart w:id="201" w:name="_Toc281389167"/>
      <w:bookmarkStart w:id="202" w:name="_Toc281391835"/>
      <w:bookmarkStart w:id="203" w:name="_Toc281392160"/>
      <w:bookmarkStart w:id="204" w:name="_Toc281400622"/>
      <w:bookmarkStart w:id="205" w:name="_Toc281402675"/>
      <w:bookmarkStart w:id="206" w:name="_Toc281405371"/>
      <w:bookmarkStart w:id="207" w:name="_Toc281516551"/>
      <w:bookmarkStart w:id="208" w:name="_Toc281389168"/>
      <w:bookmarkStart w:id="209" w:name="_Toc281391836"/>
      <w:bookmarkStart w:id="210" w:name="_Toc281392161"/>
      <w:bookmarkStart w:id="211" w:name="_Toc281400623"/>
      <w:bookmarkStart w:id="212" w:name="_Toc281402676"/>
      <w:bookmarkStart w:id="213" w:name="_Toc281405372"/>
      <w:bookmarkStart w:id="214" w:name="_Toc281516552"/>
      <w:bookmarkStart w:id="215" w:name="_Toc281389169"/>
      <w:bookmarkStart w:id="216" w:name="_Toc281391837"/>
      <w:bookmarkStart w:id="217" w:name="_Toc281392162"/>
      <w:bookmarkStart w:id="218" w:name="_Toc281400624"/>
      <w:bookmarkStart w:id="219" w:name="_Toc281402677"/>
      <w:bookmarkStart w:id="220" w:name="_Toc281405373"/>
      <w:bookmarkStart w:id="221" w:name="_Toc281516553"/>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00CF1F7C">
        <w:t xml:space="preserve">.  </w:t>
      </w:r>
    </w:p>
    <w:sectPr w:rsidR="00C33221" w:rsidRPr="00061193" w:rsidSect="002225C7">
      <w:headerReference w:type="even" r:id="rId20"/>
      <w:headerReference w:type="first" r:id="rId21"/>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21F" w:rsidRDefault="0007721F">
      <w:r>
        <w:separator/>
      </w:r>
    </w:p>
  </w:endnote>
  <w:endnote w:type="continuationSeparator" w:id="0">
    <w:p w:rsidR="0007721F" w:rsidRDefault="0007721F">
      <w:r>
        <w:continuationSeparator/>
      </w:r>
    </w:p>
  </w:endnote>
  <w:endnote w:type="continuationNotice" w:id="1">
    <w:p w:rsidR="0007721F" w:rsidRDefault="0007721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Pr="005C6C98" w:rsidRDefault="0007721F" w:rsidP="00D217B6">
    <w:pPr>
      <w:pStyle w:val="NCESoddfooter"/>
    </w:pPr>
    <w:r w:rsidRPr="00E84DB5">
      <w:t>Supporting Statement Request</w:t>
    </w:r>
    <w:r>
      <w:t xml:space="preserve"> </w:t>
    </w:r>
    <w:r w:rsidRPr="00E84DB5">
      <w:t xml:space="preserve">for OMB Review </w:t>
    </w:r>
    <w:r w:rsidRPr="002F6E82">
      <w:tab/>
    </w:r>
    <w:r>
      <w:t>C-</w:t>
    </w:r>
    <w:r w:rsidR="00AC12DE">
      <w:rPr>
        <w:rStyle w:val="PageNumber"/>
        <w:szCs w:val="20"/>
      </w:rPr>
      <w:fldChar w:fldCharType="begin"/>
    </w:r>
    <w:r>
      <w:rPr>
        <w:rStyle w:val="PageNumber"/>
        <w:szCs w:val="20"/>
      </w:rPr>
      <w:instrText xml:space="preserve"> PAGE </w:instrText>
    </w:r>
    <w:r w:rsidR="00AC12DE">
      <w:rPr>
        <w:rStyle w:val="PageNumber"/>
        <w:szCs w:val="20"/>
      </w:rPr>
      <w:fldChar w:fldCharType="separate"/>
    </w:r>
    <w:r>
      <w:rPr>
        <w:rStyle w:val="PageNumber"/>
        <w:noProof/>
        <w:szCs w:val="20"/>
      </w:rPr>
      <w:t>2</w:t>
    </w:r>
    <w:r w:rsidR="00AC12DE">
      <w:rPr>
        <w:rStyle w:val="PageNumber"/>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Default="000772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Pr="0020360F" w:rsidRDefault="00AC12DE" w:rsidP="0020360F">
    <w:pPr>
      <w:pStyle w:val="Footer"/>
    </w:pPr>
    <w:fldSimple w:instr=" PAGE   \* MERGEFORMAT ">
      <w:r w:rsidR="0007721F">
        <w:rPr>
          <w:noProof/>
        </w:rPr>
        <w:t>14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Pr="0020360F" w:rsidRDefault="00AC12DE" w:rsidP="0020360F">
    <w:pPr>
      <w:pStyle w:val="Footer"/>
    </w:pPr>
    <w:fldSimple w:instr=" PAGE   \* MERGEFORMAT ">
      <w:r w:rsidR="0048027C">
        <w:rPr>
          <w:noProof/>
        </w:rPr>
        <w:t>18</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Pr="0020360F" w:rsidRDefault="00AC12DE" w:rsidP="0020360F">
    <w:pPr>
      <w:pStyle w:val="Footer"/>
    </w:pPr>
    <w:fldSimple w:instr=" PAGE   \* MERGEFORMAT ">
      <w:r w:rsidR="0007721F">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21F" w:rsidRDefault="0007721F">
      <w:r>
        <w:separator/>
      </w:r>
    </w:p>
  </w:footnote>
  <w:footnote w:type="continuationSeparator" w:id="0">
    <w:p w:rsidR="0007721F" w:rsidRDefault="0007721F">
      <w:r>
        <w:continuationSeparator/>
      </w:r>
    </w:p>
  </w:footnote>
  <w:footnote w:type="continuationNotice" w:id="1">
    <w:p w:rsidR="0007721F" w:rsidRDefault="0007721F"/>
  </w:footnote>
  <w:footnote w:id="2">
    <w:p w:rsidR="0007721F" w:rsidRDefault="0007721F" w:rsidP="005632BC">
      <w:pPr>
        <w:pStyle w:val="FootnoteText"/>
      </w:pPr>
      <w:r w:rsidRPr="00931796">
        <w:rPr>
          <w:rStyle w:val="FootnoteReference"/>
          <w:sz w:val="20"/>
          <w:szCs w:val="20"/>
        </w:rPr>
        <w:footnoteRef/>
      </w:r>
      <w:r w:rsidRPr="00931796">
        <w:t xml:space="preserve"> RTI International is a trade name of Research Triangle Institute.</w:t>
      </w:r>
    </w:p>
  </w:footnote>
  <w:footnote w:id="3">
    <w:p w:rsidR="0007721F" w:rsidRDefault="0007721F">
      <w:pPr>
        <w:pStyle w:val="FootnoteText"/>
      </w:pPr>
      <w:r>
        <w:rPr>
          <w:rStyle w:val="FootnoteReference"/>
        </w:rPr>
        <w:footnoteRef/>
      </w:r>
      <w:r>
        <w:t xml:space="preserve"> At this time, additional follow-up with the B&amp;B:08 field test and full-scale cohorts is planned but not yet contracted or funded.</w:t>
      </w:r>
    </w:p>
  </w:footnote>
  <w:footnote w:id="4">
    <w:p w:rsidR="0007721F" w:rsidRDefault="0007721F">
      <w:pPr>
        <w:pStyle w:val="FootnoteText"/>
      </w:pPr>
      <w:r>
        <w:rPr>
          <w:rStyle w:val="FootnoteReference"/>
        </w:rPr>
        <w:footnoteRef/>
      </w:r>
      <w:r>
        <w:t xml:space="preserve"> Response propensity scores were calculated for the B&amp;B:08/12 full-scale sample as part of a field test experiment. </w:t>
      </w:r>
      <w:r w:rsidRPr="00A85E54">
        <w:t>See the field test package (1850-0729</w:t>
      </w:r>
      <w:r>
        <w:t xml:space="preserve"> v.7</w:t>
      </w:r>
      <w:r w:rsidRPr="00A85E54">
        <w:t>, approved 7/</w:t>
      </w:r>
      <w:r>
        <w:t>1</w:t>
      </w:r>
      <w:r w:rsidRPr="00A85E54">
        <w:t>/2011) for a description of how propensity scores were calculated.</w:t>
      </w:r>
      <w:r>
        <w:t xml:space="preserve">  NCES presented the field test experiment results to OMB in a meeting held on November 20, 2011 (the slides from this meeting are </w:t>
      </w:r>
      <w:r w:rsidRPr="007761DB">
        <w:t>attached as appendix I</w:t>
      </w:r>
      <w:r>
        <w:t xml:space="preserve">).  Full-scale incentive offers were determined based on the field test results.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Pr="00AA40C2" w:rsidRDefault="0007721F" w:rsidP="005C6C98">
    <w:pPr>
      <w:pStyle w:val="NCESheadereven"/>
    </w:pPr>
    <w:r>
      <w:t>Appendix C: Second Follow-up Data Elements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Default="000772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Pr="0020360F" w:rsidRDefault="0007721F" w:rsidP="0020360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Pr="002225C7" w:rsidRDefault="0007721F" w:rsidP="002225C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Default="0007721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Pr="0020360F" w:rsidRDefault="0007721F" w:rsidP="0020360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F" w:rsidRDefault="0007721F" w:rsidP="007A2305">
    <w:pPr>
      <w:pStyle w:val="NCESheadereven"/>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3CE919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8C4CD954"/>
    <w:lvl w:ilvl="0">
      <w:start w:val="1"/>
      <w:numFmt w:val="bullet"/>
      <w:lvlText w:val=""/>
      <w:lvlJc w:val="left"/>
      <w:pPr>
        <w:tabs>
          <w:tab w:val="num" w:pos="360"/>
        </w:tabs>
        <w:ind w:left="360" w:hanging="360"/>
      </w:pPr>
      <w:rPr>
        <w:rFonts w:ascii="Symbol" w:hAnsi="Symbol" w:hint="default"/>
      </w:rPr>
    </w:lvl>
  </w:abstractNum>
  <w:abstractNum w:abstractNumId="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77F39F8"/>
    <w:multiLevelType w:val="hybridMultilevel"/>
    <w:tmpl w:val="3632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245EF"/>
    <w:multiLevelType w:val="multilevel"/>
    <w:tmpl w:val="79F08C1A"/>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6">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7">
    <w:nsid w:val="5B330D57"/>
    <w:multiLevelType w:val="multilevel"/>
    <w:tmpl w:val="79F08C1A"/>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8">
    <w:nsid w:val="5DC46E27"/>
    <w:multiLevelType w:val="hybridMultilevel"/>
    <w:tmpl w:val="452E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C7901"/>
    <w:multiLevelType w:val="multilevel"/>
    <w:tmpl w:val="D58A9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3"/>
  </w:num>
  <w:num w:numId="15">
    <w:abstractNumId w:val="5"/>
  </w:num>
  <w:num w:numId="16">
    <w:abstractNumId w:val="7"/>
  </w:num>
  <w:num w:numId="17">
    <w:abstractNumId w:val="2"/>
  </w:num>
  <w:num w:numId="18">
    <w:abstractNumId w:val="9"/>
  </w:num>
  <w:num w:numId="19">
    <w:abstractNumId w:val="4"/>
  </w:num>
  <w:num w:numId="20">
    <w:abstractNumId w:val="6"/>
  </w:num>
  <w:num w:numId="21">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proofState w:spelling="clean"/>
  <w:stylePaneFormatFilter w:val="3F01"/>
  <w:stylePaneSortMethod w:val="0000"/>
  <w:defaultTabStop w:val="720"/>
  <w:doNotHyphenateCaps/>
  <w:drawingGridHorizontalSpacing w:val="120"/>
  <w:drawingGridVerticalSpacing w:val="187"/>
  <w:displayHorizontalDrawingGridEvery w:val="2"/>
  <w:noPunctuationKerning/>
  <w:characterSpacingControl w:val="doNotCompress"/>
  <w:footnotePr>
    <w:footnote w:id="-1"/>
    <w:footnote w:id="0"/>
    <w:footnote w:id="1"/>
  </w:footnotePr>
  <w:endnotePr>
    <w:endnote w:id="-1"/>
    <w:endnote w:id="0"/>
    <w:endnote w:id="1"/>
  </w:endnotePr>
  <w:compat/>
  <w:rsids>
    <w:rsidRoot w:val="005B0A33"/>
    <w:rsid w:val="000001A8"/>
    <w:rsid w:val="00002236"/>
    <w:rsid w:val="00002700"/>
    <w:rsid w:val="000029E1"/>
    <w:rsid w:val="00002B1F"/>
    <w:rsid w:val="000042D4"/>
    <w:rsid w:val="00004D46"/>
    <w:rsid w:val="0000562B"/>
    <w:rsid w:val="000056D7"/>
    <w:rsid w:val="000064C5"/>
    <w:rsid w:val="000068C9"/>
    <w:rsid w:val="00006A86"/>
    <w:rsid w:val="00006DD2"/>
    <w:rsid w:val="00006ECC"/>
    <w:rsid w:val="000071C1"/>
    <w:rsid w:val="00007997"/>
    <w:rsid w:val="0001147D"/>
    <w:rsid w:val="0001207D"/>
    <w:rsid w:val="00012483"/>
    <w:rsid w:val="000135CF"/>
    <w:rsid w:val="00013A1B"/>
    <w:rsid w:val="00013B2D"/>
    <w:rsid w:val="00013C7D"/>
    <w:rsid w:val="000140B1"/>
    <w:rsid w:val="00014256"/>
    <w:rsid w:val="00014705"/>
    <w:rsid w:val="00014A08"/>
    <w:rsid w:val="00014D25"/>
    <w:rsid w:val="00015145"/>
    <w:rsid w:val="00015CD5"/>
    <w:rsid w:val="00016217"/>
    <w:rsid w:val="000166A8"/>
    <w:rsid w:val="00016DC5"/>
    <w:rsid w:val="00016F2E"/>
    <w:rsid w:val="0001749A"/>
    <w:rsid w:val="00017C1E"/>
    <w:rsid w:val="000205BE"/>
    <w:rsid w:val="0002110E"/>
    <w:rsid w:val="00021560"/>
    <w:rsid w:val="00021D9A"/>
    <w:rsid w:val="00021E6E"/>
    <w:rsid w:val="00022F74"/>
    <w:rsid w:val="00023398"/>
    <w:rsid w:val="00023C08"/>
    <w:rsid w:val="00023CF3"/>
    <w:rsid w:val="00023EA0"/>
    <w:rsid w:val="00024665"/>
    <w:rsid w:val="00024667"/>
    <w:rsid w:val="00025088"/>
    <w:rsid w:val="00025A15"/>
    <w:rsid w:val="000303AB"/>
    <w:rsid w:val="000307E7"/>
    <w:rsid w:val="00031E5C"/>
    <w:rsid w:val="0003284A"/>
    <w:rsid w:val="000329F7"/>
    <w:rsid w:val="00033DF5"/>
    <w:rsid w:val="00034B40"/>
    <w:rsid w:val="00035515"/>
    <w:rsid w:val="00035743"/>
    <w:rsid w:val="00036511"/>
    <w:rsid w:val="00036819"/>
    <w:rsid w:val="000368B0"/>
    <w:rsid w:val="00036D3F"/>
    <w:rsid w:val="00037631"/>
    <w:rsid w:val="00037B0E"/>
    <w:rsid w:val="0004034F"/>
    <w:rsid w:val="000404EE"/>
    <w:rsid w:val="00040543"/>
    <w:rsid w:val="00040851"/>
    <w:rsid w:val="00041240"/>
    <w:rsid w:val="00041BE0"/>
    <w:rsid w:val="00042D5D"/>
    <w:rsid w:val="000431F0"/>
    <w:rsid w:val="00043DC0"/>
    <w:rsid w:val="00044904"/>
    <w:rsid w:val="0004539F"/>
    <w:rsid w:val="00045447"/>
    <w:rsid w:val="00045455"/>
    <w:rsid w:val="000465B3"/>
    <w:rsid w:val="00046CD1"/>
    <w:rsid w:val="0004770E"/>
    <w:rsid w:val="000477A7"/>
    <w:rsid w:val="00050C3E"/>
    <w:rsid w:val="000516A4"/>
    <w:rsid w:val="00052421"/>
    <w:rsid w:val="00052F28"/>
    <w:rsid w:val="00052FAA"/>
    <w:rsid w:val="000531FD"/>
    <w:rsid w:val="00053D57"/>
    <w:rsid w:val="00054E68"/>
    <w:rsid w:val="00057E39"/>
    <w:rsid w:val="00060019"/>
    <w:rsid w:val="000604CC"/>
    <w:rsid w:val="00060932"/>
    <w:rsid w:val="00060D38"/>
    <w:rsid w:val="00061160"/>
    <w:rsid w:val="00061193"/>
    <w:rsid w:val="00061737"/>
    <w:rsid w:val="00061BB0"/>
    <w:rsid w:val="00062311"/>
    <w:rsid w:val="00062DED"/>
    <w:rsid w:val="00062EF6"/>
    <w:rsid w:val="00063377"/>
    <w:rsid w:val="000644BB"/>
    <w:rsid w:val="00064F6B"/>
    <w:rsid w:val="000650FB"/>
    <w:rsid w:val="0006599F"/>
    <w:rsid w:val="00066744"/>
    <w:rsid w:val="00066DB4"/>
    <w:rsid w:val="000675AA"/>
    <w:rsid w:val="0007023C"/>
    <w:rsid w:val="000702A5"/>
    <w:rsid w:val="0007064F"/>
    <w:rsid w:val="00070977"/>
    <w:rsid w:val="00070D9D"/>
    <w:rsid w:val="0007178A"/>
    <w:rsid w:val="0007244B"/>
    <w:rsid w:val="00072A1E"/>
    <w:rsid w:val="00072D1A"/>
    <w:rsid w:val="00073AEF"/>
    <w:rsid w:val="00073C6B"/>
    <w:rsid w:val="00074C4D"/>
    <w:rsid w:val="00075476"/>
    <w:rsid w:val="00076AC8"/>
    <w:rsid w:val="0007721F"/>
    <w:rsid w:val="000775AB"/>
    <w:rsid w:val="00077EAF"/>
    <w:rsid w:val="00082CE8"/>
    <w:rsid w:val="00083175"/>
    <w:rsid w:val="00083935"/>
    <w:rsid w:val="00085E5D"/>
    <w:rsid w:val="00086117"/>
    <w:rsid w:val="00086659"/>
    <w:rsid w:val="0008668A"/>
    <w:rsid w:val="00086AD0"/>
    <w:rsid w:val="000870E5"/>
    <w:rsid w:val="00087971"/>
    <w:rsid w:val="0009020F"/>
    <w:rsid w:val="000907DE"/>
    <w:rsid w:val="00091671"/>
    <w:rsid w:val="00091CEC"/>
    <w:rsid w:val="00092AA2"/>
    <w:rsid w:val="00092C0F"/>
    <w:rsid w:val="00093F25"/>
    <w:rsid w:val="0009412E"/>
    <w:rsid w:val="00094547"/>
    <w:rsid w:val="00096B68"/>
    <w:rsid w:val="000971BA"/>
    <w:rsid w:val="000A000E"/>
    <w:rsid w:val="000A062A"/>
    <w:rsid w:val="000A2219"/>
    <w:rsid w:val="000A270E"/>
    <w:rsid w:val="000A5792"/>
    <w:rsid w:val="000A57B8"/>
    <w:rsid w:val="000A5CE0"/>
    <w:rsid w:val="000A6DCB"/>
    <w:rsid w:val="000A730B"/>
    <w:rsid w:val="000A782D"/>
    <w:rsid w:val="000A7C73"/>
    <w:rsid w:val="000A7DA0"/>
    <w:rsid w:val="000B03CB"/>
    <w:rsid w:val="000B065A"/>
    <w:rsid w:val="000B1069"/>
    <w:rsid w:val="000B2331"/>
    <w:rsid w:val="000B25B8"/>
    <w:rsid w:val="000B25C2"/>
    <w:rsid w:val="000B364C"/>
    <w:rsid w:val="000B3C21"/>
    <w:rsid w:val="000B3F61"/>
    <w:rsid w:val="000B3F6D"/>
    <w:rsid w:val="000B430C"/>
    <w:rsid w:val="000B49E9"/>
    <w:rsid w:val="000B4BC3"/>
    <w:rsid w:val="000B5F0D"/>
    <w:rsid w:val="000B6A2F"/>
    <w:rsid w:val="000B7888"/>
    <w:rsid w:val="000B7AC2"/>
    <w:rsid w:val="000C0281"/>
    <w:rsid w:val="000C0A14"/>
    <w:rsid w:val="000C1041"/>
    <w:rsid w:val="000C133D"/>
    <w:rsid w:val="000C17A7"/>
    <w:rsid w:val="000C26B9"/>
    <w:rsid w:val="000C3189"/>
    <w:rsid w:val="000C31CD"/>
    <w:rsid w:val="000C383D"/>
    <w:rsid w:val="000C479F"/>
    <w:rsid w:val="000C63EA"/>
    <w:rsid w:val="000C644C"/>
    <w:rsid w:val="000C650A"/>
    <w:rsid w:val="000D0D78"/>
    <w:rsid w:val="000D0FAB"/>
    <w:rsid w:val="000D11FE"/>
    <w:rsid w:val="000D1AE6"/>
    <w:rsid w:val="000D2493"/>
    <w:rsid w:val="000D3289"/>
    <w:rsid w:val="000D3E1A"/>
    <w:rsid w:val="000D4376"/>
    <w:rsid w:val="000D4786"/>
    <w:rsid w:val="000D49B4"/>
    <w:rsid w:val="000D56FE"/>
    <w:rsid w:val="000D623F"/>
    <w:rsid w:val="000D69D6"/>
    <w:rsid w:val="000D6BF1"/>
    <w:rsid w:val="000D7BC4"/>
    <w:rsid w:val="000D7D39"/>
    <w:rsid w:val="000E06C8"/>
    <w:rsid w:val="000E0945"/>
    <w:rsid w:val="000E094A"/>
    <w:rsid w:val="000E1AFD"/>
    <w:rsid w:val="000E1C19"/>
    <w:rsid w:val="000E24FF"/>
    <w:rsid w:val="000E2746"/>
    <w:rsid w:val="000E32AA"/>
    <w:rsid w:val="000E3E35"/>
    <w:rsid w:val="000E43A5"/>
    <w:rsid w:val="000E4FDD"/>
    <w:rsid w:val="000E54DD"/>
    <w:rsid w:val="000E5B16"/>
    <w:rsid w:val="000E693A"/>
    <w:rsid w:val="000E779A"/>
    <w:rsid w:val="000F0B44"/>
    <w:rsid w:val="000F1B56"/>
    <w:rsid w:val="000F2CAB"/>
    <w:rsid w:val="000F38FB"/>
    <w:rsid w:val="000F3928"/>
    <w:rsid w:val="000F3A15"/>
    <w:rsid w:val="000F3FD1"/>
    <w:rsid w:val="000F578D"/>
    <w:rsid w:val="000F5BB9"/>
    <w:rsid w:val="000F64A4"/>
    <w:rsid w:val="000F7F8A"/>
    <w:rsid w:val="00100F59"/>
    <w:rsid w:val="00103195"/>
    <w:rsid w:val="00103979"/>
    <w:rsid w:val="00103C4A"/>
    <w:rsid w:val="00103ED8"/>
    <w:rsid w:val="00104313"/>
    <w:rsid w:val="00104F2C"/>
    <w:rsid w:val="001056CA"/>
    <w:rsid w:val="00105CFB"/>
    <w:rsid w:val="001067CB"/>
    <w:rsid w:val="001071B0"/>
    <w:rsid w:val="001079B0"/>
    <w:rsid w:val="001108DD"/>
    <w:rsid w:val="0011094F"/>
    <w:rsid w:val="00111E00"/>
    <w:rsid w:val="001136F9"/>
    <w:rsid w:val="001144A0"/>
    <w:rsid w:val="00114867"/>
    <w:rsid w:val="00115048"/>
    <w:rsid w:val="00115438"/>
    <w:rsid w:val="00115698"/>
    <w:rsid w:val="0011574B"/>
    <w:rsid w:val="00115984"/>
    <w:rsid w:val="00116D15"/>
    <w:rsid w:val="0011706B"/>
    <w:rsid w:val="00117191"/>
    <w:rsid w:val="0011778A"/>
    <w:rsid w:val="0011788C"/>
    <w:rsid w:val="00117D29"/>
    <w:rsid w:val="00120034"/>
    <w:rsid w:val="00121B47"/>
    <w:rsid w:val="001227AB"/>
    <w:rsid w:val="00122D4F"/>
    <w:rsid w:val="00122FC2"/>
    <w:rsid w:val="00123689"/>
    <w:rsid w:val="001239D8"/>
    <w:rsid w:val="00123CC4"/>
    <w:rsid w:val="001243E5"/>
    <w:rsid w:val="001244B3"/>
    <w:rsid w:val="00124ABC"/>
    <w:rsid w:val="001254B1"/>
    <w:rsid w:val="00125757"/>
    <w:rsid w:val="001266C4"/>
    <w:rsid w:val="0012676F"/>
    <w:rsid w:val="00126924"/>
    <w:rsid w:val="00126B64"/>
    <w:rsid w:val="00126ECD"/>
    <w:rsid w:val="0013084B"/>
    <w:rsid w:val="00130F0D"/>
    <w:rsid w:val="00132CB2"/>
    <w:rsid w:val="00132CE8"/>
    <w:rsid w:val="0013323A"/>
    <w:rsid w:val="00133361"/>
    <w:rsid w:val="00134EE9"/>
    <w:rsid w:val="00135581"/>
    <w:rsid w:val="001357FA"/>
    <w:rsid w:val="00137344"/>
    <w:rsid w:val="001379E1"/>
    <w:rsid w:val="00140597"/>
    <w:rsid w:val="00142317"/>
    <w:rsid w:val="00142A4B"/>
    <w:rsid w:val="00142E11"/>
    <w:rsid w:val="001431A7"/>
    <w:rsid w:val="001431E7"/>
    <w:rsid w:val="00143269"/>
    <w:rsid w:val="0014339D"/>
    <w:rsid w:val="00143C1C"/>
    <w:rsid w:val="00144325"/>
    <w:rsid w:val="00144A25"/>
    <w:rsid w:val="00145852"/>
    <w:rsid w:val="0014606E"/>
    <w:rsid w:val="00146133"/>
    <w:rsid w:val="0014645F"/>
    <w:rsid w:val="00146944"/>
    <w:rsid w:val="00147448"/>
    <w:rsid w:val="00150741"/>
    <w:rsid w:val="00150EA4"/>
    <w:rsid w:val="0015184A"/>
    <w:rsid w:val="0015189C"/>
    <w:rsid w:val="00151998"/>
    <w:rsid w:val="00152120"/>
    <w:rsid w:val="00152327"/>
    <w:rsid w:val="001524E2"/>
    <w:rsid w:val="00152766"/>
    <w:rsid w:val="00152AB9"/>
    <w:rsid w:val="00152AD3"/>
    <w:rsid w:val="00152FDD"/>
    <w:rsid w:val="001530C3"/>
    <w:rsid w:val="00153145"/>
    <w:rsid w:val="00153185"/>
    <w:rsid w:val="00153442"/>
    <w:rsid w:val="00153802"/>
    <w:rsid w:val="00153E69"/>
    <w:rsid w:val="00154A38"/>
    <w:rsid w:val="00155782"/>
    <w:rsid w:val="00155786"/>
    <w:rsid w:val="001557B6"/>
    <w:rsid w:val="00155890"/>
    <w:rsid w:val="00155D19"/>
    <w:rsid w:val="00155E95"/>
    <w:rsid w:val="00156214"/>
    <w:rsid w:val="00156286"/>
    <w:rsid w:val="001566CE"/>
    <w:rsid w:val="00160371"/>
    <w:rsid w:val="00160924"/>
    <w:rsid w:val="00161114"/>
    <w:rsid w:val="00161407"/>
    <w:rsid w:val="00163F95"/>
    <w:rsid w:val="0016415A"/>
    <w:rsid w:val="00164879"/>
    <w:rsid w:val="001649BA"/>
    <w:rsid w:val="001653CD"/>
    <w:rsid w:val="0016557F"/>
    <w:rsid w:val="0016571E"/>
    <w:rsid w:val="00166C12"/>
    <w:rsid w:val="00166D14"/>
    <w:rsid w:val="00170C78"/>
    <w:rsid w:val="00170E6A"/>
    <w:rsid w:val="00171804"/>
    <w:rsid w:val="00171DB8"/>
    <w:rsid w:val="00171DD2"/>
    <w:rsid w:val="001727AA"/>
    <w:rsid w:val="00172D0C"/>
    <w:rsid w:val="001743C6"/>
    <w:rsid w:val="00174B82"/>
    <w:rsid w:val="0017561E"/>
    <w:rsid w:val="00176538"/>
    <w:rsid w:val="00176A41"/>
    <w:rsid w:val="001775C0"/>
    <w:rsid w:val="00177F97"/>
    <w:rsid w:val="00180041"/>
    <w:rsid w:val="001804B1"/>
    <w:rsid w:val="001804D1"/>
    <w:rsid w:val="00181271"/>
    <w:rsid w:val="00181CAB"/>
    <w:rsid w:val="00182118"/>
    <w:rsid w:val="0018259F"/>
    <w:rsid w:val="00183275"/>
    <w:rsid w:val="001835D7"/>
    <w:rsid w:val="00183D81"/>
    <w:rsid w:val="0018530D"/>
    <w:rsid w:val="00185923"/>
    <w:rsid w:val="00186D4C"/>
    <w:rsid w:val="00186DED"/>
    <w:rsid w:val="00187ACD"/>
    <w:rsid w:val="001904CA"/>
    <w:rsid w:val="00190686"/>
    <w:rsid w:val="001907BC"/>
    <w:rsid w:val="00191509"/>
    <w:rsid w:val="00191E9C"/>
    <w:rsid w:val="001924FF"/>
    <w:rsid w:val="0019274B"/>
    <w:rsid w:val="00193015"/>
    <w:rsid w:val="00193DCC"/>
    <w:rsid w:val="00193DD9"/>
    <w:rsid w:val="00193F8B"/>
    <w:rsid w:val="00194570"/>
    <w:rsid w:val="001950D7"/>
    <w:rsid w:val="00195334"/>
    <w:rsid w:val="00195846"/>
    <w:rsid w:val="001A054D"/>
    <w:rsid w:val="001A06F5"/>
    <w:rsid w:val="001A07C0"/>
    <w:rsid w:val="001A1251"/>
    <w:rsid w:val="001A1405"/>
    <w:rsid w:val="001A3918"/>
    <w:rsid w:val="001A4442"/>
    <w:rsid w:val="001A52A8"/>
    <w:rsid w:val="001A5355"/>
    <w:rsid w:val="001A5D8D"/>
    <w:rsid w:val="001A6144"/>
    <w:rsid w:val="001A6277"/>
    <w:rsid w:val="001A671D"/>
    <w:rsid w:val="001A6C33"/>
    <w:rsid w:val="001A6F28"/>
    <w:rsid w:val="001A7065"/>
    <w:rsid w:val="001A7ECA"/>
    <w:rsid w:val="001B096F"/>
    <w:rsid w:val="001B0A94"/>
    <w:rsid w:val="001B0D0F"/>
    <w:rsid w:val="001B13AE"/>
    <w:rsid w:val="001B2DB3"/>
    <w:rsid w:val="001B356A"/>
    <w:rsid w:val="001B35DB"/>
    <w:rsid w:val="001B3AF9"/>
    <w:rsid w:val="001B4885"/>
    <w:rsid w:val="001B4AEF"/>
    <w:rsid w:val="001B4DC0"/>
    <w:rsid w:val="001B5343"/>
    <w:rsid w:val="001B5431"/>
    <w:rsid w:val="001B5986"/>
    <w:rsid w:val="001B6B09"/>
    <w:rsid w:val="001B77EF"/>
    <w:rsid w:val="001B792F"/>
    <w:rsid w:val="001B794B"/>
    <w:rsid w:val="001C14FE"/>
    <w:rsid w:val="001C1602"/>
    <w:rsid w:val="001C1A71"/>
    <w:rsid w:val="001C32A7"/>
    <w:rsid w:val="001C3516"/>
    <w:rsid w:val="001C3BFB"/>
    <w:rsid w:val="001C3C83"/>
    <w:rsid w:val="001C483E"/>
    <w:rsid w:val="001C4995"/>
    <w:rsid w:val="001C4CDA"/>
    <w:rsid w:val="001C4D9B"/>
    <w:rsid w:val="001C4DEE"/>
    <w:rsid w:val="001C568A"/>
    <w:rsid w:val="001C5A46"/>
    <w:rsid w:val="001C5C35"/>
    <w:rsid w:val="001C6283"/>
    <w:rsid w:val="001C735C"/>
    <w:rsid w:val="001C7770"/>
    <w:rsid w:val="001C7BE3"/>
    <w:rsid w:val="001D006E"/>
    <w:rsid w:val="001D0AED"/>
    <w:rsid w:val="001D0E45"/>
    <w:rsid w:val="001D27DD"/>
    <w:rsid w:val="001D3393"/>
    <w:rsid w:val="001D3DC6"/>
    <w:rsid w:val="001D4604"/>
    <w:rsid w:val="001D493E"/>
    <w:rsid w:val="001D4BC4"/>
    <w:rsid w:val="001D6284"/>
    <w:rsid w:val="001D680B"/>
    <w:rsid w:val="001D6CFC"/>
    <w:rsid w:val="001D6D0F"/>
    <w:rsid w:val="001D782C"/>
    <w:rsid w:val="001D7BF6"/>
    <w:rsid w:val="001D7F88"/>
    <w:rsid w:val="001E0AA3"/>
    <w:rsid w:val="001E0C0F"/>
    <w:rsid w:val="001E20E3"/>
    <w:rsid w:val="001E2639"/>
    <w:rsid w:val="001E2909"/>
    <w:rsid w:val="001E31AC"/>
    <w:rsid w:val="001E3631"/>
    <w:rsid w:val="001E5D86"/>
    <w:rsid w:val="001E63BB"/>
    <w:rsid w:val="001E7082"/>
    <w:rsid w:val="001E7A49"/>
    <w:rsid w:val="001F087F"/>
    <w:rsid w:val="001F196C"/>
    <w:rsid w:val="001F1FD9"/>
    <w:rsid w:val="001F27F6"/>
    <w:rsid w:val="001F2925"/>
    <w:rsid w:val="001F2AB2"/>
    <w:rsid w:val="001F33C7"/>
    <w:rsid w:val="001F3B21"/>
    <w:rsid w:val="001F3C27"/>
    <w:rsid w:val="001F4221"/>
    <w:rsid w:val="001F4387"/>
    <w:rsid w:val="001F4746"/>
    <w:rsid w:val="001F4877"/>
    <w:rsid w:val="001F4E16"/>
    <w:rsid w:val="001F5506"/>
    <w:rsid w:val="001F5917"/>
    <w:rsid w:val="001F5D38"/>
    <w:rsid w:val="001F642C"/>
    <w:rsid w:val="001F6B92"/>
    <w:rsid w:val="002012F3"/>
    <w:rsid w:val="00201EEE"/>
    <w:rsid w:val="00202AC1"/>
    <w:rsid w:val="00202FC3"/>
    <w:rsid w:val="002034C4"/>
    <w:rsid w:val="0020360F"/>
    <w:rsid w:val="00204045"/>
    <w:rsid w:val="002041BB"/>
    <w:rsid w:val="00204956"/>
    <w:rsid w:val="002057EC"/>
    <w:rsid w:val="00205C54"/>
    <w:rsid w:val="00206E51"/>
    <w:rsid w:val="002078ED"/>
    <w:rsid w:val="00207B57"/>
    <w:rsid w:val="002102E3"/>
    <w:rsid w:val="00210E6E"/>
    <w:rsid w:val="00211048"/>
    <w:rsid w:val="00212017"/>
    <w:rsid w:val="00212E18"/>
    <w:rsid w:val="00213F6A"/>
    <w:rsid w:val="00214600"/>
    <w:rsid w:val="00214BB6"/>
    <w:rsid w:val="0021599F"/>
    <w:rsid w:val="00216885"/>
    <w:rsid w:val="00217AAD"/>
    <w:rsid w:val="00217E5B"/>
    <w:rsid w:val="002203C0"/>
    <w:rsid w:val="00220EFA"/>
    <w:rsid w:val="0022144B"/>
    <w:rsid w:val="00221C87"/>
    <w:rsid w:val="00221DEF"/>
    <w:rsid w:val="00222325"/>
    <w:rsid w:val="002225C7"/>
    <w:rsid w:val="00222853"/>
    <w:rsid w:val="00223246"/>
    <w:rsid w:val="002233A7"/>
    <w:rsid w:val="00223484"/>
    <w:rsid w:val="00223FD3"/>
    <w:rsid w:val="002241E3"/>
    <w:rsid w:val="00224294"/>
    <w:rsid w:val="0022433D"/>
    <w:rsid w:val="002249E0"/>
    <w:rsid w:val="00224A40"/>
    <w:rsid w:val="00224E6A"/>
    <w:rsid w:val="00225715"/>
    <w:rsid w:val="00225BF8"/>
    <w:rsid w:val="002263C7"/>
    <w:rsid w:val="00226504"/>
    <w:rsid w:val="0022691F"/>
    <w:rsid w:val="00227366"/>
    <w:rsid w:val="002279F5"/>
    <w:rsid w:val="00227E65"/>
    <w:rsid w:val="002302A0"/>
    <w:rsid w:val="00230393"/>
    <w:rsid w:val="00230681"/>
    <w:rsid w:val="00230832"/>
    <w:rsid w:val="00230C88"/>
    <w:rsid w:val="00231ABE"/>
    <w:rsid w:val="00231E30"/>
    <w:rsid w:val="002320FF"/>
    <w:rsid w:val="00232B72"/>
    <w:rsid w:val="00232D74"/>
    <w:rsid w:val="00232D77"/>
    <w:rsid w:val="002337AC"/>
    <w:rsid w:val="00234253"/>
    <w:rsid w:val="002346BE"/>
    <w:rsid w:val="002346ED"/>
    <w:rsid w:val="00234FBE"/>
    <w:rsid w:val="0023549E"/>
    <w:rsid w:val="00235AFA"/>
    <w:rsid w:val="00236014"/>
    <w:rsid w:val="0023649F"/>
    <w:rsid w:val="0023692E"/>
    <w:rsid w:val="002402E4"/>
    <w:rsid w:val="0024196D"/>
    <w:rsid w:val="00241CE3"/>
    <w:rsid w:val="00241D5E"/>
    <w:rsid w:val="00242FA4"/>
    <w:rsid w:val="00243AA4"/>
    <w:rsid w:val="002442A7"/>
    <w:rsid w:val="002447B5"/>
    <w:rsid w:val="00244F84"/>
    <w:rsid w:val="002453A0"/>
    <w:rsid w:val="00245507"/>
    <w:rsid w:val="00245677"/>
    <w:rsid w:val="002456CD"/>
    <w:rsid w:val="0024588E"/>
    <w:rsid w:val="00245C48"/>
    <w:rsid w:val="002462DD"/>
    <w:rsid w:val="00246715"/>
    <w:rsid w:val="00247F40"/>
    <w:rsid w:val="00251A03"/>
    <w:rsid w:val="00251D8E"/>
    <w:rsid w:val="00252035"/>
    <w:rsid w:val="00252225"/>
    <w:rsid w:val="00252791"/>
    <w:rsid w:val="00252A45"/>
    <w:rsid w:val="00254A89"/>
    <w:rsid w:val="00254BA2"/>
    <w:rsid w:val="00254CED"/>
    <w:rsid w:val="00254DAC"/>
    <w:rsid w:val="00255253"/>
    <w:rsid w:val="00255CBA"/>
    <w:rsid w:val="00256013"/>
    <w:rsid w:val="00256245"/>
    <w:rsid w:val="0025744B"/>
    <w:rsid w:val="00257621"/>
    <w:rsid w:val="00261A0E"/>
    <w:rsid w:val="002621C2"/>
    <w:rsid w:val="0026274A"/>
    <w:rsid w:val="00262A02"/>
    <w:rsid w:val="00262A30"/>
    <w:rsid w:val="002632B5"/>
    <w:rsid w:val="00263B64"/>
    <w:rsid w:val="00263D6A"/>
    <w:rsid w:val="00264DFF"/>
    <w:rsid w:val="002656C7"/>
    <w:rsid w:val="00265D69"/>
    <w:rsid w:val="00266311"/>
    <w:rsid w:val="0026646C"/>
    <w:rsid w:val="00266A4B"/>
    <w:rsid w:val="00266B75"/>
    <w:rsid w:val="0026703F"/>
    <w:rsid w:val="0026782A"/>
    <w:rsid w:val="00267DEE"/>
    <w:rsid w:val="00267F90"/>
    <w:rsid w:val="0027047D"/>
    <w:rsid w:val="00270868"/>
    <w:rsid w:val="00271F23"/>
    <w:rsid w:val="00272C43"/>
    <w:rsid w:val="0027343C"/>
    <w:rsid w:val="00273781"/>
    <w:rsid w:val="002737D4"/>
    <w:rsid w:val="00273AE8"/>
    <w:rsid w:val="00273B93"/>
    <w:rsid w:val="00274FD1"/>
    <w:rsid w:val="002751CD"/>
    <w:rsid w:val="002758DC"/>
    <w:rsid w:val="00275919"/>
    <w:rsid w:val="00276061"/>
    <w:rsid w:val="0027610A"/>
    <w:rsid w:val="002764D4"/>
    <w:rsid w:val="00277039"/>
    <w:rsid w:val="00280124"/>
    <w:rsid w:val="0028098C"/>
    <w:rsid w:val="002809C1"/>
    <w:rsid w:val="00282465"/>
    <w:rsid w:val="002834E4"/>
    <w:rsid w:val="002840D9"/>
    <w:rsid w:val="0028476A"/>
    <w:rsid w:val="00284771"/>
    <w:rsid w:val="002849B7"/>
    <w:rsid w:val="00285517"/>
    <w:rsid w:val="00285A1E"/>
    <w:rsid w:val="00285D54"/>
    <w:rsid w:val="002865AE"/>
    <w:rsid w:val="00286C3F"/>
    <w:rsid w:val="00286EE5"/>
    <w:rsid w:val="00286EF9"/>
    <w:rsid w:val="00287782"/>
    <w:rsid w:val="0029035C"/>
    <w:rsid w:val="00290396"/>
    <w:rsid w:val="00290768"/>
    <w:rsid w:val="00290FA2"/>
    <w:rsid w:val="002935A2"/>
    <w:rsid w:val="002936F5"/>
    <w:rsid w:val="00294D8A"/>
    <w:rsid w:val="0029500C"/>
    <w:rsid w:val="00295017"/>
    <w:rsid w:val="002953DD"/>
    <w:rsid w:val="00295B31"/>
    <w:rsid w:val="002966E1"/>
    <w:rsid w:val="00296B80"/>
    <w:rsid w:val="00296F54"/>
    <w:rsid w:val="002A29C7"/>
    <w:rsid w:val="002A29DE"/>
    <w:rsid w:val="002A2ABC"/>
    <w:rsid w:val="002A2B44"/>
    <w:rsid w:val="002A471E"/>
    <w:rsid w:val="002A51D6"/>
    <w:rsid w:val="002A5CD2"/>
    <w:rsid w:val="002A6C43"/>
    <w:rsid w:val="002A6D0A"/>
    <w:rsid w:val="002A72F8"/>
    <w:rsid w:val="002A78C6"/>
    <w:rsid w:val="002A7A47"/>
    <w:rsid w:val="002B0795"/>
    <w:rsid w:val="002B09C6"/>
    <w:rsid w:val="002B0C5E"/>
    <w:rsid w:val="002B3613"/>
    <w:rsid w:val="002B3B43"/>
    <w:rsid w:val="002B4186"/>
    <w:rsid w:val="002B5282"/>
    <w:rsid w:val="002B53AE"/>
    <w:rsid w:val="002B64D5"/>
    <w:rsid w:val="002B6D06"/>
    <w:rsid w:val="002C0158"/>
    <w:rsid w:val="002C095E"/>
    <w:rsid w:val="002C0A0F"/>
    <w:rsid w:val="002C227E"/>
    <w:rsid w:val="002C2499"/>
    <w:rsid w:val="002C2EBD"/>
    <w:rsid w:val="002C3450"/>
    <w:rsid w:val="002C351A"/>
    <w:rsid w:val="002C4CA0"/>
    <w:rsid w:val="002C506A"/>
    <w:rsid w:val="002C6364"/>
    <w:rsid w:val="002C68D4"/>
    <w:rsid w:val="002C701C"/>
    <w:rsid w:val="002D0AF0"/>
    <w:rsid w:val="002D0F26"/>
    <w:rsid w:val="002D2097"/>
    <w:rsid w:val="002D2120"/>
    <w:rsid w:val="002D24EF"/>
    <w:rsid w:val="002D3439"/>
    <w:rsid w:val="002D3F55"/>
    <w:rsid w:val="002D44C3"/>
    <w:rsid w:val="002D490C"/>
    <w:rsid w:val="002D4C3B"/>
    <w:rsid w:val="002D5061"/>
    <w:rsid w:val="002D5513"/>
    <w:rsid w:val="002D552F"/>
    <w:rsid w:val="002D5D3B"/>
    <w:rsid w:val="002D611D"/>
    <w:rsid w:val="002D6D64"/>
    <w:rsid w:val="002D6F61"/>
    <w:rsid w:val="002D7E3C"/>
    <w:rsid w:val="002E0200"/>
    <w:rsid w:val="002E0779"/>
    <w:rsid w:val="002E0E8F"/>
    <w:rsid w:val="002E164E"/>
    <w:rsid w:val="002E2240"/>
    <w:rsid w:val="002E2618"/>
    <w:rsid w:val="002E2D50"/>
    <w:rsid w:val="002E33FB"/>
    <w:rsid w:val="002E3981"/>
    <w:rsid w:val="002E3C1C"/>
    <w:rsid w:val="002E57E0"/>
    <w:rsid w:val="002E593E"/>
    <w:rsid w:val="002E5D7C"/>
    <w:rsid w:val="002E5EE0"/>
    <w:rsid w:val="002E6461"/>
    <w:rsid w:val="002E65D3"/>
    <w:rsid w:val="002E6B0A"/>
    <w:rsid w:val="002E6C81"/>
    <w:rsid w:val="002E7552"/>
    <w:rsid w:val="002F0BC7"/>
    <w:rsid w:val="002F0C5D"/>
    <w:rsid w:val="002F0C9D"/>
    <w:rsid w:val="002F0D15"/>
    <w:rsid w:val="002F213C"/>
    <w:rsid w:val="002F26D0"/>
    <w:rsid w:val="002F3813"/>
    <w:rsid w:val="002F3ACF"/>
    <w:rsid w:val="002F3DCD"/>
    <w:rsid w:val="002F41C9"/>
    <w:rsid w:val="002F46F4"/>
    <w:rsid w:val="002F4A39"/>
    <w:rsid w:val="002F580B"/>
    <w:rsid w:val="002F6112"/>
    <w:rsid w:val="002F6A0B"/>
    <w:rsid w:val="002F6E82"/>
    <w:rsid w:val="002F6FD9"/>
    <w:rsid w:val="002F7049"/>
    <w:rsid w:val="003000FB"/>
    <w:rsid w:val="00300E80"/>
    <w:rsid w:val="00301AF5"/>
    <w:rsid w:val="00302C4B"/>
    <w:rsid w:val="0030344A"/>
    <w:rsid w:val="00303C33"/>
    <w:rsid w:val="0030432F"/>
    <w:rsid w:val="00304D50"/>
    <w:rsid w:val="00304DDE"/>
    <w:rsid w:val="00305319"/>
    <w:rsid w:val="00305675"/>
    <w:rsid w:val="003058BD"/>
    <w:rsid w:val="00305DE4"/>
    <w:rsid w:val="00306F8C"/>
    <w:rsid w:val="00307021"/>
    <w:rsid w:val="003072A5"/>
    <w:rsid w:val="0030760F"/>
    <w:rsid w:val="00307D92"/>
    <w:rsid w:val="003107A4"/>
    <w:rsid w:val="00310CD3"/>
    <w:rsid w:val="003116F8"/>
    <w:rsid w:val="0031203F"/>
    <w:rsid w:val="0031253A"/>
    <w:rsid w:val="003129AB"/>
    <w:rsid w:val="00313F8E"/>
    <w:rsid w:val="00314C6C"/>
    <w:rsid w:val="003150F2"/>
    <w:rsid w:val="00315729"/>
    <w:rsid w:val="003164BA"/>
    <w:rsid w:val="00316BBE"/>
    <w:rsid w:val="0031755F"/>
    <w:rsid w:val="00321169"/>
    <w:rsid w:val="003212F5"/>
    <w:rsid w:val="00321B09"/>
    <w:rsid w:val="00321E70"/>
    <w:rsid w:val="00321EAB"/>
    <w:rsid w:val="003224F8"/>
    <w:rsid w:val="0032258C"/>
    <w:rsid w:val="003225CF"/>
    <w:rsid w:val="00322FF8"/>
    <w:rsid w:val="00323C30"/>
    <w:rsid w:val="00323DED"/>
    <w:rsid w:val="003247F6"/>
    <w:rsid w:val="00324CE0"/>
    <w:rsid w:val="00324DC7"/>
    <w:rsid w:val="0032537F"/>
    <w:rsid w:val="00325566"/>
    <w:rsid w:val="003301DA"/>
    <w:rsid w:val="003314B0"/>
    <w:rsid w:val="0033269A"/>
    <w:rsid w:val="00332C07"/>
    <w:rsid w:val="00334B26"/>
    <w:rsid w:val="00334BA3"/>
    <w:rsid w:val="00335136"/>
    <w:rsid w:val="00336346"/>
    <w:rsid w:val="00336445"/>
    <w:rsid w:val="003365B9"/>
    <w:rsid w:val="00336B0B"/>
    <w:rsid w:val="00336C11"/>
    <w:rsid w:val="00337634"/>
    <w:rsid w:val="003377C0"/>
    <w:rsid w:val="00337824"/>
    <w:rsid w:val="00337CC0"/>
    <w:rsid w:val="00341EC4"/>
    <w:rsid w:val="00342008"/>
    <w:rsid w:val="00342CBB"/>
    <w:rsid w:val="0034372C"/>
    <w:rsid w:val="00343CB1"/>
    <w:rsid w:val="00344210"/>
    <w:rsid w:val="00345805"/>
    <w:rsid w:val="00345816"/>
    <w:rsid w:val="00346186"/>
    <w:rsid w:val="00346434"/>
    <w:rsid w:val="00346705"/>
    <w:rsid w:val="00346809"/>
    <w:rsid w:val="00346A85"/>
    <w:rsid w:val="00347B1A"/>
    <w:rsid w:val="00350DF9"/>
    <w:rsid w:val="00352ACC"/>
    <w:rsid w:val="00352DF8"/>
    <w:rsid w:val="00353DA4"/>
    <w:rsid w:val="00353E3A"/>
    <w:rsid w:val="00354128"/>
    <w:rsid w:val="003549E3"/>
    <w:rsid w:val="0035558C"/>
    <w:rsid w:val="003564AC"/>
    <w:rsid w:val="00356870"/>
    <w:rsid w:val="00356B34"/>
    <w:rsid w:val="00356ECF"/>
    <w:rsid w:val="003571BE"/>
    <w:rsid w:val="00360E0F"/>
    <w:rsid w:val="00360EC9"/>
    <w:rsid w:val="00361862"/>
    <w:rsid w:val="003626B6"/>
    <w:rsid w:val="003628C0"/>
    <w:rsid w:val="00365502"/>
    <w:rsid w:val="00366A33"/>
    <w:rsid w:val="003673A2"/>
    <w:rsid w:val="0037064A"/>
    <w:rsid w:val="00370E12"/>
    <w:rsid w:val="0037119B"/>
    <w:rsid w:val="003712B0"/>
    <w:rsid w:val="003719EC"/>
    <w:rsid w:val="00372745"/>
    <w:rsid w:val="00375850"/>
    <w:rsid w:val="00376083"/>
    <w:rsid w:val="003762EE"/>
    <w:rsid w:val="0037768A"/>
    <w:rsid w:val="00377974"/>
    <w:rsid w:val="00377D96"/>
    <w:rsid w:val="00380FA1"/>
    <w:rsid w:val="003811A9"/>
    <w:rsid w:val="00381988"/>
    <w:rsid w:val="00381E63"/>
    <w:rsid w:val="0038211A"/>
    <w:rsid w:val="00382BC3"/>
    <w:rsid w:val="00383B17"/>
    <w:rsid w:val="00384AD6"/>
    <w:rsid w:val="003851CC"/>
    <w:rsid w:val="0038548A"/>
    <w:rsid w:val="00385C85"/>
    <w:rsid w:val="00385F2F"/>
    <w:rsid w:val="00386221"/>
    <w:rsid w:val="00387262"/>
    <w:rsid w:val="00387444"/>
    <w:rsid w:val="00387DB4"/>
    <w:rsid w:val="0039035E"/>
    <w:rsid w:val="003904AC"/>
    <w:rsid w:val="00390668"/>
    <w:rsid w:val="00391098"/>
    <w:rsid w:val="003911C3"/>
    <w:rsid w:val="003917D4"/>
    <w:rsid w:val="00391C00"/>
    <w:rsid w:val="00391C33"/>
    <w:rsid w:val="00393429"/>
    <w:rsid w:val="0039385A"/>
    <w:rsid w:val="003939C7"/>
    <w:rsid w:val="00394BB0"/>
    <w:rsid w:val="00394C8C"/>
    <w:rsid w:val="0039527D"/>
    <w:rsid w:val="0039579D"/>
    <w:rsid w:val="0039612A"/>
    <w:rsid w:val="003967B8"/>
    <w:rsid w:val="00396C0D"/>
    <w:rsid w:val="00396D61"/>
    <w:rsid w:val="00396F06"/>
    <w:rsid w:val="00397250"/>
    <w:rsid w:val="003973AE"/>
    <w:rsid w:val="003975AD"/>
    <w:rsid w:val="00397BF1"/>
    <w:rsid w:val="003A1A03"/>
    <w:rsid w:val="003A1C79"/>
    <w:rsid w:val="003A34FF"/>
    <w:rsid w:val="003A41C7"/>
    <w:rsid w:val="003A4546"/>
    <w:rsid w:val="003A471D"/>
    <w:rsid w:val="003A75A0"/>
    <w:rsid w:val="003A75FA"/>
    <w:rsid w:val="003B008F"/>
    <w:rsid w:val="003B0C51"/>
    <w:rsid w:val="003B0DFB"/>
    <w:rsid w:val="003B1449"/>
    <w:rsid w:val="003B1559"/>
    <w:rsid w:val="003B1D84"/>
    <w:rsid w:val="003B2440"/>
    <w:rsid w:val="003B2F9A"/>
    <w:rsid w:val="003B311A"/>
    <w:rsid w:val="003B32CA"/>
    <w:rsid w:val="003B3FBF"/>
    <w:rsid w:val="003B48DF"/>
    <w:rsid w:val="003B4B55"/>
    <w:rsid w:val="003B4D95"/>
    <w:rsid w:val="003B6824"/>
    <w:rsid w:val="003B6B60"/>
    <w:rsid w:val="003B6F9D"/>
    <w:rsid w:val="003B735A"/>
    <w:rsid w:val="003B794A"/>
    <w:rsid w:val="003B7A12"/>
    <w:rsid w:val="003B7E77"/>
    <w:rsid w:val="003C0312"/>
    <w:rsid w:val="003C0753"/>
    <w:rsid w:val="003C0F7E"/>
    <w:rsid w:val="003C0FCB"/>
    <w:rsid w:val="003C22EC"/>
    <w:rsid w:val="003C243E"/>
    <w:rsid w:val="003C2C6A"/>
    <w:rsid w:val="003C3249"/>
    <w:rsid w:val="003C3B5B"/>
    <w:rsid w:val="003C40DE"/>
    <w:rsid w:val="003C42F0"/>
    <w:rsid w:val="003C468E"/>
    <w:rsid w:val="003C499F"/>
    <w:rsid w:val="003C4D48"/>
    <w:rsid w:val="003C6094"/>
    <w:rsid w:val="003C63C9"/>
    <w:rsid w:val="003C6733"/>
    <w:rsid w:val="003C6D2B"/>
    <w:rsid w:val="003C75FE"/>
    <w:rsid w:val="003C7C54"/>
    <w:rsid w:val="003D0197"/>
    <w:rsid w:val="003D0A0E"/>
    <w:rsid w:val="003D0CAA"/>
    <w:rsid w:val="003D1722"/>
    <w:rsid w:val="003D199D"/>
    <w:rsid w:val="003D1F23"/>
    <w:rsid w:val="003D3026"/>
    <w:rsid w:val="003D350D"/>
    <w:rsid w:val="003D3B20"/>
    <w:rsid w:val="003D3EEA"/>
    <w:rsid w:val="003D491B"/>
    <w:rsid w:val="003D4B37"/>
    <w:rsid w:val="003D51D3"/>
    <w:rsid w:val="003D6455"/>
    <w:rsid w:val="003D6BDB"/>
    <w:rsid w:val="003D6EFA"/>
    <w:rsid w:val="003D7238"/>
    <w:rsid w:val="003D7955"/>
    <w:rsid w:val="003E0233"/>
    <w:rsid w:val="003E07A4"/>
    <w:rsid w:val="003E199C"/>
    <w:rsid w:val="003E1B95"/>
    <w:rsid w:val="003E2EBB"/>
    <w:rsid w:val="003E32A3"/>
    <w:rsid w:val="003E52FC"/>
    <w:rsid w:val="003E5548"/>
    <w:rsid w:val="003E6C33"/>
    <w:rsid w:val="003F0CBE"/>
    <w:rsid w:val="003F11E9"/>
    <w:rsid w:val="003F1B2E"/>
    <w:rsid w:val="003F1B59"/>
    <w:rsid w:val="003F1F6C"/>
    <w:rsid w:val="003F292A"/>
    <w:rsid w:val="003F2C55"/>
    <w:rsid w:val="003F38ED"/>
    <w:rsid w:val="003F3DAA"/>
    <w:rsid w:val="003F4C67"/>
    <w:rsid w:val="003F4F87"/>
    <w:rsid w:val="003F4F89"/>
    <w:rsid w:val="003F50D8"/>
    <w:rsid w:val="003F5291"/>
    <w:rsid w:val="003F54AB"/>
    <w:rsid w:val="003F5643"/>
    <w:rsid w:val="003F71AB"/>
    <w:rsid w:val="003F7208"/>
    <w:rsid w:val="003F72EC"/>
    <w:rsid w:val="003F753B"/>
    <w:rsid w:val="003F7CA9"/>
    <w:rsid w:val="003F7F1E"/>
    <w:rsid w:val="00401A45"/>
    <w:rsid w:val="0040219D"/>
    <w:rsid w:val="004027BC"/>
    <w:rsid w:val="0040322C"/>
    <w:rsid w:val="00403786"/>
    <w:rsid w:val="004044D7"/>
    <w:rsid w:val="004047DF"/>
    <w:rsid w:val="00404BF1"/>
    <w:rsid w:val="00405AC6"/>
    <w:rsid w:val="004066C0"/>
    <w:rsid w:val="00406758"/>
    <w:rsid w:val="00406CF8"/>
    <w:rsid w:val="00407DEC"/>
    <w:rsid w:val="00407EB2"/>
    <w:rsid w:val="00410558"/>
    <w:rsid w:val="00410CD6"/>
    <w:rsid w:val="00411147"/>
    <w:rsid w:val="004112F0"/>
    <w:rsid w:val="0041228E"/>
    <w:rsid w:val="00413167"/>
    <w:rsid w:val="00413E37"/>
    <w:rsid w:val="004141D1"/>
    <w:rsid w:val="004154CB"/>
    <w:rsid w:val="00415686"/>
    <w:rsid w:val="00415D09"/>
    <w:rsid w:val="00416076"/>
    <w:rsid w:val="004169AC"/>
    <w:rsid w:val="00416A8F"/>
    <w:rsid w:val="0041703F"/>
    <w:rsid w:val="00417457"/>
    <w:rsid w:val="004177E0"/>
    <w:rsid w:val="00417D32"/>
    <w:rsid w:val="00420249"/>
    <w:rsid w:val="00420432"/>
    <w:rsid w:val="004205D1"/>
    <w:rsid w:val="00420FB4"/>
    <w:rsid w:val="00421D77"/>
    <w:rsid w:val="004229D7"/>
    <w:rsid w:val="00422A4B"/>
    <w:rsid w:val="0042325B"/>
    <w:rsid w:val="004232F1"/>
    <w:rsid w:val="0042331D"/>
    <w:rsid w:val="00423329"/>
    <w:rsid w:val="00423DDC"/>
    <w:rsid w:val="00423F5B"/>
    <w:rsid w:val="004240CF"/>
    <w:rsid w:val="00425593"/>
    <w:rsid w:val="004257E4"/>
    <w:rsid w:val="004260BF"/>
    <w:rsid w:val="004268FB"/>
    <w:rsid w:val="004272F5"/>
    <w:rsid w:val="004275C7"/>
    <w:rsid w:val="00427FFC"/>
    <w:rsid w:val="004309CF"/>
    <w:rsid w:val="00431280"/>
    <w:rsid w:val="00431FF9"/>
    <w:rsid w:val="004320C5"/>
    <w:rsid w:val="00432214"/>
    <w:rsid w:val="0043377D"/>
    <w:rsid w:val="0043483B"/>
    <w:rsid w:val="00434CCA"/>
    <w:rsid w:val="004351B4"/>
    <w:rsid w:val="004352C1"/>
    <w:rsid w:val="004352E3"/>
    <w:rsid w:val="00435DE9"/>
    <w:rsid w:val="0043671D"/>
    <w:rsid w:val="00437343"/>
    <w:rsid w:val="004404C1"/>
    <w:rsid w:val="004405DF"/>
    <w:rsid w:val="00440799"/>
    <w:rsid w:val="00440B76"/>
    <w:rsid w:val="00441B96"/>
    <w:rsid w:val="00441F81"/>
    <w:rsid w:val="00442247"/>
    <w:rsid w:val="00442734"/>
    <w:rsid w:val="004431E7"/>
    <w:rsid w:val="00443340"/>
    <w:rsid w:val="00443670"/>
    <w:rsid w:val="00444DB3"/>
    <w:rsid w:val="0044521D"/>
    <w:rsid w:val="00446543"/>
    <w:rsid w:val="004474A7"/>
    <w:rsid w:val="004478B3"/>
    <w:rsid w:val="00447A21"/>
    <w:rsid w:val="0045033F"/>
    <w:rsid w:val="00450E60"/>
    <w:rsid w:val="0045196B"/>
    <w:rsid w:val="00451B9B"/>
    <w:rsid w:val="00451D5A"/>
    <w:rsid w:val="00453404"/>
    <w:rsid w:val="00453AE1"/>
    <w:rsid w:val="00453C9B"/>
    <w:rsid w:val="004543F7"/>
    <w:rsid w:val="0045471A"/>
    <w:rsid w:val="00454911"/>
    <w:rsid w:val="00454EF2"/>
    <w:rsid w:val="004556A9"/>
    <w:rsid w:val="00455877"/>
    <w:rsid w:val="004561FD"/>
    <w:rsid w:val="00456E78"/>
    <w:rsid w:val="004573DC"/>
    <w:rsid w:val="00460280"/>
    <w:rsid w:val="00461133"/>
    <w:rsid w:val="004618E5"/>
    <w:rsid w:val="00461C5E"/>
    <w:rsid w:val="00461DF5"/>
    <w:rsid w:val="00461EB3"/>
    <w:rsid w:val="0046205E"/>
    <w:rsid w:val="00462551"/>
    <w:rsid w:val="00464438"/>
    <w:rsid w:val="00464CDE"/>
    <w:rsid w:val="00465139"/>
    <w:rsid w:val="0046513F"/>
    <w:rsid w:val="00465ADD"/>
    <w:rsid w:val="00465F33"/>
    <w:rsid w:val="00466FFC"/>
    <w:rsid w:val="0046745E"/>
    <w:rsid w:val="00467769"/>
    <w:rsid w:val="00467E74"/>
    <w:rsid w:val="00467FFC"/>
    <w:rsid w:val="00471437"/>
    <w:rsid w:val="00471563"/>
    <w:rsid w:val="00471BB0"/>
    <w:rsid w:val="00472045"/>
    <w:rsid w:val="004725AB"/>
    <w:rsid w:val="004726F2"/>
    <w:rsid w:val="00473E1D"/>
    <w:rsid w:val="004752F4"/>
    <w:rsid w:val="004755B7"/>
    <w:rsid w:val="00475771"/>
    <w:rsid w:val="00475B0B"/>
    <w:rsid w:val="004766C8"/>
    <w:rsid w:val="00477A4D"/>
    <w:rsid w:val="00477DDB"/>
    <w:rsid w:val="00477E52"/>
    <w:rsid w:val="0048027C"/>
    <w:rsid w:val="00480AF9"/>
    <w:rsid w:val="00480EB5"/>
    <w:rsid w:val="00481EAC"/>
    <w:rsid w:val="00483473"/>
    <w:rsid w:val="00484818"/>
    <w:rsid w:val="00484EE6"/>
    <w:rsid w:val="004857B4"/>
    <w:rsid w:val="004860F7"/>
    <w:rsid w:val="00487183"/>
    <w:rsid w:val="00487C65"/>
    <w:rsid w:val="004908DC"/>
    <w:rsid w:val="00490B98"/>
    <w:rsid w:val="004914A0"/>
    <w:rsid w:val="00491817"/>
    <w:rsid w:val="004924FA"/>
    <w:rsid w:val="00493A24"/>
    <w:rsid w:val="00493B3D"/>
    <w:rsid w:val="004951DD"/>
    <w:rsid w:val="004956A8"/>
    <w:rsid w:val="00495820"/>
    <w:rsid w:val="00495920"/>
    <w:rsid w:val="004A00B2"/>
    <w:rsid w:val="004A0330"/>
    <w:rsid w:val="004A0420"/>
    <w:rsid w:val="004A0799"/>
    <w:rsid w:val="004A0819"/>
    <w:rsid w:val="004A128E"/>
    <w:rsid w:val="004A17B2"/>
    <w:rsid w:val="004A26CF"/>
    <w:rsid w:val="004A3842"/>
    <w:rsid w:val="004A3CC6"/>
    <w:rsid w:val="004A5199"/>
    <w:rsid w:val="004B0934"/>
    <w:rsid w:val="004B0E1C"/>
    <w:rsid w:val="004B0F98"/>
    <w:rsid w:val="004B1367"/>
    <w:rsid w:val="004B1B07"/>
    <w:rsid w:val="004B217A"/>
    <w:rsid w:val="004B2788"/>
    <w:rsid w:val="004B4444"/>
    <w:rsid w:val="004B5552"/>
    <w:rsid w:val="004B5AE3"/>
    <w:rsid w:val="004B6705"/>
    <w:rsid w:val="004B6916"/>
    <w:rsid w:val="004B7367"/>
    <w:rsid w:val="004B77B2"/>
    <w:rsid w:val="004C1098"/>
    <w:rsid w:val="004C1250"/>
    <w:rsid w:val="004C4996"/>
    <w:rsid w:val="004C4DD1"/>
    <w:rsid w:val="004C5255"/>
    <w:rsid w:val="004C53C5"/>
    <w:rsid w:val="004C63B7"/>
    <w:rsid w:val="004C6D56"/>
    <w:rsid w:val="004C6EB1"/>
    <w:rsid w:val="004C7173"/>
    <w:rsid w:val="004C7429"/>
    <w:rsid w:val="004C7A10"/>
    <w:rsid w:val="004D1B5D"/>
    <w:rsid w:val="004D28BA"/>
    <w:rsid w:val="004D2A10"/>
    <w:rsid w:val="004D2BB8"/>
    <w:rsid w:val="004D2C4C"/>
    <w:rsid w:val="004D2EC8"/>
    <w:rsid w:val="004D2EF7"/>
    <w:rsid w:val="004D32CF"/>
    <w:rsid w:val="004D424D"/>
    <w:rsid w:val="004D4848"/>
    <w:rsid w:val="004D4FDB"/>
    <w:rsid w:val="004D586F"/>
    <w:rsid w:val="004D6131"/>
    <w:rsid w:val="004D667D"/>
    <w:rsid w:val="004D687F"/>
    <w:rsid w:val="004D7A45"/>
    <w:rsid w:val="004D7F11"/>
    <w:rsid w:val="004E073B"/>
    <w:rsid w:val="004E1372"/>
    <w:rsid w:val="004E14C4"/>
    <w:rsid w:val="004E1E54"/>
    <w:rsid w:val="004E22DB"/>
    <w:rsid w:val="004E303C"/>
    <w:rsid w:val="004E32BC"/>
    <w:rsid w:val="004E4D80"/>
    <w:rsid w:val="004E4FDD"/>
    <w:rsid w:val="004E595B"/>
    <w:rsid w:val="004E5C55"/>
    <w:rsid w:val="004E5F80"/>
    <w:rsid w:val="004E69EA"/>
    <w:rsid w:val="004E6E56"/>
    <w:rsid w:val="004E758A"/>
    <w:rsid w:val="004F0401"/>
    <w:rsid w:val="004F07A7"/>
    <w:rsid w:val="004F1598"/>
    <w:rsid w:val="004F2AAA"/>
    <w:rsid w:val="004F34C5"/>
    <w:rsid w:val="004F37AA"/>
    <w:rsid w:val="004F3826"/>
    <w:rsid w:val="004F409C"/>
    <w:rsid w:val="004F4E2F"/>
    <w:rsid w:val="004F67B5"/>
    <w:rsid w:val="004F6C34"/>
    <w:rsid w:val="004F767F"/>
    <w:rsid w:val="004F7729"/>
    <w:rsid w:val="005000DC"/>
    <w:rsid w:val="005003F8"/>
    <w:rsid w:val="00500DD9"/>
    <w:rsid w:val="00500DE4"/>
    <w:rsid w:val="005013EF"/>
    <w:rsid w:val="005014BA"/>
    <w:rsid w:val="0050226F"/>
    <w:rsid w:val="005022F1"/>
    <w:rsid w:val="00503B51"/>
    <w:rsid w:val="00503E1F"/>
    <w:rsid w:val="00503F69"/>
    <w:rsid w:val="00503F9A"/>
    <w:rsid w:val="00504318"/>
    <w:rsid w:val="00504C42"/>
    <w:rsid w:val="00505AFC"/>
    <w:rsid w:val="0050640F"/>
    <w:rsid w:val="00507688"/>
    <w:rsid w:val="00507AD8"/>
    <w:rsid w:val="0051244B"/>
    <w:rsid w:val="005139F7"/>
    <w:rsid w:val="00514960"/>
    <w:rsid w:val="00514E6E"/>
    <w:rsid w:val="0051556C"/>
    <w:rsid w:val="005166DB"/>
    <w:rsid w:val="00516BDE"/>
    <w:rsid w:val="00516DAA"/>
    <w:rsid w:val="005179E9"/>
    <w:rsid w:val="0052062D"/>
    <w:rsid w:val="005208ED"/>
    <w:rsid w:val="00521D32"/>
    <w:rsid w:val="00522BDF"/>
    <w:rsid w:val="00524A74"/>
    <w:rsid w:val="00525D24"/>
    <w:rsid w:val="00526BC2"/>
    <w:rsid w:val="005270FE"/>
    <w:rsid w:val="0052720A"/>
    <w:rsid w:val="00531754"/>
    <w:rsid w:val="00531941"/>
    <w:rsid w:val="005319B1"/>
    <w:rsid w:val="00532F5B"/>
    <w:rsid w:val="00534AFE"/>
    <w:rsid w:val="00535419"/>
    <w:rsid w:val="0053590A"/>
    <w:rsid w:val="005372C3"/>
    <w:rsid w:val="00537C77"/>
    <w:rsid w:val="005400B9"/>
    <w:rsid w:val="005400D8"/>
    <w:rsid w:val="00540542"/>
    <w:rsid w:val="00540AF6"/>
    <w:rsid w:val="00541926"/>
    <w:rsid w:val="005419D1"/>
    <w:rsid w:val="005420B9"/>
    <w:rsid w:val="00542B11"/>
    <w:rsid w:val="005430A2"/>
    <w:rsid w:val="005434B9"/>
    <w:rsid w:val="005435D1"/>
    <w:rsid w:val="00543A0B"/>
    <w:rsid w:val="00544733"/>
    <w:rsid w:val="005447FA"/>
    <w:rsid w:val="00545B0B"/>
    <w:rsid w:val="00545B15"/>
    <w:rsid w:val="0054623A"/>
    <w:rsid w:val="0054629A"/>
    <w:rsid w:val="00547169"/>
    <w:rsid w:val="00547D5C"/>
    <w:rsid w:val="00547FA9"/>
    <w:rsid w:val="00550461"/>
    <w:rsid w:val="005505BE"/>
    <w:rsid w:val="00550741"/>
    <w:rsid w:val="0055190E"/>
    <w:rsid w:val="00551B24"/>
    <w:rsid w:val="00551BE7"/>
    <w:rsid w:val="0055273E"/>
    <w:rsid w:val="0055274E"/>
    <w:rsid w:val="00552B1F"/>
    <w:rsid w:val="005530A6"/>
    <w:rsid w:val="00553643"/>
    <w:rsid w:val="00553A55"/>
    <w:rsid w:val="00554DF6"/>
    <w:rsid w:val="00554EC2"/>
    <w:rsid w:val="00555222"/>
    <w:rsid w:val="005553C8"/>
    <w:rsid w:val="00556E85"/>
    <w:rsid w:val="005576A5"/>
    <w:rsid w:val="00557EAA"/>
    <w:rsid w:val="00560610"/>
    <w:rsid w:val="00560779"/>
    <w:rsid w:val="00561429"/>
    <w:rsid w:val="00561822"/>
    <w:rsid w:val="0056327A"/>
    <w:rsid w:val="005632BC"/>
    <w:rsid w:val="005633DF"/>
    <w:rsid w:val="00563D2A"/>
    <w:rsid w:val="0056542E"/>
    <w:rsid w:val="005665B9"/>
    <w:rsid w:val="005678C1"/>
    <w:rsid w:val="005679C4"/>
    <w:rsid w:val="00567F26"/>
    <w:rsid w:val="005708A4"/>
    <w:rsid w:val="00571294"/>
    <w:rsid w:val="005717C1"/>
    <w:rsid w:val="00571CCD"/>
    <w:rsid w:val="005721C3"/>
    <w:rsid w:val="00572656"/>
    <w:rsid w:val="00573A64"/>
    <w:rsid w:val="005747B6"/>
    <w:rsid w:val="00574B2D"/>
    <w:rsid w:val="0057660C"/>
    <w:rsid w:val="005771D9"/>
    <w:rsid w:val="00580853"/>
    <w:rsid w:val="0058223C"/>
    <w:rsid w:val="00582B7F"/>
    <w:rsid w:val="00583929"/>
    <w:rsid w:val="0058424A"/>
    <w:rsid w:val="005847A2"/>
    <w:rsid w:val="00585B33"/>
    <w:rsid w:val="005872E2"/>
    <w:rsid w:val="00587782"/>
    <w:rsid w:val="00587D2D"/>
    <w:rsid w:val="00587FB4"/>
    <w:rsid w:val="00590260"/>
    <w:rsid w:val="005902AC"/>
    <w:rsid w:val="00590AA0"/>
    <w:rsid w:val="00590FF9"/>
    <w:rsid w:val="00592471"/>
    <w:rsid w:val="00592E12"/>
    <w:rsid w:val="00593371"/>
    <w:rsid w:val="00593677"/>
    <w:rsid w:val="005937EA"/>
    <w:rsid w:val="00593CCC"/>
    <w:rsid w:val="00594768"/>
    <w:rsid w:val="00595D2B"/>
    <w:rsid w:val="00595E9F"/>
    <w:rsid w:val="0059671F"/>
    <w:rsid w:val="0059676F"/>
    <w:rsid w:val="00597910"/>
    <w:rsid w:val="00597911"/>
    <w:rsid w:val="0059791E"/>
    <w:rsid w:val="005A2019"/>
    <w:rsid w:val="005A3290"/>
    <w:rsid w:val="005A34E3"/>
    <w:rsid w:val="005A3C1D"/>
    <w:rsid w:val="005A51AB"/>
    <w:rsid w:val="005A5251"/>
    <w:rsid w:val="005A5CBF"/>
    <w:rsid w:val="005A6619"/>
    <w:rsid w:val="005A6AB6"/>
    <w:rsid w:val="005A706A"/>
    <w:rsid w:val="005A732E"/>
    <w:rsid w:val="005B0A33"/>
    <w:rsid w:val="005B0C2B"/>
    <w:rsid w:val="005B101F"/>
    <w:rsid w:val="005B137B"/>
    <w:rsid w:val="005B1427"/>
    <w:rsid w:val="005B17A0"/>
    <w:rsid w:val="005B1B38"/>
    <w:rsid w:val="005B1E8A"/>
    <w:rsid w:val="005B1EA5"/>
    <w:rsid w:val="005B238B"/>
    <w:rsid w:val="005B27AA"/>
    <w:rsid w:val="005B3387"/>
    <w:rsid w:val="005B3863"/>
    <w:rsid w:val="005B43C4"/>
    <w:rsid w:val="005B4E6C"/>
    <w:rsid w:val="005B512F"/>
    <w:rsid w:val="005B51E1"/>
    <w:rsid w:val="005B60AD"/>
    <w:rsid w:val="005B6171"/>
    <w:rsid w:val="005B61E6"/>
    <w:rsid w:val="005B6383"/>
    <w:rsid w:val="005B6D68"/>
    <w:rsid w:val="005C1772"/>
    <w:rsid w:val="005C26EF"/>
    <w:rsid w:val="005C2C01"/>
    <w:rsid w:val="005C2FC3"/>
    <w:rsid w:val="005C30CC"/>
    <w:rsid w:val="005C4DAE"/>
    <w:rsid w:val="005C5388"/>
    <w:rsid w:val="005C53A3"/>
    <w:rsid w:val="005C5765"/>
    <w:rsid w:val="005C6C98"/>
    <w:rsid w:val="005C6CE1"/>
    <w:rsid w:val="005C6FFD"/>
    <w:rsid w:val="005C7756"/>
    <w:rsid w:val="005C79E2"/>
    <w:rsid w:val="005C7A9D"/>
    <w:rsid w:val="005C7DE4"/>
    <w:rsid w:val="005D00C6"/>
    <w:rsid w:val="005D0313"/>
    <w:rsid w:val="005D03BE"/>
    <w:rsid w:val="005D0F27"/>
    <w:rsid w:val="005D147A"/>
    <w:rsid w:val="005D189B"/>
    <w:rsid w:val="005D2406"/>
    <w:rsid w:val="005D2D17"/>
    <w:rsid w:val="005D412B"/>
    <w:rsid w:val="005D63F2"/>
    <w:rsid w:val="005D657B"/>
    <w:rsid w:val="005D6FA0"/>
    <w:rsid w:val="005D7616"/>
    <w:rsid w:val="005D76C1"/>
    <w:rsid w:val="005D7B05"/>
    <w:rsid w:val="005E028F"/>
    <w:rsid w:val="005E0B4E"/>
    <w:rsid w:val="005E1DE2"/>
    <w:rsid w:val="005E47AC"/>
    <w:rsid w:val="005E4CAD"/>
    <w:rsid w:val="005E52F6"/>
    <w:rsid w:val="005E554F"/>
    <w:rsid w:val="005E5738"/>
    <w:rsid w:val="005E601E"/>
    <w:rsid w:val="005E63A1"/>
    <w:rsid w:val="005E7A06"/>
    <w:rsid w:val="005F0DB2"/>
    <w:rsid w:val="005F1B98"/>
    <w:rsid w:val="005F1BB0"/>
    <w:rsid w:val="005F2E8C"/>
    <w:rsid w:val="005F3575"/>
    <w:rsid w:val="005F4129"/>
    <w:rsid w:val="005F45A9"/>
    <w:rsid w:val="005F496F"/>
    <w:rsid w:val="005F5341"/>
    <w:rsid w:val="005F6921"/>
    <w:rsid w:val="005F6BCA"/>
    <w:rsid w:val="005F7540"/>
    <w:rsid w:val="00600198"/>
    <w:rsid w:val="00601F9E"/>
    <w:rsid w:val="006031B3"/>
    <w:rsid w:val="00603B7C"/>
    <w:rsid w:val="00604BBD"/>
    <w:rsid w:val="00605FCD"/>
    <w:rsid w:val="00606E34"/>
    <w:rsid w:val="006075CF"/>
    <w:rsid w:val="00610045"/>
    <w:rsid w:val="00611266"/>
    <w:rsid w:val="006113FC"/>
    <w:rsid w:val="00611ACA"/>
    <w:rsid w:val="00611EA2"/>
    <w:rsid w:val="00612C2E"/>
    <w:rsid w:val="00612E4A"/>
    <w:rsid w:val="0061308A"/>
    <w:rsid w:val="00613103"/>
    <w:rsid w:val="006132AB"/>
    <w:rsid w:val="006142C5"/>
    <w:rsid w:val="00614465"/>
    <w:rsid w:val="00614491"/>
    <w:rsid w:val="0061528B"/>
    <w:rsid w:val="006155AC"/>
    <w:rsid w:val="00615A82"/>
    <w:rsid w:val="0061799E"/>
    <w:rsid w:val="0062395E"/>
    <w:rsid w:val="00623D9F"/>
    <w:rsid w:val="0062405E"/>
    <w:rsid w:val="00624EA6"/>
    <w:rsid w:val="00626C86"/>
    <w:rsid w:val="00626D4C"/>
    <w:rsid w:val="00626D57"/>
    <w:rsid w:val="0063081A"/>
    <w:rsid w:val="0063096F"/>
    <w:rsid w:val="00631595"/>
    <w:rsid w:val="00631677"/>
    <w:rsid w:val="0063226F"/>
    <w:rsid w:val="00632337"/>
    <w:rsid w:val="00632826"/>
    <w:rsid w:val="00632BD9"/>
    <w:rsid w:val="00633207"/>
    <w:rsid w:val="0063394D"/>
    <w:rsid w:val="0063401E"/>
    <w:rsid w:val="00634930"/>
    <w:rsid w:val="00634C18"/>
    <w:rsid w:val="00634E37"/>
    <w:rsid w:val="006360ED"/>
    <w:rsid w:val="00636ADA"/>
    <w:rsid w:val="00637143"/>
    <w:rsid w:val="00637331"/>
    <w:rsid w:val="00637860"/>
    <w:rsid w:val="006406A1"/>
    <w:rsid w:val="006406D2"/>
    <w:rsid w:val="00640C59"/>
    <w:rsid w:val="006413C6"/>
    <w:rsid w:val="00641645"/>
    <w:rsid w:val="00642031"/>
    <w:rsid w:val="006427A7"/>
    <w:rsid w:val="00642E48"/>
    <w:rsid w:val="00643290"/>
    <w:rsid w:val="006436F1"/>
    <w:rsid w:val="0064493B"/>
    <w:rsid w:val="0064503E"/>
    <w:rsid w:val="00645751"/>
    <w:rsid w:val="00646289"/>
    <w:rsid w:val="006465AF"/>
    <w:rsid w:val="00646E15"/>
    <w:rsid w:val="0065167C"/>
    <w:rsid w:val="0065180A"/>
    <w:rsid w:val="00651A44"/>
    <w:rsid w:val="00652045"/>
    <w:rsid w:val="00653819"/>
    <w:rsid w:val="006544A8"/>
    <w:rsid w:val="006551B9"/>
    <w:rsid w:val="00656724"/>
    <w:rsid w:val="00656F97"/>
    <w:rsid w:val="006579F6"/>
    <w:rsid w:val="00657B5A"/>
    <w:rsid w:val="00660240"/>
    <w:rsid w:val="00661934"/>
    <w:rsid w:val="00662150"/>
    <w:rsid w:val="0066274A"/>
    <w:rsid w:val="006628FA"/>
    <w:rsid w:val="00662A96"/>
    <w:rsid w:val="006658AF"/>
    <w:rsid w:val="00665EB7"/>
    <w:rsid w:val="00666B7E"/>
    <w:rsid w:val="00671121"/>
    <w:rsid w:val="00671720"/>
    <w:rsid w:val="00671807"/>
    <w:rsid w:val="0067194B"/>
    <w:rsid w:val="006720A9"/>
    <w:rsid w:val="006729BE"/>
    <w:rsid w:val="00672A5E"/>
    <w:rsid w:val="00672DBF"/>
    <w:rsid w:val="006736F7"/>
    <w:rsid w:val="00674F3A"/>
    <w:rsid w:val="006752EF"/>
    <w:rsid w:val="00675429"/>
    <w:rsid w:val="0067558D"/>
    <w:rsid w:val="0067606F"/>
    <w:rsid w:val="006761BC"/>
    <w:rsid w:val="006770E0"/>
    <w:rsid w:val="0068051D"/>
    <w:rsid w:val="006809D0"/>
    <w:rsid w:val="00680E51"/>
    <w:rsid w:val="00682089"/>
    <w:rsid w:val="006826F4"/>
    <w:rsid w:val="00684359"/>
    <w:rsid w:val="00684481"/>
    <w:rsid w:val="00684863"/>
    <w:rsid w:val="006854C2"/>
    <w:rsid w:val="006855CF"/>
    <w:rsid w:val="0068616B"/>
    <w:rsid w:val="00687372"/>
    <w:rsid w:val="00687650"/>
    <w:rsid w:val="00687B88"/>
    <w:rsid w:val="00687E79"/>
    <w:rsid w:val="00690866"/>
    <w:rsid w:val="00690B50"/>
    <w:rsid w:val="00690D4F"/>
    <w:rsid w:val="006911DC"/>
    <w:rsid w:val="00691987"/>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875"/>
    <w:rsid w:val="006A1D27"/>
    <w:rsid w:val="006A3701"/>
    <w:rsid w:val="006A3BD1"/>
    <w:rsid w:val="006A3D34"/>
    <w:rsid w:val="006A5786"/>
    <w:rsid w:val="006A5999"/>
    <w:rsid w:val="006A5B53"/>
    <w:rsid w:val="006A6328"/>
    <w:rsid w:val="006A6EA1"/>
    <w:rsid w:val="006A6ED3"/>
    <w:rsid w:val="006B0591"/>
    <w:rsid w:val="006B0940"/>
    <w:rsid w:val="006B171C"/>
    <w:rsid w:val="006B17AE"/>
    <w:rsid w:val="006B1952"/>
    <w:rsid w:val="006B1B55"/>
    <w:rsid w:val="006B2A71"/>
    <w:rsid w:val="006B33D7"/>
    <w:rsid w:val="006B450A"/>
    <w:rsid w:val="006B45C4"/>
    <w:rsid w:val="006B4910"/>
    <w:rsid w:val="006B543C"/>
    <w:rsid w:val="006B6586"/>
    <w:rsid w:val="006B6C74"/>
    <w:rsid w:val="006B719A"/>
    <w:rsid w:val="006C18C5"/>
    <w:rsid w:val="006C2F92"/>
    <w:rsid w:val="006C319C"/>
    <w:rsid w:val="006C3367"/>
    <w:rsid w:val="006C3455"/>
    <w:rsid w:val="006C3BA5"/>
    <w:rsid w:val="006C3FB2"/>
    <w:rsid w:val="006C415B"/>
    <w:rsid w:val="006C56E1"/>
    <w:rsid w:val="006C574F"/>
    <w:rsid w:val="006C60D4"/>
    <w:rsid w:val="006C7336"/>
    <w:rsid w:val="006D006E"/>
    <w:rsid w:val="006D02B1"/>
    <w:rsid w:val="006D0819"/>
    <w:rsid w:val="006D14DC"/>
    <w:rsid w:val="006D17D0"/>
    <w:rsid w:val="006D1EA5"/>
    <w:rsid w:val="006D2315"/>
    <w:rsid w:val="006D2863"/>
    <w:rsid w:val="006D31C7"/>
    <w:rsid w:val="006D380A"/>
    <w:rsid w:val="006D3A36"/>
    <w:rsid w:val="006D4607"/>
    <w:rsid w:val="006D478A"/>
    <w:rsid w:val="006D52CC"/>
    <w:rsid w:val="006D6278"/>
    <w:rsid w:val="006D6555"/>
    <w:rsid w:val="006D6DDB"/>
    <w:rsid w:val="006D7799"/>
    <w:rsid w:val="006E01DF"/>
    <w:rsid w:val="006E022F"/>
    <w:rsid w:val="006E0F18"/>
    <w:rsid w:val="006E1A7E"/>
    <w:rsid w:val="006E317C"/>
    <w:rsid w:val="006E357C"/>
    <w:rsid w:val="006E3A81"/>
    <w:rsid w:val="006E4FE4"/>
    <w:rsid w:val="006E674F"/>
    <w:rsid w:val="006E6765"/>
    <w:rsid w:val="006E7171"/>
    <w:rsid w:val="006E77C8"/>
    <w:rsid w:val="006E7ACA"/>
    <w:rsid w:val="006E7F06"/>
    <w:rsid w:val="006F0872"/>
    <w:rsid w:val="006F2188"/>
    <w:rsid w:val="006F27BE"/>
    <w:rsid w:val="006F2B51"/>
    <w:rsid w:val="006F2EC5"/>
    <w:rsid w:val="006F362C"/>
    <w:rsid w:val="006F4CBA"/>
    <w:rsid w:val="006F4D8C"/>
    <w:rsid w:val="006F51F6"/>
    <w:rsid w:val="006F65A8"/>
    <w:rsid w:val="006F6790"/>
    <w:rsid w:val="006F732E"/>
    <w:rsid w:val="006F767C"/>
    <w:rsid w:val="006F78BA"/>
    <w:rsid w:val="006F7A68"/>
    <w:rsid w:val="00701D4F"/>
    <w:rsid w:val="007024BA"/>
    <w:rsid w:val="0070257A"/>
    <w:rsid w:val="007028C3"/>
    <w:rsid w:val="00703422"/>
    <w:rsid w:val="00703C40"/>
    <w:rsid w:val="00703F7A"/>
    <w:rsid w:val="00704C2E"/>
    <w:rsid w:val="00705214"/>
    <w:rsid w:val="00705A0F"/>
    <w:rsid w:val="0070650E"/>
    <w:rsid w:val="007065E5"/>
    <w:rsid w:val="00706630"/>
    <w:rsid w:val="007069B5"/>
    <w:rsid w:val="00706CB7"/>
    <w:rsid w:val="00707932"/>
    <w:rsid w:val="00710075"/>
    <w:rsid w:val="0071040B"/>
    <w:rsid w:val="00715C2E"/>
    <w:rsid w:val="007171AF"/>
    <w:rsid w:val="0071773A"/>
    <w:rsid w:val="00720771"/>
    <w:rsid w:val="00721099"/>
    <w:rsid w:val="00721352"/>
    <w:rsid w:val="00721B6C"/>
    <w:rsid w:val="0072254B"/>
    <w:rsid w:val="007226C2"/>
    <w:rsid w:val="00722A14"/>
    <w:rsid w:val="00722E5B"/>
    <w:rsid w:val="00723540"/>
    <w:rsid w:val="007235B8"/>
    <w:rsid w:val="007237D0"/>
    <w:rsid w:val="007240E9"/>
    <w:rsid w:val="00724B53"/>
    <w:rsid w:val="00725FB4"/>
    <w:rsid w:val="00725FC0"/>
    <w:rsid w:val="00727B8D"/>
    <w:rsid w:val="00727B9C"/>
    <w:rsid w:val="00727E5D"/>
    <w:rsid w:val="00730EBF"/>
    <w:rsid w:val="00730EFA"/>
    <w:rsid w:val="00731287"/>
    <w:rsid w:val="00731381"/>
    <w:rsid w:val="00732BB0"/>
    <w:rsid w:val="00732EDE"/>
    <w:rsid w:val="00733ACD"/>
    <w:rsid w:val="007345D9"/>
    <w:rsid w:val="0073566D"/>
    <w:rsid w:val="0073595E"/>
    <w:rsid w:val="00735E17"/>
    <w:rsid w:val="00737FFD"/>
    <w:rsid w:val="00740918"/>
    <w:rsid w:val="00740E33"/>
    <w:rsid w:val="00740E8D"/>
    <w:rsid w:val="00741186"/>
    <w:rsid w:val="00741BCE"/>
    <w:rsid w:val="00741F17"/>
    <w:rsid w:val="00741F64"/>
    <w:rsid w:val="00742659"/>
    <w:rsid w:val="00743BA2"/>
    <w:rsid w:val="00743BF1"/>
    <w:rsid w:val="00744152"/>
    <w:rsid w:val="007474C4"/>
    <w:rsid w:val="0074781F"/>
    <w:rsid w:val="00747AF5"/>
    <w:rsid w:val="00747EAB"/>
    <w:rsid w:val="00747EC0"/>
    <w:rsid w:val="007508BD"/>
    <w:rsid w:val="00750976"/>
    <w:rsid w:val="00750B73"/>
    <w:rsid w:val="00750C6F"/>
    <w:rsid w:val="00751712"/>
    <w:rsid w:val="00751B3A"/>
    <w:rsid w:val="00751DB2"/>
    <w:rsid w:val="00751EEB"/>
    <w:rsid w:val="0075340E"/>
    <w:rsid w:val="007559B8"/>
    <w:rsid w:val="00755A94"/>
    <w:rsid w:val="00755DBE"/>
    <w:rsid w:val="0075656A"/>
    <w:rsid w:val="00760928"/>
    <w:rsid w:val="00760CE3"/>
    <w:rsid w:val="00760DA5"/>
    <w:rsid w:val="00761899"/>
    <w:rsid w:val="0076314E"/>
    <w:rsid w:val="007637CD"/>
    <w:rsid w:val="00763EFC"/>
    <w:rsid w:val="00764282"/>
    <w:rsid w:val="007644A4"/>
    <w:rsid w:val="0076476B"/>
    <w:rsid w:val="007648C0"/>
    <w:rsid w:val="00765B77"/>
    <w:rsid w:val="00766516"/>
    <w:rsid w:val="0076746E"/>
    <w:rsid w:val="007676E7"/>
    <w:rsid w:val="00770D97"/>
    <w:rsid w:val="007712D4"/>
    <w:rsid w:val="0077135E"/>
    <w:rsid w:val="007716C3"/>
    <w:rsid w:val="007718CA"/>
    <w:rsid w:val="00771921"/>
    <w:rsid w:val="00772AB8"/>
    <w:rsid w:val="00772D94"/>
    <w:rsid w:val="00773EE2"/>
    <w:rsid w:val="00774495"/>
    <w:rsid w:val="007748AF"/>
    <w:rsid w:val="00775C37"/>
    <w:rsid w:val="00775F78"/>
    <w:rsid w:val="007761DB"/>
    <w:rsid w:val="00776CEF"/>
    <w:rsid w:val="00777668"/>
    <w:rsid w:val="00780386"/>
    <w:rsid w:val="00780D2A"/>
    <w:rsid w:val="007810E6"/>
    <w:rsid w:val="007822FE"/>
    <w:rsid w:val="00782933"/>
    <w:rsid w:val="00783C3F"/>
    <w:rsid w:val="007863FA"/>
    <w:rsid w:val="00787578"/>
    <w:rsid w:val="00787BF6"/>
    <w:rsid w:val="00787DA8"/>
    <w:rsid w:val="00791536"/>
    <w:rsid w:val="00791545"/>
    <w:rsid w:val="0079362E"/>
    <w:rsid w:val="007941F6"/>
    <w:rsid w:val="00794425"/>
    <w:rsid w:val="00794882"/>
    <w:rsid w:val="00795225"/>
    <w:rsid w:val="00796800"/>
    <w:rsid w:val="00796BC9"/>
    <w:rsid w:val="00797AE2"/>
    <w:rsid w:val="007A008E"/>
    <w:rsid w:val="007A0622"/>
    <w:rsid w:val="007A2305"/>
    <w:rsid w:val="007A25FE"/>
    <w:rsid w:val="007A2A70"/>
    <w:rsid w:val="007A3774"/>
    <w:rsid w:val="007A3DD2"/>
    <w:rsid w:val="007A400A"/>
    <w:rsid w:val="007A4465"/>
    <w:rsid w:val="007A50D6"/>
    <w:rsid w:val="007A59C5"/>
    <w:rsid w:val="007A5D60"/>
    <w:rsid w:val="007A64ED"/>
    <w:rsid w:val="007A6B5D"/>
    <w:rsid w:val="007A75F9"/>
    <w:rsid w:val="007A7E59"/>
    <w:rsid w:val="007B0051"/>
    <w:rsid w:val="007B04CF"/>
    <w:rsid w:val="007B0F8F"/>
    <w:rsid w:val="007B155A"/>
    <w:rsid w:val="007B2447"/>
    <w:rsid w:val="007B25CA"/>
    <w:rsid w:val="007B3807"/>
    <w:rsid w:val="007B474B"/>
    <w:rsid w:val="007B524E"/>
    <w:rsid w:val="007B5DCC"/>
    <w:rsid w:val="007C0222"/>
    <w:rsid w:val="007C05BA"/>
    <w:rsid w:val="007C0B8D"/>
    <w:rsid w:val="007C0F1D"/>
    <w:rsid w:val="007C18DE"/>
    <w:rsid w:val="007C3166"/>
    <w:rsid w:val="007C56B9"/>
    <w:rsid w:val="007D00A2"/>
    <w:rsid w:val="007D0553"/>
    <w:rsid w:val="007D12C1"/>
    <w:rsid w:val="007D13E7"/>
    <w:rsid w:val="007D1856"/>
    <w:rsid w:val="007D27CF"/>
    <w:rsid w:val="007D28ED"/>
    <w:rsid w:val="007D2EC1"/>
    <w:rsid w:val="007D3388"/>
    <w:rsid w:val="007D376D"/>
    <w:rsid w:val="007D4EB3"/>
    <w:rsid w:val="007D4F32"/>
    <w:rsid w:val="007D590E"/>
    <w:rsid w:val="007D6263"/>
    <w:rsid w:val="007D6947"/>
    <w:rsid w:val="007D6B17"/>
    <w:rsid w:val="007D7256"/>
    <w:rsid w:val="007D74ED"/>
    <w:rsid w:val="007D7861"/>
    <w:rsid w:val="007D7B6C"/>
    <w:rsid w:val="007E1E69"/>
    <w:rsid w:val="007E28DC"/>
    <w:rsid w:val="007E2D5B"/>
    <w:rsid w:val="007E2F46"/>
    <w:rsid w:val="007E3EE5"/>
    <w:rsid w:val="007E441C"/>
    <w:rsid w:val="007E555E"/>
    <w:rsid w:val="007E5CEF"/>
    <w:rsid w:val="007E5F04"/>
    <w:rsid w:val="007E6064"/>
    <w:rsid w:val="007E650F"/>
    <w:rsid w:val="007E6E55"/>
    <w:rsid w:val="007E7625"/>
    <w:rsid w:val="007E7CC1"/>
    <w:rsid w:val="007E7DC0"/>
    <w:rsid w:val="007F0559"/>
    <w:rsid w:val="007F110B"/>
    <w:rsid w:val="007F1D7D"/>
    <w:rsid w:val="007F22AA"/>
    <w:rsid w:val="007F3C85"/>
    <w:rsid w:val="007F4023"/>
    <w:rsid w:val="007F4CA0"/>
    <w:rsid w:val="007F5FC8"/>
    <w:rsid w:val="007F733A"/>
    <w:rsid w:val="007F74D3"/>
    <w:rsid w:val="007F768A"/>
    <w:rsid w:val="007F7AE0"/>
    <w:rsid w:val="00801379"/>
    <w:rsid w:val="008027CB"/>
    <w:rsid w:val="008028E4"/>
    <w:rsid w:val="00802E69"/>
    <w:rsid w:val="00802FFF"/>
    <w:rsid w:val="00804881"/>
    <w:rsid w:val="00804B2B"/>
    <w:rsid w:val="00804D01"/>
    <w:rsid w:val="008050D9"/>
    <w:rsid w:val="00805A33"/>
    <w:rsid w:val="00806169"/>
    <w:rsid w:val="00806930"/>
    <w:rsid w:val="00806A28"/>
    <w:rsid w:val="00807790"/>
    <w:rsid w:val="008078FE"/>
    <w:rsid w:val="008108F5"/>
    <w:rsid w:val="00810A8B"/>
    <w:rsid w:val="00810EC2"/>
    <w:rsid w:val="0081161A"/>
    <w:rsid w:val="0081177B"/>
    <w:rsid w:val="008136F9"/>
    <w:rsid w:val="00813ED8"/>
    <w:rsid w:val="008147CE"/>
    <w:rsid w:val="00815B90"/>
    <w:rsid w:val="0081630A"/>
    <w:rsid w:val="008210BD"/>
    <w:rsid w:val="00821757"/>
    <w:rsid w:val="00822048"/>
    <w:rsid w:val="008226DD"/>
    <w:rsid w:val="00822C4E"/>
    <w:rsid w:val="00823B85"/>
    <w:rsid w:val="00823E33"/>
    <w:rsid w:val="00824363"/>
    <w:rsid w:val="00826B9C"/>
    <w:rsid w:val="00827196"/>
    <w:rsid w:val="0083025D"/>
    <w:rsid w:val="0083132E"/>
    <w:rsid w:val="00831797"/>
    <w:rsid w:val="00833208"/>
    <w:rsid w:val="008338D9"/>
    <w:rsid w:val="00833918"/>
    <w:rsid w:val="00834118"/>
    <w:rsid w:val="008353FD"/>
    <w:rsid w:val="008357C3"/>
    <w:rsid w:val="00835A08"/>
    <w:rsid w:val="00835FB4"/>
    <w:rsid w:val="0083626E"/>
    <w:rsid w:val="00836592"/>
    <w:rsid w:val="00836E46"/>
    <w:rsid w:val="00837049"/>
    <w:rsid w:val="00837051"/>
    <w:rsid w:val="008376C1"/>
    <w:rsid w:val="008407C4"/>
    <w:rsid w:val="00840A4C"/>
    <w:rsid w:val="008418C9"/>
    <w:rsid w:val="00841AAF"/>
    <w:rsid w:val="00842DE4"/>
    <w:rsid w:val="008433D9"/>
    <w:rsid w:val="008438B2"/>
    <w:rsid w:val="008469E6"/>
    <w:rsid w:val="008500CD"/>
    <w:rsid w:val="008501C9"/>
    <w:rsid w:val="0085035D"/>
    <w:rsid w:val="00850BE1"/>
    <w:rsid w:val="0085122A"/>
    <w:rsid w:val="008519BD"/>
    <w:rsid w:val="00851B62"/>
    <w:rsid w:val="00851CBB"/>
    <w:rsid w:val="0085300F"/>
    <w:rsid w:val="00853114"/>
    <w:rsid w:val="00853C6C"/>
    <w:rsid w:val="00854546"/>
    <w:rsid w:val="00854A6F"/>
    <w:rsid w:val="00855464"/>
    <w:rsid w:val="008557D8"/>
    <w:rsid w:val="00855B8D"/>
    <w:rsid w:val="008564FC"/>
    <w:rsid w:val="00856D8F"/>
    <w:rsid w:val="00856FC2"/>
    <w:rsid w:val="00857334"/>
    <w:rsid w:val="00857691"/>
    <w:rsid w:val="00857B7E"/>
    <w:rsid w:val="008605DE"/>
    <w:rsid w:val="00860A77"/>
    <w:rsid w:val="00861347"/>
    <w:rsid w:val="0086149D"/>
    <w:rsid w:val="00861E55"/>
    <w:rsid w:val="00861E95"/>
    <w:rsid w:val="008620CA"/>
    <w:rsid w:val="00864462"/>
    <w:rsid w:val="00865F18"/>
    <w:rsid w:val="008669C6"/>
    <w:rsid w:val="00866C77"/>
    <w:rsid w:val="0086742B"/>
    <w:rsid w:val="008705A8"/>
    <w:rsid w:val="00870CD2"/>
    <w:rsid w:val="00870D71"/>
    <w:rsid w:val="0087130F"/>
    <w:rsid w:val="00871951"/>
    <w:rsid w:val="008722A5"/>
    <w:rsid w:val="00872380"/>
    <w:rsid w:val="008726B2"/>
    <w:rsid w:val="00872BA1"/>
    <w:rsid w:val="00873C10"/>
    <w:rsid w:val="00874095"/>
    <w:rsid w:val="0087411A"/>
    <w:rsid w:val="0087437F"/>
    <w:rsid w:val="0087467F"/>
    <w:rsid w:val="00875715"/>
    <w:rsid w:val="008757B7"/>
    <w:rsid w:val="00875DFA"/>
    <w:rsid w:val="00876182"/>
    <w:rsid w:val="00876EA9"/>
    <w:rsid w:val="00877601"/>
    <w:rsid w:val="00877798"/>
    <w:rsid w:val="00877B2B"/>
    <w:rsid w:val="00880342"/>
    <w:rsid w:val="00880438"/>
    <w:rsid w:val="008813A3"/>
    <w:rsid w:val="00881A66"/>
    <w:rsid w:val="00881F97"/>
    <w:rsid w:val="008823A6"/>
    <w:rsid w:val="00882549"/>
    <w:rsid w:val="00882794"/>
    <w:rsid w:val="00882E04"/>
    <w:rsid w:val="00882E61"/>
    <w:rsid w:val="00884A62"/>
    <w:rsid w:val="00885797"/>
    <w:rsid w:val="00885EA3"/>
    <w:rsid w:val="00886697"/>
    <w:rsid w:val="00886EB8"/>
    <w:rsid w:val="008878F3"/>
    <w:rsid w:val="008906C1"/>
    <w:rsid w:val="00892286"/>
    <w:rsid w:val="00892758"/>
    <w:rsid w:val="00892F9C"/>
    <w:rsid w:val="00893C0A"/>
    <w:rsid w:val="00896595"/>
    <w:rsid w:val="008966D3"/>
    <w:rsid w:val="008A0C89"/>
    <w:rsid w:val="008A1390"/>
    <w:rsid w:val="008A2FD9"/>
    <w:rsid w:val="008A3F83"/>
    <w:rsid w:val="008A3F9D"/>
    <w:rsid w:val="008A4380"/>
    <w:rsid w:val="008A444D"/>
    <w:rsid w:val="008A45C0"/>
    <w:rsid w:val="008A54D9"/>
    <w:rsid w:val="008A601C"/>
    <w:rsid w:val="008A6FB9"/>
    <w:rsid w:val="008A74AF"/>
    <w:rsid w:val="008A7503"/>
    <w:rsid w:val="008B0064"/>
    <w:rsid w:val="008B0E06"/>
    <w:rsid w:val="008B27A3"/>
    <w:rsid w:val="008B2FEF"/>
    <w:rsid w:val="008B3BA6"/>
    <w:rsid w:val="008B62C9"/>
    <w:rsid w:val="008C0DFC"/>
    <w:rsid w:val="008C12D8"/>
    <w:rsid w:val="008C146F"/>
    <w:rsid w:val="008C16E3"/>
    <w:rsid w:val="008C238C"/>
    <w:rsid w:val="008C26B8"/>
    <w:rsid w:val="008C2973"/>
    <w:rsid w:val="008C2FBB"/>
    <w:rsid w:val="008C3265"/>
    <w:rsid w:val="008C4A83"/>
    <w:rsid w:val="008C511D"/>
    <w:rsid w:val="008C5951"/>
    <w:rsid w:val="008D0A6B"/>
    <w:rsid w:val="008D12F1"/>
    <w:rsid w:val="008D2BE6"/>
    <w:rsid w:val="008D3112"/>
    <w:rsid w:val="008D312F"/>
    <w:rsid w:val="008D42B6"/>
    <w:rsid w:val="008D4A7C"/>
    <w:rsid w:val="008D5FA4"/>
    <w:rsid w:val="008D6775"/>
    <w:rsid w:val="008D729C"/>
    <w:rsid w:val="008D79F2"/>
    <w:rsid w:val="008E0929"/>
    <w:rsid w:val="008E0EF3"/>
    <w:rsid w:val="008E1D76"/>
    <w:rsid w:val="008E1F65"/>
    <w:rsid w:val="008E25E6"/>
    <w:rsid w:val="008E31DE"/>
    <w:rsid w:val="008E397C"/>
    <w:rsid w:val="008E4748"/>
    <w:rsid w:val="008E5D0F"/>
    <w:rsid w:val="008E5EF5"/>
    <w:rsid w:val="008E6B5D"/>
    <w:rsid w:val="008E7600"/>
    <w:rsid w:val="008F0BDF"/>
    <w:rsid w:val="008F25B1"/>
    <w:rsid w:val="008F2655"/>
    <w:rsid w:val="008F2B32"/>
    <w:rsid w:val="008F2D3C"/>
    <w:rsid w:val="008F37E1"/>
    <w:rsid w:val="008F39E6"/>
    <w:rsid w:val="008F3ADE"/>
    <w:rsid w:val="008F4A67"/>
    <w:rsid w:val="008F4F70"/>
    <w:rsid w:val="008F5747"/>
    <w:rsid w:val="008F6CB1"/>
    <w:rsid w:val="008F6E99"/>
    <w:rsid w:val="008F7AFD"/>
    <w:rsid w:val="008F7E60"/>
    <w:rsid w:val="009010B2"/>
    <w:rsid w:val="00901232"/>
    <w:rsid w:val="0090205B"/>
    <w:rsid w:val="00904587"/>
    <w:rsid w:val="00904881"/>
    <w:rsid w:val="00904C41"/>
    <w:rsid w:val="00904D8A"/>
    <w:rsid w:val="00905BAA"/>
    <w:rsid w:val="009064C5"/>
    <w:rsid w:val="00907336"/>
    <w:rsid w:val="009116F5"/>
    <w:rsid w:val="00911A99"/>
    <w:rsid w:val="00911E70"/>
    <w:rsid w:val="0091235D"/>
    <w:rsid w:val="00912BD4"/>
    <w:rsid w:val="00913BFB"/>
    <w:rsid w:val="00914C15"/>
    <w:rsid w:val="0091553A"/>
    <w:rsid w:val="00915DDF"/>
    <w:rsid w:val="00917CA6"/>
    <w:rsid w:val="0092048C"/>
    <w:rsid w:val="00920492"/>
    <w:rsid w:val="00920958"/>
    <w:rsid w:val="00920E7F"/>
    <w:rsid w:val="00920FAC"/>
    <w:rsid w:val="009221D3"/>
    <w:rsid w:val="00922EC7"/>
    <w:rsid w:val="009232D4"/>
    <w:rsid w:val="00923647"/>
    <w:rsid w:val="0092386E"/>
    <w:rsid w:val="00924064"/>
    <w:rsid w:val="0092429D"/>
    <w:rsid w:val="009248FB"/>
    <w:rsid w:val="00925301"/>
    <w:rsid w:val="0092570E"/>
    <w:rsid w:val="00925C89"/>
    <w:rsid w:val="0092671D"/>
    <w:rsid w:val="0092672E"/>
    <w:rsid w:val="009269DE"/>
    <w:rsid w:val="00926B0A"/>
    <w:rsid w:val="00926E04"/>
    <w:rsid w:val="0092702C"/>
    <w:rsid w:val="00927E5A"/>
    <w:rsid w:val="00927F55"/>
    <w:rsid w:val="009301CF"/>
    <w:rsid w:val="00931796"/>
    <w:rsid w:val="009324AF"/>
    <w:rsid w:val="00932B60"/>
    <w:rsid w:val="00932F12"/>
    <w:rsid w:val="00932F8C"/>
    <w:rsid w:val="00933470"/>
    <w:rsid w:val="00933949"/>
    <w:rsid w:val="009350A9"/>
    <w:rsid w:val="00935499"/>
    <w:rsid w:val="00935852"/>
    <w:rsid w:val="00935DC1"/>
    <w:rsid w:val="009360B8"/>
    <w:rsid w:val="0093630B"/>
    <w:rsid w:val="00937BF0"/>
    <w:rsid w:val="009404B4"/>
    <w:rsid w:val="00941D72"/>
    <w:rsid w:val="00941EFA"/>
    <w:rsid w:val="00942519"/>
    <w:rsid w:val="00942732"/>
    <w:rsid w:val="00943A33"/>
    <w:rsid w:val="009447C6"/>
    <w:rsid w:val="009459A1"/>
    <w:rsid w:val="00945C3C"/>
    <w:rsid w:val="00945EE4"/>
    <w:rsid w:val="0094690E"/>
    <w:rsid w:val="009471FD"/>
    <w:rsid w:val="0094727E"/>
    <w:rsid w:val="0094795A"/>
    <w:rsid w:val="00947D42"/>
    <w:rsid w:val="00950257"/>
    <w:rsid w:val="00950ADF"/>
    <w:rsid w:val="00952C21"/>
    <w:rsid w:val="00952D8B"/>
    <w:rsid w:val="009534B8"/>
    <w:rsid w:val="009538A5"/>
    <w:rsid w:val="00953EEF"/>
    <w:rsid w:val="0095442B"/>
    <w:rsid w:val="00955681"/>
    <w:rsid w:val="00955E26"/>
    <w:rsid w:val="00956000"/>
    <w:rsid w:val="00956126"/>
    <w:rsid w:val="009565CA"/>
    <w:rsid w:val="00956C66"/>
    <w:rsid w:val="00957B99"/>
    <w:rsid w:val="00961BAB"/>
    <w:rsid w:val="00962294"/>
    <w:rsid w:val="00962CC3"/>
    <w:rsid w:val="00963134"/>
    <w:rsid w:val="009635E2"/>
    <w:rsid w:val="00963781"/>
    <w:rsid w:val="00963A40"/>
    <w:rsid w:val="009645D3"/>
    <w:rsid w:val="0096495F"/>
    <w:rsid w:val="009658F9"/>
    <w:rsid w:val="009659EA"/>
    <w:rsid w:val="00966384"/>
    <w:rsid w:val="009664F0"/>
    <w:rsid w:val="009667F0"/>
    <w:rsid w:val="00966E88"/>
    <w:rsid w:val="00966FC8"/>
    <w:rsid w:val="00966FFE"/>
    <w:rsid w:val="009671B7"/>
    <w:rsid w:val="009711EB"/>
    <w:rsid w:val="00971331"/>
    <w:rsid w:val="009718E2"/>
    <w:rsid w:val="00971978"/>
    <w:rsid w:val="00972740"/>
    <w:rsid w:val="0097289B"/>
    <w:rsid w:val="00973B10"/>
    <w:rsid w:val="00973C61"/>
    <w:rsid w:val="00977042"/>
    <w:rsid w:val="00977346"/>
    <w:rsid w:val="0097775C"/>
    <w:rsid w:val="009777CC"/>
    <w:rsid w:val="009778EF"/>
    <w:rsid w:val="00981331"/>
    <w:rsid w:val="009837ED"/>
    <w:rsid w:val="00983EDE"/>
    <w:rsid w:val="00986580"/>
    <w:rsid w:val="009876AE"/>
    <w:rsid w:val="00987C16"/>
    <w:rsid w:val="009915E1"/>
    <w:rsid w:val="00991814"/>
    <w:rsid w:val="00991E12"/>
    <w:rsid w:val="0099288C"/>
    <w:rsid w:val="009932A5"/>
    <w:rsid w:val="00993A7D"/>
    <w:rsid w:val="009948D0"/>
    <w:rsid w:val="00994AF3"/>
    <w:rsid w:val="00995897"/>
    <w:rsid w:val="00995C5E"/>
    <w:rsid w:val="009967B8"/>
    <w:rsid w:val="0099777A"/>
    <w:rsid w:val="00997E3D"/>
    <w:rsid w:val="009A0033"/>
    <w:rsid w:val="009A0B8F"/>
    <w:rsid w:val="009A0CCF"/>
    <w:rsid w:val="009A0DCF"/>
    <w:rsid w:val="009A0F5D"/>
    <w:rsid w:val="009A1262"/>
    <w:rsid w:val="009A24FF"/>
    <w:rsid w:val="009A25F6"/>
    <w:rsid w:val="009A34CB"/>
    <w:rsid w:val="009A361E"/>
    <w:rsid w:val="009A42FF"/>
    <w:rsid w:val="009A4348"/>
    <w:rsid w:val="009A48D1"/>
    <w:rsid w:val="009A4DB5"/>
    <w:rsid w:val="009A5374"/>
    <w:rsid w:val="009A6554"/>
    <w:rsid w:val="009A7D36"/>
    <w:rsid w:val="009B128E"/>
    <w:rsid w:val="009B132C"/>
    <w:rsid w:val="009B273F"/>
    <w:rsid w:val="009B290F"/>
    <w:rsid w:val="009B35B4"/>
    <w:rsid w:val="009B4B64"/>
    <w:rsid w:val="009B632D"/>
    <w:rsid w:val="009B6CF0"/>
    <w:rsid w:val="009B713A"/>
    <w:rsid w:val="009C0149"/>
    <w:rsid w:val="009C02A8"/>
    <w:rsid w:val="009C0354"/>
    <w:rsid w:val="009C0C00"/>
    <w:rsid w:val="009C1282"/>
    <w:rsid w:val="009C1306"/>
    <w:rsid w:val="009C1337"/>
    <w:rsid w:val="009C13FC"/>
    <w:rsid w:val="009C151E"/>
    <w:rsid w:val="009C1E4E"/>
    <w:rsid w:val="009C215E"/>
    <w:rsid w:val="009C309A"/>
    <w:rsid w:val="009C3CB2"/>
    <w:rsid w:val="009C46BF"/>
    <w:rsid w:val="009C476E"/>
    <w:rsid w:val="009C55DD"/>
    <w:rsid w:val="009C62E8"/>
    <w:rsid w:val="009C678B"/>
    <w:rsid w:val="009C763F"/>
    <w:rsid w:val="009D076D"/>
    <w:rsid w:val="009D08AB"/>
    <w:rsid w:val="009D1078"/>
    <w:rsid w:val="009D129F"/>
    <w:rsid w:val="009D18EF"/>
    <w:rsid w:val="009D1AF5"/>
    <w:rsid w:val="009D1C74"/>
    <w:rsid w:val="009D2098"/>
    <w:rsid w:val="009D20A4"/>
    <w:rsid w:val="009D2396"/>
    <w:rsid w:val="009D3D07"/>
    <w:rsid w:val="009D49F0"/>
    <w:rsid w:val="009D505F"/>
    <w:rsid w:val="009D5E72"/>
    <w:rsid w:val="009D707B"/>
    <w:rsid w:val="009D720A"/>
    <w:rsid w:val="009D738F"/>
    <w:rsid w:val="009D75E9"/>
    <w:rsid w:val="009D767A"/>
    <w:rsid w:val="009E005E"/>
    <w:rsid w:val="009E01C4"/>
    <w:rsid w:val="009E0579"/>
    <w:rsid w:val="009E1309"/>
    <w:rsid w:val="009E20C3"/>
    <w:rsid w:val="009E2207"/>
    <w:rsid w:val="009E38B0"/>
    <w:rsid w:val="009E3EBF"/>
    <w:rsid w:val="009E67DF"/>
    <w:rsid w:val="009E6949"/>
    <w:rsid w:val="009E7232"/>
    <w:rsid w:val="009E75B3"/>
    <w:rsid w:val="009E772D"/>
    <w:rsid w:val="009F0D4D"/>
    <w:rsid w:val="009F4286"/>
    <w:rsid w:val="009F43E2"/>
    <w:rsid w:val="009F45EC"/>
    <w:rsid w:val="009F4AB0"/>
    <w:rsid w:val="009F51CF"/>
    <w:rsid w:val="009F5247"/>
    <w:rsid w:val="009F571C"/>
    <w:rsid w:val="009F6418"/>
    <w:rsid w:val="009F73F4"/>
    <w:rsid w:val="009F775C"/>
    <w:rsid w:val="009F7C45"/>
    <w:rsid w:val="009F7F61"/>
    <w:rsid w:val="00A01934"/>
    <w:rsid w:val="00A01A7E"/>
    <w:rsid w:val="00A02178"/>
    <w:rsid w:val="00A02C99"/>
    <w:rsid w:val="00A036BB"/>
    <w:rsid w:val="00A03760"/>
    <w:rsid w:val="00A041D7"/>
    <w:rsid w:val="00A042C1"/>
    <w:rsid w:val="00A0465E"/>
    <w:rsid w:val="00A04DC6"/>
    <w:rsid w:val="00A05885"/>
    <w:rsid w:val="00A05A65"/>
    <w:rsid w:val="00A06199"/>
    <w:rsid w:val="00A0687F"/>
    <w:rsid w:val="00A06BCC"/>
    <w:rsid w:val="00A076E4"/>
    <w:rsid w:val="00A11116"/>
    <w:rsid w:val="00A116A5"/>
    <w:rsid w:val="00A128D5"/>
    <w:rsid w:val="00A12BB6"/>
    <w:rsid w:val="00A12E19"/>
    <w:rsid w:val="00A13419"/>
    <w:rsid w:val="00A136EE"/>
    <w:rsid w:val="00A13AB6"/>
    <w:rsid w:val="00A14AD6"/>
    <w:rsid w:val="00A1503A"/>
    <w:rsid w:val="00A15B2F"/>
    <w:rsid w:val="00A16905"/>
    <w:rsid w:val="00A16A85"/>
    <w:rsid w:val="00A17214"/>
    <w:rsid w:val="00A20B8E"/>
    <w:rsid w:val="00A211A0"/>
    <w:rsid w:val="00A2181D"/>
    <w:rsid w:val="00A21994"/>
    <w:rsid w:val="00A21B8C"/>
    <w:rsid w:val="00A22676"/>
    <w:rsid w:val="00A22AEA"/>
    <w:rsid w:val="00A22B53"/>
    <w:rsid w:val="00A23A9A"/>
    <w:rsid w:val="00A23FEE"/>
    <w:rsid w:val="00A24099"/>
    <w:rsid w:val="00A241E2"/>
    <w:rsid w:val="00A24453"/>
    <w:rsid w:val="00A244C6"/>
    <w:rsid w:val="00A25DF8"/>
    <w:rsid w:val="00A26375"/>
    <w:rsid w:val="00A268E6"/>
    <w:rsid w:val="00A269A6"/>
    <w:rsid w:val="00A27A98"/>
    <w:rsid w:val="00A27B2B"/>
    <w:rsid w:val="00A30217"/>
    <w:rsid w:val="00A302BD"/>
    <w:rsid w:val="00A30C8D"/>
    <w:rsid w:val="00A30F28"/>
    <w:rsid w:val="00A31972"/>
    <w:rsid w:val="00A3200F"/>
    <w:rsid w:val="00A32109"/>
    <w:rsid w:val="00A325F8"/>
    <w:rsid w:val="00A32ACC"/>
    <w:rsid w:val="00A33D55"/>
    <w:rsid w:val="00A33FAA"/>
    <w:rsid w:val="00A34335"/>
    <w:rsid w:val="00A3459F"/>
    <w:rsid w:val="00A34AC5"/>
    <w:rsid w:val="00A34E27"/>
    <w:rsid w:val="00A351C7"/>
    <w:rsid w:val="00A36ACC"/>
    <w:rsid w:val="00A36CDB"/>
    <w:rsid w:val="00A3751B"/>
    <w:rsid w:val="00A402DA"/>
    <w:rsid w:val="00A403BD"/>
    <w:rsid w:val="00A40753"/>
    <w:rsid w:val="00A4144C"/>
    <w:rsid w:val="00A41535"/>
    <w:rsid w:val="00A41A28"/>
    <w:rsid w:val="00A437BA"/>
    <w:rsid w:val="00A441D3"/>
    <w:rsid w:val="00A44C18"/>
    <w:rsid w:val="00A44E32"/>
    <w:rsid w:val="00A45298"/>
    <w:rsid w:val="00A452BC"/>
    <w:rsid w:val="00A45D25"/>
    <w:rsid w:val="00A46692"/>
    <w:rsid w:val="00A47DC2"/>
    <w:rsid w:val="00A506DC"/>
    <w:rsid w:val="00A51381"/>
    <w:rsid w:val="00A52DCF"/>
    <w:rsid w:val="00A54EA0"/>
    <w:rsid w:val="00A56358"/>
    <w:rsid w:val="00A566A9"/>
    <w:rsid w:val="00A56A71"/>
    <w:rsid w:val="00A56BF1"/>
    <w:rsid w:val="00A56FD9"/>
    <w:rsid w:val="00A574C6"/>
    <w:rsid w:val="00A6044B"/>
    <w:rsid w:val="00A60547"/>
    <w:rsid w:val="00A6112E"/>
    <w:rsid w:val="00A6118C"/>
    <w:rsid w:val="00A6356F"/>
    <w:rsid w:val="00A641A0"/>
    <w:rsid w:val="00A64646"/>
    <w:rsid w:val="00A64A5D"/>
    <w:rsid w:val="00A65160"/>
    <w:rsid w:val="00A65886"/>
    <w:rsid w:val="00A659B5"/>
    <w:rsid w:val="00A675D7"/>
    <w:rsid w:val="00A676E6"/>
    <w:rsid w:val="00A67A2C"/>
    <w:rsid w:val="00A67B2E"/>
    <w:rsid w:val="00A71249"/>
    <w:rsid w:val="00A725B6"/>
    <w:rsid w:val="00A7274A"/>
    <w:rsid w:val="00A72A95"/>
    <w:rsid w:val="00A7307E"/>
    <w:rsid w:val="00A73147"/>
    <w:rsid w:val="00A732A7"/>
    <w:rsid w:val="00A73490"/>
    <w:rsid w:val="00A73A59"/>
    <w:rsid w:val="00A745A5"/>
    <w:rsid w:val="00A75380"/>
    <w:rsid w:val="00A754C2"/>
    <w:rsid w:val="00A75C76"/>
    <w:rsid w:val="00A7642C"/>
    <w:rsid w:val="00A76BD4"/>
    <w:rsid w:val="00A778EE"/>
    <w:rsid w:val="00A77CC7"/>
    <w:rsid w:val="00A8013E"/>
    <w:rsid w:val="00A81129"/>
    <w:rsid w:val="00A82EFE"/>
    <w:rsid w:val="00A8597A"/>
    <w:rsid w:val="00A85E54"/>
    <w:rsid w:val="00A86285"/>
    <w:rsid w:val="00A86C55"/>
    <w:rsid w:val="00A87A39"/>
    <w:rsid w:val="00A87AD4"/>
    <w:rsid w:val="00A90526"/>
    <w:rsid w:val="00A90704"/>
    <w:rsid w:val="00A9173C"/>
    <w:rsid w:val="00A92277"/>
    <w:rsid w:val="00A92929"/>
    <w:rsid w:val="00A92F1E"/>
    <w:rsid w:val="00A93ECF"/>
    <w:rsid w:val="00A94BA5"/>
    <w:rsid w:val="00A95BAB"/>
    <w:rsid w:val="00A95D68"/>
    <w:rsid w:val="00A96279"/>
    <w:rsid w:val="00A9655B"/>
    <w:rsid w:val="00A9780B"/>
    <w:rsid w:val="00A978CB"/>
    <w:rsid w:val="00AA0803"/>
    <w:rsid w:val="00AA0A3C"/>
    <w:rsid w:val="00AA0A4A"/>
    <w:rsid w:val="00AA11B7"/>
    <w:rsid w:val="00AA1293"/>
    <w:rsid w:val="00AA2310"/>
    <w:rsid w:val="00AA233A"/>
    <w:rsid w:val="00AA361C"/>
    <w:rsid w:val="00AA40C2"/>
    <w:rsid w:val="00AA5FD3"/>
    <w:rsid w:val="00AA6A77"/>
    <w:rsid w:val="00AA7A48"/>
    <w:rsid w:val="00AB0F1D"/>
    <w:rsid w:val="00AB141B"/>
    <w:rsid w:val="00AB1556"/>
    <w:rsid w:val="00AB16D7"/>
    <w:rsid w:val="00AB1CD8"/>
    <w:rsid w:val="00AB1CEC"/>
    <w:rsid w:val="00AB1DD5"/>
    <w:rsid w:val="00AB1F72"/>
    <w:rsid w:val="00AB2443"/>
    <w:rsid w:val="00AB2C77"/>
    <w:rsid w:val="00AB2DC1"/>
    <w:rsid w:val="00AB5A13"/>
    <w:rsid w:val="00AB5EA0"/>
    <w:rsid w:val="00AB6D7D"/>
    <w:rsid w:val="00AB7D50"/>
    <w:rsid w:val="00AC0B1E"/>
    <w:rsid w:val="00AC0F85"/>
    <w:rsid w:val="00AC12DE"/>
    <w:rsid w:val="00AC155E"/>
    <w:rsid w:val="00AC1C4F"/>
    <w:rsid w:val="00AC1CF3"/>
    <w:rsid w:val="00AC2165"/>
    <w:rsid w:val="00AC2536"/>
    <w:rsid w:val="00AC2BC4"/>
    <w:rsid w:val="00AC3288"/>
    <w:rsid w:val="00AC6007"/>
    <w:rsid w:val="00AC67E7"/>
    <w:rsid w:val="00AC7551"/>
    <w:rsid w:val="00AC7671"/>
    <w:rsid w:val="00AC786D"/>
    <w:rsid w:val="00AC7B25"/>
    <w:rsid w:val="00AC7EC0"/>
    <w:rsid w:val="00AD1460"/>
    <w:rsid w:val="00AD1F90"/>
    <w:rsid w:val="00AD20F9"/>
    <w:rsid w:val="00AD26C0"/>
    <w:rsid w:val="00AD28AD"/>
    <w:rsid w:val="00AD28BB"/>
    <w:rsid w:val="00AD37AA"/>
    <w:rsid w:val="00AD3DBF"/>
    <w:rsid w:val="00AD44EB"/>
    <w:rsid w:val="00AD470F"/>
    <w:rsid w:val="00AD49A8"/>
    <w:rsid w:val="00AD58D4"/>
    <w:rsid w:val="00AD5E7A"/>
    <w:rsid w:val="00AD6809"/>
    <w:rsid w:val="00AD6E69"/>
    <w:rsid w:val="00AD717C"/>
    <w:rsid w:val="00AD757F"/>
    <w:rsid w:val="00AE02A8"/>
    <w:rsid w:val="00AE14EF"/>
    <w:rsid w:val="00AE2205"/>
    <w:rsid w:val="00AE28DE"/>
    <w:rsid w:val="00AE28EF"/>
    <w:rsid w:val="00AE29FA"/>
    <w:rsid w:val="00AE2F18"/>
    <w:rsid w:val="00AE36BB"/>
    <w:rsid w:val="00AE4E65"/>
    <w:rsid w:val="00AE50F2"/>
    <w:rsid w:val="00AE5947"/>
    <w:rsid w:val="00AE599D"/>
    <w:rsid w:val="00AE6044"/>
    <w:rsid w:val="00AE6E82"/>
    <w:rsid w:val="00AF14BB"/>
    <w:rsid w:val="00AF1ABB"/>
    <w:rsid w:val="00AF2F3C"/>
    <w:rsid w:val="00AF30C4"/>
    <w:rsid w:val="00AF4700"/>
    <w:rsid w:val="00AF4D81"/>
    <w:rsid w:val="00AF4E9D"/>
    <w:rsid w:val="00AF5497"/>
    <w:rsid w:val="00AF58A4"/>
    <w:rsid w:val="00AF5A82"/>
    <w:rsid w:val="00AF6AEA"/>
    <w:rsid w:val="00B00F7A"/>
    <w:rsid w:val="00B01816"/>
    <w:rsid w:val="00B027ED"/>
    <w:rsid w:val="00B02988"/>
    <w:rsid w:val="00B0370E"/>
    <w:rsid w:val="00B03987"/>
    <w:rsid w:val="00B03DED"/>
    <w:rsid w:val="00B05110"/>
    <w:rsid w:val="00B06052"/>
    <w:rsid w:val="00B0606B"/>
    <w:rsid w:val="00B0621B"/>
    <w:rsid w:val="00B06498"/>
    <w:rsid w:val="00B069D5"/>
    <w:rsid w:val="00B072D4"/>
    <w:rsid w:val="00B07315"/>
    <w:rsid w:val="00B07A40"/>
    <w:rsid w:val="00B11E33"/>
    <w:rsid w:val="00B11EAE"/>
    <w:rsid w:val="00B1205C"/>
    <w:rsid w:val="00B122D9"/>
    <w:rsid w:val="00B12760"/>
    <w:rsid w:val="00B12F7D"/>
    <w:rsid w:val="00B13A65"/>
    <w:rsid w:val="00B13D95"/>
    <w:rsid w:val="00B140F6"/>
    <w:rsid w:val="00B14241"/>
    <w:rsid w:val="00B14725"/>
    <w:rsid w:val="00B14D48"/>
    <w:rsid w:val="00B14FE5"/>
    <w:rsid w:val="00B15E11"/>
    <w:rsid w:val="00B15F4B"/>
    <w:rsid w:val="00B16798"/>
    <w:rsid w:val="00B16B51"/>
    <w:rsid w:val="00B2010C"/>
    <w:rsid w:val="00B2012F"/>
    <w:rsid w:val="00B20635"/>
    <w:rsid w:val="00B208AD"/>
    <w:rsid w:val="00B20BE7"/>
    <w:rsid w:val="00B21018"/>
    <w:rsid w:val="00B219A5"/>
    <w:rsid w:val="00B22C22"/>
    <w:rsid w:val="00B23940"/>
    <w:rsid w:val="00B23B05"/>
    <w:rsid w:val="00B23DCD"/>
    <w:rsid w:val="00B24C88"/>
    <w:rsid w:val="00B2572C"/>
    <w:rsid w:val="00B259FD"/>
    <w:rsid w:val="00B25B8B"/>
    <w:rsid w:val="00B25B9A"/>
    <w:rsid w:val="00B25BAB"/>
    <w:rsid w:val="00B26338"/>
    <w:rsid w:val="00B26F15"/>
    <w:rsid w:val="00B309DD"/>
    <w:rsid w:val="00B311DB"/>
    <w:rsid w:val="00B327BF"/>
    <w:rsid w:val="00B32828"/>
    <w:rsid w:val="00B32980"/>
    <w:rsid w:val="00B33CD1"/>
    <w:rsid w:val="00B34621"/>
    <w:rsid w:val="00B34C2A"/>
    <w:rsid w:val="00B34FEE"/>
    <w:rsid w:val="00B35523"/>
    <w:rsid w:val="00B36077"/>
    <w:rsid w:val="00B36A0A"/>
    <w:rsid w:val="00B372CB"/>
    <w:rsid w:val="00B404A5"/>
    <w:rsid w:val="00B409CB"/>
    <w:rsid w:val="00B41AA7"/>
    <w:rsid w:val="00B42711"/>
    <w:rsid w:val="00B42A44"/>
    <w:rsid w:val="00B4304D"/>
    <w:rsid w:val="00B44304"/>
    <w:rsid w:val="00B445A9"/>
    <w:rsid w:val="00B447B5"/>
    <w:rsid w:val="00B448DC"/>
    <w:rsid w:val="00B45486"/>
    <w:rsid w:val="00B458BB"/>
    <w:rsid w:val="00B45F03"/>
    <w:rsid w:val="00B4651D"/>
    <w:rsid w:val="00B46F80"/>
    <w:rsid w:val="00B475FD"/>
    <w:rsid w:val="00B47954"/>
    <w:rsid w:val="00B47EC1"/>
    <w:rsid w:val="00B47F4C"/>
    <w:rsid w:val="00B501F0"/>
    <w:rsid w:val="00B50AB5"/>
    <w:rsid w:val="00B52F7F"/>
    <w:rsid w:val="00B533EF"/>
    <w:rsid w:val="00B536B2"/>
    <w:rsid w:val="00B53B22"/>
    <w:rsid w:val="00B5413D"/>
    <w:rsid w:val="00B5491C"/>
    <w:rsid w:val="00B55C1E"/>
    <w:rsid w:val="00B563CD"/>
    <w:rsid w:val="00B564CA"/>
    <w:rsid w:val="00B56759"/>
    <w:rsid w:val="00B56A98"/>
    <w:rsid w:val="00B57002"/>
    <w:rsid w:val="00B5770E"/>
    <w:rsid w:val="00B579E6"/>
    <w:rsid w:val="00B57CB7"/>
    <w:rsid w:val="00B606CD"/>
    <w:rsid w:val="00B6085D"/>
    <w:rsid w:val="00B628EE"/>
    <w:rsid w:val="00B632BA"/>
    <w:rsid w:val="00B63809"/>
    <w:rsid w:val="00B63DF2"/>
    <w:rsid w:val="00B65D90"/>
    <w:rsid w:val="00B65F9A"/>
    <w:rsid w:val="00B65FAE"/>
    <w:rsid w:val="00B664CC"/>
    <w:rsid w:val="00B66637"/>
    <w:rsid w:val="00B6755E"/>
    <w:rsid w:val="00B70E88"/>
    <w:rsid w:val="00B71239"/>
    <w:rsid w:val="00B71854"/>
    <w:rsid w:val="00B71B7D"/>
    <w:rsid w:val="00B72169"/>
    <w:rsid w:val="00B721F7"/>
    <w:rsid w:val="00B7259C"/>
    <w:rsid w:val="00B73107"/>
    <w:rsid w:val="00B7392A"/>
    <w:rsid w:val="00B73A60"/>
    <w:rsid w:val="00B73D0E"/>
    <w:rsid w:val="00B74E15"/>
    <w:rsid w:val="00B75193"/>
    <w:rsid w:val="00B7723A"/>
    <w:rsid w:val="00B776D5"/>
    <w:rsid w:val="00B77CBA"/>
    <w:rsid w:val="00B77D9A"/>
    <w:rsid w:val="00B808FB"/>
    <w:rsid w:val="00B81A20"/>
    <w:rsid w:val="00B82AC9"/>
    <w:rsid w:val="00B8356B"/>
    <w:rsid w:val="00B836FC"/>
    <w:rsid w:val="00B8460C"/>
    <w:rsid w:val="00B8663E"/>
    <w:rsid w:val="00B87B37"/>
    <w:rsid w:val="00B87BEA"/>
    <w:rsid w:val="00B906C1"/>
    <w:rsid w:val="00B9145B"/>
    <w:rsid w:val="00B91C93"/>
    <w:rsid w:val="00B926E1"/>
    <w:rsid w:val="00B92A79"/>
    <w:rsid w:val="00B92C1D"/>
    <w:rsid w:val="00B92EB3"/>
    <w:rsid w:val="00B93813"/>
    <w:rsid w:val="00B93AA9"/>
    <w:rsid w:val="00B94DD3"/>
    <w:rsid w:val="00B95A3D"/>
    <w:rsid w:val="00B965C0"/>
    <w:rsid w:val="00B97229"/>
    <w:rsid w:val="00B97669"/>
    <w:rsid w:val="00BA04C3"/>
    <w:rsid w:val="00BA0CC5"/>
    <w:rsid w:val="00BA0E3D"/>
    <w:rsid w:val="00BA1A6A"/>
    <w:rsid w:val="00BA4531"/>
    <w:rsid w:val="00BA482E"/>
    <w:rsid w:val="00BA5ECC"/>
    <w:rsid w:val="00BA61D3"/>
    <w:rsid w:val="00BB0B12"/>
    <w:rsid w:val="00BB1720"/>
    <w:rsid w:val="00BB4ED3"/>
    <w:rsid w:val="00BB56F8"/>
    <w:rsid w:val="00BB5710"/>
    <w:rsid w:val="00BB5975"/>
    <w:rsid w:val="00BB6317"/>
    <w:rsid w:val="00BB69D2"/>
    <w:rsid w:val="00BB71C8"/>
    <w:rsid w:val="00BC05A8"/>
    <w:rsid w:val="00BC12FE"/>
    <w:rsid w:val="00BC35D8"/>
    <w:rsid w:val="00BC43FC"/>
    <w:rsid w:val="00BC52CE"/>
    <w:rsid w:val="00BC5384"/>
    <w:rsid w:val="00BC5BC6"/>
    <w:rsid w:val="00BC715B"/>
    <w:rsid w:val="00BC769B"/>
    <w:rsid w:val="00BD03FA"/>
    <w:rsid w:val="00BD0B2B"/>
    <w:rsid w:val="00BD0B70"/>
    <w:rsid w:val="00BD2FD9"/>
    <w:rsid w:val="00BD3533"/>
    <w:rsid w:val="00BD440B"/>
    <w:rsid w:val="00BD4606"/>
    <w:rsid w:val="00BD52E8"/>
    <w:rsid w:val="00BD54C2"/>
    <w:rsid w:val="00BD5CF4"/>
    <w:rsid w:val="00BD62D7"/>
    <w:rsid w:val="00BD7884"/>
    <w:rsid w:val="00BE0D88"/>
    <w:rsid w:val="00BE106F"/>
    <w:rsid w:val="00BE245A"/>
    <w:rsid w:val="00BE27BA"/>
    <w:rsid w:val="00BE28D7"/>
    <w:rsid w:val="00BE2F3C"/>
    <w:rsid w:val="00BE30DE"/>
    <w:rsid w:val="00BE38E5"/>
    <w:rsid w:val="00BE3CE2"/>
    <w:rsid w:val="00BE3E5B"/>
    <w:rsid w:val="00BE4645"/>
    <w:rsid w:val="00BE47B9"/>
    <w:rsid w:val="00BE6EA0"/>
    <w:rsid w:val="00BE6EB1"/>
    <w:rsid w:val="00BE7543"/>
    <w:rsid w:val="00BE77C4"/>
    <w:rsid w:val="00BE7EE6"/>
    <w:rsid w:val="00BF0F98"/>
    <w:rsid w:val="00BF1865"/>
    <w:rsid w:val="00BF1FEA"/>
    <w:rsid w:val="00BF3609"/>
    <w:rsid w:val="00BF46F0"/>
    <w:rsid w:val="00BF486C"/>
    <w:rsid w:val="00BF5E6F"/>
    <w:rsid w:val="00BF640F"/>
    <w:rsid w:val="00BF69EC"/>
    <w:rsid w:val="00BF702C"/>
    <w:rsid w:val="00BF715E"/>
    <w:rsid w:val="00BF7177"/>
    <w:rsid w:val="00BF7DC8"/>
    <w:rsid w:val="00C00B9A"/>
    <w:rsid w:val="00C01068"/>
    <w:rsid w:val="00C01ACC"/>
    <w:rsid w:val="00C01B37"/>
    <w:rsid w:val="00C02EA4"/>
    <w:rsid w:val="00C03AF8"/>
    <w:rsid w:val="00C04725"/>
    <w:rsid w:val="00C048AA"/>
    <w:rsid w:val="00C052E9"/>
    <w:rsid w:val="00C05F26"/>
    <w:rsid w:val="00C069B0"/>
    <w:rsid w:val="00C10AAC"/>
    <w:rsid w:val="00C10B51"/>
    <w:rsid w:val="00C10CF2"/>
    <w:rsid w:val="00C1126B"/>
    <w:rsid w:val="00C11555"/>
    <w:rsid w:val="00C118EE"/>
    <w:rsid w:val="00C12069"/>
    <w:rsid w:val="00C1266D"/>
    <w:rsid w:val="00C1311F"/>
    <w:rsid w:val="00C14D93"/>
    <w:rsid w:val="00C15CDB"/>
    <w:rsid w:val="00C160D6"/>
    <w:rsid w:val="00C163F7"/>
    <w:rsid w:val="00C1664F"/>
    <w:rsid w:val="00C1759F"/>
    <w:rsid w:val="00C1791E"/>
    <w:rsid w:val="00C17A90"/>
    <w:rsid w:val="00C20D36"/>
    <w:rsid w:val="00C22F51"/>
    <w:rsid w:val="00C238F9"/>
    <w:rsid w:val="00C2396A"/>
    <w:rsid w:val="00C24331"/>
    <w:rsid w:val="00C263F6"/>
    <w:rsid w:val="00C2640C"/>
    <w:rsid w:val="00C26488"/>
    <w:rsid w:val="00C2678D"/>
    <w:rsid w:val="00C2728C"/>
    <w:rsid w:val="00C30728"/>
    <w:rsid w:val="00C30F4E"/>
    <w:rsid w:val="00C30FE6"/>
    <w:rsid w:val="00C31596"/>
    <w:rsid w:val="00C31C9C"/>
    <w:rsid w:val="00C31F62"/>
    <w:rsid w:val="00C33221"/>
    <w:rsid w:val="00C337EE"/>
    <w:rsid w:val="00C33883"/>
    <w:rsid w:val="00C33E06"/>
    <w:rsid w:val="00C348B8"/>
    <w:rsid w:val="00C3561E"/>
    <w:rsid w:val="00C35C5C"/>
    <w:rsid w:val="00C36609"/>
    <w:rsid w:val="00C373A9"/>
    <w:rsid w:val="00C37CC8"/>
    <w:rsid w:val="00C40293"/>
    <w:rsid w:val="00C40F01"/>
    <w:rsid w:val="00C428B6"/>
    <w:rsid w:val="00C44971"/>
    <w:rsid w:val="00C44BE9"/>
    <w:rsid w:val="00C4561A"/>
    <w:rsid w:val="00C5034A"/>
    <w:rsid w:val="00C51C48"/>
    <w:rsid w:val="00C52412"/>
    <w:rsid w:val="00C52777"/>
    <w:rsid w:val="00C52855"/>
    <w:rsid w:val="00C53967"/>
    <w:rsid w:val="00C53D35"/>
    <w:rsid w:val="00C54058"/>
    <w:rsid w:val="00C54073"/>
    <w:rsid w:val="00C541E2"/>
    <w:rsid w:val="00C54296"/>
    <w:rsid w:val="00C54ECA"/>
    <w:rsid w:val="00C5534F"/>
    <w:rsid w:val="00C55451"/>
    <w:rsid w:val="00C56850"/>
    <w:rsid w:val="00C568D3"/>
    <w:rsid w:val="00C569BD"/>
    <w:rsid w:val="00C56C57"/>
    <w:rsid w:val="00C57735"/>
    <w:rsid w:val="00C60300"/>
    <w:rsid w:val="00C60C91"/>
    <w:rsid w:val="00C61B87"/>
    <w:rsid w:val="00C6251A"/>
    <w:rsid w:val="00C6294A"/>
    <w:rsid w:val="00C632C3"/>
    <w:rsid w:val="00C63328"/>
    <w:rsid w:val="00C63B9B"/>
    <w:rsid w:val="00C65330"/>
    <w:rsid w:val="00C6581B"/>
    <w:rsid w:val="00C65AFF"/>
    <w:rsid w:val="00C65EB0"/>
    <w:rsid w:val="00C65FE0"/>
    <w:rsid w:val="00C67053"/>
    <w:rsid w:val="00C67A9E"/>
    <w:rsid w:val="00C70F67"/>
    <w:rsid w:val="00C71B75"/>
    <w:rsid w:val="00C71E99"/>
    <w:rsid w:val="00C7229C"/>
    <w:rsid w:val="00C72EDB"/>
    <w:rsid w:val="00C731BE"/>
    <w:rsid w:val="00C73BD4"/>
    <w:rsid w:val="00C74B58"/>
    <w:rsid w:val="00C7551A"/>
    <w:rsid w:val="00C75D7B"/>
    <w:rsid w:val="00C765FA"/>
    <w:rsid w:val="00C76CEA"/>
    <w:rsid w:val="00C77721"/>
    <w:rsid w:val="00C7788C"/>
    <w:rsid w:val="00C7790C"/>
    <w:rsid w:val="00C77F53"/>
    <w:rsid w:val="00C80450"/>
    <w:rsid w:val="00C8063C"/>
    <w:rsid w:val="00C8134F"/>
    <w:rsid w:val="00C8186F"/>
    <w:rsid w:val="00C81BAC"/>
    <w:rsid w:val="00C82106"/>
    <w:rsid w:val="00C823B0"/>
    <w:rsid w:val="00C82844"/>
    <w:rsid w:val="00C82DFB"/>
    <w:rsid w:val="00C838CB"/>
    <w:rsid w:val="00C83BE4"/>
    <w:rsid w:val="00C848DC"/>
    <w:rsid w:val="00C84D62"/>
    <w:rsid w:val="00C85512"/>
    <w:rsid w:val="00C85ECB"/>
    <w:rsid w:val="00C85F58"/>
    <w:rsid w:val="00C864C8"/>
    <w:rsid w:val="00C86858"/>
    <w:rsid w:val="00C86C05"/>
    <w:rsid w:val="00C87FDE"/>
    <w:rsid w:val="00C90853"/>
    <w:rsid w:val="00C908F2"/>
    <w:rsid w:val="00C90E3D"/>
    <w:rsid w:val="00C91285"/>
    <w:rsid w:val="00C912C6"/>
    <w:rsid w:val="00C91C92"/>
    <w:rsid w:val="00C92594"/>
    <w:rsid w:val="00C92CB3"/>
    <w:rsid w:val="00C93056"/>
    <w:rsid w:val="00C94785"/>
    <w:rsid w:val="00C952BE"/>
    <w:rsid w:val="00C955EC"/>
    <w:rsid w:val="00C9582D"/>
    <w:rsid w:val="00C965FE"/>
    <w:rsid w:val="00C96CB0"/>
    <w:rsid w:val="00C9733B"/>
    <w:rsid w:val="00C97A1D"/>
    <w:rsid w:val="00CA0F5D"/>
    <w:rsid w:val="00CA1059"/>
    <w:rsid w:val="00CA1B0E"/>
    <w:rsid w:val="00CA1D84"/>
    <w:rsid w:val="00CA2D93"/>
    <w:rsid w:val="00CA3552"/>
    <w:rsid w:val="00CA377C"/>
    <w:rsid w:val="00CA5089"/>
    <w:rsid w:val="00CA60DC"/>
    <w:rsid w:val="00CA6D5A"/>
    <w:rsid w:val="00CA742F"/>
    <w:rsid w:val="00CA7A47"/>
    <w:rsid w:val="00CB01EB"/>
    <w:rsid w:val="00CB0CF5"/>
    <w:rsid w:val="00CB0D15"/>
    <w:rsid w:val="00CB1FB2"/>
    <w:rsid w:val="00CB287C"/>
    <w:rsid w:val="00CB288B"/>
    <w:rsid w:val="00CB2B38"/>
    <w:rsid w:val="00CB325C"/>
    <w:rsid w:val="00CB3311"/>
    <w:rsid w:val="00CB39FC"/>
    <w:rsid w:val="00CB452D"/>
    <w:rsid w:val="00CB5370"/>
    <w:rsid w:val="00CB5970"/>
    <w:rsid w:val="00CB7731"/>
    <w:rsid w:val="00CC1C9F"/>
    <w:rsid w:val="00CC211E"/>
    <w:rsid w:val="00CC26D9"/>
    <w:rsid w:val="00CC2C96"/>
    <w:rsid w:val="00CC2F5C"/>
    <w:rsid w:val="00CC30F8"/>
    <w:rsid w:val="00CC3852"/>
    <w:rsid w:val="00CC4573"/>
    <w:rsid w:val="00CC4F63"/>
    <w:rsid w:val="00CC5949"/>
    <w:rsid w:val="00CC748F"/>
    <w:rsid w:val="00CC7B8A"/>
    <w:rsid w:val="00CD0B27"/>
    <w:rsid w:val="00CD167A"/>
    <w:rsid w:val="00CD1973"/>
    <w:rsid w:val="00CD1A9F"/>
    <w:rsid w:val="00CD3222"/>
    <w:rsid w:val="00CD334E"/>
    <w:rsid w:val="00CD358E"/>
    <w:rsid w:val="00CD40B0"/>
    <w:rsid w:val="00CD4236"/>
    <w:rsid w:val="00CD4DE5"/>
    <w:rsid w:val="00CD57FE"/>
    <w:rsid w:val="00CD68AC"/>
    <w:rsid w:val="00CD6C8A"/>
    <w:rsid w:val="00CE0882"/>
    <w:rsid w:val="00CE0EAE"/>
    <w:rsid w:val="00CE1C23"/>
    <w:rsid w:val="00CE1E4D"/>
    <w:rsid w:val="00CE202F"/>
    <w:rsid w:val="00CE2498"/>
    <w:rsid w:val="00CE2B8F"/>
    <w:rsid w:val="00CE39FB"/>
    <w:rsid w:val="00CE4828"/>
    <w:rsid w:val="00CE4E50"/>
    <w:rsid w:val="00CE5A28"/>
    <w:rsid w:val="00CE62EE"/>
    <w:rsid w:val="00CE66E2"/>
    <w:rsid w:val="00CE6882"/>
    <w:rsid w:val="00CE6BA3"/>
    <w:rsid w:val="00CE7387"/>
    <w:rsid w:val="00CE774F"/>
    <w:rsid w:val="00CE792C"/>
    <w:rsid w:val="00CE7F89"/>
    <w:rsid w:val="00CF1B99"/>
    <w:rsid w:val="00CF1F7C"/>
    <w:rsid w:val="00CF20DD"/>
    <w:rsid w:val="00CF257A"/>
    <w:rsid w:val="00CF369E"/>
    <w:rsid w:val="00CF386D"/>
    <w:rsid w:val="00CF4321"/>
    <w:rsid w:val="00CF4579"/>
    <w:rsid w:val="00CF48E2"/>
    <w:rsid w:val="00CF5BA2"/>
    <w:rsid w:val="00CF5C3D"/>
    <w:rsid w:val="00CF6082"/>
    <w:rsid w:val="00CF63A7"/>
    <w:rsid w:val="00CF7431"/>
    <w:rsid w:val="00CF766D"/>
    <w:rsid w:val="00CF793C"/>
    <w:rsid w:val="00CF7FC5"/>
    <w:rsid w:val="00D00383"/>
    <w:rsid w:val="00D01AC0"/>
    <w:rsid w:val="00D01CAA"/>
    <w:rsid w:val="00D02182"/>
    <w:rsid w:val="00D02335"/>
    <w:rsid w:val="00D024DE"/>
    <w:rsid w:val="00D02B00"/>
    <w:rsid w:val="00D03E88"/>
    <w:rsid w:val="00D04EDF"/>
    <w:rsid w:val="00D056E8"/>
    <w:rsid w:val="00D05CF6"/>
    <w:rsid w:val="00D05D2A"/>
    <w:rsid w:val="00D06CC8"/>
    <w:rsid w:val="00D074D1"/>
    <w:rsid w:val="00D079ED"/>
    <w:rsid w:val="00D07AA9"/>
    <w:rsid w:val="00D10595"/>
    <w:rsid w:val="00D10DCE"/>
    <w:rsid w:val="00D11188"/>
    <w:rsid w:val="00D12CF9"/>
    <w:rsid w:val="00D13760"/>
    <w:rsid w:val="00D14173"/>
    <w:rsid w:val="00D1436F"/>
    <w:rsid w:val="00D14457"/>
    <w:rsid w:val="00D14849"/>
    <w:rsid w:val="00D149D9"/>
    <w:rsid w:val="00D14AAA"/>
    <w:rsid w:val="00D1742E"/>
    <w:rsid w:val="00D17496"/>
    <w:rsid w:val="00D20198"/>
    <w:rsid w:val="00D207D1"/>
    <w:rsid w:val="00D20E3A"/>
    <w:rsid w:val="00D217B6"/>
    <w:rsid w:val="00D21E2A"/>
    <w:rsid w:val="00D22025"/>
    <w:rsid w:val="00D22C56"/>
    <w:rsid w:val="00D22C6F"/>
    <w:rsid w:val="00D23566"/>
    <w:rsid w:val="00D23F72"/>
    <w:rsid w:val="00D2534E"/>
    <w:rsid w:val="00D25561"/>
    <w:rsid w:val="00D27A1B"/>
    <w:rsid w:val="00D27CA2"/>
    <w:rsid w:val="00D27D66"/>
    <w:rsid w:val="00D30107"/>
    <w:rsid w:val="00D30598"/>
    <w:rsid w:val="00D307BA"/>
    <w:rsid w:val="00D30848"/>
    <w:rsid w:val="00D312E2"/>
    <w:rsid w:val="00D31B84"/>
    <w:rsid w:val="00D31F77"/>
    <w:rsid w:val="00D32C57"/>
    <w:rsid w:val="00D33888"/>
    <w:rsid w:val="00D34354"/>
    <w:rsid w:val="00D34B46"/>
    <w:rsid w:val="00D36A38"/>
    <w:rsid w:val="00D37568"/>
    <w:rsid w:val="00D3756C"/>
    <w:rsid w:val="00D37DDC"/>
    <w:rsid w:val="00D41074"/>
    <w:rsid w:val="00D424A7"/>
    <w:rsid w:val="00D4281E"/>
    <w:rsid w:val="00D44116"/>
    <w:rsid w:val="00D44311"/>
    <w:rsid w:val="00D444B1"/>
    <w:rsid w:val="00D44D87"/>
    <w:rsid w:val="00D44DF7"/>
    <w:rsid w:val="00D45E4D"/>
    <w:rsid w:val="00D46C71"/>
    <w:rsid w:val="00D47136"/>
    <w:rsid w:val="00D4787A"/>
    <w:rsid w:val="00D50016"/>
    <w:rsid w:val="00D50AEB"/>
    <w:rsid w:val="00D50B14"/>
    <w:rsid w:val="00D50D4D"/>
    <w:rsid w:val="00D518A6"/>
    <w:rsid w:val="00D52037"/>
    <w:rsid w:val="00D5225A"/>
    <w:rsid w:val="00D52D13"/>
    <w:rsid w:val="00D53B6F"/>
    <w:rsid w:val="00D54F65"/>
    <w:rsid w:val="00D553D3"/>
    <w:rsid w:val="00D55735"/>
    <w:rsid w:val="00D55CF8"/>
    <w:rsid w:val="00D564F6"/>
    <w:rsid w:val="00D5690C"/>
    <w:rsid w:val="00D572E4"/>
    <w:rsid w:val="00D579DA"/>
    <w:rsid w:val="00D57E69"/>
    <w:rsid w:val="00D57E6C"/>
    <w:rsid w:val="00D60518"/>
    <w:rsid w:val="00D606BD"/>
    <w:rsid w:val="00D60910"/>
    <w:rsid w:val="00D60B86"/>
    <w:rsid w:val="00D61B12"/>
    <w:rsid w:val="00D620EE"/>
    <w:rsid w:val="00D62900"/>
    <w:rsid w:val="00D62DBA"/>
    <w:rsid w:val="00D62E43"/>
    <w:rsid w:val="00D63132"/>
    <w:rsid w:val="00D63140"/>
    <w:rsid w:val="00D6392D"/>
    <w:rsid w:val="00D64248"/>
    <w:rsid w:val="00D643AD"/>
    <w:rsid w:val="00D644DF"/>
    <w:rsid w:val="00D64DCF"/>
    <w:rsid w:val="00D652C5"/>
    <w:rsid w:val="00D65D4F"/>
    <w:rsid w:val="00D66B22"/>
    <w:rsid w:val="00D67048"/>
    <w:rsid w:val="00D7237E"/>
    <w:rsid w:val="00D7259A"/>
    <w:rsid w:val="00D73EDC"/>
    <w:rsid w:val="00D74599"/>
    <w:rsid w:val="00D74A07"/>
    <w:rsid w:val="00D74C81"/>
    <w:rsid w:val="00D75D3E"/>
    <w:rsid w:val="00D7649B"/>
    <w:rsid w:val="00D77886"/>
    <w:rsid w:val="00D801BB"/>
    <w:rsid w:val="00D80592"/>
    <w:rsid w:val="00D80E38"/>
    <w:rsid w:val="00D81484"/>
    <w:rsid w:val="00D823DF"/>
    <w:rsid w:val="00D824FD"/>
    <w:rsid w:val="00D83938"/>
    <w:rsid w:val="00D8428C"/>
    <w:rsid w:val="00D843D7"/>
    <w:rsid w:val="00D847B9"/>
    <w:rsid w:val="00D857FF"/>
    <w:rsid w:val="00D85E33"/>
    <w:rsid w:val="00D86172"/>
    <w:rsid w:val="00D86E30"/>
    <w:rsid w:val="00D86F53"/>
    <w:rsid w:val="00D8733E"/>
    <w:rsid w:val="00D87979"/>
    <w:rsid w:val="00D90529"/>
    <w:rsid w:val="00D90572"/>
    <w:rsid w:val="00D907BD"/>
    <w:rsid w:val="00D908FF"/>
    <w:rsid w:val="00D920E5"/>
    <w:rsid w:val="00D921F8"/>
    <w:rsid w:val="00D92AE0"/>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78C1"/>
    <w:rsid w:val="00DA7E96"/>
    <w:rsid w:val="00DB016B"/>
    <w:rsid w:val="00DB0886"/>
    <w:rsid w:val="00DB1499"/>
    <w:rsid w:val="00DB1A02"/>
    <w:rsid w:val="00DB1A8F"/>
    <w:rsid w:val="00DB34D5"/>
    <w:rsid w:val="00DB4C94"/>
    <w:rsid w:val="00DB7F61"/>
    <w:rsid w:val="00DC1003"/>
    <w:rsid w:val="00DC18A2"/>
    <w:rsid w:val="00DC18BE"/>
    <w:rsid w:val="00DC1FD7"/>
    <w:rsid w:val="00DC2192"/>
    <w:rsid w:val="00DC2E3B"/>
    <w:rsid w:val="00DC2E4D"/>
    <w:rsid w:val="00DC31B7"/>
    <w:rsid w:val="00DC4814"/>
    <w:rsid w:val="00DC5099"/>
    <w:rsid w:val="00DC6070"/>
    <w:rsid w:val="00DC6E4A"/>
    <w:rsid w:val="00DC703B"/>
    <w:rsid w:val="00DC770B"/>
    <w:rsid w:val="00DC7FF4"/>
    <w:rsid w:val="00DD0564"/>
    <w:rsid w:val="00DD3671"/>
    <w:rsid w:val="00DD449F"/>
    <w:rsid w:val="00DD5332"/>
    <w:rsid w:val="00DD543A"/>
    <w:rsid w:val="00DD5E59"/>
    <w:rsid w:val="00DD6C3A"/>
    <w:rsid w:val="00DD6DF9"/>
    <w:rsid w:val="00DE08F5"/>
    <w:rsid w:val="00DE0BAF"/>
    <w:rsid w:val="00DE0BC8"/>
    <w:rsid w:val="00DE1302"/>
    <w:rsid w:val="00DE33D0"/>
    <w:rsid w:val="00DE3956"/>
    <w:rsid w:val="00DE4314"/>
    <w:rsid w:val="00DE4C11"/>
    <w:rsid w:val="00DE50DF"/>
    <w:rsid w:val="00DE5A97"/>
    <w:rsid w:val="00DE65DE"/>
    <w:rsid w:val="00DE7108"/>
    <w:rsid w:val="00DE7B8D"/>
    <w:rsid w:val="00DF05BC"/>
    <w:rsid w:val="00DF185E"/>
    <w:rsid w:val="00DF2045"/>
    <w:rsid w:val="00DF2B54"/>
    <w:rsid w:val="00DF2F3D"/>
    <w:rsid w:val="00DF327A"/>
    <w:rsid w:val="00DF46C3"/>
    <w:rsid w:val="00DF5636"/>
    <w:rsid w:val="00DF5783"/>
    <w:rsid w:val="00DF59B5"/>
    <w:rsid w:val="00DF6218"/>
    <w:rsid w:val="00DF62DB"/>
    <w:rsid w:val="00DF6E1C"/>
    <w:rsid w:val="00DF791B"/>
    <w:rsid w:val="00E00014"/>
    <w:rsid w:val="00E00312"/>
    <w:rsid w:val="00E00B2B"/>
    <w:rsid w:val="00E0255D"/>
    <w:rsid w:val="00E02BE1"/>
    <w:rsid w:val="00E03096"/>
    <w:rsid w:val="00E03242"/>
    <w:rsid w:val="00E04139"/>
    <w:rsid w:val="00E05BEE"/>
    <w:rsid w:val="00E05F9B"/>
    <w:rsid w:val="00E07859"/>
    <w:rsid w:val="00E07926"/>
    <w:rsid w:val="00E1061B"/>
    <w:rsid w:val="00E10AC3"/>
    <w:rsid w:val="00E10FEE"/>
    <w:rsid w:val="00E11B4D"/>
    <w:rsid w:val="00E11D52"/>
    <w:rsid w:val="00E11E09"/>
    <w:rsid w:val="00E1280A"/>
    <w:rsid w:val="00E12C6C"/>
    <w:rsid w:val="00E14394"/>
    <w:rsid w:val="00E1459E"/>
    <w:rsid w:val="00E1552B"/>
    <w:rsid w:val="00E15556"/>
    <w:rsid w:val="00E166F4"/>
    <w:rsid w:val="00E17216"/>
    <w:rsid w:val="00E17F24"/>
    <w:rsid w:val="00E20803"/>
    <w:rsid w:val="00E20F1F"/>
    <w:rsid w:val="00E226D7"/>
    <w:rsid w:val="00E2439E"/>
    <w:rsid w:val="00E24D0A"/>
    <w:rsid w:val="00E24FA4"/>
    <w:rsid w:val="00E2523C"/>
    <w:rsid w:val="00E25C23"/>
    <w:rsid w:val="00E26403"/>
    <w:rsid w:val="00E26657"/>
    <w:rsid w:val="00E27682"/>
    <w:rsid w:val="00E2783B"/>
    <w:rsid w:val="00E27E91"/>
    <w:rsid w:val="00E30A79"/>
    <w:rsid w:val="00E30AB8"/>
    <w:rsid w:val="00E30D3E"/>
    <w:rsid w:val="00E31828"/>
    <w:rsid w:val="00E334CA"/>
    <w:rsid w:val="00E335E7"/>
    <w:rsid w:val="00E342A7"/>
    <w:rsid w:val="00E34771"/>
    <w:rsid w:val="00E34C30"/>
    <w:rsid w:val="00E35835"/>
    <w:rsid w:val="00E36E1E"/>
    <w:rsid w:val="00E37136"/>
    <w:rsid w:val="00E37CA9"/>
    <w:rsid w:val="00E37E6B"/>
    <w:rsid w:val="00E40857"/>
    <w:rsid w:val="00E40B2D"/>
    <w:rsid w:val="00E40CD6"/>
    <w:rsid w:val="00E4110A"/>
    <w:rsid w:val="00E414F0"/>
    <w:rsid w:val="00E41A23"/>
    <w:rsid w:val="00E4205E"/>
    <w:rsid w:val="00E438A0"/>
    <w:rsid w:val="00E43E2C"/>
    <w:rsid w:val="00E4417C"/>
    <w:rsid w:val="00E44A9C"/>
    <w:rsid w:val="00E44CA4"/>
    <w:rsid w:val="00E4514E"/>
    <w:rsid w:val="00E46B2B"/>
    <w:rsid w:val="00E516D4"/>
    <w:rsid w:val="00E51FB6"/>
    <w:rsid w:val="00E52790"/>
    <w:rsid w:val="00E538DE"/>
    <w:rsid w:val="00E5428A"/>
    <w:rsid w:val="00E547A5"/>
    <w:rsid w:val="00E54977"/>
    <w:rsid w:val="00E55456"/>
    <w:rsid w:val="00E57BCB"/>
    <w:rsid w:val="00E605B7"/>
    <w:rsid w:val="00E61359"/>
    <w:rsid w:val="00E61E1F"/>
    <w:rsid w:val="00E62340"/>
    <w:rsid w:val="00E63475"/>
    <w:rsid w:val="00E63843"/>
    <w:rsid w:val="00E640D6"/>
    <w:rsid w:val="00E64587"/>
    <w:rsid w:val="00E645CD"/>
    <w:rsid w:val="00E64AED"/>
    <w:rsid w:val="00E64ED3"/>
    <w:rsid w:val="00E66068"/>
    <w:rsid w:val="00E67A4B"/>
    <w:rsid w:val="00E70103"/>
    <w:rsid w:val="00E70138"/>
    <w:rsid w:val="00E71A45"/>
    <w:rsid w:val="00E71E3A"/>
    <w:rsid w:val="00E71F0B"/>
    <w:rsid w:val="00E720ED"/>
    <w:rsid w:val="00E722DB"/>
    <w:rsid w:val="00E73320"/>
    <w:rsid w:val="00E73549"/>
    <w:rsid w:val="00E7390C"/>
    <w:rsid w:val="00E74666"/>
    <w:rsid w:val="00E747D0"/>
    <w:rsid w:val="00E74C79"/>
    <w:rsid w:val="00E75430"/>
    <w:rsid w:val="00E759BB"/>
    <w:rsid w:val="00E75D12"/>
    <w:rsid w:val="00E7731C"/>
    <w:rsid w:val="00E7742A"/>
    <w:rsid w:val="00E810C4"/>
    <w:rsid w:val="00E8113E"/>
    <w:rsid w:val="00E8224A"/>
    <w:rsid w:val="00E84DB5"/>
    <w:rsid w:val="00E85634"/>
    <w:rsid w:val="00E866FA"/>
    <w:rsid w:val="00E86AF3"/>
    <w:rsid w:val="00E86ED8"/>
    <w:rsid w:val="00E87169"/>
    <w:rsid w:val="00E908A7"/>
    <w:rsid w:val="00E91111"/>
    <w:rsid w:val="00E922AF"/>
    <w:rsid w:val="00E92622"/>
    <w:rsid w:val="00E92B15"/>
    <w:rsid w:val="00E9504A"/>
    <w:rsid w:val="00E9554B"/>
    <w:rsid w:val="00E95BF8"/>
    <w:rsid w:val="00E96ADE"/>
    <w:rsid w:val="00E96EEF"/>
    <w:rsid w:val="00E97528"/>
    <w:rsid w:val="00E979EC"/>
    <w:rsid w:val="00E97D76"/>
    <w:rsid w:val="00E97E4F"/>
    <w:rsid w:val="00EA027C"/>
    <w:rsid w:val="00EA030A"/>
    <w:rsid w:val="00EA2541"/>
    <w:rsid w:val="00EA2B53"/>
    <w:rsid w:val="00EA3387"/>
    <w:rsid w:val="00EA370B"/>
    <w:rsid w:val="00EA3AF0"/>
    <w:rsid w:val="00EA4455"/>
    <w:rsid w:val="00EA4628"/>
    <w:rsid w:val="00EA4D9D"/>
    <w:rsid w:val="00EA63A4"/>
    <w:rsid w:val="00EA6EEF"/>
    <w:rsid w:val="00EA787F"/>
    <w:rsid w:val="00EA7B6E"/>
    <w:rsid w:val="00EB0483"/>
    <w:rsid w:val="00EB0DEB"/>
    <w:rsid w:val="00EB16A6"/>
    <w:rsid w:val="00EB198F"/>
    <w:rsid w:val="00EB24F5"/>
    <w:rsid w:val="00EB29F6"/>
    <w:rsid w:val="00EB34D8"/>
    <w:rsid w:val="00EB384C"/>
    <w:rsid w:val="00EB5119"/>
    <w:rsid w:val="00EB57C1"/>
    <w:rsid w:val="00EB591C"/>
    <w:rsid w:val="00EB5FC1"/>
    <w:rsid w:val="00EB60DD"/>
    <w:rsid w:val="00EB74B2"/>
    <w:rsid w:val="00EB75BD"/>
    <w:rsid w:val="00EB77F8"/>
    <w:rsid w:val="00EB7B74"/>
    <w:rsid w:val="00EB7BD5"/>
    <w:rsid w:val="00EC126F"/>
    <w:rsid w:val="00EC2EA9"/>
    <w:rsid w:val="00EC303B"/>
    <w:rsid w:val="00EC3AD4"/>
    <w:rsid w:val="00EC3E44"/>
    <w:rsid w:val="00EC46EE"/>
    <w:rsid w:val="00EC471C"/>
    <w:rsid w:val="00EC5A98"/>
    <w:rsid w:val="00EC61B9"/>
    <w:rsid w:val="00EC622B"/>
    <w:rsid w:val="00EC645B"/>
    <w:rsid w:val="00EC6D29"/>
    <w:rsid w:val="00EC6DA7"/>
    <w:rsid w:val="00EC6FC1"/>
    <w:rsid w:val="00EC7157"/>
    <w:rsid w:val="00EC7751"/>
    <w:rsid w:val="00ED0159"/>
    <w:rsid w:val="00ED129D"/>
    <w:rsid w:val="00ED30CE"/>
    <w:rsid w:val="00ED4C23"/>
    <w:rsid w:val="00ED4FC6"/>
    <w:rsid w:val="00ED512D"/>
    <w:rsid w:val="00ED545C"/>
    <w:rsid w:val="00ED58BE"/>
    <w:rsid w:val="00ED61D5"/>
    <w:rsid w:val="00ED6EE4"/>
    <w:rsid w:val="00EE00E6"/>
    <w:rsid w:val="00EE0167"/>
    <w:rsid w:val="00EE0658"/>
    <w:rsid w:val="00EE15A6"/>
    <w:rsid w:val="00EE2253"/>
    <w:rsid w:val="00EE2C51"/>
    <w:rsid w:val="00EE2D61"/>
    <w:rsid w:val="00EE382B"/>
    <w:rsid w:val="00EE4AA5"/>
    <w:rsid w:val="00EE4B43"/>
    <w:rsid w:val="00EE4E8A"/>
    <w:rsid w:val="00EE4EE1"/>
    <w:rsid w:val="00EE6312"/>
    <w:rsid w:val="00EE6D19"/>
    <w:rsid w:val="00EE7670"/>
    <w:rsid w:val="00EE7716"/>
    <w:rsid w:val="00EE7F21"/>
    <w:rsid w:val="00EF03D7"/>
    <w:rsid w:val="00EF0682"/>
    <w:rsid w:val="00EF0C22"/>
    <w:rsid w:val="00EF0E9E"/>
    <w:rsid w:val="00EF0ED4"/>
    <w:rsid w:val="00EF142E"/>
    <w:rsid w:val="00EF1E03"/>
    <w:rsid w:val="00EF1FA4"/>
    <w:rsid w:val="00EF29E4"/>
    <w:rsid w:val="00EF2A66"/>
    <w:rsid w:val="00EF34E0"/>
    <w:rsid w:val="00EF39A3"/>
    <w:rsid w:val="00EF3A67"/>
    <w:rsid w:val="00EF3EAB"/>
    <w:rsid w:val="00EF4E99"/>
    <w:rsid w:val="00EF536F"/>
    <w:rsid w:val="00EF54D1"/>
    <w:rsid w:val="00EF55CA"/>
    <w:rsid w:val="00EF5D38"/>
    <w:rsid w:val="00EF5EF3"/>
    <w:rsid w:val="00EF744C"/>
    <w:rsid w:val="00EF78F7"/>
    <w:rsid w:val="00F00DE8"/>
    <w:rsid w:val="00F01C76"/>
    <w:rsid w:val="00F01E96"/>
    <w:rsid w:val="00F02263"/>
    <w:rsid w:val="00F03025"/>
    <w:rsid w:val="00F03BBA"/>
    <w:rsid w:val="00F03EAD"/>
    <w:rsid w:val="00F04D2B"/>
    <w:rsid w:val="00F05862"/>
    <w:rsid w:val="00F05A93"/>
    <w:rsid w:val="00F061E2"/>
    <w:rsid w:val="00F106CC"/>
    <w:rsid w:val="00F11BBD"/>
    <w:rsid w:val="00F12547"/>
    <w:rsid w:val="00F12AB8"/>
    <w:rsid w:val="00F12DD5"/>
    <w:rsid w:val="00F135CF"/>
    <w:rsid w:val="00F156B9"/>
    <w:rsid w:val="00F15BB2"/>
    <w:rsid w:val="00F15FA1"/>
    <w:rsid w:val="00F164D6"/>
    <w:rsid w:val="00F16AB8"/>
    <w:rsid w:val="00F17D1A"/>
    <w:rsid w:val="00F20337"/>
    <w:rsid w:val="00F2059C"/>
    <w:rsid w:val="00F215C4"/>
    <w:rsid w:val="00F21E87"/>
    <w:rsid w:val="00F2237D"/>
    <w:rsid w:val="00F2258A"/>
    <w:rsid w:val="00F22623"/>
    <w:rsid w:val="00F22F91"/>
    <w:rsid w:val="00F24903"/>
    <w:rsid w:val="00F2498B"/>
    <w:rsid w:val="00F24E0C"/>
    <w:rsid w:val="00F26695"/>
    <w:rsid w:val="00F2678D"/>
    <w:rsid w:val="00F26F9A"/>
    <w:rsid w:val="00F271C6"/>
    <w:rsid w:val="00F27662"/>
    <w:rsid w:val="00F2777B"/>
    <w:rsid w:val="00F27A0E"/>
    <w:rsid w:val="00F27A7F"/>
    <w:rsid w:val="00F27BE6"/>
    <w:rsid w:val="00F27D25"/>
    <w:rsid w:val="00F305E4"/>
    <w:rsid w:val="00F32F8A"/>
    <w:rsid w:val="00F332D4"/>
    <w:rsid w:val="00F3387E"/>
    <w:rsid w:val="00F33C4C"/>
    <w:rsid w:val="00F33D5B"/>
    <w:rsid w:val="00F34FD9"/>
    <w:rsid w:val="00F35E56"/>
    <w:rsid w:val="00F366EF"/>
    <w:rsid w:val="00F3703F"/>
    <w:rsid w:val="00F37B7E"/>
    <w:rsid w:val="00F37BFD"/>
    <w:rsid w:val="00F37E21"/>
    <w:rsid w:val="00F40B9E"/>
    <w:rsid w:val="00F410A8"/>
    <w:rsid w:val="00F41E04"/>
    <w:rsid w:val="00F422AF"/>
    <w:rsid w:val="00F44864"/>
    <w:rsid w:val="00F45F64"/>
    <w:rsid w:val="00F464FB"/>
    <w:rsid w:val="00F4679A"/>
    <w:rsid w:val="00F46977"/>
    <w:rsid w:val="00F47B8C"/>
    <w:rsid w:val="00F5093A"/>
    <w:rsid w:val="00F50A29"/>
    <w:rsid w:val="00F512A9"/>
    <w:rsid w:val="00F51419"/>
    <w:rsid w:val="00F517F8"/>
    <w:rsid w:val="00F52513"/>
    <w:rsid w:val="00F527C4"/>
    <w:rsid w:val="00F52D3B"/>
    <w:rsid w:val="00F530B8"/>
    <w:rsid w:val="00F5329E"/>
    <w:rsid w:val="00F53E0B"/>
    <w:rsid w:val="00F53FCF"/>
    <w:rsid w:val="00F544ED"/>
    <w:rsid w:val="00F55228"/>
    <w:rsid w:val="00F5546C"/>
    <w:rsid w:val="00F56388"/>
    <w:rsid w:val="00F565E5"/>
    <w:rsid w:val="00F611CD"/>
    <w:rsid w:val="00F61AA9"/>
    <w:rsid w:val="00F61C23"/>
    <w:rsid w:val="00F61FE1"/>
    <w:rsid w:val="00F62A57"/>
    <w:rsid w:val="00F62DCF"/>
    <w:rsid w:val="00F639E6"/>
    <w:rsid w:val="00F63CFE"/>
    <w:rsid w:val="00F642C8"/>
    <w:rsid w:val="00F645ED"/>
    <w:rsid w:val="00F64A90"/>
    <w:rsid w:val="00F64D90"/>
    <w:rsid w:val="00F650AE"/>
    <w:rsid w:val="00F659EB"/>
    <w:rsid w:val="00F66B35"/>
    <w:rsid w:val="00F67894"/>
    <w:rsid w:val="00F702E1"/>
    <w:rsid w:val="00F70302"/>
    <w:rsid w:val="00F707CB"/>
    <w:rsid w:val="00F7198E"/>
    <w:rsid w:val="00F722B3"/>
    <w:rsid w:val="00F7277B"/>
    <w:rsid w:val="00F72AC4"/>
    <w:rsid w:val="00F7353F"/>
    <w:rsid w:val="00F743E5"/>
    <w:rsid w:val="00F7686B"/>
    <w:rsid w:val="00F7708C"/>
    <w:rsid w:val="00F776AE"/>
    <w:rsid w:val="00F77E41"/>
    <w:rsid w:val="00F8016D"/>
    <w:rsid w:val="00F81389"/>
    <w:rsid w:val="00F81551"/>
    <w:rsid w:val="00F81A8F"/>
    <w:rsid w:val="00F81FE5"/>
    <w:rsid w:val="00F82C30"/>
    <w:rsid w:val="00F8309A"/>
    <w:rsid w:val="00F831C0"/>
    <w:rsid w:val="00F832A4"/>
    <w:rsid w:val="00F835F1"/>
    <w:rsid w:val="00F83884"/>
    <w:rsid w:val="00F845B4"/>
    <w:rsid w:val="00F85AD2"/>
    <w:rsid w:val="00F86712"/>
    <w:rsid w:val="00F87471"/>
    <w:rsid w:val="00F87624"/>
    <w:rsid w:val="00F87B63"/>
    <w:rsid w:val="00F87D2C"/>
    <w:rsid w:val="00F90453"/>
    <w:rsid w:val="00F90D88"/>
    <w:rsid w:val="00F91245"/>
    <w:rsid w:val="00F9163F"/>
    <w:rsid w:val="00F92842"/>
    <w:rsid w:val="00F936E8"/>
    <w:rsid w:val="00F95D86"/>
    <w:rsid w:val="00F95EF5"/>
    <w:rsid w:val="00F96AE6"/>
    <w:rsid w:val="00F9709A"/>
    <w:rsid w:val="00FA0BA0"/>
    <w:rsid w:val="00FA186C"/>
    <w:rsid w:val="00FA29CA"/>
    <w:rsid w:val="00FA2B41"/>
    <w:rsid w:val="00FA2D76"/>
    <w:rsid w:val="00FA3F04"/>
    <w:rsid w:val="00FA3F62"/>
    <w:rsid w:val="00FA4600"/>
    <w:rsid w:val="00FA491F"/>
    <w:rsid w:val="00FA5851"/>
    <w:rsid w:val="00FA647E"/>
    <w:rsid w:val="00FA693D"/>
    <w:rsid w:val="00FA6FED"/>
    <w:rsid w:val="00FA701C"/>
    <w:rsid w:val="00FB030B"/>
    <w:rsid w:val="00FB06E6"/>
    <w:rsid w:val="00FB10C0"/>
    <w:rsid w:val="00FB14C3"/>
    <w:rsid w:val="00FB182A"/>
    <w:rsid w:val="00FB28DF"/>
    <w:rsid w:val="00FB3756"/>
    <w:rsid w:val="00FB3E8F"/>
    <w:rsid w:val="00FB4E3A"/>
    <w:rsid w:val="00FB4E87"/>
    <w:rsid w:val="00FB531C"/>
    <w:rsid w:val="00FB58F8"/>
    <w:rsid w:val="00FB5FE5"/>
    <w:rsid w:val="00FB62C8"/>
    <w:rsid w:val="00FB6807"/>
    <w:rsid w:val="00FB6F6F"/>
    <w:rsid w:val="00FB72F5"/>
    <w:rsid w:val="00FB7602"/>
    <w:rsid w:val="00FC0901"/>
    <w:rsid w:val="00FC17DF"/>
    <w:rsid w:val="00FC1C52"/>
    <w:rsid w:val="00FC26A7"/>
    <w:rsid w:val="00FC28BF"/>
    <w:rsid w:val="00FC30FA"/>
    <w:rsid w:val="00FC3190"/>
    <w:rsid w:val="00FC37FA"/>
    <w:rsid w:val="00FC40EF"/>
    <w:rsid w:val="00FC455D"/>
    <w:rsid w:val="00FC4CF4"/>
    <w:rsid w:val="00FC57BC"/>
    <w:rsid w:val="00FC5E0C"/>
    <w:rsid w:val="00FC6445"/>
    <w:rsid w:val="00FC6C15"/>
    <w:rsid w:val="00FC6E53"/>
    <w:rsid w:val="00FC77CA"/>
    <w:rsid w:val="00FC7EDF"/>
    <w:rsid w:val="00FD0173"/>
    <w:rsid w:val="00FD02CF"/>
    <w:rsid w:val="00FD1048"/>
    <w:rsid w:val="00FD10CF"/>
    <w:rsid w:val="00FD16A0"/>
    <w:rsid w:val="00FD17F5"/>
    <w:rsid w:val="00FD1839"/>
    <w:rsid w:val="00FD1BBA"/>
    <w:rsid w:val="00FD2DF3"/>
    <w:rsid w:val="00FD3006"/>
    <w:rsid w:val="00FD3403"/>
    <w:rsid w:val="00FD411A"/>
    <w:rsid w:val="00FD60D1"/>
    <w:rsid w:val="00FD6EC1"/>
    <w:rsid w:val="00FD798B"/>
    <w:rsid w:val="00FD7B02"/>
    <w:rsid w:val="00FD7B8C"/>
    <w:rsid w:val="00FE0450"/>
    <w:rsid w:val="00FE045F"/>
    <w:rsid w:val="00FE0E3B"/>
    <w:rsid w:val="00FE0F14"/>
    <w:rsid w:val="00FE10E3"/>
    <w:rsid w:val="00FE1803"/>
    <w:rsid w:val="00FE20FA"/>
    <w:rsid w:val="00FE261A"/>
    <w:rsid w:val="00FE2E28"/>
    <w:rsid w:val="00FE34B3"/>
    <w:rsid w:val="00FE3689"/>
    <w:rsid w:val="00FE3B2A"/>
    <w:rsid w:val="00FE3FCA"/>
    <w:rsid w:val="00FE4112"/>
    <w:rsid w:val="00FE4E84"/>
    <w:rsid w:val="00FF02D4"/>
    <w:rsid w:val="00FF0930"/>
    <w:rsid w:val="00FF0A5B"/>
    <w:rsid w:val="00FF115D"/>
    <w:rsid w:val="00FF13D2"/>
    <w:rsid w:val="00FF15D7"/>
    <w:rsid w:val="00FF25CE"/>
    <w:rsid w:val="00FF38D4"/>
    <w:rsid w:val="00FF43FA"/>
    <w:rsid w:val="00FF481F"/>
    <w:rsid w:val="00FF4E28"/>
    <w:rsid w:val="00FF4EF7"/>
    <w:rsid w:val="00FF5B03"/>
    <w:rsid w:val="00FF5D8B"/>
    <w:rsid w:val="00FF5E3E"/>
    <w:rsid w:val="00FF6719"/>
    <w:rsid w:val="00FF7184"/>
    <w:rsid w:val="00FF762C"/>
    <w:rsid w:val="00FF7B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3811A9"/>
    <w:rPr>
      <w:sz w:val="24"/>
      <w:szCs w:val="20"/>
    </w:rPr>
  </w:style>
  <w:style w:type="paragraph" w:styleId="Heading1">
    <w:name w:val="heading 1"/>
    <w:basedOn w:val="Normal"/>
    <w:next w:val="BodyText"/>
    <w:link w:val="Heading1Char"/>
    <w:uiPriority w:val="99"/>
    <w:qFormat/>
    <w:rsid w:val="00345816"/>
    <w:pPr>
      <w:keepNext/>
      <w:tabs>
        <w:tab w:val="left" w:pos="540"/>
      </w:tabs>
      <w:spacing w:after="12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tabs>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semiHidden/>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2enspsubgroup1"/>
    <w:link w:val="5ensptotalChar"/>
    <w:rsid w:val="003811A9"/>
    <w:pPr>
      <w:spacing w:before="20" w:after="20"/>
      <w:ind w:left="850"/>
    </w:pPr>
  </w:style>
  <w:style w:type="paragraph" w:customStyle="1" w:styleId="tabletitle-continued">
    <w:name w:val="table title - continued"/>
    <w:basedOn w:val="TableTitle"/>
    <w:rsid w:val="003811A9"/>
  </w:style>
  <w:style w:type="paragraph" w:customStyle="1" w:styleId="TableTitle">
    <w:name w:val="Table Title"/>
    <w:basedOn w:val="Normal"/>
    <w:link w:val="TableTitleChar"/>
    <w:qFormat/>
    <w:rsid w:val="003811A9"/>
    <w:pPr>
      <w:keepNext/>
      <w:tabs>
        <w:tab w:val="left" w:pos="3420"/>
      </w:tabs>
      <w:spacing w:before="240" w:after="120" w:line="253" w:lineRule="atLeast"/>
      <w:ind w:left="900" w:hanging="900"/>
    </w:pPr>
    <w:rPr>
      <w:rFonts w:ascii="Arial" w:eastAsia="MS Mincho" w:hAnsi="Arial"/>
      <w:b/>
      <w:kern w:val="2"/>
      <w:sz w:val="20"/>
    </w:rPr>
  </w:style>
  <w:style w:type="character" w:customStyle="1" w:styleId="TableTitleChar">
    <w:name w:val="Table Title Char"/>
    <w:basedOn w:val="DefaultParagraphFont"/>
    <w:link w:val="TableTitle"/>
    <w:locked/>
    <w:rsid w:val="002D24EF"/>
    <w:rPr>
      <w:rFonts w:ascii="Arial" w:eastAsia="MS Mincho" w:hAnsi="Arial"/>
      <w:b/>
      <w:kern w:val="2"/>
      <w:sz w:val="20"/>
      <w:szCs w:val="20"/>
    </w:rPr>
  </w:style>
  <w:style w:type="paragraph" w:styleId="TOC1">
    <w:name w:val="toc 1"/>
    <w:basedOn w:val="Normal"/>
    <w:next w:val="Normal"/>
    <w:autoRedefine/>
    <w:uiPriority w:val="39"/>
    <w:qFormat/>
    <w:rsid w:val="00B776D5"/>
    <w:pPr>
      <w:tabs>
        <w:tab w:val="right" w:leader="dot" w:pos="10224"/>
      </w:tabs>
      <w:spacing w:after="120" w:line="320" w:lineRule="atLeast"/>
      <w:ind w:left="360" w:right="778" w:hanging="360"/>
    </w:pPr>
    <w:rPr>
      <w:rFonts w:cs="Arial"/>
      <w:b/>
      <w:bCs/>
      <w:noProof/>
    </w:rPr>
  </w:style>
  <w:style w:type="paragraph" w:styleId="TOC2">
    <w:name w:val="toc 2"/>
    <w:basedOn w:val="Normal"/>
    <w:next w:val="Normal"/>
    <w:autoRedefine/>
    <w:uiPriority w:val="39"/>
    <w:qFormat/>
    <w:rsid w:val="00A01934"/>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A01934"/>
    <w:pPr>
      <w:tabs>
        <w:tab w:val="right" w:leader="dot" w:pos="10224"/>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39"/>
    <w:rsid w:val="00835A08"/>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4"/>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3811A9"/>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semiHidden/>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F33D5B"/>
    <w:pPr>
      <w:keepNext/>
      <w:spacing w:before="2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text">
    <w:name w:val="Table text"/>
    <w:basedOn w:val="Normal"/>
    <w:link w:val="TabletextChar"/>
    <w:rsid w:val="003811A9"/>
    <w:pPr>
      <w:keepNext/>
      <w:spacing w:before="10" w:after="10"/>
      <w:ind w:left="317" w:hanging="317"/>
    </w:pPr>
    <w:rPr>
      <w:rFonts w:ascii="Arial" w:hAnsi="Arial"/>
      <w:sz w:val="20"/>
    </w:rPr>
  </w:style>
  <w:style w:type="character" w:customStyle="1" w:styleId="TabletextChar">
    <w:name w:val="Table text Char"/>
    <w:basedOn w:val="DefaultParagraphFont"/>
    <w:link w:val="Tabletext"/>
    <w:locked/>
    <w:rsid w:val="009C0354"/>
    <w:rPr>
      <w:rFonts w:ascii="Arial" w:hAnsi="Arial"/>
      <w:sz w:val="20"/>
      <w:szCs w:val="20"/>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2enspsubgroup1">
    <w:name w:val="2 en sp (subgroup 1)"/>
    <w:basedOn w:val="Tabletext"/>
    <w:link w:val="2enspsubgroup1Char"/>
    <w:rsid w:val="003811A9"/>
    <w:pPr>
      <w:ind w:left="576" w:hanging="346"/>
    </w:pPr>
    <w:rPr>
      <w:kern w:val="2"/>
    </w:rPr>
  </w:style>
  <w:style w:type="paragraph" w:customStyle="1" w:styleId="4enspsubgroup2">
    <w:name w:val="4 en sp (subgroup 2)"/>
    <w:basedOn w:val="2enspsubgroup1"/>
    <w:rsid w:val="003811A9"/>
    <w:pPr>
      <w:ind w:left="794"/>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rsid w:val="003811A9"/>
    <w:pPr>
      <w:ind w:left="1019"/>
    </w:pPr>
  </w:style>
  <w:style w:type="paragraph" w:customStyle="1" w:styleId="AppendixTitle">
    <w:name w:val="Appendix Title"/>
    <w:basedOn w:val="Heading1"/>
    <w:link w:val="AppendixTitleChar"/>
    <w:uiPriority w:val="99"/>
    <w:rsid w:val="00593CCC"/>
    <w:p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styleId="TOCHeading">
    <w:name w:val="TOC Heading"/>
    <w:basedOn w:val="Heading1"/>
    <w:uiPriority w:val="39"/>
    <w:qFormat/>
    <w:rsid w:val="001A6C33"/>
    <w:pPr>
      <w:keepNext w:val="0"/>
      <w:tabs>
        <w:tab w:val="clear" w:pos="540"/>
      </w:tabs>
      <w:spacing w:after="360"/>
      <w:outlineLvl w:val="9"/>
    </w:pPr>
    <w:rPr>
      <w:sz w:val="32"/>
    </w:rPr>
  </w:style>
  <w:style w:type="paragraph" w:customStyle="1" w:styleId="3ensptotalnosubgroup">
    <w:name w:val="3 en sp (total no subgroup)"/>
    <w:basedOn w:val="4enspsubgroup2"/>
    <w:rsid w:val="003811A9"/>
    <w:pPr>
      <w:ind w:left="677"/>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3811A9"/>
    <w:pPr>
      <w:spacing w:before="60" w:after="60"/>
      <w:ind w:left="0" w:firstLine="0"/>
      <w:jc w:val="right"/>
    </w:pPr>
    <w:rPr>
      <w:rFonts w:eastAsia="Calibri"/>
    </w:rPr>
  </w:style>
  <w:style w:type="character" w:customStyle="1" w:styleId="TableheadingChar">
    <w:name w:val="Table heading Char"/>
    <w:basedOn w:val="TabletextChar"/>
    <w:link w:val="Tableheading"/>
    <w:uiPriority w:val="99"/>
    <w:locked/>
    <w:rsid w:val="00EF1FA4"/>
    <w:rPr>
      <w:rFonts w:ascii="Arial" w:eastAsia="Calibri" w:hAnsi="Arial"/>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tabs>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7"/>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3811A9"/>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3811A9"/>
    <w:pPr>
      <w:keepNext/>
      <w:spacing w:before="10" w:after="10"/>
      <w:jc w:val="right"/>
    </w:pPr>
    <w:rPr>
      <w:rFonts w:ascii="Arial" w:hAnsi="Arial" w:cs="Arial"/>
      <w:snapToGrid w:val="0"/>
      <w:sz w:val="20"/>
      <w:szCs w:val="20"/>
    </w:rPr>
  </w:style>
  <w:style w:type="character" w:customStyle="1" w:styleId="2enspsubgroup1Char">
    <w:name w:val="2 en sp (subgroup 1) Char"/>
    <w:basedOn w:val="TabletextChar"/>
    <w:link w:val="2enspsubgroup1"/>
    <w:locked/>
    <w:rsid w:val="00232D77"/>
    <w:rPr>
      <w:rFonts w:ascii="Arial" w:hAnsi="Arial"/>
      <w:kern w:val="2"/>
      <w:sz w:val="20"/>
      <w:szCs w:val="20"/>
    </w:rPr>
  </w:style>
  <w:style w:type="character" w:customStyle="1" w:styleId="5ensptotalChar">
    <w:name w:val="5 en sp (total) Char"/>
    <w:basedOn w:val="2enspsubgroup1Char"/>
    <w:link w:val="5ensptotal"/>
    <w:locked/>
    <w:rsid w:val="00232D77"/>
    <w:rPr>
      <w:rFonts w:ascii="Arial" w:hAnsi="Arial"/>
      <w:kern w:val="2"/>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99"/>
    <w:qFormat/>
    <w:rsid w:val="00554EC2"/>
    <w:pPr>
      <w:ind w:left="720"/>
    </w:pPr>
    <w:rPr>
      <w:rFonts w:ascii="Calibri" w:hAnsi="Calibri" w:cs="Arial"/>
      <w:sz w:val="20"/>
    </w:rPr>
  </w:style>
  <w:style w:type="paragraph" w:customStyle="1" w:styleId="ESHeading1">
    <w:name w:val="ES Heading 1"/>
    <w:basedOn w:val="Heading1"/>
    <w:uiPriority w:val="99"/>
    <w:rsid w:val="00232B72"/>
    <w:p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character" w:customStyle="1" w:styleId="apple-style-span">
    <w:name w:val="apple-style-span"/>
    <w:basedOn w:val="DefaultParagraphFont"/>
    <w:rsid w:val="00347B1A"/>
  </w:style>
  <w:style w:type="paragraph" w:customStyle="1" w:styleId="Source-8pt">
    <w:name w:val="Source - 8pt"/>
    <w:basedOn w:val="Normal"/>
    <w:qFormat/>
    <w:rsid w:val="003811A9"/>
    <w:rPr>
      <w:rFonts w:ascii="Arial" w:hAnsi="Arial"/>
      <w:sz w:val="16"/>
      <w:szCs w:val="16"/>
    </w:rPr>
  </w:style>
  <w:style w:type="paragraph" w:customStyle="1" w:styleId="Source-last">
    <w:name w:val="Source - last"/>
    <w:basedOn w:val="Normal"/>
    <w:qFormat/>
    <w:rsid w:val="003811A9"/>
    <w:pPr>
      <w:spacing w:after="240"/>
    </w:pPr>
    <w:rPr>
      <w:rFonts w:ascii="Arial" w:hAnsi="Arial"/>
      <w:sz w:val="18"/>
      <w:szCs w:val="16"/>
    </w:rPr>
  </w:style>
  <w:style w:type="paragraph" w:customStyle="1" w:styleId="Tableheadingcentered">
    <w:name w:val="Table heading centered"/>
    <w:basedOn w:val="Tabletext"/>
    <w:uiPriority w:val="99"/>
    <w:rsid w:val="003811A9"/>
    <w:pPr>
      <w:ind w:left="0" w:firstLine="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3811A9"/>
    <w:rPr>
      <w:sz w:val="24"/>
      <w:szCs w:val="20"/>
    </w:rPr>
  </w:style>
  <w:style w:type="paragraph" w:styleId="Heading1">
    <w:name w:val="heading 1"/>
    <w:basedOn w:val="Normal"/>
    <w:next w:val="BodyText"/>
    <w:link w:val="Heading1Char"/>
    <w:uiPriority w:val="99"/>
    <w:qFormat/>
    <w:rsid w:val="00345816"/>
    <w:pPr>
      <w:keepNext/>
      <w:tabs>
        <w:tab w:val="left" w:pos="540"/>
      </w:tabs>
      <w:spacing w:after="12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tabs>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semiHidden/>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2enspsubgroup1"/>
    <w:link w:val="5ensptotalChar"/>
    <w:rsid w:val="003811A9"/>
    <w:pPr>
      <w:spacing w:before="20" w:after="20"/>
      <w:ind w:left="850"/>
    </w:pPr>
  </w:style>
  <w:style w:type="paragraph" w:customStyle="1" w:styleId="tabletitle-continued">
    <w:name w:val="table title - continued"/>
    <w:basedOn w:val="TableTitle"/>
    <w:rsid w:val="003811A9"/>
  </w:style>
  <w:style w:type="paragraph" w:customStyle="1" w:styleId="TableTitle">
    <w:name w:val="Table Title"/>
    <w:basedOn w:val="Normal"/>
    <w:link w:val="TableTitleChar"/>
    <w:qFormat/>
    <w:rsid w:val="003811A9"/>
    <w:pPr>
      <w:keepNext/>
      <w:tabs>
        <w:tab w:val="left" w:pos="3420"/>
      </w:tabs>
      <w:spacing w:before="240" w:after="120" w:line="253" w:lineRule="atLeast"/>
      <w:ind w:left="900" w:hanging="900"/>
    </w:pPr>
    <w:rPr>
      <w:rFonts w:ascii="Arial" w:eastAsia="MS Mincho" w:hAnsi="Arial"/>
      <w:b/>
      <w:kern w:val="2"/>
      <w:sz w:val="20"/>
    </w:rPr>
  </w:style>
  <w:style w:type="character" w:customStyle="1" w:styleId="TableTitleChar">
    <w:name w:val="Table Title Char"/>
    <w:basedOn w:val="DefaultParagraphFont"/>
    <w:link w:val="TableTitle"/>
    <w:locked/>
    <w:rsid w:val="002D24EF"/>
    <w:rPr>
      <w:rFonts w:ascii="Arial" w:eastAsia="MS Mincho" w:hAnsi="Arial"/>
      <w:b/>
      <w:kern w:val="2"/>
      <w:sz w:val="20"/>
      <w:szCs w:val="20"/>
    </w:rPr>
  </w:style>
  <w:style w:type="paragraph" w:styleId="TOC1">
    <w:name w:val="toc 1"/>
    <w:basedOn w:val="Normal"/>
    <w:next w:val="Normal"/>
    <w:autoRedefine/>
    <w:uiPriority w:val="39"/>
    <w:qFormat/>
    <w:rsid w:val="00A01934"/>
    <w:pPr>
      <w:tabs>
        <w:tab w:val="right" w:leader="dot" w:pos="10224"/>
      </w:tabs>
      <w:spacing w:before="240" w:after="120" w:line="320" w:lineRule="atLeast"/>
      <w:ind w:left="360" w:right="778" w:hanging="360"/>
    </w:pPr>
    <w:rPr>
      <w:rFonts w:cs="Arial"/>
      <w:b/>
      <w:bCs/>
      <w:noProof/>
    </w:rPr>
  </w:style>
  <w:style w:type="paragraph" w:styleId="TOC2">
    <w:name w:val="toc 2"/>
    <w:basedOn w:val="Normal"/>
    <w:next w:val="Normal"/>
    <w:autoRedefine/>
    <w:uiPriority w:val="39"/>
    <w:qFormat/>
    <w:rsid w:val="00A01934"/>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A01934"/>
    <w:pPr>
      <w:tabs>
        <w:tab w:val="right" w:leader="dot" w:pos="10224"/>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39"/>
    <w:rsid w:val="00835A08"/>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4"/>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3811A9"/>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semiHidden/>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F33D5B"/>
    <w:pPr>
      <w:keepNext/>
      <w:spacing w:before="2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text">
    <w:name w:val="Table text"/>
    <w:basedOn w:val="Normal"/>
    <w:link w:val="TabletextChar"/>
    <w:rsid w:val="003811A9"/>
    <w:pPr>
      <w:keepNext/>
      <w:spacing w:before="10" w:after="10"/>
      <w:ind w:left="317" w:hanging="317"/>
    </w:pPr>
    <w:rPr>
      <w:rFonts w:ascii="Arial" w:hAnsi="Arial"/>
      <w:sz w:val="20"/>
    </w:rPr>
  </w:style>
  <w:style w:type="character" w:customStyle="1" w:styleId="TabletextChar">
    <w:name w:val="Table text Char"/>
    <w:basedOn w:val="DefaultParagraphFont"/>
    <w:link w:val="Tabletext"/>
    <w:locked/>
    <w:rsid w:val="009C0354"/>
    <w:rPr>
      <w:rFonts w:ascii="Arial" w:hAnsi="Arial"/>
      <w:sz w:val="20"/>
      <w:szCs w:val="20"/>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2enspsubgroup1">
    <w:name w:val="2 en sp (subgroup 1)"/>
    <w:basedOn w:val="Tabletext"/>
    <w:link w:val="2enspsubgroup1Char"/>
    <w:rsid w:val="003811A9"/>
    <w:pPr>
      <w:ind w:left="576" w:hanging="346"/>
    </w:pPr>
    <w:rPr>
      <w:kern w:val="2"/>
    </w:rPr>
  </w:style>
  <w:style w:type="paragraph" w:customStyle="1" w:styleId="4enspsubgroup2">
    <w:name w:val="4 en sp (subgroup 2)"/>
    <w:basedOn w:val="2enspsubgroup1"/>
    <w:rsid w:val="003811A9"/>
    <w:pPr>
      <w:ind w:left="794"/>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rsid w:val="003811A9"/>
    <w:pPr>
      <w:ind w:left="1019"/>
    </w:pPr>
  </w:style>
  <w:style w:type="paragraph" w:customStyle="1" w:styleId="AppendixTitle">
    <w:name w:val="Appendix Title"/>
    <w:basedOn w:val="Heading1"/>
    <w:link w:val="AppendixTitleChar"/>
    <w:uiPriority w:val="99"/>
    <w:rsid w:val="00593CCC"/>
    <w:p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styleId="TOCHeading">
    <w:name w:val="TOC Heading"/>
    <w:basedOn w:val="Heading1"/>
    <w:uiPriority w:val="39"/>
    <w:qFormat/>
    <w:rsid w:val="001A6C33"/>
    <w:pPr>
      <w:keepNext w:val="0"/>
      <w:tabs>
        <w:tab w:val="clear" w:pos="540"/>
      </w:tabs>
      <w:spacing w:after="360"/>
      <w:outlineLvl w:val="9"/>
    </w:pPr>
    <w:rPr>
      <w:sz w:val="32"/>
    </w:rPr>
  </w:style>
  <w:style w:type="paragraph" w:customStyle="1" w:styleId="3ensptotalnosubgroup">
    <w:name w:val="3 en sp (total no subgroup)"/>
    <w:basedOn w:val="4enspsubgroup2"/>
    <w:rsid w:val="003811A9"/>
    <w:pPr>
      <w:ind w:left="677"/>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3811A9"/>
    <w:pPr>
      <w:spacing w:before="60" w:after="60"/>
      <w:ind w:left="0" w:firstLine="0"/>
      <w:jc w:val="right"/>
    </w:pPr>
    <w:rPr>
      <w:rFonts w:eastAsia="Calibri"/>
    </w:rPr>
  </w:style>
  <w:style w:type="character" w:customStyle="1" w:styleId="TableheadingChar">
    <w:name w:val="Table heading Char"/>
    <w:basedOn w:val="TabletextChar"/>
    <w:link w:val="Tableheading"/>
    <w:uiPriority w:val="99"/>
    <w:locked/>
    <w:rsid w:val="00EF1FA4"/>
    <w:rPr>
      <w:rFonts w:ascii="Arial" w:eastAsia="Calibri" w:hAnsi="Arial"/>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tabs>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7"/>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3811A9"/>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3811A9"/>
    <w:pPr>
      <w:keepNext/>
      <w:spacing w:before="10" w:after="10"/>
      <w:jc w:val="right"/>
    </w:pPr>
    <w:rPr>
      <w:rFonts w:ascii="Arial" w:hAnsi="Arial" w:cs="Arial"/>
      <w:snapToGrid w:val="0"/>
      <w:sz w:val="20"/>
      <w:szCs w:val="20"/>
    </w:rPr>
  </w:style>
  <w:style w:type="character" w:customStyle="1" w:styleId="2enspsubgroup1Char">
    <w:name w:val="2 en sp (subgroup 1) Char"/>
    <w:basedOn w:val="TabletextChar"/>
    <w:link w:val="2enspsubgroup1"/>
    <w:locked/>
    <w:rsid w:val="00232D77"/>
    <w:rPr>
      <w:rFonts w:ascii="Arial" w:hAnsi="Arial"/>
      <w:kern w:val="2"/>
      <w:sz w:val="20"/>
      <w:szCs w:val="20"/>
    </w:rPr>
  </w:style>
  <w:style w:type="character" w:customStyle="1" w:styleId="5ensptotalChar">
    <w:name w:val="5 en sp (total) Char"/>
    <w:basedOn w:val="2enspsubgroup1Char"/>
    <w:link w:val="5ensptotal"/>
    <w:locked/>
    <w:rsid w:val="00232D77"/>
    <w:rPr>
      <w:rFonts w:ascii="Arial" w:hAnsi="Arial"/>
      <w:kern w:val="2"/>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99"/>
    <w:qFormat/>
    <w:rsid w:val="00554EC2"/>
    <w:pPr>
      <w:ind w:left="720"/>
    </w:pPr>
    <w:rPr>
      <w:rFonts w:ascii="Calibri" w:hAnsi="Calibri" w:cs="Arial"/>
      <w:sz w:val="20"/>
    </w:rPr>
  </w:style>
  <w:style w:type="paragraph" w:customStyle="1" w:styleId="ESHeading1">
    <w:name w:val="ES Heading 1"/>
    <w:basedOn w:val="Heading1"/>
    <w:uiPriority w:val="99"/>
    <w:rsid w:val="00232B72"/>
    <w:p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character" w:customStyle="1" w:styleId="apple-style-span">
    <w:name w:val="apple-style-span"/>
    <w:basedOn w:val="DefaultParagraphFont"/>
    <w:rsid w:val="00347B1A"/>
  </w:style>
  <w:style w:type="paragraph" w:customStyle="1" w:styleId="Source-8pt">
    <w:name w:val="Source - 8pt"/>
    <w:basedOn w:val="Normal"/>
    <w:qFormat/>
    <w:rsid w:val="003811A9"/>
    <w:rPr>
      <w:rFonts w:ascii="Arial" w:hAnsi="Arial"/>
      <w:sz w:val="16"/>
      <w:szCs w:val="16"/>
    </w:rPr>
  </w:style>
  <w:style w:type="paragraph" w:customStyle="1" w:styleId="Source-last">
    <w:name w:val="Source - last"/>
    <w:basedOn w:val="Normal"/>
    <w:qFormat/>
    <w:rsid w:val="003811A9"/>
    <w:pPr>
      <w:spacing w:after="240"/>
    </w:pPr>
    <w:rPr>
      <w:rFonts w:ascii="Arial" w:hAnsi="Arial"/>
      <w:sz w:val="18"/>
      <w:szCs w:val="16"/>
    </w:rPr>
  </w:style>
  <w:style w:type="paragraph" w:customStyle="1" w:styleId="Tableheadingcentered">
    <w:name w:val="Table heading centered"/>
    <w:basedOn w:val="Tabletext"/>
    <w:uiPriority w:val="99"/>
    <w:rsid w:val="003811A9"/>
    <w:pPr>
      <w:ind w:left="0" w:firstLine="0"/>
      <w:jc w:val="center"/>
    </w:pPr>
  </w:style>
</w:styles>
</file>

<file path=word/webSettings.xml><?xml version="1.0" encoding="utf-8"?>
<w:webSettings xmlns:r="http://schemas.openxmlformats.org/officeDocument/2006/relationships" xmlns:w="http://schemas.openxmlformats.org/wordprocessingml/2006/main">
  <w:divs>
    <w:div w:id="225846545">
      <w:marLeft w:val="0"/>
      <w:marRight w:val="0"/>
      <w:marTop w:val="0"/>
      <w:marBottom w:val="0"/>
      <w:divBdr>
        <w:top w:val="none" w:sz="0" w:space="0" w:color="auto"/>
        <w:left w:val="none" w:sz="0" w:space="0" w:color="auto"/>
        <w:bottom w:val="none" w:sz="0" w:space="0" w:color="auto"/>
        <w:right w:val="none" w:sz="0" w:space="0" w:color="auto"/>
      </w:divBdr>
    </w:div>
    <w:div w:id="225846546">
      <w:marLeft w:val="0"/>
      <w:marRight w:val="0"/>
      <w:marTop w:val="0"/>
      <w:marBottom w:val="0"/>
      <w:divBdr>
        <w:top w:val="none" w:sz="0" w:space="0" w:color="auto"/>
        <w:left w:val="none" w:sz="0" w:space="0" w:color="auto"/>
        <w:bottom w:val="none" w:sz="0" w:space="0" w:color="auto"/>
        <w:right w:val="none" w:sz="0" w:space="0" w:color="auto"/>
      </w:divBdr>
    </w:div>
    <w:div w:id="225846547">
      <w:marLeft w:val="0"/>
      <w:marRight w:val="0"/>
      <w:marTop w:val="0"/>
      <w:marBottom w:val="0"/>
      <w:divBdr>
        <w:top w:val="none" w:sz="0" w:space="0" w:color="auto"/>
        <w:left w:val="none" w:sz="0" w:space="0" w:color="auto"/>
        <w:bottom w:val="none" w:sz="0" w:space="0" w:color="auto"/>
        <w:right w:val="none" w:sz="0" w:space="0" w:color="auto"/>
      </w:divBdr>
    </w:div>
    <w:div w:id="225846549">
      <w:marLeft w:val="0"/>
      <w:marRight w:val="0"/>
      <w:marTop w:val="0"/>
      <w:marBottom w:val="0"/>
      <w:divBdr>
        <w:top w:val="none" w:sz="0" w:space="0" w:color="auto"/>
        <w:left w:val="none" w:sz="0" w:space="0" w:color="auto"/>
        <w:bottom w:val="none" w:sz="0" w:space="0" w:color="auto"/>
        <w:right w:val="none" w:sz="0" w:space="0" w:color="auto"/>
      </w:divBdr>
    </w:div>
    <w:div w:id="225846552">
      <w:marLeft w:val="0"/>
      <w:marRight w:val="0"/>
      <w:marTop w:val="0"/>
      <w:marBottom w:val="0"/>
      <w:divBdr>
        <w:top w:val="none" w:sz="0" w:space="0" w:color="auto"/>
        <w:left w:val="none" w:sz="0" w:space="0" w:color="auto"/>
        <w:bottom w:val="none" w:sz="0" w:space="0" w:color="auto"/>
        <w:right w:val="none" w:sz="0" w:space="0" w:color="auto"/>
      </w:divBdr>
    </w:div>
    <w:div w:id="225846553">
      <w:marLeft w:val="0"/>
      <w:marRight w:val="0"/>
      <w:marTop w:val="0"/>
      <w:marBottom w:val="0"/>
      <w:divBdr>
        <w:top w:val="none" w:sz="0" w:space="0" w:color="auto"/>
        <w:left w:val="none" w:sz="0" w:space="0" w:color="auto"/>
        <w:bottom w:val="none" w:sz="0" w:space="0" w:color="auto"/>
        <w:right w:val="none" w:sz="0" w:space="0" w:color="auto"/>
      </w:divBdr>
    </w:div>
    <w:div w:id="225846554">
      <w:marLeft w:val="0"/>
      <w:marRight w:val="0"/>
      <w:marTop w:val="0"/>
      <w:marBottom w:val="0"/>
      <w:divBdr>
        <w:top w:val="none" w:sz="0" w:space="0" w:color="auto"/>
        <w:left w:val="none" w:sz="0" w:space="0" w:color="auto"/>
        <w:bottom w:val="none" w:sz="0" w:space="0" w:color="auto"/>
        <w:right w:val="none" w:sz="0" w:space="0" w:color="auto"/>
      </w:divBdr>
    </w:div>
    <w:div w:id="225846555">
      <w:marLeft w:val="0"/>
      <w:marRight w:val="0"/>
      <w:marTop w:val="0"/>
      <w:marBottom w:val="0"/>
      <w:divBdr>
        <w:top w:val="none" w:sz="0" w:space="0" w:color="auto"/>
        <w:left w:val="none" w:sz="0" w:space="0" w:color="auto"/>
        <w:bottom w:val="none" w:sz="0" w:space="0" w:color="auto"/>
        <w:right w:val="none" w:sz="0" w:space="0" w:color="auto"/>
      </w:divBdr>
    </w:div>
    <w:div w:id="225846556">
      <w:marLeft w:val="0"/>
      <w:marRight w:val="0"/>
      <w:marTop w:val="0"/>
      <w:marBottom w:val="0"/>
      <w:divBdr>
        <w:top w:val="none" w:sz="0" w:space="0" w:color="auto"/>
        <w:left w:val="none" w:sz="0" w:space="0" w:color="auto"/>
        <w:bottom w:val="none" w:sz="0" w:space="0" w:color="auto"/>
        <w:right w:val="none" w:sz="0" w:space="0" w:color="auto"/>
      </w:divBdr>
    </w:div>
    <w:div w:id="225846557">
      <w:marLeft w:val="0"/>
      <w:marRight w:val="0"/>
      <w:marTop w:val="0"/>
      <w:marBottom w:val="0"/>
      <w:divBdr>
        <w:top w:val="none" w:sz="0" w:space="0" w:color="auto"/>
        <w:left w:val="none" w:sz="0" w:space="0" w:color="auto"/>
        <w:bottom w:val="none" w:sz="0" w:space="0" w:color="auto"/>
        <w:right w:val="none" w:sz="0" w:space="0" w:color="auto"/>
      </w:divBdr>
    </w:div>
    <w:div w:id="225846559">
      <w:marLeft w:val="0"/>
      <w:marRight w:val="0"/>
      <w:marTop w:val="0"/>
      <w:marBottom w:val="0"/>
      <w:divBdr>
        <w:top w:val="none" w:sz="0" w:space="0" w:color="auto"/>
        <w:left w:val="none" w:sz="0" w:space="0" w:color="auto"/>
        <w:bottom w:val="none" w:sz="0" w:space="0" w:color="auto"/>
        <w:right w:val="none" w:sz="0" w:space="0" w:color="auto"/>
      </w:divBdr>
      <w:divsChild>
        <w:div w:id="225846558">
          <w:marLeft w:val="0"/>
          <w:marRight w:val="0"/>
          <w:marTop w:val="0"/>
          <w:marBottom w:val="0"/>
          <w:divBdr>
            <w:top w:val="none" w:sz="0" w:space="0" w:color="auto"/>
            <w:left w:val="none" w:sz="0" w:space="0" w:color="auto"/>
            <w:bottom w:val="none" w:sz="0" w:space="0" w:color="auto"/>
            <w:right w:val="none" w:sz="0" w:space="0" w:color="auto"/>
          </w:divBdr>
        </w:div>
      </w:divsChild>
    </w:div>
    <w:div w:id="225846560">
      <w:marLeft w:val="0"/>
      <w:marRight w:val="0"/>
      <w:marTop w:val="0"/>
      <w:marBottom w:val="0"/>
      <w:divBdr>
        <w:top w:val="none" w:sz="0" w:space="0" w:color="auto"/>
        <w:left w:val="none" w:sz="0" w:space="0" w:color="auto"/>
        <w:bottom w:val="none" w:sz="0" w:space="0" w:color="auto"/>
        <w:right w:val="none" w:sz="0" w:space="0" w:color="auto"/>
      </w:divBdr>
    </w:div>
    <w:div w:id="225846562">
      <w:marLeft w:val="0"/>
      <w:marRight w:val="0"/>
      <w:marTop w:val="0"/>
      <w:marBottom w:val="0"/>
      <w:divBdr>
        <w:top w:val="none" w:sz="0" w:space="0" w:color="auto"/>
        <w:left w:val="none" w:sz="0" w:space="0" w:color="auto"/>
        <w:bottom w:val="none" w:sz="0" w:space="0" w:color="auto"/>
        <w:right w:val="none" w:sz="0" w:space="0" w:color="auto"/>
      </w:divBdr>
      <w:divsChild>
        <w:div w:id="225846561">
          <w:marLeft w:val="0"/>
          <w:marRight w:val="0"/>
          <w:marTop w:val="0"/>
          <w:marBottom w:val="0"/>
          <w:divBdr>
            <w:top w:val="none" w:sz="0" w:space="0" w:color="auto"/>
            <w:left w:val="none" w:sz="0" w:space="0" w:color="auto"/>
            <w:bottom w:val="none" w:sz="0" w:space="0" w:color="auto"/>
            <w:right w:val="none" w:sz="0" w:space="0" w:color="auto"/>
          </w:divBdr>
        </w:div>
      </w:divsChild>
    </w:div>
    <w:div w:id="225846563">
      <w:marLeft w:val="0"/>
      <w:marRight w:val="0"/>
      <w:marTop w:val="0"/>
      <w:marBottom w:val="0"/>
      <w:divBdr>
        <w:top w:val="none" w:sz="0" w:space="0" w:color="auto"/>
        <w:left w:val="none" w:sz="0" w:space="0" w:color="auto"/>
        <w:bottom w:val="none" w:sz="0" w:space="0" w:color="auto"/>
        <w:right w:val="none" w:sz="0" w:space="0" w:color="auto"/>
      </w:divBdr>
    </w:div>
    <w:div w:id="225846564">
      <w:marLeft w:val="0"/>
      <w:marRight w:val="0"/>
      <w:marTop w:val="0"/>
      <w:marBottom w:val="0"/>
      <w:divBdr>
        <w:top w:val="none" w:sz="0" w:space="0" w:color="auto"/>
        <w:left w:val="none" w:sz="0" w:space="0" w:color="auto"/>
        <w:bottom w:val="none" w:sz="0" w:space="0" w:color="auto"/>
        <w:right w:val="none" w:sz="0" w:space="0" w:color="auto"/>
      </w:divBdr>
    </w:div>
    <w:div w:id="225846565">
      <w:marLeft w:val="0"/>
      <w:marRight w:val="0"/>
      <w:marTop w:val="0"/>
      <w:marBottom w:val="0"/>
      <w:divBdr>
        <w:top w:val="none" w:sz="0" w:space="0" w:color="auto"/>
        <w:left w:val="none" w:sz="0" w:space="0" w:color="auto"/>
        <w:bottom w:val="none" w:sz="0" w:space="0" w:color="auto"/>
        <w:right w:val="none" w:sz="0" w:space="0" w:color="auto"/>
      </w:divBdr>
    </w:div>
    <w:div w:id="225846566">
      <w:marLeft w:val="0"/>
      <w:marRight w:val="0"/>
      <w:marTop w:val="0"/>
      <w:marBottom w:val="0"/>
      <w:divBdr>
        <w:top w:val="none" w:sz="0" w:space="0" w:color="auto"/>
        <w:left w:val="none" w:sz="0" w:space="0" w:color="auto"/>
        <w:bottom w:val="none" w:sz="0" w:space="0" w:color="auto"/>
        <w:right w:val="none" w:sz="0" w:space="0" w:color="auto"/>
      </w:divBdr>
    </w:div>
    <w:div w:id="225846567">
      <w:marLeft w:val="0"/>
      <w:marRight w:val="0"/>
      <w:marTop w:val="0"/>
      <w:marBottom w:val="0"/>
      <w:divBdr>
        <w:top w:val="none" w:sz="0" w:space="0" w:color="auto"/>
        <w:left w:val="none" w:sz="0" w:space="0" w:color="auto"/>
        <w:bottom w:val="none" w:sz="0" w:space="0" w:color="auto"/>
        <w:right w:val="none" w:sz="0" w:space="0" w:color="auto"/>
      </w:divBdr>
    </w:div>
    <w:div w:id="225846568">
      <w:marLeft w:val="0"/>
      <w:marRight w:val="0"/>
      <w:marTop w:val="0"/>
      <w:marBottom w:val="0"/>
      <w:divBdr>
        <w:top w:val="none" w:sz="0" w:space="0" w:color="auto"/>
        <w:left w:val="none" w:sz="0" w:space="0" w:color="auto"/>
        <w:bottom w:val="none" w:sz="0" w:space="0" w:color="auto"/>
        <w:right w:val="none" w:sz="0" w:space="0" w:color="auto"/>
      </w:divBdr>
    </w:div>
    <w:div w:id="225846569">
      <w:marLeft w:val="0"/>
      <w:marRight w:val="0"/>
      <w:marTop w:val="0"/>
      <w:marBottom w:val="0"/>
      <w:divBdr>
        <w:top w:val="none" w:sz="0" w:space="0" w:color="auto"/>
        <w:left w:val="none" w:sz="0" w:space="0" w:color="auto"/>
        <w:bottom w:val="none" w:sz="0" w:space="0" w:color="auto"/>
        <w:right w:val="none" w:sz="0" w:space="0" w:color="auto"/>
      </w:divBdr>
    </w:div>
    <w:div w:id="225846570">
      <w:marLeft w:val="0"/>
      <w:marRight w:val="0"/>
      <w:marTop w:val="0"/>
      <w:marBottom w:val="0"/>
      <w:divBdr>
        <w:top w:val="none" w:sz="0" w:space="0" w:color="auto"/>
        <w:left w:val="none" w:sz="0" w:space="0" w:color="auto"/>
        <w:bottom w:val="none" w:sz="0" w:space="0" w:color="auto"/>
        <w:right w:val="none" w:sz="0" w:space="0" w:color="auto"/>
      </w:divBdr>
    </w:div>
    <w:div w:id="225846571">
      <w:marLeft w:val="0"/>
      <w:marRight w:val="0"/>
      <w:marTop w:val="0"/>
      <w:marBottom w:val="0"/>
      <w:divBdr>
        <w:top w:val="none" w:sz="0" w:space="0" w:color="auto"/>
        <w:left w:val="none" w:sz="0" w:space="0" w:color="auto"/>
        <w:bottom w:val="none" w:sz="0" w:space="0" w:color="auto"/>
        <w:right w:val="none" w:sz="0" w:space="0" w:color="auto"/>
      </w:divBdr>
    </w:div>
    <w:div w:id="225846572">
      <w:marLeft w:val="0"/>
      <w:marRight w:val="0"/>
      <w:marTop w:val="0"/>
      <w:marBottom w:val="0"/>
      <w:divBdr>
        <w:top w:val="none" w:sz="0" w:space="0" w:color="auto"/>
        <w:left w:val="none" w:sz="0" w:space="0" w:color="auto"/>
        <w:bottom w:val="none" w:sz="0" w:space="0" w:color="auto"/>
        <w:right w:val="none" w:sz="0" w:space="0" w:color="auto"/>
      </w:divBdr>
    </w:div>
    <w:div w:id="225846573">
      <w:marLeft w:val="0"/>
      <w:marRight w:val="0"/>
      <w:marTop w:val="0"/>
      <w:marBottom w:val="0"/>
      <w:divBdr>
        <w:top w:val="none" w:sz="0" w:space="0" w:color="auto"/>
        <w:left w:val="none" w:sz="0" w:space="0" w:color="auto"/>
        <w:bottom w:val="none" w:sz="0" w:space="0" w:color="auto"/>
        <w:right w:val="none" w:sz="0" w:space="0" w:color="auto"/>
      </w:divBdr>
    </w:div>
    <w:div w:id="225846574">
      <w:marLeft w:val="0"/>
      <w:marRight w:val="0"/>
      <w:marTop w:val="0"/>
      <w:marBottom w:val="0"/>
      <w:divBdr>
        <w:top w:val="none" w:sz="0" w:space="0" w:color="auto"/>
        <w:left w:val="none" w:sz="0" w:space="0" w:color="auto"/>
        <w:bottom w:val="none" w:sz="0" w:space="0" w:color="auto"/>
        <w:right w:val="none" w:sz="0" w:space="0" w:color="auto"/>
      </w:divBdr>
    </w:div>
    <w:div w:id="225846575">
      <w:marLeft w:val="0"/>
      <w:marRight w:val="0"/>
      <w:marTop w:val="0"/>
      <w:marBottom w:val="0"/>
      <w:divBdr>
        <w:top w:val="none" w:sz="0" w:space="0" w:color="auto"/>
        <w:left w:val="none" w:sz="0" w:space="0" w:color="auto"/>
        <w:bottom w:val="none" w:sz="0" w:space="0" w:color="auto"/>
        <w:right w:val="none" w:sz="0" w:space="0" w:color="auto"/>
      </w:divBdr>
      <w:divsChild>
        <w:div w:id="225846550">
          <w:marLeft w:val="0"/>
          <w:marRight w:val="0"/>
          <w:marTop w:val="0"/>
          <w:marBottom w:val="0"/>
          <w:divBdr>
            <w:top w:val="none" w:sz="0" w:space="0" w:color="auto"/>
            <w:left w:val="none" w:sz="0" w:space="0" w:color="auto"/>
            <w:bottom w:val="none" w:sz="0" w:space="0" w:color="auto"/>
            <w:right w:val="none" w:sz="0" w:space="0" w:color="auto"/>
          </w:divBdr>
          <w:divsChild>
            <w:div w:id="225846544">
              <w:marLeft w:val="0"/>
              <w:marRight w:val="0"/>
              <w:marTop w:val="0"/>
              <w:marBottom w:val="0"/>
              <w:divBdr>
                <w:top w:val="none" w:sz="0" w:space="0" w:color="auto"/>
                <w:left w:val="none" w:sz="0" w:space="0" w:color="auto"/>
                <w:bottom w:val="none" w:sz="0" w:space="0" w:color="auto"/>
                <w:right w:val="none" w:sz="0" w:space="0" w:color="auto"/>
              </w:divBdr>
              <w:divsChild>
                <w:div w:id="225846551">
                  <w:marLeft w:val="0"/>
                  <w:marRight w:val="0"/>
                  <w:marTop w:val="225"/>
                  <w:marBottom w:val="225"/>
                  <w:divBdr>
                    <w:top w:val="none" w:sz="0" w:space="0" w:color="auto"/>
                    <w:left w:val="none" w:sz="0" w:space="0" w:color="auto"/>
                    <w:bottom w:val="none" w:sz="0" w:space="0" w:color="auto"/>
                    <w:right w:val="none" w:sz="0" w:space="0" w:color="auto"/>
                  </w:divBdr>
                  <w:divsChild>
                    <w:div w:id="225846576">
                      <w:marLeft w:val="0"/>
                      <w:marRight w:val="0"/>
                      <w:marTop w:val="0"/>
                      <w:marBottom w:val="0"/>
                      <w:divBdr>
                        <w:top w:val="none" w:sz="0" w:space="0" w:color="auto"/>
                        <w:left w:val="none" w:sz="0" w:space="0" w:color="auto"/>
                        <w:bottom w:val="none" w:sz="0" w:space="0" w:color="auto"/>
                        <w:right w:val="none" w:sz="0" w:space="0" w:color="auto"/>
                      </w:divBdr>
                      <w:divsChild>
                        <w:div w:id="2258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846577">
      <w:marLeft w:val="0"/>
      <w:marRight w:val="0"/>
      <w:marTop w:val="0"/>
      <w:marBottom w:val="0"/>
      <w:divBdr>
        <w:top w:val="none" w:sz="0" w:space="0" w:color="auto"/>
        <w:left w:val="none" w:sz="0" w:space="0" w:color="auto"/>
        <w:bottom w:val="none" w:sz="0" w:space="0" w:color="auto"/>
        <w:right w:val="none" w:sz="0" w:space="0" w:color="auto"/>
      </w:divBdr>
    </w:div>
    <w:div w:id="225846578">
      <w:marLeft w:val="0"/>
      <w:marRight w:val="0"/>
      <w:marTop w:val="0"/>
      <w:marBottom w:val="0"/>
      <w:divBdr>
        <w:top w:val="none" w:sz="0" w:space="0" w:color="auto"/>
        <w:left w:val="none" w:sz="0" w:space="0" w:color="auto"/>
        <w:bottom w:val="none" w:sz="0" w:space="0" w:color="auto"/>
        <w:right w:val="none" w:sz="0" w:space="0" w:color="auto"/>
      </w:divBdr>
    </w:div>
    <w:div w:id="225846579">
      <w:marLeft w:val="0"/>
      <w:marRight w:val="0"/>
      <w:marTop w:val="0"/>
      <w:marBottom w:val="0"/>
      <w:divBdr>
        <w:top w:val="none" w:sz="0" w:space="0" w:color="auto"/>
        <w:left w:val="none" w:sz="0" w:space="0" w:color="auto"/>
        <w:bottom w:val="none" w:sz="0" w:space="0" w:color="auto"/>
        <w:right w:val="none" w:sz="0" w:space="0" w:color="auto"/>
      </w:divBdr>
    </w:div>
    <w:div w:id="225846580">
      <w:marLeft w:val="0"/>
      <w:marRight w:val="0"/>
      <w:marTop w:val="0"/>
      <w:marBottom w:val="0"/>
      <w:divBdr>
        <w:top w:val="none" w:sz="0" w:space="0" w:color="auto"/>
        <w:left w:val="none" w:sz="0" w:space="0" w:color="auto"/>
        <w:bottom w:val="none" w:sz="0" w:space="0" w:color="auto"/>
        <w:right w:val="none" w:sz="0" w:space="0" w:color="auto"/>
      </w:divBdr>
    </w:div>
    <w:div w:id="225846582">
      <w:marLeft w:val="0"/>
      <w:marRight w:val="0"/>
      <w:marTop w:val="0"/>
      <w:marBottom w:val="0"/>
      <w:divBdr>
        <w:top w:val="none" w:sz="0" w:space="0" w:color="auto"/>
        <w:left w:val="none" w:sz="0" w:space="0" w:color="auto"/>
        <w:bottom w:val="none" w:sz="0" w:space="0" w:color="auto"/>
        <w:right w:val="none" w:sz="0" w:space="0" w:color="auto"/>
      </w:divBdr>
    </w:div>
    <w:div w:id="225846583">
      <w:marLeft w:val="0"/>
      <w:marRight w:val="0"/>
      <w:marTop w:val="0"/>
      <w:marBottom w:val="0"/>
      <w:divBdr>
        <w:top w:val="none" w:sz="0" w:space="0" w:color="auto"/>
        <w:left w:val="none" w:sz="0" w:space="0" w:color="auto"/>
        <w:bottom w:val="none" w:sz="0" w:space="0" w:color="auto"/>
        <w:right w:val="none" w:sz="0" w:space="0" w:color="auto"/>
      </w:divBdr>
    </w:div>
    <w:div w:id="225846584">
      <w:marLeft w:val="0"/>
      <w:marRight w:val="0"/>
      <w:marTop w:val="0"/>
      <w:marBottom w:val="0"/>
      <w:divBdr>
        <w:top w:val="none" w:sz="0" w:space="0" w:color="auto"/>
        <w:left w:val="none" w:sz="0" w:space="0" w:color="auto"/>
        <w:bottom w:val="none" w:sz="0" w:space="0" w:color="auto"/>
        <w:right w:val="none" w:sz="0" w:space="0" w:color="auto"/>
      </w:divBdr>
    </w:div>
    <w:div w:id="225846586">
      <w:marLeft w:val="0"/>
      <w:marRight w:val="0"/>
      <w:marTop w:val="0"/>
      <w:marBottom w:val="0"/>
      <w:divBdr>
        <w:top w:val="none" w:sz="0" w:space="0" w:color="auto"/>
        <w:left w:val="none" w:sz="0" w:space="0" w:color="auto"/>
        <w:bottom w:val="none" w:sz="0" w:space="0" w:color="auto"/>
        <w:right w:val="none" w:sz="0" w:space="0" w:color="auto"/>
      </w:divBdr>
    </w:div>
    <w:div w:id="225846589">
      <w:marLeft w:val="0"/>
      <w:marRight w:val="0"/>
      <w:marTop w:val="0"/>
      <w:marBottom w:val="0"/>
      <w:divBdr>
        <w:top w:val="none" w:sz="0" w:space="0" w:color="auto"/>
        <w:left w:val="none" w:sz="0" w:space="0" w:color="auto"/>
        <w:bottom w:val="none" w:sz="0" w:space="0" w:color="auto"/>
        <w:right w:val="none" w:sz="0" w:space="0" w:color="auto"/>
      </w:divBdr>
    </w:div>
    <w:div w:id="225846590">
      <w:marLeft w:val="0"/>
      <w:marRight w:val="0"/>
      <w:marTop w:val="0"/>
      <w:marBottom w:val="0"/>
      <w:divBdr>
        <w:top w:val="none" w:sz="0" w:space="0" w:color="auto"/>
        <w:left w:val="none" w:sz="0" w:space="0" w:color="auto"/>
        <w:bottom w:val="none" w:sz="0" w:space="0" w:color="auto"/>
        <w:right w:val="none" w:sz="0" w:space="0" w:color="auto"/>
      </w:divBdr>
    </w:div>
    <w:div w:id="225846591">
      <w:marLeft w:val="0"/>
      <w:marRight w:val="0"/>
      <w:marTop w:val="0"/>
      <w:marBottom w:val="0"/>
      <w:divBdr>
        <w:top w:val="none" w:sz="0" w:space="0" w:color="auto"/>
        <w:left w:val="none" w:sz="0" w:space="0" w:color="auto"/>
        <w:bottom w:val="none" w:sz="0" w:space="0" w:color="auto"/>
        <w:right w:val="none" w:sz="0" w:space="0" w:color="auto"/>
      </w:divBdr>
    </w:div>
    <w:div w:id="225846592">
      <w:marLeft w:val="0"/>
      <w:marRight w:val="0"/>
      <w:marTop w:val="0"/>
      <w:marBottom w:val="0"/>
      <w:divBdr>
        <w:top w:val="none" w:sz="0" w:space="0" w:color="auto"/>
        <w:left w:val="none" w:sz="0" w:space="0" w:color="auto"/>
        <w:bottom w:val="none" w:sz="0" w:space="0" w:color="auto"/>
        <w:right w:val="none" w:sz="0" w:space="0" w:color="auto"/>
      </w:divBdr>
    </w:div>
    <w:div w:id="225846593">
      <w:marLeft w:val="0"/>
      <w:marRight w:val="0"/>
      <w:marTop w:val="0"/>
      <w:marBottom w:val="0"/>
      <w:divBdr>
        <w:top w:val="none" w:sz="0" w:space="0" w:color="auto"/>
        <w:left w:val="none" w:sz="0" w:space="0" w:color="auto"/>
        <w:bottom w:val="none" w:sz="0" w:space="0" w:color="auto"/>
        <w:right w:val="none" w:sz="0" w:space="0" w:color="auto"/>
      </w:divBdr>
    </w:div>
    <w:div w:id="225846594">
      <w:marLeft w:val="0"/>
      <w:marRight w:val="0"/>
      <w:marTop w:val="0"/>
      <w:marBottom w:val="0"/>
      <w:divBdr>
        <w:top w:val="none" w:sz="0" w:space="0" w:color="auto"/>
        <w:left w:val="none" w:sz="0" w:space="0" w:color="auto"/>
        <w:bottom w:val="none" w:sz="0" w:space="0" w:color="auto"/>
        <w:right w:val="none" w:sz="0" w:space="0" w:color="auto"/>
      </w:divBdr>
    </w:div>
    <w:div w:id="225846596">
      <w:marLeft w:val="0"/>
      <w:marRight w:val="0"/>
      <w:marTop w:val="0"/>
      <w:marBottom w:val="0"/>
      <w:divBdr>
        <w:top w:val="none" w:sz="0" w:space="0" w:color="auto"/>
        <w:left w:val="none" w:sz="0" w:space="0" w:color="auto"/>
        <w:bottom w:val="none" w:sz="0" w:space="0" w:color="auto"/>
        <w:right w:val="none" w:sz="0" w:space="0" w:color="auto"/>
      </w:divBdr>
      <w:divsChild>
        <w:div w:id="225846595">
          <w:marLeft w:val="0"/>
          <w:marRight w:val="0"/>
          <w:marTop w:val="0"/>
          <w:marBottom w:val="0"/>
          <w:divBdr>
            <w:top w:val="none" w:sz="0" w:space="0" w:color="auto"/>
            <w:left w:val="none" w:sz="0" w:space="0" w:color="auto"/>
            <w:bottom w:val="none" w:sz="0" w:space="0" w:color="auto"/>
            <w:right w:val="none" w:sz="0" w:space="0" w:color="auto"/>
          </w:divBdr>
        </w:div>
      </w:divsChild>
    </w:div>
    <w:div w:id="225846597">
      <w:marLeft w:val="0"/>
      <w:marRight w:val="0"/>
      <w:marTop w:val="0"/>
      <w:marBottom w:val="0"/>
      <w:divBdr>
        <w:top w:val="none" w:sz="0" w:space="0" w:color="auto"/>
        <w:left w:val="none" w:sz="0" w:space="0" w:color="auto"/>
        <w:bottom w:val="none" w:sz="0" w:space="0" w:color="auto"/>
        <w:right w:val="none" w:sz="0" w:space="0" w:color="auto"/>
      </w:divBdr>
    </w:div>
    <w:div w:id="225846599">
      <w:marLeft w:val="0"/>
      <w:marRight w:val="0"/>
      <w:marTop w:val="0"/>
      <w:marBottom w:val="0"/>
      <w:divBdr>
        <w:top w:val="none" w:sz="0" w:space="0" w:color="auto"/>
        <w:left w:val="none" w:sz="0" w:space="0" w:color="auto"/>
        <w:bottom w:val="none" w:sz="0" w:space="0" w:color="auto"/>
        <w:right w:val="none" w:sz="0" w:space="0" w:color="auto"/>
      </w:divBdr>
      <w:divsChild>
        <w:div w:id="225846598">
          <w:marLeft w:val="0"/>
          <w:marRight w:val="0"/>
          <w:marTop w:val="0"/>
          <w:marBottom w:val="0"/>
          <w:divBdr>
            <w:top w:val="none" w:sz="0" w:space="0" w:color="auto"/>
            <w:left w:val="none" w:sz="0" w:space="0" w:color="auto"/>
            <w:bottom w:val="none" w:sz="0" w:space="0" w:color="auto"/>
            <w:right w:val="none" w:sz="0" w:space="0" w:color="auto"/>
          </w:divBdr>
        </w:div>
      </w:divsChild>
    </w:div>
    <w:div w:id="225846600">
      <w:marLeft w:val="0"/>
      <w:marRight w:val="0"/>
      <w:marTop w:val="0"/>
      <w:marBottom w:val="0"/>
      <w:divBdr>
        <w:top w:val="none" w:sz="0" w:space="0" w:color="auto"/>
        <w:left w:val="none" w:sz="0" w:space="0" w:color="auto"/>
        <w:bottom w:val="none" w:sz="0" w:space="0" w:color="auto"/>
        <w:right w:val="none" w:sz="0" w:space="0" w:color="auto"/>
      </w:divBdr>
    </w:div>
    <w:div w:id="225846601">
      <w:marLeft w:val="0"/>
      <w:marRight w:val="0"/>
      <w:marTop w:val="0"/>
      <w:marBottom w:val="0"/>
      <w:divBdr>
        <w:top w:val="none" w:sz="0" w:space="0" w:color="auto"/>
        <w:left w:val="none" w:sz="0" w:space="0" w:color="auto"/>
        <w:bottom w:val="none" w:sz="0" w:space="0" w:color="auto"/>
        <w:right w:val="none" w:sz="0" w:space="0" w:color="auto"/>
      </w:divBdr>
    </w:div>
    <w:div w:id="225846602">
      <w:marLeft w:val="0"/>
      <w:marRight w:val="0"/>
      <w:marTop w:val="0"/>
      <w:marBottom w:val="0"/>
      <w:divBdr>
        <w:top w:val="none" w:sz="0" w:space="0" w:color="auto"/>
        <w:left w:val="none" w:sz="0" w:space="0" w:color="auto"/>
        <w:bottom w:val="none" w:sz="0" w:space="0" w:color="auto"/>
        <w:right w:val="none" w:sz="0" w:space="0" w:color="auto"/>
      </w:divBdr>
    </w:div>
    <w:div w:id="225846603">
      <w:marLeft w:val="0"/>
      <w:marRight w:val="0"/>
      <w:marTop w:val="0"/>
      <w:marBottom w:val="0"/>
      <w:divBdr>
        <w:top w:val="none" w:sz="0" w:space="0" w:color="auto"/>
        <w:left w:val="none" w:sz="0" w:space="0" w:color="auto"/>
        <w:bottom w:val="none" w:sz="0" w:space="0" w:color="auto"/>
        <w:right w:val="none" w:sz="0" w:space="0" w:color="auto"/>
      </w:divBdr>
    </w:div>
    <w:div w:id="225846604">
      <w:marLeft w:val="0"/>
      <w:marRight w:val="0"/>
      <w:marTop w:val="0"/>
      <w:marBottom w:val="0"/>
      <w:divBdr>
        <w:top w:val="none" w:sz="0" w:space="0" w:color="auto"/>
        <w:left w:val="none" w:sz="0" w:space="0" w:color="auto"/>
        <w:bottom w:val="none" w:sz="0" w:space="0" w:color="auto"/>
        <w:right w:val="none" w:sz="0" w:space="0" w:color="auto"/>
      </w:divBdr>
    </w:div>
    <w:div w:id="225846605">
      <w:marLeft w:val="0"/>
      <w:marRight w:val="0"/>
      <w:marTop w:val="0"/>
      <w:marBottom w:val="0"/>
      <w:divBdr>
        <w:top w:val="none" w:sz="0" w:space="0" w:color="auto"/>
        <w:left w:val="none" w:sz="0" w:space="0" w:color="auto"/>
        <w:bottom w:val="none" w:sz="0" w:space="0" w:color="auto"/>
        <w:right w:val="none" w:sz="0" w:space="0" w:color="auto"/>
      </w:divBdr>
    </w:div>
    <w:div w:id="225846606">
      <w:marLeft w:val="0"/>
      <w:marRight w:val="0"/>
      <w:marTop w:val="0"/>
      <w:marBottom w:val="0"/>
      <w:divBdr>
        <w:top w:val="none" w:sz="0" w:space="0" w:color="auto"/>
        <w:left w:val="none" w:sz="0" w:space="0" w:color="auto"/>
        <w:bottom w:val="none" w:sz="0" w:space="0" w:color="auto"/>
        <w:right w:val="none" w:sz="0" w:space="0" w:color="auto"/>
      </w:divBdr>
    </w:div>
    <w:div w:id="225846607">
      <w:marLeft w:val="0"/>
      <w:marRight w:val="0"/>
      <w:marTop w:val="0"/>
      <w:marBottom w:val="0"/>
      <w:divBdr>
        <w:top w:val="none" w:sz="0" w:space="0" w:color="auto"/>
        <w:left w:val="none" w:sz="0" w:space="0" w:color="auto"/>
        <w:bottom w:val="none" w:sz="0" w:space="0" w:color="auto"/>
        <w:right w:val="none" w:sz="0" w:space="0" w:color="auto"/>
      </w:divBdr>
    </w:div>
    <w:div w:id="225846608">
      <w:marLeft w:val="0"/>
      <w:marRight w:val="0"/>
      <w:marTop w:val="0"/>
      <w:marBottom w:val="0"/>
      <w:divBdr>
        <w:top w:val="none" w:sz="0" w:space="0" w:color="auto"/>
        <w:left w:val="none" w:sz="0" w:space="0" w:color="auto"/>
        <w:bottom w:val="none" w:sz="0" w:space="0" w:color="auto"/>
        <w:right w:val="none" w:sz="0" w:space="0" w:color="auto"/>
      </w:divBdr>
    </w:div>
    <w:div w:id="225846609">
      <w:marLeft w:val="0"/>
      <w:marRight w:val="0"/>
      <w:marTop w:val="0"/>
      <w:marBottom w:val="0"/>
      <w:divBdr>
        <w:top w:val="none" w:sz="0" w:space="0" w:color="auto"/>
        <w:left w:val="none" w:sz="0" w:space="0" w:color="auto"/>
        <w:bottom w:val="none" w:sz="0" w:space="0" w:color="auto"/>
        <w:right w:val="none" w:sz="0" w:space="0" w:color="auto"/>
      </w:divBdr>
    </w:div>
    <w:div w:id="225846610">
      <w:marLeft w:val="0"/>
      <w:marRight w:val="0"/>
      <w:marTop w:val="0"/>
      <w:marBottom w:val="0"/>
      <w:divBdr>
        <w:top w:val="none" w:sz="0" w:space="0" w:color="auto"/>
        <w:left w:val="none" w:sz="0" w:space="0" w:color="auto"/>
        <w:bottom w:val="none" w:sz="0" w:space="0" w:color="auto"/>
        <w:right w:val="none" w:sz="0" w:space="0" w:color="auto"/>
      </w:divBdr>
    </w:div>
    <w:div w:id="225846611">
      <w:marLeft w:val="0"/>
      <w:marRight w:val="0"/>
      <w:marTop w:val="0"/>
      <w:marBottom w:val="0"/>
      <w:divBdr>
        <w:top w:val="none" w:sz="0" w:space="0" w:color="auto"/>
        <w:left w:val="none" w:sz="0" w:space="0" w:color="auto"/>
        <w:bottom w:val="none" w:sz="0" w:space="0" w:color="auto"/>
        <w:right w:val="none" w:sz="0" w:space="0" w:color="auto"/>
      </w:divBdr>
    </w:div>
    <w:div w:id="225846612">
      <w:marLeft w:val="0"/>
      <w:marRight w:val="0"/>
      <w:marTop w:val="0"/>
      <w:marBottom w:val="0"/>
      <w:divBdr>
        <w:top w:val="none" w:sz="0" w:space="0" w:color="auto"/>
        <w:left w:val="none" w:sz="0" w:space="0" w:color="auto"/>
        <w:bottom w:val="none" w:sz="0" w:space="0" w:color="auto"/>
        <w:right w:val="none" w:sz="0" w:space="0" w:color="auto"/>
      </w:divBdr>
      <w:divsChild>
        <w:div w:id="225846587">
          <w:marLeft w:val="0"/>
          <w:marRight w:val="0"/>
          <w:marTop w:val="0"/>
          <w:marBottom w:val="0"/>
          <w:divBdr>
            <w:top w:val="none" w:sz="0" w:space="0" w:color="auto"/>
            <w:left w:val="none" w:sz="0" w:space="0" w:color="auto"/>
            <w:bottom w:val="none" w:sz="0" w:space="0" w:color="auto"/>
            <w:right w:val="none" w:sz="0" w:space="0" w:color="auto"/>
          </w:divBdr>
          <w:divsChild>
            <w:div w:id="225846581">
              <w:marLeft w:val="0"/>
              <w:marRight w:val="0"/>
              <w:marTop w:val="0"/>
              <w:marBottom w:val="0"/>
              <w:divBdr>
                <w:top w:val="none" w:sz="0" w:space="0" w:color="auto"/>
                <w:left w:val="none" w:sz="0" w:space="0" w:color="auto"/>
                <w:bottom w:val="none" w:sz="0" w:space="0" w:color="auto"/>
                <w:right w:val="none" w:sz="0" w:space="0" w:color="auto"/>
              </w:divBdr>
              <w:divsChild>
                <w:div w:id="225846588">
                  <w:marLeft w:val="0"/>
                  <w:marRight w:val="0"/>
                  <w:marTop w:val="225"/>
                  <w:marBottom w:val="225"/>
                  <w:divBdr>
                    <w:top w:val="none" w:sz="0" w:space="0" w:color="auto"/>
                    <w:left w:val="none" w:sz="0" w:space="0" w:color="auto"/>
                    <w:bottom w:val="none" w:sz="0" w:space="0" w:color="auto"/>
                    <w:right w:val="none" w:sz="0" w:space="0" w:color="auto"/>
                  </w:divBdr>
                  <w:divsChild>
                    <w:div w:id="225846613">
                      <w:marLeft w:val="0"/>
                      <w:marRight w:val="0"/>
                      <w:marTop w:val="0"/>
                      <w:marBottom w:val="0"/>
                      <w:divBdr>
                        <w:top w:val="none" w:sz="0" w:space="0" w:color="auto"/>
                        <w:left w:val="none" w:sz="0" w:space="0" w:color="auto"/>
                        <w:bottom w:val="none" w:sz="0" w:space="0" w:color="auto"/>
                        <w:right w:val="none" w:sz="0" w:space="0" w:color="auto"/>
                      </w:divBdr>
                      <w:divsChild>
                        <w:div w:id="2258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846614">
      <w:marLeft w:val="0"/>
      <w:marRight w:val="0"/>
      <w:marTop w:val="0"/>
      <w:marBottom w:val="0"/>
      <w:divBdr>
        <w:top w:val="none" w:sz="0" w:space="0" w:color="auto"/>
        <w:left w:val="none" w:sz="0" w:space="0" w:color="auto"/>
        <w:bottom w:val="none" w:sz="0" w:space="0" w:color="auto"/>
        <w:right w:val="none" w:sz="0" w:space="0" w:color="auto"/>
      </w:divBdr>
    </w:div>
    <w:div w:id="225846615">
      <w:marLeft w:val="0"/>
      <w:marRight w:val="0"/>
      <w:marTop w:val="0"/>
      <w:marBottom w:val="0"/>
      <w:divBdr>
        <w:top w:val="none" w:sz="0" w:space="0" w:color="auto"/>
        <w:left w:val="none" w:sz="0" w:space="0" w:color="auto"/>
        <w:bottom w:val="none" w:sz="0" w:space="0" w:color="auto"/>
        <w:right w:val="none" w:sz="0" w:space="0" w:color="auto"/>
      </w:divBdr>
    </w:div>
    <w:div w:id="225846616">
      <w:marLeft w:val="0"/>
      <w:marRight w:val="0"/>
      <w:marTop w:val="0"/>
      <w:marBottom w:val="0"/>
      <w:divBdr>
        <w:top w:val="none" w:sz="0" w:space="0" w:color="auto"/>
        <w:left w:val="none" w:sz="0" w:space="0" w:color="auto"/>
        <w:bottom w:val="none" w:sz="0" w:space="0" w:color="auto"/>
        <w:right w:val="none" w:sz="0" w:space="0" w:color="auto"/>
      </w:divBdr>
    </w:div>
    <w:div w:id="225846617">
      <w:marLeft w:val="0"/>
      <w:marRight w:val="0"/>
      <w:marTop w:val="0"/>
      <w:marBottom w:val="0"/>
      <w:divBdr>
        <w:top w:val="none" w:sz="0" w:space="0" w:color="auto"/>
        <w:left w:val="none" w:sz="0" w:space="0" w:color="auto"/>
        <w:bottom w:val="none" w:sz="0" w:space="0" w:color="auto"/>
        <w:right w:val="none" w:sz="0" w:space="0" w:color="auto"/>
      </w:divBdr>
    </w:div>
    <w:div w:id="538595344">
      <w:bodyDiv w:val="1"/>
      <w:marLeft w:val="0"/>
      <w:marRight w:val="0"/>
      <w:marTop w:val="0"/>
      <w:marBottom w:val="0"/>
      <w:divBdr>
        <w:top w:val="none" w:sz="0" w:space="0" w:color="auto"/>
        <w:left w:val="none" w:sz="0" w:space="0" w:color="auto"/>
        <w:bottom w:val="none" w:sz="0" w:space="0" w:color="auto"/>
        <w:right w:val="none" w:sz="0" w:space="0" w:color="auto"/>
      </w:divBdr>
    </w:div>
    <w:div w:id="953365135">
      <w:bodyDiv w:val="1"/>
      <w:marLeft w:val="0"/>
      <w:marRight w:val="0"/>
      <w:marTop w:val="0"/>
      <w:marBottom w:val="0"/>
      <w:divBdr>
        <w:top w:val="none" w:sz="0" w:space="0" w:color="auto"/>
        <w:left w:val="none" w:sz="0" w:space="0" w:color="auto"/>
        <w:bottom w:val="none" w:sz="0" w:space="0" w:color="auto"/>
        <w:right w:val="none" w:sz="0" w:space="0" w:color="auto"/>
      </w:divBdr>
    </w:div>
    <w:div w:id="1429038674">
      <w:marLeft w:val="0"/>
      <w:marRight w:val="0"/>
      <w:marTop w:val="0"/>
      <w:marBottom w:val="0"/>
      <w:divBdr>
        <w:top w:val="none" w:sz="0" w:space="0" w:color="auto"/>
        <w:left w:val="none" w:sz="0" w:space="0" w:color="auto"/>
        <w:bottom w:val="none" w:sz="0" w:space="0" w:color="auto"/>
        <w:right w:val="none" w:sz="0" w:space="0" w:color="auto"/>
      </w:divBdr>
    </w:div>
    <w:div w:id="1429038675">
      <w:marLeft w:val="0"/>
      <w:marRight w:val="0"/>
      <w:marTop w:val="0"/>
      <w:marBottom w:val="0"/>
      <w:divBdr>
        <w:top w:val="none" w:sz="0" w:space="0" w:color="auto"/>
        <w:left w:val="none" w:sz="0" w:space="0" w:color="auto"/>
        <w:bottom w:val="none" w:sz="0" w:space="0" w:color="auto"/>
        <w:right w:val="none" w:sz="0" w:space="0" w:color="auto"/>
      </w:divBdr>
    </w:div>
    <w:div w:id="1429038676">
      <w:marLeft w:val="0"/>
      <w:marRight w:val="0"/>
      <w:marTop w:val="0"/>
      <w:marBottom w:val="0"/>
      <w:divBdr>
        <w:top w:val="none" w:sz="0" w:space="0" w:color="auto"/>
        <w:left w:val="none" w:sz="0" w:space="0" w:color="auto"/>
        <w:bottom w:val="none" w:sz="0" w:space="0" w:color="auto"/>
        <w:right w:val="none" w:sz="0" w:space="0" w:color="auto"/>
      </w:divBdr>
    </w:div>
    <w:div w:id="1429038678">
      <w:marLeft w:val="0"/>
      <w:marRight w:val="0"/>
      <w:marTop w:val="0"/>
      <w:marBottom w:val="0"/>
      <w:divBdr>
        <w:top w:val="none" w:sz="0" w:space="0" w:color="auto"/>
        <w:left w:val="none" w:sz="0" w:space="0" w:color="auto"/>
        <w:bottom w:val="none" w:sz="0" w:space="0" w:color="auto"/>
        <w:right w:val="none" w:sz="0" w:space="0" w:color="auto"/>
      </w:divBdr>
    </w:div>
    <w:div w:id="1429038681">
      <w:marLeft w:val="0"/>
      <w:marRight w:val="0"/>
      <w:marTop w:val="0"/>
      <w:marBottom w:val="0"/>
      <w:divBdr>
        <w:top w:val="none" w:sz="0" w:space="0" w:color="auto"/>
        <w:left w:val="none" w:sz="0" w:space="0" w:color="auto"/>
        <w:bottom w:val="none" w:sz="0" w:space="0" w:color="auto"/>
        <w:right w:val="none" w:sz="0" w:space="0" w:color="auto"/>
      </w:divBdr>
    </w:div>
    <w:div w:id="1429038682">
      <w:marLeft w:val="0"/>
      <w:marRight w:val="0"/>
      <w:marTop w:val="0"/>
      <w:marBottom w:val="0"/>
      <w:divBdr>
        <w:top w:val="none" w:sz="0" w:space="0" w:color="auto"/>
        <w:left w:val="none" w:sz="0" w:space="0" w:color="auto"/>
        <w:bottom w:val="none" w:sz="0" w:space="0" w:color="auto"/>
        <w:right w:val="none" w:sz="0" w:space="0" w:color="auto"/>
      </w:divBdr>
    </w:div>
    <w:div w:id="1429038683">
      <w:marLeft w:val="0"/>
      <w:marRight w:val="0"/>
      <w:marTop w:val="0"/>
      <w:marBottom w:val="0"/>
      <w:divBdr>
        <w:top w:val="none" w:sz="0" w:space="0" w:color="auto"/>
        <w:left w:val="none" w:sz="0" w:space="0" w:color="auto"/>
        <w:bottom w:val="none" w:sz="0" w:space="0" w:color="auto"/>
        <w:right w:val="none" w:sz="0" w:space="0" w:color="auto"/>
      </w:divBdr>
    </w:div>
    <w:div w:id="1429038684">
      <w:marLeft w:val="0"/>
      <w:marRight w:val="0"/>
      <w:marTop w:val="0"/>
      <w:marBottom w:val="0"/>
      <w:divBdr>
        <w:top w:val="none" w:sz="0" w:space="0" w:color="auto"/>
        <w:left w:val="none" w:sz="0" w:space="0" w:color="auto"/>
        <w:bottom w:val="none" w:sz="0" w:space="0" w:color="auto"/>
        <w:right w:val="none" w:sz="0" w:space="0" w:color="auto"/>
      </w:divBdr>
    </w:div>
    <w:div w:id="1429038685">
      <w:marLeft w:val="0"/>
      <w:marRight w:val="0"/>
      <w:marTop w:val="0"/>
      <w:marBottom w:val="0"/>
      <w:divBdr>
        <w:top w:val="none" w:sz="0" w:space="0" w:color="auto"/>
        <w:left w:val="none" w:sz="0" w:space="0" w:color="auto"/>
        <w:bottom w:val="none" w:sz="0" w:space="0" w:color="auto"/>
        <w:right w:val="none" w:sz="0" w:space="0" w:color="auto"/>
      </w:divBdr>
    </w:div>
    <w:div w:id="1429038686">
      <w:marLeft w:val="0"/>
      <w:marRight w:val="0"/>
      <w:marTop w:val="0"/>
      <w:marBottom w:val="0"/>
      <w:divBdr>
        <w:top w:val="none" w:sz="0" w:space="0" w:color="auto"/>
        <w:left w:val="none" w:sz="0" w:space="0" w:color="auto"/>
        <w:bottom w:val="none" w:sz="0" w:space="0" w:color="auto"/>
        <w:right w:val="none" w:sz="0" w:space="0" w:color="auto"/>
      </w:divBdr>
    </w:div>
    <w:div w:id="1429038688">
      <w:marLeft w:val="0"/>
      <w:marRight w:val="0"/>
      <w:marTop w:val="0"/>
      <w:marBottom w:val="0"/>
      <w:divBdr>
        <w:top w:val="none" w:sz="0" w:space="0" w:color="auto"/>
        <w:left w:val="none" w:sz="0" w:space="0" w:color="auto"/>
        <w:bottom w:val="none" w:sz="0" w:space="0" w:color="auto"/>
        <w:right w:val="none" w:sz="0" w:space="0" w:color="auto"/>
      </w:divBdr>
      <w:divsChild>
        <w:div w:id="1429038687">
          <w:marLeft w:val="0"/>
          <w:marRight w:val="0"/>
          <w:marTop w:val="0"/>
          <w:marBottom w:val="0"/>
          <w:divBdr>
            <w:top w:val="none" w:sz="0" w:space="0" w:color="auto"/>
            <w:left w:val="none" w:sz="0" w:space="0" w:color="auto"/>
            <w:bottom w:val="none" w:sz="0" w:space="0" w:color="auto"/>
            <w:right w:val="none" w:sz="0" w:space="0" w:color="auto"/>
          </w:divBdr>
        </w:div>
      </w:divsChild>
    </w:div>
    <w:div w:id="1429038689">
      <w:marLeft w:val="0"/>
      <w:marRight w:val="0"/>
      <w:marTop w:val="0"/>
      <w:marBottom w:val="0"/>
      <w:divBdr>
        <w:top w:val="none" w:sz="0" w:space="0" w:color="auto"/>
        <w:left w:val="none" w:sz="0" w:space="0" w:color="auto"/>
        <w:bottom w:val="none" w:sz="0" w:space="0" w:color="auto"/>
        <w:right w:val="none" w:sz="0" w:space="0" w:color="auto"/>
      </w:divBdr>
    </w:div>
    <w:div w:id="1429038691">
      <w:marLeft w:val="0"/>
      <w:marRight w:val="0"/>
      <w:marTop w:val="0"/>
      <w:marBottom w:val="0"/>
      <w:divBdr>
        <w:top w:val="none" w:sz="0" w:space="0" w:color="auto"/>
        <w:left w:val="none" w:sz="0" w:space="0" w:color="auto"/>
        <w:bottom w:val="none" w:sz="0" w:space="0" w:color="auto"/>
        <w:right w:val="none" w:sz="0" w:space="0" w:color="auto"/>
      </w:divBdr>
      <w:divsChild>
        <w:div w:id="1429038690">
          <w:marLeft w:val="0"/>
          <w:marRight w:val="0"/>
          <w:marTop w:val="0"/>
          <w:marBottom w:val="0"/>
          <w:divBdr>
            <w:top w:val="none" w:sz="0" w:space="0" w:color="auto"/>
            <w:left w:val="none" w:sz="0" w:space="0" w:color="auto"/>
            <w:bottom w:val="none" w:sz="0" w:space="0" w:color="auto"/>
            <w:right w:val="none" w:sz="0" w:space="0" w:color="auto"/>
          </w:divBdr>
        </w:div>
      </w:divsChild>
    </w:div>
    <w:div w:id="1429038692">
      <w:marLeft w:val="0"/>
      <w:marRight w:val="0"/>
      <w:marTop w:val="0"/>
      <w:marBottom w:val="0"/>
      <w:divBdr>
        <w:top w:val="none" w:sz="0" w:space="0" w:color="auto"/>
        <w:left w:val="none" w:sz="0" w:space="0" w:color="auto"/>
        <w:bottom w:val="none" w:sz="0" w:space="0" w:color="auto"/>
        <w:right w:val="none" w:sz="0" w:space="0" w:color="auto"/>
      </w:divBdr>
    </w:div>
    <w:div w:id="1429038693">
      <w:marLeft w:val="0"/>
      <w:marRight w:val="0"/>
      <w:marTop w:val="0"/>
      <w:marBottom w:val="0"/>
      <w:divBdr>
        <w:top w:val="none" w:sz="0" w:space="0" w:color="auto"/>
        <w:left w:val="none" w:sz="0" w:space="0" w:color="auto"/>
        <w:bottom w:val="none" w:sz="0" w:space="0" w:color="auto"/>
        <w:right w:val="none" w:sz="0" w:space="0" w:color="auto"/>
      </w:divBdr>
    </w:div>
    <w:div w:id="1429038694">
      <w:marLeft w:val="0"/>
      <w:marRight w:val="0"/>
      <w:marTop w:val="0"/>
      <w:marBottom w:val="0"/>
      <w:divBdr>
        <w:top w:val="none" w:sz="0" w:space="0" w:color="auto"/>
        <w:left w:val="none" w:sz="0" w:space="0" w:color="auto"/>
        <w:bottom w:val="none" w:sz="0" w:space="0" w:color="auto"/>
        <w:right w:val="none" w:sz="0" w:space="0" w:color="auto"/>
      </w:divBdr>
    </w:div>
    <w:div w:id="1429038695">
      <w:marLeft w:val="0"/>
      <w:marRight w:val="0"/>
      <w:marTop w:val="0"/>
      <w:marBottom w:val="0"/>
      <w:divBdr>
        <w:top w:val="none" w:sz="0" w:space="0" w:color="auto"/>
        <w:left w:val="none" w:sz="0" w:space="0" w:color="auto"/>
        <w:bottom w:val="none" w:sz="0" w:space="0" w:color="auto"/>
        <w:right w:val="none" w:sz="0" w:space="0" w:color="auto"/>
      </w:divBdr>
    </w:div>
    <w:div w:id="1429038696">
      <w:marLeft w:val="0"/>
      <w:marRight w:val="0"/>
      <w:marTop w:val="0"/>
      <w:marBottom w:val="0"/>
      <w:divBdr>
        <w:top w:val="none" w:sz="0" w:space="0" w:color="auto"/>
        <w:left w:val="none" w:sz="0" w:space="0" w:color="auto"/>
        <w:bottom w:val="none" w:sz="0" w:space="0" w:color="auto"/>
        <w:right w:val="none" w:sz="0" w:space="0" w:color="auto"/>
      </w:divBdr>
    </w:div>
    <w:div w:id="1429038697">
      <w:marLeft w:val="0"/>
      <w:marRight w:val="0"/>
      <w:marTop w:val="0"/>
      <w:marBottom w:val="0"/>
      <w:divBdr>
        <w:top w:val="none" w:sz="0" w:space="0" w:color="auto"/>
        <w:left w:val="none" w:sz="0" w:space="0" w:color="auto"/>
        <w:bottom w:val="none" w:sz="0" w:space="0" w:color="auto"/>
        <w:right w:val="none" w:sz="0" w:space="0" w:color="auto"/>
      </w:divBdr>
    </w:div>
    <w:div w:id="1429038698">
      <w:marLeft w:val="0"/>
      <w:marRight w:val="0"/>
      <w:marTop w:val="0"/>
      <w:marBottom w:val="0"/>
      <w:divBdr>
        <w:top w:val="none" w:sz="0" w:space="0" w:color="auto"/>
        <w:left w:val="none" w:sz="0" w:space="0" w:color="auto"/>
        <w:bottom w:val="none" w:sz="0" w:space="0" w:color="auto"/>
        <w:right w:val="none" w:sz="0" w:space="0" w:color="auto"/>
      </w:divBdr>
    </w:div>
    <w:div w:id="1429038699">
      <w:marLeft w:val="0"/>
      <w:marRight w:val="0"/>
      <w:marTop w:val="0"/>
      <w:marBottom w:val="0"/>
      <w:divBdr>
        <w:top w:val="none" w:sz="0" w:space="0" w:color="auto"/>
        <w:left w:val="none" w:sz="0" w:space="0" w:color="auto"/>
        <w:bottom w:val="none" w:sz="0" w:space="0" w:color="auto"/>
        <w:right w:val="none" w:sz="0" w:space="0" w:color="auto"/>
      </w:divBdr>
    </w:div>
    <w:div w:id="1429038700">
      <w:marLeft w:val="0"/>
      <w:marRight w:val="0"/>
      <w:marTop w:val="0"/>
      <w:marBottom w:val="0"/>
      <w:divBdr>
        <w:top w:val="none" w:sz="0" w:space="0" w:color="auto"/>
        <w:left w:val="none" w:sz="0" w:space="0" w:color="auto"/>
        <w:bottom w:val="none" w:sz="0" w:space="0" w:color="auto"/>
        <w:right w:val="none" w:sz="0" w:space="0" w:color="auto"/>
      </w:divBdr>
    </w:div>
    <w:div w:id="1429038701">
      <w:marLeft w:val="0"/>
      <w:marRight w:val="0"/>
      <w:marTop w:val="0"/>
      <w:marBottom w:val="0"/>
      <w:divBdr>
        <w:top w:val="none" w:sz="0" w:space="0" w:color="auto"/>
        <w:left w:val="none" w:sz="0" w:space="0" w:color="auto"/>
        <w:bottom w:val="none" w:sz="0" w:space="0" w:color="auto"/>
        <w:right w:val="none" w:sz="0" w:space="0" w:color="auto"/>
      </w:divBdr>
    </w:div>
    <w:div w:id="1429038702">
      <w:marLeft w:val="0"/>
      <w:marRight w:val="0"/>
      <w:marTop w:val="0"/>
      <w:marBottom w:val="0"/>
      <w:divBdr>
        <w:top w:val="none" w:sz="0" w:space="0" w:color="auto"/>
        <w:left w:val="none" w:sz="0" w:space="0" w:color="auto"/>
        <w:bottom w:val="none" w:sz="0" w:space="0" w:color="auto"/>
        <w:right w:val="none" w:sz="0" w:space="0" w:color="auto"/>
      </w:divBdr>
    </w:div>
    <w:div w:id="1429038703">
      <w:marLeft w:val="0"/>
      <w:marRight w:val="0"/>
      <w:marTop w:val="0"/>
      <w:marBottom w:val="0"/>
      <w:divBdr>
        <w:top w:val="none" w:sz="0" w:space="0" w:color="auto"/>
        <w:left w:val="none" w:sz="0" w:space="0" w:color="auto"/>
        <w:bottom w:val="none" w:sz="0" w:space="0" w:color="auto"/>
        <w:right w:val="none" w:sz="0" w:space="0" w:color="auto"/>
      </w:divBdr>
    </w:div>
    <w:div w:id="1429038704">
      <w:marLeft w:val="0"/>
      <w:marRight w:val="0"/>
      <w:marTop w:val="0"/>
      <w:marBottom w:val="0"/>
      <w:divBdr>
        <w:top w:val="none" w:sz="0" w:space="0" w:color="auto"/>
        <w:left w:val="none" w:sz="0" w:space="0" w:color="auto"/>
        <w:bottom w:val="none" w:sz="0" w:space="0" w:color="auto"/>
        <w:right w:val="none" w:sz="0" w:space="0" w:color="auto"/>
      </w:divBdr>
      <w:divsChild>
        <w:div w:id="1429038679">
          <w:marLeft w:val="0"/>
          <w:marRight w:val="0"/>
          <w:marTop w:val="0"/>
          <w:marBottom w:val="0"/>
          <w:divBdr>
            <w:top w:val="none" w:sz="0" w:space="0" w:color="auto"/>
            <w:left w:val="none" w:sz="0" w:space="0" w:color="auto"/>
            <w:bottom w:val="none" w:sz="0" w:space="0" w:color="auto"/>
            <w:right w:val="none" w:sz="0" w:space="0" w:color="auto"/>
          </w:divBdr>
          <w:divsChild>
            <w:div w:id="1429038673">
              <w:marLeft w:val="0"/>
              <w:marRight w:val="0"/>
              <w:marTop w:val="0"/>
              <w:marBottom w:val="0"/>
              <w:divBdr>
                <w:top w:val="none" w:sz="0" w:space="0" w:color="auto"/>
                <w:left w:val="none" w:sz="0" w:space="0" w:color="auto"/>
                <w:bottom w:val="none" w:sz="0" w:space="0" w:color="auto"/>
                <w:right w:val="none" w:sz="0" w:space="0" w:color="auto"/>
              </w:divBdr>
              <w:divsChild>
                <w:div w:id="1429038680">
                  <w:marLeft w:val="0"/>
                  <w:marRight w:val="0"/>
                  <w:marTop w:val="225"/>
                  <w:marBottom w:val="225"/>
                  <w:divBdr>
                    <w:top w:val="none" w:sz="0" w:space="0" w:color="auto"/>
                    <w:left w:val="none" w:sz="0" w:space="0" w:color="auto"/>
                    <w:bottom w:val="none" w:sz="0" w:space="0" w:color="auto"/>
                    <w:right w:val="none" w:sz="0" w:space="0" w:color="auto"/>
                  </w:divBdr>
                  <w:divsChild>
                    <w:div w:id="1429038705">
                      <w:marLeft w:val="0"/>
                      <w:marRight w:val="0"/>
                      <w:marTop w:val="0"/>
                      <w:marBottom w:val="0"/>
                      <w:divBdr>
                        <w:top w:val="none" w:sz="0" w:space="0" w:color="auto"/>
                        <w:left w:val="none" w:sz="0" w:space="0" w:color="auto"/>
                        <w:bottom w:val="none" w:sz="0" w:space="0" w:color="auto"/>
                        <w:right w:val="none" w:sz="0" w:space="0" w:color="auto"/>
                      </w:divBdr>
                      <w:divsChild>
                        <w:div w:id="14290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38706">
      <w:marLeft w:val="0"/>
      <w:marRight w:val="0"/>
      <w:marTop w:val="0"/>
      <w:marBottom w:val="0"/>
      <w:divBdr>
        <w:top w:val="none" w:sz="0" w:space="0" w:color="auto"/>
        <w:left w:val="none" w:sz="0" w:space="0" w:color="auto"/>
        <w:bottom w:val="none" w:sz="0" w:space="0" w:color="auto"/>
        <w:right w:val="none" w:sz="0" w:space="0" w:color="auto"/>
      </w:divBdr>
    </w:div>
    <w:div w:id="1429038707">
      <w:marLeft w:val="0"/>
      <w:marRight w:val="0"/>
      <w:marTop w:val="0"/>
      <w:marBottom w:val="0"/>
      <w:divBdr>
        <w:top w:val="none" w:sz="0" w:space="0" w:color="auto"/>
        <w:left w:val="none" w:sz="0" w:space="0" w:color="auto"/>
        <w:bottom w:val="none" w:sz="0" w:space="0" w:color="auto"/>
        <w:right w:val="none" w:sz="0" w:space="0" w:color="auto"/>
      </w:divBdr>
    </w:div>
    <w:div w:id="1429038708">
      <w:marLeft w:val="0"/>
      <w:marRight w:val="0"/>
      <w:marTop w:val="0"/>
      <w:marBottom w:val="0"/>
      <w:divBdr>
        <w:top w:val="none" w:sz="0" w:space="0" w:color="auto"/>
        <w:left w:val="none" w:sz="0" w:space="0" w:color="auto"/>
        <w:bottom w:val="none" w:sz="0" w:space="0" w:color="auto"/>
        <w:right w:val="none" w:sz="0" w:space="0" w:color="auto"/>
      </w:divBdr>
    </w:div>
    <w:div w:id="1429038709">
      <w:marLeft w:val="0"/>
      <w:marRight w:val="0"/>
      <w:marTop w:val="0"/>
      <w:marBottom w:val="0"/>
      <w:divBdr>
        <w:top w:val="none" w:sz="0" w:space="0" w:color="auto"/>
        <w:left w:val="none" w:sz="0" w:space="0" w:color="auto"/>
        <w:bottom w:val="none" w:sz="0" w:space="0" w:color="auto"/>
        <w:right w:val="none" w:sz="0" w:space="0" w:color="auto"/>
      </w:divBdr>
    </w:div>
    <w:div w:id="1429038711">
      <w:marLeft w:val="0"/>
      <w:marRight w:val="0"/>
      <w:marTop w:val="0"/>
      <w:marBottom w:val="0"/>
      <w:divBdr>
        <w:top w:val="none" w:sz="0" w:space="0" w:color="auto"/>
        <w:left w:val="none" w:sz="0" w:space="0" w:color="auto"/>
        <w:bottom w:val="none" w:sz="0" w:space="0" w:color="auto"/>
        <w:right w:val="none" w:sz="0" w:space="0" w:color="auto"/>
      </w:divBdr>
    </w:div>
    <w:div w:id="1429038712">
      <w:marLeft w:val="0"/>
      <w:marRight w:val="0"/>
      <w:marTop w:val="0"/>
      <w:marBottom w:val="0"/>
      <w:divBdr>
        <w:top w:val="none" w:sz="0" w:space="0" w:color="auto"/>
        <w:left w:val="none" w:sz="0" w:space="0" w:color="auto"/>
        <w:bottom w:val="none" w:sz="0" w:space="0" w:color="auto"/>
        <w:right w:val="none" w:sz="0" w:space="0" w:color="auto"/>
      </w:divBdr>
    </w:div>
    <w:div w:id="1429038713">
      <w:marLeft w:val="0"/>
      <w:marRight w:val="0"/>
      <w:marTop w:val="0"/>
      <w:marBottom w:val="0"/>
      <w:divBdr>
        <w:top w:val="none" w:sz="0" w:space="0" w:color="auto"/>
        <w:left w:val="none" w:sz="0" w:space="0" w:color="auto"/>
        <w:bottom w:val="none" w:sz="0" w:space="0" w:color="auto"/>
        <w:right w:val="none" w:sz="0" w:space="0" w:color="auto"/>
      </w:divBdr>
    </w:div>
    <w:div w:id="1429038715">
      <w:marLeft w:val="0"/>
      <w:marRight w:val="0"/>
      <w:marTop w:val="0"/>
      <w:marBottom w:val="0"/>
      <w:divBdr>
        <w:top w:val="none" w:sz="0" w:space="0" w:color="auto"/>
        <w:left w:val="none" w:sz="0" w:space="0" w:color="auto"/>
        <w:bottom w:val="none" w:sz="0" w:space="0" w:color="auto"/>
        <w:right w:val="none" w:sz="0" w:space="0" w:color="auto"/>
      </w:divBdr>
    </w:div>
    <w:div w:id="1429038718">
      <w:marLeft w:val="0"/>
      <w:marRight w:val="0"/>
      <w:marTop w:val="0"/>
      <w:marBottom w:val="0"/>
      <w:divBdr>
        <w:top w:val="none" w:sz="0" w:space="0" w:color="auto"/>
        <w:left w:val="none" w:sz="0" w:space="0" w:color="auto"/>
        <w:bottom w:val="none" w:sz="0" w:space="0" w:color="auto"/>
        <w:right w:val="none" w:sz="0" w:space="0" w:color="auto"/>
      </w:divBdr>
    </w:div>
    <w:div w:id="1429038719">
      <w:marLeft w:val="0"/>
      <w:marRight w:val="0"/>
      <w:marTop w:val="0"/>
      <w:marBottom w:val="0"/>
      <w:divBdr>
        <w:top w:val="none" w:sz="0" w:space="0" w:color="auto"/>
        <w:left w:val="none" w:sz="0" w:space="0" w:color="auto"/>
        <w:bottom w:val="none" w:sz="0" w:space="0" w:color="auto"/>
        <w:right w:val="none" w:sz="0" w:space="0" w:color="auto"/>
      </w:divBdr>
    </w:div>
    <w:div w:id="1429038720">
      <w:marLeft w:val="0"/>
      <w:marRight w:val="0"/>
      <w:marTop w:val="0"/>
      <w:marBottom w:val="0"/>
      <w:divBdr>
        <w:top w:val="none" w:sz="0" w:space="0" w:color="auto"/>
        <w:left w:val="none" w:sz="0" w:space="0" w:color="auto"/>
        <w:bottom w:val="none" w:sz="0" w:space="0" w:color="auto"/>
        <w:right w:val="none" w:sz="0" w:space="0" w:color="auto"/>
      </w:divBdr>
    </w:div>
    <w:div w:id="1429038721">
      <w:marLeft w:val="0"/>
      <w:marRight w:val="0"/>
      <w:marTop w:val="0"/>
      <w:marBottom w:val="0"/>
      <w:divBdr>
        <w:top w:val="none" w:sz="0" w:space="0" w:color="auto"/>
        <w:left w:val="none" w:sz="0" w:space="0" w:color="auto"/>
        <w:bottom w:val="none" w:sz="0" w:space="0" w:color="auto"/>
        <w:right w:val="none" w:sz="0" w:space="0" w:color="auto"/>
      </w:divBdr>
    </w:div>
    <w:div w:id="1429038722">
      <w:marLeft w:val="0"/>
      <w:marRight w:val="0"/>
      <w:marTop w:val="0"/>
      <w:marBottom w:val="0"/>
      <w:divBdr>
        <w:top w:val="none" w:sz="0" w:space="0" w:color="auto"/>
        <w:left w:val="none" w:sz="0" w:space="0" w:color="auto"/>
        <w:bottom w:val="none" w:sz="0" w:space="0" w:color="auto"/>
        <w:right w:val="none" w:sz="0" w:space="0" w:color="auto"/>
      </w:divBdr>
    </w:div>
    <w:div w:id="1429038723">
      <w:marLeft w:val="0"/>
      <w:marRight w:val="0"/>
      <w:marTop w:val="0"/>
      <w:marBottom w:val="0"/>
      <w:divBdr>
        <w:top w:val="none" w:sz="0" w:space="0" w:color="auto"/>
        <w:left w:val="none" w:sz="0" w:space="0" w:color="auto"/>
        <w:bottom w:val="none" w:sz="0" w:space="0" w:color="auto"/>
        <w:right w:val="none" w:sz="0" w:space="0" w:color="auto"/>
      </w:divBdr>
    </w:div>
    <w:div w:id="1429038725">
      <w:marLeft w:val="0"/>
      <w:marRight w:val="0"/>
      <w:marTop w:val="0"/>
      <w:marBottom w:val="0"/>
      <w:divBdr>
        <w:top w:val="none" w:sz="0" w:space="0" w:color="auto"/>
        <w:left w:val="none" w:sz="0" w:space="0" w:color="auto"/>
        <w:bottom w:val="none" w:sz="0" w:space="0" w:color="auto"/>
        <w:right w:val="none" w:sz="0" w:space="0" w:color="auto"/>
      </w:divBdr>
      <w:divsChild>
        <w:div w:id="1429038724">
          <w:marLeft w:val="0"/>
          <w:marRight w:val="0"/>
          <w:marTop w:val="0"/>
          <w:marBottom w:val="0"/>
          <w:divBdr>
            <w:top w:val="none" w:sz="0" w:space="0" w:color="auto"/>
            <w:left w:val="none" w:sz="0" w:space="0" w:color="auto"/>
            <w:bottom w:val="none" w:sz="0" w:space="0" w:color="auto"/>
            <w:right w:val="none" w:sz="0" w:space="0" w:color="auto"/>
          </w:divBdr>
        </w:div>
      </w:divsChild>
    </w:div>
    <w:div w:id="1429038726">
      <w:marLeft w:val="0"/>
      <w:marRight w:val="0"/>
      <w:marTop w:val="0"/>
      <w:marBottom w:val="0"/>
      <w:divBdr>
        <w:top w:val="none" w:sz="0" w:space="0" w:color="auto"/>
        <w:left w:val="none" w:sz="0" w:space="0" w:color="auto"/>
        <w:bottom w:val="none" w:sz="0" w:space="0" w:color="auto"/>
        <w:right w:val="none" w:sz="0" w:space="0" w:color="auto"/>
      </w:divBdr>
    </w:div>
    <w:div w:id="1429038728">
      <w:marLeft w:val="0"/>
      <w:marRight w:val="0"/>
      <w:marTop w:val="0"/>
      <w:marBottom w:val="0"/>
      <w:divBdr>
        <w:top w:val="none" w:sz="0" w:space="0" w:color="auto"/>
        <w:left w:val="none" w:sz="0" w:space="0" w:color="auto"/>
        <w:bottom w:val="none" w:sz="0" w:space="0" w:color="auto"/>
        <w:right w:val="none" w:sz="0" w:space="0" w:color="auto"/>
      </w:divBdr>
      <w:divsChild>
        <w:div w:id="1429038727">
          <w:marLeft w:val="0"/>
          <w:marRight w:val="0"/>
          <w:marTop w:val="0"/>
          <w:marBottom w:val="0"/>
          <w:divBdr>
            <w:top w:val="none" w:sz="0" w:space="0" w:color="auto"/>
            <w:left w:val="none" w:sz="0" w:space="0" w:color="auto"/>
            <w:bottom w:val="none" w:sz="0" w:space="0" w:color="auto"/>
            <w:right w:val="none" w:sz="0" w:space="0" w:color="auto"/>
          </w:divBdr>
        </w:div>
      </w:divsChild>
    </w:div>
    <w:div w:id="1429038729">
      <w:marLeft w:val="0"/>
      <w:marRight w:val="0"/>
      <w:marTop w:val="0"/>
      <w:marBottom w:val="0"/>
      <w:divBdr>
        <w:top w:val="none" w:sz="0" w:space="0" w:color="auto"/>
        <w:left w:val="none" w:sz="0" w:space="0" w:color="auto"/>
        <w:bottom w:val="none" w:sz="0" w:space="0" w:color="auto"/>
        <w:right w:val="none" w:sz="0" w:space="0" w:color="auto"/>
      </w:divBdr>
    </w:div>
    <w:div w:id="1429038730">
      <w:marLeft w:val="0"/>
      <w:marRight w:val="0"/>
      <w:marTop w:val="0"/>
      <w:marBottom w:val="0"/>
      <w:divBdr>
        <w:top w:val="none" w:sz="0" w:space="0" w:color="auto"/>
        <w:left w:val="none" w:sz="0" w:space="0" w:color="auto"/>
        <w:bottom w:val="none" w:sz="0" w:space="0" w:color="auto"/>
        <w:right w:val="none" w:sz="0" w:space="0" w:color="auto"/>
      </w:divBdr>
    </w:div>
    <w:div w:id="1429038731">
      <w:marLeft w:val="0"/>
      <w:marRight w:val="0"/>
      <w:marTop w:val="0"/>
      <w:marBottom w:val="0"/>
      <w:divBdr>
        <w:top w:val="none" w:sz="0" w:space="0" w:color="auto"/>
        <w:left w:val="none" w:sz="0" w:space="0" w:color="auto"/>
        <w:bottom w:val="none" w:sz="0" w:space="0" w:color="auto"/>
        <w:right w:val="none" w:sz="0" w:space="0" w:color="auto"/>
      </w:divBdr>
    </w:div>
    <w:div w:id="1429038732">
      <w:marLeft w:val="0"/>
      <w:marRight w:val="0"/>
      <w:marTop w:val="0"/>
      <w:marBottom w:val="0"/>
      <w:divBdr>
        <w:top w:val="none" w:sz="0" w:space="0" w:color="auto"/>
        <w:left w:val="none" w:sz="0" w:space="0" w:color="auto"/>
        <w:bottom w:val="none" w:sz="0" w:space="0" w:color="auto"/>
        <w:right w:val="none" w:sz="0" w:space="0" w:color="auto"/>
      </w:divBdr>
    </w:div>
    <w:div w:id="1429038733">
      <w:marLeft w:val="0"/>
      <w:marRight w:val="0"/>
      <w:marTop w:val="0"/>
      <w:marBottom w:val="0"/>
      <w:divBdr>
        <w:top w:val="none" w:sz="0" w:space="0" w:color="auto"/>
        <w:left w:val="none" w:sz="0" w:space="0" w:color="auto"/>
        <w:bottom w:val="none" w:sz="0" w:space="0" w:color="auto"/>
        <w:right w:val="none" w:sz="0" w:space="0" w:color="auto"/>
      </w:divBdr>
    </w:div>
    <w:div w:id="1429038734">
      <w:marLeft w:val="0"/>
      <w:marRight w:val="0"/>
      <w:marTop w:val="0"/>
      <w:marBottom w:val="0"/>
      <w:divBdr>
        <w:top w:val="none" w:sz="0" w:space="0" w:color="auto"/>
        <w:left w:val="none" w:sz="0" w:space="0" w:color="auto"/>
        <w:bottom w:val="none" w:sz="0" w:space="0" w:color="auto"/>
        <w:right w:val="none" w:sz="0" w:space="0" w:color="auto"/>
      </w:divBdr>
    </w:div>
    <w:div w:id="1429038735">
      <w:marLeft w:val="0"/>
      <w:marRight w:val="0"/>
      <w:marTop w:val="0"/>
      <w:marBottom w:val="0"/>
      <w:divBdr>
        <w:top w:val="none" w:sz="0" w:space="0" w:color="auto"/>
        <w:left w:val="none" w:sz="0" w:space="0" w:color="auto"/>
        <w:bottom w:val="none" w:sz="0" w:space="0" w:color="auto"/>
        <w:right w:val="none" w:sz="0" w:space="0" w:color="auto"/>
      </w:divBdr>
    </w:div>
    <w:div w:id="1429038736">
      <w:marLeft w:val="0"/>
      <w:marRight w:val="0"/>
      <w:marTop w:val="0"/>
      <w:marBottom w:val="0"/>
      <w:divBdr>
        <w:top w:val="none" w:sz="0" w:space="0" w:color="auto"/>
        <w:left w:val="none" w:sz="0" w:space="0" w:color="auto"/>
        <w:bottom w:val="none" w:sz="0" w:space="0" w:color="auto"/>
        <w:right w:val="none" w:sz="0" w:space="0" w:color="auto"/>
      </w:divBdr>
    </w:div>
    <w:div w:id="1429038737">
      <w:marLeft w:val="0"/>
      <w:marRight w:val="0"/>
      <w:marTop w:val="0"/>
      <w:marBottom w:val="0"/>
      <w:divBdr>
        <w:top w:val="none" w:sz="0" w:space="0" w:color="auto"/>
        <w:left w:val="none" w:sz="0" w:space="0" w:color="auto"/>
        <w:bottom w:val="none" w:sz="0" w:space="0" w:color="auto"/>
        <w:right w:val="none" w:sz="0" w:space="0" w:color="auto"/>
      </w:divBdr>
    </w:div>
    <w:div w:id="1429038738">
      <w:marLeft w:val="0"/>
      <w:marRight w:val="0"/>
      <w:marTop w:val="0"/>
      <w:marBottom w:val="0"/>
      <w:divBdr>
        <w:top w:val="none" w:sz="0" w:space="0" w:color="auto"/>
        <w:left w:val="none" w:sz="0" w:space="0" w:color="auto"/>
        <w:bottom w:val="none" w:sz="0" w:space="0" w:color="auto"/>
        <w:right w:val="none" w:sz="0" w:space="0" w:color="auto"/>
      </w:divBdr>
    </w:div>
    <w:div w:id="1429038739">
      <w:marLeft w:val="0"/>
      <w:marRight w:val="0"/>
      <w:marTop w:val="0"/>
      <w:marBottom w:val="0"/>
      <w:divBdr>
        <w:top w:val="none" w:sz="0" w:space="0" w:color="auto"/>
        <w:left w:val="none" w:sz="0" w:space="0" w:color="auto"/>
        <w:bottom w:val="none" w:sz="0" w:space="0" w:color="auto"/>
        <w:right w:val="none" w:sz="0" w:space="0" w:color="auto"/>
      </w:divBdr>
    </w:div>
    <w:div w:id="1429038740">
      <w:marLeft w:val="0"/>
      <w:marRight w:val="0"/>
      <w:marTop w:val="0"/>
      <w:marBottom w:val="0"/>
      <w:divBdr>
        <w:top w:val="none" w:sz="0" w:space="0" w:color="auto"/>
        <w:left w:val="none" w:sz="0" w:space="0" w:color="auto"/>
        <w:bottom w:val="none" w:sz="0" w:space="0" w:color="auto"/>
        <w:right w:val="none" w:sz="0" w:space="0" w:color="auto"/>
      </w:divBdr>
    </w:div>
    <w:div w:id="1429038741">
      <w:marLeft w:val="0"/>
      <w:marRight w:val="0"/>
      <w:marTop w:val="0"/>
      <w:marBottom w:val="0"/>
      <w:divBdr>
        <w:top w:val="none" w:sz="0" w:space="0" w:color="auto"/>
        <w:left w:val="none" w:sz="0" w:space="0" w:color="auto"/>
        <w:bottom w:val="none" w:sz="0" w:space="0" w:color="auto"/>
        <w:right w:val="none" w:sz="0" w:space="0" w:color="auto"/>
      </w:divBdr>
      <w:divsChild>
        <w:div w:id="1429038716">
          <w:marLeft w:val="0"/>
          <w:marRight w:val="0"/>
          <w:marTop w:val="0"/>
          <w:marBottom w:val="0"/>
          <w:divBdr>
            <w:top w:val="none" w:sz="0" w:space="0" w:color="auto"/>
            <w:left w:val="none" w:sz="0" w:space="0" w:color="auto"/>
            <w:bottom w:val="none" w:sz="0" w:space="0" w:color="auto"/>
            <w:right w:val="none" w:sz="0" w:space="0" w:color="auto"/>
          </w:divBdr>
          <w:divsChild>
            <w:div w:id="1429038710">
              <w:marLeft w:val="0"/>
              <w:marRight w:val="0"/>
              <w:marTop w:val="0"/>
              <w:marBottom w:val="0"/>
              <w:divBdr>
                <w:top w:val="none" w:sz="0" w:space="0" w:color="auto"/>
                <w:left w:val="none" w:sz="0" w:space="0" w:color="auto"/>
                <w:bottom w:val="none" w:sz="0" w:space="0" w:color="auto"/>
                <w:right w:val="none" w:sz="0" w:space="0" w:color="auto"/>
              </w:divBdr>
              <w:divsChild>
                <w:div w:id="1429038717">
                  <w:marLeft w:val="0"/>
                  <w:marRight w:val="0"/>
                  <w:marTop w:val="225"/>
                  <w:marBottom w:val="225"/>
                  <w:divBdr>
                    <w:top w:val="none" w:sz="0" w:space="0" w:color="auto"/>
                    <w:left w:val="none" w:sz="0" w:space="0" w:color="auto"/>
                    <w:bottom w:val="none" w:sz="0" w:space="0" w:color="auto"/>
                    <w:right w:val="none" w:sz="0" w:space="0" w:color="auto"/>
                  </w:divBdr>
                  <w:divsChild>
                    <w:div w:id="1429038742">
                      <w:marLeft w:val="0"/>
                      <w:marRight w:val="0"/>
                      <w:marTop w:val="0"/>
                      <w:marBottom w:val="0"/>
                      <w:divBdr>
                        <w:top w:val="none" w:sz="0" w:space="0" w:color="auto"/>
                        <w:left w:val="none" w:sz="0" w:space="0" w:color="auto"/>
                        <w:bottom w:val="none" w:sz="0" w:space="0" w:color="auto"/>
                        <w:right w:val="none" w:sz="0" w:space="0" w:color="auto"/>
                      </w:divBdr>
                      <w:divsChild>
                        <w:div w:id="14290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38743">
      <w:marLeft w:val="0"/>
      <w:marRight w:val="0"/>
      <w:marTop w:val="0"/>
      <w:marBottom w:val="0"/>
      <w:divBdr>
        <w:top w:val="none" w:sz="0" w:space="0" w:color="auto"/>
        <w:left w:val="none" w:sz="0" w:space="0" w:color="auto"/>
        <w:bottom w:val="none" w:sz="0" w:space="0" w:color="auto"/>
        <w:right w:val="none" w:sz="0" w:space="0" w:color="auto"/>
      </w:divBdr>
    </w:div>
    <w:div w:id="1429038744">
      <w:marLeft w:val="0"/>
      <w:marRight w:val="0"/>
      <w:marTop w:val="0"/>
      <w:marBottom w:val="0"/>
      <w:divBdr>
        <w:top w:val="none" w:sz="0" w:space="0" w:color="auto"/>
        <w:left w:val="none" w:sz="0" w:space="0" w:color="auto"/>
        <w:bottom w:val="none" w:sz="0" w:space="0" w:color="auto"/>
        <w:right w:val="none" w:sz="0" w:space="0" w:color="auto"/>
      </w:divBdr>
    </w:div>
    <w:div w:id="1429038745">
      <w:marLeft w:val="0"/>
      <w:marRight w:val="0"/>
      <w:marTop w:val="0"/>
      <w:marBottom w:val="0"/>
      <w:divBdr>
        <w:top w:val="none" w:sz="0" w:space="0" w:color="auto"/>
        <w:left w:val="none" w:sz="0" w:space="0" w:color="auto"/>
        <w:bottom w:val="none" w:sz="0" w:space="0" w:color="auto"/>
        <w:right w:val="none" w:sz="0" w:space="0" w:color="auto"/>
      </w:divBdr>
    </w:div>
    <w:div w:id="1429038746">
      <w:marLeft w:val="0"/>
      <w:marRight w:val="0"/>
      <w:marTop w:val="0"/>
      <w:marBottom w:val="0"/>
      <w:divBdr>
        <w:top w:val="none" w:sz="0" w:space="0" w:color="auto"/>
        <w:left w:val="none" w:sz="0" w:space="0" w:color="auto"/>
        <w:bottom w:val="none" w:sz="0" w:space="0" w:color="auto"/>
        <w:right w:val="none" w:sz="0" w:space="0" w:color="auto"/>
      </w:divBdr>
    </w:div>
    <w:div w:id="1636791787">
      <w:bodyDiv w:val="1"/>
      <w:marLeft w:val="0"/>
      <w:marRight w:val="0"/>
      <w:marTop w:val="0"/>
      <w:marBottom w:val="0"/>
      <w:divBdr>
        <w:top w:val="none" w:sz="0" w:space="0" w:color="auto"/>
        <w:left w:val="none" w:sz="0" w:space="0" w:color="auto"/>
        <w:bottom w:val="none" w:sz="0" w:space="0" w:color="auto"/>
        <w:right w:val="none" w:sz="0" w:space="0" w:color="auto"/>
      </w:divBdr>
    </w:div>
    <w:div w:id="19197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nces.ed.gov/statprog/2002/std4_2.asp"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CCC0D-BD74-4A3A-840C-8F1D72A75CE3}">
  <ds:schemaRefs>
    <ds:schemaRef ds:uri="http://schemas.openxmlformats.org/officeDocument/2006/bibliography"/>
  </ds:schemaRefs>
</ds:datastoreItem>
</file>

<file path=customXml/itemProps2.xml><?xml version="1.0" encoding="utf-8"?>
<ds:datastoreItem xmlns:ds="http://schemas.openxmlformats.org/officeDocument/2006/customXml" ds:itemID="{612F39A0-CBF3-463A-ABA4-582CCC8C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6721</Words>
  <Characters>40490</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kathy.axt</cp:lastModifiedBy>
  <cp:revision>2</cp:revision>
  <cp:lastPrinted>2012-03-22T19:11:00Z</cp:lastPrinted>
  <dcterms:created xsi:type="dcterms:W3CDTF">2012-04-26T11:57:00Z</dcterms:created>
  <dcterms:modified xsi:type="dcterms:W3CDTF">2012-04-26T11:57:00Z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