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3E" w:rsidRDefault="00B0663E" w:rsidP="00B0663E">
      <w:pPr>
        <w:pStyle w:val="ListParagraph"/>
        <w:spacing w:after="0" w:line="360" w:lineRule="auto"/>
        <w:ind w:left="360"/>
        <w:jc w:val="center"/>
        <w:rPr>
          <w:b/>
        </w:rPr>
      </w:pPr>
      <w:r w:rsidRPr="00B0663E">
        <w:rPr>
          <w:b/>
        </w:rPr>
        <w:t>Supporting Statement</w:t>
      </w:r>
      <w:r w:rsidR="00F91A5D">
        <w:rPr>
          <w:b/>
        </w:rPr>
        <w:t xml:space="preserve"> for Paperwork Reduction Act Submissions</w:t>
      </w:r>
    </w:p>
    <w:p w:rsidR="00F91A5D" w:rsidRDefault="00F91A5D" w:rsidP="00B0663E">
      <w:pPr>
        <w:pStyle w:val="ListParagraph"/>
        <w:spacing w:after="0" w:line="360" w:lineRule="auto"/>
        <w:ind w:left="360"/>
        <w:rPr>
          <w:b/>
        </w:rPr>
      </w:pPr>
    </w:p>
    <w:p w:rsidR="00B0663E" w:rsidRPr="00B0663E" w:rsidRDefault="00B0663E" w:rsidP="006049AC">
      <w:pPr>
        <w:pStyle w:val="ListParagraph"/>
        <w:numPr>
          <w:ilvl w:val="0"/>
          <w:numId w:val="6"/>
        </w:numPr>
        <w:spacing w:after="0" w:line="360" w:lineRule="auto"/>
        <w:ind w:left="360"/>
        <w:rPr>
          <w:b/>
        </w:rPr>
      </w:pPr>
      <w:r w:rsidRPr="00B0663E">
        <w:rPr>
          <w:b/>
        </w:rPr>
        <w:t>Justification</w:t>
      </w:r>
    </w:p>
    <w:p w:rsidR="006049AC" w:rsidRPr="00313A3F" w:rsidRDefault="00F91A5D" w:rsidP="00C358E2">
      <w:pPr>
        <w:pStyle w:val="ListParagraph"/>
        <w:numPr>
          <w:ilvl w:val="0"/>
          <w:numId w:val="2"/>
        </w:numPr>
        <w:spacing w:after="0"/>
        <w:ind w:left="360"/>
        <w:rPr>
          <w:rFonts w:eastAsia="Calibri"/>
        </w:rPr>
      </w:pPr>
      <w:r w:rsidRPr="00313A3F">
        <w:rPr>
          <w:b/>
        </w:rPr>
        <w:t>C</w:t>
      </w:r>
      <w:r w:rsidR="00B0663E" w:rsidRPr="00313A3F">
        <w:rPr>
          <w:b/>
        </w:rPr>
        <w:t>ircumstances that make the collection of information necessary.</w:t>
      </w:r>
      <w:r w:rsidR="00B0663E" w:rsidRPr="00F31980">
        <w:t xml:space="preserve"> Identify any legal or administrative or administrative requirements that necessitate the collection. </w:t>
      </w:r>
    </w:p>
    <w:p w:rsidR="00313A3F" w:rsidRPr="00313A3F" w:rsidRDefault="00313A3F" w:rsidP="00313A3F">
      <w:pPr>
        <w:pStyle w:val="ListParagraph"/>
        <w:spacing w:after="0"/>
        <w:ind w:left="360"/>
        <w:rPr>
          <w:rFonts w:eastAsia="Calibri"/>
        </w:rPr>
      </w:pPr>
    </w:p>
    <w:p w:rsidR="00313A3F" w:rsidRDefault="006049AC" w:rsidP="00C358E2">
      <w:r w:rsidRPr="007C6B57">
        <w:rPr>
          <w:rFonts w:eastAsia="Calibri"/>
        </w:rPr>
        <w:t>Submission of the Consolidated Plan is required for grantees who receive one or more of four formula grant programs administered by the Department of Housing and Urban Development’s Office of Community Planning and Development</w:t>
      </w:r>
      <w:r w:rsidR="007C6B57" w:rsidRPr="007C6B57">
        <w:rPr>
          <w:rFonts w:eastAsia="Calibri"/>
        </w:rPr>
        <w:t xml:space="preserve">:  </w:t>
      </w:r>
      <w:r w:rsidRPr="007C6B57">
        <w:rPr>
          <w:rFonts w:eastAsia="Calibri"/>
        </w:rPr>
        <w:t xml:space="preserve"> Community Development Block Grant (CDBG), HOME Investment Partnerships (HOME), Emergency Shelter Grants (ESG),</w:t>
      </w:r>
      <w:r w:rsidRPr="007C6B57">
        <w:rPr>
          <w:rStyle w:val="FootnoteReference"/>
          <w:rFonts w:eastAsia="Calibri"/>
        </w:rPr>
        <w:footnoteReference w:id="1"/>
      </w:r>
      <w:r w:rsidRPr="007C6B57">
        <w:rPr>
          <w:rFonts w:eastAsia="Calibri"/>
        </w:rPr>
        <w:t xml:space="preserve"> and Housing Opportunities for Persons with AIDS (HOPWA).  The </w:t>
      </w:r>
      <w:r w:rsidR="007C6B57" w:rsidRPr="007C6B57">
        <w:rPr>
          <w:rFonts w:eastAsia="Calibri"/>
        </w:rPr>
        <w:t>requirement that grantees submit this</w:t>
      </w:r>
      <w:r w:rsidRPr="007C6B57">
        <w:rPr>
          <w:rFonts w:eastAsia="Calibri"/>
        </w:rPr>
        <w:t xml:space="preserve"> information </w:t>
      </w:r>
      <w:r w:rsidRPr="007C6B57">
        <w:t xml:space="preserve">is in compliance with statutory provisions of the Cranston Gonzalez National Affordable Housing Act of 1990 that requires participating jurisdictions to submit a Comprehensive Housing Affordability Strategy (Section 105 (b)); the 1974 Housing and Community Development Act, as amended, that requires states and localities to submit a Community Development Plan (Section 104 (b)(4) and Section 104 (m)); and statutory provisions of these Acts that requires states and localities to submit applications and reports for these formula grant programs. </w:t>
      </w:r>
    </w:p>
    <w:p w:rsidR="006049AC" w:rsidRPr="007C6B57" w:rsidRDefault="00313A3F" w:rsidP="00C358E2">
      <w:pPr>
        <w:rPr>
          <w:rFonts w:eastAsia="Calibri"/>
        </w:rPr>
      </w:pPr>
      <w:r>
        <w:t xml:space="preserve">The information collection can be reviewed at: </w:t>
      </w:r>
      <w:r w:rsidRPr="00313A3F">
        <w:t>http://hudstage.hud.gov/offices/cpd/conplan_prototype/main_menu.html</w:t>
      </w:r>
    </w:p>
    <w:p w:rsidR="006049AC" w:rsidRDefault="006049AC" w:rsidP="00B0663E">
      <w:pPr>
        <w:pStyle w:val="ListParagraph"/>
      </w:pPr>
    </w:p>
    <w:p w:rsidR="00B0663E" w:rsidRDefault="007409D3" w:rsidP="007C6B57">
      <w:pPr>
        <w:pStyle w:val="ListParagraph"/>
        <w:numPr>
          <w:ilvl w:val="0"/>
          <w:numId w:val="2"/>
        </w:numPr>
        <w:spacing w:after="0"/>
        <w:ind w:left="360"/>
      </w:pPr>
      <w:r w:rsidRPr="007409D3">
        <w:rPr>
          <w:b/>
        </w:rPr>
        <w:t xml:space="preserve">By </w:t>
      </w:r>
      <w:r w:rsidR="00B0663E" w:rsidRPr="007409D3">
        <w:rPr>
          <w:b/>
        </w:rPr>
        <w:t xml:space="preserve">whom, </w:t>
      </w:r>
      <w:r>
        <w:rPr>
          <w:b/>
        </w:rPr>
        <w:t xml:space="preserve">how, </w:t>
      </w:r>
      <w:r w:rsidR="00B0663E" w:rsidRPr="007409D3">
        <w:rPr>
          <w:b/>
        </w:rPr>
        <w:t>and for what purpose the information is to be used</w:t>
      </w:r>
      <w:r w:rsidR="00B0663E">
        <w:t>. Except for a new collection, indicate the actual use the agency has made of the information received from the current collection.</w:t>
      </w:r>
    </w:p>
    <w:p w:rsidR="005F49E8" w:rsidRDefault="005F49E8" w:rsidP="005F49E8">
      <w:pPr>
        <w:spacing w:after="0"/>
      </w:pPr>
    </w:p>
    <w:p w:rsidR="00A46829" w:rsidRDefault="007409D3" w:rsidP="007409D3">
      <w:r>
        <w:t xml:space="preserve">The Department and grantees that submit Consolidated Plans </w:t>
      </w:r>
      <w:r w:rsidR="005F49E8">
        <w:t>are</w:t>
      </w:r>
      <w:r>
        <w:t xml:space="preserve"> the primary users of th</w:t>
      </w:r>
      <w:r w:rsidR="005F49E8">
        <w:t>is</w:t>
      </w:r>
      <w:r>
        <w:t xml:space="preserve"> information. </w:t>
      </w:r>
      <w:r w:rsidR="00A46829">
        <w:t>With the revised collection, this</w:t>
      </w:r>
      <w:r>
        <w:t xml:space="preserve"> information will be submitted electronically through the Integrated Disbursement and Information System</w:t>
      </w:r>
      <w:r w:rsidR="005F49E8">
        <w:t xml:space="preserve"> (IDIS)</w:t>
      </w:r>
      <w:r>
        <w:t>, the Office of Community Planning and Developm</w:t>
      </w:r>
      <w:r w:rsidR="00A46829">
        <w:t>ent’s grants management system.</w:t>
      </w:r>
      <w:r>
        <w:t xml:space="preserve"> </w:t>
      </w:r>
      <w:r w:rsidRPr="007C6B57">
        <w:t xml:space="preserve">The </w:t>
      </w:r>
      <w:r w:rsidR="005F49E8">
        <w:t>purpose of the Consolidated Plan is</w:t>
      </w:r>
      <w:r w:rsidRPr="007C6B57">
        <w:t xml:space="preserve"> to provide HUD with preliminary assessment as to the statutory and regulatory eligibility of proposed grantee projects and for informing citizens of intended uses of program funds</w:t>
      </w:r>
      <w:r>
        <w:t xml:space="preserve">. </w:t>
      </w:r>
    </w:p>
    <w:p w:rsidR="007409D3" w:rsidRDefault="007409D3" w:rsidP="007409D3">
      <w:r>
        <w:t xml:space="preserve">Grantees </w:t>
      </w:r>
      <w:r w:rsidR="005F49E8">
        <w:t>use consolidated planning</w:t>
      </w:r>
      <w:r>
        <w:t xml:space="preserve"> to</w:t>
      </w:r>
      <w:r w:rsidR="00A46829">
        <w:t xml:space="preserve"> create a </w:t>
      </w:r>
      <w:r w:rsidR="005F49E8">
        <w:t>3</w:t>
      </w:r>
      <w:r w:rsidR="00A46829">
        <w:t>-5 year strategic</w:t>
      </w:r>
      <w:r>
        <w:t xml:space="preserve"> plan</w:t>
      </w:r>
      <w:r w:rsidR="005F49E8">
        <w:t>s</w:t>
      </w:r>
      <w:r>
        <w:t xml:space="preserve"> for the u</w:t>
      </w:r>
      <w:r w:rsidR="00A46829">
        <w:t xml:space="preserve">se of their formula grant funds. The systems upgrades to IDIS, which allow grantees to submit this information electronically, will connect this planning information to the performance reporting  that grantees are currently  </w:t>
      </w:r>
      <w:r w:rsidR="005F49E8">
        <w:t xml:space="preserve">undertake. This connection </w:t>
      </w:r>
      <w:r w:rsidR="00A46829">
        <w:t>enable</w:t>
      </w:r>
      <w:r w:rsidR="005F49E8">
        <w:t>s</w:t>
      </w:r>
      <w:r w:rsidR="00A46829">
        <w:t xml:space="preserve"> grantees </w:t>
      </w:r>
      <w:r>
        <w:t xml:space="preserve">to track progress against the goals they set in the Consolidated Plan throughout each program year. </w:t>
      </w:r>
    </w:p>
    <w:p w:rsidR="00AA2E6B" w:rsidRDefault="00AA2E6B" w:rsidP="00AA2E6B">
      <w:pPr>
        <w:pStyle w:val="ListParagraph"/>
        <w:spacing w:after="0"/>
        <w:ind w:left="360"/>
      </w:pPr>
    </w:p>
    <w:p w:rsidR="00B0663E" w:rsidRDefault="00AA2E6B" w:rsidP="007C6B57">
      <w:pPr>
        <w:pStyle w:val="ListParagraph"/>
        <w:numPr>
          <w:ilvl w:val="0"/>
          <w:numId w:val="2"/>
        </w:numPr>
        <w:spacing w:after="0"/>
        <w:ind w:left="360"/>
      </w:pPr>
      <w:r w:rsidRPr="00AA2E6B">
        <w:rPr>
          <w:b/>
        </w:rPr>
        <w:lastRenderedPageBreak/>
        <w:t>Consideration of the use of improved information technology</w:t>
      </w:r>
      <w:r>
        <w:t>.</w:t>
      </w:r>
      <w:r w:rsidR="00B0663E">
        <w:t xml:space="preserve">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0663E" w:rsidRDefault="00B0663E" w:rsidP="00AA2E6B">
      <w:pPr>
        <w:pStyle w:val="ListParagraph"/>
        <w:ind w:left="0"/>
      </w:pPr>
    </w:p>
    <w:p w:rsidR="00AA2E6B" w:rsidRDefault="00AA2E6B" w:rsidP="00AA2E6B">
      <w:pPr>
        <w:pStyle w:val="ListParagraph"/>
        <w:ind w:left="0"/>
      </w:pPr>
      <w:r>
        <w:t>The Department has determined that the use of improved IT systems</w:t>
      </w:r>
      <w:r w:rsidR="00E07288">
        <w:t xml:space="preserve"> - t</w:t>
      </w:r>
      <w:r>
        <w:t xml:space="preserve">hrough upgrades to </w:t>
      </w:r>
      <w:r w:rsidR="00E07288">
        <w:t xml:space="preserve">the Integrated Disbursement and Information System (IDIS), the Office of Community Planning and Development’s grants management system – are being used to allow for electronic submission of this information. </w:t>
      </w:r>
      <w:r w:rsidR="00170A07">
        <w:t>One-hundred percent</w:t>
      </w:r>
      <w:r w:rsidR="00E07288">
        <w:t xml:space="preserve"> of the reporting and record keeping requirements will be accomplished online. Forms requiring a wet signature will continue to be submitted through the mail as a paper document.  The Department does not have the authorization to accept electronic signatures at this time. </w:t>
      </w:r>
    </w:p>
    <w:p w:rsidR="00170A07" w:rsidRDefault="00170A07" w:rsidP="00AA2E6B">
      <w:pPr>
        <w:pStyle w:val="ListParagraph"/>
        <w:ind w:left="0"/>
      </w:pPr>
    </w:p>
    <w:p w:rsidR="00B0663E" w:rsidRDefault="008C37B0" w:rsidP="008C37B0">
      <w:pPr>
        <w:pStyle w:val="ListParagraph"/>
        <w:numPr>
          <w:ilvl w:val="0"/>
          <w:numId w:val="2"/>
        </w:numPr>
        <w:spacing w:after="0"/>
        <w:ind w:left="360"/>
      </w:pPr>
      <w:r w:rsidRPr="008C37B0">
        <w:rPr>
          <w:b/>
        </w:rPr>
        <w:t>E</w:t>
      </w:r>
      <w:r w:rsidR="00B0663E" w:rsidRPr="008C37B0">
        <w:rPr>
          <w:b/>
        </w:rPr>
        <w:t xml:space="preserve">fforts to identify duplication. </w:t>
      </w:r>
      <w:r w:rsidRPr="008C37B0">
        <w:rPr>
          <w:b/>
        </w:rPr>
        <w:t xml:space="preserve">Why similar information cannot be used. </w:t>
      </w:r>
      <w:r w:rsidR="00B0663E">
        <w:t xml:space="preserve">Show specifically why any similar information already available cannot be used or modified for use for the purposes described in Item 2 above. </w:t>
      </w:r>
    </w:p>
    <w:p w:rsidR="00B0663E" w:rsidRDefault="00B0663E" w:rsidP="007C6B57">
      <w:pPr>
        <w:pStyle w:val="ListParagraph"/>
      </w:pPr>
    </w:p>
    <w:p w:rsidR="00A724D0" w:rsidRDefault="007C6590" w:rsidP="007C6590">
      <w:pPr>
        <w:pStyle w:val="ListParagraph"/>
        <w:ind w:left="0"/>
      </w:pPr>
      <w:r>
        <w:t xml:space="preserve">The Department has not identified </w:t>
      </w:r>
      <w:r w:rsidR="008C37B0">
        <w:t>other information collections that meet</w:t>
      </w:r>
      <w:r>
        <w:t xml:space="preserve"> the</w:t>
      </w:r>
      <w:r w:rsidR="008C37B0">
        <w:t xml:space="preserve"> statutory requirements for</w:t>
      </w:r>
      <w:r>
        <w:t xml:space="preserve"> Consolidated Plan</w:t>
      </w:r>
      <w:r w:rsidR="008C37B0">
        <w:t xml:space="preserve"> submission</w:t>
      </w:r>
      <w:r>
        <w:t>. However, where information in the Consolidated Plan has been required by other offices within the Department, grantees will be provided with that information. For example, tables in the submission template for the Consolidated Plan will be pre</w:t>
      </w:r>
      <w:r w:rsidR="00A724D0">
        <w:t>-</w:t>
      </w:r>
      <w:r>
        <w:t xml:space="preserve">populated </w:t>
      </w:r>
      <w:r w:rsidR="00A724D0">
        <w:t xml:space="preserve">with data that has been provided on public housing (by Public Housing Agencies) and homeless programs (by Continuums of Care). </w:t>
      </w:r>
    </w:p>
    <w:p w:rsidR="00A724D0" w:rsidRDefault="00A724D0" w:rsidP="007C6590">
      <w:pPr>
        <w:pStyle w:val="ListParagraph"/>
        <w:ind w:left="0"/>
      </w:pPr>
    </w:p>
    <w:p w:rsidR="007C6590" w:rsidRDefault="00A724D0" w:rsidP="007C6590">
      <w:pPr>
        <w:pStyle w:val="ListParagraph"/>
        <w:ind w:left="0"/>
      </w:pPr>
      <w:r>
        <w:t xml:space="preserve">In addition, the Department has identified duplication in the current submission template for the Consolidated Plan. The revised </w:t>
      </w:r>
      <w:r w:rsidR="002D4890">
        <w:t>submission template for information collection is reorganized in a way that eliminates duplicative data entry.</w:t>
      </w:r>
    </w:p>
    <w:p w:rsidR="007C6590" w:rsidRDefault="007C6590" w:rsidP="007C6B57">
      <w:pPr>
        <w:pStyle w:val="ListParagraph"/>
      </w:pPr>
    </w:p>
    <w:p w:rsidR="00B0663E" w:rsidRDefault="00AE70C8" w:rsidP="007C6B57">
      <w:pPr>
        <w:pStyle w:val="ListParagraph"/>
        <w:numPr>
          <w:ilvl w:val="0"/>
          <w:numId w:val="2"/>
        </w:numPr>
        <w:spacing w:after="0"/>
        <w:ind w:left="360"/>
      </w:pPr>
      <w:r w:rsidRPr="00AE70C8">
        <w:rPr>
          <w:b/>
        </w:rPr>
        <w:t>Methods to minimize the burden to small businesses, if involved</w:t>
      </w:r>
      <w:r>
        <w:t xml:space="preserve">. </w:t>
      </w:r>
      <w:r w:rsidR="00B0663E">
        <w:t>If the collection of information impacts small businesses or other small entities (Item 5 of OMB Form 83-I), describe any methods used to minimize burden.</w:t>
      </w:r>
    </w:p>
    <w:p w:rsidR="00B0663E" w:rsidRDefault="00B0663E" w:rsidP="007C6B57">
      <w:pPr>
        <w:pStyle w:val="ListParagraph"/>
      </w:pPr>
    </w:p>
    <w:p w:rsidR="00AE70C8" w:rsidRDefault="00AE70C8" w:rsidP="00AE70C8">
      <w:pPr>
        <w:pStyle w:val="ListParagraph"/>
        <w:ind w:left="0"/>
      </w:pPr>
      <w:r>
        <w:t>The information required is collected from State and local governments. Therefore it does not have any impact on small businesses or other small entities.</w:t>
      </w:r>
    </w:p>
    <w:p w:rsidR="00AE70C8" w:rsidRDefault="00AE70C8" w:rsidP="007C6B57">
      <w:pPr>
        <w:pStyle w:val="ListParagraph"/>
      </w:pPr>
    </w:p>
    <w:p w:rsidR="00B0663E" w:rsidRDefault="00B0663E" w:rsidP="007C6B57">
      <w:pPr>
        <w:pStyle w:val="ListParagraph"/>
        <w:numPr>
          <w:ilvl w:val="0"/>
          <w:numId w:val="2"/>
        </w:numPr>
        <w:spacing w:after="0"/>
        <w:ind w:left="360"/>
      </w:pPr>
      <w:r w:rsidRPr="00234798">
        <w:rPr>
          <w:b/>
        </w:rPr>
        <w:t xml:space="preserve"> </w:t>
      </w:r>
      <w:r w:rsidR="00234798" w:rsidRPr="00234798">
        <w:rPr>
          <w:b/>
        </w:rPr>
        <w:t>C</w:t>
      </w:r>
      <w:r w:rsidRPr="00234798">
        <w:rPr>
          <w:b/>
        </w:rPr>
        <w:t>onsequence</w:t>
      </w:r>
      <w:r w:rsidR="00234798" w:rsidRPr="00234798">
        <w:rPr>
          <w:b/>
        </w:rPr>
        <w:t>s</w:t>
      </w:r>
      <w:r w:rsidRPr="00234798">
        <w:rPr>
          <w:b/>
        </w:rPr>
        <w:t xml:space="preserve"> to Federal program or policy activities if the collection is not conducted or is conducted less frequently</w:t>
      </w:r>
      <w:r>
        <w:t>, as well as any technical or legal obstacles to reducing burden.</w:t>
      </w:r>
    </w:p>
    <w:p w:rsidR="00B0663E" w:rsidRDefault="00B0663E" w:rsidP="007C6B57">
      <w:pPr>
        <w:pStyle w:val="ListParagraph"/>
      </w:pPr>
    </w:p>
    <w:p w:rsidR="00234798" w:rsidRDefault="00234798" w:rsidP="00234798">
      <w:pPr>
        <w:pStyle w:val="ListParagraph"/>
        <w:ind w:left="0"/>
      </w:pPr>
      <w:r>
        <w:t>The requirement that grantees receiving CDBG, HOME, ESG and/or HOPWA submit a Consolidated Plan every 3-5 years (</w:t>
      </w:r>
      <w:r w:rsidR="00FA2066">
        <w:t xml:space="preserve">timing is </w:t>
      </w:r>
      <w:r>
        <w:t>at the grantee</w:t>
      </w:r>
      <w:r w:rsidR="00FA2066">
        <w:t>’s discretion) and an Annual Action Plan every year is statutory and regulatory.  T</w:t>
      </w:r>
      <w:r w:rsidR="00FA2066" w:rsidRPr="007C6B57">
        <w:t xml:space="preserve">he Cranston Gonzalez National Affordable Housing Act of 1990 </w:t>
      </w:r>
      <w:r w:rsidR="00FA2066">
        <w:t>and</w:t>
      </w:r>
      <w:r w:rsidR="00FA2066" w:rsidRPr="007C6B57">
        <w:t xml:space="preserve"> the 1974 Housing </w:t>
      </w:r>
      <w:r w:rsidR="00FA2066" w:rsidRPr="007C6B57">
        <w:lastRenderedPageBreak/>
        <w:t xml:space="preserve">and Community Development Act, as amended, </w:t>
      </w:r>
      <w:r w:rsidR="00FA2066">
        <w:t>are legal obstacles to reducing this information collection or making the collection less frequent. In addition, the submission of the Consolidated Plan is vital to the Department in determining the preliminary eligibility of grantee’s proposed projects for each program year.</w:t>
      </w:r>
      <w:r w:rsidR="0098414F">
        <w:t xml:space="preserve"> </w:t>
      </w:r>
    </w:p>
    <w:p w:rsidR="00234798" w:rsidRDefault="00234798" w:rsidP="007C6B57">
      <w:pPr>
        <w:pStyle w:val="ListParagraph"/>
      </w:pPr>
    </w:p>
    <w:p w:rsidR="00B0663E" w:rsidRPr="0098414F" w:rsidRDefault="00B0663E" w:rsidP="007C6B57">
      <w:pPr>
        <w:pStyle w:val="ListParagraph"/>
        <w:numPr>
          <w:ilvl w:val="0"/>
          <w:numId w:val="2"/>
        </w:numPr>
        <w:spacing w:after="0"/>
        <w:ind w:left="360"/>
        <w:rPr>
          <w:b/>
        </w:rPr>
      </w:pPr>
      <w:r w:rsidRPr="0098414F">
        <w:rPr>
          <w:b/>
        </w:rPr>
        <w:t>Explain any special circumstances that would cause an information collection to be conducted in a manner</w:t>
      </w:r>
      <w:r w:rsidR="0098414F" w:rsidRPr="0098414F">
        <w:rPr>
          <w:b/>
        </w:rPr>
        <w:t xml:space="preserve"> inconsistent with the guidelines.</w:t>
      </w:r>
      <w:r w:rsidRPr="0098414F">
        <w:rPr>
          <w:b/>
        </w:rPr>
        <w:t xml:space="preserve"> </w:t>
      </w:r>
    </w:p>
    <w:p w:rsidR="00B0663E" w:rsidRDefault="00B0663E" w:rsidP="007C6B57">
      <w:pPr>
        <w:pStyle w:val="ListParagraph"/>
        <w:numPr>
          <w:ilvl w:val="0"/>
          <w:numId w:val="3"/>
        </w:numPr>
        <w:spacing w:after="0"/>
        <w:ind w:left="1111"/>
      </w:pPr>
      <w:r>
        <w:t xml:space="preserve">requiring respondents to report information to the agency more often than quarterly; </w:t>
      </w:r>
    </w:p>
    <w:p w:rsidR="00B0663E" w:rsidRDefault="00B0663E" w:rsidP="007C6B57">
      <w:pPr>
        <w:pStyle w:val="ListParagraph"/>
        <w:numPr>
          <w:ilvl w:val="0"/>
          <w:numId w:val="3"/>
        </w:numPr>
        <w:spacing w:after="0"/>
        <w:ind w:left="1111"/>
      </w:pPr>
      <w:r>
        <w:t xml:space="preserve"> requiring respondents to prepare a written response to a collection of information in fewer than 30 days after receipt of it; </w:t>
      </w:r>
    </w:p>
    <w:p w:rsidR="00B0663E" w:rsidRDefault="00B0663E" w:rsidP="007C6B57">
      <w:pPr>
        <w:pStyle w:val="ListParagraph"/>
        <w:numPr>
          <w:ilvl w:val="0"/>
          <w:numId w:val="3"/>
        </w:numPr>
        <w:spacing w:after="0"/>
        <w:ind w:left="1111"/>
      </w:pPr>
      <w:r>
        <w:t xml:space="preserve">requiring respondents to submit more than an original and two copies of any document; </w:t>
      </w:r>
    </w:p>
    <w:p w:rsidR="00B0663E" w:rsidRDefault="00B0663E" w:rsidP="007C6B57">
      <w:pPr>
        <w:pStyle w:val="ListParagraph"/>
        <w:numPr>
          <w:ilvl w:val="0"/>
          <w:numId w:val="3"/>
        </w:numPr>
        <w:spacing w:after="0"/>
        <w:ind w:left="1111"/>
      </w:pPr>
      <w:r>
        <w:t>requiring respondents to retain records, other than  health, medical, government contract, grant-in-aid, or  tax records, for more than three years;</w:t>
      </w:r>
    </w:p>
    <w:p w:rsidR="00B0663E" w:rsidRDefault="00B0663E" w:rsidP="007C6B57">
      <w:pPr>
        <w:pStyle w:val="ListParagraph"/>
        <w:numPr>
          <w:ilvl w:val="0"/>
          <w:numId w:val="3"/>
        </w:numPr>
        <w:spacing w:after="0"/>
        <w:ind w:left="1111"/>
      </w:pPr>
      <w:r>
        <w:t xml:space="preserve">in connection with a statistical survey, that is not  designed to produce valid and reliable results that can  be generalized to the universe of study; </w:t>
      </w:r>
    </w:p>
    <w:p w:rsidR="00B0663E" w:rsidRDefault="00B0663E" w:rsidP="007C6B57">
      <w:pPr>
        <w:pStyle w:val="ListParagraph"/>
        <w:numPr>
          <w:ilvl w:val="0"/>
          <w:numId w:val="3"/>
        </w:numPr>
        <w:spacing w:after="0"/>
        <w:ind w:left="1111"/>
      </w:pPr>
      <w:r>
        <w:t xml:space="preserve">requiring the use of a statistical data classification that  has not been reviewed and approved by OMB; </w:t>
      </w:r>
    </w:p>
    <w:p w:rsidR="00B0663E" w:rsidRDefault="00B0663E" w:rsidP="007C6B57">
      <w:pPr>
        <w:pStyle w:val="ListParagraph"/>
        <w:numPr>
          <w:ilvl w:val="0"/>
          <w:numId w:val="3"/>
        </w:numPr>
        <w:spacing w:after="0"/>
        <w:ind w:left="1111"/>
      </w:pPr>
      <w: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B0663E" w:rsidRDefault="00B0663E" w:rsidP="007C6B57">
      <w:pPr>
        <w:pStyle w:val="ListParagraph"/>
        <w:numPr>
          <w:ilvl w:val="0"/>
          <w:numId w:val="3"/>
        </w:numPr>
        <w:spacing w:after="0"/>
        <w:ind w:left="1111"/>
      </w:pPr>
      <w:proofErr w:type="gramStart"/>
      <w:r>
        <w:t>requiring</w:t>
      </w:r>
      <w:proofErr w:type="gramEnd"/>
      <w:r>
        <w:t xml:space="preserve"> respondents to submit proprietary trade secrets, or other confidential information unless the agency can demonstrate that it has instituted procedures to protect the information's confidentiality to the extent permitted by law.</w:t>
      </w:r>
    </w:p>
    <w:p w:rsidR="00B0663E" w:rsidRDefault="00B0663E" w:rsidP="007C6B57">
      <w:pPr>
        <w:spacing w:after="0"/>
      </w:pPr>
    </w:p>
    <w:p w:rsidR="0030296F" w:rsidRDefault="0030296F" w:rsidP="007C6B57">
      <w:pPr>
        <w:spacing w:after="0"/>
      </w:pPr>
      <w:r>
        <w:t xml:space="preserve">This collection is conducted in a manner </w:t>
      </w:r>
      <w:r w:rsidR="002535EE">
        <w:t>consistent</w:t>
      </w:r>
      <w:r>
        <w:t xml:space="preserve"> with guidelines at 5 CFR 1320.5(d</w:t>
      </w:r>
      <w:proofErr w:type="gramStart"/>
      <w:r>
        <w:t>)(</w:t>
      </w:r>
      <w:proofErr w:type="gramEnd"/>
      <w:r>
        <w:t>2)</w:t>
      </w:r>
      <w:r w:rsidR="002535EE">
        <w:t>.</w:t>
      </w:r>
    </w:p>
    <w:p w:rsidR="0030296F" w:rsidRDefault="0030296F" w:rsidP="007C6B57">
      <w:pPr>
        <w:spacing w:after="0"/>
      </w:pPr>
    </w:p>
    <w:p w:rsidR="00B0663E" w:rsidRPr="008C6CF6" w:rsidRDefault="002535EE" w:rsidP="007C6B57">
      <w:pPr>
        <w:pStyle w:val="ListParagraph"/>
        <w:numPr>
          <w:ilvl w:val="0"/>
          <w:numId w:val="2"/>
        </w:numPr>
        <w:spacing w:after="0"/>
        <w:ind w:left="360"/>
      </w:pPr>
      <w:r w:rsidRPr="008C6CF6">
        <w:rPr>
          <w:b/>
        </w:rPr>
        <w:t>Consultation</w:t>
      </w:r>
      <w:r w:rsidRPr="008C6CF6">
        <w:t xml:space="preserve">. </w:t>
      </w:r>
      <w:r w:rsidR="00B0663E" w:rsidRPr="008C6CF6">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31980" w:rsidRPr="002B71A8" w:rsidRDefault="00F31980" w:rsidP="00F5124E">
      <w:pPr>
        <w:pStyle w:val="ListParagraph"/>
        <w:spacing w:after="0"/>
        <w:ind w:left="0"/>
        <w:rPr>
          <w:highlight w:val="yellow"/>
        </w:rPr>
      </w:pPr>
    </w:p>
    <w:p w:rsidR="00864F78" w:rsidRDefault="00D32168" w:rsidP="00F5124E">
      <w:pPr>
        <w:pStyle w:val="ListParagraph"/>
        <w:spacing w:after="0"/>
        <w:ind w:left="360"/>
      </w:pPr>
      <w:r>
        <w:lastRenderedPageBreak/>
        <w:t xml:space="preserve">HUD has conducted extensive outreach to grantees regarding enhancements to the Consolidated Plan.  </w:t>
      </w:r>
      <w:r w:rsidR="00864F78">
        <w:t xml:space="preserve">HUD staff have demonstrated improvements and sought feedback at grantee stakeholder conferences and nationwide webinars.  </w:t>
      </w:r>
      <w:r>
        <w:t xml:space="preserve">In all approximately 3,700 </w:t>
      </w:r>
      <w:r w:rsidR="00956FA2">
        <w:t>individuals representing grantees and other stakeholder groups</w:t>
      </w:r>
      <w:r w:rsidR="00864F78">
        <w:t xml:space="preserve"> have attended presentations and webinars.</w:t>
      </w:r>
      <w:r w:rsidR="00C609D8">
        <w:t xml:space="preserve"> HUD also hosted two one-month forums on HUD Ideas in Action, an interactive website where users can post ideas and comment and vote on the ideas of others.  The top vote-getting ideas from these forums are consistent with the proposed </w:t>
      </w:r>
      <w:r w:rsidR="00497E54">
        <w:t>collection</w:t>
      </w:r>
      <w:r w:rsidR="00C609D8">
        <w:t>.</w:t>
      </w:r>
      <w:r w:rsidR="007745E1">
        <w:t xml:space="preserve">  The notice was posted in the Federal Register on January 31, 2012, page 4824, and no comments were received.  </w:t>
      </w:r>
    </w:p>
    <w:p w:rsidR="00C609D8" w:rsidRDefault="00C609D8" w:rsidP="00F5124E">
      <w:pPr>
        <w:pStyle w:val="ListParagraph"/>
        <w:spacing w:after="0"/>
        <w:ind w:left="360"/>
      </w:pPr>
    </w:p>
    <w:p w:rsidR="00B0663E" w:rsidRPr="004D5EB4" w:rsidRDefault="00B0663E" w:rsidP="007C6B57">
      <w:pPr>
        <w:pStyle w:val="ListParagraph"/>
        <w:numPr>
          <w:ilvl w:val="0"/>
          <w:numId w:val="2"/>
        </w:numPr>
        <w:spacing w:after="0"/>
        <w:ind w:left="360"/>
        <w:rPr>
          <w:b/>
        </w:rPr>
      </w:pPr>
      <w:r w:rsidRPr="004D5EB4">
        <w:rPr>
          <w:b/>
        </w:rPr>
        <w:t>Explain any decision to provide any payment or gift to respondents, other than re-enumeration of contractors or grantees.</w:t>
      </w:r>
    </w:p>
    <w:p w:rsidR="00F5124E" w:rsidRDefault="00F5124E" w:rsidP="00F5124E">
      <w:pPr>
        <w:pStyle w:val="ListParagraph"/>
        <w:spacing w:after="0"/>
        <w:ind w:left="360"/>
      </w:pPr>
    </w:p>
    <w:p w:rsidR="00F5124E" w:rsidRDefault="00F5124E" w:rsidP="00F5124E">
      <w:pPr>
        <w:pStyle w:val="ListParagraph"/>
        <w:spacing w:after="0"/>
        <w:ind w:left="0"/>
      </w:pPr>
      <w:r>
        <w:t>There is no offer of monetary of material value to the respondents of this information collection (localities and state grantees).</w:t>
      </w:r>
    </w:p>
    <w:p w:rsidR="00B0663E" w:rsidRDefault="00B0663E" w:rsidP="007C6B57">
      <w:pPr>
        <w:pStyle w:val="ListParagraph"/>
        <w:ind w:left="360"/>
      </w:pPr>
    </w:p>
    <w:p w:rsidR="00B0663E" w:rsidRPr="004D5EB4" w:rsidRDefault="00B0663E" w:rsidP="007C6B57">
      <w:pPr>
        <w:pStyle w:val="ListParagraph"/>
        <w:numPr>
          <w:ilvl w:val="0"/>
          <w:numId w:val="2"/>
        </w:numPr>
        <w:spacing w:after="0"/>
        <w:ind w:left="360"/>
        <w:rPr>
          <w:b/>
        </w:rPr>
      </w:pPr>
      <w:r w:rsidRPr="004D5EB4">
        <w:rPr>
          <w:b/>
        </w:rPr>
        <w:t xml:space="preserve"> Describe any assurance of confidentiality provided to respondents and the basis for the assurance in statute, regulation, or agency policy.</w:t>
      </w:r>
    </w:p>
    <w:p w:rsidR="00B0663E" w:rsidRDefault="00B0663E" w:rsidP="004F6B3C">
      <w:pPr>
        <w:spacing w:after="0"/>
      </w:pPr>
    </w:p>
    <w:p w:rsidR="00F5124E" w:rsidRDefault="00F665B9" w:rsidP="004F6B3C">
      <w:pPr>
        <w:spacing w:after="0"/>
      </w:pPr>
      <w:r>
        <w:t>The Department does not make assurances of confidentiality pertaining to this information collection.</w:t>
      </w:r>
    </w:p>
    <w:p w:rsidR="00F5124E" w:rsidRDefault="00F5124E" w:rsidP="007C6B57">
      <w:pPr>
        <w:pStyle w:val="ListParagraph"/>
        <w:ind w:left="360"/>
      </w:pPr>
    </w:p>
    <w:p w:rsidR="00B0663E" w:rsidRDefault="00B0663E" w:rsidP="007C6B57">
      <w:pPr>
        <w:pStyle w:val="ListParagraph"/>
        <w:numPr>
          <w:ilvl w:val="0"/>
          <w:numId w:val="2"/>
        </w:numPr>
        <w:spacing w:after="0"/>
        <w:ind w:left="360"/>
      </w:pPr>
      <w:r w:rsidRPr="004D5EB4">
        <w:rPr>
          <w:b/>
        </w:rPr>
        <w:t>Provide additional justification for any questions of a sensitive nature</w:t>
      </w:r>
      <w:r>
        <w:t>,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0663E" w:rsidRDefault="00B0663E" w:rsidP="004F6B3C">
      <w:pPr>
        <w:pStyle w:val="ListParagraph"/>
        <w:spacing w:after="0"/>
        <w:ind w:left="360"/>
      </w:pPr>
    </w:p>
    <w:p w:rsidR="0095607C" w:rsidRDefault="00E9401B" w:rsidP="004F6B3C">
      <w:pPr>
        <w:spacing w:after="0"/>
      </w:pPr>
      <w:r>
        <w:t>There are no questions contained in this information collection regarding sensitive or private subjects.</w:t>
      </w:r>
    </w:p>
    <w:p w:rsidR="0095607C" w:rsidRDefault="0095607C" w:rsidP="007C6B57">
      <w:pPr>
        <w:pStyle w:val="ListParagraph"/>
        <w:ind w:left="360"/>
      </w:pPr>
    </w:p>
    <w:p w:rsidR="00B0663E" w:rsidRDefault="004F6B3C" w:rsidP="007C6B57">
      <w:pPr>
        <w:pStyle w:val="ListParagraph"/>
        <w:numPr>
          <w:ilvl w:val="0"/>
          <w:numId w:val="2"/>
        </w:numPr>
        <w:spacing w:after="0"/>
        <w:ind w:left="360"/>
      </w:pPr>
      <w:r w:rsidRPr="004F6B3C">
        <w:rPr>
          <w:b/>
        </w:rPr>
        <w:t>Estimates of reporting and recordkeeping hour and cost burdens of the collection of information.</w:t>
      </w:r>
      <w:r>
        <w:t xml:space="preserve"> </w:t>
      </w:r>
      <w:r w:rsidR="00B0663E">
        <w:t>Provide estimates of the hour burden of the collection of information. The statement should:</w:t>
      </w:r>
    </w:p>
    <w:p w:rsidR="00B0663E" w:rsidRDefault="00B0663E" w:rsidP="007C6B57">
      <w:pPr>
        <w:pStyle w:val="ListParagraph"/>
        <w:numPr>
          <w:ilvl w:val="0"/>
          <w:numId w:val="4"/>
        </w:numPr>
        <w:spacing w:after="0"/>
        <w:ind w:left="1080"/>
      </w:pPr>
      <w: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0663E" w:rsidRDefault="00B0663E" w:rsidP="007C6B57">
      <w:pPr>
        <w:pStyle w:val="ListParagraph"/>
        <w:numPr>
          <w:ilvl w:val="0"/>
          <w:numId w:val="4"/>
        </w:numPr>
        <w:spacing w:after="0"/>
        <w:ind w:left="1080"/>
      </w:pPr>
      <w:r>
        <w:t xml:space="preserve"> If this request for approval covers more than one form, provide separate hour burden estimates for each form and aggregate the hour burdens in Item 13 of OMB Form 83-I.</w:t>
      </w:r>
    </w:p>
    <w:p w:rsidR="00B0663E" w:rsidRDefault="00B0663E" w:rsidP="007C6B57">
      <w:pPr>
        <w:pStyle w:val="ListParagraph"/>
        <w:numPr>
          <w:ilvl w:val="0"/>
          <w:numId w:val="4"/>
        </w:numPr>
        <w:spacing w:after="0"/>
        <w:ind w:left="1080"/>
      </w:pPr>
      <w:r>
        <w:lastRenderedPageBreak/>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A1331D" w:rsidRDefault="00A1331D" w:rsidP="007C6B57">
      <w:pPr>
        <w:spacing w:after="0"/>
      </w:pPr>
    </w:p>
    <w:tbl>
      <w:tblPr>
        <w:tblStyle w:val="TableGrid"/>
        <w:tblW w:w="0" w:type="auto"/>
        <w:tblLook w:val="04A0"/>
      </w:tblPr>
      <w:tblGrid>
        <w:gridCol w:w="4158"/>
        <w:gridCol w:w="1710"/>
        <w:gridCol w:w="1710"/>
        <w:gridCol w:w="1998"/>
      </w:tblGrid>
      <w:tr w:rsidR="00A1331D" w:rsidTr="00A1331D">
        <w:tc>
          <w:tcPr>
            <w:tcW w:w="4158" w:type="dxa"/>
          </w:tcPr>
          <w:p w:rsidR="00A1331D" w:rsidRPr="00CC2491" w:rsidRDefault="00A1331D" w:rsidP="007C6B57">
            <w:pPr>
              <w:rPr>
                <w:b/>
              </w:rPr>
            </w:pPr>
            <w:r w:rsidRPr="00CC2491">
              <w:rPr>
                <w:b/>
              </w:rPr>
              <w:t>Task</w:t>
            </w:r>
          </w:p>
        </w:tc>
        <w:tc>
          <w:tcPr>
            <w:tcW w:w="1710" w:type="dxa"/>
          </w:tcPr>
          <w:p w:rsidR="00A1331D" w:rsidRPr="00CC2491" w:rsidRDefault="00A1331D" w:rsidP="00A1331D">
            <w:pPr>
              <w:jc w:val="center"/>
              <w:rPr>
                <w:b/>
              </w:rPr>
            </w:pPr>
            <w:r w:rsidRPr="00CC2491">
              <w:rPr>
                <w:b/>
              </w:rPr>
              <w:t>Number of Respondents</w:t>
            </w:r>
          </w:p>
        </w:tc>
        <w:tc>
          <w:tcPr>
            <w:tcW w:w="1710" w:type="dxa"/>
          </w:tcPr>
          <w:p w:rsidR="00A1331D" w:rsidRPr="00CC2491" w:rsidRDefault="00A1331D" w:rsidP="00A1331D">
            <w:pPr>
              <w:jc w:val="center"/>
              <w:rPr>
                <w:b/>
              </w:rPr>
            </w:pPr>
            <w:r w:rsidRPr="00CC2491">
              <w:rPr>
                <w:b/>
              </w:rPr>
              <w:t>Frequency of Response</w:t>
            </w:r>
          </w:p>
        </w:tc>
        <w:tc>
          <w:tcPr>
            <w:tcW w:w="1998" w:type="dxa"/>
          </w:tcPr>
          <w:p w:rsidR="00A1331D" w:rsidRPr="00CC2491" w:rsidRDefault="00A1331D" w:rsidP="00A1331D">
            <w:pPr>
              <w:jc w:val="center"/>
              <w:rPr>
                <w:b/>
              </w:rPr>
            </w:pPr>
            <w:r w:rsidRPr="00CC2491">
              <w:rPr>
                <w:b/>
              </w:rPr>
              <w:t>Total U.S. Burden Hours</w:t>
            </w:r>
          </w:p>
        </w:tc>
      </w:tr>
      <w:tr w:rsidR="00A1331D" w:rsidTr="00A1331D">
        <w:tc>
          <w:tcPr>
            <w:tcW w:w="4158" w:type="dxa"/>
          </w:tcPr>
          <w:p w:rsidR="00A1331D" w:rsidRPr="00CC2491" w:rsidRDefault="00A1331D" w:rsidP="007C6B57">
            <w:pPr>
              <w:rPr>
                <w:b/>
              </w:rPr>
            </w:pPr>
            <w:r w:rsidRPr="00CC2491">
              <w:rPr>
                <w:b/>
              </w:rPr>
              <w:t>Consolidated Plan</w:t>
            </w:r>
          </w:p>
        </w:tc>
        <w:tc>
          <w:tcPr>
            <w:tcW w:w="1710" w:type="dxa"/>
          </w:tcPr>
          <w:p w:rsidR="00A1331D" w:rsidRDefault="00A1331D" w:rsidP="00CC2491">
            <w:pPr>
              <w:jc w:val="right"/>
            </w:pPr>
          </w:p>
        </w:tc>
        <w:tc>
          <w:tcPr>
            <w:tcW w:w="1710" w:type="dxa"/>
          </w:tcPr>
          <w:p w:rsidR="00A1331D" w:rsidRDefault="00A1331D" w:rsidP="00CC2491">
            <w:pPr>
              <w:jc w:val="right"/>
            </w:pPr>
          </w:p>
        </w:tc>
        <w:tc>
          <w:tcPr>
            <w:tcW w:w="1998" w:type="dxa"/>
          </w:tcPr>
          <w:p w:rsidR="00A1331D" w:rsidRDefault="00A1331D" w:rsidP="00CC2491">
            <w:pPr>
              <w:jc w:val="right"/>
            </w:pPr>
          </w:p>
        </w:tc>
      </w:tr>
      <w:tr w:rsidR="00A1331D" w:rsidTr="00A1331D">
        <w:tc>
          <w:tcPr>
            <w:tcW w:w="4158" w:type="dxa"/>
          </w:tcPr>
          <w:p w:rsidR="00A1331D" w:rsidRPr="00CC2491" w:rsidRDefault="00CC2491" w:rsidP="007C6B57">
            <w:pPr>
              <w:rPr>
                <w:i/>
              </w:rPr>
            </w:pPr>
            <w:r w:rsidRPr="00CC2491">
              <w:rPr>
                <w:i/>
              </w:rPr>
              <w:t>Localities</w:t>
            </w:r>
          </w:p>
          <w:p w:rsidR="00CC2491" w:rsidRDefault="00CC2491" w:rsidP="00CC2491">
            <w:pPr>
              <w:pStyle w:val="ListParagraph"/>
              <w:numPr>
                <w:ilvl w:val="0"/>
                <w:numId w:val="10"/>
              </w:numPr>
            </w:pPr>
            <w:r>
              <w:t>Strategic Plan Development</w:t>
            </w:r>
          </w:p>
          <w:p w:rsidR="00CC2491" w:rsidRDefault="00CC2491" w:rsidP="00CC2491">
            <w:pPr>
              <w:pStyle w:val="ListParagraph"/>
              <w:numPr>
                <w:ilvl w:val="0"/>
                <w:numId w:val="10"/>
              </w:numPr>
            </w:pPr>
            <w:r>
              <w:t>Action Plan Development</w:t>
            </w:r>
          </w:p>
        </w:tc>
        <w:tc>
          <w:tcPr>
            <w:tcW w:w="1710" w:type="dxa"/>
          </w:tcPr>
          <w:p w:rsidR="00CC2491" w:rsidRDefault="00CC2491" w:rsidP="00CC2491">
            <w:pPr>
              <w:jc w:val="right"/>
            </w:pPr>
          </w:p>
          <w:p w:rsidR="00A1331D" w:rsidRDefault="00CC2491" w:rsidP="00CC2491">
            <w:pPr>
              <w:jc w:val="right"/>
            </w:pPr>
            <w:r>
              <w:t>1,000</w:t>
            </w:r>
          </w:p>
          <w:p w:rsidR="00CC2491" w:rsidRDefault="00CC2491" w:rsidP="00CC2491">
            <w:pPr>
              <w:jc w:val="right"/>
            </w:pPr>
            <w:r>
              <w:t>1,000</w:t>
            </w:r>
          </w:p>
        </w:tc>
        <w:tc>
          <w:tcPr>
            <w:tcW w:w="1710" w:type="dxa"/>
          </w:tcPr>
          <w:p w:rsidR="00A1331D" w:rsidRDefault="00A1331D" w:rsidP="00CC2491">
            <w:pPr>
              <w:jc w:val="right"/>
            </w:pPr>
          </w:p>
          <w:p w:rsidR="00CC2491" w:rsidRDefault="00CC2491" w:rsidP="00CC2491">
            <w:pPr>
              <w:jc w:val="right"/>
            </w:pPr>
            <w:r>
              <w:t>1</w:t>
            </w:r>
          </w:p>
          <w:p w:rsidR="00CC2491" w:rsidRDefault="00CC2491" w:rsidP="00CC2491">
            <w:pPr>
              <w:jc w:val="right"/>
            </w:pPr>
            <w:r>
              <w:t>1</w:t>
            </w:r>
          </w:p>
        </w:tc>
        <w:tc>
          <w:tcPr>
            <w:tcW w:w="1998" w:type="dxa"/>
          </w:tcPr>
          <w:p w:rsidR="00A1331D" w:rsidRDefault="00A1331D" w:rsidP="00CC2491">
            <w:pPr>
              <w:jc w:val="right"/>
            </w:pPr>
          </w:p>
          <w:p w:rsidR="00750A47" w:rsidRDefault="00750A47" w:rsidP="00CC2491">
            <w:pPr>
              <w:jc w:val="right"/>
            </w:pPr>
            <w:r>
              <w:t>154,000</w:t>
            </w:r>
          </w:p>
          <w:p w:rsidR="00750A47" w:rsidRDefault="00750A47" w:rsidP="00CC2491">
            <w:pPr>
              <w:jc w:val="right"/>
            </w:pPr>
            <w:r>
              <w:t>56,000</w:t>
            </w:r>
          </w:p>
        </w:tc>
      </w:tr>
      <w:tr w:rsidR="00A1331D" w:rsidTr="00A1331D">
        <w:tc>
          <w:tcPr>
            <w:tcW w:w="4158" w:type="dxa"/>
          </w:tcPr>
          <w:p w:rsidR="00A1331D" w:rsidRDefault="00CC2491" w:rsidP="007C6B57">
            <w:pPr>
              <w:rPr>
                <w:i/>
              </w:rPr>
            </w:pPr>
            <w:r w:rsidRPr="00CC2491">
              <w:rPr>
                <w:i/>
              </w:rPr>
              <w:t>States</w:t>
            </w:r>
          </w:p>
          <w:p w:rsidR="00CC2491" w:rsidRDefault="00CC2491" w:rsidP="00CC2491">
            <w:pPr>
              <w:pStyle w:val="ListParagraph"/>
              <w:numPr>
                <w:ilvl w:val="0"/>
                <w:numId w:val="11"/>
              </w:numPr>
            </w:pPr>
            <w:r>
              <w:t>Strategic Plan Development</w:t>
            </w:r>
          </w:p>
          <w:p w:rsidR="00CC2491" w:rsidRPr="00CC2491" w:rsidRDefault="00CC2491" w:rsidP="00CC2491">
            <w:pPr>
              <w:pStyle w:val="ListParagraph"/>
              <w:numPr>
                <w:ilvl w:val="0"/>
                <w:numId w:val="11"/>
              </w:numPr>
            </w:pPr>
            <w:r>
              <w:t>Action Plan Development</w:t>
            </w:r>
          </w:p>
        </w:tc>
        <w:tc>
          <w:tcPr>
            <w:tcW w:w="1710" w:type="dxa"/>
          </w:tcPr>
          <w:p w:rsidR="00CC2491" w:rsidRDefault="00CC2491" w:rsidP="00CC2491">
            <w:pPr>
              <w:jc w:val="right"/>
            </w:pPr>
          </w:p>
          <w:p w:rsidR="00CC2491" w:rsidRDefault="00CC2491" w:rsidP="00CC2491">
            <w:pPr>
              <w:jc w:val="right"/>
            </w:pPr>
            <w:r>
              <w:t>50</w:t>
            </w:r>
          </w:p>
          <w:p w:rsidR="00CC2491" w:rsidRDefault="00CC2491" w:rsidP="00CC2491">
            <w:pPr>
              <w:jc w:val="right"/>
            </w:pPr>
            <w:r>
              <w:t>50</w:t>
            </w:r>
          </w:p>
        </w:tc>
        <w:tc>
          <w:tcPr>
            <w:tcW w:w="1710" w:type="dxa"/>
          </w:tcPr>
          <w:p w:rsidR="00A1331D" w:rsidRDefault="00A1331D" w:rsidP="00CC2491">
            <w:pPr>
              <w:jc w:val="right"/>
            </w:pPr>
          </w:p>
          <w:p w:rsidR="00CC2491" w:rsidRDefault="00CC2491" w:rsidP="00CC2491">
            <w:pPr>
              <w:jc w:val="right"/>
            </w:pPr>
            <w:r>
              <w:t>1</w:t>
            </w:r>
            <w:r>
              <w:br/>
              <w:t>1</w:t>
            </w:r>
          </w:p>
        </w:tc>
        <w:tc>
          <w:tcPr>
            <w:tcW w:w="1998" w:type="dxa"/>
          </w:tcPr>
          <w:p w:rsidR="00A1331D" w:rsidRDefault="00A1331D" w:rsidP="00CC2491">
            <w:pPr>
              <w:jc w:val="right"/>
            </w:pPr>
          </w:p>
          <w:p w:rsidR="00750A47" w:rsidRDefault="00750A47" w:rsidP="00CC2491">
            <w:pPr>
              <w:jc w:val="right"/>
            </w:pPr>
            <w:r>
              <w:t>21,150</w:t>
            </w:r>
          </w:p>
          <w:p w:rsidR="00750A47" w:rsidRDefault="00750A47" w:rsidP="00CC2491">
            <w:pPr>
              <w:jc w:val="right"/>
            </w:pPr>
            <w:r>
              <w:t>9,350</w:t>
            </w:r>
          </w:p>
        </w:tc>
      </w:tr>
      <w:tr w:rsidR="00A1331D" w:rsidTr="00A1331D">
        <w:tc>
          <w:tcPr>
            <w:tcW w:w="4158" w:type="dxa"/>
          </w:tcPr>
          <w:p w:rsidR="00A1331D" w:rsidRDefault="00CC2491" w:rsidP="007C6B57">
            <w:pPr>
              <w:rPr>
                <w:b/>
              </w:rPr>
            </w:pPr>
            <w:r w:rsidRPr="00CC2491">
              <w:rPr>
                <w:b/>
              </w:rPr>
              <w:t>Performance Report</w:t>
            </w:r>
          </w:p>
          <w:p w:rsidR="00CC2491" w:rsidRPr="00CC2491" w:rsidRDefault="00CC2491" w:rsidP="007C6B57">
            <w:pPr>
              <w:rPr>
                <w:i/>
              </w:rPr>
            </w:pPr>
            <w:r w:rsidRPr="00CC2491">
              <w:rPr>
                <w:i/>
              </w:rPr>
              <w:t>Localities</w:t>
            </w:r>
          </w:p>
          <w:p w:rsidR="00CC2491" w:rsidRPr="00CC2491" w:rsidRDefault="00CC2491" w:rsidP="007C6B57">
            <w:pPr>
              <w:rPr>
                <w:b/>
              </w:rPr>
            </w:pPr>
            <w:r w:rsidRPr="00CC2491">
              <w:rPr>
                <w:i/>
              </w:rPr>
              <w:t>States</w:t>
            </w:r>
          </w:p>
        </w:tc>
        <w:tc>
          <w:tcPr>
            <w:tcW w:w="1710" w:type="dxa"/>
          </w:tcPr>
          <w:p w:rsidR="00A1331D" w:rsidRDefault="00A1331D" w:rsidP="00CC2491">
            <w:pPr>
              <w:jc w:val="right"/>
            </w:pPr>
          </w:p>
          <w:p w:rsidR="00CC2491" w:rsidRDefault="00CC2491" w:rsidP="00CC2491">
            <w:pPr>
              <w:jc w:val="right"/>
            </w:pPr>
            <w:r>
              <w:t>1,000</w:t>
            </w:r>
          </w:p>
          <w:p w:rsidR="00CC2491" w:rsidRDefault="00CC2491" w:rsidP="00CC2491">
            <w:pPr>
              <w:jc w:val="right"/>
            </w:pPr>
            <w:r>
              <w:t>50</w:t>
            </w:r>
          </w:p>
        </w:tc>
        <w:tc>
          <w:tcPr>
            <w:tcW w:w="1710" w:type="dxa"/>
          </w:tcPr>
          <w:p w:rsidR="00A1331D" w:rsidRDefault="00A1331D" w:rsidP="00CC2491">
            <w:pPr>
              <w:jc w:val="right"/>
            </w:pPr>
          </w:p>
          <w:p w:rsidR="00CC2491" w:rsidRDefault="00CC2491" w:rsidP="00CC2491">
            <w:pPr>
              <w:jc w:val="right"/>
            </w:pPr>
            <w:r>
              <w:t>1</w:t>
            </w:r>
          </w:p>
          <w:p w:rsidR="00CC2491" w:rsidRDefault="00CC2491" w:rsidP="00CC2491">
            <w:pPr>
              <w:jc w:val="right"/>
            </w:pPr>
            <w:r>
              <w:t>1</w:t>
            </w:r>
          </w:p>
        </w:tc>
        <w:tc>
          <w:tcPr>
            <w:tcW w:w="1998" w:type="dxa"/>
          </w:tcPr>
          <w:p w:rsidR="00A1331D" w:rsidRDefault="00A1331D" w:rsidP="00CC2491">
            <w:pPr>
              <w:jc w:val="right"/>
            </w:pPr>
          </w:p>
          <w:p w:rsidR="00750A47" w:rsidRDefault="00750A47" w:rsidP="00CC2491">
            <w:pPr>
              <w:jc w:val="right"/>
            </w:pPr>
            <w:r>
              <w:t>81,000</w:t>
            </w:r>
          </w:p>
          <w:p w:rsidR="00750A47" w:rsidRDefault="00E5253C" w:rsidP="00CC2491">
            <w:pPr>
              <w:jc w:val="right"/>
            </w:pPr>
            <w:r>
              <w:t>6,300</w:t>
            </w:r>
          </w:p>
        </w:tc>
      </w:tr>
      <w:tr w:rsidR="00A1331D" w:rsidTr="00A1331D">
        <w:tc>
          <w:tcPr>
            <w:tcW w:w="4158" w:type="dxa"/>
          </w:tcPr>
          <w:p w:rsidR="00A1331D" w:rsidRPr="00CC2491" w:rsidRDefault="00CC2491" w:rsidP="007C6B57">
            <w:pPr>
              <w:rPr>
                <w:b/>
              </w:rPr>
            </w:pPr>
            <w:r w:rsidRPr="00CC2491">
              <w:rPr>
                <w:b/>
              </w:rPr>
              <w:t>*Abbreviated Strategy</w:t>
            </w:r>
          </w:p>
        </w:tc>
        <w:tc>
          <w:tcPr>
            <w:tcW w:w="1710" w:type="dxa"/>
          </w:tcPr>
          <w:p w:rsidR="00A1331D" w:rsidRDefault="00CC2491" w:rsidP="00CC2491">
            <w:pPr>
              <w:jc w:val="right"/>
            </w:pPr>
            <w:r>
              <w:t>100</w:t>
            </w:r>
          </w:p>
        </w:tc>
        <w:tc>
          <w:tcPr>
            <w:tcW w:w="1710" w:type="dxa"/>
          </w:tcPr>
          <w:p w:rsidR="00A1331D" w:rsidRDefault="00A1331D" w:rsidP="00CC2491">
            <w:pPr>
              <w:jc w:val="right"/>
            </w:pPr>
          </w:p>
        </w:tc>
        <w:tc>
          <w:tcPr>
            <w:tcW w:w="1998" w:type="dxa"/>
          </w:tcPr>
          <w:p w:rsidR="00A1331D" w:rsidRDefault="00CC2491" w:rsidP="00CC2491">
            <w:pPr>
              <w:jc w:val="right"/>
            </w:pPr>
            <w:r>
              <w:t>8,200</w:t>
            </w:r>
          </w:p>
        </w:tc>
      </w:tr>
      <w:tr w:rsidR="00A1331D" w:rsidTr="00CC2491">
        <w:trPr>
          <w:trHeight w:val="269"/>
        </w:trPr>
        <w:tc>
          <w:tcPr>
            <w:tcW w:w="4158" w:type="dxa"/>
          </w:tcPr>
          <w:p w:rsidR="00A1331D" w:rsidRPr="00CC2491" w:rsidRDefault="00CC2491" w:rsidP="007C6B57">
            <w:pPr>
              <w:rPr>
                <w:b/>
              </w:rPr>
            </w:pPr>
            <w:r w:rsidRPr="00CC2491">
              <w:rPr>
                <w:b/>
              </w:rPr>
              <w:t>Total</w:t>
            </w:r>
          </w:p>
        </w:tc>
        <w:tc>
          <w:tcPr>
            <w:tcW w:w="1710" w:type="dxa"/>
          </w:tcPr>
          <w:p w:rsidR="00A1331D" w:rsidRDefault="00CC2491" w:rsidP="00CC2491">
            <w:pPr>
              <w:jc w:val="right"/>
            </w:pPr>
            <w:r>
              <w:t>1,150</w:t>
            </w:r>
          </w:p>
        </w:tc>
        <w:tc>
          <w:tcPr>
            <w:tcW w:w="1710" w:type="dxa"/>
          </w:tcPr>
          <w:p w:rsidR="00A1331D" w:rsidRDefault="00A1331D" w:rsidP="00CC2491">
            <w:pPr>
              <w:jc w:val="right"/>
            </w:pPr>
          </w:p>
        </w:tc>
        <w:tc>
          <w:tcPr>
            <w:tcW w:w="1998" w:type="dxa"/>
          </w:tcPr>
          <w:p w:rsidR="00A1331D" w:rsidRDefault="00E5253C" w:rsidP="00CC2491">
            <w:pPr>
              <w:jc w:val="right"/>
            </w:pPr>
            <w:r>
              <w:t>336,000</w:t>
            </w:r>
          </w:p>
        </w:tc>
      </w:tr>
    </w:tbl>
    <w:p w:rsidR="00A1331D" w:rsidRDefault="00A1331D" w:rsidP="007C6B57">
      <w:pPr>
        <w:spacing w:after="0"/>
      </w:pPr>
    </w:p>
    <w:p w:rsidR="00CC2491" w:rsidRDefault="00CC2491" w:rsidP="007C6B57">
      <w:pPr>
        <w:spacing w:after="0"/>
      </w:pPr>
      <w:r>
        <w:t>*Abbreviated strategy is an abbreviated plan submitted by a local jurisdiction that does not receive direct CDBG or HOME funding. An abbreviated strategy must contain sufficient information about the needs, resources, and planned activities to address the type and amount of assistance anticipated to be funded by HUD. (See 24 CFR 91.235)</w:t>
      </w:r>
    </w:p>
    <w:p w:rsidR="00CC2491" w:rsidRDefault="00CC2491" w:rsidP="007C6B57">
      <w:pPr>
        <w:spacing w:after="0"/>
      </w:pPr>
    </w:p>
    <w:p w:rsidR="00CC2491" w:rsidRDefault="00CC2491" w:rsidP="007C6B57">
      <w:pPr>
        <w:spacing w:after="0"/>
      </w:pPr>
      <w:r>
        <w:t xml:space="preserve">A complete Consolidated Plan that contains a Strategic Plan and Annual Action Plan is submitted once every 3-5 years. An Annual Action Plan is submitted once a year. The total number of respondents is 1,150. These include 1,000 local governments and 50 states that receive direct CDBG or HOME funding and are required to submit a complete Consolidated Plan, Annual Action Plan, and </w:t>
      </w:r>
      <w:r w:rsidR="003022DE">
        <w:t>A</w:t>
      </w:r>
      <w:r>
        <w:t xml:space="preserve">nnual </w:t>
      </w:r>
      <w:r w:rsidR="003022DE">
        <w:t>P</w:t>
      </w:r>
      <w:r>
        <w:t xml:space="preserve">erformance </w:t>
      </w:r>
      <w:r w:rsidR="003022DE">
        <w:t>R</w:t>
      </w:r>
      <w:r>
        <w:t xml:space="preserve">eport. Approximately 100 jurisdictions that do not receive direct CDBG or HOME funding submit and abbreviated strategy that is appropriate to the type and amount of assistance sought from HUD. The total number of burden hours is </w:t>
      </w:r>
      <w:r w:rsidR="003022DE">
        <w:t>336,000</w:t>
      </w:r>
      <w:r>
        <w:t xml:space="preserve">. The following are estimates of annual costs to respondents for the preparation of a complete Consolidated Plan, Annual Action plan and </w:t>
      </w:r>
      <w:r w:rsidR="003022DE">
        <w:t>A</w:t>
      </w:r>
      <w:r>
        <w:t xml:space="preserve">nnual </w:t>
      </w:r>
      <w:r w:rsidR="003022DE">
        <w:t>P</w:t>
      </w:r>
      <w:r>
        <w:t xml:space="preserve">erformance </w:t>
      </w:r>
      <w:r w:rsidR="003022DE">
        <w:t>R</w:t>
      </w:r>
      <w:r>
        <w:t>eport:</w:t>
      </w:r>
    </w:p>
    <w:p w:rsidR="00CC2491" w:rsidRDefault="00CC2491" w:rsidP="007C6B57">
      <w:pPr>
        <w:spacing w:after="0"/>
      </w:pPr>
    </w:p>
    <w:p w:rsidR="00CC2491" w:rsidRDefault="00CC2491" w:rsidP="007C6B57">
      <w:pPr>
        <w:spacing w:after="0"/>
        <w:rPr>
          <w:b/>
        </w:rPr>
      </w:pPr>
      <w:r w:rsidRPr="00CC2491">
        <w:rPr>
          <w:b/>
        </w:rPr>
        <w:t xml:space="preserve">Consolidated Plan Respondent Cost </w:t>
      </w:r>
      <w:r w:rsidR="00E4546B">
        <w:rPr>
          <w:b/>
        </w:rPr>
        <w:t>P</w:t>
      </w:r>
      <w:r w:rsidRPr="00CC2491">
        <w:rPr>
          <w:b/>
        </w:rPr>
        <w:t>er Site</w:t>
      </w:r>
      <w:r>
        <w:rPr>
          <w:b/>
        </w:rPr>
        <w:t>:</w:t>
      </w:r>
    </w:p>
    <w:p w:rsidR="00CC2491" w:rsidRPr="00CC2491" w:rsidRDefault="00CC2491" w:rsidP="007C6B57">
      <w:pPr>
        <w:spacing w:after="0"/>
        <w:rPr>
          <w:i/>
        </w:rPr>
      </w:pPr>
      <w:r w:rsidRPr="00CC2491">
        <w:rPr>
          <w:i/>
        </w:rPr>
        <w:t>Localities</w:t>
      </w:r>
    </w:p>
    <w:p w:rsidR="00CC2491" w:rsidRDefault="00CC2491" w:rsidP="00CC2491">
      <w:pPr>
        <w:pStyle w:val="ListParagraph"/>
        <w:numPr>
          <w:ilvl w:val="0"/>
          <w:numId w:val="12"/>
        </w:numPr>
        <w:spacing w:after="0"/>
      </w:pPr>
      <w:r>
        <w:t>Strategic Plan</w:t>
      </w:r>
      <w:r w:rsidR="00E4546B">
        <w:t xml:space="preserve"> ($26 per hr x 154 hrs) =$4,004</w:t>
      </w:r>
    </w:p>
    <w:p w:rsidR="00CC2491" w:rsidRDefault="00CC2491" w:rsidP="00CC2491">
      <w:pPr>
        <w:pStyle w:val="ListParagraph"/>
        <w:numPr>
          <w:ilvl w:val="0"/>
          <w:numId w:val="12"/>
        </w:numPr>
        <w:spacing w:after="0"/>
      </w:pPr>
      <w:r>
        <w:t>Annual Action Plan</w:t>
      </w:r>
      <w:r w:rsidR="00E4546B">
        <w:t xml:space="preserve"> ($26 per hr x 56 hrs) = $1,456</w:t>
      </w:r>
    </w:p>
    <w:p w:rsidR="00E4546B" w:rsidRPr="00CC2491" w:rsidRDefault="00E4546B" w:rsidP="00E4546B">
      <w:pPr>
        <w:spacing w:after="0"/>
      </w:pPr>
    </w:p>
    <w:p w:rsidR="00CC2491" w:rsidRPr="00CC2491" w:rsidRDefault="00CC2491" w:rsidP="007C6B57">
      <w:pPr>
        <w:spacing w:after="0"/>
        <w:rPr>
          <w:i/>
        </w:rPr>
      </w:pPr>
      <w:r w:rsidRPr="00CC2491">
        <w:rPr>
          <w:i/>
        </w:rPr>
        <w:t>States</w:t>
      </w:r>
    </w:p>
    <w:p w:rsidR="00CC2491" w:rsidRDefault="00CC2491" w:rsidP="00CC2491">
      <w:pPr>
        <w:pStyle w:val="ListParagraph"/>
        <w:numPr>
          <w:ilvl w:val="0"/>
          <w:numId w:val="12"/>
        </w:numPr>
        <w:spacing w:after="0"/>
      </w:pPr>
      <w:r>
        <w:t>Strategic Plan</w:t>
      </w:r>
      <w:r w:rsidR="00E4546B">
        <w:t xml:space="preserve"> ($26 per hr x 423 hrs) = $10, 998</w:t>
      </w:r>
    </w:p>
    <w:p w:rsidR="00CC2491" w:rsidRPr="00CC2491" w:rsidRDefault="00CC2491" w:rsidP="00CC2491">
      <w:pPr>
        <w:pStyle w:val="ListParagraph"/>
        <w:numPr>
          <w:ilvl w:val="0"/>
          <w:numId w:val="12"/>
        </w:numPr>
        <w:spacing w:after="0"/>
      </w:pPr>
      <w:r>
        <w:t>Annual Action Plan</w:t>
      </w:r>
      <w:r w:rsidR="00E4546B">
        <w:t xml:space="preserve"> ($26 x </w:t>
      </w:r>
      <w:r w:rsidR="00AC33FB">
        <w:t>187</w:t>
      </w:r>
      <w:r w:rsidR="00E4546B">
        <w:t xml:space="preserve"> hrs) = $</w:t>
      </w:r>
      <w:r w:rsidR="00AC33FB">
        <w:t>4,826</w:t>
      </w:r>
    </w:p>
    <w:p w:rsidR="004F6B3C" w:rsidRDefault="004F6B3C" w:rsidP="004F6B3C">
      <w:pPr>
        <w:pStyle w:val="ListParagraph"/>
        <w:spacing w:after="0"/>
      </w:pPr>
    </w:p>
    <w:p w:rsidR="004B51E3" w:rsidRDefault="00E4546B" w:rsidP="00E4546B">
      <w:pPr>
        <w:spacing w:after="0"/>
        <w:rPr>
          <w:b/>
        </w:rPr>
      </w:pPr>
      <w:r w:rsidRPr="00E4546B">
        <w:rPr>
          <w:b/>
        </w:rPr>
        <w:lastRenderedPageBreak/>
        <w:t>Annual Performance Report Cost Per Site:</w:t>
      </w:r>
    </w:p>
    <w:p w:rsidR="00AC33FB" w:rsidRPr="00AC33FB" w:rsidRDefault="00AC33FB" w:rsidP="00E4546B">
      <w:pPr>
        <w:spacing w:after="0"/>
      </w:pPr>
      <w:r w:rsidRPr="00AC33FB">
        <w:rPr>
          <w:i/>
        </w:rPr>
        <w:t>Localities</w:t>
      </w:r>
      <w:r>
        <w:rPr>
          <w:i/>
        </w:rPr>
        <w:t xml:space="preserve"> </w:t>
      </w:r>
      <w:r>
        <w:t>($26 per hr x 81 hrs) = $2,106</w:t>
      </w:r>
    </w:p>
    <w:p w:rsidR="00AC33FB" w:rsidRPr="00AC33FB" w:rsidRDefault="00AC33FB" w:rsidP="00E4546B">
      <w:pPr>
        <w:spacing w:after="0"/>
        <w:rPr>
          <w:i/>
        </w:rPr>
      </w:pPr>
      <w:r w:rsidRPr="00AC33FB">
        <w:rPr>
          <w:i/>
        </w:rPr>
        <w:t>States</w:t>
      </w:r>
      <w:r>
        <w:rPr>
          <w:i/>
        </w:rPr>
        <w:t xml:space="preserve"> </w:t>
      </w:r>
      <w:r w:rsidRPr="00AC33FB">
        <w:t>($26 per hr x</w:t>
      </w:r>
      <w:r>
        <w:t xml:space="preserve"> 126 hrs) = $3,276</w:t>
      </w:r>
    </w:p>
    <w:p w:rsidR="00E4546B" w:rsidRDefault="00E4546B" w:rsidP="00E4546B">
      <w:pPr>
        <w:spacing w:after="0"/>
      </w:pPr>
    </w:p>
    <w:p w:rsidR="00B0663E" w:rsidRDefault="004F6B3C" w:rsidP="004F6B3C">
      <w:pPr>
        <w:pStyle w:val="ListParagraph"/>
        <w:numPr>
          <w:ilvl w:val="0"/>
          <w:numId w:val="2"/>
        </w:numPr>
        <w:spacing w:after="0"/>
        <w:ind w:left="360"/>
      </w:pPr>
      <w:r w:rsidRPr="004F6B3C">
        <w:rPr>
          <w:b/>
        </w:rPr>
        <w:t>Estimates of annualized capital and start-up costs.</w:t>
      </w:r>
      <w:r>
        <w:t xml:space="preserve"> </w:t>
      </w:r>
      <w:r w:rsidR="00B0663E">
        <w:t>Provide an estimate for the total annual cost burden to respondents or record keepers resulting from the collection of information. (Do not include the cost of any hour burden shown in Items 12 and 14).</w:t>
      </w:r>
    </w:p>
    <w:p w:rsidR="00B0663E" w:rsidRDefault="00B0663E" w:rsidP="007C6B57">
      <w:pPr>
        <w:pStyle w:val="ListParagraph"/>
        <w:numPr>
          <w:ilvl w:val="0"/>
          <w:numId w:val="5"/>
        </w:numPr>
        <w:spacing w:after="0"/>
        <w:ind w:left="1440"/>
      </w:pPr>
      <w: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0663E" w:rsidRDefault="00B0663E" w:rsidP="007C6B57">
      <w:pPr>
        <w:pStyle w:val="ListParagraph"/>
        <w:numPr>
          <w:ilvl w:val="0"/>
          <w:numId w:val="5"/>
        </w:numPr>
        <w:spacing w:after="0"/>
        <w:ind w:left="1440"/>
      </w:pPr>
      <w: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use10/95 existing economic or regulatory impact analysis associated with the rulemaking containing the information collection, as appropriate.</w:t>
      </w:r>
    </w:p>
    <w:p w:rsidR="00B0663E" w:rsidRDefault="00B0663E" w:rsidP="007C6B57">
      <w:pPr>
        <w:pStyle w:val="ListParagraph"/>
        <w:numPr>
          <w:ilvl w:val="0"/>
          <w:numId w:val="5"/>
        </w:numPr>
        <w:spacing w:after="0"/>
        <w:ind w:left="1440"/>
      </w:pPr>
      <w: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F6274F">
        <w:t>government</w:t>
      </w:r>
      <w:r>
        <w:t xml:space="preserve"> or (4) as part of customary and usual business or private practices.</w:t>
      </w:r>
    </w:p>
    <w:p w:rsidR="0037513C" w:rsidRDefault="0037513C" w:rsidP="0037513C">
      <w:pPr>
        <w:spacing w:after="0"/>
      </w:pPr>
    </w:p>
    <w:p w:rsidR="0037513C" w:rsidRDefault="00BE7FF7" w:rsidP="0037513C">
      <w:pPr>
        <w:spacing w:after="0"/>
      </w:pPr>
      <w:r>
        <w:t>There is no additional cost to respondents or record keepers for collection of this information for the elements: (a) a total capital and start-up cost component (annualized over its expected useful life) and (b) a total operation and maintenance and purchase of services component.</w:t>
      </w:r>
    </w:p>
    <w:p w:rsidR="00B0663E" w:rsidRDefault="00B0663E" w:rsidP="007C6B57">
      <w:pPr>
        <w:spacing w:after="0"/>
      </w:pPr>
    </w:p>
    <w:p w:rsidR="00B0663E" w:rsidRPr="00F31980" w:rsidRDefault="004F6B3C" w:rsidP="007C6B57">
      <w:pPr>
        <w:pStyle w:val="ListParagraph"/>
        <w:numPr>
          <w:ilvl w:val="0"/>
          <w:numId w:val="2"/>
        </w:numPr>
        <w:spacing w:after="0"/>
        <w:ind w:left="360"/>
      </w:pPr>
      <w:r>
        <w:t xml:space="preserve"> </w:t>
      </w:r>
      <w:r w:rsidRPr="00F31980">
        <w:rPr>
          <w:b/>
        </w:rPr>
        <w:t>Estimates of annualized Federal Government Costs</w:t>
      </w:r>
      <w:r w:rsidRPr="00F31980">
        <w:t xml:space="preserve">. </w:t>
      </w:r>
      <w:r w:rsidR="00B0663E" w:rsidRPr="00F31980">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B0663E" w:rsidRDefault="00B0663E" w:rsidP="007C6B57">
      <w:pPr>
        <w:spacing w:after="0"/>
      </w:pPr>
    </w:p>
    <w:p w:rsidR="00BE7FF7" w:rsidRDefault="00BE7FF7" w:rsidP="007C6B57">
      <w:pPr>
        <w:spacing w:after="0"/>
      </w:pPr>
      <w:r>
        <w:t xml:space="preserve">Consolidated Plan </w:t>
      </w:r>
      <w:r w:rsidR="002B71A8">
        <w:t>and Annual</w:t>
      </w:r>
      <w:r w:rsidR="003022DE">
        <w:t xml:space="preserve"> </w:t>
      </w:r>
      <w:r>
        <w:t>Performance Report</w:t>
      </w:r>
    </w:p>
    <w:p w:rsidR="00BE7FF7" w:rsidRDefault="00BE7FF7" w:rsidP="00BE7FF7">
      <w:pPr>
        <w:pStyle w:val="ListParagraph"/>
        <w:numPr>
          <w:ilvl w:val="0"/>
          <w:numId w:val="9"/>
        </w:numPr>
        <w:spacing w:after="0"/>
      </w:pPr>
      <w:r>
        <w:lastRenderedPageBreak/>
        <w:t>Number of Responses: 2,200</w:t>
      </w:r>
    </w:p>
    <w:p w:rsidR="00BE7FF7" w:rsidRDefault="00BE7FF7" w:rsidP="00BE7FF7">
      <w:pPr>
        <w:pStyle w:val="ListParagraph"/>
        <w:numPr>
          <w:ilvl w:val="0"/>
          <w:numId w:val="9"/>
        </w:numPr>
        <w:spacing w:after="0"/>
      </w:pPr>
      <w:r>
        <w:t>Hours/response: 15</w:t>
      </w:r>
    </w:p>
    <w:p w:rsidR="00BE7FF7" w:rsidRDefault="00BE7FF7" w:rsidP="00BE7FF7">
      <w:pPr>
        <w:pStyle w:val="ListParagraph"/>
        <w:numPr>
          <w:ilvl w:val="0"/>
          <w:numId w:val="9"/>
        </w:numPr>
        <w:spacing w:after="0"/>
      </w:pPr>
      <w:r>
        <w:t>Cost/hour*: $34</w:t>
      </w:r>
    </w:p>
    <w:p w:rsidR="00BE7FF7" w:rsidRDefault="00BE7FF7" w:rsidP="00BE7FF7">
      <w:pPr>
        <w:pStyle w:val="ListParagraph"/>
        <w:numPr>
          <w:ilvl w:val="0"/>
          <w:numId w:val="9"/>
        </w:numPr>
        <w:spacing w:after="0"/>
      </w:pPr>
      <w:r>
        <w:t>Total cost: $748,000</w:t>
      </w:r>
    </w:p>
    <w:p w:rsidR="00BE7FF7" w:rsidRDefault="00BE7FF7" w:rsidP="00BE7FF7">
      <w:pPr>
        <w:spacing w:after="0"/>
      </w:pPr>
    </w:p>
    <w:p w:rsidR="00BE7FF7" w:rsidRDefault="00BE7FF7" w:rsidP="00BE7FF7">
      <w:pPr>
        <w:spacing w:after="0"/>
      </w:pPr>
      <w:r>
        <w:t xml:space="preserve">*Estimate assumes a blended hourly rate that is equivalent to a GS-12, Step 5, </w:t>
      </w:r>
      <w:proofErr w:type="gramStart"/>
      <w:r>
        <w:t>Federal</w:t>
      </w:r>
      <w:proofErr w:type="gramEnd"/>
      <w:r>
        <w:t xml:space="preserve"> Government Employee</w:t>
      </w:r>
    </w:p>
    <w:p w:rsidR="00BE7FF7" w:rsidRDefault="00BE7FF7" w:rsidP="007C6B57">
      <w:pPr>
        <w:spacing w:after="0"/>
      </w:pPr>
    </w:p>
    <w:p w:rsidR="00B0663E" w:rsidRDefault="00B0663E" w:rsidP="007C6B57">
      <w:pPr>
        <w:pStyle w:val="ListParagraph"/>
        <w:numPr>
          <w:ilvl w:val="0"/>
          <w:numId w:val="2"/>
        </w:numPr>
        <w:spacing w:after="0"/>
        <w:ind w:left="360"/>
      </w:pPr>
      <w:r>
        <w:t xml:space="preserve"> </w:t>
      </w:r>
      <w:r w:rsidR="00764D30" w:rsidRPr="00764D30">
        <w:rPr>
          <w:b/>
        </w:rPr>
        <w:t>Explanation of change in burden</w:t>
      </w:r>
      <w:r w:rsidR="00764D30">
        <w:t xml:space="preserve">. </w:t>
      </w:r>
      <w:r>
        <w:t>Explain the reasons for any program changes or adjustments reported in Items 13 or 14 of the OMB Form 83-I.</w:t>
      </w:r>
    </w:p>
    <w:p w:rsidR="00B0663E" w:rsidRDefault="00B0663E" w:rsidP="007C6B57">
      <w:pPr>
        <w:spacing w:after="0"/>
      </w:pPr>
    </w:p>
    <w:p w:rsidR="00ED4A59" w:rsidRDefault="002F3437" w:rsidP="007C6B57">
      <w:pPr>
        <w:spacing w:after="0"/>
      </w:pPr>
      <w:r>
        <w:t>This revised information collection decreases burden hours</w:t>
      </w:r>
      <w:r w:rsidR="00ED4A59">
        <w:t xml:space="preserve"> and the cost of </w:t>
      </w:r>
      <w:r w:rsidR="008D6DC4">
        <w:t>this information collection</w:t>
      </w:r>
      <w:r>
        <w:t xml:space="preserve">.  The revisions include systems upgrades to the Integrated Disbursement and Information System (IDIS), the Office of Community Planning and Development’s </w:t>
      </w:r>
      <w:r w:rsidR="00975890">
        <w:t xml:space="preserve">(CPD) </w:t>
      </w:r>
      <w:r>
        <w:t xml:space="preserve">grants management system, which </w:t>
      </w:r>
      <w:r w:rsidR="00ED4A59">
        <w:t xml:space="preserve">will allow </w:t>
      </w:r>
      <w:r>
        <w:t>for electron</w:t>
      </w:r>
      <w:r w:rsidR="008D6DC4">
        <w:t>ic</w:t>
      </w:r>
      <w:r>
        <w:t xml:space="preserve"> submission of Consolidated Plans</w:t>
      </w:r>
      <w:r w:rsidR="008D6DC4">
        <w:t>,</w:t>
      </w:r>
      <w:r>
        <w:t xml:space="preserve"> as well as a redesigned submission template. The template </w:t>
      </w:r>
      <w:r w:rsidR="008D6DC4">
        <w:t xml:space="preserve">revisions </w:t>
      </w:r>
      <w:r w:rsidR="004E045A">
        <w:t>will simplify</w:t>
      </w:r>
      <w:r>
        <w:t xml:space="preserve"> Con</w:t>
      </w:r>
      <w:r w:rsidR="004E045A">
        <w:t>solidated</w:t>
      </w:r>
      <w:r>
        <w:t xml:space="preserve"> Plan </w:t>
      </w:r>
      <w:r w:rsidR="00ED4A59">
        <w:t xml:space="preserve">preparation while providing clear guidance to grantees regarding an acceptable submission that meets statutory and regulatory requirements.  </w:t>
      </w:r>
      <w:r w:rsidR="00F665B9">
        <w:t>The systems upgrades will also allow the Department to provide grantees with required Census data for the Consolidated Plan in the format required for submission. This enhancement will result in significant decrease in burden hours for grantees.</w:t>
      </w:r>
    </w:p>
    <w:p w:rsidR="00ED4A59" w:rsidRDefault="00ED4A59" w:rsidP="007C6B57">
      <w:pPr>
        <w:spacing w:after="0"/>
      </w:pPr>
    </w:p>
    <w:p w:rsidR="002F3437" w:rsidRDefault="00ED4A59" w:rsidP="007C6B57">
      <w:pPr>
        <w:spacing w:after="0"/>
      </w:pPr>
      <w:r>
        <w:t>Many grantees hire consultants to prepare their Consolidated Plan every 3-5 years. The Department believes that the systems upgrades and changes being made to the submission template will allow grantees to gather the data required for this information collection without the aid of a consultant, thereby decreasing the cost of this information collection</w:t>
      </w:r>
      <w:r w:rsidR="00F665B9">
        <w:t xml:space="preserve"> to grantees</w:t>
      </w:r>
      <w:r>
        <w:t>.</w:t>
      </w:r>
    </w:p>
    <w:p w:rsidR="00764D30" w:rsidRPr="00764D30" w:rsidRDefault="00764D30" w:rsidP="007C6B57">
      <w:pPr>
        <w:spacing w:after="0"/>
        <w:rPr>
          <w:b/>
        </w:rPr>
      </w:pPr>
    </w:p>
    <w:p w:rsidR="004F6B3C" w:rsidRDefault="00764D30" w:rsidP="004F6B3C">
      <w:pPr>
        <w:pStyle w:val="ListParagraph"/>
        <w:numPr>
          <w:ilvl w:val="0"/>
          <w:numId w:val="2"/>
        </w:numPr>
        <w:spacing w:after="0"/>
        <w:ind w:left="360"/>
      </w:pPr>
      <w:r w:rsidRPr="00764D30">
        <w:rPr>
          <w:b/>
        </w:rPr>
        <w:t xml:space="preserve"> Information collections data planned to be published for statistical area.</w:t>
      </w:r>
      <w:r>
        <w:t xml:space="preserve"> </w:t>
      </w:r>
      <w:r w:rsidR="00B0663E">
        <w:t>For collections of information whose results will be published, outline plans for tabulation and publication</w:t>
      </w:r>
      <w:r w:rsidR="00F31980">
        <w:t>, address</w:t>
      </w:r>
      <w:r w:rsidR="00B0663E">
        <w:t xml:space="preserve"> any complex analytical techniques that will be used.  Provide the time schedule for the entire project, including beginning and ending dates of the collection of information, completion of report, publication dates, and other actions.</w:t>
      </w:r>
    </w:p>
    <w:p w:rsidR="004F6B3C" w:rsidRDefault="004F6B3C" w:rsidP="004F6B3C">
      <w:pPr>
        <w:spacing w:after="0"/>
      </w:pPr>
    </w:p>
    <w:p w:rsidR="00F31980" w:rsidRPr="003325E7" w:rsidRDefault="00F31980" w:rsidP="004F6B3C">
      <w:pPr>
        <w:spacing w:after="0"/>
      </w:pPr>
      <w:r>
        <w:t>The results of this information collection will not be published, nor will any complex analytical techniques be used.</w:t>
      </w:r>
    </w:p>
    <w:p w:rsidR="004F6B3C" w:rsidRDefault="004F6B3C" w:rsidP="007C6B57">
      <w:pPr>
        <w:pStyle w:val="ListParagraph"/>
        <w:ind w:left="360"/>
      </w:pPr>
    </w:p>
    <w:p w:rsidR="00B0663E" w:rsidRDefault="00764D30" w:rsidP="007C6B57">
      <w:pPr>
        <w:pStyle w:val="ListParagraph"/>
        <w:numPr>
          <w:ilvl w:val="0"/>
          <w:numId w:val="2"/>
        </w:numPr>
        <w:spacing w:after="0"/>
        <w:ind w:left="360"/>
      </w:pPr>
      <w:r w:rsidRPr="00764D30">
        <w:rPr>
          <w:b/>
        </w:rPr>
        <w:t>Explanation for</w:t>
      </w:r>
      <w:r w:rsidR="00B0663E" w:rsidRPr="00764D30">
        <w:rPr>
          <w:b/>
        </w:rPr>
        <w:t xml:space="preserve"> seeking approval to not display the expiration date for OMB approval of the information collection</w:t>
      </w:r>
      <w:r w:rsidR="00B0663E">
        <w:t>, explain the reasons that display would be inappropriate.</w:t>
      </w:r>
    </w:p>
    <w:p w:rsidR="00B0663E" w:rsidRDefault="00B0663E" w:rsidP="007C6B57">
      <w:pPr>
        <w:spacing w:after="0"/>
      </w:pPr>
    </w:p>
    <w:p w:rsidR="004F6B3C" w:rsidRDefault="00764D30" w:rsidP="007C6B57">
      <w:pPr>
        <w:spacing w:after="0"/>
      </w:pPr>
      <w:r>
        <w:t>The Department will display the expiration date for OMB approval of this information collection.</w:t>
      </w:r>
    </w:p>
    <w:p w:rsidR="004F6B3C" w:rsidRDefault="004F6B3C" w:rsidP="007C6B57">
      <w:pPr>
        <w:spacing w:after="0"/>
      </w:pPr>
    </w:p>
    <w:p w:rsidR="00B0663E" w:rsidRPr="004D5DE5" w:rsidRDefault="00B0663E" w:rsidP="007C6B57">
      <w:pPr>
        <w:pStyle w:val="ListParagraph"/>
        <w:numPr>
          <w:ilvl w:val="0"/>
          <w:numId w:val="2"/>
        </w:numPr>
        <w:spacing w:after="0"/>
        <w:ind w:left="360"/>
      </w:pPr>
      <w:r>
        <w:lastRenderedPageBreak/>
        <w:t xml:space="preserve"> </w:t>
      </w:r>
      <w:r w:rsidR="00764D30" w:rsidRPr="00764D30">
        <w:rPr>
          <w:b/>
        </w:rPr>
        <w:t>Exception to the certification statement.</w:t>
      </w:r>
      <w:r w:rsidR="00764D30">
        <w:t xml:space="preserve"> </w:t>
      </w:r>
      <w:r>
        <w:t>Explain each exception to the certification statement identified in Item 19, "Certification for Paperwork Reduction Act Submissions," of OMB Form 83-I.</w:t>
      </w:r>
    </w:p>
    <w:p w:rsidR="00B0663E" w:rsidRPr="004D5DE5" w:rsidRDefault="00B0663E" w:rsidP="00D9725A">
      <w:pPr>
        <w:spacing w:after="0" w:line="240" w:lineRule="auto"/>
      </w:pPr>
    </w:p>
    <w:p w:rsidR="00F91A5D" w:rsidRDefault="00D9725A" w:rsidP="00D9725A">
      <w:pPr>
        <w:spacing w:after="0"/>
      </w:pPr>
      <w:r>
        <w:t>The Department does not request an exception to the certification of this information collection.</w:t>
      </w:r>
    </w:p>
    <w:sectPr w:rsidR="00F91A5D" w:rsidSect="004201E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EB0" w:rsidRDefault="00EF5EB0" w:rsidP="00B24F68">
      <w:pPr>
        <w:spacing w:after="0" w:line="240" w:lineRule="auto"/>
      </w:pPr>
      <w:r>
        <w:separator/>
      </w:r>
    </w:p>
  </w:endnote>
  <w:endnote w:type="continuationSeparator" w:id="0">
    <w:p w:rsidR="00EF5EB0" w:rsidRDefault="00EF5EB0" w:rsidP="00B24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86313"/>
      <w:docPartObj>
        <w:docPartGallery w:val="Page Numbers (Bottom of Page)"/>
        <w:docPartUnique/>
      </w:docPartObj>
    </w:sdtPr>
    <w:sdtContent>
      <w:p w:rsidR="00CC2491" w:rsidRDefault="008744B9">
        <w:pPr>
          <w:pStyle w:val="Footer"/>
          <w:jc w:val="center"/>
        </w:pPr>
        <w:fldSimple w:instr=" PAGE   \* MERGEFORMAT ">
          <w:r w:rsidR="007745E1">
            <w:rPr>
              <w:noProof/>
            </w:rPr>
            <w:t>4</w:t>
          </w:r>
        </w:fldSimple>
      </w:p>
    </w:sdtContent>
  </w:sdt>
  <w:p w:rsidR="00CC2491" w:rsidRDefault="00CC2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EB0" w:rsidRDefault="00EF5EB0" w:rsidP="00B24F68">
      <w:pPr>
        <w:spacing w:after="0" w:line="240" w:lineRule="auto"/>
      </w:pPr>
      <w:r>
        <w:separator/>
      </w:r>
    </w:p>
  </w:footnote>
  <w:footnote w:type="continuationSeparator" w:id="0">
    <w:p w:rsidR="00EF5EB0" w:rsidRDefault="00EF5EB0" w:rsidP="00B24F68">
      <w:pPr>
        <w:spacing w:after="0" w:line="240" w:lineRule="auto"/>
      </w:pPr>
      <w:r>
        <w:continuationSeparator/>
      </w:r>
    </w:p>
  </w:footnote>
  <w:footnote w:id="1">
    <w:p w:rsidR="00CC2491" w:rsidRPr="004D5EB4" w:rsidRDefault="00CC2491" w:rsidP="006049AC">
      <w:pPr>
        <w:pStyle w:val="FootnoteText"/>
        <w:rPr>
          <w:rFonts w:asciiTheme="minorHAnsi" w:hAnsiTheme="minorHAnsi"/>
        </w:rPr>
      </w:pPr>
      <w:r w:rsidRPr="004D5EB4">
        <w:rPr>
          <w:rStyle w:val="FootnoteReference"/>
          <w:rFonts w:asciiTheme="minorHAnsi" w:hAnsiTheme="minorHAnsi"/>
        </w:rPr>
        <w:footnoteRef/>
      </w:r>
      <w:r w:rsidRPr="004D5EB4">
        <w:rPr>
          <w:rFonts w:asciiTheme="minorHAnsi" w:hAnsiTheme="minorHAnsi"/>
        </w:rPr>
        <w:t xml:space="preserve"> The Homeless Emergency Assistance and Rapid Transition to Housing Act of 2009 (HEARTH Act) (P.L. 111-22) </w:t>
      </w:r>
      <w:proofErr w:type="gramStart"/>
      <w:r w:rsidRPr="004D5EB4">
        <w:rPr>
          <w:rFonts w:asciiTheme="minorHAnsi" w:hAnsiTheme="minorHAnsi"/>
        </w:rPr>
        <w:t>renamed  ESG</w:t>
      </w:r>
      <w:proofErr w:type="gramEnd"/>
      <w:r w:rsidRPr="004D5EB4">
        <w:rPr>
          <w:rFonts w:asciiTheme="minorHAnsi" w:hAnsiTheme="minorHAnsi"/>
        </w:rPr>
        <w:t xml:space="preserve"> as “Emergency Solutions Grants.”  The Department is currently working on a proposed rule to revise the ESG regulations.  The program and the name will remain the same until the final rule is published.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16B"/>
    <w:multiLevelType w:val="hybridMultilevel"/>
    <w:tmpl w:val="7DC0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D6C90"/>
    <w:multiLevelType w:val="hybridMultilevel"/>
    <w:tmpl w:val="5D283006"/>
    <w:lvl w:ilvl="0" w:tplc="D9CE32C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B5D4E"/>
    <w:multiLevelType w:val="hybridMultilevel"/>
    <w:tmpl w:val="7B66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05FE9"/>
    <w:multiLevelType w:val="hybridMultilevel"/>
    <w:tmpl w:val="95E060A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6590D"/>
    <w:multiLevelType w:val="hybridMultilevel"/>
    <w:tmpl w:val="43A45FFA"/>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5">
    <w:nsid w:val="1C6E5DFD"/>
    <w:multiLevelType w:val="hybridMultilevel"/>
    <w:tmpl w:val="AF108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D5B32"/>
    <w:multiLevelType w:val="hybridMultilevel"/>
    <w:tmpl w:val="C6042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966038"/>
    <w:multiLevelType w:val="hybridMultilevel"/>
    <w:tmpl w:val="25BA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326B14"/>
    <w:multiLevelType w:val="hybridMultilevel"/>
    <w:tmpl w:val="5A8AB7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D152A8A"/>
    <w:multiLevelType w:val="hybridMultilevel"/>
    <w:tmpl w:val="52FC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97556"/>
    <w:multiLevelType w:val="hybridMultilevel"/>
    <w:tmpl w:val="53569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127A8C"/>
    <w:multiLevelType w:val="hybridMultilevel"/>
    <w:tmpl w:val="200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6"/>
  </w:num>
  <w:num w:numId="5">
    <w:abstractNumId w:val="8"/>
  </w:num>
  <w:num w:numId="6">
    <w:abstractNumId w:val="5"/>
  </w:num>
  <w:num w:numId="7">
    <w:abstractNumId w:val="7"/>
  </w:num>
  <w:num w:numId="8">
    <w:abstractNumId w:val="3"/>
  </w:num>
  <w:num w:numId="9">
    <w:abstractNumId w:val="11"/>
  </w:num>
  <w:num w:numId="10">
    <w:abstractNumId w:val="2"/>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B0663E"/>
    <w:rsid w:val="00040939"/>
    <w:rsid w:val="00082F69"/>
    <w:rsid w:val="00096344"/>
    <w:rsid w:val="00097A39"/>
    <w:rsid w:val="00097C4C"/>
    <w:rsid w:val="000C1F3D"/>
    <w:rsid w:val="00107364"/>
    <w:rsid w:val="00167700"/>
    <w:rsid w:val="00170A07"/>
    <w:rsid w:val="00196287"/>
    <w:rsid w:val="001B2E4F"/>
    <w:rsid w:val="001B728C"/>
    <w:rsid w:val="001D1DF6"/>
    <w:rsid w:val="00230B65"/>
    <w:rsid w:val="00234798"/>
    <w:rsid w:val="002535EE"/>
    <w:rsid w:val="00265879"/>
    <w:rsid w:val="00277AE9"/>
    <w:rsid w:val="00282587"/>
    <w:rsid w:val="002B71A8"/>
    <w:rsid w:val="002B7A55"/>
    <w:rsid w:val="002C2618"/>
    <w:rsid w:val="002D215B"/>
    <w:rsid w:val="002D4890"/>
    <w:rsid w:val="002E0C9B"/>
    <w:rsid w:val="002F3437"/>
    <w:rsid w:val="003022DE"/>
    <w:rsid w:val="0030296F"/>
    <w:rsid w:val="00313A3F"/>
    <w:rsid w:val="003325E7"/>
    <w:rsid w:val="00335E1F"/>
    <w:rsid w:val="0037513C"/>
    <w:rsid w:val="0037784D"/>
    <w:rsid w:val="003B5AAA"/>
    <w:rsid w:val="003D01D2"/>
    <w:rsid w:val="004201E1"/>
    <w:rsid w:val="00461383"/>
    <w:rsid w:val="00466164"/>
    <w:rsid w:val="00497E54"/>
    <w:rsid w:val="004B51E3"/>
    <w:rsid w:val="004C3646"/>
    <w:rsid w:val="004D5EB4"/>
    <w:rsid w:val="004E045A"/>
    <w:rsid w:val="004F13EA"/>
    <w:rsid w:val="004F6B3C"/>
    <w:rsid w:val="00514BF2"/>
    <w:rsid w:val="00530EFF"/>
    <w:rsid w:val="005401C4"/>
    <w:rsid w:val="00575A18"/>
    <w:rsid w:val="005B1B14"/>
    <w:rsid w:val="005C5419"/>
    <w:rsid w:val="005F49E8"/>
    <w:rsid w:val="006049AC"/>
    <w:rsid w:val="00627586"/>
    <w:rsid w:val="00650A79"/>
    <w:rsid w:val="006E3C94"/>
    <w:rsid w:val="006F6AA0"/>
    <w:rsid w:val="007409D3"/>
    <w:rsid w:val="00750A47"/>
    <w:rsid w:val="007565EF"/>
    <w:rsid w:val="00764D30"/>
    <w:rsid w:val="007745E1"/>
    <w:rsid w:val="00790859"/>
    <w:rsid w:val="007C6590"/>
    <w:rsid w:val="007C6B57"/>
    <w:rsid w:val="00836E35"/>
    <w:rsid w:val="00864F78"/>
    <w:rsid w:val="00866E7B"/>
    <w:rsid w:val="008744B9"/>
    <w:rsid w:val="008A7FDC"/>
    <w:rsid w:val="008B3549"/>
    <w:rsid w:val="008C37B0"/>
    <w:rsid w:val="008C6CF6"/>
    <w:rsid w:val="008D6DC4"/>
    <w:rsid w:val="008E249D"/>
    <w:rsid w:val="008F755C"/>
    <w:rsid w:val="00936884"/>
    <w:rsid w:val="0095607C"/>
    <w:rsid w:val="00956FA2"/>
    <w:rsid w:val="00975890"/>
    <w:rsid w:val="0098414F"/>
    <w:rsid w:val="009E1E2B"/>
    <w:rsid w:val="009E2E14"/>
    <w:rsid w:val="00A1331D"/>
    <w:rsid w:val="00A46829"/>
    <w:rsid w:val="00A57454"/>
    <w:rsid w:val="00A70E6B"/>
    <w:rsid w:val="00A724D0"/>
    <w:rsid w:val="00A72E42"/>
    <w:rsid w:val="00A87349"/>
    <w:rsid w:val="00AA2E6B"/>
    <w:rsid w:val="00AC33FB"/>
    <w:rsid w:val="00AE2BD9"/>
    <w:rsid w:val="00AE70C8"/>
    <w:rsid w:val="00B0663E"/>
    <w:rsid w:val="00B24F68"/>
    <w:rsid w:val="00B42324"/>
    <w:rsid w:val="00BA02A2"/>
    <w:rsid w:val="00BB171B"/>
    <w:rsid w:val="00BD0DA5"/>
    <w:rsid w:val="00BE7FF7"/>
    <w:rsid w:val="00C10774"/>
    <w:rsid w:val="00C358E2"/>
    <w:rsid w:val="00C41182"/>
    <w:rsid w:val="00C609D8"/>
    <w:rsid w:val="00C94976"/>
    <w:rsid w:val="00CC2491"/>
    <w:rsid w:val="00CC4DFB"/>
    <w:rsid w:val="00D32168"/>
    <w:rsid w:val="00D61F96"/>
    <w:rsid w:val="00D9725A"/>
    <w:rsid w:val="00DA037A"/>
    <w:rsid w:val="00DD1BBE"/>
    <w:rsid w:val="00DD7A42"/>
    <w:rsid w:val="00DF5456"/>
    <w:rsid w:val="00E00327"/>
    <w:rsid w:val="00E07288"/>
    <w:rsid w:val="00E31C68"/>
    <w:rsid w:val="00E4546B"/>
    <w:rsid w:val="00E5253C"/>
    <w:rsid w:val="00E86084"/>
    <w:rsid w:val="00E9401B"/>
    <w:rsid w:val="00EB2213"/>
    <w:rsid w:val="00ED4A59"/>
    <w:rsid w:val="00EF1921"/>
    <w:rsid w:val="00EF5EB0"/>
    <w:rsid w:val="00F14906"/>
    <w:rsid w:val="00F26C0B"/>
    <w:rsid w:val="00F31980"/>
    <w:rsid w:val="00F5124E"/>
    <w:rsid w:val="00F6274F"/>
    <w:rsid w:val="00F665B9"/>
    <w:rsid w:val="00F91A5D"/>
    <w:rsid w:val="00F92E6B"/>
    <w:rsid w:val="00FA2066"/>
    <w:rsid w:val="00FC1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63E"/>
    <w:pPr>
      <w:ind w:left="720"/>
      <w:contextualSpacing/>
    </w:pPr>
  </w:style>
  <w:style w:type="paragraph" w:styleId="Footer">
    <w:name w:val="footer"/>
    <w:basedOn w:val="Normal"/>
    <w:link w:val="FooterChar"/>
    <w:uiPriority w:val="99"/>
    <w:unhideWhenUsed/>
    <w:rsid w:val="00B06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63E"/>
  </w:style>
  <w:style w:type="paragraph" w:styleId="FootnoteText">
    <w:name w:val="footnote text"/>
    <w:basedOn w:val="Normal"/>
    <w:link w:val="FootnoteTextChar"/>
    <w:uiPriority w:val="99"/>
    <w:semiHidden/>
    <w:unhideWhenUsed/>
    <w:rsid w:val="006049A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049A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049AC"/>
    <w:rPr>
      <w:vertAlign w:val="superscript"/>
    </w:rPr>
  </w:style>
  <w:style w:type="character" w:styleId="CommentReference">
    <w:name w:val="annotation reference"/>
    <w:basedOn w:val="DefaultParagraphFont"/>
    <w:uiPriority w:val="99"/>
    <w:semiHidden/>
    <w:unhideWhenUsed/>
    <w:rsid w:val="00DD1BBE"/>
    <w:rPr>
      <w:sz w:val="16"/>
      <w:szCs w:val="16"/>
    </w:rPr>
  </w:style>
  <w:style w:type="paragraph" w:styleId="CommentText">
    <w:name w:val="annotation text"/>
    <w:basedOn w:val="Normal"/>
    <w:link w:val="CommentTextChar"/>
    <w:uiPriority w:val="99"/>
    <w:semiHidden/>
    <w:unhideWhenUsed/>
    <w:rsid w:val="00DD1BBE"/>
    <w:pPr>
      <w:spacing w:line="240" w:lineRule="auto"/>
    </w:pPr>
    <w:rPr>
      <w:sz w:val="20"/>
      <w:szCs w:val="20"/>
    </w:rPr>
  </w:style>
  <w:style w:type="character" w:customStyle="1" w:styleId="CommentTextChar">
    <w:name w:val="Comment Text Char"/>
    <w:basedOn w:val="DefaultParagraphFont"/>
    <w:link w:val="CommentText"/>
    <w:uiPriority w:val="99"/>
    <w:semiHidden/>
    <w:rsid w:val="00DD1BBE"/>
    <w:rPr>
      <w:sz w:val="20"/>
      <w:szCs w:val="20"/>
    </w:rPr>
  </w:style>
  <w:style w:type="paragraph" w:styleId="CommentSubject">
    <w:name w:val="annotation subject"/>
    <w:basedOn w:val="CommentText"/>
    <w:next w:val="CommentText"/>
    <w:link w:val="CommentSubjectChar"/>
    <w:uiPriority w:val="99"/>
    <w:semiHidden/>
    <w:unhideWhenUsed/>
    <w:rsid w:val="00DD1BBE"/>
    <w:rPr>
      <w:b/>
      <w:bCs/>
    </w:rPr>
  </w:style>
  <w:style w:type="character" w:customStyle="1" w:styleId="CommentSubjectChar">
    <w:name w:val="Comment Subject Char"/>
    <w:basedOn w:val="CommentTextChar"/>
    <w:link w:val="CommentSubject"/>
    <w:uiPriority w:val="99"/>
    <w:semiHidden/>
    <w:rsid w:val="00DD1BBE"/>
    <w:rPr>
      <w:b/>
      <w:bCs/>
    </w:rPr>
  </w:style>
  <w:style w:type="paragraph" w:styleId="BalloonText">
    <w:name w:val="Balloon Text"/>
    <w:basedOn w:val="Normal"/>
    <w:link w:val="BalloonTextChar"/>
    <w:uiPriority w:val="99"/>
    <w:semiHidden/>
    <w:unhideWhenUsed/>
    <w:rsid w:val="00DD1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BE"/>
    <w:rPr>
      <w:rFonts w:ascii="Tahoma" w:hAnsi="Tahoma" w:cs="Tahoma"/>
      <w:sz w:val="16"/>
      <w:szCs w:val="16"/>
    </w:rPr>
  </w:style>
  <w:style w:type="paragraph" w:styleId="Header">
    <w:name w:val="header"/>
    <w:basedOn w:val="Normal"/>
    <w:link w:val="HeaderChar"/>
    <w:uiPriority w:val="99"/>
    <w:semiHidden/>
    <w:unhideWhenUsed/>
    <w:rsid w:val="00A133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331D"/>
  </w:style>
  <w:style w:type="table" w:styleId="TableGrid">
    <w:name w:val="Table Grid"/>
    <w:basedOn w:val="TableNormal"/>
    <w:uiPriority w:val="59"/>
    <w:rsid w:val="00A13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AFC7-A7B3-4362-BE4C-BC0C003C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Ott</dc:creator>
  <cp:keywords/>
  <dc:description/>
  <cp:lastModifiedBy>H45596</cp:lastModifiedBy>
  <cp:revision>2</cp:revision>
  <dcterms:created xsi:type="dcterms:W3CDTF">2012-06-26T17:26:00Z</dcterms:created>
  <dcterms:modified xsi:type="dcterms:W3CDTF">2012-06-26T17:26:00Z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1852739696</vt:i4>
  </property>
  <property fmtid="{D5CDD505-2E9C-101B-9397-08002B2CF9AE}" pid="3" name="_NewReviewCycle">
    <vt:lpwstr/>
  </property>
  <property fmtid="{D5CDD505-2E9C-101B-9397-08002B2CF9AE}" pid="4" name="_EmailSubject">
    <vt:lpwstr>2506-0077</vt:lpwstr>
  </property>
  <property fmtid="{D5CDD505-2E9C-101B-9397-08002B2CF9AE}" pid="5" name="_AuthorEmail">
    <vt:lpwstr>Caitlin.M.Ott2@hud.gov</vt:lpwstr>
  </property>
  <property fmtid="{D5CDD505-2E9C-101B-9397-08002B2CF9AE}" pid="6" name="_AuthorEmailDisplayName">
    <vt:lpwstr>Ott, Caitlin M</vt:lpwstr>
  </property>
  <property fmtid="{D5CDD505-2E9C-101B-9397-08002B2CF9AE}" pid="7" name="_PreviousAdHocReviewCycleID">
    <vt:i4>773409621</vt:i4>
  </property>
  <property fmtid="{D5CDD505-2E9C-101B-9397-08002B2CF9AE}" pid="8" name="_ReviewingToolsShownOnce">
    <vt:lpwstr/>
  </property>
</Properties>
</file>