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BB7" w:rsidRDefault="00F02BB7" w:rsidP="00F02BB7">
      <w:pPr>
        <w:suppressAutoHyphens/>
        <w:jc w:val="center"/>
        <w:rPr>
          <w:rFonts w:ascii="Times New Roman" w:hAnsi="Times New Roman"/>
          <w:b/>
        </w:rPr>
      </w:pPr>
      <w:bookmarkStart w:id="0" w:name="_GoBack"/>
      <w:bookmarkEnd w:id="0"/>
      <w:r>
        <w:rPr>
          <w:rFonts w:ascii="Times New Roman" w:hAnsi="Times New Roman"/>
          <w:b/>
        </w:rPr>
        <w:t>SUPPORTING STATEMENT FOR NEW AND</w:t>
      </w:r>
    </w:p>
    <w:p w:rsidR="00F02BB7" w:rsidRDefault="00F02BB7" w:rsidP="00F02BB7">
      <w:pPr>
        <w:suppressAutoHyphens/>
        <w:spacing w:after="240"/>
        <w:jc w:val="center"/>
        <w:rPr>
          <w:rFonts w:ascii="Times New Roman" w:hAnsi="Times New Roman"/>
          <w:b/>
        </w:rPr>
      </w:pPr>
      <w:r>
        <w:rPr>
          <w:rFonts w:ascii="Times New Roman" w:hAnsi="Times New Roman"/>
          <w:b/>
        </w:rPr>
        <w:t>REVISED INFORMATION COLLECTIONS</w:t>
      </w:r>
    </w:p>
    <w:p w:rsidR="00F02BB7" w:rsidRDefault="00F02BB7" w:rsidP="00F02BB7">
      <w:pPr>
        <w:tabs>
          <w:tab w:val="center" w:pos="4680"/>
        </w:tabs>
        <w:suppressAutoHyphens/>
        <w:spacing w:after="240"/>
        <w:jc w:val="center"/>
        <w:rPr>
          <w:rFonts w:ascii="Times New Roman" w:hAnsi="Times New Roman"/>
          <w:b/>
        </w:rPr>
      </w:pPr>
      <w:r>
        <w:rPr>
          <w:rFonts w:ascii="Times New Roman" w:hAnsi="Times New Roman"/>
          <w:b/>
        </w:rPr>
        <w:t>OMB CONTROL NUMBER 3038-</w:t>
      </w:r>
      <w:r w:rsidR="00EA0775">
        <w:rPr>
          <w:rFonts w:ascii="Times New Roman" w:hAnsi="Times New Roman"/>
          <w:b/>
        </w:rPr>
        <w:t>0094</w:t>
      </w:r>
    </w:p>
    <w:p w:rsidR="00F02BB7" w:rsidRDefault="00F02BB7" w:rsidP="00F02BB7">
      <w:pPr>
        <w:pStyle w:val="Heading1"/>
        <w:keepNext w:val="0"/>
        <w:rPr>
          <w:rFonts w:ascii="Times New Roman" w:hAnsi="Times New Roman"/>
          <w:szCs w:val="24"/>
        </w:rPr>
      </w:pPr>
      <w:r>
        <w:rPr>
          <w:rFonts w:ascii="Times New Roman" w:hAnsi="Times New Roman"/>
          <w:szCs w:val="24"/>
        </w:rPr>
        <w:t>Justification</w:t>
      </w:r>
    </w:p>
    <w:p w:rsidR="00F02BB7" w:rsidRDefault="00F02BB7" w:rsidP="00F02BB7">
      <w:pPr>
        <w:jc w:val="both"/>
      </w:pPr>
    </w:p>
    <w:p w:rsidR="00F02BB7" w:rsidRDefault="00F02BB7" w:rsidP="00F02BB7">
      <w:pPr>
        <w:tabs>
          <w:tab w:val="left" w:pos="-720"/>
        </w:tabs>
        <w:ind w:left="720" w:hanging="720"/>
        <w:jc w:val="both"/>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2BB7" w:rsidRDefault="00F02BB7" w:rsidP="00F02BB7">
      <w:pPr>
        <w:pStyle w:val="Default"/>
        <w:jc w:val="both"/>
        <w:rPr>
          <w:rFonts w:ascii="Times New Roman" w:hAnsi="Times New Roman" w:cs="Times New Roman"/>
        </w:rPr>
      </w:pPr>
    </w:p>
    <w:p w:rsidR="009E05E9" w:rsidRDefault="009E05E9" w:rsidP="009E05E9">
      <w:pPr>
        <w:pStyle w:val="Default"/>
        <w:jc w:val="both"/>
        <w:rPr>
          <w:rFonts w:ascii="Times New Roman" w:hAnsi="Times New Roman" w:cs="Times New Roman"/>
        </w:rPr>
      </w:pPr>
      <w:r w:rsidRPr="009E05E9">
        <w:rPr>
          <w:rFonts w:ascii="Times New Roman" w:hAnsi="Times New Roman" w:cs="Times New Roman"/>
        </w:rPr>
        <w:t>Section 3(b) provides that one of the purposes of the Act is to ensure the financial integrity of all transactions subject to the Act and to avoid systemic risk.  Section 8a(5) authorizes the Commission to promulgate such regulations that it believes are reasonably necessary to effectuate any of the provisions or to accomplish any of the purposes of the Act.  Risk management systems are critical to the avoidance of systemic risks.</w:t>
      </w:r>
      <w:r>
        <w:rPr>
          <w:rFonts w:ascii="Times New Roman" w:hAnsi="Times New Roman" w:cs="Times New Roman"/>
        </w:rPr>
        <w:t xml:space="preserve">  </w:t>
      </w:r>
      <w:r w:rsidRPr="009E05E9">
        <w:rPr>
          <w:rFonts w:ascii="Times New Roman" w:hAnsi="Times New Roman" w:cs="Times New Roman"/>
        </w:rPr>
        <w:t>Section 4s(j)(2) requires each SD and MSP to have risk management systems adequate for managing its business.  Section 4s(j)(4) requires each SD and MSP to have internal systems and procedures to perform any of the functions set forth in Section 4s.</w:t>
      </w:r>
      <w:r>
        <w:rPr>
          <w:rFonts w:ascii="Times New Roman" w:hAnsi="Times New Roman" w:cs="Times New Roman"/>
        </w:rPr>
        <w:t xml:space="preserve">  </w:t>
      </w:r>
      <w:r w:rsidRPr="009E05E9">
        <w:rPr>
          <w:rFonts w:ascii="Times New Roman" w:hAnsi="Times New Roman" w:cs="Times New Roman"/>
        </w:rPr>
        <w:t xml:space="preserve">Section 4d requires FCMs to register with the Commission.  It further requires FCMs to segregate customer funds.  Section 4f requires FCMs to maintain certain levels of capital.  Section 4g establishes reporting and recordkeeping requirements for FCMs.  These provisions of law and Commission regulations promulgated pursuant to these provisions create a web of obligations designed to secure the financial integrity of the markets and the clearing system, to avoid systemic risk, and to protect customer funds.  Effective risk management by FCMs is essential to achieving these goals.  </w:t>
      </w:r>
    </w:p>
    <w:p w:rsidR="009E05E9" w:rsidRPr="00950BC8" w:rsidRDefault="009E05E9" w:rsidP="009E05E9">
      <w:pPr>
        <w:pStyle w:val="Default"/>
        <w:jc w:val="both"/>
        <w:rPr>
          <w:rFonts w:ascii="Times New Roman" w:hAnsi="Times New Roman" w:cs="Times New Roman"/>
          <w:highlight w:val="yellow"/>
        </w:rPr>
      </w:pPr>
    </w:p>
    <w:p w:rsidR="00950BC8" w:rsidRDefault="009E05E9" w:rsidP="009E05E9">
      <w:pPr>
        <w:pStyle w:val="Default"/>
        <w:jc w:val="both"/>
        <w:rPr>
          <w:rFonts w:ascii="Times New Roman" w:hAnsi="Times New Roman" w:cs="Times New Roman"/>
        </w:rPr>
      </w:pPr>
      <w:r>
        <w:rPr>
          <w:rFonts w:ascii="Times New Roman" w:hAnsi="Times New Roman" w:cs="Times New Roman"/>
        </w:rPr>
        <w:t>Accordingly, p</w:t>
      </w:r>
      <w:r w:rsidRPr="009E05E9">
        <w:rPr>
          <w:rFonts w:ascii="Times New Roman" w:hAnsi="Times New Roman" w:cs="Times New Roman"/>
        </w:rPr>
        <w:t>roposed § 1.73 would apply to clearing members that are FCMs; proposed § 23.609 would apply to clearing members that are SDs or MSPs.  These provisions would require these clearing members to have procedures to limit the financial risks they incur as a result of clearing trades and liquid resources to meet the obligations that arise.  The proposal would require clearing members to:</w:t>
      </w:r>
      <w:r>
        <w:rPr>
          <w:rFonts w:ascii="Times New Roman" w:hAnsi="Times New Roman" w:cs="Times New Roman"/>
        </w:rPr>
        <w:t xml:space="preserve"> </w:t>
      </w:r>
      <w:r w:rsidRPr="009E05E9">
        <w:rPr>
          <w:rFonts w:ascii="Times New Roman" w:hAnsi="Times New Roman" w:cs="Times New Roman"/>
        </w:rPr>
        <w:t>(1) establish credit and market risk-based limits based on position size, order size, margin requirements, or similar factors;</w:t>
      </w:r>
      <w:r>
        <w:rPr>
          <w:rFonts w:ascii="Times New Roman" w:hAnsi="Times New Roman" w:cs="Times New Roman"/>
        </w:rPr>
        <w:t xml:space="preserve"> </w:t>
      </w:r>
      <w:r w:rsidRPr="009E05E9">
        <w:rPr>
          <w:rFonts w:ascii="Times New Roman" w:hAnsi="Times New Roman" w:cs="Times New Roman"/>
        </w:rPr>
        <w:t>(2) use automated means to screen orders for compliance with the risk-based limits;</w:t>
      </w:r>
      <w:r>
        <w:rPr>
          <w:rFonts w:ascii="Times New Roman" w:hAnsi="Times New Roman" w:cs="Times New Roman"/>
        </w:rPr>
        <w:t xml:space="preserve"> </w:t>
      </w:r>
      <w:r w:rsidRPr="009E05E9">
        <w:rPr>
          <w:rFonts w:ascii="Times New Roman" w:hAnsi="Times New Roman" w:cs="Times New Roman"/>
        </w:rPr>
        <w:t>(3) monitor for adherence to the risk-based limits intra-day and overnight;</w:t>
      </w:r>
      <w:r>
        <w:rPr>
          <w:rFonts w:ascii="Times New Roman" w:hAnsi="Times New Roman" w:cs="Times New Roman"/>
        </w:rPr>
        <w:t xml:space="preserve"> </w:t>
      </w:r>
      <w:r w:rsidRPr="009E05E9">
        <w:rPr>
          <w:rFonts w:ascii="Times New Roman" w:hAnsi="Times New Roman" w:cs="Times New Roman"/>
        </w:rPr>
        <w:t>(4)  conduct stress tests of all positions in the proprietary account and all positions in any customer account that could pose material risk to the futures commission merchant at least once per week;</w:t>
      </w:r>
      <w:r>
        <w:rPr>
          <w:rFonts w:ascii="Times New Roman" w:hAnsi="Times New Roman" w:cs="Times New Roman"/>
        </w:rPr>
        <w:t xml:space="preserve"> </w:t>
      </w:r>
      <w:r w:rsidRPr="009E05E9">
        <w:rPr>
          <w:rFonts w:ascii="Times New Roman" w:hAnsi="Times New Roman" w:cs="Times New Roman"/>
        </w:rPr>
        <w:t>(5)  evaluate its ability to meet initial margin requirements at least once per week;</w:t>
      </w:r>
      <w:r>
        <w:rPr>
          <w:rFonts w:ascii="Times New Roman" w:hAnsi="Times New Roman" w:cs="Times New Roman"/>
        </w:rPr>
        <w:t xml:space="preserve"> </w:t>
      </w:r>
      <w:r w:rsidRPr="009E05E9">
        <w:rPr>
          <w:rFonts w:ascii="Times New Roman" w:hAnsi="Times New Roman" w:cs="Times New Roman"/>
        </w:rPr>
        <w:t>(6)  evaluate its ability to meet variation margin requirements in cash at least once per week;</w:t>
      </w:r>
      <w:r>
        <w:rPr>
          <w:rFonts w:ascii="Times New Roman" w:hAnsi="Times New Roman" w:cs="Times New Roman"/>
        </w:rPr>
        <w:t xml:space="preserve"> </w:t>
      </w:r>
      <w:r w:rsidRPr="009E05E9">
        <w:rPr>
          <w:rFonts w:ascii="Times New Roman" w:hAnsi="Times New Roman" w:cs="Times New Roman"/>
        </w:rPr>
        <w:t>(7)  evaluate its ability to liquidate the positions it clears in an orderly manner, and estimate the cost of the liquidation at least once per month; and</w:t>
      </w:r>
      <w:r>
        <w:rPr>
          <w:rFonts w:ascii="Times New Roman" w:hAnsi="Times New Roman" w:cs="Times New Roman"/>
        </w:rPr>
        <w:t xml:space="preserve"> </w:t>
      </w:r>
      <w:r w:rsidRPr="009E05E9">
        <w:rPr>
          <w:rFonts w:ascii="Times New Roman" w:hAnsi="Times New Roman" w:cs="Times New Roman"/>
        </w:rPr>
        <w:t>(8)  test all lines of credit at least once per quarter.</w:t>
      </w:r>
      <w:r>
        <w:rPr>
          <w:rFonts w:ascii="Times New Roman" w:hAnsi="Times New Roman" w:cs="Times New Roman"/>
        </w:rPr>
        <w:t xml:space="preserve">  </w:t>
      </w:r>
      <w:r w:rsidRPr="009E05E9">
        <w:rPr>
          <w:rFonts w:ascii="Times New Roman" w:hAnsi="Times New Roman" w:cs="Times New Roman"/>
        </w:rPr>
        <w:t>Each of these items has been observed by Commission staff as an element of an existing sound risk management program at a DCO or an FCM.</w:t>
      </w:r>
      <w:r>
        <w:rPr>
          <w:rFonts w:ascii="Times New Roman" w:hAnsi="Times New Roman" w:cs="Times New Roman"/>
        </w:rPr>
        <w:t xml:space="preserve">  </w:t>
      </w:r>
      <w:r w:rsidRPr="009E05E9">
        <w:rPr>
          <w:rFonts w:ascii="Times New Roman" w:hAnsi="Times New Roman" w:cs="Times New Roman"/>
        </w:rPr>
        <w:t xml:space="preserve">The proposal also would require clearing members to evaluate their ability to meet calls for initial and variation margin.  This includes testing for liquidity of financial resources available to cover exposures due to market events.  Each clearing member also would be required to evaluate periodically its ability to liquidate, in an orderly manner, the positions in the proprietary and customer accounts and estimate the cost of the liquidation.  Routine testing of this sort </w:t>
      </w:r>
      <w:r w:rsidRPr="009E05E9">
        <w:rPr>
          <w:rFonts w:ascii="Times New Roman" w:hAnsi="Times New Roman" w:cs="Times New Roman"/>
        </w:rPr>
        <w:lastRenderedPageBreak/>
        <w:t>diminishes the chance of a default based on liquidity problems.</w:t>
      </w:r>
      <w:r>
        <w:rPr>
          <w:rFonts w:ascii="Times New Roman" w:hAnsi="Times New Roman" w:cs="Times New Roman"/>
        </w:rPr>
        <w:t xml:space="preserve">  </w:t>
      </w:r>
      <w:r w:rsidRPr="009E05E9">
        <w:rPr>
          <w:rFonts w:ascii="Times New Roman" w:hAnsi="Times New Roman" w:cs="Times New Roman"/>
        </w:rPr>
        <w:t>Finally, the proposal would require each clearing member to establish written procedures to comply with this regulation and to keep records documenting its compliance.  The Commission believes that these are important elements of a good risk management program.</w:t>
      </w:r>
    </w:p>
    <w:p w:rsidR="009E05E9" w:rsidRPr="00950BC8" w:rsidRDefault="009E05E9" w:rsidP="009E05E9">
      <w:pPr>
        <w:pStyle w:val="Default"/>
        <w:jc w:val="both"/>
        <w:rPr>
          <w:rFonts w:ascii="Times New Roman" w:hAnsi="Times New Roman" w:cs="Times New Roman"/>
          <w:highlight w:val="yellow"/>
        </w:rPr>
      </w:pPr>
    </w:p>
    <w:p w:rsidR="00950BC8" w:rsidRPr="009E05E9" w:rsidRDefault="00950BC8" w:rsidP="00950BC8">
      <w:pPr>
        <w:widowControl w:val="0"/>
        <w:jc w:val="both"/>
        <w:rPr>
          <w:rFonts w:ascii="Times New Roman" w:hAnsi="Times New Roman"/>
        </w:rPr>
      </w:pPr>
      <w:r w:rsidRPr="00D57C37">
        <w:rPr>
          <w:rFonts w:ascii="Times New Roman" w:hAnsi="Times New Roman"/>
        </w:rPr>
        <w:t xml:space="preserve">As discussed further below, the additional information collection burden arising from the proposed regulations primarily is restricted to the costs associated with the affected registrants’ obligation to </w:t>
      </w:r>
      <w:r w:rsidR="009E05E9" w:rsidRPr="009E05E9">
        <w:rPr>
          <w:rFonts w:ascii="Times New Roman" w:hAnsi="Times New Roman"/>
        </w:rPr>
        <w:t>establish and enforce procedures to establish risk-based limits, conduct stress testing, evaluate the ability to meet initial and variation margin, test lines of credit, and evaluate the ability to liquidate, in an orderly manner, the positions in the proprietary and customer accounts and estimate the cost of the liquidation</w:t>
      </w:r>
      <w:r w:rsidRPr="009E05E9">
        <w:rPr>
          <w:rFonts w:ascii="Times New Roman" w:hAnsi="Times New Roman"/>
        </w:rPr>
        <w:t xml:space="preserve">.  </w:t>
      </w:r>
    </w:p>
    <w:p w:rsidR="00950BC8" w:rsidRPr="00950BC8" w:rsidRDefault="00950BC8" w:rsidP="00950BC8">
      <w:pPr>
        <w:pStyle w:val="Default"/>
        <w:jc w:val="both"/>
        <w:rPr>
          <w:rFonts w:ascii="Times New Roman" w:hAnsi="Times New Roman" w:cs="Times New Roman"/>
          <w:highlight w:val="yellow"/>
        </w:rPr>
      </w:pPr>
    </w:p>
    <w:p w:rsidR="00950BC8" w:rsidRDefault="00950BC8" w:rsidP="00950BC8">
      <w:pPr>
        <w:pStyle w:val="Default"/>
        <w:jc w:val="both"/>
        <w:rPr>
          <w:rFonts w:ascii="Times New Roman" w:hAnsi="Times New Roman" w:cs="Times New Roman"/>
        </w:rPr>
      </w:pPr>
      <w:r w:rsidRPr="00D57C37">
        <w:rPr>
          <w:rFonts w:ascii="Times New Roman" w:hAnsi="Times New Roman" w:cs="Times New Roman"/>
        </w:rPr>
        <w:t xml:space="preserve">The information collection obligations imposed by the proposed regulations are necessary </w:t>
      </w:r>
      <w:r w:rsidR="00D57C37" w:rsidRPr="00D57C37">
        <w:rPr>
          <w:rFonts w:ascii="Times New Roman" w:hAnsi="Times New Roman"/>
        </w:rPr>
        <w:t>to implement certain provisions of the CEA</w:t>
      </w:r>
      <w:r w:rsidRPr="00D57C37">
        <w:rPr>
          <w:rFonts w:ascii="Times New Roman" w:hAnsi="Times New Roman" w:cs="Times New Roman"/>
        </w:rPr>
        <w:t xml:space="preserve">, including ensuring that </w:t>
      </w:r>
      <w:r w:rsidR="00D57C37" w:rsidRPr="00D57C37">
        <w:rPr>
          <w:rFonts w:ascii="Times New Roman" w:hAnsi="Times New Roman" w:cs="Times New Roman"/>
        </w:rPr>
        <w:t>registrants perform effective risk management and for the efficient operation of trading venues among swap dealers, major swap participants, and futures commission merchants</w:t>
      </w:r>
      <w:r w:rsidRPr="00D57C37">
        <w:rPr>
          <w:rFonts w:ascii="Times New Roman" w:hAnsi="Times New Roman" w:cs="Times New Roman"/>
        </w:rPr>
        <w:t>.</w:t>
      </w:r>
      <w:r>
        <w:rPr>
          <w:rFonts w:ascii="Times New Roman" w:hAnsi="Times New Roman" w:cs="Times New Roman"/>
        </w:rPr>
        <w:t xml:space="preserve">  </w:t>
      </w:r>
    </w:p>
    <w:p w:rsidR="00F02BB7" w:rsidRDefault="00F02BB7" w:rsidP="00F02BB7">
      <w:pPr>
        <w:pStyle w:val="Default"/>
        <w:jc w:val="both"/>
        <w:rPr>
          <w:rFonts w:ascii="Times New Roman" w:hAnsi="Times New Roman" w:cs="Times New Roman"/>
        </w:rPr>
      </w:pPr>
    </w:p>
    <w:p w:rsidR="00F02BB7" w:rsidRDefault="00F02BB7" w:rsidP="00F02BB7">
      <w:pPr>
        <w:tabs>
          <w:tab w:val="left" w:pos="-720"/>
        </w:tabs>
        <w:ind w:left="720" w:hanging="720"/>
        <w:jc w:val="both"/>
        <w:rPr>
          <w:rFonts w:ascii="Times New Roman" w:hAnsi="Times New Roman"/>
          <w:b/>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F02BB7" w:rsidRDefault="00F02BB7" w:rsidP="00F02BB7">
      <w:pPr>
        <w:jc w:val="both"/>
        <w:rPr>
          <w:rFonts w:ascii="Times New Roman" w:hAnsi="Times New Roman"/>
        </w:rPr>
      </w:pPr>
    </w:p>
    <w:p w:rsidR="00F02BB7" w:rsidRDefault="00F02BB7" w:rsidP="00F02BB7">
      <w:pPr>
        <w:pStyle w:val="Default"/>
        <w:jc w:val="both"/>
        <w:rPr>
          <w:rFonts w:ascii="Times New Roman" w:hAnsi="Times New Roman" w:cs="Times New Roman"/>
        </w:rPr>
      </w:pPr>
      <w:r>
        <w:rPr>
          <w:rFonts w:ascii="Times New Roman" w:hAnsi="Times New Roman"/>
        </w:rPr>
        <w:t xml:space="preserve">The proposed regulations would be an important part of the Commission’s regulatory program for </w:t>
      </w:r>
      <w:r w:rsidRPr="00B227A3">
        <w:rPr>
          <w:rFonts w:ascii="Times New Roman" w:hAnsi="Times New Roman"/>
        </w:rPr>
        <w:t>swap dealers</w:t>
      </w:r>
      <w:r w:rsidR="00B227A3" w:rsidRPr="00B227A3">
        <w:rPr>
          <w:rFonts w:ascii="Times New Roman" w:hAnsi="Times New Roman"/>
        </w:rPr>
        <w:t>,</w:t>
      </w:r>
      <w:r w:rsidRPr="00B227A3">
        <w:rPr>
          <w:rFonts w:ascii="Times New Roman" w:hAnsi="Times New Roman"/>
        </w:rPr>
        <w:t xml:space="preserve"> major swap participants</w:t>
      </w:r>
      <w:r w:rsidR="00B227A3">
        <w:rPr>
          <w:rFonts w:ascii="Times New Roman" w:hAnsi="Times New Roman"/>
        </w:rPr>
        <w:t>, and futures commission merchants</w:t>
      </w:r>
      <w:r>
        <w:rPr>
          <w:rFonts w:ascii="Times New Roman" w:hAnsi="Times New Roman"/>
        </w:rPr>
        <w:t>.  The information required to be preserved would be used by representatives of the Commission to ensure compliance with the CEA and applicable Commission regulations.</w:t>
      </w:r>
      <w:r>
        <w:rPr>
          <w:rFonts w:ascii="Times New Roman" w:hAnsi="Times New Roman" w:cs="Times New Roman"/>
        </w:rPr>
        <w:t xml:space="preserve"> </w:t>
      </w:r>
    </w:p>
    <w:p w:rsidR="00F02BB7" w:rsidRDefault="00F02BB7" w:rsidP="00F02BB7">
      <w:pPr>
        <w:jc w:val="both"/>
        <w:rPr>
          <w:rFonts w:ascii="Times New Roman" w:hAnsi="Times New Roman"/>
        </w:rPr>
      </w:pPr>
    </w:p>
    <w:p w:rsidR="00F02BB7" w:rsidRDefault="00F02BB7" w:rsidP="00F02BB7">
      <w:pPr>
        <w:keepNext/>
        <w:tabs>
          <w:tab w:val="left" w:pos="-720"/>
        </w:tabs>
        <w:spacing w:after="240"/>
        <w:ind w:left="720" w:hanging="720"/>
        <w:jc w:val="both"/>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02BB7" w:rsidRDefault="00F02BB7" w:rsidP="00F02BB7">
      <w:pPr>
        <w:tabs>
          <w:tab w:val="left" w:pos="-720"/>
          <w:tab w:val="left" w:pos="0"/>
        </w:tabs>
        <w:spacing w:after="240"/>
        <w:jc w:val="both"/>
        <w:rPr>
          <w:rFonts w:ascii="Times New Roman" w:hAnsi="Times New Roman"/>
        </w:rPr>
      </w:pPr>
      <w:r w:rsidRPr="00EA4A5B">
        <w:rPr>
          <w:rFonts w:ascii="Times New Roman" w:hAnsi="Times New Roman"/>
        </w:rPr>
        <w:t>The proposed regulations require that recordkeeping generally be performed in accordance with Commission regulation 1.31, which permits the use of electronic storage media.</w:t>
      </w:r>
    </w:p>
    <w:p w:rsidR="00F02BB7" w:rsidRDefault="00F02BB7" w:rsidP="00F02BB7">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F02BB7" w:rsidRDefault="00F02BB7" w:rsidP="00F02BB7">
      <w:pPr>
        <w:tabs>
          <w:tab w:val="left" w:pos="-720"/>
        </w:tabs>
        <w:spacing w:after="240"/>
        <w:jc w:val="both"/>
        <w:rPr>
          <w:rFonts w:ascii="Times New Roman" w:hAnsi="Times New Roman"/>
        </w:rPr>
      </w:pPr>
      <w:r w:rsidRPr="00EA4A5B">
        <w:rPr>
          <w:rFonts w:ascii="Times New Roman" w:hAnsi="Times New Roman"/>
        </w:rPr>
        <w:t xml:space="preserve">Swap dealers and major swap participants are new categories of registrants under the Dodd-Frank Act.  Accordingly, the required information is not already collected by the Commission for any other purpose.  </w:t>
      </w:r>
      <w:r w:rsidR="00EA4A5B">
        <w:rPr>
          <w:rFonts w:ascii="Times New Roman" w:hAnsi="Times New Roman"/>
        </w:rPr>
        <w:t>Additionally, the required information is not already collected by the Commission for any other purpose with respect to futures commission merchants.  The required information</w:t>
      </w:r>
      <w:r w:rsidRPr="00EA4A5B">
        <w:rPr>
          <w:rFonts w:ascii="Times New Roman" w:hAnsi="Times New Roman"/>
        </w:rPr>
        <w:t xml:space="preserve"> also is not collected by any other agency or available for public disclosure through any other source.</w:t>
      </w:r>
      <w:r>
        <w:rPr>
          <w:rFonts w:ascii="Times New Roman" w:hAnsi="Times New Roman"/>
        </w:rPr>
        <w:t xml:space="preserve"> </w:t>
      </w:r>
    </w:p>
    <w:p w:rsidR="00F02BB7" w:rsidRDefault="00F02BB7" w:rsidP="00F02BB7">
      <w:pPr>
        <w:tabs>
          <w:tab w:val="left" w:pos="-720"/>
        </w:tabs>
        <w:spacing w:after="240"/>
        <w:ind w:left="720" w:hanging="720"/>
        <w:jc w:val="both"/>
        <w:rPr>
          <w:rFonts w:ascii="Times New Roman" w:hAnsi="Times New Roman"/>
          <w:b/>
        </w:rPr>
      </w:pPr>
      <w:r>
        <w:rPr>
          <w:rFonts w:ascii="Times New Roman" w:hAnsi="Times New Roman"/>
          <w:b/>
        </w:rPr>
        <w:lastRenderedPageBreak/>
        <w:t>5.</w:t>
      </w:r>
      <w:r>
        <w:rPr>
          <w:rFonts w:ascii="Times New Roman" w:hAnsi="Times New Roman"/>
          <w:b/>
        </w:rPr>
        <w:tab/>
        <w:t>If the collection of information involves small business or other small entities (Item 5 of OMB From 83-I), describe the methods used to minimize burden.</w:t>
      </w:r>
    </w:p>
    <w:p w:rsidR="00F02BB7" w:rsidRDefault="00F02BB7" w:rsidP="00F02BB7">
      <w:pPr>
        <w:tabs>
          <w:tab w:val="left" w:pos="-720"/>
        </w:tabs>
        <w:spacing w:after="240"/>
        <w:jc w:val="both"/>
        <w:rPr>
          <w:rFonts w:ascii="Times New Roman" w:hAnsi="Times New Roman"/>
        </w:rPr>
      </w:pPr>
      <w:r>
        <w:rPr>
          <w:rFonts w:ascii="Times New Roman" w:hAnsi="Times New Roman"/>
        </w:rPr>
        <w:t xml:space="preserve">The collection of the required information does not involve any small businesses or small entities. </w:t>
      </w:r>
    </w:p>
    <w:p w:rsidR="00F02BB7" w:rsidRDefault="00F02BB7" w:rsidP="00F02BB7">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rsidR="00F02BB7" w:rsidRDefault="00F02BB7" w:rsidP="00F02BB7">
      <w:pPr>
        <w:pStyle w:val="Default"/>
        <w:jc w:val="both"/>
        <w:rPr>
          <w:rFonts w:ascii="Times New Roman" w:hAnsi="Times New Roman" w:cs="Times New Roman"/>
        </w:rPr>
      </w:pPr>
      <w:r>
        <w:rPr>
          <w:rFonts w:ascii="Times New Roman" w:hAnsi="Times New Roman" w:cs="Times New Roman"/>
        </w:rPr>
        <w:t xml:space="preserve">Failure to maintain the records required by the proposed regulations would adversely affect the Commission’s ability to ensure that </w:t>
      </w:r>
      <w:r w:rsidRPr="00EA4A5B">
        <w:rPr>
          <w:rFonts w:ascii="Times New Roman" w:hAnsi="Times New Roman" w:cs="Times New Roman"/>
        </w:rPr>
        <w:t>swap dealers</w:t>
      </w:r>
      <w:r w:rsidR="00EA4A5B" w:rsidRPr="00EA4A5B">
        <w:rPr>
          <w:rFonts w:ascii="Times New Roman" w:hAnsi="Times New Roman" w:cs="Times New Roman"/>
        </w:rPr>
        <w:t>,</w:t>
      </w:r>
      <w:r w:rsidRPr="00EA4A5B">
        <w:rPr>
          <w:rFonts w:ascii="Times New Roman" w:hAnsi="Times New Roman" w:cs="Times New Roman"/>
        </w:rPr>
        <w:t xml:space="preserve"> major swap participants</w:t>
      </w:r>
      <w:r w:rsidR="00EA4A5B">
        <w:rPr>
          <w:rFonts w:ascii="Times New Roman" w:hAnsi="Times New Roman" w:cs="Times New Roman"/>
        </w:rPr>
        <w:t>, and futures commission merchants</w:t>
      </w:r>
      <w:r>
        <w:rPr>
          <w:rFonts w:ascii="Times New Roman" w:hAnsi="Times New Roman" w:cs="Times New Roman"/>
        </w:rPr>
        <w:t xml:space="preserve"> comply with their </w:t>
      </w:r>
      <w:r w:rsidR="00EA4A5B">
        <w:rPr>
          <w:rFonts w:ascii="Times New Roman" w:hAnsi="Times New Roman" w:cs="Times New Roman"/>
        </w:rPr>
        <w:t>recordkeeping</w:t>
      </w:r>
      <w:r>
        <w:rPr>
          <w:rFonts w:ascii="Times New Roman" w:hAnsi="Times New Roman" w:cs="Times New Roman"/>
        </w:rPr>
        <w:t xml:space="preserve"> obligations under the CEA and Commission regulations and to ensure compliance with the mandatory clearing requirements of the CEA and Commission regulations</w:t>
      </w:r>
      <w:r w:rsidRPr="00EA4A5B">
        <w:rPr>
          <w:rFonts w:ascii="Times New Roman" w:hAnsi="Times New Roman" w:cs="Times New Roman"/>
        </w:rPr>
        <w:t xml:space="preserve">.  Failure to comply with the </w:t>
      </w:r>
      <w:r w:rsidR="00EA4A5B" w:rsidRPr="00EA4A5B">
        <w:rPr>
          <w:rFonts w:ascii="Times New Roman" w:hAnsi="Times New Roman" w:cs="Times New Roman"/>
        </w:rPr>
        <w:t>recordkeeping</w:t>
      </w:r>
      <w:r w:rsidRPr="00EA4A5B">
        <w:rPr>
          <w:rFonts w:ascii="Times New Roman" w:hAnsi="Times New Roman" w:cs="Times New Roman"/>
        </w:rPr>
        <w:t xml:space="preserve"> requirements established by the proposed regulation would prohibit the Commission from </w:t>
      </w:r>
      <w:r w:rsidR="00EA4A5B" w:rsidRPr="00EA4A5B">
        <w:rPr>
          <w:rFonts w:ascii="Times New Roman" w:hAnsi="Times New Roman" w:cs="Times New Roman"/>
        </w:rPr>
        <w:t>ensuring that registrants perform effective risk management and for the efficient operation of trading venues among swap dealers, major swap participants, and futures commission merchants</w:t>
      </w:r>
      <w:r w:rsidRPr="00EA4A5B">
        <w:rPr>
          <w:rFonts w:ascii="Times New Roman" w:hAnsi="Times New Roman" w:cs="Times New Roman"/>
        </w:rPr>
        <w:t>.</w:t>
      </w:r>
    </w:p>
    <w:p w:rsidR="00F02BB7" w:rsidRDefault="00F02BB7" w:rsidP="00F02BB7">
      <w:pPr>
        <w:pStyle w:val="Default"/>
        <w:jc w:val="both"/>
        <w:rPr>
          <w:rFonts w:ascii="Times New Roman" w:hAnsi="Times New Roman" w:cs="Times New Roman"/>
        </w:rPr>
      </w:pPr>
    </w:p>
    <w:p w:rsidR="00F02BB7" w:rsidRDefault="00F02BB7" w:rsidP="00F02BB7">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rsidR="00F02BB7" w:rsidRDefault="00F02BB7" w:rsidP="00F02BB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report information to the agency more often than quarterly;</w:t>
      </w:r>
    </w:p>
    <w:p w:rsidR="00F02BB7" w:rsidRDefault="00F02BB7" w:rsidP="00F02BB7">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w:t>
      </w:r>
      <w:r w:rsidRPr="00EA4A5B">
        <w:rPr>
          <w:rFonts w:ascii="Times New Roman" w:hAnsi="Times New Roman"/>
        </w:rPr>
        <w:t>The sole reporting requirement contained in the proposed regulations is event-based.</w:t>
      </w:r>
      <w:r>
        <w:rPr>
          <w:rFonts w:ascii="Times New Roman" w:hAnsi="Times New Roman"/>
        </w:rPr>
        <w:t xml:space="preserve"> </w:t>
      </w:r>
    </w:p>
    <w:p w:rsidR="00F02BB7" w:rsidRDefault="00F02BB7" w:rsidP="00F02BB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rsidR="00F02BB7" w:rsidRDefault="00F02BB7" w:rsidP="00F02BB7">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w:t>
      </w:r>
    </w:p>
    <w:p w:rsidR="00F02BB7" w:rsidRDefault="00F02BB7" w:rsidP="00F02BB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more that an original and two copies of any document;</w:t>
      </w:r>
    </w:p>
    <w:p w:rsidR="00F02BB7" w:rsidRDefault="00F02BB7" w:rsidP="00F02BB7">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proposed regulations do not impose a reporting requirement that would obligate a respondent to submit more than an original and two copies of any document.</w:t>
      </w:r>
    </w:p>
    <w:p w:rsidR="00F02BB7" w:rsidRDefault="00F02BB7" w:rsidP="00F02BB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retain records other than health, medical, government contract, grant-in-aid, or tax records, for more than three years;</w:t>
      </w:r>
    </w:p>
    <w:p w:rsidR="00F02BB7" w:rsidRDefault="00F02BB7" w:rsidP="00F02BB7">
      <w:pPr>
        <w:tabs>
          <w:tab w:val="left" w:pos="-720"/>
          <w:tab w:val="left" w:pos="0"/>
          <w:tab w:val="left" w:pos="720"/>
        </w:tabs>
        <w:spacing w:after="240"/>
        <w:jc w:val="both"/>
        <w:rPr>
          <w:rFonts w:ascii="Times New Roman" w:hAnsi="Times New Roman"/>
        </w:rPr>
      </w:pPr>
      <w:r>
        <w:rPr>
          <w:rFonts w:ascii="Times New Roman" w:hAnsi="Times New Roman"/>
        </w:rPr>
        <w:t>Commission regulation 1.31 expressly requires that:</w:t>
      </w:r>
    </w:p>
    <w:p w:rsidR="00F02BB7" w:rsidRDefault="00F02BB7" w:rsidP="00F02BB7">
      <w:pPr>
        <w:tabs>
          <w:tab w:val="left" w:pos="-720"/>
          <w:tab w:val="left" w:pos="0"/>
          <w:tab w:val="left" w:pos="720"/>
        </w:tabs>
        <w:spacing w:after="240"/>
        <w:ind w:left="720" w:right="720"/>
        <w:jc w:val="both"/>
        <w:rPr>
          <w:rFonts w:ascii="Times New Roman" w:hAnsi="Times New Roman"/>
        </w:rPr>
      </w:pPr>
      <w:r>
        <w:rPr>
          <w:rFonts w:ascii="Times New Roman" w:hAnsi="Times New Roman"/>
        </w:rPr>
        <w:t xml:space="preserve">All books and records required to be kept by the [CEA] or by [Commission] regulations shall be kept for a period of five years from the date thereof and shall be readily accessible during the first 2 years of the five-year period.  All such </w:t>
      </w:r>
      <w:r>
        <w:rPr>
          <w:rFonts w:ascii="Times New Roman" w:hAnsi="Times New Roman"/>
        </w:rPr>
        <w:lastRenderedPageBreak/>
        <w:t>books and records shall be open to inspection by any representative of the commission or the United States Department of Justice.</w:t>
      </w:r>
    </w:p>
    <w:p w:rsidR="00F02BB7" w:rsidRDefault="00F02BB7" w:rsidP="00F02BB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in connection with a statistical survey, that is not designed to produce valid and reliable results that can be generalized to the universe of study; </w:t>
      </w:r>
    </w:p>
    <w:p w:rsidR="00F02BB7" w:rsidRDefault="00F02BB7" w:rsidP="00F02BB7">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proposed regulation does not require nor involve any statistical surveys.</w:t>
      </w:r>
    </w:p>
    <w:p w:rsidR="00F02BB7" w:rsidRDefault="00F02BB7" w:rsidP="00F02BB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the use of a statistical data classification that has not been reviewed and approved by OMB;</w:t>
      </w:r>
    </w:p>
    <w:p w:rsidR="00F02BB7" w:rsidRDefault="00F02BB7" w:rsidP="00F02BB7">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proposed regulation does not require nor involve the use of any statistical data classification.</w:t>
      </w:r>
    </w:p>
    <w:p w:rsidR="00F02BB7" w:rsidRDefault="00F02BB7" w:rsidP="00F02BB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F02BB7" w:rsidRDefault="00F02BB7" w:rsidP="00F02BB7">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proposed regulation does not require a pledge of confidentiality.</w:t>
      </w:r>
    </w:p>
    <w:p w:rsidR="00F02BB7" w:rsidRDefault="00F02BB7" w:rsidP="00F02BB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F02BB7" w:rsidRDefault="00F02BB7" w:rsidP="00F02BB7">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In any event, the Commission has promulgated regulations to protect the confidentiality of any information collected from respondents.  Such regulations are set forth in 17 CFR Part 145.  </w:t>
      </w:r>
    </w:p>
    <w:p w:rsidR="00F02BB7" w:rsidRDefault="00F02BB7" w:rsidP="00F02BB7">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publication 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158B0" w:rsidRDefault="00A158B0" w:rsidP="00A158B0">
      <w:pPr>
        <w:pStyle w:val="TOC6"/>
        <w:tabs>
          <w:tab w:val="clear" w:pos="9360"/>
          <w:tab w:val="left" w:pos="-720"/>
          <w:tab w:val="left" w:pos="0"/>
        </w:tabs>
        <w:suppressAutoHyphens w:val="0"/>
        <w:spacing w:after="240"/>
        <w:ind w:left="0" w:firstLine="0"/>
        <w:jc w:val="both"/>
        <w:rPr>
          <w:rFonts w:ascii="Times New Roman" w:hAnsi="Times New Roman"/>
          <w:szCs w:val="24"/>
        </w:rPr>
      </w:pPr>
      <w:r w:rsidRPr="00211DA6">
        <w:rPr>
          <w:rFonts w:ascii="Times New Roman" w:hAnsi="Times New Roman"/>
          <w:szCs w:val="24"/>
        </w:rPr>
        <w:t>The Commission did not receive any comments in response to the notice required by 5 CFR 1320.8(d).</w:t>
      </w:r>
      <w:r>
        <w:rPr>
          <w:rFonts w:ascii="Times New Roman" w:hAnsi="Times New Roman"/>
          <w:szCs w:val="24"/>
        </w:rPr>
        <w:t xml:space="preserve">    </w:t>
      </w:r>
    </w:p>
    <w:p w:rsidR="00F02BB7" w:rsidRPr="00AF2505" w:rsidRDefault="00F02BB7" w:rsidP="00F02BB7">
      <w:pPr>
        <w:tabs>
          <w:tab w:val="left" w:pos="-720"/>
        </w:tabs>
        <w:spacing w:after="240"/>
        <w:ind w:left="720"/>
        <w:jc w:val="both"/>
        <w:rPr>
          <w:rFonts w:ascii="Times New Roman" w:hAnsi="Times New Roman"/>
          <w:b/>
        </w:rPr>
      </w:pPr>
      <w:r w:rsidRPr="00AF2505">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02BB7" w:rsidRDefault="00F02BB7" w:rsidP="00F02BB7">
      <w:pPr>
        <w:pStyle w:val="TOC6"/>
        <w:tabs>
          <w:tab w:val="clear" w:pos="9360"/>
          <w:tab w:val="left" w:pos="-720"/>
          <w:tab w:val="left" w:pos="0"/>
        </w:tabs>
        <w:suppressAutoHyphens w:val="0"/>
        <w:spacing w:after="240"/>
        <w:ind w:left="0" w:firstLine="0"/>
        <w:jc w:val="both"/>
        <w:rPr>
          <w:rFonts w:ascii="Times New Roman" w:hAnsi="Times New Roman"/>
          <w:szCs w:val="24"/>
        </w:rPr>
      </w:pPr>
      <w:r w:rsidRPr="00A158B0">
        <w:rPr>
          <w:rFonts w:ascii="Times New Roman" w:hAnsi="Times New Roman"/>
          <w:i/>
        </w:rPr>
        <w:t>See</w:t>
      </w:r>
      <w:r w:rsidRPr="00A158B0">
        <w:rPr>
          <w:rFonts w:ascii="Times New Roman" w:hAnsi="Times New Roman"/>
        </w:rPr>
        <w:t xml:space="preserve"> response to question 8.  </w:t>
      </w:r>
      <w:r>
        <w:rPr>
          <w:rFonts w:ascii="Times New Roman" w:hAnsi="Times New Roman"/>
          <w:szCs w:val="24"/>
        </w:rPr>
        <w:t xml:space="preserve">   </w:t>
      </w:r>
    </w:p>
    <w:p w:rsidR="00F02BB7" w:rsidRDefault="00F02BB7" w:rsidP="00F02BB7">
      <w:pPr>
        <w:tabs>
          <w:tab w:val="left" w:pos="-720"/>
        </w:tabs>
        <w:spacing w:after="240"/>
        <w:ind w:left="720"/>
        <w:jc w:val="both"/>
        <w:rPr>
          <w:rFonts w:ascii="Times New Roman" w:hAnsi="Times New Roman"/>
          <w:b/>
        </w:rPr>
      </w:pPr>
      <w:r>
        <w:rPr>
          <w:rFonts w:ascii="Times New Roman" w:hAnsi="Times New Roman"/>
          <w:b/>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02BB7" w:rsidRDefault="00F02BB7" w:rsidP="00F02BB7">
      <w:pPr>
        <w:tabs>
          <w:tab w:val="left" w:pos="-720"/>
        </w:tabs>
        <w:spacing w:after="240"/>
        <w:jc w:val="both"/>
        <w:rPr>
          <w:rFonts w:ascii="Times New Roman" w:hAnsi="Times New Roman"/>
        </w:rPr>
      </w:pPr>
      <w:r>
        <w:rPr>
          <w:rFonts w:ascii="Times New Roman" w:hAnsi="Times New Roman"/>
        </w:rPr>
        <w:t xml:space="preserve">No such circumstances are anticipated.  </w:t>
      </w:r>
    </w:p>
    <w:p w:rsidR="00F02BB7" w:rsidRDefault="00F02BB7" w:rsidP="00F02BB7">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renumeration of contractors or grantees.</w:t>
      </w:r>
    </w:p>
    <w:p w:rsidR="00F02BB7" w:rsidRDefault="00F02BB7" w:rsidP="00F02BB7">
      <w:pPr>
        <w:tabs>
          <w:tab w:val="left" w:pos="-720"/>
        </w:tabs>
        <w:spacing w:after="240"/>
        <w:jc w:val="both"/>
        <w:rPr>
          <w:rFonts w:ascii="Times New Roman" w:hAnsi="Times New Roman"/>
        </w:rPr>
      </w:pPr>
      <w:r>
        <w:rPr>
          <w:rFonts w:ascii="Times New Roman" w:hAnsi="Times New Roman"/>
        </w:rPr>
        <w:t>This question does not apply.  No decision to provide any payment or gift to respondents has been made.</w:t>
      </w:r>
    </w:p>
    <w:p w:rsidR="00F02BB7" w:rsidRDefault="00F02BB7" w:rsidP="00F02BB7">
      <w:pPr>
        <w:tabs>
          <w:tab w:val="left" w:pos="-720"/>
        </w:tabs>
        <w:spacing w:after="240"/>
        <w:ind w:left="720" w:hanging="720"/>
        <w:jc w:val="both"/>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regulations, or agency policy.</w:t>
      </w:r>
    </w:p>
    <w:p w:rsidR="00F02BB7" w:rsidRDefault="00F02BB7" w:rsidP="00F02BB7">
      <w:pPr>
        <w:tabs>
          <w:tab w:val="left" w:pos="-720"/>
          <w:tab w:val="left" w:pos="0"/>
          <w:tab w:val="left" w:pos="720"/>
        </w:tabs>
        <w:spacing w:after="240"/>
        <w:jc w:val="both"/>
        <w:rPr>
          <w:rFonts w:ascii="Times New Roman" w:hAnsi="Times New Roman"/>
        </w:rPr>
      </w:pPr>
      <w:r>
        <w:rPr>
          <w:rFonts w:ascii="Times New Roman" w:hAnsi="Times New Roman"/>
        </w:rPr>
        <w:t>If the proposed regulations are adopted, the Commission will protect proprietary information according to the Freedom of Information Act and the regulations that the Commission has promulgated to protect the confidentiality of collected information contained in 17 CFR 145, “Commission Records and Information.”  In addition, section 8(a) of the CEA provides for the confidentiality of data and information, except under the limited circumstances delineated therein.  The Commission also is required to protect certain information pursuant to the Privacy Act of 1974.</w:t>
      </w:r>
    </w:p>
    <w:p w:rsidR="00F02BB7" w:rsidRDefault="00F02BB7" w:rsidP="00F02BB7">
      <w:pPr>
        <w:tabs>
          <w:tab w:val="left" w:pos="-720"/>
        </w:tabs>
        <w:spacing w:after="240"/>
        <w:ind w:left="720" w:hanging="720"/>
        <w:jc w:val="both"/>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2BB7" w:rsidRDefault="00F02BB7" w:rsidP="00F02BB7">
      <w:pPr>
        <w:tabs>
          <w:tab w:val="left" w:pos="-720"/>
        </w:tabs>
        <w:spacing w:after="240"/>
        <w:jc w:val="both"/>
        <w:rPr>
          <w:rFonts w:ascii="Times New Roman" w:hAnsi="Times New Roman"/>
        </w:rPr>
      </w:pPr>
      <w:r>
        <w:rPr>
          <w:rFonts w:ascii="Times New Roman" w:hAnsi="Times New Roman"/>
        </w:rPr>
        <w:t>This question does not apply.  The proposed regulations do not request nor require the provision of sensitive information, as that term is used in question 11.</w:t>
      </w:r>
    </w:p>
    <w:p w:rsidR="00F02BB7" w:rsidRDefault="00F02BB7" w:rsidP="00F02BB7">
      <w:pPr>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F02BB7" w:rsidRDefault="00F02BB7" w:rsidP="00F02BB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02BB7" w:rsidRDefault="00F02BB7" w:rsidP="00F02BB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lastRenderedPageBreak/>
        <w:t>If the request for approval covers more than one form, provide separate hour burden estimates for each form and aggregate the hour burdens in Item 13 of OMB Form 83-I.</w:t>
      </w:r>
    </w:p>
    <w:p w:rsidR="00F02BB7" w:rsidRDefault="00F02BB7" w:rsidP="00F02BB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EA0775" w:rsidRDefault="00F02BB7" w:rsidP="00EA0775">
      <w:pPr>
        <w:pStyle w:val="PlainText"/>
        <w:jc w:val="both"/>
        <w:rPr>
          <w:rFonts w:ascii="Times New Roman" w:hAnsi="Times New Roman"/>
          <w:color w:val="auto"/>
          <w:sz w:val="24"/>
          <w:szCs w:val="24"/>
        </w:rPr>
      </w:pPr>
      <w:r w:rsidRPr="00B227A3">
        <w:rPr>
          <w:rFonts w:ascii="Times New Roman" w:hAnsi="Times New Roman"/>
          <w:i/>
          <w:color w:val="auto"/>
          <w:sz w:val="24"/>
          <w:szCs w:val="24"/>
        </w:rPr>
        <w:t>See</w:t>
      </w:r>
      <w:r w:rsidRPr="00B227A3">
        <w:rPr>
          <w:rFonts w:ascii="Times New Roman" w:hAnsi="Times New Roman"/>
          <w:color w:val="auto"/>
          <w:sz w:val="24"/>
          <w:szCs w:val="24"/>
        </w:rPr>
        <w:t xml:space="preserve"> Attachment A.  </w:t>
      </w:r>
      <w:r w:rsidR="00EA0775" w:rsidRPr="00EA0775">
        <w:rPr>
          <w:rFonts w:ascii="Times New Roman" w:hAnsi="Times New Roman"/>
          <w:color w:val="auto"/>
          <w:sz w:val="24"/>
          <w:szCs w:val="24"/>
        </w:rPr>
        <w:t>The annual burden associated with these regulations is estimated to be 524 hours, at an annual cost of $52,400 for each FCM, SD, and MSP.  Burden means the total time, effort, or financial resources expended by persons to generate, maintain, retain, disclose, or provide information to or for a federal agency.  The Commission has characterized the annual costs as initial costs because the Commission anticipates that the cost burdens will be reduced dramatically over time as the documentation and procedures required by the regulations become increasingly standardized within the industry.</w:t>
      </w:r>
    </w:p>
    <w:p w:rsidR="00EA0775" w:rsidRPr="00EA0775" w:rsidRDefault="00EA0775" w:rsidP="00EA0775">
      <w:pPr>
        <w:pStyle w:val="PlainText"/>
        <w:jc w:val="both"/>
        <w:rPr>
          <w:rFonts w:ascii="Times New Roman" w:hAnsi="Times New Roman"/>
          <w:color w:val="auto"/>
          <w:sz w:val="24"/>
          <w:szCs w:val="24"/>
        </w:rPr>
      </w:pPr>
    </w:p>
    <w:p w:rsid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 xml:space="preserve">This hourly burden primarily results from the position risk management obligations that would be imposed by §§ 1.73 and 23.609.  Regulations 1.73 and 23.609 would require each FCM, SD, and MSP to establish and enforce procedures to establish risk-based limits, conduct stress testing, evaluate the ability to meet initial and variation margin, test lines of credit, and evaluate the ability to liquidate, in an orderly manner, the positions in the proprietary and customer accounts and estimate the cost of the liquidation.  The Commission believes that each of these items is currently an element of existing risk management programs at a DCO or an FCM.  Accordingly, any additional expenditure related to §§ 1.73 and 23.609 likely will be limited to the time initially required to review and, as needed, amend, existing risk management procedures to ensure that they encompass all of the required elements and to develop a system for performing these functions as often as required.  </w:t>
      </w:r>
    </w:p>
    <w:p w:rsidR="00EA0775" w:rsidRPr="00EA0775" w:rsidRDefault="00EA0775" w:rsidP="00EA0775">
      <w:pPr>
        <w:pStyle w:val="PlainText"/>
        <w:jc w:val="both"/>
        <w:rPr>
          <w:rFonts w:ascii="Times New Roman" w:hAnsi="Times New Roman"/>
          <w:color w:val="auto"/>
          <w:sz w:val="24"/>
          <w:szCs w:val="24"/>
        </w:rPr>
      </w:pPr>
    </w:p>
    <w:p w:rsidR="00EA0775" w:rsidRP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 xml:space="preserve">In addition, §§ 1.73 and 23.609 will require each FCM, SD, and MSP to establish written procedures to comply, and maintain records documenting compliance.  Maintenance of compliance procedures and records of compliance is prudent business practice and the Commission anticipates that SDs and MSPs already maintain some form of this documentation.  </w:t>
      </w:r>
    </w:p>
    <w:p w:rsid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 xml:space="preserve">With respect to the required position risk management, the Commission estimates that FCMs, SDs, and MSPs will spend an average of 2 hours per trading day, or 504 hours per year, performing the required tests.  The Commission notes that the specific information required for these tests is of the type that would be performed in a prudent market participant’s ordinary course of business.   </w:t>
      </w:r>
    </w:p>
    <w:p w:rsidR="00EA0775" w:rsidRPr="00EA0775" w:rsidRDefault="00EA0775" w:rsidP="00EA0775">
      <w:pPr>
        <w:pStyle w:val="PlainText"/>
        <w:jc w:val="both"/>
        <w:rPr>
          <w:rFonts w:ascii="Times New Roman" w:hAnsi="Times New Roman"/>
          <w:color w:val="auto"/>
          <w:sz w:val="24"/>
          <w:szCs w:val="24"/>
        </w:rPr>
      </w:pPr>
    </w:p>
    <w:p w:rsid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In addition to the above, the Commission anticipates that FCMs, SDs, and MSPs will spend an average of 16 hours per year drafting and, as needed, updating the written policies and procedures to ensure compliance required by §§ 1.73 and 23.609, and 4 hours per year maintaining records of the compliance.</w:t>
      </w:r>
    </w:p>
    <w:p w:rsidR="00EA0775" w:rsidRPr="00EA0775" w:rsidRDefault="00EA0775" w:rsidP="00EA0775">
      <w:pPr>
        <w:pStyle w:val="PlainText"/>
        <w:jc w:val="both"/>
        <w:rPr>
          <w:rFonts w:ascii="Times New Roman" w:hAnsi="Times New Roman"/>
          <w:color w:val="auto"/>
          <w:sz w:val="24"/>
          <w:szCs w:val="24"/>
        </w:rPr>
      </w:pPr>
    </w:p>
    <w:p w:rsid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 xml:space="preserve">The hour burden calculations below are based upon a number of variables such as the number of FCMs, SDs, and MSPs in the marketplace and the average hourly wage of the employees of </w:t>
      </w:r>
      <w:r w:rsidRPr="00EA0775">
        <w:rPr>
          <w:rFonts w:ascii="Times New Roman" w:hAnsi="Times New Roman"/>
          <w:color w:val="auto"/>
          <w:sz w:val="24"/>
          <w:szCs w:val="24"/>
        </w:rPr>
        <w:lastRenderedPageBreak/>
        <w:t xml:space="preserve">these registrants that will be responsible for satisfying the obligations established by the regulations.  </w:t>
      </w:r>
    </w:p>
    <w:p w:rsidR="00EA0775" w:rsidRPr="00EA0775" w:rsidRDefault="00EA0775" w:rsidP="00EA0775">
      <w:pPr>
        <w:pStyle w:val="PlainText"/>
        <w:jc w:val="both"/>
        <w:rPr>
          <w:rFonts w:ascii="Times New Roman" w:hAnsi="Times New Roman"/>
          <w:color w:val="auto"/>
          <w:sz w:val="24"/>
          <w:szCs w:val="24"/>
        </w:rPr>
      </w:pPr>
    </w:p>
    <w:p w:rsid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There are currently 134 FCMs based on industry data.  SDs and MSPs are new categories of registrants.  Accordingly, it is not currently known how many SDs and MSPs will become subject to these rules, and this will not be known to the Commission until the registration requirements for these entities become effective.  The Commission believes there will be approximately 125 SDs and MSPs who will be required to comply with the recordkeeping requirements of the proposed rules.  The Commission estimated the number of affected entities based on industry data.</w:t>
      </w:r>
    </w:p>
    <w:p w:rsidR="00EA0775" w:rsidRPr="00EA0775" w:rsidRDefault="00EA0775" w:rsidP="00EA0775">
      <w:pPr>
        <w:pStyle w:val="PlainText"/>
        <w:jc w:val="both"/>
        <w:rPr>
          <w:rFonts w:ascii="Times New Roman" w:hAnsi="Times New Roman"/>
          <w:color w:val="auto"/>
          <w:sz w:val="24"/>
          <w:szCs w:val="24"/>
        </w:rPr>
      </w:pPr>
    </w:p>
    <w:p w:rsidR="00EA0775" w:rsidRP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 xml:space="preserve">According to recent Bureau of Labor Statistics, the mean hourly wage of an employee under occupation code 11-3031, “Financial Managers,” (which includes operations managers) that is employed by the “Securities and Commodity Contracts Intermediation and Brokerage” industry is $74.41.   Because SDs, MSPs, and FCMs include large financial institutions whose operations management employees’ salaries may exceed the mean wage, the Commission has estimated the cost burden of these regulations based upon an average salary of $100 per hour.  </w:t>
      </w:r>
    </w:p>
    <w:p w:rsid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Accordingly, the estimated hour burden was calculated as follows:</w:t>
      </w:r>
    </w:p>
    <w:p w:rsidR="00EA0775" w:rsidRPr="00EA0775" w:rsidRDefault="00EA0775" w:rsidP="00EA0775">
      <w:pPr>
        <w:pStyle w:val="PlainText"/>
        <w:jc w:val="both"/>
        <w:rPr>
          <w:rFonts w:ascii="Times New Roman" w:hAnsi="Times New Roman"/>
          <w:color w:val="auto"/>
          <w:sz w:val="24"/>
          <w:szCs w:val="24"/>
        </w:rPr>
      </w:pPr>
    </w:p>
    <w:p w:rsidR="00EA0775" w:rsidRP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Developing and Conducting Position Risk Management Procedures for SDs and MSPs.  This hourly burden arises from the requirement that SDs and MSPs establish and perform testing of clearing member risk management procedures.</w:t>
      </w:r>
    </w:p>
    <w:p w:rsidR="00EA0775" w:rsidRP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Number of registrants:  125</w:t>
      </w:r>
    </w:p>
    <w:p w:rsidR="00EA0775" w:rsidRP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 xml:space="preserve">Frequency of collection:  daily  </w:t>
      </w:r>
    </w:p>
    <w:p w:rsidR="00EA0775" w:rsidRP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 xml:space="preserve">Estimated number of responses per registrant:  252 [252 trading days]  </w:t>
      </w:r>
    </w:p>
    <w:p w:rsidR="00EA0775" w:rsidRP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Estimated aggregate number of responses:  31,500 [125 registrants x 252 trading days]</w:t>
      </w:r>
    </w:p>
    <w:p w:rsidR="00EA0775" w:rsidRP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 xml:space="preserve">Estimated annual burden per registrant:  504 hours [252 trading days x 2 hours per record] </w:t>
      </w:r>
    </w:p>
    <w:p w:rsid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Estimated aggregate annual hour burden:  63,000 hours [125 registrants x 252 trading days x 2 hours per record]</w:t>
      </w:r>
    </w:p>
    <w:p w:rsidR="00EA0775" w:rsidRPr="00EA0775" w:rsidRDefault="00EA0775" w:rsidP="00EA0775">
      <w:pPr>
        <w:pStyle w:val="PlainText"/>
        <w:jc w:val="both"/>
        <w:rPr>
          <w:rFonts w:ascii="Times New Roman" w:hAnsi="Times New Roman"/>
          <w:color w:val="auto"/>
          <w:sz w:val="24"/>
          <w:szCs w:val="24"/>
        </w:rPr>
      </w:pPr>
    </w:p>
    <w:p w:rsidR="00EA0775" w:rsidRP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Developing Written Procedures for Compliance, and Maintaining Records Documenting Compliance for SDs and MSPs.  This hourly burden arises from the requirement that SDs and MSPs make and maintain records documenting compliance related to clearing member risk management.</w:t>
      </w:r>
    </w:p>
    <w:p w:rsidR="00EA0775" w:rsidRP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Number of registrants:  125</w:t>
      </w:r>
    </w:p>
    <w:p w:rsidR="00EA0775" w:rsidRP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Frequency of collection:  as needed</w:t>
      </w:r>
    </w:p>
    <w:p w:rsidR="00EA0775" w:rsidRP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Estimated number of annual responses per registrant:  1</w:t>
      </w:r>
    </w:p>
    <w:p w:rsidR="00EA0775" w:rsidRP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Estimated aggregate number of annual responses:  125</w:t>
      </w:r>
    </w:p>
    <w:p w:rsidR="00EA0775" w:rsidRP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Estimated annual hour burden per registrant:  20 hours</w:t>
      </w:r>
    </w:p>
    <w:p w:rsid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Estimated aggregate annual hour burden:  2,500 burden hours [125 registrants x 20 hours per registrant]</w:t>
      </w:r>
    </w:p>
    <w:p w:rsidR="00EA0775" w:rsidRPr="00EA0775" w:rsidRDefault="00EA0775" w:rsidP="00EA0775">
      <w:pPr>
        <w:pStyle w:val="PlainText"/>
        <w:jc w:val="both"/>
        <w:rPr>
          <w:rFonts w:ascii="Times New Roman" w:hAnsi="Times New Roman"/>
          <w:color w:val="auto"/>
          <w:sz w:val="24"/>
          <w:szCs w:val="24"/>
        </w:rPr>
      </w:pPr>
    </w:p>
    <w:p w:rsidR="00EA0775" w:rsidRP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Developing and Conducting Position Risk Management Procedures for FCMs.  This hourly burden arises from the requirement that FCMs establish and perform testing of clearing member risk management procedures.</w:t>
      </w:r>
    </w:p>
    <w:p w:rsidR="00EA0775" w:rsidRP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Number of registrants:  134</w:t>
      </w:r>
    </w:p>
    <w:p w:rsidR="00EA0775" w:rsidRP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lastRenderedPageBreak/>
        <w:t xml:space="preserve">Frequency of collection:  daily  </w:t>
      </w:r>
    </w:p>
    <w:p w:rsidR="00EA0775" w:rsidRP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 xml:space="preserve">Estimated number of responses per registrant:  252 [252 trading days]  </w:t>
      </w:r>
    </w:p>
    <w:p w:rsidR="00EA0775" w:rsidRP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Estimated aggregate number of responses:  33,768 [134 registrants x 252 trading days]</w:t>
      </w:r>
    </w:p>
    <w:p w:rsidR="00EA0775" w:rsidRP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 xml:space="preserve">Estimated annual burden per registrant:  504 hours [252 trading days x 2 hours per record] </w:t>
      </w:r>
    </w:p>
    <w:p w:rsid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Estimated aggregate annual hour burden:  67,536 hours [134 registrants x 252 trading days x 2 hours per record]</w:t>
      </w:r>
    </w:p>
    <w:p w:rsidR="00EA0775" w:rsidRPr="00EA0775" w:rsidRDefault="00EA0775" w:rsidP="00EA0775">
      <w:pPr>
        <w:pStyle w:val="PlainText"/>
        <w:jc w:val="both"/>
        <w:rPr>
          <w:rFonts w:ascii="Times New Roman" w:hAnsi="Times New Roman"/>
          <w:color w:val="auto"/>
          <w:sz w:val="24"/>
          <w:szCs w:val="24"/>
        </w:rPr>
      </w:pPr>
    </w:p>
    <w:p w:rsidR="00EA0775" w:rsidRP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Developing Written Procedures for Compliance, and Maintaining Records Documenting Compliance for FCMs.  This hourly burden arises from the requirement that FCMs make and maintain records documenting compliance related to clearing member risk management.</w:t>
      </w:r>
    </w:p>
    <w:p w:rsidR="00EA0775" w:rsidRP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 xml:space="preserve"> Number of registrants:  134</w:t>
      </w:r>
    </w:p>
    <w:p w:rsidR="00EA0775" w:rsidRP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Frequency of collection:  as needed</w:t>
      </w:r>
    </w:p>
    <w:p w:rsidR="00EA0775" w:rsidRP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Estimated number of annual responses per registrant:  1</w:t>
      </w:r>
    </w:p>
    <w:p w:rsidR="00EA0775" w:rsidRP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Estimated aggregate number of annual responses:  134</w:t>
      </w:r>
    </w:p>
    <w:p w:rsidR="00EA0775" w:rsidRP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Estimated annual hour burden per registrant:  20 hours</w:t>
      </w:r>
    </w:p>
    <w:p w:rsidR="00EA0775" w:rsidRDefault="00EA0775" w:rsidP="00EA0775">
      <w:pPr>
        <w:pStyle w:val="PlainText"/>
        <w:jc w:val="both"/>
        <w:rPr>
          <w:rFonts w:ascii="Times New Roman" w:hAnsi="Times New Roman"/>
          <w:color w:val="auto"/>
          <w:sz w:val="24"/>
          <w:szCs w:val="24"/>
        </w:rPr>
      </w:pPr>
      <w:r w:rsidRPr="00EA0775">
        <w:rPr>
          <w:rFonts w:ascii="Times New Roman" w:hAnsi="Times New Roman"/>
          <w:color w:val="auto"/>
          <w:sz w:val="24"/>
          <w:szCs w:val="24"/>
        </w:rPr>
        <w:t>Estimated aggregate annual hour burden:  2,680 burden hours [134 registrants x 20 hours per registrant]</w:t>
      </w:r>
    </w:p>
    <w:p w:rsidR="00EA0775" w:rsidRDefault="00EA0775" w:rsidP="00EA0775">
      <w:pPr>
        <w:pStyle w:val="PlainText"/>
        <w:jc w:val="both"/>
        <w:rPr>
          <w:rFonts w:ascii="Times New Roman" w:hAnsi="Times New Roman"/>
          <w:szCs w:val="20"/>
        </w:rPr>
      </w:pPr>
    </w:p>
    <w:p w:rsidR="00F02BB7" w:rsidRDefault="00F02BB7" w:rsidP="00F02BB7">
      <w:pPr>
        <w:keepNext/>
        <w:tabs>
          <w:tab w:val="left" w:pos="-720"/>
          <w:tab w:val="left" w:pos="0"/>
        </w:tabs>
        <w:spacing w:after="240"/>
        <w:jc w:val="both"/>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recordkeepers resulting from the collection of information.  (Do not include the cost of any hour burden shown in Items 12 and 14).</w:t>
      </w:r>
    </w:p>
    <w:p w:rsidR="00F02BB7" w:rsidRDefault="00F02BB7" w:rsidP="00F02BB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02BB7" w:rsidRDefault="00F02BB7" w:rsidP="00F02BB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F02BB7" w:rsidRDefault="00F02BB7" w:rsidP="00F02BB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A0775" w:rsidRDefault="00EA0775" w:rsidP="00EA0775">
      <w:pPr>
        <w:jc w:val="both"/>
        <w:rPr>
          <w:rFonts w:ascii="Times New Roman" w:hAnsi="Times New Roman"/>
        </w:rPr>
      </w:pPr>
      <w:r w:rsidRPr="00EA0775">
        <w:rPr>
          <w:rFonts w:ascii="Times New Roman" w:hAnsi="Times New Roman"/>
        </w:rPr>
        <w:lastRenderedPageBreak/>
        <w:t xml:space="preserve">In addition to the per hour burden discussed above, the Commission anticipates that SDs, MSPs, and FCMs may incur certain start-up costs in connection with the recordkeeping obligations.  Such costs may include the expenditures related to re-programming or updating existing recordkeeping technology and systems to enable the SD, MSP, or FCM to collect, capture, process, maintain, and re-produce any newly required records.  The Commission believes that SDs, MSPs, and FCMs generally could adapt their current infrastructure to accommodate the new or amended technology and thus no significant infrastructure expenditures would be needed.  The Commission estimates the programming burden hours associated with technology improvements to be 60 hours.  </w:t>
      </w:r>
    </w:p>
    <w:p w:rsidR="00EA0775" w:rsidRPr="00EA0775" w:rsidRDefault="00EA0775" w:rsidP="00EA0775">
      <w:pPr>
        <w:jc w:val="both"/>
        <w:rPr>
          <w:rFonts w:ascii="Times New Roman" w:hAnsi="Times New Roman"/>
        </w:rPr>
      </w:pPr>
    </w:p>
    <w:p w:rsidR="00F31F61" w:rsidRDefault="00EA0775" w:rsidP="00EA0775">
      <w:pPr>
        <w:jc w:val="both"/>
        <w:rPr>
          <w:rFonts w:ascii="Times New Roman" w:hAnsi="Times New Roman"/>
        </w:rPr>
      </w:pPr>
      <w:r w:rsidRPr="00EA0775">
        <w:rPr>
          <w:rFonts w:ascii="Times New Roman" w:hAnsi="Times New Roman"/>
        </w:rPr>
        <w:t>According to recent Bureau of Labor Statistics, the mean hourly wages of computer programmers under occupation code 15-1021 and computer software engineers under program codes 15-1031 and 1032 are between $34.10 and $44.94.   Because SDs, MSPs, and FCMs generally will be large entities that may engage employees with wages above the mean, the Commission has conservatively chosen to use a mean hourly programming wage of $60 per hour.  Accordingly, the start-up burden associated with the required technological improvements is $3,600 [$60 x 60 hours] per affected registrant or $932,400 [$3,600 x 259 registrants] in the aggregate.</w:t>
      </w:r>
    </w:p>
    <w:p w:rsidR="00EA0775" w:rsidRDefault="00EA0775" w:rsidP="00EA0775">
      <w:pPr>
        <w:jc w:val="both"/>
        <w:rPr>
          <w:rFonts w:ascii="Times New Roman" w:hAnsi="Times New Roman"/>
        </w:rPr>
      </w:pPr>
    </w:p>
    <w:p w:rsidR="00F02BB7" w:rsidRDefault="00F02BB7" w:rsidP="00F02BB7">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F02BB7" w:rsidRDefault="00F02BB7" w:rsidP="00F02BB7">
      <w:pPr>
        <w:tabs>
          <w:tab w:val="left" w:pos="-720"/>
        </w:tabs>
        <w:spacing w:after="240"/>
        <w:jc w:val="both"/>
        <w:rPr>
          <w:rFonts w:ascii="Times New Roman" w:hAnsi="Times New Roman"/>
        </w:rPr>
      </w:pPr>
      <w:r>
        <w:rPr>
          <w:rFonts w:ascii="Times New Roman" w:hAnsi="Times New Roman"/>
        </w:rPr>
        <w:t>It is not anticipated that the proposed regulations would impose any additional costs to the Federal Government.</w:t>
      </w:r>
    </w:p>
    <w:p w:rsidR="00F02BB7" w:rsidRDefault="00F02BB7" w:rsidP="00F02BB7">
      <w:pPr>
        <w:tabs>
          <w:tab w:val="left" w:pos="-720"/>
        </w:tabs>
        <w:spacing w:after="240"/>
        <w:ind w:left="720" w:hanging="720"/>
        <w:jc w:val="both"/>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reported in Items 13 or 14 of the OMB Form 83-I.</w:t>
      </w:r>
    </w:p>
    <w:p w:rsidR="00F02BB7" w:rsidRDefault="00F02BB7" w:rsidP="00F02BB7">
      <w:pPr>
        <w:tabs>
          <w:tab w:val="left" w:pos="-720"/>
        </w:tabs>
        <w:spacing w:after="240"/>
        <w:jc w:val="both"/>
        <w:rPr>
          <w:rFonts w:ascii="Times New Roman" w:hAnsi="Times New Roman"/>
        </w:rPr>
      </w:pPr>
      <w:r w:rsidRPr="00FA72E7">
        <w:rPr>
          <w:rFonts w:ascii="Times New Roman" w:hAnsi="Times New Roman"/>
        </w:rPr>
        <w:t xml:space="preserve">The program changes or adjustments are </w:t>
      </w:r>
      <w:r w:rsidR="00FA72E7" w:rsidRPr="00FA72E7">
        <w:rPr>
          <w:rFonts w:ascii="Times New Roman" w:hAnsi="Times New Roman"/>
        </w:rPr>
        <w:t>necessary to implement certain provisions of the CEA, as amended by the Dodd-Frank Act</w:t>
      </w:r>
      <w:r w:rsidRPr="00FA72E7">
        <w:rPr>
          <w:rFonts w:ascii="Times New Roman" w:hAnsi="Times New Roman"/>
        </w:rPr>
        <w:t>, which established a new regulatory scheme.</w:t>
      </w:r>
      <w:r>
        <w:rPr>
          <w:rFonts w:ascii="Times New Roman" w:hAnsi="Times New Roman"/>
        </w:rPr>
        <w:t xml:space="preserve">  </w:t>
      </w:r>
    </w:p>
    <w:p w:rsidR="00F02BB7" w:rsidRDefault="00F02BB7" w:rsidP="00F02BB7">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F02BB7" w:rsidRDefault="00F02BB7" w:rsidP="00F02BB7">
      <w:pPr>
        <w:tabs>
          <w:tab w:val="left" w:pos="-720"/>
        </w:tabs>
        <w:spacing w:after="240"/>
        <w:jc w:val="both"/>
        <w:rPr>
          <w:rFonts w:ascii="Times New Roman" w:hAnsi="Times New Roman"/>
        </w:rPr>
      </w:pPr>
      <w:r>
        <w:rPr>
          <w:rFonts w:ascii="Times New Roman" w:hAnsi="Times New Roman"/>
        </w:rPr>
        <w:t>This question does not apply.</w:t>
      </w:r>
    </w:p>
    <w:p w:rsidR="00F02BB7" w:rsidRDefault="00F02BB7" w:rsidP="00F02BB7">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F02BB7" w:rsidRDefault="00F02BB7" w:rsidP="00F02BB7">
      <w:pPr>
        <w:tabs>
          <w:tab w:val="left" w:pos="-720"/>
        </w:tabs>
        <w:spacing w:after="240"/>
        <w:jc w:val="both"/>
        <w:rPr>
          <w:rFonts w:ascii="Times New Roman" w:hAnsi="Times New Roman"/>
        </w:rPr>
      </w:pPr>
      <w:r>
        <w:rPr>
          <w:rFonts w:ascii="Times New Roman" w:hAnsi="Times New Roman"/>
        </w:rPr>
        <w:t>This question does not apply.</w:t>
      </w:r>
    </w:p>
    <w:p w:rsidR="00F02BB7" w:rsidRDefault="00F02BB7" w:rsidP="00F02BB7">
      <w:pPr>
        <w:keepNext/>
        <w:tabs>
          <w:tab w:val="left" w:pos="-720"/>
        </w:tabs>
        <w:spacing w:after="240"/>
        <w:ind w:left="720" w:hanging="720"/>
        <w:jc w:val="both"/>
        <w:rPr>
          <w:rFonts w:ascii="Times New Roman" w:hAnsi="Times New Roman"/>
          <w:b/>
        </w:rPr>
      </w:pPr>
      <w:r>
        <w:rPr>
          <w:rFonts w:ascii="Times New Roman" w:hAnsi="Times New Roman"/>
          <w:b/>
        </w:rPr>
        <w:lastRenderedPageBreak/>
        <w:t>18.</w:t>
      </w:r>
      <w:r>
        <w:rPr>
          <w:rFonts w:ascii="Times New Roman" w:hAnsi="Times New Roman"/>
          <w:b/>
        </w:rPr>
        <w:tab/>
        <w:t>Explain each exception to the certification statement identified in Item 19, "Certification for Paperwork Reduction Act Submissions," of OMB Form 83-I.</w:t>
      </w:r>
    </w:p>
    <w:p w:rsidR="00F02BB7" w:rsidRDefault="00F02BB7" w:rsidP="00F02BB7">
      <w:pPr>
        <w:tabs>
          <w:tab w:val="left" w:pos="-720"/>
        </w:tabs>
        <w:spacing w:after="240"/>
        <w:jc w:val="both"/>
        <w:rPr>
          <w:rFonts w:ascii="Times New Roman" w:hAnsi="Times New Roman"/>
        </w:rPr>
      </w:pPr>
      <w:r>
        <w:rPr>
          <w:rFonts w:ascii="Times New Roman" w:hAnsi="Times New Roman"/>
        </w:rPr>
        <w:t>This question does not apply.</w:t>
      </w:r>
    </w:p>
    <w:p w:rsidR="00F02BB7" w:rsidRDefault="00F02BB7" w:rsidP="00F02BB7">
      <w:pPr>
        <w:rPr>
          <w:rFonts w:ascii="Times New Roman" w:hAnsi="Times New Roman"/>
          <w:b/>
        </w:rPr>
      </w:pPr>
      <w:r>
        <w:br w:type="page"/>
      </w:r>
    </w:p>
    <w:p w:rsidR="00F02BB7" w:rsidRDefault="00F02BB7" w:rsidP="00F02BB7">
      <w:pPr>
        <w:pStyle w:val="Title"/>
        <w:spacing w:after="240"/>
        <w:rPr>
          <w:sz w:val="24"/>
          <w:szCs w:val="24"/>
        </w:rPr>
      </w:pPr>
      <w:r>
        <w:rPr>
          <w:sz w:val="24"/>
          <w:szCs w:val="24"/>
        </w:rPr>
        <w:lastRenderedPageBreak/>
        <w:t>Attachment A</w:t>
      </w:r>
    </w:p>
    <w:p w:rsidR="00F02BB7" w:rsidRDefault="00F02BB7" w:rsidP="00F02BB7">
      <w:pPr>
        <w:pStyle w:val="Title"/>
        <w:spacing w:after="240"/>
        <w:rPr>
          <w:sz w:val="24"/>
          <w:szCs w:val="24"/>
        </w:rPr>
      </w:pPr>
      <w:r>
        <w:rPr>
          <w:sz w:val="24"/>
          <w:szCs w:val="24"/>
        </w:rPr>
        <w:t>Part 23 – Swap Trading Relationship Documentation Requirements for Swap Dealers and Major Swap Participants</w:t>
      </w:r>
    </w:p>
    <w:p w:rsidR="00F02BB7" w:rsidRDefault="00F02BB7" w:rsidP="00F02BB7">
      <w:pPr>
        <w:pStyle w:val="Title"/>
        <w:spacing w:after="240"/>
        <w:rPr>
          <w:sz w:val="24"/>
          <w:szCs w:val="24"/>
        </w:rPr>
      </w:pPr>
      <w:r>
        <w:rPr>
          <w:sz w:val="24"/>
          <w:szCs w:val="24"/>
        </w:rPr>
        <w:t>OMB Collection File 3038-</w:t>
      </w:r>
      <w:r w:rsidR="002F2FBD">
        <w:rPr>
          <w:sz w:val="24"/>
          <w:szCs w:val="24"/>
        </w:rPr>
        <w:t>0094</w:t>
      </w:r>
    </w:p>
    <w:p w:rsidR="00F02BB7" w:rsidRDefault="00F02BB7" w:rsidP="00F02BB7">
      <w:pPr>
        <w:pStyle w:val="Title"/>
        <w:spacing w:line="360" w:lineRule="auto"/>
        <w:jc w:val="left"/>
        <w:rPr>
          <w:sz w:val="24"/>
          <w:szCs w:val="24"/>
        </w:rPr>
      </w:pPr>
      <w:r>
        <w:rPr>
          <w:b w:val="0"/>
          <w:sz w:val="24"/>
          <w:szCs w:val="24"/>
        </w:rPr>
        <w:t xml:space="preserve">Number of Registrants:  </w:t>
      </w:r>
      <w:r w:rsidR="002F2FBD">
        <w:rPr>
          <w:b w:val="0"/>
          <w:sz w:val="24"/>
          <w:szCs w:val="24"/>
        </w:rPr>
        <w:t>259</w:t>
      </w:r>
    </w:p>
    <w:p w:rsidR="00F02BB7" w:rsidRDefault="00F02BB7" w:rsidP="00F02BB7">
      <w:pPr>
        <w:pStyle w:val="Title"/>
        <w:tabs>
          <w:tab w:val="center" w:pos="7200"/>
        </w:tabs>
        <w:spacing w:line="360" w:lineRule="auto"/>
        <w:jc w:val="left"/>
        <w:rPr>
          <w:b w:val="0"/>
          <w:sz w:val="24"/>
          <w:szCs w:val="24"/>
        </w:rPr>
      </w:pPr>
      <w:r>
        <w:rPr>
          <w:b w:val="0"/>
          <w:sz w:val="24"/>
          <w:szCs w:val="24"/>
        </w:rPr>
        <w:t xml:space="preserve">Frequency of Recordkeeping/Reporting: </w:t>
      </w:r>
      <w:r>
        <w:rPr>
          <w:b w:val="0"/>
          <w:i/>
          <w:sz w:val="24"/>
          <w:szCs w:val="24"/>
        </w:rPr>
        <w:t>See</w:t>
      </w:r>
      <w:r>
        <w:rPr>
          <w:b w:val="0"/>
          <w:sz w:val="24"/>
          <w:szCs w:val="24"/>
        </w:rPr>
        <w:t xml:space="preserve"> table below (daily, annually, or as needed)</w:t>
      </w:r>
    </w:p>
    <w:p w:rsidR="00F02BB7" w:rsidRDefault="00F02BB7" w:rsidP="00F02BB7">
      <w:pPr>
        <w:pStyle w:val="Title"/>
        <w:tabs>
          <w:tab w:val="center" w:pos="7200"/>
        </w:tabs>
        <w:spacing w:line="360" w:lineRule="auto"/>
        <w:jc w:val="left"/>
        <w:rPr>
          <w:b w:val="0"/>
          <w:sz w:val="24"/>
          <w:szCs w:val="24"/>
        </w:rPr>
      </w:pPr>
      <w:r>
        <w:rPr>
          <w:b w:val="0"/>
          <w:sz w:val="24"/>
          <w:szCs w:val="24"/>
        </w:rPr>
        <w:t>Start-up Cost Per Registrant:  $</w:t>
      </w:r>
      <w:r w:rsidR="00372FE2">
        <w:rPr>
          <w:b w:val="0"/>
          <w:sz w:val="24"/>
          <w:szCs w:val="24"/>
        </w:rPr>
        <w:t>3</w:t>
      </w:r>
      <w:r>
        <w:rPr>
          <w:b w:val="0"/>
          <w:sz w:val="24"/>
          <w:szCs w:val="24"/>
        </w:rPr>
        <w:t>,</w:t>
      </w:r>
      <w:r w:rsidR="00372FE2">
        <w:rPr>
          <w:b w:val="0"/>
          <w:sz w:val="24"/>
          <w:szCs w:val="24"/>
        </w:rPr>
        <w:t>6</w:t>
      </w:r>
      <w:r>
        <w:rPr>
          <w:b w:val="0"/>
          <w:sz w:val="24"/>
          <w:szCs w:val="24"/>
        </w:rPr>
        <w:t>00</w:t>
      </w:r>
    </w:p>
    <w:p w:rsidR="00F02BB7" w:rsidRDefault="00F02BB7" w:rsidP="00F02BB7">
      <w:pPr>
        <w:spacing w:line="360" w:lineRule="auto"/>
        <w:jc w:val="both"/>
        <w:rPr>
          <w:rFonts w:ascii="Times New Roman" w:hAnsi="Times New Roman"/>
        </w:rPr>
      </w:pPr>
      <w:r>
        <w:rPr>
          <w:rFonts w:ascii="Times New Roman" w:hAnsi="Times New Roman"/>
        </w:rPr>
        <w:t>Aggregate Start-Up Cost:  $</w:t>
      </w:r>
      <w:r w:rsidR="002F2FBD">
        <w:rPr>
          <w:rFonts w:ascii="Times New Roman" w:hAnsi="Times New Roman"/>
        </w:rPr>
        <w:t>932,</w:t>
      </w:r>
      <w:r w:rsidR="00372FE2">
        <w:rPr>
          <w:rFonts w:ascii="Times New Roman" w:hAnsi="Times New Roman"/>
        </w:rPr>
        <w:t>400</w:t>
      </w:r>
    </w:p>
    <w:p w:rsidR="00F02BB7" w:rsidRDefault="00F02BB7" w:rsidP="00F02BB7">
      <w:pPr>
        <w:spacing w:line="360" w:lineRule="auto"/>
        <w:jc w:val="both"/>
        <w:rPr>
          <w:rFonts w:ascii="Times New Roman" w:hAnsi="Times New Roman"/>
        </w:rPr>
      </w:pPr>
      <w:r>
        <w:rPr>
          <w:rFonts w:ascii="Times New Roman" w:hAnsi="Times New Roman"/>
        </w:rPr>
        <w:t xml:space="preserve">Estimated Average Burden Hours Per Registrant: </w:t>
      </w:r>
      <w:r w:rsidR="00EB24DE">
        <w:rPr>
          <w:rFonts w:ascii="Times New Roman" w:hAnsi="Times New Roman"/>
        </w:rPr>
        <w:t>524</w:t>
      </w:r>
    </w:p>
    <w:p w:rsidR="00F02BB7" w:rsidRDefault="00F02BB7" w:rsidP="00F02BB7">
      <w:pPr>
        <w:spacing w:line="360" w:lineRule="auto"/>
        <w:jc w:val="both"/>
        <w:rPr>
          <w:rFonts w:ascii="Times New Roman" w:hAnsi="Times New Roman"/>
        </w:rPr>
      </w:pPr>
      <w:r>
        <w:rPr>
          <w:rFonts w:ascii="Times New Roman" w:hAnsi="Times New Roman"/>
        </w:rPr>
        <w:t xml:space="preserve">Estimated Aggregate Burden Hours:  </w:t>
      </w:r>
      <w:r w:rsidR="002F2FBD">
        <w:rPr>
          <w:rFonts w:ascii="Times New Roman" w:hAnsi="Times New Roman"/>
        </w:rPr>
        <w:t>135</w:t>
      </w:r>
      <w:r w:rsidR="00372FE2">
        <w:rPr>
          <w:rFonts w:ascii="Times New Roman" w:hAnsi="Times New Roman"/>
        </w:rPr>
        <w:t>,</w:t>
      </w:r>
      <w:r w:rsidR="002F2FBD">
        <w:rPr>
          <w:rFonts w:ascii="Times New Roman" w:hAnsi="Times New Roman"/>
        </w:rPr>
        <w:t>7</w:t>
      </w:r>
      <w:r w:rsidR="00372FE2">
        <w:rPr>
          <w:rFonts w:ascii="Times New Roman" w:hAnsi="Times New Roman"/>
        </w:rPr>
        <w:t>16</w:t>
      </w:r>
    </w:p>
    <w:p w:rsidR="00F02BB7" w:rsidRDefault="00F02BB7" w:rsidP="00F02BB7">
      <w:pPr>
        <w:spacing w:line="360" w:lineRule="auto"/>
        <w:jc w:val="both"/>
        <w:rPr>
          <w:rFonts w:ascii="Times New Roman" w:hAnsi="Times New Roman"/>
        </w:rPr>
      </w:pPr>
      <w:r>
        <w:rPr>
          <w:rFonts w:ascii="Times New Roman" w:hAnsi="Times New Roman"/>
        </w:rPr>
        <w:t>Estimated Annual Cost Per Registrant:   $</w:t>
      </w:r>
      <w:r w:rsidR="00EB24DE" w:rsidRPr="00EB24DE">
        <w:rPr>
          <w:rFonts w:ascii="Times New Roman" w:hAnsi="Times New Roman"/>
        </w:rPr>
        <w:t>52</w:t>
      </w:r>
      <w:r w:rsidRPr="00EB24DE">
        <w:rPr>
          <w:rFonts w:ascii="Times New Roman" w:hAnsi="Times New Roman"/>
        </w:rPr>
        <w:t>,</w:t>
      </w:r>
      <w:r w:rsidR="00EB24DE" w:rsidRPr="00EB24DE">
        <w:rPr>
          <w:rFonts w:ascii="Times New Roman" w:hAnsi="Times New Roman"/>
        </w:rPr>
        <w:t>4</w:t>
      </w:r>
      <w:r w:rsidRPr="00EB24DE">
        <w:rPr>
          <w:rFonts w:ascii="Times New Roman" w:hAnsi="Times New Roman"/>
        </w:rPr>
        <w:t>00</w:t>
      </w:r>
    </w:p>
    <w:p w:rsidR="00F02BB7" w:rsidRDefault="00F02BB7" w:rsidP="00F02BB7">
      <w:pPr>
        <w:spacing w:line="360" w:lineRule="auto"/>
        <w:jc w:val="both"/>
        <w:rPr>
          <w:rFonts w:ascii="Times New Roman" w:hAnsi="Times New Roman"/>
        </w:rPr>
      </w:pPr>
      <w:r>
        <w:rPr>
          <w:rFonts w:ascii="Times New Roman" w:hAnsi="Times New Roman"/>
        </w:rPr>
        <w:t>Estimated Aggregate Annual Cost:   $</w:t>
      </w:r>
      <w:r w:rsidR="002F2FBD">
        <w:rPr>
          <w:rFonts w:ascii="Times New Roman" w:hAnsi="Times New Roman"/>
        </w:rPr>
        <w:t>13</w:t>
      </w:r>
      <w:r>
        <w:rPr>
          <w:rFonts w:ascii="Times New Roman" w:hAnsi="Times New Roman"/>
        </w:rPr>
        <w:t>,</w:t>
      </w:r>
      <w:r w:rsidR="002F2FBD">
        <w:rPr>
          <w:rFonts w:ascii="Times New Roman" w:hAnsi="Times New Roman"/>
        </w:rPr>
        <w:t>57</w:t>
      </w:r>
      <w:r w:rsidR="00372FE2">
        <w:rPr>
          <w:rFonts w:ascii="Times New Roman" w:hAnsi="Times New Roman"/>
        </w:rPr>
        <w:t>1</w:t>
      </w:r>
      <w:r>
        <w:rPr>
          <w:rFonts w:ascii="Times New Roman" w:hAnsi="Times New Roman"/>
        </w:rPr>
        <w:t>,</w:t>
      </w:r>
      <w:r w:rsidR="00372FE2">
        <w:rPr>
          <w:rFonts w:ascii="Times New Roman" w:hAnsi="Times New Roman"/>
        </w:rPr>
        <w:t>6</w:t>
      </w:r>
      <w:r>
        <w:rPr>
          <w:rFonts w:ascii="Times New Roman" w:hAnsi="Times New Roman"/>
        </w:rPr>
        <w:t>00</w:t>
      </w:r>
    </w:p>
    <w:p w:rsidR="00F02BB7" w:rsidRDefault="00F02BB7" w:rsidP="00F02BB7">
      <w:pPr>
        <w:spacing w:line="360" w:lineRule="auto"/>
        <w:jc w:val="both"/>
        <w:rPr>
          <w:rFonts w:ascii="Times New Roman" w:hAnsi="Times New Roman"/>
        </w:rPr>
      </w:pPr>
      <w:r>
        <w:rPr>
          <w:rFonts w:ascii="Times New Roman" w:hAnsi="Times New Roman"/>
        </w:rPr>
        <w:t>% of Responses Collected Electronically:  100%</w:t>
      </w:r>
      <w:r>
        <w:rPr>
          <w:rFonts w:ascii="Times New Roman" w:hAnsi="Times New Roman"/>
        </w:rPr>
        <w:tab/>
      </w:r>
    </w:p>
    <w:tbl>
      <w:tblPr>
        <w:tblW w:w="11396" w:type="dxa"/>
        <w:jc w:val="center"/>
        <w:tblInd w:w="5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1116"/>
        <w:gridCol w:w="1227"/>
        <w:gridCol w:w="1061"/>
        <w:gridCol w:w="1061"/>
        <w:gridCol w:w="1016"/>
        <w:gridCol w:w="1039"/>
        <w:gridCol w:w="1049"/>
        <w:gridCol w:w="15"/>
        <w:gridCol w:w="1024"/>
        <w:gridCol w:w="1216"/>
      </w:tblGrid>
      <w:tr w:rsidR="00F02BB7" w:rsidTr="00372FE2">
        <w:trPr>
          <w:jc w:val="center"/>
        </w:trPr>
        <w:tc>
          <w:tcPr>
            <w:tcW w:w="1572" w:type="dxa"/>
          </w:tcPr>
          <w:p w:rsidR="00F02BB7" w:rsidRDefault="00F02BB7" w:rsidP="00372FE2">
            <w:pPr>
              <w:jc w:val="center"/>
              <w:rPr>
                <w:rFonts w:ascii="Times New Roman" w:hAnsi="Times New Roman"/>
                <w:sz w:val="20"/>
                <w:szCs w:val="20"/>
              </w:rPr>
            </w:pPr>
            <w:r>
              <w:rPr>
                <w:rFonts w:ascii="Times New Roman" w:hAnsi="Times New Roman"/>
                <w:sz w:val="20"/>
                <w:szCs w:val="20"/>
              </w:rPr>
              <w:t>Requirement</w:t>
            </w:r>
          </w:p>
        </w:tc>
        <w:tc>
          <w:tcPr>
            <w:tcW w:w="1116" w:type="dxa"/>
          </w:tcPr>
          <w:p w:rsidR="00F02BB7" w:rsidRDefault="00F02BB7" w:rsidP="00372FE2">
            <w:pPr>
              <w:jc w:val="center"/>
              <w:rPr>
                <w:rFonts w:ascii="Times New Roman" w:hAnsi="Times New Roman"/>
                <w:sz w:val="20"/>
                <w:szCs w:val="20"/>
              </w:rPr>
            </w:pPr>
            <w:r>
              <w:rPr>
                <w:rFonts w:ascii="Times New Roman" w:hAnsi="Times New Roman"/>
                <w:sz w:val="20"/>
                <w:szCs w:val="20"/>
              </w:rPr>
              <w:t>Estimated Number of Registrants Per Year</w:t>
            </w:r>
          </w:p>
        </w:tc>
        <w:tc>
          <w:tcPr>
            <w:tcW w:w="1227" w:type="dxa"/>
          </w:tcPr>
          <w:p w:rsidR="00F02BB7" w:rsidRDefault="00F02BB7" w:rsidP="00372FE2">
            <w:pPr>
              <w:jc w:val="center"/>
              <w:rPr>
                <w:rFonts w:ascii="Times New Roman" w:hAnsi="Times New Roman"/>
                <w:sz w:val="20"/>
                <w:szCs w:val="20"/>
              </w:rPr>
            </w:pPr>
            <w:r>
              <w:rPr>
                <w:rFonts w:ascii="Times New Roman" w:hAnsi="Times New Roman"/>
                <w:sz w:val="20"/>
                <w:szCs w:val="20"/>
              </w:rPr>
              <w:t>Frequency of Response</w:t>
            </w:r>
          </w:p>
        </w:tc>
        <w:tc>
          <w:tcPr>
            <w:tcW w:w="1061" w:type="dxa"/>
          </w:tcPr>
          <w:p w:rsidR="00F02BB7" w:rsidRDefault="00F02BB7" w:rsidP="00372FE2">
            <w:pPr>
              <w:jc w:val="center"/>
              <w:rPr>
                <w:rFonts w:ascii="Times New Roman" w:hAnsi="Times New Roman"/>
                <w:sz w:val="20"/>
                <w:szCs w:val="20"/>
              </w:rPr>
            </w:pPr>
            <w:r>
              <w:rPr>
                <w:rFonts w:ascii="Times New Roman" w:hAnsi="Times New Roman"/>
                <w:sz w:val="20"/>
                <w:szCs w:val="20"/>
              </w:rPr>
              <w:t>Number of Responses Per Registrant</w:t>
            </w:r>
          </w:p>
          <w:p w:rsidR="00F02BB7" w:rsidRDefault="00F02BB7" w:rsidP="00372FE2">
            <w:pPr>
              <w:jc w:val="center"/>
              <w:rPr>
                <w:rFonts w:ascii="Times New Roman" w:hAnsi="Times New Roman"/>
                <w:sz w:val="20"/>
                <w:szCs w:val="20"/>
              </w:rPr>
            </w:pPr>
            <w:r>
              <w:rPr>
                <w:rFonts w:ascii="Times New Roman" w:hAnsi="Times New Roman"/>
                <w:sz w:val="20"/>
                <w:szCs w:val="20"/>
              </w:rPr>
              <w:t>Annually</w:t>
            </w:r>
          </w:p>
        </w:tc>
        <w:tc>
          <w:tcPr>
            <w:tcW w:w="1061" w:type="dxa"/>
          </w:tcPr>
          <w:p w:rsidR="00F02BB7" w:rsidRDefault="00F02BB7" w:rsidP="00372FE2">
            <w:pPr>
              <w:jc w:val="center"/>
              <w:rPr>
                <w:rFonts w:ascii="Times New Roman" w:hAnsi="Times New Roman"/>
                <w:sz w:val="20"/>
                <w:szCs w:val="20"/>
              </w:rPr>
            </w:pPr>
            <w:r>
              <w:rPr>
                <w:rFonts w:ascii="Times New Roman" w:hAnsi="Times New Roman"/>
                <w:sz w:val="20"/>
                <w:szCs w:val="20"/>
              </w:rPr>
              <w:t>Aggregate</w:t>
            </w:r>
          </w:p>
          <w:p w:rsidR="00F02BB7" w:rsidRDefault="00F02BB7" w:rsidP="00372FE2">
            <w:pPr>
              <w:jc w:val="center"/>
              <w:rPr>
                <w:rFonts w:ascii="Times New Roman" w:hAnsi="Times New Roman"/>
                <w:sz w:val="20"/>
                <w:szCs w:val="20"/>
              </w:rPr>
            </w:pPr>
            <w:r>
              <w:rPr>
                <w:rFonts w:ascii="Times New Roman" w:hAnsi="Times New Roman"/>
                <w:sz w:val="20"/>
                <w:szCs w:val="20"/>
              </w:rPr>
              <w:t>Number of  Responses</w:t>
            </w:r>
          </w:p>
          <w:p w:rsidR="00F02BB7" w:rsidRDefault="00F02BB7" w:rsidP="00372FE2">
            <w:pPr>
              <w:jc w:val="center"/>
              <w:rPr>
                <w:rFonts w:ascii="Times New Roman" w:hAnsi="Times New Roman"/>
                <w:sz w:val="20"/>
                <w:szCs w:val="20"/>
              </w:rPr>
            </w:pPr>
            <w:r>
              <w:rPr>
                <w:rFonts w:ascii="Times New Roman" w:hAnsi="Times New Roman"/>
                <w:sz w:val="20"/>
                <w:szCs w:val="20"/>
              </w:rPr>
              <w:t>Annually</w:t>
            </w:r>
          </w:p>
          <w:p w:rsidR="00F02BB7" w:rsidRDefault="00F02BB7" w:rsidP="00372FE2">
            <w:pPr>
              <w:jc w:val="center"/>
              <w:rPr>
                <w:rFonts w:ascii="Times New Roman" w:hAnsi="Times New Roman"/>
                <w:sz w:val="20"/>
                <w:szCs w:val="20"/>
              </w:rPr>
            </w:pPr>
          </w:p>
        </w:tc>
        <w:tc>
          <w:tcPr>
            <w:tcW w:w="1016" w:type="dxa"/>
          </w:tcPr>
          <w:p w:rsidR="00F02BB7" w:rsidRDefault="00F02BB7" w:rsidP="00372FE2">
            <w:pPr>
              <w:jc w:val="center"/>
              <w:rPr>
                <w:rFonts w:ascii="Times New Roman" w:hAnsi="Times New Roman"/>
                <w:sz w:val="20"/>
                <w:szCs w:val="20"/>
              </w:rPr>
            </w:pPr>
            <w:r>
              <w:rPr>
                <w:rFonts w:ascii="Times New Roman" w:hAnsi="Times New Roman"/>
                <w:sz w:val="20"/>
                <w:szCs w:val="20"/>
              </w:rPr>
              <w:t>Estimated Average Number of Hours Per Response</w:t>
            </w:r>
          </w:p>
          <w:p w:rsidR="00F02BB7" w:rsidRDefault="00F02BB7" w:rsidP="00372FE2">
            <w:pPr>
              <w:jc w:val="center"/>
              <w:rPr>
                <w:rFonts w:ascii="Times New Roman" w:hAnsi="Times New Roman"/>
                <w:sz w:val="20"/>
                <w:szCs w:val="20"/>
              </w:rPr>
            </w:pPr>
          </w:p>
        </w:tc>
        <w:tc>
          <w:tcPr>
            <w:tcW w:w="1039" w:type="dxa"/>
          </w:tcPr>
          <w:p w:rsidR="00F02BB7" w:rsidRDefault="00F02BB7" w:rsidP="00372FE2">
            <w:pPr>
              <w:jc w:val="center"/>
              <w:rPr>
                <w:rFonts w:ascii="Times New Roman" w:hAnsi="Times New Roman"/>
                <w:sz w:val="20"/>
                <w:szCs w:val="20"/>
              </w:rPr>
            </w:pPr>
            <w:r>
              <w:rPr>
                <w:rFonts w:ascii="Times New Roman" w:hAnsi="Times New Roman"/>
                <w:sz w:val="20"/>
                <w:szCs w:val="20"/>
              </w:rPr>
              <w:t>Estimated Annual Hour Burden Per Registrant</w:t>
            </w:r>
          </w:p>
          <w:p w:rsidR="00F02BB7" w:rsidRDefault="00F02BB7" w:rsidP="00372FE2">
            <w:pPr>
              <w:jc w:val="center"/>
              <w:rPr>
                <w:rFonts w:ascii="Times New Roman" w:hAnsi="Times New Roman"/>
                <w:sz w:val="20"/>
                <w:szCs w:val="20"/>
              </w:rPr>
            </w:pPr>
          </w:p>
        </w:tc>
        <w:tc>
          <w:tcPr>
            <w:tcW w:w="1049" w:type="dxa"/>
          </w:tcPr>
          <w:p w:rsidR="00F02BB7" w:rsidRDefault="00F02BB7" w:rsidP="00372FE2">
            <w:pPr>
              <w:jc w:val="center"/>
              <w:rPr>
                <w:rFonts w:ascii="Times New Roman" w:hAnsi="Times New Roman"/>
                <w:sz w:val="20"/>
                <w:szCs w:val="20"/>
              </w:rPr>
            </w:pPr>
            <w:r>
              <w:rPr>
                <w:rFonts w:ascii="Times New Roman" w:hAnsi="Times New Roman"/>
                <w:sz w:val="20"/>
                <w:szCs w:val="20"/>
              </w:rPr>
              <w:t>Estimated Aggregate Hour Burden</w:t>
            </w:r>
          </w:p>
        </w:tc>
        <w:tc>
          <w:tcPr>
            <w:tcW w:w="1039" w:type="dxa"/>
            <w:gridSpan w:val="2"/>
          </w:tcPr>
          <w:p w:rsidR="00F02BB7" w:rsidRDefault="00F02BB7" w:rsidP="00372FE2">
            <w:pPr>
              <w:jc w:val="center"/>
              <w:rPr>
                <w:rFonts w:ascii="Times New Roman" w:hAnsi="Times New Roman"/>
                <w:sz w:val="20"/>
                <w:szCs w:val="20"/>
              </w:rPr>
            </w:pPr>
            <w:r>
              <w:rPr>
                <w:rFonts w:ascii="Times New Roman" w:hAnsi="Times New Roman"/>
                <w:sz w:val="20"/>
                <w:szCs w:val="20"/>
              </w:rPr>
              <w:t>Estimated Annual Cost Per Registrant</w:t>
            </w:r>
          </w:p>
          <w:p w:rsidR="00F02BB7" w:rsidRDefault="00F02BB7" w:rsidP="00372FE2">
            <w:pPr>
              <w:jc w:val="center"/>
              <w:rPr>
                <w:rFonts w:ascii="Times New Roman" w:hAnsi="Times New Roman"/>
                <w:sz w:val="20"/>
                <w:szCs w:val="20"/>
              </w:rPr>
            </w:pPr>
          </w:p>
        </w:tc>
        <w:tc>
          <w:tcPr>
            <w:tcW w:w="1216" w:type="dxa"/>
          </w:tcPr>
          <w:p w:rsidR="00F02BB7" w:rsidRDefault="00F02BB7" w:rsidP="00372FE2">
            <w:pPr>
              <w:jc w:val="center"/>
              <w:rPr>
                <w:rFonts w:ascii="Times New Roman" w:hAnsi="Times New Roman"/>
                <w:sz w:val="20"/>
                <w:szCs w:val="20"/>
              </w:rPr>
            </w:pPr>
            <w:r>
              <w:rPr>
                <w:rFonts w:ascii="Times New Roman" w:hAnsi="Times New Roman"/>
                <w:sz w:val="20"/>
                <w:szCs w:val="20"/>
              </w:rPr>
              <w:t>Estimated Aggregate Annual Cost</w:t>
            </w:r>
          </w:p>
          <w:p w:rsidR="00F02BB7" w:rsidRDefault="00F02BB7" w:rsidP="00372FE2">
            <w:pPr>
              <w:jc w:val="center"/>
              <w:rPr>
                <w:rFonts w:ascii="Times New Roman" w:hAnsi="Times New Roman"/>
                <w:sz w:val="20"/>
                <w:szCs w:val="20"/>
              </w:rPr>
            </w:pPr>
          </w:p>
        </w:tc>
      </w:tr>
      <w:tr w:rsidR="00F02BB7" w:rsidTr="00372FE2">
        <w:trPr>
          <w:jc w:val="center"/>
        </w:trPr>
        <w:tc>
          <w:tcPr>
            <w:tcW w:w="1572" w:type="dxa"/>
          </w:tcPr>
          <w:p w:rsidR="00F02BB7" w:rsidRDefault="00F02BB7" w:rsidP="00372FE2">
            <w:pPr>
              <w:rPr>
                <w:rFonts w:ascii="Times New Roman" w:hAnsi="Times New Roman"/>
                <w:b/>
                <w:sz w:val="20"/>
                <w:szCs w:val="20"/>
              </w:rPr>
            </w:pPr>
            <w:r>
              <w:rPr>
                <w:rFonts w:ascii="Times New Roman" w:hAnsi="Times New Roman"/>
                <w:b/>
                <w:sz w:val="20"/>
                <w:szCs w:val="20"/>
                <w:u w:val="single"/>
              </w:rPr>
              <w:t>Recordkeeping</w:t>
            </w:r>
            <w:r>
              <w:rPr>
                <w:rFonts w:ascii="Times New Roman" w:hAnsi="Times New Roman"/>
                <w:b/>
                <w:sz w:val="20"/>
                <w:szCs w:val="20"/>
              </w:rPr>
              <w:t>:</w:t>
            </w:r>
          </w:p>
          <w:p w:rsidR="00F02BB7" w:rsidRDefault="00372FE2" w:rsidP="00372FE2">
            <w:pPr>
              <w:rPr>
                <w:rFonts w:ascii="Times New Roman" w:hAnsi="Times New Roman"/>
                <w:b/>
                <w:sz w:val="20"/>
                <w:szCs w:val="20"/>
              </w:rPr>
            </w:pPr>
            <w:r>
              <w:rPr>
                <w:rFonts w:ascii="Times New Roman" w:hAnsi="Times New Roman"/>
                <w:b/>
                <w:sz w:val="20"/>
                <w:szCs w:val="20"/>
              </w:rPr>
              <w:t>Developing and conducting position risk management procedures</w:t>
            </w:r>
          </w:p>
          <w:p w:rsidR="00F02BB7" w:rsidRDefault="00F02BB7" w:rsidP="00372FE2">
            <w:pPr>
              <w:rPr>
                <w:rFonts w:ascii="Times New Roman" w:hAnsi="Times New Roman"/>
                <w:sz w:val="20"/>
                <w:szCs w:val="20"/>
              </w:rPr>
            </w:pPr>
          </w:p>
        </w:tc>
        <w:tc>
          <w:tcPr>
            <w:tcW w:w="1116" w:type="dxa"/>
          </w:tcPr>
          <w:p w:rsidR="00F02BB7" w:rsidRDefault="002F2FBD" w:rsidP="00372FE2">
            <w:pPr>
              <w:rPr>
                <w:rFonts w:ascii="Times New Roman" w:hAnsi="Times New Roman"/>
                <w:sz w:val="20"/>
                <w:szCs w:val="20"/>
              </w:rPr>
            </w:pPr>
            <w:r>
              <w:rPr>
                <w:rFonts w:ascii="Times New Roman" w:hAnsi="Times New Roman"/>
                <w:sz w:val="20"/>
                <w:szCs w:val="20"/>
              </w:rPr>
              <w:t>259</w:t>
            </w:r>
          </w:p>
        </w:tc>
        <w:tc>
          <w:tcPr>
            <w:tcW w:w="1227" w:type="dxa"/>
          </w:tcPr>
          <w:p w:rsidR="00F02BB7" w:rsidRDefault="00372FE2" w:rsidP="00372FE2">
            <w:pPr>
              <w:rPr>
                <w:rFonts w:ascii="Times New Roman" w:hAnsi="Times New Roman"/>
                <w:sz w:val="20"/>
                <w:szCs w:val="20"/>
              </w:rPr>
            </w:pPr>
            <w:r>
              <w:rPr>
                <w:rFonts w:ascii="Times New Roman" w:hAnsi="Times New Roman"/>
                <w:sz w:val="20"/>
                <w:szCs w:val="20"/>
              </w:rPr>
              <w:t>Daily</w:t>
            </w:r>
          </w:p>
        </w:tc>
        <w:tc>
          <w:tcPr>
            <w:tcW w:w="1061" w:type="dxa"/>
          </w:tcPr>
          <w:p w:rsidR="00F02BB7" w:rsidRDefault="00372FE2" w:rsidP="00372FE2">
            <w:pPr>
              <w:rPr>
                <w:rFonts w:ascii="Times New Roman" w:hAnsi="Times New Roman"/>
                <w:sz w:val="20"/>
                <w:szCs w:val="20"/>
              </w:rPr>
            </w:pPr>
            <w:r>
              <w:rPr>
                <w:rFonts w:ascii="Times New Roman" w:hAnsi="Times New Roman"/>
                <w:sz w:val="20"/>
                <w:szCs w:val="20"/>
              </w:rPr>
              <w:t>252</w:t>
            </w:r>
          </w:p>
        </w:tc>
        <w:tc>
          <w:tcPr>
            <w:tcW w:w="1061" w:type="dxa"/>
          </w:tcPr>
          <w:p w:rsidR="00F02BB7" w:rsidRDefault="00C87727" w:rsidP="00C87727">
            <w:pPr>
              <w:rPr>
                <w:rFonts w:ascii="Times New Roman" w:hAnsi="Times New Roman"/>
                <w:sz w:val="20"/>
                <w:szCs w:val="20"/>
              </w:rPr>
            </w:pPr>
            <w:r>
              <w:rPr>
                <w:rFonts w:ascii="Times New Roman" w:hAnsi="Times New Roman"/>
                <w:sz w:val="20"/>
                <w:szCs w:val="20"/>
              </w:rPr>
              <w:t>65</w:t>
            </w:r>
            <w:r w:rsidR="00EB24DE">
              <w:rPr>
                <w:rFonts w:ascii="Times New Roman" w:hAnsi="Times New Roman"/>
                <w:sz w:val="20"/>
                <w:szCs w:val="20"/>
              </w:rPr>
              <w:t>,</w:t>
            </w:r>
            <w:r>
              <w:rPr>
                <w:rFonts w:ascii="Times New Roman" w:hAnsi="Times New Roman"/>
                <w:sz w:val="20"/>
                <w:szCs w:val="20"/>
              </w:rPr>
              <w:t>2</w:t>
            </w:r>
            <w:r w:rsidR="00EB24DE" w:rsidRPr="00EB24DE">
              <w:rPr>
                <w:rFonts w:ascii="Times New Roman" w:hAnsi="Times New Roman"/>
                <w:sz w:val="20"/>
                <w:szCs w:val="20"/>
              </w:rPr>
              <w:t>68</w:t>
            </w:r>
          </w:p>
        </w:tc>
        <w:tc>
          <w:tcPr>
            <w:tcW w:w="1016" w:type="dxa"/>
          </w:tcPr>
          <w:p w:rsidR="00F02BB7" w:rsidRDefault="00372FE2" w:rsidP="00372FE2">
            <w:pPr>
              <w:rPr>
                <w:rFonts w:ascii="Times New Roman" w:hAnsi="Times New Roman"/>
                <w:sz w:val="20"/>
                <w:szCs w:val="20"/>
              </w:rPr>
            </w:pPr>
            <w:r>
              <w:rPr>
                <w:rFonts w:ascii="Times New Roman" w:hAnsi="Times New Roman"/>
                <w:sz w:val="20"/>
                <w:szCs w:val="20"/>
              </w:rPr>
              <w:t>2</w:t>
            </w:r>
          </w:p>
        </w:tc>
        <w:tc>
          <w:tcPr>
            <w:tcW w:w="1039" w:type="dxa"/>
          </w:tcPr>
          <w:p w:rsidR="00F02BB7" w:rsidRDefault="00EB24DE" w:rsidP="00372FE2">
            <w:pPr>
              <w:rPr>
                <w:rFonts w:ascii="Times New Roman" w:hAnsi="Times New Roman"/>
                <w:sz w:val="20"/>
                <w:szCs w:val="20"/>
              </w:rPr>
            </w:pPr>
            <w:r>
              <w:rPr>
                <w:rFonts w:ascii="Times New Roman" w:hAnsi="Times New Roman"/>
                <w:sz w:val="20"/>
                <w:szCs w:val="20"/>
              </w:rPr>
              <w:t>504</w:t>
            </w:r>
            <w:r w:rsidR="00F02BB7">
              <w:rPr>
                <w:rFonts w:ascii="Times New Roman" w:hAnsi="Times New Roman"/>
                <w:sz w:val="20"/>
                <w:szCs w:val="20"/>
              </w:rPr>
              <w:t xml:space="preserve"> hours</w:t>
            </w:r>
          </w:p>
        </w:tc>
        <w:tc>
          <w:tcPr>
            <w:tcW w:w="1049" w:type="dxa"/>
          </w:tcPr>
          <w:p w:rsidR="00F02BB7" w:rsidRDefault="002F2FBD" w:rsidP="002F2FBD">
            <w:pPr>
              <w:rPr>
                <w:rFonts w:ascii="Times New Roman" w:hAnsi="Times New Roman"/>
                <w:sz w:val="20"/>
                <w:szCs w:val="20"/>
              </w:rPr>
            </w:pPr>
            <w:r>
              <w:rPr>
                <w:rFonts w:ascii="Times New Roman" w:hAnsi="Times New Roman"/>
                <w:sz w:val="20"/>
                <w:szCs w:val="20"/>
              </w:rPr>
              <w:t>130</w:t>
            </w:r>
            <w:r w:rsidR="00372FE2">
              <w:rPr>
                <w:rFonts w:ascii="Times New Roman" w:hAnsi="Times New Roman"/>
                <w:sz w:val="20"/>
                <w:szCs w:val="20"/>
              </w:rPr>
              <w:t>,</w:t>
            </w:r>
            <w:r>
              <w:rPr>
                <w:rFonts w:ascii="Times New Roman" w:hAnsi="Times New Roman"/>
                <w:sz w:val="20"/>
                <w:szCs w:val="20"/>
              </w:rPr>
              <w:t>5</w:t>
            </w:r>
            <w:r w:rsidR="00EB24DE">
              <w:rPr>
                <w:rFonts w:ascii="Times New Roman" w:hAnsi="Times New Roman"/>
                <w:sz w:val="20"/>
                <w:szCs w:val="20"/>
              </w:rPr>
              <w:t xml:space="preserve">36 </w:t>
            </w:r>
            <w:r w:rsidR="00F02BB7">
              <w:rPr>
                <w:rFonts w:ascii="Times New Roman" w:hAnsi="Times New Roman"/>
                <w:sz w:val="20"/>
                <w:szCs w:val="20"/>
              </w:rPr>
              <w:t>hours</w:t>
            </w:r>
          </w:p>
        </w:tc>
        <w:tc>
          <w:tcPr>
            <w:tcW w:w="1039" w:type="dxa"/>
            <w:gridSpan w:val="2"/>
          </w:tcPr>
          <w:p w:rsidR="00F02BB7" w:rsidRPr="00372FE2" w:rsidRDefault="00372FE2" w:rsidP="00EB24DE">
            <w:pPr>
              <w:rPr>
                <w:rFonts w:ascii="Times New Roman" w:hAnsi="Times New Roman"/>
                <w:sz w:val="20"/>
                <w:szCs w:val="20"/>
                <w:highlight w:val="yellow"/>
              </w:rPr>
            </w:pPr>
            <w:r w:rsidRPr="00EB24DE">
              <w:rPr>
                <w:rFonts w:ascii="Times New Roman" w:hAnsi="Times New Roman"/>
                <w:sz w:val="20"/>
                <w:szCs w:val="20"/>
              </w:rPr>
              <w:t>5</w:t>
            </w:r>
            <w:r w:rsidR="00EB24DE" w:rsidRPr="00EB24DE">
              <w:rPr>
                <w:rFonts w:ascii="Times New Roman" w:hAnsi="Times New Roman"/>
                <w:sz w:val="20"/>
                <w:szCs w:val="20"/>
              </w:rPr>
              <w:t>0</w:t>
            </w:r>
            <w:r w:rsidRPr="00EB24DE">
              <w:rPr>
                <w:rFonts w:ascii="Times New Roman" w:hAnsi="Times New Roman"/>
                <w:sz w:val="20"/>
                <w:szCs w:val="20"/>
              </w:rPr>
              <w:t>,400</w:t>
            </w:r>
          </w:p>
        </w:tc>
        <w:tc>
          <w:tcPr>
            <w:tcW w:w="1216" w:type="dxa"/>
          </w:tcPr>
          <w:p w:rsidR="00F02BB7" w:rsidRPr="00372FE2" w:rsidRDefault="002F2FBD" w:rsidP="002F2FBD">
            <w:pPr>
              <w:rPr>
                <w:rFonts w:ascii="Times New Roman" w:hAnsi="Times New Roman"/>
                <w:sz w:val="20"/>
                <w:szCs w:val="20"/>
                <w:highlight w:val="yellow"/>
              </w:rPr>
            </w:pPr>
            <w:r>
              <w:rPr>
                <w:rFonts w:ascii="Times New Roman" w:hAnsi="Times New Roman"/>
                <w:sz w:val="20"/>
                <w:szCs w:val="20"/>
              </w:rPr>
              <w:t>13</w:t>
            </w:r>
            <w:r w:rsidR="00EB24DE">
              <w:rPr>
                <w:rFonts w:ascii="Times New Roman" w:hAnsi="Times New Roman"/>
                <w:sz w:val="20"/>
                <w:szCs w:val="20"/>
              </w:rPr>
              <w:t>,</w:t>
            </w:r>
            <w:r>
              <w:rPr>
                <w:rFonts w:ascii="Times New Roman" w:hAnsi="Times New Roman"/>
                <w:sz w:val="20"/>
                <w:szCs w:val="20"/>
              </w:rPr>
              <w:t>053</w:t>
            </w:r>
            <w:r w:rsidR="00EB24DE">
              <w:rPr>
                <w:rFonts w:ascii="Times New Roman" w:hAnsi="Times New Roman"/>
                <w:sz w:val="20"/>
                <w:szCs w:val="20"/>
              </w:rPr>
              <w:t>,</w:t>
            </w:r>
            <w:r w:rsidR="00EB24DE" w:rsidRPr="00EB24DE">
              <w:rPr>
                <w:rFonts w:ascii="Times New Roman" w:hAnsi="Times New Roman"/>
                <w:sz w:val="20"/>
                <w:szCs w:val="20"/>
              </w:rPr>
              <w:t>600</w:t>
            </w:r>
          </w:p>
        </w:tc>
      </w:tr>
      <w:tr w:rsidR="00F02BB7" w:rsidTr="00372FE2">
        <w:trPr>
          <w:jc w:val="center"/>
        </w:trPr>
        <w:tc>
          <w:tcPr>
            <w:tcW w:w="1572" w:type="dxa"/>
          </w:tcPr>
          <w:p w:rsidR="00F02BB7" w:rsidRDefault="00F02BB7" w:rsidP="00372FE2">
            <w:pPr>
              <w:rPr>
                <w:rFonts w:ascii="Times New Roman" w:hAnsi="Times New Roman"/>
                <w:b/>
                <w:sz w:val="20"/>
                <w:szCs w:val="20"/>
              </w:rPr>
            </w:pPr>
            <w:r>
              <w:rPr>
                <w:rFonts w:ascii="Times New Roman" w:hAnsi="Times New Roman"/>
                <w:b/>
                <w:sz w:val="20"/>
                <w:szCs w:val="20"/>
                <w:u w:val="single"/>
              </w:rPr>
              <w:t>Recordkeeping</w:t>
            </w:r>
            <w:r>
              <w:rPr>
                <w:rFonts w:ascii="Times New Roman" w:hAnsi="Times New Roman"/>
                <w:b/>
                <w:sz w:val="20"/>
                <w:szCs w:val="20"/>
              </w:rPr>
              <w:t>:</w:t>
            </w:r>
          </w:p>
          <w:p w:rsidR="00F02BB7" w:rsidRDefault="00372FE2" w:rsidP="00372FE2">
            <w:pPr>
              <w:rPr>
                <w:rFonts w:ascii="Times New Roman" w:hAnsi="Times New Roman"/>
                <w:b/>
                <w:sz w:val="20"/>
                <w:szCs w:val="20"/>
              </w:rPr>
            </w:pPr>
            <w:r>
              <w:rPr>
                <w:rFonts w:ascii="Times New Roman" w:hAnsi="Times New Roman"/>
                <w:b/>
                <w:sz w:val="20"/>
                <w:szCs w:val="20"/>
              </w:rPr>
              <w:t>Developing written procedures for compliance and maintaining records of compliance</w:t>
            </w:r>
          </w:p>
        </w:tc>
        <w:tc>
          <w:tcPr>
            <w:tcW w:w="1116" w:type="dxa"/>
          </w:tcPr>
          <w:p w:rsidR="00F02BB7" w:rsidRDefault="002F2FBD" w:rsidP="00372FE2">
            <w:pPr>
              <w:rPr>
                <w:rFonts w:ascii="Times New Roman" w:hAnsi="Times New Roman"/>
                <w:sz w:val="20"/>
                <w:szCs w:val="20"/>
              </w:rPr>
            </w:pPr>
            <w:r>
              <w:rPr>
                <w:rFonts w:ascii="Times New Roman" w:hAnsi="Times New Roman"/>
                <w:sz w:val="20"/>
                <w:szCs w:val="20"/>
              </w:rPr>
              <w:t>259</w:t>
            </w:r>
          </w:p>
        </w:tc>
        <w:tc>
          <w:tcPr>
            <w:tcW w:w="1227" w:type="dxa"/>
          </w:tcPr>
          <w:p w:rsidR="00F02BB7" w:rsidRDefault="00372FE2" w:rsidP="00372FE2">
            <w:pPr>
              <w:rPr>
                <w:rFonts w:ascii="Times New Roman" w:hAnsi="Times New Roman"/>
                <w:sz w:val="20"/>
                <w:szCs w:val="20"/>
              </w:rPr>
            </w:pPr>
            <w:r>
              <w:rPr>
                <w:rFonts w:ascii="Times New Roman" w:hAnsi="Times New Roman"/>
                <w:sz w:val="20"/>
                <w:szCs w:val="20"/>
              </w:rPr>
              <w:t>Initial drafting, updating as needed</w:t>
            </w:r>
          </w:p>
        </w:tc>
        <w:tc>
          <w:tcPr>
            <w:tcW w:w="1061" w:type="dxa"/>
          </w:tcPr>
          <w:p w:rsidR="00F02BB7" w:rsidRDefault="00EB24DE" w:rsidP="00372FE2">
            <w:pPr>
              <w:rPr>
                <w:rFonts w:ascii="Times New Roman" w:hAnsi="Times New Roman"/>
                <w:sz w:val="20"/>
                <w:szCs w:val="20"/>
              </w:rPr>
            </w:pPr>
            <w:r>
              <w:rPr>
                <w:rFonts w:ascii="Times New Roman" w:hAnsi="Times New Roman"/>
                <w:sz w:val="20"/>
                <w:szCs w:val="20"/>
              </w:rPr>
              <w:t>1</w:t>
            </w:r>
          </w:p>
        </w:tc>
        <w:tc>
          <w:tcPr>
            <w:tcW w:w="1061" w:type="dxa"/>
          </w:tcPr>
          <w:p w:rsidR="00F02BB7" w:rsidRDefault="002F2FBD" w:rsidP="00372FE2">
            <w:pPr>
              <w:rPr>
                <w:rFonts w:ascii="Times New Roman" w:hAnsi="Times New Roman"/>
                <w:sz w:val="20"/>
                <w:szCs w:val="20"/>
              </w:rPr>
            </w:pPr>
            <w:r>
              <w:rPr>
                <w:rFonts w:ascii="Times New Roman" w:hAnsi="Times New Roman"/>
                <w:sz w:val="20"/>
                <w:szCs w:val="20"/>
              </w:rPr>
              <w:t>259</w:t>
            </w:r>
          </w:p>
        </w:tc>
        <w:tc>
          <w:tcPr>
            <w:tcW w:w="1016" w:type="dxa"/>
          </w:tcPr>
          <w:p w:rsidR="00F02BB7" w:rsidRDefault="00EB24DE" w:rsidP="00372FE2">
            <w:pPr>
              <w:rPr>
                <w:rFonts w:ascii="Times New Roman" w:hAnsi="Times New Roman"/>
                <w:sz w:val="20"/>
                <w:szCs w:val="20"/>
              </w:rPr>
            </w:pPr>
            <w:r>
              <w:rPr>
                <w:rFonts w:ascii="Times New Roman" w:hAnsi="Times New Roman"/>
                <w:sz w:val="20"/>
                <w:szCs w:val="20"/>
              </w:rPr>
              <w:t>20</w:t>
            </w:r>
          </w:p>
        </w:tc>
        <w:tc>
          <w:tcPr>
            <w:tcW w:w="1039" w:type="dxa"/>
          </w:tcPr>
          <w:p w:rsidR="00F02BB7" w:rsidRDefault="00EB24DE" w:rsidP="00EB24DE">
            <w:pPr>
              <w:rPr>
                <w:rFonts w:ascii="Times New Roman" w:hAnsi="Times New Roman"/>
                <w:sz w:val="20"/>
                <w:szCs w:val="20"/>
              </w:rPr>
            </w:pPr>
            <w:r>
              <w:rPr>
                <w:rFonts w:ascii="Times New Roman" w:hAnsi="Times New Roman"/>
                <w:sz w:val="20"/>
                <w:szCs w:val="20"/>
              </w:rPr>
              <w:t>20</w:t>
            </w:r>
            <w:r w:rsidR="00F02BB7">
              <w:rPr>
                <w:rFonts w:ascii="Times New Roman" w:hAnsi="Times New Roman"/>
                <w:sz w:val="20"/>
                <w:szCs w:val="20"/>
              </w:rPr>
              <w:t xml:space="preserve"> hours</w:t>
            </w:r>
          </w:p>
        </w:tc>
        <w:tc>
          <w:tcPr>
            <w:tcW w:w="1064" w:type="dxa"/>
            <w:gridSpan w:val="2"/>
          </w:tcPr>
          <w:p w:rsidR="00F02BB7" w:rsidRPr="00EB24DE" w:rsidRDefault="002F2FBD" w:rsidP="002F2FBD">
            <w:pPr>
              <w:rPr>
                <w:rFonts w:ascii="Times New Roman" w:hAnsi="Times New Roman"/>
                <w:sz w:val="20"/>
                <w:szCs w:val="20"/>
              </w:rPr>
            </w:pPr>
            <w:r>
              <w:rPr>
                <w:rFonts w:ascii="Times New Roman" w:hAnsi="Times New Roman"/>
                <w:sz w:val="20"/>
                <w:szCs w:val="20"/>
              </w:rPr>
              <w:t>5</w:t>
            </w:r>
            <w:r w:rsidR="00EB24DE" w:rsidRPr="00EB24DE">
              <w:rPr>
                <w:rFonts w:ascii="Times New Roman" w:hAnsi="Times New Roman"/>
                <w:sz w:val="20"/>
                <w:szCs w:val="20"/>
              </w:rPr>
              <w:t>,</w:t>
            </w:r>
            <w:r>
              <w:rPr>
                <w:rFonts w:ascii="Times New Roman" w:hAnsi="Times New Roman"/>
                <w:sz w:val="20"/>
                <w:szCs w:val="20"/>
              </w:rPr>
              <w:t>180</w:t>
            </w:r>
            <w:r w:rsidR="00EB24DE" w:rsidRPr="00EB24DE">
              <w:rPr>
                <w:rFonts w:ascii="Times New Roman" w:hAnsi="Times New Roman"/>
                <w:sz w:val="20"/>
                <w:szCs w:val="20"/>
              </w:rPr>
              <w:t xml:space="preserve"> </w:t>
            </w:r>
            <w:r w:rsidR="00F02BB7" w:rsidRPr="00EB24DE">
              <w:rPr>
                <w:rFonts w:ascii="Times New Roman" w:hAnsi="Times New Roman"/>
                <w:sz w:val="20"/>
                <w:szCs w:val="20"/>
              </w:rPr>
              <w:t>hours</w:t>
            </w:r>
          </w:p>
        </w:tc>
        <w:tc>
          <w:tcPr>
            <w:tcW w:w="1024" w:type="dxa"/>
          </w:tcPr>
          <w:p w:rsidR="00F02BB7" w:rsidRPr="00EB24DE" w:rsidRDefault="00EB24DE" w:rsidP="00372FE2">
            <w:pPr>
              <w:rPr>
                <w:rFonts w:ascii="Times New Roman" w:hAnsi="Times New Roman"/>
                <w:sz w:val="20"/>
                <w:szCs w:val="20"/>
              </w:rPr>
            </w:pPr>
            <w:r w:rsidRPr="00EB24DE">
              <w:rPr>
                <w:rFonts w:ascii="Times New Roman" w:hAnsi="Times New Roman"/>
                <w:sz w:val="20"/>
                <w:szCs w:val="20"/>
              </w:rPr>
              <w:t>2,000</w:t>
            </w:r>
          </w:p>
        </w:tc>
        <w:tc>
          <w:tcPr>
            <w:tcW w:w="1216" w:type="dxa"/>
          </w:tcPr>
          <w:p w:rsidR="00F02BB7" w:rsidRPr="00EB24DE" w:rsidRDefault="002F2FBD" w:rsidP="00372FE2">
            <w:pPr>
              <w:rPr>
                <w:rFonts w:ascii="Times New Roman" w:hAnsi="Times New Roman"/>
                <w:sz w:val="20"/>
                <w:szCs w:val="20"/>
                <w:highlight w:val="yellow"/>
              </w:rPr>
            </w:pPr>
            <w:r>
              <w:rPr>
                <w:rFonts w:ascii="Times New Roman" w:hAnsi="Times New Roman"/>
                <w:sz w:val="20"/>
                <w:szCs w:val="20"/>
              </w:rPr>
              <w:t>518</w:t>
            </w:r>
            <w:r w:rsidR="00EB24DE">
              <w:rPr>
                <w:rFonts w:ascii="Times New Roman" w:hAnsi="Times New Roman"/>
                <w:sz w:val="20"/>
                <w:szCs w:val="20"/>
              </w:rPr>
              <w:t>,</w:t>
            </w:r>
            <w:r w:rsidR="00EB24DE" w:rsidRPr="00EB24DE">
              <w:rPr>
                <w:rFonts w:ascii="Times New Roman" w:hAnsi="Times New Roman"/>
                <w:sz w:val="20"/>
                <w:szCs w:val="20"/>
              </w:rPr>
              <w:t>000</w:t>
            </w:r>
          </w:p>
        </w:tc>
      </w:tr>
    </w:tbl>
    <w:p w:rsidR="00871E47" w:rsidRPr="00F02BB7" w:rsidRDefault="00871E47" w:rsidP="00F02BB7">
      <w:pPr>
        <w:rPr>
          <w:szCs w:val="20"/>
        </w:rPr>
      </w:pPr>
    </w:p>
    <w:sectPr w:rsidR="00871E47" w:rsidRPr="00F02BB7" w:rsidSect="00871E47">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505" w:rsidRDefault="00AF2505">
      <w:r>
        <w:separator/>
      </w:r>
    </w:p>
  </w:endnote>
  <w:endnote w:type="continuationSeparator" w:id="0">
    <w:p w:rsidR="00AF2505" w:rsidRDefault="00AF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505" w:rsidRDefault="00AF2505">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50778D">
      <w:rPr>
        <w:rFonts w:ascii="Times New Roman" w:hAnsi="Times New Roman"/>
        <w:noProof/>
        <w:sz w:val="20"/>
        <w:szCs w:val="20"/>
      </w:rPr>
      <w:t>1</w:t>
    </w:r>
    <w:r>
      <w:rPr>
        <w:rFonts w:ascii="Times New Roman" w:hAnsi="Times New Roman"/>
        <w:sz w:val="20"/>
        <w:szCs w:val="20"/>
      </w:rPr>
      <w:fldChar w:fldCharType="end"/>
    </w:r>
  </w:p>
  <w:p w:rsidR="00AF2505" w:rsidRDefault="00AF25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505" w:rsidRDefault="00AF2505">
      <w:r>
        <w:separator/>
      </w:r>
    </w:p>
  </w:footnote>
  <w:footnote w:type="continuationSeparator" w:id="0">
    <w:p w:rsidR="00AF2505" w:rsidRDefault="00AF25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E47"/>
    <w:rsid w:val="001B039F"/>
    <w:rsid w:val="002F2FBD"/>
    <w:rsid w:val="00372FE2"/>
    <w:rsid w:val="003B35E3"/>
    <w:rsid w:val="0050778D"/>
    <w:rsid w:val="00622136"/>
    <w:rsid w:val="00871E47"/>
    <w:rsid w:val="00950BC8"/>
    <w:rsid w:val="009B4E2E"/>
    <w:rsid w:val="009E05E9"/>
    <w:rsid w:val="00A158B0"/>
    <w:rsid w:val="00AB4EFD"/>
    <w:rsid w:val="00AF2505"/>
    <w:rsid w:val="00B227A3"/>
    <w:rsid w:val="00C87727"/>
    <w:rsid w:val="00D57C37"/>
    <w:rsid w:val="00EA0775"/>
    <w:rsid w:val="00EA4A5B"/>
    <w:rsid w:val="00EB24DE"/>
    <w:rsid w:val="00F02BB7"/>
    <w:rsid w:val="00F31F61"/>
    <w:rsid w:val="00FA7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1E47"/>
    <w:rPr>
      <w:rFonts w:ascii="Arial" w:hAnsi="Arial"/>
      <w:sz w:val="24"/>
      <w:szCs w:val="24"/>
    </w:rPr>
  </w:style>
  <w:style w:type="paragraph" w:styleId="Heading1">
    <w:name w:val="heading 1"/>
    <w:basedOn w:val="Normal"/>
    <w:next w:val="Normal"/>
    <w:qFormat/>
    <w:rsid w:val="00871E47"/>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71E47"/>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871E47"/>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basedOn w:val="DefaultParagraphFont"/>
    <w:uiPriority w:val="99"/>
    <w:rsid w:val="00871E47"/>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871E47"/>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871E47"/>
    <w:rPr>
      <w:sz w:val="24"/>
    </w:rPr>
  </w:style>
  <w:style w:type="paragraph" w:customStyle="1" w:styleId="Default">
    <w:name w:val="Default"/>
    <w:rsid w:val="00871E47"/>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871E47"/>
    <w:pPr>
      <w:tabs>
        <w:tab w:val="center" w:pos="4680"/>
        <w:tab w:val="right" w:pos="9360"/>
      </w:tabs>
    </w:pPr>
  </w:style>
  <w:style w:type="character" w:customStyle="1" w:styleId="HeaderChar">
    <w:name w:val="Header Char"/>
    <w:basedOn w:val="DefaultParagraphFont"/>
    <w:link w:val="Header"/>
    <w:rsid w:val="00871E47"/>
    <w:rPr>
      <w:rFonts w:ascii="Arial" w:hAnsi="Arial"/>
      <w:sz w:val="24"/>
      <w:szCs w:val="24"/>
    </w:rPr>
  </w:style>
  <w:style w:type="paragraph" w:styleId="Footer">
    <w:name w:val="footer"/>
    <w:basedOn w:val="Normal"/>
    <w:link w:val="FooterChar"/>
    <w:uiPriority w:val="99"/>
    <w:rsid w:val="00871E47"/>
    <w:pPr>
      <w:tabs>
        <w:tab w:val="center" w:pos="4680"/>
        <w:tab w:val="right" w:pos="9360"/>
      </w:tabs>
    </w:pPr>
  </w:style>
  <w:style w:type="character" w:customStyle="1" w:styleId="FooterChar">
    <w:name w:val="Footer Char"/>
    <w:basedOn w:val="DefaultParagraphFont"/>
    <w:link w:val="Footer"/>
    <w:uiPriority w:val="99"/>
    <w:rsid w:val="00871E47"/>
    <w:rPr>
      <w:rFonts w:ascii="Arial" w:hAnsi="Arial"/>
      <w:sz w:val="24"/>
      <w:szCs w:val="24"/>
    </w:rPr>
  </w:style>
  <w:style w:type="paragraph" w:styleId="PlainText">
    <w:name w:val="Plain Text"/>
    <w:basedOn w:val="Normal"/>
    <w:link w:val="PlainTextChar"/>
    <w:uiPriority w:val="99"/>
    <w:unhideWhenUsed/>
    <w:rsid w:val="00871E47"/>
    <w:rPr>
      <w:rFonts w:ascii="Calibri" w:hAnsi="Calibri"/>
      <w:color w:val="1F497D"/>
      <w:sz w:val="22"/>
      <w:szCs w:val="21"/>
    </w:rPr>
  </w:style>
  <w:style w:type="character" w:customStyle="1" w:styleId="PlainTextChar">
    <w:name w:val="Plain Text Char"/>
    <w:basedOn w:val="DefaultParagraphFont"/>
    <w:link w:val="PlainText"/>
    <w:uiPriority w:val="99"/>
    <w:rsid w:val="00871E47"/>
    <w:rPr>
      <w:rFonts w:ascii="Calibri" w:hAnsi="Calibri"/>
      <w:color w:val="1F497D"/>
      <w:sz w:val="22"/>
      <w:szCs w:val="21"/>
    </w:rPr>
  </w:style>
  <w:style w:type="paragraph" w:customStyle="1" w:styleId="CM3">
    <w:name w:val="CM3"/>
    <w:basedOn w:val="Default"/>
    <w:next w:val="Default"/>
    <w:uiPriority w:val="99"/>
    <w:rsid w:val="00871E47"/>
    <w:pPr>
      <w:spacing w:line="268" w:lineRule="atLeast"/>
    </w:pPr>
    <w:rPr>
      <w:rFonts w:cs="Times New Roman"/>
      <w:color w:val="auto"/>
    </w:rPr>
  </w:style>
  <w:style w:type="paragraph" w:styleId="Title">
    <w:name w:val="Title"/>
    <w:basedOn w:val="Normal"/>
    <w:link w:val="TitleChar"/>
    <w:qFormat/>
    <w:rsid w:val="00871E47"/>
    <w:pPr>
      <w:jc w:val="center"/>
    </w:pPr>
    <w:rPr>
      <w:rFonts w:ascii="Times New Roman" w:hAnsi="Times New Roman"/>
      <w:b/>
      <w:sz w:val="40"/>
      <w:szCs w:val="20"/>
    </w:rPr>
  </w:style>
  <w:style w:type="character" w:customStyle="1" w:styleId="TitleChar">
    <w:name w:val="Title Char"/>
    <w:basedOn w:val="DefaultParagraphFont"/>
    <w:link w:val="Title"/>
    <w:rsid w:val="00871E47"/>
    <w:rPr>
      <w:b/>
      <w:sz w:val="40"/>
    </w:rPr>
  </w:style>
  <w:style w:type="paragraph" w:styleId="ListParagraph">
    <w:name w:val="List Paragraph"/>
    <w:basedOn w:val="Normal"/>
    <w:uiPriority w:val="34"/>
    <w:qFormat/>
    <w:rsid w:val="00871E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1E47"/>
    <w:rPr>
      <w:rFonts w:ascii="Arial" w:hAnsi="Arial"/>
      <w:sz w:val="24"/>
      <w:szCs w:val="24"/>
    </w:rPr>
  </w:style>
  <w:style w:type="paragraph" w:styleId="Heading1">
    <w:name w:val="heading 1"/>
    <w:basedOn w:val="Normal"/>
    <w:next w:val="Normal"/>
    <w:qFormat/>
    <w:rsid w:val="00871E47"/>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71E47"/>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871E47"/>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basedOn w:val="DefaultParagraphFont"/>
    <w:uiPriority w:val="99"/>
    <w:rsid w:val="00871E47"/>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871E47"/>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871E47"/>
    <w:rPr>
      <w:sz w:val="24"/>
    </w:rPr>
  </w:style>
  <w:style w:type="paragraph" w:customStyle="1" w:styleId="Default">
    <w:name w:val="Default"/>
    <w:rsid w:val="00871E47"/>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871E47"/>
    <w:pPr>
      <w:tabs>
        <w:tab w:val="center" w:pos="4680"/>
        <w:tab w:val="right" w:pos="9360"/>
      </w:tabs>
    </w:pPr>
  </w:style>
  <w:style w:type="character" w:customStyle="1" w:styleId="HeaderChar">
    <w:name w:val="Header Char"/>
    <w:basedOn w:val="DefaultParagraphFont"/>
    <w:link w:val="Header"/>
    <w:rsid w:val="00871E47"/>
    <w:rPr>
      <w:rFonts w:ascii="Arial" w:hAnsi="Arial"/>
      <w:sz w:val="24"/>
      <w:szCs w:val="24"/>
    </w:rPr>
  </w:style>
  <w:style w:type="paragraph" w:styleId="Footer">
    <w:name w:val="footer"/>
    <w:basedOn w:val="Normal"/>
    <w:link w:val="FooterChar"/>
    <w:uiPriority w:val="99"/>
    <w:rsid w:val="00871E47"/>
    <w:pPr>
      <w:tabs>
        <w:tab w:val="center" w:pos="4680"/>
        <w:tab w:val="right" w:pos="9360"/>
      </w:tabs>
    </w:pPr>
  </w:style>
  <w:style w:type="character" w:customStyle="1" w:styleId="FooterChar">
    <w:name w:val="Footer Char"/>
    <w:basedOn w:val="DefaultParagraphFont"/>
    <w:link w:val="Footer"/>
    <w:uiPriority w:val="99"/>
    <w:rsid w:val="00871E47"/>
    <w:rPr>
      <w:rFonts w:ascii="Arial" w:hAnsi="Arial"/>
      <w:sz w:val="24"/>
      <w:szCs w:val="24"/>
    </w:rPr>
  </w:style>
  <w:style w:type="paragraph" w:styleId="PlainText">
    <w:name w:val="Plain Text"/>
    <w:basedOn w:val="Normal"/>
    <w:link w:val="PlainTextChar"/>
    <w:uiPriority w:val="99"/>
    <w:unhideWhenUsed/>
    <w:rsid w:val="00871E47"/>
    <w:rPr>
      <w:rFonts w:ascii="Calibri" w:hAnsi="Calibri"/>
      <w:color w:val="1F497D"/>
      <w:sz w:val="22"/>
      <w:szCs w:val="21"/>
    </w:rPr>
  </w:style>
  <w:style w:type="character" w:customStyle="1" w:styleId="PlainTextChar">
    <w:name w:val="Plain Text Char"/>
    <w:basedOn w:val="DefaultParagraphFont"/>
    <w:link w:val="PlainText"/>
    <w:uiPriority w:val="99"/>
    <w:rsid w:val="00871E47"/>
    <w:rPr>
      <w:rFonts w:ascii="Calibri" w:hAnsi="Calibri"/>
      <w:color w:val="1F497D"/>
      <w:sz w:val="22"/>
      <w:szCs w:val="21"/>
    </w:rPr>
  </w:style>
  <w:style w:type="paragraph" w:customStyle="1" w:styleId="CM3">
    <w:name w:val="CM3"/>
    <w:basedOn w:val="Default"/>
    <w:next w:val="Default"/>
    <w:uiPriority w:val="99"/>
    <w:rsid w:val="00871E47"/>
    <w:pPr>
      <w:spacing w:line="268" w:lineRule="atLeast"/>
    </w:pPr>
    <w:rPr>
      <w:rFonts w:cs="Times New Roman"/>
      <w:color w:val="auto"/>
    </w:rPr>
  </w:style>
  <w:style w:type="paragraph" w:styleId="Title">
    <w:name w:val="Title"/>
    <w:basedOn w:val="Normal"/>
    <w:link w:val="TitleChar"/>
    <w:qFormat/>
    <w:rsid w:val="00871E47"/>
    <w:pPr>
      <w:jc w:val="center"/>
    </w:pPr>
    <w:rPr>
      <w:rFonts w:ascii="Times New Roman" w:hAnsi="Times New Roman"/>
      <w:b/>
      <w:sz w:val="40"/>
      <w:szCs w:val="20"/>
    </w:rPr>
  </w:style>
  <w:style w:type="character" w:customStyle="1" w:styleId="TitleChar">
    <w:name w:val="Title Char"/>
    <w:basedOn w:val="DefaultParagraphFont"/>
    <w:link w:val="Title"/>
    <w:rsid w:val="00871E47"/>
    <w:rPr>
      <w:b/>
      <w:sz w:val="40"/>
    </w:rPr>
  </w:style>
  <w:style w:type="paragraph" w:styleId="ListParagraph">
    <w:name w:val="List Paragraph"/>
    <w:basedOn w:val="Normal"/>
    <w:uiPriority w:val="34"/>
    <w:qFormat/>
    <w:rsid w:val="00871E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26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EF037-F2F5-4B48-B56E-422B83563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4077</Words>
  <Characters>23192</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WMcobb</cp:lastModifiedBy>
  <cp:revision>2</cp:revision>
  <cp:lastPrinted>2011-01-25T17:22:00Z</cp:lastPrinted>
  <dcterms:created xsi:type="dcterms:W3CDTF">2012-04-10T20:55:00Z</dcterms:created>
  <dcterms:modified xsi:type="dcterms:W3CDTF">2012-04-10T20:55:00Z</dcterms:modified>
</cp:coreProperties>
</file>