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867" w:rsidRPr="003D12D4" w:rsidRDefault="0011724B" w:rsidP="0011724B">
      <w:pPr>
        <w:tabs>
          <w:tab w:val="left" w:pos="720"/>
        </w:tabs>
        <w:autoSpaceDE w:val="0"/>
        <w:autoSpaceDN w:val="0"/>
        <w:adjustRightInd w:val="0"/>
        <w:spacing w:after="0" w:line="240" w:lineRule="auto"/>
        <w:ind w:left="40" w:right="-20"/>
        <w:rPr>
          <w:rFonts w:asciiTheme="minorBidi" w:hAnsiTheme="minorBidi" w:cstheme="minorBidi"/>
        </w:rPr>
      </w:pPr>
      <w:r>
        <w:rPr>
          <w:rFonts w:asciiTheme="minorBidi" w:hAnsiTheme="minorBidi" w:cstheme="minorBidi"/>
          <w:spacing w:val="-1"/>
        </w:rPr>
        <w:t>Date:</w:t>
      </w:r>
      <w:r>
        <w:rPr>
          <w:rFonts w:asciiTheme="minorBidi" w:hAnsiTheme="minorBidi" w:cstheme="minorBidi"/>
          <w:spacing w:val="-1"/>
        </w:rPr>
        <w:tab/>
      </w:r>
      <w:r w:rsidR="00BD6867" w:rsidRPr="003D12D4">
        <w:rPr>
          <w:rFonts w:asciiTheme="minorBidi" w:hAnsiTheme="minorBidi" w:cstheme="minorBidi"/>
          <w:spacing w:val="-1"/>
        </w:rPr>
        <w:t>April 2</w:t>
      </w:r>
      <w:r w:rsidR="003D12D4">
        <w:rPr>
          <w:rFonts w:asciiTheme="minorBidi" w:hAnsiTheme="minorBidi" w:cstheme="minorBidi"/>
          <w:spacing w:val="-1"/>
        </w:rPr>
        <w:t>0</w:t>
      </w:r>
      <w:r w:rsidR="00BD6867" w:rsidRPr="003D12D4">
        <w:rPr>
          <w:rFonts w:asciiTheme="minorBidi" w:hAnsiTheme="minorBidi" w:cstheme="minorBidi"/>
          <w:spacing w:val="-1"/>
        </w:rPr>
        <w:t xml:space="preserve">, </w:t>
      </w:r>
      <w:r w:rsidR="00BD6867" w:rsidRPr="003D12D4">
        <w:rPr>
          <w:rFonts w:asciiTheme="minorBidi" w:hAnsiTheme="minorBidi" w:cstheme="minorBidi"/>
        </w:rPr>
        <w:t>2012</w:t>
      </w:r>
    </w:p>
    <w:p w:rsidR="003D12D4" w:rsidRDefault="003D12D4" w:rsidP="003D12D4">
      <w:pPr>
        <w:spacing w:after="0" w:line="240" w:lineRule="auto"/>
        <w:rPr>
          <w:rFonts w:asciiTheme="minorBidi" w:hAnsiTheme="minorBidi" w:cstheme="minorBidi"/>
        </w:rPr>
      </w:pPr>
    </w:p>
    <w:p w:rsidR="003D12D4" w:rsidRPr="003D12D4" w:rsidRDefault="0011724B" w:rsidP="0011724B">
      <w:pPr>
        <w:tabs>
          <w:tab w:val="left" w:pos="540"/>
          <w:tab w:val="left" w:pos="720"/>
        </w:tabs>
        <w:spacing w:after="0" w:line="240" w:lineRule="auto"/>
        <w:rPr>
          <w:rFonts w:asciiTheme="minorBidi" w:hAnsiTheme="minorBidi" w:cstheme="minorBidi"/>
        </w:rPr>
      </w:pPr>
      <w:r>
        <w:rPr>
          <w:rFonts w:asciiTheme="minorBidi" w:hAnsiTheme="minorBidi" w:cstheme="minorBidi"/>
        </w:rPr>
        <w:t xml:space="preserve">T0: </w:t>
      </w:r>
      <w:r>
        <w:rPr>
          <w:rFonts w:asciiTheme="minorBidi" w:hAnsiTheme="minorBidi" w:cstheme="minorBidi"/>
        </w:rPr>
        <w:tab/>
      </w:r>
      <w:r>
        <w:rPr>
          <w:rFonts w:asciiTheme="minorBidi" w:hAnsiTheme="minorBidi" w:cstheme="minorBidi"/>
        </w:rPr>
        <w:tab/>
      </w:r>
      <w:r w:rsidR="003D12D4" w:rsidRPr="003D12D4">
        <w:rPr>
          <w:rFonts w:asciiTheme="minorBidi" w:hAnsiTheme="minorBidi" w:cstheme="minorBidi"/>
        </w:rPr>
        <w:t>Jennifer Park</w:t>
      </w:r>
    </w:p>
    <w:p w:rsidR="003D12D4" w:rsidRPr="003D12D4" w:rsidRDefault="0011724B" w:rsidP="0011724B">
      <w:pPr>
        <w:tabs>
          <w:tab w:val="left" w:pos="540"/>
          <w:tab w:val="left" w:pos="720"/>
        </w:tabs>
        <w:spacing w:after="0" w:line="240" w:lineRule="auto"/>
        <w:rPr>
          <w:rFonts w:asciiTheme="minorBidi" w:hAnsiTheme="minorBidi" w:cstheme="minorBidi"/>
        </w:rPr>
      </w:pPr>
      <w:r>
        <w:rPr>
          <w:rFonts w:asciiTheme="minorBidi" w:hAnsiTheme="minorBidi" w:cstheme="minorBidi"/>
        </w:rPr>
        <w:tab/>
      </w:r>
      <w:r>
        <w:rPr>
          <w:rFonts w:asciiTheme="minorBidi" w:hAnsiTheme="minorBidi" w:cstheme="minorBidi"/>
        </w:rPr>
        <w:tab/>
      </w:r>
      <w:r w:rsidR="003D12D4" w:rsidRPr="003D12D4">
        <w:rPr>
          <w:rFonts w:asciiTheme="minorBidi" w:hAnsiTheme="minorBidi" w:cstheme="minorBidi"/>
        </w:rPr>
        <w:t>Statistical and Science Policy</w:t>
      </w:r>
    </w:p>
    <w:p w:rsidR="003D12D4" w:rsidRPr="003D12D4" w:rsidRDefault="0011724B" w:rsidP="0011724B">
      <w:pPr>
        <w:tabs>
          <w:tab w:val="left" w:pos="540"/>
          <w:tab w:val="left" w:pos="720"/>
        </w:tabs>
        <w:spacing w:after="0" w:line="240" w:lineRule="auto"/>
        <w:rPr>
          <w:rFonts w:asciiTheme="minorBidi" w:hAnsiTheme="minorBidi" w:cstheme="minorBidi"/>
        </w:rPr>
      </w:pPr>
      <w:r>
        <w:rPr>
          <w:rFonts w:asciiTheme="minorBidi" w:hAnsiTheme="minorBidi" w:cstheme="minorBidi"/>
        </w:rPr>
        <w:tab/>
      </w:r>
      <w:r>
        <w:rPr>
          <w:rFonts w:asciiTheme="minorBidi" w:hAnsiTheme="minorBidi" w:cstheme="minorBidi"/>
        </w:rPr>
        <w:tab/>
      </w:r>
      <w:r w:rsidR="003D12D4" w:rsidRPr="003D12D4">
        <w:rPr>
          <w:rFonts w:asciiTheme="minorBidi" w:hAnsiTheme="minorBidi" w:cstheme="minorBidi"/>
        </w:rPr>
        <w:t>Office of Information and Regulatory Affairs</w:t>
      </w:r>
    </w:p>
    <w:p w:rsidR="003D12D4" w:rsidRPr="003D12D4" w:rsidRDefault="0011724B" w:rsidP="0011724B">
      <w:pPr>
        <w:tabs>
          <w:tab w:val="left" w:pos="540"/>
          <w:tab w:val="left" w:pos="720"/>
        </w:tabs>
        <w:spacing w:after="0" w:line="240" w:lineRule="auto"/>
        <w:rPr>
          <w:rFonts w:asciiTheme="minorBidi" w:hAnsiTheme="minorBidi" w:cstheme="minorBidi"/>
        </w:rPr>
      </w:pPr>
      <w:r>
        <w:rPr>
          <w:rFonts w:asciiTheme="minorBidi" w:hAnsiTheme="minorBidi" w:cstheme="minorBidi"/>
        </w:rPr>
        <w:tab/>
      </w:r>
      <w:r>
        <w:rPr>
          <w:rFonts w:asciiTheme="minorBidi" w:hAnsiTheme="minorBidi" w:cstheme="minorBidi"/>
        </w:rPr>
        <w:tab/>
      </w:r>
      <w:r w:rsidR="003D12D4" w:rsidRPr="003D12D4">
        <w:rPr>
          <w:rFonts w:asciiTheme="minorBidi" w:hAnsiTheme="minorBidi" w:cstheme="minorBidi"/>
        </w:rPr>
        <w:t>Office of Management and Budget</w:t>
      </w:r>
    </w:p>
    <w:p w:rsidR="003D12D4" w:rsidRPr="003D12D4" w:rsidRDefault="0011724B" w:rsidP="0011724B">
      <w:pPr>
        <w:tabs>
          <w:tab w:val="left" w:pos="540"/>
        </w:tabs>
        <w:spacing w:after="0" w:line="240" w:lineRule="auto"/>
        <w:rPr>
          <w:rFonts w:asciiTheme="minorBidi" w:hAnsiTheme="minorBidi" w:cstheme="minorBidi"/>
        </w:rPr>
      </w:pPr>
      <w:r>
        <w:rPr>
          <w:rFonts w:asciiTheme="minorBidi" w:hAnsiTheme="minorBidi" w:cstheme="minorBidi"/>
        </w:rPr>
        <w:tab/>
      </w:r>
      <w:r>
        <w:rPr>
          <w:rFonts w:asciiTheme="minorBidi" w:hAnsiTheme="minorBidi" w:cstheme="minorBidi"/>
        </w:rPr>
        <w:tab/>
      </w:r>
      <w:r w:rsidR="003D12D4" w:rsidRPr="003D12D4">
        <w:rPr>
          <w:rFonts w:asciiTheme="minorBidi" w:hAnsiTheme="minorBidi" w:cstheme="minorBidi"/>
        </w:rPr>
        <w:t>Washington, DC 20503</w:t>
      </w:r>
    </w:p>
    <w:p w:rsidR="0011724B" w:rsidRDefault="0011724B" w:rsidP="003D12D4">
      <w:pPr>
        <w:spacing w:after="0" w:line="240" w:lineRule="auto"/>
      </w:pPr>
    </w:p>
    <w:p w:rsidR="003D12D4" w:rsidRDefault="0011724B" w:rsidP="003D12D4">
      <w:pPr>
        <w:spacing w:after="0" w:line="240" w:lineRule="auto"/>
      </w:pPr>
      <w:r>
        <w:t xml:space="preserve">FROM: </w:t>
      </w:r>
      <w:r>
        <w:tab/>
        <w:t>Mark Denbaly, ERS-USDA, FoodAPS COTR</w:t>
      </w:r>
    </w:p>
    <w:p w:rsidR="0011724B" w:rsidRDefault="0011724B" w:rsidP="00D95BEE">
      <w:pPr>
        <w:tabs>
          <w:tab w:val="left" w:pos="360"/>
        </w:tabs>
        <w:spacing w:after="0" w:line="240" w:lineRule="auto"/>
      </w:pPr>
    </w:p>
    <w:p w:rsidR="003D12D4" w:rsidRDefault="003D12D4" w:rsidP="0011724B">
      <w:pPr>
        <w:tabs>
          <w:tab w:val="left" w:pos="360"/>
        </w:tabs>
        <w:spacing w:after="0" w:line="240" w:lineRule="auto"/>
        <w:rPr>
          <w:rFonts w:asciiTheme="minorBidi" w:hAnsiTheme="minorBidi" w:cstheme="minorBidi"/>
        </w:rPr>
      </w:pPr>
      <w:r>
        <w:t>RE:</w:t>
      </w:r>
      <w:r w:rsidR="0011724B">
        <w:t xml:space="preserve"> </w:t>
      </w:r>
      <w:r w:rsidR="007E71FE">
        <w:rPr>
          <w:rFonts w:ascii="Arial" w:hAnsi="Arial" w:cs="Arial"/>
        </w:rPr>
        <w:t>C</w:t>
      </w:r>
      <w:r w:rsidR="0011724B">
        <w:rPr>
          <w:rFonts w:ascii="Arial" w:hAnsi="Arial" w:cs="Arial"/>
        </w:rPr>
        <w:t>ontrol #</w:t>
      </w:r>
      <w:r w:rsidR="007E71FE">
        <w:rPr>
          <w:rFonts w:ascii="Arial" w:hAnsi="Arial" w:cs="Arial"/>
        </w:rPr>
        <w:t>: 0536-0068</w:t>
      </w:r>
      <w:r w:rsidR="0011724B">
        <w:t xml:space="preserve">; Changes Associated with </w:t>
      </w:r>
      <w:r>
        <w:t>Cognitive Tests of</w:t>
      </w:r>
      <w:r w:rsidR="0011724B">
        <w:t xml:space="preserve"> </w:t>
      </w:r>
      <w:r>
        <w:t>Household Training Video</w:t>
      </w:r>
    </w:p>
    <w:p w:rsidR="003D12D4" w:rsidRDefault="003D12D4" w:rsidP="003D12D4">
      <w:pPr>
        <w:pStyle w:val="Heading3"/>
        <w:spacing w:after="0"/>
        <w:rPr>
          <w:rFonts w:asciiTheme="minorBidi" w:hAnsiTheme="minorBidi" w:cstheme="minorBidi"/>
          <w:sz w:val="22"/>
          <w:szCs w:val="22"/>
        </w:rPr>
      </w:pPr>
    </w:p>
    <w:p w:rsidR="007E71FE" w:rsidRDefault="007E71FE" w:rsidP="0011724B">
      <w:pPr>
        <w:autoSpaceDE w:val="0"/>
        <w:autoSpaceDN w:val="0"/>
        <w:adjustRightInd w:val="0"/>
        <w:spacing w:after="0" w:line="240" w:lineRule="auto"/>
        <w:rPr>
          <w:rFonts w:ascii="Arial" w:hAnsi="Arial" w:cs="Arial"/>
        </w:rPr>
      </w:pPr>
      <w:r w:rsidRPr="007E71FE">
        <w:rPr>
          <w:rFonts w:asciiTheme="minorBidi" w:hAnsiTheme="minorBidi" w:cstheme="minorBidi"/>
        </w:rPr>
        <w:t>To approve the ICR, OMB require</w:t>
      </w:r>
      <w:r w:rsidR="0011724B">
        <w:rPr>
          <w:rFonts w:asciiTheme="minorBidi" w:hAnsiTheme="minorBidi" w:cstheme="minorBidi"/>
        </w:rPr>
        <w:t>d</w:t>
      </w:r>
      <w:r w:rsidRPr="007E71FE">
        <w:rPr>
          <w:rFonts w:asciiTheme="minorBidi" w:hAnsiTheme="minorBidi" w:cstheme="minorBidi"/>
        </w:rPr>
        <w:t xml:space="preserve"> that “</w:t>
      </w:r>
      <w:r w:rsidRPr="007E71FE">
        <w:rPr>
          <w:rFonts w:ascii="Arial" w:hAnsi="Arial" w:cs="Arial"/>
        </w:rPr>
        <w:t>The results of the cognitive lab tests regarding the instruction quality of the training video must be described in a supplementary document and loaded into ROCIS.”</w:t>
      </w:r>
      <w:r>
        <w:rPr>
          <w:rFonts w:ascii="Arial" w:hAnsi="Arial" w:cs="Arial"/>
        </w:rPr>
        <w:t xml:space="preserve">  Attached, please find the results of the cognitive test and the resulting non-substantive changes that have been incorporated.</w:t>
      </w:r>
    </w:p>
    <w:p w:rsidR="007E71FE" w:rsidRDefault="007E71FE" w:rsidP="007E71FE">
      <w:pPr>
        <w:autoSpaceDE w:val="0"/>
        <w:autoSpaceDN w:val="0"/>
        <w:adjustRightInd w:val="0"/>
        <w:spacing w:after="0" w:line="240" w:lineRule="auto"/>
        <w:rPr>
          <w:rFonts w:ascii="Arial" w:hAnsi="Arial" w:cs="Arial"/>
        </w:rPr>
      </w:pPr>
    </w:p>
    <w:p w:rsidR="00713D51" w:rsidRDefault="003D12D4" w:rsidP="00713D51">
      <w:pPr>
        <w:pStyle w:val="NormalSS"/>
        <w:ind w:firstLine="0"/>
        <w:jc w:val="left"/>
        <w:rPr>
          <w:rFonts w:asciiTheme="minorBidi" w:hAnsiTheme="minorBidi" w:cstheme="minorBidi"/>
          <w:sz w:val="22"/>
          <w:szCs w:val="22"/>
        </w:rPr>
      </w:pPr>
      <w:r w:rsidRPr="003D12D4">
        <w:rPr>
          <w:rFonts w:asciiTheme="minorBidi" w:hAnsiTheme="minorBidi" w:cstheme="minorBidi"/>
          <w:sz w:val="22"/>
          <w:szCs w:val="22"/>
        </w:rPr>
        <w:t xml:space="preserve">The cognitive tests demonstrated that respondents could understand the information provided in the video, </w:t>
      </w:r>
      <w:r w:rsidR="00713D51">
        <w:rPr>
          <w:rFonts w:asciiTheme="minorBidi" w:hAnsiTheme="minorBidi" w:cstheme="minorBidi"/>
          <w:sz w:val="22"/>
          <w:szCs w:val="22"/>
        </w:rPr>
        <w:t xml:space="preserve">and </w:t>
      </w:r>
      <w:r w:rsidRPr="003D12D4">
        <w:rPr>
          <w:rFonts w:asciiTheme="minorBidi" w:hAnsiTheme="minorBidi" w:cstheme="minorBidi"/>
          <w:sz w:val="22"/>
          <w:szCs w:val="22"/>
        </w:rPr>
        <w:t xml:space="preserve">found </w:t>
      </w:r>
      <w:r w:rsidR="00713D51">
        <w:rPr>
          <w:rFonts w:asciiTheme="minorBidi" w:hAnsiTheme="minorBidi" w:cstheme="minorBidi"/>
          <w:sz w:val="22"/>
          <w:szCs w:val="22"/>
        </w:rPr>
        <w:t xml:space="preserve">the material explained </w:t>
      </w:r>
      <w:r w:rsidRPr="003D12D4">
        <w:rPr>
          <w:rFonts w:asciiTheme="minorBidi" w:hAnsiTheme="minorBidi" w:cstheme="minorBidi"/>
          <w:sz w:val="22"/>
          <w:szCs w:val="22"/>
        </w:rPr>
        <w:t>clear</w:t>
      </w:r>
      <w:r w:rsidR="00713D51">
        <w:rPr>
          <w:rFonts w:asciiTheme="minorBidi" w:hAnsiTheme="minorBidi" w:cstheme="minorBidi"/>
          <w:sz w:val="22"/>
          <w:szCs w:val="22"/>
        </w:rPr>
        <w:t>ly</w:t>
      </w:r>
      <w:r w:rsidRPr="003D12D4">
        <w:rPr>
          <w:rFonts w:asciiTheme="minorBidi" w:hAnsiTheme="minorBidi" w:cstheme="minorBidi"/>
          <w:sz w:val="22"/>
          <w:szCs w:val="22"/>
        </w:rPr>
        <w:t xml:space="preserve"> and well-paced</w:t>
      </w:r>
      <w:r w:rsidR="00713D51">
        <w:rPr>
          <w:rFonts w:asciiTheme="minorBidi" w:hAnsiTheme="minorBidi" w:cstheme="minorBidi"/>
          <w:sz w:val="22"/>
          <w:szCs w:val="22"/>
        </w:rPr>
        <w:t xml:space="preserve">.  Most </w:t>
      </w:r>
      <w:r w:rsidRPr="003D12D4">
        <w:rPr>
          <w:rFonts w:asciiTheme="minorBidi" w:hAnsiTheme="minorBidi" w:cstheme="minorBidi"/>
          <w:sz w:val="22"/>
          <w:szCs w:val="22"/>
        </w:rPr>
        <w:t xml:space="preserve">could follow along with the video in their own food book. </w:t>
      </w:r>
      <w:r w:rsidR="007E71FE">
        <w:rPr>
          <w:rFonts w:asciiTheme="minorBidi" w:hAnsiTheme="minorBidi" w:cstheme="minorBidi"/>
          <w:sz w:val="22"/>
          <w:szCs w:val="22"/>
        </w:rPr>
        <w:t xml:space="preserve"> </w:t>
      </w:r>
      <w:r w:rsidR="00713D51">
        <w:rPr>
          <w:rFonts w:asciiTheme="minorBidi" w:hAnsiTheme="minorBidi" w:cstheme="minorBidi"/>
          <w:sz w:val="22"/>
          <w:szCs w:val="22"/>
        </w:rPr>
        <w:t xml:space="preserve">The video content therefore did not have to be revised.  </w:t>
      </w:r>
    </w:p>
    <w:p w:rsidR="00713D51" w:rsidRDefault="00713D51" w:rsidP="00713D51">
      <w:pPr>
        <w:pStyle w:val="NormalSS"/>
        <w:ind w:firstLine="0"/>
        <w:jc w:val="left"/>
        <w:rPr>
          <w:rFonts w:asciiTheme="minorBidi" w:hAnsiTheme="minorBidi" w:cstheme="minorBidi"/>
          <w:sz w:val="22"/>
          <w:szCs w:val="22"/>
        </w:rPr>
      </w:pPr>
    </w:p>
    <w:p w:rsidR="00713D51" w:rsidRDefault="00713D51" w:rsidP="00713D51">
      <w:pPr>
        <w:pStyle w:val="NormalSS"/>
        <w:ind w:firstLine="0"/>
        <w:jc w:val="left"/>
        <w:rPr>
          <w:rFonts w:asciiTheme="minorBidi" w:hAnsiTheme="minorBidi" w:cstheme="minorBidi"/>
          <w:sz w:val="22"/>
          <w:szCs w:val="22"/>
        </w:rPr>
      </w:pPr>
      <w:r>
        <w:rPr>
          <w:rFonts w:asciiTheme="minorBidi" w:hAnsiTheme="minorBidi" w:cstheme="minorBidi"/>
          <w:sz w:val="22"/>
          <w:szCs w:val="22"/>
        </w:rPr>
        <w:t>However, we will train</w:t>
      </w:r>
      <w:r w:rsidR="003D12D4" w:rsidRPr="003D12D4">
        <w:rPr>
          <w:rFonts w:asciiTheme="minorBidi" w:hAnsiTheme="minorBidi" w:cstheme="minorBidi"/>
          <w:sz w:val="22"/>
          <w:szCs w:val="22"/>
        </w:rPr>
        <w:t xml:space="preserve"> </w:t>
      </w:r>
      <w:r>
        <w:rPr>
          <w:rFonts w:asciiTheme="minorBidi" w:hAnsiTheme="minorBidi" w:cstheme="minorBidi"/>
          <w:sz w:val="22"/>
          <w:szCs w:val="22"/>
        </w:rPr>
        <w:t xml:space="preserve">the </w:t>
      </w:r>
      <w:r w:rsidR="003D12D4" w:rsidRPr="003D12D4">
        <w:rPr>
          <w:rFonts w:asciiTheme="minorBidi" w:hAnsiTheme="minorBidi" w:cstheme="minorBidi"/>
          <w:sz w:val="22"/>
          <w:szCs w:val="22"/>
        </w:rPr>
        <w:t>field interviewers to pause the video, as needed,</w:t>
      </w:r>
      <w:r>
        <w:rPr>
          <w:rFonts w:asciiTheme="minorBidi" w:hAnsiTheme="minorBidi" w:cstheme="minorBidi"/>
          <w:sz w:val="22"/>
          <w:szCs w:val="22"/>
        </w:rPr>
        <w:t xml:space="preserve"> to ensure slower respondents, such as elderly individuals, </w:t>
      </w:r>
      <w:r w:rsidRPr="003D12D4">
        <w:rPr>
          <w:rFonts w:asciiTheme="minorBidi" w:hAnsiTheme="minorBidi" w:cstheme="minorBidi"/>
          <w:sz w:val="22"/>
          <w:szCs w:val="22"/>
        </w:rPr>
        <w:t>do not feel rushed as they follo</w:t>
      </w:r>
      <w:r>
        <w:rPr>
          <w:rFonts w:asciiTheme="minorBidi" w:hAnsiTheme="minorBidi" w:cstheme="minorBidi"/>
          <w:sz w:val="22"/>
          <w:szCs w:val="22"/>
        </w:rPr>
        <w:t xml:space="preserve">w along in their own food books, and that they fully comprehend the instruments. </w:t>
      </w:r>
      <w:r w:rsidRPr="003D12D4">
        <w:rPr>
          <w:rFonts w:asciiTheme="minorBidi" w:hAnsiTheme="minorBidi" w:cstheme="minorBidi"/>
          <w:sz w:val="22"/>
          <w:szCs w:val="22"/>
        </w:rPr>
        <w:t xml:space="preserve"> </w:t>
      </w:r>
      <w:r>
        <w:rPr>
          <w:rFonts w:asciiTheme="minorBidi" w:hAnsiTheme="minorBidi" w:cstheme="minorBidi"/>
          <w:sz w:val="22"/>
          <w:szCs w:val="22"/>
        </w:rPr>
        <w:t xml:space="preserve"> </w:t>
      </w:r>
      <w:r w:rsidRPr="003D12D4">
        <w:rPr>
          <w:rFonts w:asciiTheme="minorBidi" w:hAnsiTheme="minorBidi" w:cstheme="minorBidi"/>
          <w:sz w:val="22"/>
          <w:szCs w:val="22"/>
        </w:rPr>
        <w:br/>
      </w:r>
    </w:p>
    <w:p w:rsidR="003D12D4" w:rsidRPr="00C60AF1" w:rsidRDefault="003D12D4" w:rsidP="0052566E">
      <w:pPr>
        <w:pStyle w:val="NormalSS"/>
        <w:ind w:firstLine="0"/>
        <w:jc w:val="left"/>
        <w:rPr>
          <w:rFonts w:asciiTheme="minorBidi" w:hAnsiTheme="minorBidi" w:cstheme="minorBidi"/>
          <w:sz w:val="22"/>
          <w:szCs w:val="22"/>
        </w:rPr>
      </w:pPr>
      <w:r w:rsidRPr="003D12D4">
        <w:rPr>
          <w:rFonts w:asciiTheme="minorBidi" w:hAnsiTheme="minorBidi" w:cstheme="minorBidi"/>
          <w:sz w:val="22"/>
          <w:szCs w:val="22"/>
        </w:rPr>
        <w:t xml:space="preserve">We made minor revisions to </w:t>
      </w:r>
      <w:r w:rsidRPr="00C60AF1">
        <w:rPr>
          <w:rFonts w:asciiTheme="minorBidi" w:hAnsiTheme="minorBidi" w:cstheme="minorBidi"/>
          <w:sz w:val="22"/>
          <w:szCs w:val="22"/>
        </w:rPr>
        <w:t>the</w:t>
      </w:r>
      <w:r w:rsidRPr="003D12D4">
        <w:rPr>
          <w:rFonts w:asciiTheme="minorBidi" w:hAnsiTheme="minorBidi" w:cstheme="minorBidi"/>
          <w:sz w:val="22"/>
          <w:szCs w:val="22"/>
        </w:rPr>
        <w:t xml:space="preserve"> Initial Visit </w:t>
      </w:r>
      <w:r w:rsidRPr="00C60AF1">
        <w:rPr>
          <w:rFonts w:asciiTheme="minorBidi" w:hAnsiTheme="minorBidi" w:cstheme="minorBidi"/>
          <w:sz w:val="22"/>
          <w:szCs w:val="22"/>
        </w:rPr>
        <w:t xml:space="preserve">Script </w:t>
      </w:r>
      <w:r w:rsidR="00C60AF1" w:rsidRPr="00C60AF1">
        <w:rPr>
          <w:rFonts w:asciiTheme="minorBidi" w:hAnsiTheme="minorBidi" w:cstheme="minorBidi"/>
          <w:sz w:val="22"/>
          <w:szCs w:val="22"/>
        </w:rPr>
        <w:t>“(original script is Appendix</w:t>
      </w:r>
      <w:r w:rsidR="0052566E">
        <w:rPr>
          <w:rFonts w:asciiTheme="minorBidi" w:hAnsiTheme="minorBidi" w:cstheme="minorBidi"/>
          <w:sz w:val="22"/>
          <w:szCs w:val="22"/>
        </w:rPr>
        <w:t xml:space="preserve"> W</w:t>
      </w:r>
      <w:r w:rsidR="00C60AF1" w:rsidRPr="00C60AF1">
        <w:rPr>
          <w:rFonts w:asciiTheme="minorBidi" w:hAnsiTheme="minorBidi" w:cstheme="minorBidi"/>
          <w:sz w:val="22"/>
          <w:szCs w:val="22"/>
        </w:rPr>
        <w:t>; revised script is Appendix</w:t>
      </w:r>
      <w:r w:rsidR="0052566E">
        <w:rPr>
          <w:rFonts w:asciiTheme="minorBidi" w:hAnsiTheme="minorBidi" w:cstheme="minorBidi"/>
          <w:sz w:val="22"/>
          <w:szCs w:val="22"/>
        </w:rPr>
        <w:t xml:space="preserve"> X</w:t>
      </w:r>
      <w:r w:rsidR="00C60AF1" w:rsidRPr="00C60AF1">
        <w:rPr>
          <w:rFonts w:asciiTheme="minorBidi" w:hAnsiTheme="minorBidi" w:cstheme="minorBidi"/>
          <w:sz w:val="22"/>
          <w:szCs w:val="22"/>
        </w:rPr>
        <w:t xml:space="preserve">)” </w:t>
      </w:r>
      <w:r w:rsidRPr="00C60AF1">
        <w:rPr>
          <w:rFonts w:asciiTheme="minorBidi" w:hAnsiTheme="minorBidi" w:cstheme="minorBidi"/>
          <w:sz w:val="22"/>
          <w:szCs w:val="22"/>
        </w:rPr>
        <w:t>to introduce additional instruments for the practice sessions:</w:t>
      </w:r>
    </w:p>
    <w:p w:rsidR="003D12D4" w:rsidRPr="003D12D4" w:rsidRDefault="003D12D4" w:rsidP="007E71FE">
      <w:pPr>
        <w:pStyle w:val="NormalSS"/>
        <w:ind w:firstLine="0"/>
        <w:jc w:val="left"/>
        <w:rPr>
          <w:rFonts w:asciiTheme="minorBidi" w:hAnsiTheme="minorBidi" w:cstheme="minorBidi"/>
          <w:sz w:val="22"/>
          <w:szCs w:val="22"/>
        </w:rPr>
      </w:pPr>
    </w:p>
    <w:p w:rsidR="003D12D4" w:rsidRPr="003D12D4" w:rsidRDefault="003D12D4" w:rsidP="00713D51">
      <w:pPr>
        <w:pStyle w:val="NormalSS"/>
        <w:numPr>
          <w:ilvl w:val="0"/>
          <w:numId w:val="1"/>
        </w:numPr>
        <w:tabs>
          <w:tab w:val="clear" w:pos="432"/>
          <w:tab w:val="left" w:pos="-2340"/>
        </w:tabs>
        <w:ind w:left="360"/>
        <w:jc w:val="left"/>
        <w:rPr>
          <w:rFonts w:asciiTheme="minorBidi" w:hAnsiTheme="minorBidi" w:cstheme="minorBidi"/>
          <w:sz w:val="22"/>
          <w:szCs w:val="22"/>
        </w:rPr>
      </w:pPr>
      <w:r w:rsidRPr="003D12D4">
        <w:rPr>
          <w:rFonts w:asciiTheme="minorBidi" w:hAnsiTheme="minorBidi" w:cstheme="minorBidi"/>
          <w:sz w:val="22"/>
          <w:szCs w:val="22"/>
        </w:rPr>
        <w:t>New handout displaying a McDonald’s “meal for two” with receipt and images of purchased food items. This serves as an example for the practice Red page.</w:t>
      </w:r>
    </w:p>
    <w:p w:rsidR="003D12D4" w:rsidRPr="003D12D4" w:rsidRDefault="003D12D4" w:rsidP="00713D51">
      <w:pPr>
        <w:pStyle w:val="NormalSS"/>
        <w:numPr>
          <w:ilvl w:val="0"/>
          <w:numId w:val="1"/>
        </w:numPr>
        <w:tabs>
          <w:tab w:val="clear" w:pos="432"/>
          <w:tab w:val="left" w:pos="-2340"/>
        </w:tabs>
        <w:ind w:left="360"/>
        <w:jc w:val="left"/>
        <w:rPr>
          <w:rFonts w:asciiTheme="minorBidi" w:hAnsiTheme="minorBidi" w:cstheme="minorBidi"/>
          <w:sz w:val="22"/>
          <w:szCs w:val="22"/>
        </w:rPr>
      </w:pPr>
      <w:r w:rsidRPr="003D12D4">
        <w:rPr>
          <w:rFonts w:asciiTheme="minorBidi" w:hAnsiTheme="minorBidi" w:cstheme="minorBidi"/>
          <w:sz w:val="22"/>
          <w:szCs w:val="22"/>
        </w:rPr>
        <w:t>New handout with “model” Red page with receipt (front side) and model Red page without receipt (back side), corresponding to the McDonalds’s meal handout.</w:t>
      </w:r>
    </w:p>
    <w:p w:rsidR="003D12D4" w:rsidRPr="003D12D4" w:rsidRDefault="003D12D4" w:rsidP="00713D51">
      <w:pPr>
        <w:pStyle w:val="NormalSS"/>
        <w:numPr>
          <w:ilvl w:val="0"/>
          <w:numId w:val="1"/>
        </w:numPr>
        <w:tabs>
          <w:tab w:val="clear" w:pos="432"/>
          <w:tab w:val="left" w:pos="-2340"/>
        </w:tabs>
        <w:ind w:left="360"/>
        <w:jc w:val="left"/>
        <w:rPr>
          <w:rFonts w:asciiTheme="minorBidi" w:hAnsiTheme="minorBidi" w:cstheme="minorBidi"/>
          <w:sz w:val="22"/>
          <w:szCs w:val="22"/>
        </w:rPr>
      </w:pPr>
      <w:r w:rsidRPr="003D12D4">
        <w:rPr>
          <w:rFonts w:asciiTheme="minorBidi" w:hAnsiTheme="minorBidi" w:cstheme="minorBidi"/>
          <w:sz w:val="22"/>
          <w:szCs w:val="22"/>
        </w:rPr>
        <w:t>New handout with model Blue page corresponding to the practice grocery items and receipt.</w:t>
      </w:r>
    </w:p>
    <w:p w:rsidR="003D12D4" w:rsidRPr="003D12D4" w:rsidRDefault="003D12D4" w:rsidP="007E71FE">
      <w:pPr>
        <w:pStyle w:val="NormalSS"/>
        <w:ind w:left="720" w:firstLine="0"/>
        <w:jc w:val="left"/>
        <w:rPr>
          <w:rFonts w:asciiTheme="minorBidi" w:hAnsiTheme="minorBidi" w:cstheme="minorBidi"/>
          <w:sz w:val="22"/>
          <w:szCs w:val="22"/>
        </w:rPr>
      </w:pPr>
    </w:p>
    <w:p w:rsidR="003D12D4" w:rsidRPr="00713D51" w:rsidRDefault="003D12D4" w:rsidP="00C60AF1">
      <w:pPr>
        <w:pStyle w:val="NormalSS"/>
        <w:tabs>
          <w:tab w:val="clear" w:pos="432"/>
        </w:tabs>
        <w:ind w:firstLine="0"/>
        <w:jc w:val="left"/>
        <w:rPr>
          <w:rFonts w:asciiTheme="minorBidi" w:hAnsiTheme="minorBidi" w:cstheme="minorBidi"/>
          <w:sz w:val="22"/>
          <w:szCs w:val="22"/>
        </w:rPr>
      </w:pPr>
      <w:r w:rsidRPr="003D12D4">
        <w:rPr>
          <w:rFonts w:asciiTheme="minorBidi" w:hAnsiTheme="minorBidi" w:cstheme="minorBidi"/>
          <w:sz w:val="22"/>
          <w:szCs w:val="22"/>
        </w:rPr>
        <w:t xml:space="preserve">These additional instruments are provided as two pages printed doubled-sided and laminated (Appendix </w:t>
      </w:r>
      <w:r w:rsidR="00C60AF1">
        <w:rPr>
          <w:rFonts w:asciiTheme="minorBidi" w:hAnsiTheme="minorBidi" w:cstheme="minorBidi"/>
          <w:sz w:val="22"/>
          <w:szCs w:val="22"/>
        </w:rPr>
        <w:t>Y</w:t>
      </w:r>
      <w:r w:rsidRPr="003D12D4">
        <w:rPr>
          <w:rFonts w:asciiTheme="minorBidi" w:hAnsiTheme="minorBidi" w:cstheme="minorBidi"/>
          <w:sz w:val="22"/>
          <w:szCs w:val="22"/>
        </w:rPr>
        <w:t xml:space="preserve">). </w:t>
      </w:r>
      <w:r w:rsidR="00AD5996">
        <w:rPr>
          <w:rFonts w:asciiTheme="minorBidi" w:hAnsiTheme="minorBidi" w:cstheme="minorBidi"/>
          <w:sz w:val="22"/>
          <w:szCs w:val="22"/>
        </w:rPr>
        <w:t xml:space="preserve"> </w:t>
      </w:r>
      <w:r w:rsidRPr="003D12D4">
        <w:rPr>
          <w:rFonts w:asciiTheme="minorBidi" w:hAnsiTheme="minorBidi" w:cstheme="minorBidi"/>
          <w:sz w:val="22"/>
          <w:szCs w:val="22"/>
        </w:rPr>
        <w:t xml:space="preserve">The handouts provide a concrete example for Red page practice, plus “answer keys” for Red and Blue page practice. </w:t>
      </w:r>
      <w:r w:rsidR="00AD5996">
        <w:rPr>
          <w:rFonts w:asciiTheme="minorBidi" w:hAnsiTheme="minorBidi" w:cstheme="minorBidi"/>
          <w:sz w:val="22"/>
          <w:szCs w:val="22"/>
        </w:rPr>
        <w:t xml:space="preserve"> </w:t>
      </w:r>
      <w:r w:rsidRPr="003D12D4">
        <w:rPr>
          <w:rFonts w:asciiTheme="minorBidi" w:hAnsiTheme="minorBidi" w:cstheme="minorBidi"/>
          <w:sz w:val="22"/>
          <w:szCs w:val="22"/>
        </w:rPr>
        <w:t xml:space="preserve">All respondents will be asked to complete the Red page practice for the McDonald’s meal shown on the handout. </w:t>
      </w:r>
      <w:r w:rsidR="00AD5996">
        <w:rPr>
          <w:rFonts w:asciiTheme="minorBidi" w:hAnsiTheme="minorBidi" w:cstheme="minorBidi"/>
          <w:sz w:val="22"/>
          <w:szCs w:val="22"/>
        </w:rPr>
        <w:t xml:space="preserve"> </w:t>
      </w:r>
      <w:r w:rsidRPr="003D12D4">
        <w:rPr>
          <w:rFonts w:asciiTheme="minorBidi" w:hAnsiTheme="minorBidi" w:cstheme="minorBidi"/>
          <w:sz w:val="22"/>
          <w:szCs w:val="22"/>
        </w:rPr>
        <w:t xml:space="preserve">The McDonald’s meal provides a scenario that will be familiar to most respondents, and the “Angus Deluxe meal” is an example of a menu item for which all components are not listed on the receipt and must be recorded on the Red page. With this new instrument, all respondents complete the same practice scenarios for a Red and Blue page. </w:t>
      </w:r>
      <w:r w:rsidR="00AD5996">
        <w:rPr>
          <w:rFonts w:asciiTheme="minorBidi" w:hAnsiTheme="minorBidi" w:cstheme="minorBidi"/>
          <w:sz w:val="22"/>
          <w:szCs w:val="22"/>
        </w:rPr>
        <w:t xml:space="preserve"> </w:t>
      </w:r>
      <w:r w:rsidRPr="003D12D4">
        <w:rPr>
          <w:rFonts w:asciiTheme="minorBidi" w:hAnsiTheme="minorBidi" w:cstheme="minorBidi"/>
          <w:sz w:val="22"/>
          <w:szCs w:val="22"/>
        </w:rPr>
        <w:t xml:space="preserve">The model Red and Blue pages will be shown to respondents after they complete the practice pages so that they receive feedback on their practice and understand how we would like them to complete the pages. </w:t>
      </w:r>
      <w:r w:rsidR="00AD5996">
        <w:rPr>
          <w:rFonts w:asciiTheme="minorBidi" w:hAnsiTheme="minorBidi" w:cstheme="minorBidi"/>
          <w:sz w:val="22"/>
          <w:szCs w:val="22"/>
        </w:rPr>
        <w:t xml:space="preserve"> </w:t>
      </w:r>
      <w:r w:rsidRPr="003D12D4">
        <w:rPr>
          <w:rFonts w:asciiTheme="minorBidi" w:hAnsiTheme="minorBidi" w:cstheme="minorBidi"/>
          <w:sz w:val="22"/>
          <w:szCs w:val="22"/>
        </w:rPr>
        <w:t>These additional instruments provide consistent scenarios and feedback for all respondents.</w:t>
      </w:r>
    </w:p>
    <w:sectPr w:rsidR="003D12D4" w:rsidRPr="00713D51" w:rsidSect="006D123C">
      <w:headerReference w:type="default" r:id="rId7"/>
      <w:footerReference w:type="default" r:id="rId8"/>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D98" w:rsidRDefault="008F7D98" w:rsidP="00EE5219">
      <w:pPr>
        <w:spacing w:after="0" w:line="240" w:lineRule="auto"/>
      </w:pPr>
      <w:r>
        <w:separator/>
      </w:r>
    </w:p>
  </w:endnote>
  <w:endnote w:type="continuationSeparator" w:id="1">
    <w:p w:rsidR="008F7D98" w:rsidRDefault="008F7D98" w:rsidP="00EE5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23C" w:rsidRDefault="00640D33" w:rsidP="00EE5219">
    <w:pPr>
      <w:jc w:val="center"/>
      <w:rPr>
        <w:rFonts w:ascii="Arial" w:hAnsi="Arial" w:cs="Arial"/>
        <w:b/>
        <w:color w:val="365F91"/>
        <w:sz w:val="18"/>
        <w:szCs w:val="18"/>
      </w:rPr>
    </w:pPr>
    <w:r>
      <w:rPr>
        <w:noProof/>
      </w:rPr>
      <w:drawing>
        <wp:anchor distT="0" distB="0" distL="114300" distR="114300" simplePos="0" relativeHeight="251657728" behindDoc="1" locked="0" layoutInCell="1" allowOverlap="1">
          <wp:simplePos x="0" y="0"/>
          <wp:positionH relativeFrom="margin">
            <wp:posOffset>7538720</wp:posOffset>
          </wp:positionH>
          <wp:positionV relativeFrom="margin">
            <wp:posOffset>6818630</wp:posOffset>
          </wp:positionV>
          <wp:extent cx="3343275" cy="3300730"/>
          <wp:effectExtent l="19050" t="0" r="9525" b="0"/>
          <wp:wrapSquare wrapText="bothSides"/>
          <wp:docPr id="7" name="Picture 7" descr="ERS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RS_letterhead"/>
                  <pic:cNvPicPr>
                    <a:picLocks noChangeAspect="1" noChangeArrowheads="1"/>
                  </pic:cNvPicPr>
                </pic:nvPicPr>
                <pic:blipFill>
                  <a:blip r:embed="rId1"/>
                  <a:srcRect t="30235" b="29654"/>
                  <a:stretch>
                    <a:fillRect/>
                  </a:stretch>
                </pic:blipFill>
                <pic:spPr bwMode="auto">
                  <a:xfrm>
                    <a:off x="0" y="0"/>
                    <a:ext cx="3343275" cy="3300730"/>
                  </a:xfrm>
                  <a:prstGeom prst="rect">
                    <a:avLst/>
                  </a:prstGeom>
                  <a:noFill/>
                  <a:ln w="9525">
                    <a:noFill/>
                    <a:miter lim="800000"/>
                    <a:headEnd/>
                    <a:tailEnd/>
                  </a:ln>
                </pic:spPr>
              </pic:pic>
            </a:graphicData>
          </a:graphic>
        </wp:anchor>
      </w:drawing>
    </w:r>
  </w:p>
  <w:p w:rsidR="00EE5219" w:rsidRPr="00EE5219" w:rsidRDefault="00EE5219" w:rsidP="00EE5219">
    <w:pPr>
      <w:jc w:val="center"/>
      <w:rPr>
        <w:rFonts w:ascii="Arial" w:hAnsi="Arial" w:cs="Arial"/>
        <w:b/>
        <w:color w:val="365F91"/>
        <w:sz w:val="18"/>
        <w:szCs w:val="18"/>
      </w:rPr>
    </w:pPr>
    <w:r w:rsidRPr="00EE5219">
      <w:rPr>
        <w:rFonts w:ascii="Arial" w:hAnsi="Arial" w:cs="Arial"/>
        <w:b/>
        <w:color w:val="365F91"/>
        <w:sz w:val="18"/>
        <w:szCs w:val="18"/>
      </w:rPr>
      <w:t>Economic Research Service</w:t>
    </w:r>
    <w:r w:rsidRPr="00EE5219">
      <w:rPr>
        <w:rFonts w:ascii="Arial" w:hAnsi="Arial" w:cs="Arial"/>
        <w:b/>
        <w:color w:val="365F91"/>
        <w:sz w:val="18"/>
        <w:szCs w:val="18"/>
      </w:rPr>
      <w:br/>
    </w:r>
    <w:r w:rsidRPr="00EE5219">
      <w:rPr>
        <w:rFonts w:ascii="Arial" w:hAnsi="Arial" w:cs="Arial"/>
        <w:color w:val="365F91"/>
        <w:sz w:val="18"/>
        <w:szCs w:val="18"/>
      </w:rPr>
      <w:t>355 E Street SW, Washington, DC 20024-3221</w:t>
    </w:r>
    <w:r w:rsidRPr="00EE5219">
      <w:rPr>
        <w:rFonts w:ascii="Arial" w:hAnsi="Arial" w:cs="Arial"/>
        <w:color w:val="365F91"/>
        <w:sz w:val="18"/>
        <w:szCs w:val="18"/>
      </w:rPr>
      <w:br/>
      <w:t>www.ers.usda.gov</w:t>
    </w:r>
  </w:p>
  <w:p w:rsidR="00EE5219" w:rsidRDefault="00EE5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D98" w:rsidRDefault="008F7D98" w:rsidP="00EE5219">
      <w:pPr>
        <w:spacing w:after="0" w:line="240" w:lineRule="auto"/>
      </w:pPr>
      <w:r>
        <w:separator/>
      </w:r>
    </w:p>
  </w:footnote>
  <w:footnote w:type="continuationSeparator" w:id="1">
    <w:p w:rsidR="008F7D98" w:rsidRDefault="008F7D98" w:rsidP="00EE52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19" w:rsidRDefault="00640D33" w:rsidP="00EE5219">
    <w:pPr>
      <w:pStyle w:val="Header"/>
      <w:jc w:val="center"/>
      <w:rPr>
        <w:noProof/>
      </w:rPr>
    </w:pPr>
    <w:r>
      <w:rPr>
        <w:noProof/>
      </w:rPr>
      <w:drawing>
        <wp:inline distT="0" distB="0" distL="0" distR="0">
          <wp:extent cx="2080260" cy="834390"/>
          <wp:effectExtent l="19050" t="0" r="0" b="0"/>
          <wp:docPr id="1" name="Picture 1" descr="ERS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S_letterhead"/>
                  <pic:cNvPicPr>
                    <a:picLocks noChangeAspect="1" noChangeArrowheads="1"/>
                  </pic:cNvPicPr>
                </pic:nvPicPr>
                <pic:blipFill>
                  <a:blip r:embed="rId1"/>
                  <a:srcRect l="13960" r="23932" b="89815"/>
                  <a:stretch>
                    <a:fillRect/>
                  </a:stretch>
                </pic:blipFill>
                <pic:spPr bwMode="auto">
                  <a:xfrm>
                    <a:off x="0" y="0"/>
                    <a:ext cx="2080260" cy="834390"/>
                  </a:xfrm>
                  <a:prstGeom prst="rect">
                    <a:avLst/>
                  </a:prstGeom>
                  <a:noFill/>
                  <a:ln w="9525">
                    <a:noFill/>
                    <a:miter lim="800000"/>
                    <a:headEnd/>
                    <a:tailEnd/>
                  </a:ln>
                </pic:spPr>
              </pic:pic>
            </a:graphicData>
          </a:graphic>
        </wp:inline>
      </w:drawing>
    </w:r>
  </w:p>
  <w:p w:rsidR="006D123C" w:rsidRDefault="006D123C" w:rsidP="00EE521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75A0B"/>
    <w:multiLevelType w:val="hybridMultilevel"/>
    <w:tmpl w:val="314C9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7"/>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EE5219"/>
    <w:rsid w:val="00017BDA"/>
    <w:rsid w:val="000C15B9"/>
    <w:rsid w:val="0011724B"/>
    <w:rsid w:val="0023555F"/>
    <w:rsid w:val="0027567D"/>
    <w:rsid w:val="002866BE"/>
    <w:rsid w:val="002D7848"/>
    <w:rsid w:val="003D12D4"/>
    <w:rsid w:val="003F497F"/>
    <w:rsid w:val="004105D4"/>
    <w:rsid w:val="00460A7B"/>
    <w:rsid w:val="005200CA"/>
    <w:rsid w:val="0052566E"/>
    <w:rsid w:val="005A6C0A"/>
    <w:rsid w:val="005E0A0A"/>
    <w:rsid w:val="00640D33"/>
    <w:rsid w:val="006D123C"/>
    <w:rsid w:val="006E3B3E"/>
    <w:rsid w:val="00701DEE"/>
    <w:rsid w:val="00713D51"/>
    <w:rsid w:val="007E71FE"/>
    <w:rsid w:val="00857626"/>
    <w:rsid w:val="00864346"/>
    <w:rsid w:val="008927F1"/>
    <w:rsid w:val="008F7D98"/>
    <w:rsid w:val="00902184"/>
    <w:rsid w:val="00926BCF"/>
    <w:rsid w:val="00A900BF"/>
    <w:rsid w:val="00AD5996"/>
    <w:rsid w:val="00AF1B39"/>
    <w:rsid w:val="00BD6867"/>
    <w:rsid w:val="00C60AF1"/>
    <w:rsid w:val="00D762CD"/>
    <w:rsid w:val="00D76A6E"/>
    <w:rsid w:val="00D95BEE"/>
    <w:rsid w:val="00EE5219"/>
    <w:rsid w:val="00F62D1B"/>
    <w:rsid w:val="00FC72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84"/>
    <w:pPr>
      <w:spacing w:after="200" w:line="276" w:lineRule="auto"/>
    </w:pPr>
    <w:rPr>
      <w:sz w:val="22"/>
      <w:szCs w:val="22"/>
    </w:rPr>
  </w:style>
  <w:style w:type="paragraph" w:styleId="Heading3">
    <w:name w:val="heading 3"/>
    <w:basedOn w:val="Normal"/>
    <w:next w:val="Normal"/>
    <w:link w:val="Heading3Char"/>
    <w:qFormat/>
    <w:rsid w:val="003D12D4"/>
    <w:pPr>
      <w:keepNext/>
      <w:tabs>
        <w:tab w:val="left" w:pos="432"/>
      </w:tabs>
      <w:spacing w:after="240" w:line="240" w:lineRule="auto"/>
      <w:ind w:left="432" w:hanging="432"/>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52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219"/>
  </w:style>
  <w:style w:type="paragraph" w:styleId="Footer">
    <w:name w:val="footer"/>
    <w:basedOn w:val="Normal"/>
    <w:link w:val="FooterChar"/>
    <w:uiPriority w:val="99"/>
    <w:semiHidden/>
    <w:unhideWhenUsed/>
    <w:rsid w:val="00EE52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5219"/>
  </w:style>
  <w:style w:type="paragraph" w:styleId="BalloonText">
    <w:name w:val="Balloon Text"/>
    <w:basedOn w:val="Normal"/>
    <w:link w:val="BalloonTextChar"/>
    <w:uiPriority w:val="99"/>
    <w:semiHidden/>
    <w:unhideWhenUsed/>
    <w:rsid w:val="00EE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219"/>
    <w:rPr>
      <w:rFonts w:ascii="Tahoma" w:hAnsi="Tahoma" w:cs="Tahoma"/>
      <w:sz w:val="16"/>
      <w:szCs w:val="16"/>
    </w:rPr>
  </w:style>
  <w:style w:type="character" w:customStyle="1" w:styleId="Heading3Char">
    <w:name w:val="Heading 3 Char"/>
    <w:basedOn w:val="DefaultParagraphFont"/>
    <w:link w:val="Heading3"/>
    <w:rsid w:val="003D12D4"/>
    <w:rPr>
      <w:rFonts w:ascii="Times New Roman" w:eastAsia="Times New Roman" w:hAnsi="Times New Roman"/>
      <w:b/>
      <w:sz w:val="24"/>
      <w:szCs w:val="24"/>
    </w:rPr>
  </w:style>
  <w:style w:type="paragraph" w:customStyle="1" w:styleId="NormalSS">
    <w:name w:val="NormalSS"/>
    <w:basedOn w:val="Normal"/>
    <w:qFormat/>
    <w:rsid w:val="003D12D4"/>
    <w:pPr>
      <w:tabs>
        <w:tab w:val="left" w:pos="432"/>
      </w:tabs>
      <w:spacing w:after="0" w:line="240" w:lineRule="auto"/>
      <w:ind w:firstLine="432"/>
      <w:jc w:val="both"/>
    </w:pPr>
    <w:rPr>
      <w:rFonts w:ascii="Times New Roman" w:eastAsia="Times New Roman" w:hAnsi="Times New Roman"/>
      <w:sz w:val="24"/>
      <w:szCs w:val="24"/>
    </w:rPr>
  </w:style>
  <w:style w:type="character" w:styleId="Hyperlink">
    <w:name w:val="Hyperlink"/>
    <w:basedOn w:val="DefaultParagraphFont"/>
    <w:uiPriority w:val="99"/>
    <w:semiHidden/>
    <w:unhideWhenUsed/>
    <w:rsid w:val="003D12D4"/>
    <w:rPr>
      <w:color w:val="0000FF"/>
      <w:u w:val="single"/>
    </w:rPr>
  </w:style>
</w:styles>
</file>

<file path=word/webSettings.xml><?xml version="1.0" encoding="utf-8"?>
<w:webSettings xmlns:r="http://schemas.openxmlformats.org/officeDocument/2006/relationships" xmlns:w="http://schemas.openxmlformats.org/wordprocessingml/2006/main">
  <w:divs>
    <w:div w:id="83584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2011-06-27T20:05:00Z</cp:lastPrinted>
  <dcterms:created xsi:type="dcterms:W3CDTF">2012-04-20T16:27:00Z</dcterms:created>
  <dcterms:modified xsi:type="dcterms:W3CDTF">2012-04-20T16:27:00Z</dcterms:modified>
</cp:coreProperties>
</file>