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55" w:rsidRDefault="00762D0D">
      <w:pPr>
        <w:spacing w:after="0" w:line="240" w:lineRule="auto"/>
        <w:jc w:val="center"/>
        <w:rPr>
          <w:b/>
          <w:sz w:val="24"/>
          <w:szCs w:val="24"/>
        </w:rPr>
      </w:pPr>
      <w:r>
        <w:rPr>
          <w:b/>
          <w:sz w:val="24"/>
          <w:szCs w:val="24"/>
        </w:rPr>
        <w:t xml:space="preserve">Supporting Statement </w:t>
      </w:r>
      <w:r w:rsidR="00917955">
        <w:rPr>
          <w:b/>
          <w:sz w:val="24"/>
          <w:szCs w:val="24"/>
        </w:rPr>
        <w:t>A</w:t>
      </w:r>
    </w:p>
    <w:p w:rsidR="00762D0D" w:rsidRDefault="00762D0D">
      <w:pPr>
        <w:spacing w:after="0" w:line="240" w:lineRule="auto"/>
        <w:jc w:val="center"/>
        <w:rPr>
          <w:b/>
          <w:sz w:val="24"/>
          <w:szCs w:val="24"/>
        </w:rPr>
      </w:pPr>
      <w:proofErr w:type="gramStart"/>
      <w:r>
        <w:rPr>
          <w:b/>
          <w:sz w:val="24"/>
          <w:szCs w:val="24"/>
        </w:rPr>
        <w:t>for</w:t>
      </w:r>
      <w:proofErr w:type="gramEnd"/>
      <w:r>
        <w:rPr>
          <w:b/>
          <w:sz w:val="24"/>
          <w:szCs w:val="24"/>
        </w:rPr>
        <w:t xml:space="preserve">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1"/>
        </w:numPr>
        <w:spacing w:after="0" w:line="240" w:lineRule="auto"/>
        <w:ind w:left="0"/>
        <w:rPr>
          <w:b/>
        </w:rPr>
      </w:pPr>
      <w:r>
        <w:rPr>
          <w:b/>
        </w:rPr>
        <w:t>JUSTIFICATION</w:t>
      </w:r>
    </w:p>
    <w:p w:rsidR="00762D0D" w:rsidRDefault="00762D0D">
      <w:pPr>
        <w:pStyle w:val="ListParagraph"/>
        <w:spacing w:after="0" w:line="240" w:lineRule="auto"/>
        <w:ind w:left="0"/>
        <w:rPr>
          <w:b/>
        </w:rPr>
      </w:pPr>
    </w:p>
    <w:p w:rsidR="00762D0D" w:rsidRDefault="00762D0D">
      <w:pPr>
        <w:pStyle w:val="ListParagraph"/>
        <w:numPr>
          <w:ilvl w:val="0"/>
          <w:numId w:val="2"/>
        </w:numPr>
        <w:spacing w:after="0" w:line="240" w:lineRule="auto"/>
        <w:ind w:left="0"/>
        <w:rPr>
          <w:b/>
        </w:rPr>
      </w:pPr>
      <w:r>
        <w:rPr>
          <w:b/>
        </w:rPr>
        <w:t>Circumstances Making the Collection of Information Necessary</w:t>
      </w:r>
    </w:p>
    <w:p w:rsidR="00762D0D" w:rsidRDefault="00762D0D">
      <w:pPr>
        <w:pStyle w:val="ListParagraph"/>
        <w:spacing w:after="0" w:line="240" w:lineRule="auto"/>
        <w:ind w:left="0"/>
        <w:rPr>
          <w:b/>
        </w:rPr>
      </w:pPr>
    </w:p>
    <w:p w:rsidR="00B130DF" w:rsidRPr="00507324" w:rsidRDefault="00762D0D" w:rsidP="00B130DF">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t>
      </w:r>
      <w:r w:rsidRPr="00507324">
        <w:t>work continuously to ensure that our programs are effective and meet our customers’ needs,</w:t>
      </w:r>
      <w:r w:rsidR="00B130DF" w:rsidRPr="00507324">
        <w:t xml:space="preserve"> CDC’s National </w:t>
      </w:r>
      <w:r w:rsidR="0018198F" w:rsidRPr="00507324">
        <w:t xml:space="preserve">Institute for Occupational Safety and Health, Health Hazard Evaluation Program </w:t>
      </w:r>
      <w:r w:rsidRPr="00507324">
        <w:t>(hereafter “</w:t>
      </w:r>
      <w:r w:rsidR="00B130DF" w:rsidRPr="00507324">
        <w:t>N</w:t>
      </w:r>
      <w:r w:rsidR="0018198F" w:rsidRPr="00507324">
        <w:t>IOSH HHE</w:t>
      </w:r>
      <w:r w:rsidRPr="00507324">
        <w:t>”)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30522E" w:rsidRPr="00507324" w:rsidRDefault="0030522E" w:rsidP="00B130DF">
      <w:pPr>
        <w:spacing w:after="0" w:line="240" w:lineRule="auto"/>
        <w:rPr>
          <w:rFonts w:asciiTheme="minorHAnsi" w:hAnsiTheme="minorHAnsi" w:cstheme="minorHAnsi"/>
          <w:color w:val="000000"/>
        </w:rPr>
      </w:pPr>
    </w:p>
    <w:p w:rsidR="00B130DF" w:rsidRPr="00507324" w:rsidRDefault="0018198F" w:rsidP="00B130DF">
      <w:pPr>
        <w:spacing w:after="0" w:line="240" w:lineRule="auto"/>
      </w:pPr>
      <w:r w:rsidRPr="00507324">
        <w:rPr>
          <w:rFonts w:asciiTheme="minorHAnsi" w:hAnsiTheme="minorHAnsi" w:cstheme="minorHAnsi"/>
          <w:color w:val="000000"/>
        </w:rPr>
        <w:t xml:space="preserve">The mission of NIOSH is to generate new knowledge in the field of occupational safety and health and to transfer that knowledge into practice for the betterment of workers. </w:t>
      </w:r>
      <w:r w:rsidR="00B130DF" w:rsidRPr="00507324">
        <w:rPr>
          <w:rFonts w:asciiTheme="minorHAnsi" w:hAnsiTheme="minorHAnsi" w:cstheme="minorHAnsi"/>
          <w:color w:val="000000"/>
        </w:rPr>
        <w:t xml:space="preserve"> To support this mission, </w:t>
      </w:r>
      <w:r w:rsidRPr="00507324">
        <w:rPr>
          <w:rFonts w:asciiTheme="minorHAnsi" w:hAnsiTheme="minorHAnsi" w:cstheme="minorHAnsi"/>
          <w:color w:val="000000"/>
        </w:rPr>
        <w:t xml:space="preserve">the NIOSH HHE Program </w:t>
      </w:r>
      <w:r w:rsidR="00B130DF" w:rsidRPr="00507324">
        <w:rPr>
          <w:rFonts w:asciiTheme="minorHAnsi" w:hAnsiTheme="minorHAnsi" w:cstheme="minorHAnsi"/>
          <w:color w:val="000000"/>
        </w:rPr>
        <w:t xml:space="preserve">is focused on obtaining qualitative feedback related </w:t>
      </w:r>
      <w:proofErr w:type="gramStart"/>
      <w:r w:rsidR="00B130DF" w:rsidRPr="00507324">
        <w:rPr>
          <w:rFonts w:asciiTheme="minorHAnsi" w:hAnsiTheme="minorHAnsi" w:cstheme="minorHAnsi"/>
          <w:color w:val="000000"/>
        </w:rPr>
        <w:t xml:space="preserve">to </w:t>
      </w:r>
      <w:r w:rsidRPr="00507324">
        <w:rPr>
          <w:rFonts w:asciiTheme="minorHAnsi" w:hAnsiTheme="minorHAnsi" w:cstheme="minorHAnsi"/>
          <w:color w:val="000000"/>
        </w:rPr>
        <w:t xml:space="preserve"> identifying</w:t>
      </w:r>
      <w:proofErr w:type="gramEnd"/>
      <w:r w:rsidRPr="00507324">
        <w:rPr>
          <w:rFonts w:asciiTheme="minorHAnsi" w:hAnsiTheme="minorHAnsi" w:cstheme="minorHAnsi"/>
          <w:color w:val="000000"/>
        </w:rPr>
        <w:t xml:space="preserve"> workplace health hazards and preventing occupational illnesses. </w:t>
      </w:r>
    </w:p>
    <w:p w:rsidR="00762D0D" w:rsidRPr="00507324" w:rsidRDefault="00762D0D">
      <w:pPr>
        <w:spacing w:after="0" w:line="240" w:lineRule="auto"/>
        <w:rPr>
          <w:b/>
        </w:rPr>
      </w:pPr>
    </w:p>
    <w:p w:rsidR="00762D0D" w:rsidRDefault="00762D0D">
      <w:pPr>
        <w:spacing w:after="0" w:line="240" w:lineRule="auto"/>
      </w:pPr>
      <w:r w:rsidRPr="00507324">
        <w:t xml:space="preserve">This collection of information is necessary to enable </w:t>
      </w:r>
      <w:r w:rsidR="0018198F" w:rsidRPr="00507324">
        <w:t>the NIOSH HHE Program</w:t>
      </w:r>
      <w:r w:rsidRPr="00507324">
        <w:t xml:space="preserv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w:t>
      </w:r>
      <w:r>
        <w:t xml:space="preserve">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w:t>
      </w:r>
      <w:r w:rsidR="0030522E">
        <w:t>-</w:t>
      </w:r>
      <w:r>
        <w:t xml:space="preserve">going, collaborative and actionable communications between the Agency and its customers and stakeholders.  It will also allow feedback to contribute directly to the improvement of program management. </w:t>
      </w:r>
    </w:p>
    <w:p w:rsidR="00762D0D" w:rsidRDefault="00762D0D">
      <w:pPr>
        <w:spacing w:after="0" w:line="240" w:lineRule="auto"/>
      </w:pPr>
      <w:r>
        <w:t xml:space="preserve"> </w:t>
      </w: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Purpose and Use of the Information Collection</w:t>
      </w:r>
    </w:p>
    <w:p w:rsidR="00762D0D" w:rsidRDefault="00762D0D">
      <w:pPr>
        <w:spacing w:after="0" w:line="240" w:lineRule="auto"/>
        <w:rPr>
          <w:highlight w:val="yellow"/>
        </w:rPr>
      </w:pPr>
    </w:p>
    <w:p w:rsidR="00762D0D" w:rsidRDefault="00762D0D">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w:t>
      </w:r>
      <w:r w:rsidR="0030522E">
        <w:t>consumer knowledge, attitudes and comprehension of N</w:t>
      </w:r>
      <w:r w:rsidR="00AB3A12">
        <w:t>IOSH HHE</w:t>
      </w:r>
      <w:bookmarkStart w:id="0" w:name="_GoBack"/>
      <w:bookmarkEnd w:id="0"/>
      <w:r w:rsidR="0030522E">
        <w:t xml:space="preserve"> topics, </w:t>
      </w:r>
      <w:r>
        <w:t>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rsidRDefault="00762D0D">
      <w:pPr>
        <w:spacing w:after="0" w:line="240" w:lineRule="auto"/>
      </w:pPr>
    </w:p>
    <w:p w:rsidR="00762D0D" w:rsidRDefault="00762D0D">
      <w:pPr>
        <w:spacing w:after="0" w:line="240" w:lineRule="auto"/>
      </w:pPr>
      <w:r>
        <w:lastRenderedPageBreak/>
        <w:t xml:space="preserve">The Agency will only submit a collection for approval under this generic clearance if it meets the following conditions:   </w:t>
      </w:r>
    </w:p>
    <w:p w:rsidR="00762D0D" w:rsidRDefault="00762D0D">
      <w:pPr>
        <w:spacing w:after="0" w:line="240" w:lineRule="auto"/>
      </w:pPr>
    </w:p>
    <w:p w:rsidR="00762D0D" w:rsidRDefault="00762D0D" w:rsidP="00377B51">
      <w:pPr>
        <w:pStyle w:val="ListParagraph"/>
        <w:numPr>
          <w:ilvl w:val="0"/>
          <w:numId w:val="13"/>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w:t>
      </w:r>
      <w:r w:rsidR="00EA3BEB">
        <w:t>l</w:t>
      </w:r>
      <w:r>
        <w:t xml:space="preserve"> be followed);</w:t>
      </w:r>
    </w:p>
    <w:p w:rsidR="00762D0D" w:rsidRDefault="00762D0D"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762D0D" w:rsidRDefault="00762D0D"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762D0D" w:rsidRDefault="00762D0D">
      <w:pPr>
        <w:pStyle w:val="ListParagraph"/>
        <w:numPr>
          <w:ilvl w:val="0"/>
          <w:numId w:val="9"/>
        </w:numPr>
        <w:spacing w:after="0" w:line="240" w:lineRule="auto"/>
      </w:pPr>
      <w:r>
        <w:t>The collections are voluntary;</w:t>
      </w:r>
    </w:p>
    <w:p w:rsidR="00762D0D" w:rsidRDefault="00762D0D">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62D0D" w:rsidRDefault="00762D0D">
      <w:pPr>
        <w:pStyle w:val="ListParagraph"/>
        <w:numPr>
          <w:ilvl w:val="0"/>
          <w:numId w:val="9"/>
        </w:numPr>
        <w:spacing w:after="0" w:line="240" w:lineRule="auto"/>
      </w:pPr>
      <w:r>
        <w:t xml:space="preserve">The collections are non-controversial and do not raise issues of  concern to other Federal agencies; </w:t>
      </w:r>
    </w:p>
    <w:p w:rsidR="00762D0D" w:rsidRDefault="00762D0D">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62D0D" w:rsidRDefault="00762D0D">
      <w:pPr>
        <w:pStyle w:val="ListParagraph"/>
        <w:numPr>
          <w:ilvl w:val="0"/>
          <w:numId w:val="9"/>
        </w:numPr>
        <w:spacing w:after="0" w:line="240" w:lineRule="auto"/>
      </w:pPr>
      <w:r>
        <w:t xml:space="preserve">With the exception of information needed to provide </w:t>
      </w:r>
      <w:r w:rsidR="00656723">
        <w:t>remuneration</w:t>
      </w:r>
      <w:r>
        <w:t xml:space="preserve"> for participants of focus groups and cognitive laboratory studies, personally identifiable information (PII) is collected only to the extent necessary and is not retained. </w:t>
      </w:r>
    </w:p>
    <w:p w:rsidR="00762D0D" w:rsidRDefault="00762D0D">
      <w:pPr>
        <w:pStyle w:val="ListParagraph"/>
        <w:spacing w:after="0" w:line="240" w:lineRule="auto"/>
        <w:ind w:left="360"/>
      </w:pPr>
    </w:p>
    <w:p w:rsidR="00762D0D" w:rsidRDefault="00762D0D">
      <w:pPr>
        <w:spacing w:after="0" w:line="240" w:lineRule="auto"/>
      </w:pPr>
      <w:r>
        <w:t xml:space="preserve">If these conditions are not met, the Agency will submit an information collection request to OMB for approval through the normal PRA process.  </w:t>
      </w:r>
    </w:p>
    <w:p w:rsidR="00762D0D" w:rsidRDefault="00762D0D">
      <w:pPr>
        <w:spacing w:after="0" w:line="240" w:lineRule="auto"/>
      </w:pPr>
    </w:p>
    <w:p w:rsidR="00762D0D" w:rsidRDefault="00762D0D">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rsidRDefault="00762D0D">
      <w:pPr>
        <w:spacing w:after="0" w:line="240" w:lineRule="auto"/>
      </w:pPr>
    </w:p>
    <w:p w:rsidR="00762D0D" w:rsidRDefault="00762D0D">
      <w:r>
        <w:t>The types of collections that this generic clearance covers include, but are not limited to:</w:t>
      </w:r>
    </w:p>
    <w:p w:rsidR="00762D0D" w:rsidRDefault="00762D0D">
      <w:pPr>
        <w:pStyle w:val="ListParagraph"/>
        <w:numPr>
          <w:ilvl w:val="0"/>
          <w:numId w:val="15"/>
        </w:numPr>
      </w:pPr>
      <w:r>
        <w:t>Customer comment cards/complaint forms</w:t>
      </w:r>
    </w:p>
    <w:p w:rsidR="0030522E" w:rsidRDefault="00762D0D" w:rsidP="00EA3BEB">
      <w:pPr>
        <w:pStyle w:val="ListParagraph"/>
        <w:numPr>
          <w:ilvl w:val="0"/>
          <w:numId w:val="15"/>
        </w:numPr>
      </w:pPr>
      <w:r>
        <w:t>Small discussion groups</w:t>
      </w:r>
      <w:r w:rsidR="0030522E">
        <w:t xml:space="preserve"> or one-on-one interviews</w:t>
      </w:r>
    </w:p>
    <w:p w:rsidR="00762D0D" w:rsidRDefault="00762D0D" w:rsidP="00256D0E">
      <w:pPr>
        <w:pStyle w:val="ListParagraph"/>
        <w:numPr>
          <w:ilvl w:val="0"/>
          <w:numId w:val="15"/>
        </w:numPr>
        <w:spacing w:after="0" w:line="240" w:lineRule="auto"/>
      </w:pPr>
      <w:r>
        <w:t xml:space="preserve"> Focus Groups of customers, potential customers, delivery partners, or other stakeholders</w:t>
      </w:r>
    </w:p>
    <w:p w:rsidR="00762D0D" w:rsidRDefault="00762D0D" w:rsidP="00256D0E">
      <w:pPr>
        <w:pStyle w:val="ListParagraph"/>
        <w:numPr>
          <w:ilvl w:val="0"/>
          <w:numId w:val="15"/>
        </w:numPr>
        <w:spacing w:after="0" w:line="240" w:lineRule="auto"/>
      </w:pPr>
      <w:r>
        <w:t>Cognitive laboratory studies, such as those used to refine questions or assess usability of a website;</w:t>
      </w:r>
    </w:p>
    <w:p w:rsidR="00762D0D" w:rsidRDefault="00762D0D">
      <w:pPr>
        <w:pStyle w:val="ListParagraph"/>
        <w:numPr>
          <w:ilvl w:val="0"/>
          <w:numId w:val="15"/>
        </w:numPr>
      </w:pPr>
      <w:r>
        <w:t>Qualitative customer satisfaction surveys (e.g., post-transaction surveys; opt-out web surveys</w:t>
      </w:r>
      <w:r w:rsidR="0030522E">
        <w:t>; telephone interviews; on-line survey’s</w:t>
      </w:r>
      <w:r>
        <w:t>)</w:t>
      </w:r>
    </w:p>
    <w:p w:rsidR="00762D0D" w:rsidRDefault="00762D0D" w:rsidP="00BF2E89">
      <w:pPr>
        <w:pStyle w:val="ListParagraph"/>
        <w:numPr>
          <w:ilvl w:val="0"/>
          <w:numId w:val="15"/>
        </w:numPr>
      </w:pPr>
      <w:r>
        <w:t>In-person observation testing (e.g., website or software usability tests)</w:t>
      </w:r>
    </w:p>
    <w:p w:rsidR="00762D0D" w:rsidRDefault="00762D0D">
      <w:pPr>
        <w:spacing w:after="0" w:line="240" w:lineRule="auto"/>
      </w:pPr>
    </w:p>
    <w:p w:rsidR="00762D0D" w:rsidRDefault="00762D0D">
      <w:pPr>
        <w:spacing w:after="0" w:line="240" w:lineRule="auto"/>
      </w:pPr>
      <w:r>
        <w:lastRenderedPageBreak/>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Consideration Given to Information Technology</w:t>
      </w:r>
    </w:p>
    <w:p w:rsidR="00762D0D" w:rsidRDefault="00762D0D">
      <w:pPr>
        <w:spacing w:after="0" w:line="240" w:lineRule="auto"/>
        <w:rPr>
          <w:highlight w:val="yellow"/>
        </w:rPr>
      </w:pPr>
    </w:p>
    <w:p w:rsidR="00762D0D" w:rsidRDefault="00762D0D">
      <w:pPr>
        <w:spacing w:after="0" w:line="240" w:lineRule="auto"/>
      </w:pPr>
      <w:r>
        <w:t>If appropriate, agencies will collect information electronically and/or use online collaboration tools to reduce burden.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Duplication of Information</w:t>
      </w:r>
    </w:p>
    <w:p w:rsidR="00762D0D" w:rsidRDefault="00762D0D">
      <w:pPr>
        <w:spacing w:after="0" w:line="240" w:lineRule="auto"/>
      </w:pPr>
    </w:p>
    <w:p w:rsidR="00762D0D" w:rsidRDefault="00762D0D">
      <w:pPr>
        <w:spacing w:after="0" w:line="240" w:lineRule="auto"/>
      </w:pPr>
      <w:r>
        <w:t xml:space="preserve">No similar data are gathered or maintained by the Agency or are available from other sources known to </w:t>
      </w:r>
      <w:r w:rsidRPr="002A35E6">
        <w:t>the Agency.</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Reducing the Burden on Small Entities</w:t>
      </w:r>
    </w:p>
    <w:p w:rsidR="00762D0D" w:rsidRDefault="00762D0D">
      <w:pPr>
        <w:pStyle w:val="ListParagraph"/>
        <w:spacing w:after="0" w:line="240" w:lineRule="auto"/>
        <w:ind w:left="0"/>
        <w:rPr>
          <w:b/>
        </w:rPr>
      </w:pPr>
    </w:p>
    <w:p w:rsidR="00762D0D" w:rsidRDefault="00762D0D">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Consequences of Not Conducting Collection </w:t>
      </w:r>
    </w:p>
    <w:p w:rsidR="00762D0D" w:rsidRDefault="00762D0D">
      <w:pPr>
        <w:pStyle w:val="ListParagraph"/>
        <w:spacing w:after="0" w:line="240" w:lineRule="auto"/>
        <w:ind w:left="0"/>
        <w:rPr>
          <w:b/>
        </w:rPr>
      </w:pPr>
    </w:p>
    <w:p w:rsidR="00762D0D" w:rsidRDefault="00762D0D">
      <w:pPr>
        <w:spacing w:after="0" w:line="240" w:lineRule="auto"/>
      </w:pPr>
      <w:r>
        <w:t>Without these types of feedback, the Agency will not have timely information to adjust its services to meet customer needs.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Special Circumstances</w:t>
      </w:r>
    </w:p>
    <w:p w:rsidR="00762D0D" w:rsidRDefault="00762D0D">
      <w:pPr>
        <w:pStyle w:val="ListParagraph"/>
        <w:spacing w:after="0" w:line="240" w:lineRule="auto"/>
        <w:ind w:left="0"/>
        <w:rPr>
          <w:b/>
        </w:rPr>
      </w:pPr>
    </w:p>
    <w:p w:rsidR="00762D0D" w:rsidRDefault="00762D0D">
      <w:pPr>
        <w:spacing w:after="0" w:line="240" w:lineRule="auto"/>
      </w:pPr>
      <w:r>
        <w:t>There are no special circumstances. The information collected will be voluntary and will not be used for statistical purposes.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Consultations with Persons Outside the Agency</w:t>
      </w:r>
    </w:p>
    <w:p w:rsidR="00762D0D" w:rsidRDefault="00762D0D">
      <w:pPr>
        <w:pStyle w:val="ListParagraph"/>
        <w:spacing w:after="0" w:line="240" w:lineRule="auto"/>
        <w:ind w:left="0"/>
        <w:rPr>
          <w:b/>
        </w:rPr>
      </w:pPr>
    </w:p>
    <w:p w:rsidR="00762D0D" w:rsidRDefault="00762D0D">
      <w:pPr>
        <w:spacing w:after="0" w:line="240" w:lineRule="auto"/>
      </w:pPr>
      <w:r>
        <w:t>In accordance with 5 CFR 1320.8(d</w:t>
      </w:r>
      <w:r w:rsidRPr="001E44AB">
        <w:t>),</w:t>
      </w:r>
      <w:r w:rsidR="00BA7402">
        <w:t xml:space="preserve"> </w:t>
      </w:r>
      <w:r w:rsidRPr="001E44AB">
        <w:t xml:space="preserve">a 60-day notice for public comment was published in the </w:t>
      </w:r>
      <w:r w:rsidRPr="001E44AB">
        <w:rPr>
          <w:i/>
        </w:rPr>
        <w:t>Federal Register</w:t>
      </w:r>
      <w:r w:rsidR="00BA7402">
        <w:rPr>
          <w:i/>
        </w:rPr>
        <w:t xml:space="preserve"> </w:t>
      </w:r>
      <w:r w:rsidR="00BA7402">
        <w:t>on December 22, 2010 (volume 75, number 245, pages 80542-80543)</w:t>
      </w:r>
      <w:r w:rsidRPr="001E44AB">
        <w:t xml:space="preserve">.  </w:t>
      </w:r>
      <w:r w:rsidR="00BA7402">
        <w:t>No substantive public comments were received in response to this notice.</w:t>
      </w:r>
    </w:p>
    <w:p w:rsidR="00BA7402" w:rsidRDefault="00BA7402">
      <w:pPr>
        <w:spacing w:after="0" w:line="240" w:lineRule="auto"/>
      </w:pPr>
    </w:p>
    <w:p w:rsidR="00762D0D" w:rsidRDefault="00762D0D" w:rsidP="00EA3BEB">
      <w:pPr>
        <w:pStyle w:val="ListParagraph"/>
        <w:numPr>
          <w:ilvl w:val="0"/>
          <w:numId w:val="2"/>
        </w:numPr>
        <w:spacing w:after="0" w:line="240" w:lineRule="auto"/>
        <w:ind w:left="0"/>
      </w:pPr>
      <w:r w:rsidRPr="00EA3BEB">
        <w:rPr>
          <w:b/>
        </w:rPr>
        <w:t>Payment or Gift</w:t>
      </w:r>
    </w:p>
    <w:p w:rsidR="00762D0D" w:rsidRDefault="00762D0D">
      <w:pPr>
        <w:spacing w:after="0" w:line="240" w:lineRule="auto"/>
      </w:pPr>
      <w:r w:rsidRPr="00AC2497">
        <w:t xml:space="preserve">The Agency </w:t>
      </w:r>
      <w:r>
        <w:t>will not provide payment or other forms of remuneration to respondents of its various forms of collecting feedback.  Focus groups</w:t>
      </w:r>
      <w:r w:rsidR="0030522E">
        <w:t xml:space="preserve">, interviews, </w:t>
      </w:r>
      <w:r w:rsidR="00777D3C">
        <w:t>discussion groups, on-line or phone surveys</w:t>
      </w:r>
      <w:r>
        <w:t xml:space="preserve"> and cognitive laboratory studies are the exceptions.</w:t>
      </w:r>
    </w:p>
    <w:p w:rsidR="00762D0D" w:rsidRDefault="00762D0D">
      <w:pPr>
        <w:spacing w:after="0" w:line="240" w:lineRule="auto"/>
      </w:pPr>
      <w:r>
        <w:t xml:space="preserve"> </w:t>
      </w:r>
    </w:p>
    <w:p w:rsidR="00762D0D" w:rsidRDefault="00762D0D">
      <w:pPr>
        <w:spacing w:after="0" w:line="240" w:lineRule="auto"/>
      </w:pPr>
      <w:r>
        <w:lastRenderedPageBreak/>
        <w:t xml:space="preserve">In the case of in-person cognitive laboratory and usability studies, the Agency may provide stipends of up to $40.   In the case of in-person focus groups, </w:t>
      </w:r>
      <w:r w:rsidR="00777D3C">
        <w:t xml:space="preserve">, interviews, discussion groups, on-line or phone surveys </w:t>
      </w:r>
      <w:r>
        <w:t>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 xml:space="preserve"> Confidentiality </w:t>
      </w:r>
    </w:p>
    <w:p w:rsidR="00762D0D" w:rsidRDefault="00762D0D">
      <w:pPr>
        <w:spacing w:after="0" w:line="240" w:lineRule="auto"/>
      </w:pPr>
    </w:p>
    <w:p w:rsidR="00762D0D" w:rsidRDefault="00762D0D">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Sensitive Nature</w:t>
      </w:r>
    </w:p>
    <w:p w:rsidR="00762D0D" w:rsidRDefault="00762D0D">
      <w:pPr>
        <w:pStyle w:val="ListParagraph"/>
        <w:spacing w:after="0" w:line="240" w:lineRule="auto"/>
        <w:ind w:left="0"/>
        <w:rPr>
          <w:b/>
        </w:rPr>
      </w:pPr>
    </w:p>
    <w:p w:rsidR="00762D0D" w:rsidRDefault="00762D0D">
      <w:pPr>
        <w:spacing w:after="0" w:line="240" w:lineRule="auto"/>
      </w:pPr>
      <w:r>
        <w:t>No questions will be asked that are of a personal or sensitive nature.</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Burden of Information Collection</w:t>
      </w:r>
    </w:p>
    <w:p w:rsidR="00762D0D" w:rsidRDefault="00762D0D">
      <w:pPr>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507324">
        <w:t>800</w:t>
      </w:r>
      <w:r>
        <w:t>) are based on the number of</w:t>
      </w:r>
      <w:r w:rsidR="004A5BCD">
        <w:t xml:space="preserve"> individual</w:t>
      </w:r>
      <w:r>
        <w:t xml:space="preserve"> collections expect</w:t>
      </w:r>
      <w:r w:rsidR="004A5BCD">
        <w:t>ed</w:t>
      </w:r>
      <w:r>
        <w:t xml:space="preserve"> to</w:t>
      </w:r>
      <w:r w:rsidR="004A5BCD">
        <w:t xml:space="preserve"> be </w:t>
      </w:r>
      <w:r>
        <w:t>conduct</w:t>
      </w:r>
      <w:r w:rsidR="004A5BCD">
        <w:t>ed</w:t>
      </w:r>
      <w:r>
        <w:t xml:space="preserve"> over the requested period for this clearance.  </w:t>
      </w:r>
    </w:p>
    <w:p w:rsidR="00762D0D" w:rsidRDefault="00762D0D">
      <w:pPr>
        <w:spacing w:after="0" w:line="240" w:lineRule="auto"/>
      </w:pPr>
    </w:p>
    <w:p w:rsidR="00762D0D" w:rsidRDefault="00762D0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62D0D" w:rsidRPr="007B75EE">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62D0D" w:rsidRPr="007B75EE" w:rsidRDefault="00762D0D">
            <w:pPr>
              <w:spacing w:after="0" w:line="240" w:lineRule="auto"/>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 xml:space="preserve">           Estimated Annual Reporting Burden</w:t>
            </w:r>
          </w:p>
        </w:tc>
      </w:tr>
      <w:tr w:rsidR="00762D0D" w:rsidRPr="007B75EE">
        <w:tc>
          <w:tcPr>
            <w:tcW w:w="288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7B75EE" w:rsidRDefault="00762D0D">
            <w:pPr>
              <w:spacing w:after="0" w:line="240" w:lineRule="auto"/>
              <w:rPr>
                <w:sz w:val="20"/>
              </w:rPr>
            </w:pPr>
          </w:p>
          <w:p w:rsidR="00762D0D" w:rsidRPr="007B75EE" w:rsidRDefault="00762D0D">
            <w:pPr>
              <w:tabs>
                <w:tab w:val="left" w:pos="-1080"/>
                <w:tab w:val="left" w:pos="-720"/>
                <w:tab w:val="left" w:pos="0"/>
                <w:tab w:val="left" w:pos="450"/>
                <w:tab w:val="left" w:pos="720"/>
                <w:tab w:val="left" w:pos="2160"/>
              </w:tabs>
              <w:spacing w:after="0" w:line="240" w:lineRule="auto"/>
              <w:jc w:val="center"/>
              <w:rPr>
                <w:sz w:val="20"/>
              </w:rPr>
            </w:pPr>
            <w:r w:rsidRPr="007B75EE">
              <w:rPr>
                <w:sz w:val="20"/>
              </w:rPr>
              <w:t>Total Hours</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4861E8" w:rsidRDefault="00EA3BEB">
            <w:pPr>
              <w:tabs>
                <w:tab w:val="left" w:pos="-1080"/>
                <w:tab w:val="left" w:pos="-720"/>
                <w:tab w:val="left" w:pos="0"/>
                <w:tab w:val="left" w:pos="450"/>
                <w:tab w:val="left" w:pos="720"/>
                <w:tab w:val="left" w:pos="2160"/>
              </w:tabs>
              <w:spacing w:after="0" w:line="240" w:lineRule="auto"/>
              <w:rPr>
                <w:sz w:val="20"/>
              </w:rPr>
            </w:pPr>
            <w:r w:rsidRPr="004861E8">
              <w:rPr>
                <w:sz w:val="20"/>
              </w:rPr>
              <w:t>Online surveys</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7739BB">
            <w:pPr>
              <w:tabs>
                <w:tab w:val="left" w:pos="-1080"/>
                <w:tab w:val="left" w:pos="-720"/>
                <w:tab w:val="left" w:pos="0"/>
                <w:tab w:val="left" w:pos="450"/>
                <w:tab w:val="left" w:pos="720"/>
                <w:tab w:val="left" w:pos="2160"/>
              </w:tabs>
              <w:spacing w:after="0" w:line="240" w:lineRule="auto"/>
              <w:rPr>
                <w:sz w:val="20"/>
              </w:rPr>
            </w:pPr>
            <w:r>
              <w:rPr>
                <w:sz w:val="20"/>
              </w:rPr>
              <w:t>400</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D84B3E" w:rsidP="004861E8">
            <w:pPr>
              <w:tabs>
                <w:tab w:val="left" w:pos="-1080"/>
                <w:tab w:val="left" w:pos="-720"/>
                <w:tab w:val="left" w:pos="0"/>
                <w:tab w:val="left" w:pos="450"/>
                <w:tab w:val="left" w:pos="720"/>
                <w:tab w:val="left" w:pos="2160"/>
              </w:tabs>
              <w:spacing w:after="0" w:line="240" w:lineRule="auto"/>
              <w:jc w:val="center"/>
              <w:rPr>
                <w:sz w:val="20"/>
              </w:rPr>
            </w:pPr>
            <w:r w:rsidRPr="004861E8">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861E8" w:rsidRDefault="00291E0E" w:rsidP="004861E8">
            <w:pPr>
              <w:tabs>
                <w:tab w:val="left" w:pos="-1080"/>
                <w:tab w:val="left" w:pos="-720"/>
                <w:tab w:val="left" w:pos="0"/>
                <w:tab w:val="left" w:pos="450"/>
                <w:tab w:val="left" w:pos="720"/>
                <w:tab w:val="left" w:pos="2160"/>
              </w:tabs>
              <w:spacing w:after="0" w:line="240" w:lineRule="auto"/>
              <w:jc w:val="center"/>
              <w:rPr>
                <w:sz w:val="20"/>
              </w:rPr>
            </w:pPr>
            <w:r w:rsidRPr="004861E8">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861E8" w:rsidRDefault="007739BB" w:rsidP="00C123F2">
            <w:pPr>
              <w:tabs>
                <w:tab w:val="left" w:pos="-1080"/>
                <w:tab w:val="left" w:pos="-720"/>
                <w:tab w:val="left" w:pos="0"/>
                <w:tab w:val="left" w:pos="450"/>
                <w:tab w:val="left" w:pos="720"/>
                <w:tab w:val="left" w:pos="2160"/>
              </w:tabs>
              <w:spacing w:after="0" w:line="240" w:lineRule="auto"/>
              <w:jc w:val="center"/>
              <w:rPr>
                <w:sz w:val="20"/>
              </w:rPr>
            </w:pPr>
            <w:r>
              <w:rPr>
                <w:sz w:val="20"/>
              </w:rPr>
              <w:t>200</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4861E8" w:rsidRDefault="0018198F" w:rsidP="0018198F">
            <w:pPr>
              <w:spacing w:after="0" w:line="240" w:lineRule="auto"/>
              <w:rPr>
                <w:sz w:val="20"/>
              </w:rPr>
            </w:pPr>
            <w:r>
              <w:rPr>
                <w:sz w:val="20"/>
              </w:rPr>
              <w:t>Phone or in person s</w:t>
            </w:r>
            <w:r w:rsidR="00EA3BEB" w:rsidRPr="004861E8">
              <w:rPr>
                <w:sz w:val="20"/>
              </w:rPr>
              <w:t>urveys</w:t>
            </w:r>
            <w:r>
              <w:rPr>
                <w:sz w:val="20"/>
              </w:rPr>
              <w:t>/interviews</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7739BB">
            <w:pPr>
              <w:spacing w:after="0" w:line="240" w:lineRule="auto"/>
              <w:rPr>
                <w:sz w:val="20"/>
              </w:rPr>
            </w:pPr>
            <w:r>
              <w:rPr>
                <w:sz w:val="20"/>
              </w:rPr>
              <w:t>400</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D84B3E" w:rsidP="004861E8">
            <w:pPr>
              <w:spacing w:after="0" w:line="240" w:lineRule="auto"/>
              <w:jc w:val="center"/>
              <w:rPr>
                <w:sz w:val="20"/>
              </w:rPr>
            </w:pPr>
            <w:r w:rsidRPr="004861E8">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861E8" w:rsidRDefault="00C123F2" w:rsidP="004861E8">
            <w:pPr>
              <w:spacing w:after="0" w:line="240" w:lineRule="auto"/>
              <w:jc w:val="center"/>
              <w:rPr>
                <w:sz w:val="20"/>
              </w:rPr>
            </w:pPr>
            <w:r w:rsidRPr="004861E8">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861E8" w:rsidRDefault="007739BB" w:rsidP="00C123F2">
            <w:pPr>
              <w:tabs>
                <w:tab w:val="left" w:pos="-1080"/>
                <w:tab w:val="left" w:pos="-720"/>
                <w:tab w:val="left" w:pos="0"/>
                <w:tab w:val="left" w:pos="450"/>
                <w:tab w:val="left" w:pos="720"/>
                <w:tab w:val="left" w:pos="2160"/>
              </w:tabs>
              <w:spacing w:after="0" w:line="240" w:lineRule="auto"/>
              <w:jc w:val="center"/>
              <w:rPr>
                <w:sz w:val="20"/>
              </w:rPr>
            </w:pPr>
            <w:r>
              <w:rPr>
                <w:sz w:val="20"/>
              </w:rPr>
              <w:t>200</w:t>
            </w:r>
          </w:p>
        </w:tc>
      </w:tr>
      <w:tr w:rsidR="00762D0D" w:rsidRPr="007B75EE">
        <w:tc>
          <w:tcPr>
            <w:tcW w:w="2880" w:type="dxa"/>
            <w:tcBorders>
              <w:top w:val="single" w:sz="6" w:space="0" w:color="000000"/>
              <w:left w:val="single" w:sz="6" w:space="0" w:color="000000"/>
              <w:bottom w:val="single" w:sz="6" w:space="0" w:color="000000"/>
              <w:right w:val="single" w:sz="6" w:space="0" w:color="FFFFFF"/>
            </w:tcBorders>
          </w:tcPr>
          <w:p w:rsidR="00762D0D" w:rsidRPr="004861E8" w:rsidRDefault="00EA3BEB">
            <w:pPr>
              <w:spacing w:after="0" w:line="240" w:lineRule="auto"/>
              <w:rPr>
                <w:sz w:val="20"/>
              </w:rPr>
            </w:pPr>
            <w:r w:rsidRPr="004861E8">
              <w:rPr>
                <w:sz w:val="20"/>
              </w:rPr>
              <w:t>Focus groups</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18198F">
            <w:pPr>
              <w:spacing w:after="0" w:line="240" w:lineRule="auto"/>
              <w:rPr>
                <w:sz w:val="20"/>
              </w:rPr>
            </w:pPr>
            <w:r>
              <w:rPr>
                <w:sz w:val="20"/>
              </w:rPr>
              <w:t>100</w:t>
            </w:r>
          </w:p>
        </w:tc>
        <w:tc>
          <w:tcPr>
            <w:tcW w:w="1710" w:type="dxa"/>
            <w:tcBorders>
              <w:top w:val="single" w:sz="6" w:space="0" w:color="000000"/>
              <w:left w:val="single" w:sz="6" w:space="0" w:color="000000"/>
              <w:bottom w:val="single" w:sz="6" w:space="0" w:color="000000"/>
              <w:right w:val="single" w:sz="6" w:space="0" w:color="FFFFFF"/>
            </w:tcBorders>
          </w:tcPr>
          <w:p w:rsidR="00762D0D" w:rsidRPr="004861E8" w:rsidRDefault="00D84B3E" w:rsidP="004861E8">
            <w:pPr>
              <w:spacing w:after="0" w:line="240" w:lineRule="auto"/>
              <w:jc w:val="center"/>
              <w:rPr>
                <w:sz w:val="20"/>
              </w:rPr>
            </w:pPr>
            <w:r w:rsidRPr="004861E8">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861E8" w:rsidRDefault="00C123F2" w:rsidP="004861E8">
            <w:pPr>
              <w:spacing w:after="0" w:line="240" w:lineRule="auto"/>
              <w:jc w:val="center"/>
              <w:rPr>
                <w:sz w:val="20"/>
              </w:rPr>
            </w:pPr>
            <w:r w:rsidRPr="004861E8">
              <w:rPr>
                <w:sz w:val="20"/>
              </w:rPr>
              <w:t>2</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861E8" w:rsidRDefault="0018198F" w:rsidP="00F232FE">
            <w:pPr>
              <w:tabs>
                <w:tab w:val="left" w:pos="-1080"/>
                <w:tab w:val="left" w:pos="-720"/>
                <w:tab w:val="left" w:pos="0"/>
                <w:tab w:val="left" w:pos="450"/>
                <w:tab w:val="left" w:pos="720"/>
                <w:tab w:val="left" w:pos="2160"/>
              </w:tabs>
              <w:spacing w:after="0" w:line="240" w:lineRule="auto"/>
              <w:jc w:val="center"/>
              <w:rPr>
                <w:sz w:val="20"/>
              </w:rPr>
            </w:pPr>
            <w:r>
              <w:rPr>
                <w:sz w:val="20"/>
              </w:rPr>
              <w:t>200</w:t>
            </w:r>
          </w:p>
        </w:tc>
      </w:tr>
      <w:tr w:rsidR="0018198F" w:rsidRPr="007B75EE">
        <w:tc>
          <w:tcPr>
            <w:tcW w:w="2880" w:type="dxa"/>
            <w:tcBorders>
              <w:top w:val="single" w:sz="6" w:space="0" w:color="000000"/>
              <w:left w:val="single" w:sz="6" w:space="0" w:color="000000"/>
              <w:bottom w:val="single" w:sz="6" w:space="0" w:color="000000"/>
              <w:right w:val="single" w:sz="6" w:space="0" w:color="FFFFFF"/>
            </w:tcBorders>
          </w:tcPr>
          <w:p w:rsidR="0018198F" w:rsidRPr="004861E8" w:rsidRDefault="0018198F" w:rsidP="0018198F">
            <w:pPr>
              <w:spacing w:after="0" w:line="240" w:lineRule="auto"/>
              <w:rPr>
                <w:sz w:val="20"/>
              </w:rPr>
            </w:pPr>
            <w:r>
              <w:rPr>
                <w:sz w:val="20"/>
              </w:rPr>
              <w:t>In-person observation/testing</w:t>
            </w:r>
          </w:p>
        </w:tc>
        <w:tc>
          <w:tcPr>
            <w:tcW w:w="1710" w:type="dxa"/>
            <w:tcBorders>
              <w:top w:val="single" w:sz="6" w:space="0" w:color="000000"/>
              <w:left w:val="single" w:sz="6" w:space="0" w:color="000000"/>
              <w:bottom w:val="single" w:sz="6" w:space="0" w:color="000000"/>
              <w:right w:val="single" w:sz="6" w:space="0" w:color="FFFFFF"/>
            </w:tcBorders>
          </w:tcPr>
          <w:p w:rsidR="0018198F" w:rsidRDefault="0018198F">
            <w:pPr>
              <w:spacing w:after="0" w:line="240" w:lineRule="auto"/>
              <w:rPr>
                <w:sz w:val="20"/>
              </w:rPr>
            </w:pPr>
            <w:r>
              <w:rPr>
                <w:sz w:val="20"/>
              </w:rPr>
              <w:t>100</w:t>
            </w:r>
          </w:p>
        </w:tc>
        <w:tc>
          <w:tcPr>
            <w:tcW w:w="1710" w:type="dxa"/>
            <w:tcBorders>
              <w:top w:val="single" w:sz="6" w:space="0" w:color="000000"/>
              <w:left w:val="single" w:sz="6" w:space="0" w:color="000000"/>
              <w:bottom w:val="single" w:sz="6" w:space="0" w:color="000000"/>
              <w:right w:val="single" w:sz="6" w:space="0" w:color="FFFFFF"/>
            </w:tcBorders>
          </w:tcPr>
          <w:p w:rsidR="0018198F" w:rsidRPr="004861E8" w:rsidRDefault="0018198F" w:rsidP="004861E8">
            <w:pPr>
              <w:spacing w:after="0" w:line="240" w:lineRule="auto"/>
              <w:jc w:val="center"/>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18198F" w:rsidRPr="004861E8" w:rsidRDefault="0018198F" w:rsidP="004861E8">
            <w:pPr>
              <w:spacing w:after="0" w:line="240" w:lineRule="auto"/>
              <w:jc w:val="center"/>
              <w:rPr>
                <w:sz w:val="20"/>
              </w:rPr>
            </w:pPr>
            <w:r>
              <w:rPr>
                <w:sz w:val="20"/>
              </w:rPr>
              <w:t>2</w:t>
            </w:r>
          </w:p>
        </w:tc>
        <w:tc>
          <w:tcPr>
            <w:tcW w:w="1260" w:type="dxa"/>
            <w:tcBorders>
              <w:top w:val="single" w:sz="6" w:space="0" w:color="000000"/>
              <w:left w:val="single" w:sz="6" w:space="0" w:color="000000"/>
              <w:bottom w:val="single" w:sz="6" w:space="0" w:color="000000"/>
              <w:right w:val="single" w:sz="6" w:space="0" w:color="000000"/>
            </w:tcBorders>
            <w:vAlign w:val="bottom"/>
          </w:tcPr>
          <w:p w:rsidR="0018198F" w:rsidRDefault="0018198F" w:rsidP="00F232FE">
            <w:pPr>
              <w:tabs>
                <w:tab w:val="left" w:pos="-1080"/>
                <w:tab w:val="left" w:pos="-720"/>
                <w:tab w:val="left" w:pos="0"/>
                <w:tab w:val="left" w:pos="450"/>
                <w:tab w:val="left" w:pos="720"/>
                <w:tab w:val="left" w:pos="2160"/>
              </w:tabs>
              <w:spacing w:after="0" w:line="240" w:lineRule="auto"/>
              <w:jc w:val="center"/>
              <w:rPr>
                <w:sz w:val="20"/>
              </w:rPr>
            </w:pPr>
            <w:r>
              <w:rPr>
                <w:sz w:val="20"/>
              </w:rPr>
              <w:t>200</w:t>
            </w:r>
          </w:p>
        </w:tc>
      </w:tr>
    </w:tbl>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tabs>
          <w:tab w:val="left" w:pos="-1080"/>
          <w:tab w:val="left" w:pos="-720"/>
          <w:tab w:val="left" w:pos="0"/>
          <w:tab w:val="left" w:pos="450"/>
          <w:tab w:val="left" w:pos="720"/>
          <w:tab w:val="left" w:pos="2160"/>
        </w:tabs>
        <w:spacing w:after="0" w:line="240" w:lineRule="auto"/>
      </w:pPr>
    </w:p>
    <w:p w:rsidR="00762D0D" w:rsidRDefault="00762D0D">
      <w:pPr>
        <w:pStyle w:val="ListParagraph"/>
        <w:numPr>
          <w:ilvl w:val="0"/>
          <w:numId w:val="2"/>
        </w:numPr>
        <w:spacing w:after="0" w:line="240" w:lineRule="auto"/>
        <w:ind w:left="0"/>
        <w:rPr>
          <w:b/>
        </w:rPr>
      </w:pPr>
      <w:r>
        <w:rPr>
          <w:b/>
        </w:rPr>
        <w:t>Costs to Respondents</w:t>
      </w:r>
    </w:p>
    <w:p w:rsidR="00762D0D" w:rsidRDefault="00762D0D">
      <w:pPr>
        <w:pStyle w:val="ListParagraph"/>
        <w:spacing w:after="0" w:line="240" w:lineRule="auto"/>
        <w:ind w:left="0"/>
        <w:rPr>
          <w:b/>
        </w:rPr>
      </w:pPr>
    </w:p>
    <w:p w:rsidR="00762D0D" w:rsidRDefault="00762D0D">
      <w:pPr>
        <w:spacing w:after="0" w:line="240" w:lineRule="auto"/>
      </w:pPr>
      <w:r>
        <w:t xml:space="preserve">No costs are anticipated.  </w:t>
      </w:r>
    </w:p>
    <w:p w:rsidR="00762D0D" w:rsidRDefault="00762D0D">
      <w:pPr>
        <w:spacing w:after="0" w:line="240" w:lineRule="auto"/>
      </w:pPr>
    </w:p>
    <w:p w:rsidR="004861E8" w:rsidRDefault="004861E8">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Costs to Federal Government</w:t>
      </w:r>
    </w:p>
    <w:p w:rsidR="00762D0D" w:rsidRDefault="00762D0D">
      <w:pPr>
        <w:pStyle w:val="ListParagraph"/>
        <w:spacing w:after="0" w:line="240" w:lineRule="auto"/>
        <w:ind w:left="0"/>
        <w:rPr>
          <w:b/>
        </w:rPr>
      </w:pPr>
    </w:p>
    <w:p w:rsidR="00762D0D" w:rsidRDefault="00762D0D">
      <w:pPr>
        <w:pStyle w:val="ListParagraph"/>
        <w:spacing w:after="0" w:line="240" w:lineRule="auto"/>
        <w:ind w:left="0"/>
      </w:pPr>
      <w:r>
        <w:t>The anticipated cost to the Federal Government is approximately $</w:t>
      </w:r>
      <w:r w:rsidR="00507324">
        <w:t>187</w:t>
      </w:r>
      <w:r w:rsidR="004861E8">
        <w:t xml:space="preserve">,500 </w:t>
      </w:r>
      <w:r>
        <w:t>annually</w:t>
      </w:r>
      <w:r w:rsidR="00B833C5">
        <w:t>.  These costs are comprised of the participation of at least one CDC project officer (GS-12 or 13 levels) who will be responsible for the project design, providing project oversight, and analysis of the results. Travel may be required to provide technical assistance. In some cases, a CDC administrative staff’s time may also be required. An estimated average annual cost</w:t>
      </w:r>
      <w:r w:rsidR="00145A4A">
        <w:t>, based on four individual projects per year, is listed below.</w:t>
      </w:r>
    </w:p>
    <w:p w:rsidR="004861E8" w:rsidRDefault="004861E8">
      <w:pPr>
        <w:pStyle w:val="ListParagraph"/>
        <w:spacing w:after="0" w:line="240" w:lineRule="auto"/>
        <w:ind w:left="0"/>
      </w:pPr>
    </w:p>
    <w:tbl>
      <w:tblPr>
        <w:tblStyle w:val="TableGrid1"/>
        <w:tblW w:w="8658" w:type="dxa"/>
        <w:tblLook w:val="04A0" w:firstRow="1" w:lastRow="0" w:firstColumn="1" w:lastColumn="0" w:noHBand="0" w:noVBand="1"/>
      </w:tblPr>
      <w:tblGrid>
        <w:gridCol w:w="2668"/>
        <w:gridCol w:w="4060"/>
        <w:gridCol w:w="1930"/>
      </w:tblGrid>
      <w:tr w:rsidR="004861E8" w:rsidRPr="004861E8" w:rsidTr="00B833C5">
        <w:tc>
          <w:tcPr>
            <w:tcW w:w="2668" w:type="dxa"/>
          </w:tcPr>
          <w:p w:rsidR="004861E8" w:rsidRPr="004861E8" w:rsidRDefault="004861E8" w:rsidP="004861E8">
            <w:pPr>
              <w:spacing w:after="100" w:afterAutospacing="1" w:line="240" w:lineRule="auto"/>
              <w:rPr>
                <w:b/>
                <w:bCs/>
                <w:sz w:val="24"/>
                <w:szCs w:val="24"/>
              </w:rPr>
            </w:pPr>
            <w:r>
              <w:rPr>
                <w:b/>
                <w:bCs/>
                <w:sz w:val="24"/>
                <w:szCs w:val="24"/>
              </w:rPr>
              <w:t>Expense Type</w:t>
            </w:r>
          </w:p>
        </w:tc>
        <w:tc>
          <w:tcPr>
            <w:tcW w:w="4060" w:type="dxa"/>
          </w:tcPr>
          <w:p w:rsidR="004861E8" w:rsidRPr="004861E8" w:rsidRDefault="004861E8" w:rsidP="004861E8">
            <w:pPr>
              <w:spacing w:after="100" w:afterAutospacing="1" w:line="240" w:lineRule="auto"/>
              <w:rPr>
                <w:b/>
                <w:bCs/>
                <w:sz w:val="24"/>
                <w:szCs w:val="24"/>
              </w:rPr>
            </w:pPr>
            <w:r>
              <w:rPr>
                <w:b/>
                <w:bCs/>
                <w:sz w:val="24"/>
                <w:szCs w:val="24"/>
              </w:rPr>
              <w:t>Expense Explanation</w:t>
            </w:r>
          </w:p>
        </w:tc>
        <w:tc>
          <w:tcPr>
            <w:tcW w:w="1930" w:type="dxa"/>
          </w:tcPr>
          <w:p w:rsidR="004861E8" w:rsidRPr="004861E8" w:rsidRDefault="004861E8" w:rsidP="004861E8">
            <w:pPr>
              <w:spacing w:after="100" w:afterAutospacing="1" w:line="240" w:lineRule="auto"/>
              <w:rPr>
                <w:b/>
                <w:bCs/>
                <w:sz w:val="24"/>
                <w:szCs w:val="24"/>
              </w:rPr>
            </w:pPr>
            <w:r>
              <w:rPr>
                <w:b/>
                <w:bCs/>
                <w:sz w:val="24"/>
                <w:szCs w:val="24"/>
              </w:rPr>
              <w:t>Annual Costs (dollars)</w:t>
            </w:r>
          </w:p>
        </w:tc>
      </w:tr>
      <w:tr w:rsidR="00507324" w:rsidRPr="00507324" w:rsidTr="00B833C5">
        <w:tc>
          <w:tcPr>
            <w:tcW w:w="2668" w:type="dxa"/>
            <w:vMerge w:val="restart"/>
          </w:tcPr>
          <w:p w:rsidR="004861E8" w:rsidRPr="004861E8" w:rsidRDefault="004861E8" w:rsidP="004861E8">
            <w:pPr>
              <w:spacing w:after="100" w:afterAutospacing="1" w:line="240" w:lineRule="auto"/>
              <w:rPr>
                <w:b/>
                <w:bCs/>
                <w:sz w:val="24"/>
                <w:szCs w:val="24"/>
              </w:rPr>
            </w:pPr>
            <w:r w:rsidRPr="004861E8">
              <w:rPr>
                <w:b/>
                <w:bCs/>
                <w:sz w:val="24"/>
                <w:szCs w:val="24"/>
              </w:rPr>
              <w:t>Federal Government Personnel Costs</w:t>
            </w:r>
          </w:p>
        </w:tc>
        <w:tc>
          <w:tcPr>
            <w:tcW w:w="4060" w:type="dxa"/>
          </w:tcPr>
          <w:p w:rsidR="004861E8" w:rsidRPr="00507324" w:rsidRDefault="004861E8" w:rsidP="007739BB">
            <w:pPr>
              <w:spacing w:after="100" w:afterAutospacing="1" w:line="240" w:lineRule="auto"/>
              <w:rPr>
                <w:bCs/>
                <w:sz w:val="24"/>
                <w:szCs w:val="24"/>
              </w:rPr>
            </w:pPr>
            <w:r w:rsidRPr="00507324">
              <w:rPr>
                <w:bCs/>
                <w:sz w:val="24"/>
                <w:szCs w:val="24"/>
              </w:rPr>
              <w:t>CDC Project Officer (GS-12/13, .</w:t>
            </w:r>
            <w:r w:rsidR="008E4B63" w:rsidRPr="00507324">
              <w:rPr>
                <w:bCs/>
                <w:sz w:val="24"/>
                <w:szCs w:val="24"/>
              </w:rPr>
              <w:t>25</w:t>
            </w:r>
            <w:r w:rsidRPr="00507324">
              <w:rPr>
                <w:bCs/>
                <w:sz w:val="24"/>
                <w:szCs w:val="24"/>
              </w:rPr>
              <w:t xml:space="preserve"> FTE)</w:t>
            </w:r>
          </w:p>
        </w:tc>
        <w:tc>
          <w:tcPr>
            <w:tcW w:w="1930" w:type="dxa"/>
          </w:tcPr>
          <w:p w:rsidR="004861E8" w:rsidRPr="00507324" w:rsidRDefault="004861E8" w:rsidP="008E4B63">
            <w:pPr>
              <w:spacing w:after="100" w:afterAutospacing="1" w:line="240" w:lineRule="auto"/>
              <w:rPr>
                <w:bCs/>
                <w:sz w:val="24"/>
                <w:szCs w:val="24"/>
              </w:rPr>
            </w:pPr>
            <w:r w:rsidRPr="00507324">
              <w:rPr>
                <w:bCs/>
                <w:sz w:val="24"/>
                <w:szCs w:val="24"/>
              </w:rPr>
              <w:t>$</w:t>
            </w:r>
            <w:r w:rsidR="00B833C5" w:rsidRPr="00507324">
              <w:rPr>
                <w:bCs/>
                <w:sz w:val="24"/>
                <w:szCs w:val="24"/>
              </w:rPr>
              <w:t>2</w:t>
            </w:r>
            <w:r w:rsidR="008E4B63" w:rsidRPr="00507324">
              <w:rPr>
                <w:bCs/>
                <w:sz w:val="24"/>
                <w:szCs w:val="24"/>
              </w:rPr>
              <w:t>6</w:t>
            </w:r>
            <w:r w:rsidR="00B833C5" w:rsidRPr="00507324">
              <w:rPr>
                <w:bCs/>
                <w:sz w:val="24"/>
                <w:szCs w:val="24"/>
              </w:rPr>
              <w:t>,000</w:t>
            </w:r>
          </w:p>
        </w:tc>
      </w:tr>
      <w:tr w:rsidR="00507324" w:rsidRPr="00507324" w:rsidTr="00B833C5">
        <w:tc>
          <w:tcPr>
            <w:tcW w:w="2668" w:type="dxa"/>
            <w:vMerge/>
          </w:tcPr>
          <w:p w:rsidR="004861E8" w:rsidRPr="004861E8" w:rsidRDefault="004861E8" w:rsidP="004861E8">
            <w:pPr>
              <w:spacing w:after="100" w:afterAutospacing="1" w:line="240" w:lineRule="auto"/>
              <w:rPr>
                <w:b/>
                <w:bCs/>
                <w:sz w:val="24"/>
                <w:szCs w:val="24"/>
              </w:rPr>
            </w:pPr>
          </w:p>
        </w:tc>
        <w:tc>
          <w:tcPr>
            <w:tcW w:w="4060" w:type="dxa"/>
          </w:tcPr>
          <w:p w:rsidR="004861E8" w:rsidRPr="00507324" w:rsidRDefault="004861E8" w:rsidP="008E4B63">
            <w:pPr>
              <w:spacing w:after="100" w:afterAutospacing="1" w:line="240" w:lineRule="auto"/>
              <w:rPr>
                <w:bCs/>
                <w:sz w:val="24"/>
                <w:szCs w:val="24"/>
              </w:rPr>
            </w:pPr>
            <w:r w:rsidRPr="00507324">
              <w:rPr>
                <w:bCs/>
                <w:sz w:val="24"/>
                <w:szCs w:val="24"/>
              </w:rPr>
              <w:t>CDC Administrative Staff (GS-</w:t>
            </w:r>
            <w:r w:rsidR="008E4B63" w:rsidRPr="00507324">
              <w:rPr>
                <w:bCs/>
                <w:sz w:val="24"/>
                <w:szCs w:val="24"/>
              </w:rPr>
              <w:t>7</w:t>
            </w:r>
            <w:r w:rsidRPr="00507324">
              <w:rPr>
                <w:bCs/>
                <w:sz w:val="24"/>
                <w:szCs w:val="24"/>
              </w:rPr>
              <w:t>/9, .05 FTE)</w:t>
            </w:r>
          </w:p>
        </w:tc>
        <w:tc>
          <w:tcPr>
            <w:tcW w:w="1930" w:type="dxa"/>
          </w:tcPr>
          <w:p w:rsidR="004861E8" w:rsidRPr="00507324" w:rsidRDefault="004861E8" w:rsidP="008E4B63">
            <w:pPr>
              <w:spacing w:after="100" w:afterAutospacing="1" w:line="240" w:lineRule="auto"/>
              <w:rPr>
                <w:bCs/>
                <w:sz w:val="24"/>
                <w:szCs w:val="24"/>
              </w:rPr>
            </w:pPr>
            <w:r w:rsidRPr="00507324">
              <w:rPr>
                <w:bCs/>
                <w:sz w:val="24"/>
                <w:szCs w:val="24"/>
              </w:rPr>
              <w:t>$</w:t>
            </w:r>
            <w:r w:rsidR="008E4B63" w:rsidRPr="00507324">
              <w:rPr>
                <w:bCs/>
                <w:sz w:val="24"/>
                <w:szCs w:val="24"/>
              </w:rPr>
              <w:t>3,000</w:t>
            </w:r>
          </w:p>
        </w:tc>
      </w:tr>
      <w:tr w:rsidR="00507324" w:rsidRPr="00507324" w:rsidTr="00B833C5">
        <w:tc>
          <w:tcPr>
            <w:tcW w:w="2668" w:type="dxa"/>
          </w:tcPr>
          <w:p w:rsidR="004861E8" w:rsidRPr="004861E8" w:rsidRDefault="004861E8" w:rsidP="004861E8">
            <w:pPr>
              <w:spacing w:after="100" w:afterAutospacing="1" w:line="240" w:lineRule="auto"/>
              <w:rPr>
                <w:b/>
                <w:bCs/>
                <w:sz w:val="24"/>
                <w:szCs w:val="24"/>
              </w:rPr>
            </w:pPr>
            <w:r>
              <w:rPr>
                <w:b/>
                <w:bCs/>
                <w:sz w:val="24"/>
                <w:szCs w:val="24"/>
              </w:rPr>
              <w:t>Cooperative Agreement or Contract</w:t>
            </w:r>
          </w:p>
        </w:tc>
        <w:tc>
          <w:tcPr>
            <w:tcW w:w="4060" w:type="dxa"/>
          </w:tcPr>
          <w:p w:rsidR="004861E8" w:rsidRPr="00507324" w:rsidRDefault="00B833C5" w:rsidP="004861E8">
            <w:pPr>
              <w:spacing w:after="100" w:afterAutospacing="1" w:line="240" w:lineRule="auto"/>
              <w:rPr>
                <w:bCs/>
                <w:sz w:val="24"/>
                <w:szCs w:val="24"/>
              </w:rPr>
            </w:pPr>
            <w:r w:rsidRPr="00507324">
              <w:rPr>
                <w:bCs/>
                <w:sz w:val="24"/>
                <w:szCs w:val="24"/>
              </w:rPr>
              <w:t>Cooperative Agreements, Task Orders, or Contracts for implementation</w:t>
            </w:r>
          </w:p>
        </w:tc>
        <w:tc>
          <w:tcPr>
            <w:tcW w:w="1930" w:type="dxa"/>
            <w:vAlign w:val="bottom"/>
          </w:tcPr>
          <w:p w:rsidR="004861E8" w:rsidRPr="00507324" w:rsidRDefault="00B833C5" w:rsidP="008E4B63">
            <w:pPr>
              <w:spacing w:after="100" w:afterAutospacing="1" w:line="240" w:lineRule="auto"/>
              <w:rPr>
                <w:bCs/>
                <w:sz w:val="24"/>
                <w:szCs w:val="24"/>
              </w:rPr>
            </w:pPr>
            <w:r w:rsidRPr="00507324">
              <w:rPr>
                <w:bCs/>
                <w:sz w:val="24"/>
                <w:szCs w:val="24"/>
              </w:rPr>
              <w:t>$</w:t>
            </w:r>
            <w:r w:rsidR="008E4B63" w:rsidRPr="00507324">
              <w:rPr>
                <w:bCs/>
                <w:sz w:val="24"/>
                <w:szCs w:val="24"/>
              </w:rPr>
              <w:t>150,000</w:t>
            </w:r>
          </w:p>
        </w:tc>
      </w:tr>
      <w:tr w:rsidR="00507324" w:rsidRPr="00507324" w:rsidTr="00B833C5">
        <w:trPr>
          <w:trHeight w:val="332"/>
        </w:trPr>
        <w:tc>
          <w:tcPr>
            <w:tcW w:w="2668" w:type="dxa"/>
          </w:tcPr>
          <w:p w:rsidR="004861E8" w:rsidRPr="004861E8" w:rsidRDefault="00B833C5" w:rsidP="004861E8">
            <w:pPr>
              <w:spacing w:after="100" w:afterAutospacing="1" w:line="240" w:lineRule="auto"/>
              <w:rPr>
                <w:b/>
                <w:bCs/>
                <w:sz w:val="24"/>
                <w:szCs w:val="24"/>
              </w:rPr>
            </w:pPr>
            <w:r>
              <w:rPr>
                <w:b/>
                <w:bCs/>
                <w:sz w:val="24"/>
                <w:szCs w:val="24"/>
              </w:rPr>
              <w:t>CDC Travel</w:t>
            </w:r>
          </w:p>
        </w:tc>
        <w:tc>
          <w:tcPr>
            <w:tcW w:w="4060" w:type="dxa"/>
          </w:tcPr>
          <w:p w:rsidR="004861E8" w:rsidRPr="00507324" w:rsidRDefault="00B833C5" w:rsidP="004861E8">
            <w:pPr>
              <w:spacing w:after="100" w:afterAutospacing="1" w:line="240" w:lineRule="auto"/>
              <w:rPr>
                <w:bCs/>
                <w:sz w:val="24"/>
                <w:szCs w:val="24"/>
              </w:rPr>
            </w:pPr>
            <w:r w:rsidRPr="00507324">
              <w:rPr>
                <w:bCs/>
                <w:sz w:val="24"/>
                <w:szCs w:val="24"/>
              </w:rPr>
              <w:t>(4 trips)</w:t>
            </w:r>
          </w:p>
        </w:tc>
        <w:tc>
          <w:tcPr>
            <w:tcW w:w="1930" w:type="dxa"/>
            <w:vAlign w:val="bottom"/>
          </w:tcPr>
          <w:p w:rsidR="004861E8" w:rsidRPr="00507324" w:rsidRDefault="00B833C5" w:rsidP="008E4B63">
            <w:pPr>
              <w:spacing w:after="0" w:line="240" w:lineRule="auto"/>
              <w:rPr>
                <w:bCs/>
                <w:sz w:val="24"/>
                <w:szCs w:val="24"/>
              </w:rPr>
            </w:pPr>
            <w:r w:rsidRPr="00507324">
              <w:rPr>
                <w:bCs/>
                <w:sz w:val="24"/>
                <w:szCs w:val="24"/>
              </w:rPr>
              <w:t>$</w:t>
            </w:r>
            <w:r w:rsidR="008E4B63" w:rsidRPr="00507324">
              <w:rPr>
                <w:bCs/>
                <w:sz w:val="24"/>
                <w:szCs w:val="24"/>
              </w:rPr>
              <w:t>8,000</w:t>
            </w:r>
          </w:p>
        </w:tc>
      </w:tr>
      <w:tr w:rsidR="00507324" w:rsidRPr="00507324" w:rsidTr="00B833C5">
        <w:tc>
          <w:tcPr>
            <w:tcW w:w="2668" w:type="dxa"/>
          </w:tcPr>
          <w:p w:rsidR="004861E8" w:rsidRPr="004861E8" w:rsidRDefault="004861E8" w:rsidP="004861E8">
            <w:pPr>
              <w:spacing w:after="100" w:afterAutospacing="1" w:line="240" w:lineRule="auto"/>
              <w:rPr>
                <w:b/>
                <w:bCs/>
                <w:sz w:val="24"/>
                <w:szCs w:val="24"/>
              </w:rPr>
            </w:pPr>
            <w:r w:rsidRPr="004861E8">
              <w:rPr>
                <w:b/>
                <w:bCs/>
                <w:sz w:val="24"/>
                <w:szCs w:val="24"/>
              </w:rPr>
              <w:t>Total Cost</w:t>
            </w:r>
          </w:p>
        </w:tc>
        <w:tc>
          <w:tcPr>
            <w:tcW w:w="4060" w:type="dxa"/>
          </w:tcPr>
          <w:p w:rsidR="004861E8" w:rsidRPr="00507324" w:rsidRDefault="004861E8" w:rsidP="004861E8">
            <w:pPr>
              <w:spacing w:after="100" w:afterAutospacing="1" w:line="240" w:lineRule="auto"/>
              <w:rPr>
                <w:bCs/>
                <w:sz w:val="24"/>
                <w:szCs w:val="24"/>
              </w:rPr>
            </w:pPr>
          </w:p>
        </w:tc>
        <w:tc>
          <w:tcPr>
            <w:tcW w:w="1930" w:type="dxa"/>
          </w:tcPr>
          <w:p w:rsidR="004861E8" w:rsidRPr="00507324" w:rsidRDefault="00B833C5" w:rsidP="008E4B63">
            <w:pPr>
              <w:spacing w:after="0" w:line="240" w:lineRule="auto"/>
              <w:rPr>
                <w:bCs/>
                <w:sz w:val="24"/>
                <w:szCs w:val="24"/>
              </w:rPr>
            </w:pPr>
            <w:r w:rsidRPr="00507324">
              <w:rPr>
                <w:bCs/>
                <w:sz w:val="24"/>
                <w:szCs w:val="24"/>
              </w:rPr>
              <w:t>$</w:t>
            </w:r>
            <w:r w:rsidR="008E4B63" w:rsidRPr="00507324">
              <w:rPr>
                <w:bCs/>
                <w:sz w:val="24"/>
                <w:szCs w:val="24"/>
              </w:rPr>
              <w:t>187,000</w:t>
            </w:r>
          </w:p>
        </w:tc>
      </w:tr>
    </w:tbl>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Reason for Change</w:t>
      </w:r>
    </w:p>
    <w:p w:rsidR="00762D0D" w:rsidRDefault="00762D0D">
      <w:pPr>
        <w:pStyle w:val="ListParagraph"/>
        <w:spacing w:after="0" w:line="240" w:lineRule="auto"/>
        <w:ind w:left="0"/>
        <w:rPr>
          <w:b/>
        </w:rPr>
      </w:pPr>
    </w:p>
    <w:p w:rsidR="00762D0D" w:rsidRDefault="00762D0D">
      <w:pPr>
        <w:spacing w:after="0" w:line="240" w:lineRule="auto"/>
      </w:pPr>
      <w:r>
        <w:t>Not applicable.  This is a new request for a generic ICR.</w:t>
      </w:r>
    </w:p>
    <w:p w:rsidR="00762D0D" w:rsidRDefault="00762D0D">
      <w:pPr>
        <w:spacing w:after="0" w:line="240" w:lineRule="auto"/>
        <w:rPr>
          <w:b/>
        </w:rPr>
      </w:pPr>
    </w:p>
    <w:p w:rsidR="00762D0D" w:rsidRDefault="00762D0D">
      <w:pPr>
        <w:spacing w:after="0" w:line="240" w:lineRule="auto"/>
        <w:rPr>
          <w:b/>
        </w:rPr>
      </w:pPr>
    </w:p>
    <w:p w:rsidR="00762D0D" w:rsidRDefault="00762D0D">
      <w:pPr>
        <w:pStyle w:val="ListParagraph"/>
        <w:numPr>
          <w:ilvl w:val="0"/>
          <w:numId w:val="2"/>
        </w:numPr>
        <w:spacing w:after="0" w:line="240" w:lineRule="auto"/>
        <w:ind w:left="0"/>
        <w:rPr>
          <w:b/>
        </w:rPr>
      </w:pPr>
      <w:r>
        <w:rPr>
          <w:b/>
        </w:rPr>
        <w:t>Tabulation of Results, Schedule, Analysis Plans</w:t>
      </w:r>
    </w:p>
    <w:p w:rsidR="00762D0D" w:rsidRDefault="00762D0D">
      <w:pPr>
        <w:spacing w:after="0" w:line="240" w:lineRule="auto"/>
      </w:pPr>
    </w:p>
    <w:p w:rsidR="00762D0D" w:rsidRDefault="00762D0D"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62D0D" w:rsidRDefault="00762D0D" w:rsidP="003E339C">
      <w:pPr>
        <w:spacing w:after="0" w:line="240" w:lineRule="auto"/>
      </w:pPr>
    </w:p>
    <w:p w:rsidR="00762D0D" w:rsidRDefault="00762D0D"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Display of OMB Approval Date</w:t>
      </w:r>
    </w:p>
    <w:p w:rsidR="00762D0D" w:rsidRDefault="00762D0D">
      <w:pPr>
        <w:pStyle w:val="ListParagraph"/>
        <w:spacing w:after="0" w:line="240" w:lineRule="auto"/>
        <w:ind w:left="0"/>
        <w:rPr>
          <w:b/>
        </w:rPr>
      </w:pPr>
    </w:p>
    <w:p w:rsidR="00762D0D" w:rsidRDefault="00762D0D">
      <w:pPr>
        <w:spacing w:after="0" w:line="240" w:lineRule="auto"/>
      </w:pPr>
      <w:r>
        <w:t>We are requesting no exemption.</w:t>
      </w:r>
    </w:p>
    <w:p w:rsidR="00762D0D" w:rsidRDefault="00762D0D">
      <w:pPr>
        <w:spacing w:after="0" w:line="240" w:lineRule="auto"/>
      </w:pPr>
    </w:p>
    <w:p w:rsidR="00762D0D" w:rsidRDefault="00762D0D">
      <w:pPr>
        <w:spacing w:after="0" w:line="240" w:lineRule="auto"/>
      </w:pPr>
    </w:p>
    <w:p w:rsidR="00762D0D" w:rsidRDefault="00762D0D">
      <w:pPr>
        <w:pStyle w:val="ListParagraph"/>
        <w:numPr>
          <w:ilvl w:val="0"/>
          <w:numId w:val="2"/>
        </w:numPr>
        <w:spacing w:after="0" w:line="240" w:lineRule="auto"/>
        <w:ind w:left="0"/>
        <w:rPr>
          <w:b/>
        </w:rPr>
      </w:pPr>
      <w:r>
        <w:rPr>
          <w:b/>
        </w:rPr>
        <w:t>Exceptions to Certification for Paperwork Reduction Act Submissions</w:t>
      </w:r>
    </w:p>
    <w:p w:rsidR="00762D0D" w:rsidRDefault="00762D0D">
      <w:pPr>
        <w:pStyle w:val="ListParagraph"/>
        <w:spacing w:after="0" w:line="240" w:lineRule="auto"/>
        <w:ind w:left="0"/>
        <w:rPr>
          <w:b/>
        </w:rPr>
      </w:pPr>
    </w:p>
    <w:p w:rsidR="00762D0D" w:rsidRDefault="00762D0D" w:rsidP="00917955">
      <w:pPr>
        <w:spacing w:after="0" w:line="240" w:lineRule="auto"/>
        <w:rPr>
          <w:rFonts w:ascii="Tahoma" w:hAnsi="Tahoma"/>
          <w:b/>
          <w:sz w:val="20"/>
          <w:szCs w:val="20"/>
        </w:rPr>
      </w:pPr>
      <w:r>
        <w:lastRenderedPageBreak/>
        <w:t>These activities comply with the requirements in 5 CFR 1320.9.</w:t>
      </w:r>
    </w:p>
    <w:sectPr w:rsidR="00762D0D"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BB" w:rsidRDefault="007739BB">
      <w:pPr>
        <w:spacing w:after="0" w:line="240" w:lineRule="auto"/>
      </w:pPr>
      <w:r>
        <w:separator/>
      </w:r>
    </w:p>
  </w:endnote>
  <w:endnote w:type="continuationSeparator" w:id="0">
    <w:p w:rsidR="007739BB" w:rsidRDefault="0077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BB" w:rsidRDefault="007739BB">
      <w:pPr>
        <w:spacing w:after="0" w:line="240" w:lineRule="auto"/>
      </w:pPr>
      <w:r>
        <w:separator/>
      </w:r>
    </w:p>
  </w:footnote>
  <w:footnote w:type="continuationSeparator" w:id="0">
    <w:p w:rsidR="007739BB" w:rsidRDefault="007739BB">
      <w:pPr>
        <w:spacing w:after="0" w:line="240" w:lineRule="auto"/>
      </w:pPr>
      <w:r>
        <w:continuationSeparator/>
      </w:r>
    </w:p>
  </w:footnote>
  <w:footnote w:id="1">
    <w:p w:rsidR="007739BB" w:rsidRDefault="007739BB"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B" w:rsidRDefault="00773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B" w:rsidRDefault="00773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B" w:rsidRDefault="0077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C54A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36ACF"/>
    <w:multiLevelType w:val="hybridMultilevel"/>
    <w:tmpl w:val="3EC4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7D61DF"/>
    <w:multiLevelType w:val="multilevel"/>
    <w:tmpl w:val="E3D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5"/>
  </w:num>
  <w:num w:numId="3">
    <w:abstractNumId w:val="0"/>
  </w:num>
  <w:num w:numId="4">
    <w:abstractNumId w:val="2"/>
  </w:num>
  <w:num w:numId="5">
    <w:abstractNumId w:val="14"/>
  </w:num>
  <w:num w:numId="6">
    <w:abstractNumId w:val="8"/>
  </w:num>
  <w:num w:numId="7">
    <w:abstractNumId w:val="13"/>
  </w:num>
  <w:num w:numId="8">
    <w:abstractNumId w:val="7"/>
  </w:num>
  <w:num w:numId="9">
    <w:abstractNumId w:val="11"/>
  </w:num>
  <w:num w:numId="10">
    <w:abstractNumId w:val="4"/>
  </w:num>
  <w:num w:numId="11">
    <w:abstractNumId w:val="16"/>
  </w:num>
  <w:num w:numId="12">
    <w:abstractNumId w:val="5"/>
  </w:num>
  <w:num w:numId="13">
    <w:abstractNumId w:val="1"/>
  </w:num>
  <w:num w:numId="14">
    <w:abstractNumId w:val="17"/>
  </w:num>
  <w:num w:numId="15">
    <w:abstractNumId w:val="3"/>
  </w:num>
  <w:num w:numId="16">
    <w:abstractNumId w:val="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94525"/>
    <w:rsid w:val="000A410F"/>
    <w:rsid w:val="000B2630"/>
    <w:rsid w:val="000B4026"/>
    <w:rsid w:val="000C0A7E"/>
    <w:rsid w:val="000E3B2C"/>
    <w:rsid w:val="00120A60"/>
    <w:rsid w:val="001244F5"/>
    <w:rsid w:val="0013425B"/>
    <w:rsid w:val="00145A4A"/>
    <w:rsid w:val="00153E20"/>
    <w:rsid w:val="001628A1"/>
    <w:rsid w:val="00172EEC"/>
    <w:rsid w:val="0018198F"/>
    <w:rsid w:val="001A1E1C"/>
    <w:rsid w:val="001B43EE"/>
    <w:rsid w:val="001B5644"/>
    <w:rsid w:val="001E44AB"/>
    <w:rsid w:val="001E7A97"/>
    <w:rsid w:val="001F7BC9"/>
    <w:rsid w:val="00256D0E"/>
    <w:rsid w:val="00291E0E"/>
    <w:rsid w:val="0029408A"/>
    <w:rsid w:val="002A35E6"/>
    <w:rsid w:val="002B0B32"/>
    <w:rsid w:val="002C5CA5"/>
    <w:rsid w:val="0030522E"/>
    <w:rsid w:val="00323C4D"/>
    <w:rsid w:val="00324AF8"/>
    <w:rsid w:val="00336169"/>
    <w:rsid w:val="00377B51"/>
    <w:rsid w:val="003A2F20"/>
    <w:rsid w:val="003A7A16"/>
    <w:rsid w:val="003E339C"/>
    <w:rsid w:val="003F5F2D"/>
    <w:rsid w:val="00404071"/>
    <w:rsid w:val="00430922"/>
    <w:rsid w:val="0044553C"/>
    <w:rsid w:val="00460EB1"/>
    <w:rsid w:val="004642BC"/>
    <w:rsid w:val="00474C83"/>
    <w:rsid w:val="004861E8"/>
    <w:rsid w:val="004970C8"/>
    <w:rsid w:val="004A1CF9"/>
    <w:rsid w:val="004A5BCD"/>
    <w:rsid w:val="00507324"/>
    <w:rsid w:val="00513A34"/>
    <w:rsid w:val="005362FC"/>
    <w:rsid w:val="00562B18"/>
    <w:rsid w:val="00571BDB"/>
    <w:rsid w:val="00572831"/>
    <w:rsid w:val="005A10E3"/>
    <w:rsid w:val="005E5A3B"/>
    <w:rsid w:val="00607287"/>
    <w:rsid w:val="00656723"/>
    <w:rsid w:val="006656C5"/>
    <w:rsid w:val="0067270D"/>
    <w:rsid w:val="006B2FF7"/>
    <w:rsid w:val="006C068A"/>
    <w:rsid w:val="00701CF7"/>
    <w:rsid w:val="0071748D"/>
    <w:rsid w:val="00731D48"/>
    <w:rsid w:val="0074037C"/>
    <w:rsid w:val="0074733F"/>
    <w:rsid w:val="00762D0D"/>
    <w:rsid w:val="007739BB"/>
    <w:rsid w:val="00777D3C"/>
    <w:rsid w:val="00783842"/>
    <w:rsid w:val="007903D0"/>
    <w:rsid w:val="007A268D"/>
    <w:rsid w:val="007B75EE"/>
    <w:rsid w:val="007E102D"/>
    <w:rsid w:val="00802BEC"/>
    <w:rsid w:val="00802CF3"/>
    <w:rsid w:val="00894356"/>
    <w:rsid w:val="008A6FC5"/>
    <w:rsid w:val="008D173C"/>
    <w:rsid w:val="008E42F3"/>
    <w:rsid w:val="008E4B63"/>
    <w:rsid w:val="008F21DF"/>
    <w:rsid w:val="00914716"/>
    <w:rsid w:val="00915BDA"/>
    <w:rsid w:val="00917955"/>
    <w:rsid w:val="00947733"/>
    <w:rsid w:val="00982095"/>
    <w:rsid w:val="009E5691"/>
    <w:rsid w:val="009E75C8"/>
    <w:rsid w:val="00A07D10"/>
    <w:rsid w:val="00A12AC9"/>
    <w:rsid w:val="00A23878"/>
    <w:rsid w:val="00A52F7E"/>
    <w:rsid w:val="00A65A3E"/>
    <w:rsid w:val="00A65B39"/>
    <w:rsid w:val="00A666FD"/>
    <w:rsid w:val="00A816AB"/>
    <w:rsid w:val="00A96367"/>
    <w:rsid w:val="00AA3F96"/>
    <w:rsid w:val="00AB3A12"/>
    <w:rsid w:val="00AC207F"/>
    <w:rsid w:val="00AC2497"/>
    <w:rsid w:val="00AE3319"/>
    <w:rsid w:val="00AF55E9"/>
    <w:rsid w:val="00B130DF"/>
    <w:rsid w:val="00B833C5"/>
    <w:rsid w:val="00BA1806"/>
    <w:rsid w:val="00BA7402"/>
    <w:rsid w:val="00BC63CD"/>
    <w:rsid w:val="00BD13BB"/>
    <w:rsid w:val="00BE0599"/>
    <w:rsid w:val="00BF2E89"/>
    <w:rsid w:val="00BF7558"/>
    <w:rsid w:val="00C045E0"/>
    <w:rsid w:val="00C123F2"/>
    <w:rsid w:val="00C200D1"/>
    <w:rsid w:val="00C61970"/>
    <w:rsid w:val="00C62FA2"/>
    <w:rsid w:val="00CC2FDD"/>
    <w:rsid w:val="00D30F06"/>
    <w:rsid w:val="00D64405"/>
    <w:rsid w:val="00D64AAF"/>
    <w:rsid w:val="00D758B6"/>
    <w:rsid w:val="00D84B3E"/>
    <w:rsid w:val="00D93FE0"/>
    <w:rsid w:val="00DA3AFF"/>
    <w:rsid w:val="00DC6C74"/>
    <w:rsid w:val="00DE07E7"/>
    <w:rsid w:val="00EA3BEB"/>
    <w:rsid w:val="00EB2D61"/>
    <w:rsid w:val="00EB466B"/>
    <w:rsid w:val="00F15BAA"/>
    <w:rsid w:val="00F232FE"/>
    <w:rsid w:val="00F31E34"/>
    <w:rsid w:val="00F655E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semiHidden/>
    <w:unhideWhenUsed/>
    <w:rsid w:val="00B130DF"/>
    <w:pPr>
      <w:spacing w:after="180" w:line="240" w:lineRule="auto"/>
    </w:pPr>
    <w:rPr>
      <w:rFonts w:ascii="Times New Roman" w:hAnsi="Times New Roman"/>
      <w:sz w:val="24"/>
      <w:szCs w:val="24"/>
    </w:rPr>
  </w:style>
  <w:style w:type="table" w:styleId="TableGrid">
    <w:name w:val="Table Grid"/>
    <w:basedOn w:val="TableNormal"/>
    <w:locked/>
    <w:rsid w:val="00A65A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61E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semiHidden/>
    <w:unhideWhenUsed/>
    <w:rsid w:val="00B130DF"/>
    <w:pPr>
      <w:spacing w:after="180" w:line="240" w:lineRule="auto"/>
    </w:pPr>
    <w:rPr>
      <w:rFonts w:ascii="Times New Roman" w:hAnsi="Times New Roman"/>
      <w:sz w:val="24"/>
      <w:szCs w:val="24"/>
    </w:rPr>
  </w:style>
  <w:style w:type="table" w:styleId="TableGrid">
    <w:name w:val="Table Grid"/>
    <w:basedOn w:val="TableNormal"/>
    <w:locked/>
    <w:rsid w:val="00A65A3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61E8"/>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541">
      <w:bodyDiv w:val="1"/>
      <w:marLeft w:val="4"/>
      <w:marRight w:val="4"/>
      <w:marTop w:val="4"/>
      <w:marBottom w:val="4"/>
      <w:divBdr>
        <w:top w:val="none" w:sz="0" w:space="0" w:color="auto"/>
        <w:left w:val="none" w:sz="0" w:space="0" w:color="auto"/>
        <w:bottom w:val="none" w:sz="0" w:space="0" w:color="auto"/>
        <w:right w:val="none" w:sz="0" w:space="0" w:color="auto"/>
      </w:divBdr>
      <w:divsChild>
        <w:div w:id="1274630668">
          <w:marLeft w:val="0"/>
          <w:marRight w:val="0"/>
          <w:marTop w:val="0"/>
          <w:marBottom w:val="0"/>
          <w:divBdr>
            <w:top w:val="none" w:sz="0" w:space="0" w:color="auto"/>
            <w:left w:val="none" w:sz="0" w:space="0" w:color="auto"/>
            <w:bottom w:val="none" w:sz="0" w:space="0" w:color="auto"/>
            <w:right w:val="none" w:sz="0" w:space="0" w:color="auto"/>
          </w:divBdr>
          <w:divsChild>
            <w:div w:id="1022172137">
              <w:marLeft w:val="0"/>
              <w:marRight w:val="0"/>
              <w:marTop w:val="0"/>
              <w:marBottom w:val="0"/>
              <w:divBdr>
                <w:top w:val="none" w:sz="0" w:space="0" w:color="auto"/>
                <w:left w:val="none" w:sz="0" w:space="0" w:color="auto"/>
                <w:bottom w:val="none" w:sz="0" w:space="0" w:color="auto"/>
                <w:right w:val="none" w:sz="0" w:space="0" w:color="auto"/>
              </w:divBdr>
              <w:divsChild>
                <w:div w:id="702750070">
                  <w:marLeft w:val="0"/>
                  <w:marRight w:val="0"/>
                  <w:marTop w:val="0"/>
                  <w:marBottom w:val="180"/>
                  <w:divBdr>
                    <w:top w:val="none" w:sz="0" w:space="0" w:color="auto"/>
                    <w:left w:val="none" w:sz="0" w:space="0" w:color="auto"/>
                    <w:bottom w:val="none" w:sz="0" w:space="0" w:color="auto"/>
                    <w:right w:val="none" w:sz="0" w:space="0" w:color="auto"/>
                  </w:divBdr>
                  <w:divsChild>
                    <w:div w:id="320158799">
                      <w:marLeft w:val="0"/>
                      <w:marRight w:val="0"/>
                      <w:marTop w:val="0"/>
                      <w:marBottom w:val="0"/>
                      <w:divBdr>
                        <w:top w:val="none" w:sz="0" w:space="0" w:color="auto"/>
                        <w:left w:val="none" w:sz="0" w:space="0" w:color="auto"/>
                        <w:bottom w:val="none" w:sz="0" w:space="0" w:color="auto"/>
                        <w:right w:val="none" w:sz="0" w:space="0" w:color="auto"/>
                      </w:divBdr>
                      <w:divsChild>
                        <w:div w:id="202522585">
                          <w:marLeft w:val="0"/>
                          <w:marRight w:val="0"/>
                          <w:marTop w:val="0"/>
                          <w:marBottom w:val="0"/>
                          <w:divBdr>
                            <w:top w:val="none" w:sz="0" w:space="0" w:color="auto"/>
                            <w:left w:val="none" w:sz="0" w:space="0" w:color="auto"/>
                            <w:bottom w:val="none" w:sz="0" w:space="0" w:color="auto"/>
                            <w:right w:val="none" w:sz="0" w:space="0" w:color="auto"/>
                          </w:divBdr>
                          <w:divsChild>
                            <w:div w:id="16567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Sawyer, Tamela (CDC/NIOSH/OD)</cp:lastModifiedBy>
  <cp:revision>3</cp:revision>
  <cp:lastPrinted>2012-04-04T16:54:00Z</cp:lastPrinted>
  <dcterms:created xsi:type="dcterms:W3CDTF">2012-04-03T20:11:00Z</dcterms:created>
  <dcterms:modified xsi:type="dcterms:W3CDTF">2012-04-04T17:31:00Z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