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174"/>
        <w:gridCol w:w="2003"/>
        <w:gridCol w:w="3581"/>
        <w:gridCol w:w="3581"/>
        <w:gridCol w:w="1098"/>
      </w:tblGrid>
      <w:tr w:rsidR="008128DB" w:rsidTr="00A309D1">
        <w:tc>
          <w:tcPr>
            <w:tcW w:w="2174" w:type="dxa"/>
          </w:tcPr>
          <w:p w:rsidR="008128DB" w:rsidRDefault="008128DB">
            <w:bookmarkStart w:id="0" w:name="_GoBack"/>
            <w:bookmarkEnd w:id="0"/>
            <w:r>
              <w:t xml:space="preserve">Authors </w:t>
            </w:r>
          </w:p>
        </w:tc>
        <w:tc>
          <w:tcPr>
            <w:tcW w:w="2003" w:type="dxa"/>
          </w:tcPr>
          <w:p w:rsidR="008128DB" w:rsidRDefault="008128DB">
            <w:r>
              <w:t xml:space="preserve">Title </w:t>
            </w:r>
          </w:p>
        </w:tc>
        <w:tc>
          <w:tcPr>
            <w:tcW w:w="3581" w:type="dxa"/>
          </w:tcPr>
          <w:p w:rsidR="008128DB" w:rsidRDefault="008128DB">
            <w:r>
              <w:t>Source journal</w:t>
            </w:r>
          </w:p>
        </w:tc>
        <w:tc>
          <w:tcPr>
            <w:tcW w:w="3581" w:type="dxa"/>
          </w:tcPr>
          <w:p w:rsidR="008128DB" w:rsidRDefault="008128DB">
            <w:r>
              <w:t>Example</w:t>
            </w:r>
          </w:p>
        </w:tc>
        <w:tc>
          <w:tcPr>
            <w:tcW w:w="1098" w:type="dxa"/>
          </w:tcPr>
          <w:p w:rsidR="008128DB" w:rsidRDefault="008128DB">
            <w:r>
              <w:t xml:space="preserve">Page Numbers </w:t>
            </w:r>
          </w:p>
        </w:tc>
      </w:tr>
      <w:tr w:rsidR="008128DB" w:rsidTr="00A309D1">
        <w:tc>
          <w:tcPr>
            <w:tcW w:w="2174" w:type="dxa"/>
          </w:tcPr>
          <w:p w:rsidR="008128DB" w:rsidRPr="007B742E" w:rsidRDefault="008128DB">
            <w:r w:rsidRPr="007B742E">
              <w:rPr>
                <w:color w:val="000000"/>
              </w:rPr>
              <w:t xml:space="preserve">B.R. Simon Rosser, J. Michael Oakes, Joseph </w:t>
            </w:r>
            <w:proofErr w:type="spellStart"/>
            <w:r w:rsidRPr="007B742E">
              <w:rPr>
                <w:color w:val="000000"/>
              </w:rPr>
              <w:t>Konstan</w:t>
            </w:r>
            <w:proofErr w:type="spellEnd"/>
            <w:r w:rsidRPr="007B742E">
              <w:rPr>
                <w:color w:val="000000"/>
              </w:rPr>
              <w:t xml:space="preserve">, Simon Hooper, Keith J. Horvath, Gene P. </w:t>
            </w:r>
            <w:proofErr w:type="spellStart"/>
            <w:r w:rsidRPr="007B742E">
              <w:rPr>
                <w:color w:val="000000"/>
              </w:rPr>
              <w:t>Danilenki</w:t>
            </w:r>
            <w:proofErr w:type="spellEnd"/>
            <w:r w:rsidRPr="007B742E">
              <w:rPr>
                <w:color w:val="000000"/>
              </w:rPr>
              <w:t xml:space="preserve">, Katherine E. </w:t>
            </w:r>
            <w:proofErr w:type="spellStart"/>
            <w:r w:rsidRPr="007B742E">
              <w:rPr>
                <w:color w:val="000000"/>
              </w:rPr>
              <w:t>Nygaard</w:t>
            </w:r>
            <w:proofErr w:type="spellEnd"/>
            <w:r w:rsidRPr="007B742E">
              <w:rPr>
                <w:color w:val="000000"/>
              </w:rPr>
              <w:t xml:space="preserve">, and </w:t>
            </w:r>
            <w:proofErr w:type="spellStart"/>
            <w:r w:rsidRPr="007B742E">
              <w:rPr>
                <w:color w:val="000000"/>
              </w:rPr>
              <w:t>Derrek</w:t>
            </w:r>
            <w:proofErr w:type="spellEnd"/>
            <w:r w:rsidRPr="007B742E">
              <w:rPr>
                <w:color w:val="000000"/>
              </w:rPr>
              <w:t xml:space="preserve"> J. </w:t>
            </w:r>
            <w:proofErr w:type="spellStart"/>
            <w:r w:rsidRPr="007B742E">
              <w:rPr>
                <w:color w:val="000000"/>
              </w:rPr>
              <w:t>Smokenski</w:t>
            </w:r>
            <w:proofErr w:type="spellEnd"/>
          </w:p>
        </w:tc>
        <w:tc>
          <w:tcPr>
            <w:tcW w:w="2003" w:type="dxa"/>
          </w:tcPr>
          <w:p w:rsidR="008128DB" w:rsidRPr="007B742E" w:rsidRDefault="008128DB">
            <w:r w:rsidRPr="007B742E">
              <w:rPr>
                <w:color w:val="000000"/>
              </w:rPr>
              <w:t xml:space="preserve">Reducing HIV risk behavior of men who have sex with men through persuasive computing: results of the Men's </w:t>
            </w:r>
            <w:proofErr w:type="spellStart"/>
            <w:r w:rsidRPr="007B742E">
              <w:rPr>
                <w:color w:val="000000"/>
              </w:rPr>
              <w:t>INTernet</w:t>
            </w:r>
            <w:proofErr w:type="spellEnd"/>
            <w:r w:rsidRPr="007B742E">
              <w:rPr>
                <w:color w:val="000000"/>
              </w:rPr>
              <w:t xml:space="preserve"> Study II</w:t>
            </w:r>
          </w:p>
        </w:tc>
        <w:tc>
          <w:tcPr>
            <w:tcW w:w="3581" w:type="dxa"/>
          </w:tcPr>
          <w:p w:rsidR="008128DB" w:rsidRPr="007B742E" w:rsidRDefault="008128DB">
            <w:pPr>
              <w:rPr>
                <w:color w:val="000000"/>
              </w:rPr>
            </w:pPr>
            <w:r>
              <w:rPr>
                <w:color w:val="000000"/>
              </w:rPr>
              <w:t>AIDS 2010 24:2099-2107</w:t>
            </w:r>
          </w:p>
        </w:tc>
        <w:tc>
          <w:tcPr>
            <w:tcW w:w="3581" w:type="dxa"/>
          </w:tcPr>
          <w:p w:rsidR="008128DB" w:rsidRPr="007B742E" w:rsidRDefault="008128DB">
            <w:r w:rsidRPr="007B742E">
              <w:rPr>
                <w:color w:val="000000"/>
              </w:rPr>
              <w:t xml:space="preserve">"Therefore compensation was set at $80 for completing the pretest intervention, and posttest, with an additional $20-25 for completing each follow-up survey.  This amount was deemed </w:t>
            </w:r>
            <w:r w:rsidR="007D6A48" w:rsidRPr="007B742E">
              <w:rPr>
                <w:color w:val="000000"/>
              </w:rPr>
              <w:t>sufficient</w:t>
            </w:r>
            <w:r w:rsidRPr="007B742E">
              <w:rPr>
                <w:color w:val="000000"/>
              </w:rPr>
              <w:t>, but not coercive, for retention.  Second, we employed a quarterly e-raffle with a monetary first prize of $150 to maintain study contract.</w:t>
            </w:r>
            <w:r>
              <w:rPr>
                <w:color w:val="000000"/>
              </w:rPr>
              <w:t>”</w:t>
            </w:r>
          </w:p>
        </w:tc>
        <w:tc>
          <w:tcPr>
            <w:tcW w:w="1098" w:type="dxa"/>
          </w:tcPr>
          <w:p w:rsidR="008128DB" w:rsidRDefault="008128DB">
            <w:r>
              <w:t>2101</w:t>
            </w:r>
          </w:p>
        </w:tc>
      </w:tr>
      <w:tr w:rsidR="008128DB" w:rsidTr="007D6A48">
        <w:trPr>
          <w:trHeight w:val="5012"/>
        </w:trPr>
        <w:tc>
          <w:tcPr>
            <w:tcW w:w="2174" w:type="dxa"/>
          </w:tcPr>
          <w:p w:rsidR="008128DB" w:rsidRDefault="008128DB">
            <w:r>
              <w:t xml:space="preserve">M. Meghan Davidson, </w:t>
            </w:r>
            <w:proofErr w:type="spellStart"/>
            <w:r>
              <w:t>Nikole</w:t>
            </w:r>
            <w:proofErr w:type="spellEnd"/>
            <w:r>
              <w:t xml:space="preserve"> J. </w:t>
            </w:r>
            <w:proofErr w:type="spellStart"/>
            <w:r>
              <w:t>Cronk</w:t>
            </w:r>
            <w:proofErr w:type="spellEnd"/>
            <w:r>
              <w:t xml:space="preserve">, Kari Jo Harris, Solomon </w:t>
            </w:r>
            <w:proofErr w:type="spellStart"/>
            <w:r>
              <w:t>Harrar</w:t>
            </w:r>
            <w:proofErr w:type="spellEnd"/>
            <w:r>
              <w:t xml:space="preserve">, </w:t>
            </w:r>
            <w:proofErr w:type="spellStart"/>
            <w:r>
              <w:t>Delwyn</w:t>
            </w:r>
            <w:proofErr w:type="spellEnd"/>
            <w:r>
              <w:t xml:space="preserve"> </w:t>
            </w:r>
            <w:proofErr w:type="spellStart"/>
            <w:r>
              <w:t>Cately</w:t>
            </w:r>
            <w:proofErr w:type="spellEnd"/>
            <w:r>
              <w:t>, Glenn E. Good</w:t>
            </w:r>
          </w:p>
        </w:tc>
        <w:tc>
          <w:tcPr>
            <w:tcW w:w="2003" w:type="dxa"/>
          </w:tcPr>
          <w:p w:rsidR="008128DB" w:rsidRDefault="008128DB">
            <w:r>
              <w:t>Strategies to Recruit and Retain College Smokers in Cessation Trails</w:t>
            </w:r>
          </w:p>
        </w:tc>
        <w:tc>
          <w:tcPr>
            <w:tcW w:w="3581" w:type="dxa"/>
          </w:tcPr>
          <w:p w:rsidR="008128DB" w:rsidRDefault="00B83CFB">
            <w:r>
              <w:t xml:space="preserve">Res </w:t>
            </w:r>
            <w:proofErr w:type="spellStart"/>
            <w:r>
              <w:t>Nurs</w:t>
            </w:r>
            <w:proofErr w:type="spellEnd"/>
            <w:r>
              <w:t xml:space="preserve"> Health. 2010 April </w:t>
            </w:r>
          </w:p>
        </w:tc>
        <w:tc>
          <w:tcPr>
            <w:tcW w:w="3581" w:type="dxa"/>
          </w:tcPr>
          <w:p w:rsidR="008128DB" w:rsidRDefault="008128DB">
            <w:r>
              <w:t>“Recruitment efforts included relationship-building raffles…”  “Individual incentives were employed during the second through fourth phases of recruitment.  During the second phase, in addition to the assistance of the Study Liaisons, non-monetary items such as cookies were provided during administration of the Screener and raffles for iPods were held immediately following the screening assessment.”</w:t>
            </w:r>
          </w:p>
        </w:tc>
        <w:tc>
          <w:tcPr>
            <w:tcW w:w="1098" w:type="dxa"/>
          </w:tcPr>
          <w:p w:rsidR="008128DB" w:rsidRDefault="008128DB">
            <w:r>
              <w:t>Abstract, 6</w:t>
            </w:r>
          </w:p>
        </w:tc>
      </w:tr>
      <w:tr w:rsidR="008128DB" w:rsidTr="00A309D1">
        <w:tc>
          <w:tcPr>
            <w:tcW w:w="2174" w:type="dxa"/>
          </w:tcPr>
          <w:p w:rsidR="008128DB" w:rsidRDefault="008128DB">
            <w:r>
              <w:lastRenderedPageBreak/>
              <w:t xml:space="preserve">Ann L. </w:t>
            </w:r>
            <w:proofErr w:type="spellStart"/>
            <w:r>
              <w:t>Graziotti</w:t>
            </w:r>
            <w:proofErr w:type="spellEnd"/>
            <w:r>
              <w:t xml:space="preserve">, Jane Hammond, Daniel </w:t>
            </w:r>
            <w:proofErr w:type="spellStart"/>
            <w:r>
              <w:t>Messinger</w:t>
            </w:r>
            <w:proofErr w:type="spellEnd"/>
            <w:r>
              <w:t>, Carla Bann, Cynthia Miller-</w:t>
            </w:r>
            <w:proofErr w:type="spellStart"/>
            <w:r>
              <w:t>Loncar</w:t>
            </w:r>
            <w:proofErr w:type="spellEnd"/>
            <w:r>
              <w:t xml:space="preserve">, Jean E. </w:t>
            </w:r>
            <w:proofErr w:type="spellStart"/>
            <w:r>
              <w:t>Twomey</w:t>
            </w:r>
            <w:proofErr w:type="spellEnd"/>
            <w:r>
              <w:t xml:space="preserve">, Charlotte </w:t>
            </w:r>
            <w:proofErr w:type="spellStart"/>
            <w:r>
              <w:t>Bursi</w:t>
            </w:r>
            <w:proofErr w:type="spellEnd"/>
            <w:r>
              <w:t xml:space="preserve">, Eunice </w:t>
            </w:r>
            <w:proofErr w:type="spellStart"/>
            <w:r>
              <w:t>Woldt</w:t>
            </w:r>
            <w:proofErr w:type="spellEnd"/>
            <w:r>
              <w:t xml:space="preserve">, Jay Ann Nelson, Debra Fleischmann, Barbara Alexander </w:t>
            </w:r>
          </w:p>
        </w:tc>
        <w:tc>
          <w:tcPr>
            <w:tcW w:w="2003" w:type="dxa"/>
          </w:tcPr>
          <w:p w:rsidR="008128DB" w:rsidRDefault="008128DB">
            <w:r>
              <w:t xml:space="preserve">Maintaining Participation and Momentum in Longitudinal Research Involving High-Risk Families </w:t>
            </w:r>
          </w:p>
        </w:tc>
        <w:tc>
          <w:tcPr>
            <w:tcW w:w="3581" w:type="dxa"/>
          </w:tcPr>
          <w:p w:rsidR="00B83CFB" w:rsidRDefault="00B83CFB">
            <w:r>
              <w:t xml:space="preserve">Journal of Nursing </w:t>
            </w:r>
          </w:p>
          <w:p w:rsidR="008128DB" w:rsidRDefault="00B83CFB">
            <w:r>
              <w:t>Scholarship 2012</w:t>
            </w:r>
          </w:p>
        </w:tc>
        <w:tc>
          <w:tcPr>
            <w:tcW w:w="3581" w:type="dxa"/>
          </w:tcPr>
          <w:p w:rsidR="008128DB" w:rsidRDefault="008128DB">
            <w:r>
              <w:t>“Incentives were also given for keeping the first scheduled appointment and for being on time for appointments.  Raffles were held for larger gifts, such as bicycles and televisions, and families became eligible for these when they attended their clinic visit.”</w:t>
            </w:r>
          </w:p>
        </w:tc>
        <w:tc>
          <w:tcPr>
            <w:tcW w:w="1098" w:type="dxa"/>
          </w:tcPr>
          <w:p w:rsidR="008128DB" w:rsidRDefault="008128DB">
            <w:r>
              <w:t>122</w:t>
            </w:r>
          </w:p>
        </w:tc>
      </w:tr>
      <w:tr w:rsidR="008128DB" w:rsidTr="00A309D1">
        <w:tc>
          <w:tcPr>
            <w:tcW w:w="2174" w:type="dxa"/>
          </w:tcPr>
          <w:p w:rsidR="008128DB" w:rsidRDefault="008128DB">
            <w:r>
              <w:t xml:space="preserve">Alice </w:t>
            </w:r>
            <w:proofErr w:type="spellStart"/>
            <w:r>
              <w:t>Cepeda</w:t>
            </w:r>
            <w:proofErr w:type="spellEnd"/>
            <w:r>
              <w:t xml:space="preserve">, </w:t>
            </w:r>
            <w:proofErr w:type="spellStart"/>
            <w:r>
              <w:t>Avelardo</w:t>
            </w:r>
            <w:proofErr w:type="spellEnd"/>
            <w:r>
              <w:t xml:space="preserve"> Valdez</w:t>
            </w:r>
          </w:p>
        </w:tc>
        <w:tc>
          <w:tcPr>
            <w:tcW w:w="2003" w:type="dxa"/>
          </w:tcPr>
          <w:p w:rsidR="008128DB" w:rsidRDefault="008128DB">
            <w:r>
              <w:t>Ethnographic Strategies in the Tracking and Retention of Street-Recruited Community-Based Samples of Substance Using Hidden Populations in Longitudinal Studies</w:t>
            </w:r>
          </w:p>
        </w:tc>
        <w:tc>
          <w:tcPr>
            <w:tcW w:w="3581" w:type="dxa"/>
          </w:tcPr>
          <w:p w:rsidR="008128DB" w:rsidRDefault="005370D9">
            <w:proofErr w:type="spellStart"/>
            <w:r>
              <w:t>Subst</w:t>
            </w:r>
            <w:proofErr w:type="spellEnd"/>
            <w:r>
              <w:t xml:space="preserve"> </w:t>
            </w:r>
            <w:proofErr w:type="spellStart"/>
            <w:r>
              <w:t>UseMisuse</w:t>
            </w:r>
            <w:proofErr w:type="spellEnd"/>
            <w:r>
              <w:t>. 2010 April</w:t>
            </w:r>
          </w:p>
        </w:tc>
        <w:tc>
          <w:tcPr>
            <w:tcW w:w="3581" w:type="dxa"/>
          </w:tcPr>
          <w:p w:rsidR="008128DB" w:rsidRDefault="008128DB">
            <w:r>
              <w:t xml:space="preserve">“Project Brown Raffle—A final strategy using during the course of the study was what was known as the “Project Brown Raffle.”  Within a three-month period, every respondent who completed either a baseline or follow-up interview was eligible to participate in the raffle.  As the completion of their respective interviews, respondents would receive a raffle ticket with a unique number printed on either side of the ticket….”  </w:t>
            </w:r>
          </w:p>
        </w:tc>
        <w:tc>
          <w:tcPr>
            <w:tcW w:w="1098" w:type="dxa"/>
          </w:tcPr>
          <w:p w:rsidR="008128DB" w:rsidRDefault="008128DB">
            <w:r>
              <w:t>7</w:t>
            </w:r>
          </w:p>
        </w:tc>
      </w:tr>
      <w:tr w:rsidR="008128DB" w:rsidTr="008128DB">
        <w:trPr>
          <w:trHeight w:val="2447"/>
        </w:trPr>
        <w:tc>
          <w:tcPr>
            <w:tcW w:w="2174" w:type="dxa"/>
          </w:tcPr>
          <w:p w:rsidR="008128DB" w:rsidRDefault="008128DB">
            <w:r>
              <w:lastRenderedPageBreak/>
              <w:t xml:space="preserve">KL </w:t>
            </w:r>
            <w:proofErr w:type="spellStart"/>
            <w:r>
              <w:t>Drews</w:t>
            </w:r>
            <w:proofErr w:type="spellEnd"/>
            <w:r>
              <w:t xml:space="preserve">, JS Harrell, D Thomas, SL </w:t>
            </w:r>
            <w:proofErr w:type="spellStart"/>
            <w:r>
              <w:t>Mazzuro</w:t>
            </w:r>
            <w:proofErr w:type="spellEnd"/>
            <w:r>
              <w:t xml:space="preserve">, EG Ford, M Carter, DA Ford, Z Yin, AN Jessup, J-B </w:t>
            </w:r>
            <w:proofErr w:type="spellStart"/>
            <w:r>
              <w:t>Roullet</w:t>
            </w:r>
            <w:proofErr w:type="spellEnd"/>
          </w:p>
        </w:tc>
        <w:tc>
          <w:tcPr>
            <w:tcW w:w="2003" w:type="dxa"/>
          </w:tcPr>
          <w:p w:rsidR="008128DB" w:rsidRDefault="008128DB">
            <w:r>
              <w:t xml:space="preserve">Recruitment and retention strategies and methods in the HEALTHY Study </w:t>
            </w:r>
          </w:p>
        </w:tc>
        <w:tc>
          <w:tcPr>
            <w:tcW w:w="3581" w:type="dxa"/>
          </w:tcPr>
          <w:p w:rsidR="008128DB" w:rsidRDefault="005370D9">
            <w:r>
              <w:t>International journal of Obesity 2009</w:t>
            </w:r>
          </w:p>
        </w:tc>
        <w:tc>
          <w:tcPr>
            <w:tcW w:w="3581" w:type="dxa"/>
          </w:tcPr>
          <w:p w:rsidR="008128DB" w:rsidRDefault="008128DB">
            <w:r>
              <w:t>“</w:t>
            </w:r>
            <w:r w:rsidR="007D6A48">
              <w:t>Handing</w:t>
            </w:r>
            <w:r>
              <w:t xml:space="preserve"> out raffle tickets for donated items to students who came to back-to-school activities.”</w:t>
            </w:r>
          </w:p>
        </w:tc>
        <w:tc>
          <w:tcPr>
            <w:tcW w:w="1098" w:type="dxa"/>
          </w:tcPr>
          <w:p w:rsidR="008128DB" w:rsidRDefault="008128DB">
            <w:r>
              <w:t>525</w:t>
            </w:r>
          </w:p>
        </w:tc>
      </w:tr>
      <w:tr w:rsidR="008128DB" w:rsidTr="00A309D1">
        <w:tc>
          <w:tcPr>
            <w:tcW w:w="2174" w:type="dxa"/>
          </w:tcPr>
          <w:p w:rsidR="008128DB" w:rsidRDefault="008128DB">
            <w:proofErr w:type="spellStart"/>
            <w:r>
              <w:t>Derwin</w:t>
            </w:r>
            <w:proofErr w:type="spellEnd"/>
            <w:r>
              <w:t xml:space="preserve"> Hall, Tai Edward Few, Marilyn </w:t>
            </w:r>
            <w:proofErr w:type="spellStart"/>
            <w:r>
              <w:t>Pyeatt</w:t>
            </w:r>
            <w:proofErr w:type="spellEnd"/>
          </w:p>
        </w:tc>
        <w:tc>
          <w:tcPr>
            <w:tcW w:w="2003" w:type="dxa"/>
          </w:tcPr>
          <w:p w:rsidR="008128DB" w:rsidRDefault="008128DB">
            <w:r>
              <w:t>Healthy Relationships: A small group-level intervention with people living with HIV/AIDS</w:t>
            </w:r>
          </w:p>
        </w:tc>
        <w:tc>
          <w:tcPr>
            <w:tcW w:w="3581" w:type="dxa"/>
          </w:tcPr>
          <w:p w:rsidR="008128DB" w:rsidRDefault="005370D9">
            <w:r>
              <w:t>Technical Assistance Guide</w:t>
            </w:r>
          </w:p>
        </w:tc>
        <w:tc>
          <w:tcPr>
            <w:tcW w:w="3581" w:type="dxa"/>
          </w:tcPr>
          <w:p w:rsidR="008128DB" w:rsidRDefault="008128DB">
            <w:r>
              <w:t>“In the original research, incentives were used to encourage intervention participates to arrive on time.  The incentives were raffled off at the end of each session and only the participants who arrived on time were eligible to participate in the raffle.”</w:t>
            </w:r>
          </w:p>
        </w:tc>
        <w:tc>
          <w:tcPr>
            <w:tcW w:w="1098" w:type="dxa"/>
          </w:tcPr>
          <w:p w:rsidR="008128DB" w:rsidRDefault="008128DB">
            <w:r>
              <w:t>63</w:t>
            </w:r>
          </w:p>
        </w:tc>
      </w:tr>
      <w:tr w:rsidR="008128DB" w:rsidTr="00A309D1">
        <w:tc>
          <w:tcPr>
            <w:tcW w:w="2174" w:type="dxa"/>
          </w:tcPr>
          <w:p w:rsidR="008128DB" w:rsidRDefault="008128DB">
            <w:r>
              <w:t xml:space="preserve">Jeffrey S. </w:t>
            </w:r>
            <w:proofErr w:type="spellStart"/>
            <w:r>
              <w:t>Nevid</w:t>
            </w:r>
            <w:proofErr w:type="spellEnd"/>
            <w:r>
              <w:t xml:space="preserve">, Jodi L. </w:t>
            </w:r>
            <w:proofErr w:type="spellStart"/>
            <w:r>
              <w:t>Lampmann</w:t>
            </w:r>
            <w:proofErr w:type="spellEnd"/>
          </w:p>
        </w:tc>
        <w:tc>
          <w:tcPr>
            <w:tcW w:w="2003" w:type="dxa"/>
          </w:tcPr>
          <w:p w:rsidR="008128DB" w:rsidRDefault="008128DB">
            <w:r>
              <w:t>Effects on Content Acquisition of Signaling Key Concepts in Text Material</w:t>
            </w:r>
          </w:p>
        </w:tc>
        <w:tc>
          <w:tcPr>
            <w:tcW w:w="3581" w:type="dxa"/>
          </w:tcPr>
          <w:p w:rsidR="008128DB" w:rsidRDefault="005370D9">
            <w:r>
              <w:t>Teaching of Psychology 2003</w:t>
            </w:r>
          </w:p>
        </w:tc>
        <w:tc>
          <w:tcPr>
            <w:tcW w:w="3581" w:type="dxa"/>
          </w:tcPr>
          <w:p w:rsidR="008128DB" w:rsidRDefault="008128DB">
            <w:r>
              <w:t>“We used a raffled prize of a personal stereo system as a motivation incentive to encourage students to perform their best on content quizzes.  Participants received one raffle ticket for completing the study and an additional raffle tickets based on their quiz performance…”</w:t>
            </w:r>
          </w:p>
        </w:tc>
        <w:tc>
          <w:tcPr>
            <w:tcW w:w="1098" w:type="dxa"/>
          </w:tcPr>
          <w:p w:rsidR="008128DB" w:rsidRDefault="008128DB">
            <w:r>
              <w:t>5</w:t>
            </w:r>
          </w:p>
        </w:tc>
      </w:tr>
      <w:tr w:rsidR="008128DB" w:rsidTr="008128DB">
        <w:trPr>
          <w:trHeight w:val="3653"/>
        </w:trPr>
        <w:tc>
          <w:tcPr>
            <w:tcW w:w="2174" w:type="dxa"/>
          </w:tcPr>
          <w:p w:rsidR="008128DB" w:rsidRDefault="008128DB">
            <w:r>
              <w:lastRenderedPageBreak/>
              <w:t xml:space="preserve">Eric </w:t>
            </w:r>
            <w:proofErr w:type="spellStart"/>
            <w:r>
              <w:t>Stice</w:t>
            </w:r>
            <w:proofErr w:type="spellEnd"/>
          </w:p>
        </w:tc>
        <w:tc>
          <w:tcPr>
            <w:tcW w:w="2003" w:type="dxa"/>
          </w:tcPr>
          <w:p w:rsidR="008128DB" w:rsidRDefault="008128DB">
            <w:r>
              <w:t xml:space="preserve">A Prospective of the Dual-Pathway Model of Bulimic Pathology: Mediating Effects of Dieting and Negative Affect </w:t>
            </w:r>
          </w:p>
        </w:tc>
        <w:tc>
          <w:tcPr>
            <w:tcW w:w="3581" w:type="dxa"/>
          </w:tcPr>
          <w:p w:rsidR="008128DB" w:rsidRDefault="005370D9">
            <w:r>
              <w:t>Journal of abnormal Psychology 2001</w:t>
            </w:r>
          </w:p>
        </w:tc>
        <w:tc>
          <w:tcPr>
            <w:tcW w:w="3581" w:type="dxa"/>
          </w:tcPr>
          <w:p w:rsidR="008128DB" w:rsidRDefault="008128DB">
            <w:r>
              <w:t>“To compensate participants for their time, raffles were held for $15 gift certificates to a local book and music store or magazine subscription.”</w:t>
            </w:r>
          </w:p>
        </w:tc>
        <w:tc>
          <w:tcPr>
            <w:tcW w:w="1098" w:type="dxa"/>
          </w:tcPr>
          <w:p w:rsidR="008128DB" w:rsidRDefault="008128DB">
            <w:r>
              <w:t>126</w:t>
            </w:r>
          </w:p>
        </w:tc>
      </w:tr>
      <w:tr w:rsidR="008128DB" w:rsidTr="00A309D1">
        <w:tc>
          <w:tcPr>
            <w:tcW w:w="2174" w:type="dxa"/>
          </w:tcPr>
          <w:p w:rsidR="008128DB" w:rsidRDefault="008128DB">
            <w:r>
              <w:t xml:space="preserve">Heather Shaw, Lisa Ramirez, Ariel </w:t>
            </w:r>
            <w:proofErr w:type="spellStart"/>
            <w:r>
              <w:t>Trost</w:t>
            </w:r>
            <w:proofErr w:type="spellEnd"/>
            <w:r>
              <w:t xml:space="preserve">, Pay Randall, Eric </w:t>
            </w:r>
            <w:proofErr w:type="spellStart"/>
            <w:r>
              <w:t>Stice</w:t>
            </w:r>
            <w:proofErr w:type="spellEnd"/>
            <w:r>
              <w:t xml:space="preserve"> </w:t>
            </w:r>
          </w:p>
        </w:tc>
        <w:tc>
          <w:tcPr>
            <w:tcW w:w="2003" w:type="dxa"/>
          </w:tcPr>
          <w:p w:rsidR="008128DB" w:rsidRDefault="008128DB">
            <w:r>
              <w:t xml:space="preserve">Body Image and Eating Disturbances Across Ethnic Groups: More Similarities Than Differences </w:t>
            </w:r>
          </w:p>
        </w:tc>
        <w:tc>
          <w:tcPr>
            <w:tcW w:w="3581" w:type="dxa"/>
          </w:tcPr>
          <w:p w:rsidR="008128DB" w:rsidRDefault="005370D9">
            <w:r>
              <w:t>Psychology of Addictive Behaviors 2004</w:t>
            </w:r>
          </w:p>
        </w:tc>
        <w:tc>
          <w:tcPr>
            <w:tcW w:w="3581" w:type="dxa"/>
          </w:tcPr>
          <w:p w:rsidR="008128DB" w:rsidRDefault="008128DB">
            <w:r>
              <w:t xml:space="preserve">“Participants received a $15 gift certificate to a local book and music store to compensate them for completing the assessment battery.” </w:t>
            </w:r>
          </w:p>
        </w:tc>
        <w:tc>
          <w:tcPr>
            <w:tcW w:w="1098" w:type="dxa"/>
          </w:tcPr>
          <w:p w:rsidR="008128DB" w:rsidRDefault="008128DB">
            <w:r>
              <w:t>13</w:t>
            </w:r>
          </w:p>
        </w:tc>
      </w:tr>
      <w:tr w:rsidR="008128DB" w:rsidTr="007D6A48">
        <w:trPr>
          <w:trHeight w:val="2753"/>
        </w:trPr>
        <w:tc>
          <w:tcPr>
            <w:tcW w:w="2174" w:type="dxa"/>
          </w:tcPr>
          <w:p w:rsidR="008128DB" w:rsidRDefault="008128DB">
            <w:r>
              <w:t xml:space="preserve">Lela A. Rankin, Jennifer L. </w:t>
            </w:r>
            <w:proofErr w:type="spellStart"/>
            <w:r>
              <w:t>Maggs</w:t>
            </w:r>
            <w:proofErr w:type="spellEnd"/>
          </w:p>
        </w:tc>
        <w:tc>
          <w:tcPr>
            <w:tcW w:w="2003" w:type="dxa"/>
          </w:tcPr>
          <w:p w:rsidR="008128DB" w:rsidRDefault="008128DB">
            <w:r>
              <w:t>First Year College Student Affect and Alcohol Use: Paradoxical Within-and Between-Person Associations</w:t>
            </w:r>
          </w:p>
        </w:tc>
        <w:tc>
          <w:tcPr>
            <w:tcW w:w="3581" w:type="dxa"/>
          </w:tcPr>
          <w:p w:rsidR="008128DB" w:rsidRDefault="005370D9">
            <w:r>
              <w:t>J Youth Adolescence 2006</w:t>
            </w:r>
          </w:p>
        </w:tc>
        <w:tc>
          <w:tcPr>
            <w:tcW w:w="3581" w:type="dxa"/>
          </w:tcPr>
          <w:p w:rsidR="008128DB" w:rsidRDefault="008128DB">
            <w:r>
              <w:t>“Weekly raffles for gift certificates plus a one-time 20-dollar-thank you for each participant were provided as incentives.”</w:t>
            </w:r>
          </w:p>
        </w:tc>
        <w:tc>
          <w:tcPr>
            <w:tcW w:w="1098" w:type="dxa"/>
          </w:tcPr>
          <w:p w:rsidR="008128DB" w:rsidRDefault="008128DB">
            <w:r>
              <w:t>928</w:t>
            </w:r>
          </w:p>
        </w:tc>
      </w:tr>
      <w:tr w:rsidR="008128DB" w:rsidTr="00A309D1">
        <w:tc>
          <w:tcPr>
            <w:tcW w:w="2174" w:type="dxa"/>
          </w:tcPr>
          <w:p w:rsidR="008128DB" w:rsidRPr="008128DB" w:rsidRDefault="008128DB">
            <w:pPr>
              <w:rPr>
                <w:lang w:val="pl-PL"/>
              </w:rPr>
            </w:pPr>
            <w:r w:rsidRPr="008128DB">
              <w:rPr>
                <w:lang w:val="pl-PL"/>
              </w:rPr>
              <w:lastRenderedPageBreak/>
              <w:t>Amy G. Lam, Nolan W.S. Zane</w:t>
            </w:r>
          </w:p>
        </w:tc>
        <w:tc>
          <w:tcPr>
            <w:tcW w:w="2003" w:type="dxa"/>
          </w:tcPr>
          <w:p w:rsidR="008128DB" w:rsidRDefault="008128DB">
            <w:r>
              <w:t>Ethnic differences in coping with interpersonal stressors: A test of Self-</w:t>
            </w:r>
            <w:proofErr w:type="spellStart"/>
            <w:r>
              <w:t>Construals</w:t>
            </w:r>
            <w:proofErr w:type="spellEnd"/>
            <w:r>
              <w:t xml:space="preserve"> as Cultural Mediators</w:t>
            </w:r>
          </w:p>
        </w:tc>
        <w:tc>
          <w:tcPr>
            <w:tcW w:w="3581" w:type="dxa"/>
          </w:tcPr>
          <w:p w:rsidR="008128DB" w:rsidRDefault="005370D9">
            <w:r>
              <w:t>Journal of Cross Cultural Psychology 2004</w:t>
            </w:r>
          </w:p>
        </w:tc>
        <w:tc>
          <w:tcPr>
            <w:tcW w:w="3581" w:type="dxa"/>
          </w:tcPr>
          <w:p w:rsidR="008128DB" w:rsidRDefault="008128DB">
            <w:r>
              <w:t xml:space="preserve">“On completion of the </w:t>
            </w:r>
            <w:r w:rsidR="007D6A48">
              <w:t>questionnaires</w:t>
            </w:r>
            <w:r>
              <w:t>, most participants were entered into a raffle for participation.  The raffle included one $100 prize, and two $25 prizes.”</w:t>
            </w:r>
          </w:p>
        </w:tc>
        <w:tc>
          <w:tcPr>
            <w:tcW w:w="1098" w:type="dxa"/>
          </w:tcPr>
          <w:p w:rsidR="008128DB" w:rsidRDefault="008128DB">
            <w:r>
              <w:t>451</w:t>
            </w:r>
          </w:p>
        </w:tc>
      </w:tr>
      <w:tr w:rsidR="008128DB" w:rsidTr="00A309D1">
        <w:tc>
          <w:tcPr>
            <w:tcW w:w="2174" w:type="dxa"/>
          </w:tcPr>
          <w:p w:rsidR="008128DB" w:rsidRPr="008128DB" w:rsidRDefault="008128DB">
            <w:pPr>
              <w:rPr>
                <w:lang w:val="it-IT"/>
              </w:rPr>
            </w:pPr>
            <w:r w:rsidRPr="008128DB">
              <w:rPr>
                <w:lang w:val="it-IT"/>
              </w:rPr>
              <w:t>Monica A Marsee, Persephanie Silverhorn, Paul J. Frick</w:t>
            </w:r>
          </w:p>
        </w:tc>
        <w:tc>
          <w:tcPr>
            <w:tcW w:w="2003" w:type="dxa"/>
          </w:tcPr>
          <w:p w:rsidR="008128DB" w:rsidRDefault="008128DB">
            <w:r>
              <w:t>The Association of Psychopathic Traits with Aggression and Delinquency in Non-Referred Boys and Girls</w:t>
            </w:r>
          </w:p>
        </w:tc>
        <w:tc>
          <w:tcPr>
            <w:tcW w:w="3581" w:type="dxa"/>
          </w:tcPr>
          <w:p w:rsidR="008128DB" w:rsidRDefault="005370D9">
            <w:proofErr w:type="spellStart"/>
            <w:r>
              <w:t>Behav</w:t>
            </w:r>
            <w:proofErr w:type="spellEnd"/>
            <w:r>
              <w:t>. Sci. Law 23</w:t>
            </w:r>
            <w:r w:rsidR="007D6A48">
              <w:t xml:space="preserve"> 2005</w:t>
            </w:r>
          </w:p>
        </w:tc>
        <w:tc>
          <w:tcPr>
            <w:tcW w:w="3581" w:type="dxa"/>
          </w:tcPr>
          <w:p w:rsidR="008128DB" w:rsidRDefault="008128DB">
            <w:r>
              <w:t>“All teachers received a $50.00 gift certificate upon completion of the questionnaires.  Additionally, all teachers were entered into a raffle to win a $100.00 gift certificate and, it they returned forms early, they were also entered into an additional “early-bird” raffle to win a $75.00 gift certificate.”</w:t>
            </w:r>
          </w:p>
        </w:tc>
        <w:tc>
          <w:tcPr>
            <w:tcW w:w="1098" w:type="dxa"/>
          </w:tcPr>
          <w:p w:rsidR="008128DB" w:rsidRDefault="008128DB">
            <w:r>
              <w:t>809</w:t>
            </w:r>
          </w:p>
        </w:tc>
      </w:tr>
      <w:tr w:rsidR="008128DB" w:rsidTr="007D6A48">
        <w:trPr>
          <w:trHeight w:val="3833"/>
        </w:trPr>
        <w:tc>
          <w:tcPr>
            <w:tcW w:w="2174" w:type="dxa"/>
          </w:tcPr>
          <w:p w:rsidR="008128DB" w:rsidRDefault="008128DB">
            <w:r>
              <w:t xml:space="preserve">Gwendolyn Quinn, Susan </w:t>
            </w:r>
            <w:proofErr w:type="spellStart"/>
            <w:r>
              <w:t>Vadaparami</w:t>
            </w:r>
            <w:proofErr w:type="spellEnd"/>
            <w:r>
              <w:t xml:space="preserve">, Crystal Wilson, Lindsey King, </w:t>
            </w:r>
            <w:proofErr w:type="spellStart"/>
            <w:r>
              <w:t>Jimin</w:t>
            </w:r>
            <w:proofErr w:type="spellEnd"/>
            <w:r>
              <w:t xml:space="preserve"> Choi, Cheryl </w:t>
            </w:r>
            <w:proofErr w:type="spellStart"/>
            <w:r>
              <w:t>Miree</w:t>
            </w:r>
            <w:proofErr w:type="spellEnd"/>
            <w:r>
              <w:t xml:space="preserve">, Sue Friedman </w:t>
            </w:r>
          </w:p>
        </w:tc>
        <w:tc>
          <w:tcPr>
            <w:tcW w:w="2003" w:type="dxa"/>
          </w:tcPr>
          <w:p w:rsidR="008128DB" w:rsidRDefault="008128DB">
            <w:r>
              <w:t xml:space="preserve">Attitudes of high-risk women toward </w:t>
            </w:r>
            <w:proofErr w:type="spellStart"/>
            <w:r>
              <w:t>preimplantation</w:t>
            </w:r>
            <w:proofErr w:type="spellEnd"/>
            <w:r>
              <w:t xml:space="preserve"> genetic diagnosis </w:t>
            </w:r>
          </w:p>
        </w:tc>
        <w:tc>
          <w:tcPr>
            <w:tcW w:w="3581" w:type="dxa"/>
          </w:tcPr>
          <w:p w:rsidR="008128DB" w:rsidRDefault="007D6A48">
            <w:r>
              <w:t>Fertility and Sterility                                           Vol. 91 June 2009</w:t>
            </w:r>
          </w:p>
        </w:tc>
        <w:tc>
          <w:tcPr>
            <w:tcW w:w="3581" w:type="dxa"/>
          </w:tcPr>
          <w:p w:rsidR="008128DB" w:rsidRDefault="008128DB">
            <w:r>
              <w:t>“Participants were asked to place their completed surveys in the SURVEYS box and those that wished to be entered into the raffle for one of two $50 gift certificates could detach the cover letter and place it in the RAFFLE box.”</w:t>
            </w:r>
          </w:p>
        </w:tc>
        <w:tc>
          <w:tcPr>
            <w:tcW w:w="1098" w:type="dxa"/>
          </w:tcPr>
          <w:p w:rsidR="008128DB" w:rsidRDefault="008128DB">
            <w:r>
              <w:t>2363</w:t>
            </w:r>
          </w:p>
        </w:tc>
      </w:tr>
      <w:tr w:rsidR="008128DB" w:rsidTr="00A309D1">
        <w:tc>
          <w:tcPr>
            <w:tcW w:w="2174" w:type="dxa"/>
          </w:tcPr>
          <w:p w:rsidR="008128DB" w:rsidRDefault="008128DB">
            <w:proofErr w:type="spellStart"/>
            <w:r>
              <w:lastRenderedPageBreak/>
              <w:t>Charu</w:t>
            </w:r>
            <w:proofErr w:type="spellEnd"/>
            <w:r>
              <w:t xml:space="preserve"> L. Jain, Christina M. Wyatt, Ryan Burke, Kent </w:t>
            </w:r>
            <w:proofErr w:type="spellStart"/>
            <w:r>
              <w:t>Sepkowitz</w:t>
            </w:r>
            <w:proofErr w:type="spellEnd"/>
            <w:r>
              <w:t xml:space="preserve">, and Elizabeth M </w:t>
            </w:r>
            <w:proofErr w:type="spellStart"/>
            <w:r>
              <w:t>Begier</w:t>
            </w:r>
            <w:proofErr w:type="spellEnd"/>
          </w:p>
        </w:tc>
        <w:tc>
          <w:tcPr>
            <w:tcW w:w="2003" w:type="dxa"/>
          </w:tcPr>
          <w:p w:rsidR="008128DB" w:rsidRDefault="008128DB">
            <w:r>
              <w:t>Knowledge of the Centers for Disease Control and Prevention’s 2006 Routine HIV Testing Recommendations among New York City Internal Medicine Residents</w:t>
            </w:r>
          </w:p>
        </w:tc>
        <w:tc>
          <w:tcPr>
            <w:tcW w:w="3581" w:type="dxa"/>
          </w:tcPr>
          <w:p w:rsidR="008128DB" w:rsidRDefault="007D6A48" w:rsidP="007D6A48">
            <w:r>
              <w:t>AIDS Patient care and STDs Volume 23, 2009</w:t>
            </w:r>
          </w:p>
        </w:tc>
        <w:tc>
          <w:tcPr>
            <w:tcW w:w="3581" w:type="dxa"/>
          </w:tcPr>
          <w:p w:rsidR="008128DB" w:rsidRDefault="008128DB">
            <w:r>
              <w:t>“Residents who completed the survey before June 6, 2007 were entered into a raffle to win one of ten $100 gift cards.  After June 6</w:t>
            </w:r>
            <w:r w:rsidRPr="00C06EC5">
              <w:rPr>
                <w:vertAlign w:val="superscript"/>
              </w:rPr>
              <w:t>th</w:t>
            </w:r>
            <w:r>
              <w:t>, residents completing the survey received a $5 Starbucks gift card.</w:t>
            </w:r>
          </w:p>
        </w:tc>
        <w:tc>
          <w:tcPr>
            <w:tcW w:w="1098" w:type="dxa"/>
          </w:tcPr>
          <w:p w:rsidR="008128DB" w:rsidRDefault="008128DB">
            <w:r>
              <w:t>168</w:t>
            </w:r>
          </w:p>
        </w:tc>
      </w:tr>
    </w:tbl>
    <w:p w:rsidR="00D73FC2" w:rsidRDefault="00D73FC2"/>
    <w:sectPr w:rsidR="00D73FC2" w:rsidSect="008128DB">
      <w:headerReference w:type="default" r:id="rId7"/>
      <w:foot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25" w:rsidRDefault="00E31B25" w:rsidP="00D81B91">
      <w:r>
        <w:separator/>
      </w:r>
    </w:p>
  </w:endnote>
  <w:endnote w:type="continuationSeparator" w:id="0">
    <w:p w:rsidR="00E31B25" w:rsidRDefault="00E31B25" w:rsidP="00D8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91" w:rsidRDefault="00D81B91" w:rsidP="00D81B91">
    <w:pPr>
      <w:pStyle w:val="Footer"/>
    </w:pPr>
    <w:r>
      <w:t>B-ME</w:t>
    </w:r>
  </w:p>
  <w:p w:rsidR="00D81B91" w:rsidRDefault="00D81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25" w:rsidRDefault="00E31B25" w:rsidP="00D81B91">
      <w:r>
        <w:separator/>
      </w:r>
    </w:p>
  </w:footnote>
  <w:footnote w:type="continuationSeparator" w:id="0">
    <w:p w:rsidR="00E31B25" w:rsidRDefault="00E31B25" w:rsidP="00D81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91" w:rsidRDefault="00D81B91" w:rsidP="00D81B91">
    <w:pPr>
      <w:pStyle w:val="Header"/>
    </w:pPr>
    <w:r>
      <w:t>July 05, 2012</w:t>
    </w:r>
    <w:r>
      <w:ptab w:relativeTo="margin" w:alignment="center" w:leader="none"/>
    </w:r>
    <w:r w:rsidR="005F3777">
      <w:t>Attachment 20 References for Raffle Studies</w:t>
    </w:r>
    <w:r>
      <w:ptab w:relativeTo="margin" w:alignment="right" w:leader="none"/>
    </w:r>
    <w:r>
      <w:t>Version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2E"/>
    <w:rsid w:val="001C40A6"/>
    <w:rsid w:val="005370D9"/>
    <w:rsid w:val="005C2F7C"/>
    <w:rsid w:val="005F3777"/>
    <w:rsid w:val="007B742E"/>
    <w:rsid w:val="007D6A48"/>
    <w:rsid w:val="007F3E5C"/>
    <w:rsid w:val="00800300"/>
    <w:rsid w:val="008128DB"/>
    <w:rsid w:val="00A6352F"/>
    <w:rsid w:val="00B0133C"/>
    <w:rsid w:val="00B83CFB"/>
    <w:rsid w:val="00C06EC5"/>
    <w:rsid w:val="00D73FC2"/>
    <w:rsid w:val="00D81B91"/>
    <w:rsid w:val="00E31B2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7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1B91"/>
    <w:pPr>
      <w:tabs>
        <w:tab w:val="center" w:pos="4680"/>
        <w:tab w:val="right" w:pos="9360"/>
      </w:tabs>
    </w:pPr>
  </w:style>
  <w:style w:type="character" w:customStyle="1" w:styleId="HeaderChar">
    <w:name w:val="Header Char"/>
    <w:basedOn w:val="DefaultParagraphFont"/>
    <w:link w:val="Header"/>
    <w:uiPriority w:val="99"/>
    <w:rsid w:val="00D81B91"/>
  </w:style>
  <w:style w:type="paragraph" w:styleId="Footer">
    <w:name w:val="footer"/>
    <w:basedOn w:val="Normal"/>
    <w:link w:val="FooterChar"/>
    <w:uiPriority w:val="99"/>
    <w:unhideWhenUsed/>
    <w:rsid w:val="00D81B91"/>
    <w:pPr>
      <w:tabs>
        <w:tab w:val="center" w:pos="4680"/>
        <w:tab w:val="right" w:pos="9360"/>
      </w:tabs>
    </w:pPr>
  </w:style>
  <w:style w:type="character" w:customStyle="1" w:styleId="FooterChar">
    <w:name w:val="Footer Char"/>
    <w:basedOn w:val="DefaultParagraphFont"/>
    <w:link w:val="Footer"/>
    <w:uiPriority w:val="99"/>
    <w:rsid w:val="00D81B91"/>
  </w:style>
  <w:style w:type="paragraph" w:styleId="BalloonText">
    <w:name w:val="Balloon Text"/>
    <w:basedOn w:val="Normal"/>
    <w:link w:val="BalloonTextChar"/>
    <w:uiPriority w:val="99"/>
    <w:semiHidden/>
    <w:unhideWhenUsed/>
    <w:rsid w:val="00D81B91"/>
    <w:rPr>
      <w:rFonts w:ascii="Tahoma" w:hAnsi="Tahoma" w:cs="Tahoma"/>
      <w:sz w:val="16"/>
      <w:szCs w:val="16"/>
    </w:rPr>
  </w:style>
  <w:style w:type="character" w:customStyle="1" w:styleId="BalloonTextChar">
    <w:name w:val="Balloon Text Char"/>
    <w:basedOn w:val="DefaultParagraphFont"/>
    <w:link w:val="BalloonText"/>
    <w:uiPriority w:val="99"/>
    <w:semiHidden/>
    <w:rsid w:val="00D81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7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1B91"/>
    <w:pPr>
      <w:tabs>
        <w:tab w:val="center" w:pos="4680"/>
        <w:tab w:val="right" w:pos="9360"/>
      </w:tabs>
    </w:pPr>
  </w:style>
  <w:style w:type="character" w:customStyle="1" w:styleId="HeaderChar">
    <w:name w:val="Header Char"/>
    <w:basedOn w:val="DefaultParagraphFont"/>
    <w:link w:val="Header"/>
    <w:uiPriority w:val="99"/>
    <w:rsid w:val="00D81B91"/>
  </w:style>
  <w:style w:type="paragraph" w:styleId="Footer">
    <w:name w:val="footer"/>
    <w:basedOn w:val="Normal"/>
    <w:link w:val="FooterChar"/>
    <w:uiPriority w:val="99"/>
    <w:unhideWhenUsed/>
    <w:rsid w:val="00D81B91"/>
    <w:pPr>
      <w:tabs>
        <w:tab w:val="center" w:pos="4680"/>
        <w:tab w:val="right" w:pos="9360"/>
      </w:tabs>
    </w:pPr>
  </w:style>
  <w:style w:type="character" w:customStyle="1" w:styleId="FooterChar">
    <w:name w:val="Footer Char"/>
    <w:basedOn w:val="DefaultParagraphFont"/>
    <w:link w:val="Footer"/>
    <w:uiPriority w:val="99"/>
    <w:rsid w:val="00D81B91"/>
  </w:style>
  <w:style w:type="paragraph" w:styleId="BalloonText">
    <w:name w:val="Balloon Text"/>
    <w:basedOn w:val="Normal"/>
    <w:link w:val="BalloonTextChar"/>
    <w:uiPriority w:val="99"/>
    <w:semiHidden/>
    <w:unhideWhenUsed/>
    <w:rsid w:val="00D81B91"/>
    <w:rPr>
      <w:rFonts w:ascii="Tahoma" w:hAnsi="Tahoma" w:cs="Tahoma"/>
      <w:sz w:val="16"/>
      <w:szCs w:val="16"/>
    </w:rPr>
  </w:style>
  <w:style w:type="character" w:customStyle="1" w:styleId="BalloonTextChar">
    <w:name w:val="Balloon Text Char"/>
    <w:basedOn w:val="DefaultParagraphFont"/>
    <w:link w:val="BalloonText"/>
    <w:uiPriority w:val="99"/>
    <w:semiHidden/>
    <w:rsid w:val="00D81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Dayton</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Goodwillie</dc:creator>
  <cp:lastModifiedBy>CTAC</cp:lastModifiedBy>
  <cp:revision>2</cp:revision>
  <cp:lastPrinted>2012-07-05T21:01:00Z</cp:lastPrinted>
  <dcterms:created xsi:type="dcterms:W3CDTF">2012-07-25T20:14:00Z</dcterms:created>
  <dcterms:modified xsi:type="dcterms:W3CDTF">2012-07-25T20:14:00Z</dcterms:modified>
</cp:coreProperties>
</file>