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F1" w:rsidRPr="00F512D2"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sz w:val="36"/>
        </w:rPr>
      </w:pPr>
      <w:r w:rsidRPr="00F512D2">
        <w:rPr>
          <w:rFonts w:asciiTheme="majorBidi" w:hAnsiTheme="majorBidi" w:cstheme="majorBidi"/>
          <w:b/>
          <w:sz w:val="36"/>
        </w:rPr>
        <w:t>National Survey on Drug Use and Health</w:t>
      </w:r>
    </w:p>
    <w:p w:rsidR="006252F1" w:rsidRPr="00F512D2" w:rsidRDefault="002227D4" w:rsidP="00D3115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sz w:val="36"/>
        </w:rPr>
      </w:pPr>
      <w:r w:rsidRPr="00F512D2">
        <w:rPr>
          <w:rFonts w:asciiTheme="majorBidi" w:hAnsiTheme="majorBidi" w:cstheme="majorBidi"/>
          <w:b/>
          <w:sz w:val="36"/>
        </w:rPr>
        <w:t>2012 Questionnaire Field Test</w:t>
      </w:r>
    </w:p>
    <w:p w:rsidR="006252F1" w:rsidRPr="00F512D2"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rPr>
      </w:pPr>
    </w:p>
    <w:p w:rsidR="006252F1" w:rsidRPr="00F512D2" w:rsidRDefault="006252F1" w:rsidP="00B0669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sz w:val="36"/>
          <w:u w:val="single"/>
        </w:rPr>
      </w:pPr>
      <w:r w:rsidRPr="00F512D2">
        <w:rPr>
          <w:rFonts w:asciiTheme="majorBidi" w:hAnsiTheme="majorBidi" w:cstheme="majorBidi"/>
          <w:b/>
          <w:sz w:val="36"/>
          <w:u w:val="single"/>
        </w:rPr>
        <w:t>SUPPORTING STATEMENT</w:t>
      </w:r>
    </w:p>
    <w:p w:rsidR="006252F1" w:rsidRPr="00F512D2"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252F1" w:rsidRPr="00F512D2"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252F1" w:rsidRPr="00F512D2" w:rsidRDefault="006252F1" w:rsidP="00682AC8">
      <w:pPr>
        <w:widowControl/>
        <w:rPr>
          <w:rFonts w:asciiTheme="majorBidi" w:hAnsiTheme="majorBidi" w:cstheme="majorBidi"/>
        </w:rPr>
      </w:pPr>
    </w:p>
    <w:p w:rsidR="00675DFE" w:rsidRPr="00F512D2" w:rsidRDefault="00675DFE" w:rsidP="00675D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F512D2">
        <w:rPr>
          <w:rFonts w:asciiTheme="majorBidi" w:hAnsiTheme="majorBidi" w:cstheme="majorBidi"/>
          <w:b/>
        </w:rPr>
        <w:t>B.</w:t>
      </w:r>
      <w:r w:rsidRPr="00F512D2">
        <w:rPr>
          <w:rFonts w:asciiTheme="majorBidi" w:hAnsiTheme="majorBidi" w:cstheme="majorBidi"/>
          <w:b/>
        </w:rPr>
        <w:tab/>
      </w:r>
      <w:r w:rsidRPr="00F512D2">
        <w:rPr>
          <w:rFonts w:asciiTheme="majorBidi" w:hAnsiTheme="majorBidi" w:cstheme="majorBidi"/>
          <w:b/>
          <w:u w:val="single"/>
        </w:rPr>
        <w:t>COLLECTIONS OF INFORMATION EMPLOYING STATISTICAL METHODS</w:t>
      </w:r>
    </w:p>
    <w:p w:rsidR="00675DFE" w:rsidRPr="00F512D2" w:rsidRDefault="00675DFE" w:rsidP="00675D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75DFE" w:rsidRPr="00F512D2" w:rsidRDefault="00675DFE" w:rsidP="00675D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rPr>
      </w:pPr>
      <w:r w:rsidRPr="00F512D2">
        <w:rPr>
          <w:rFonts w:asciiTheme="majorBidi" w:hAnsiTheme="majorBidi" w:cstheme="majorBidi"/>
          <w:b/>
        </w:rPr>
        <w:t>1.</w:t>
      </w:r>
      <w:r w:rsidRPr="00F512D2">
        <w:rPr>
          <w:rFonts w:asciiTheme="majorBidi" w:hAnsiTheme="majorBidi" w:cstheme="majorBidi"/>
          <w:b/>
        </w:rPr>
        <w:tab/>
      </w:r>
      <w:r w:rsidRPr="00F512D2">
        <w:rPr>
          <w:rFonts w:asciiTheme="majorBidi" w:hAnsiTheme="majorBidi" w:cstheme="majorBidi"/>
          <w:b/>
          <w:u w:val="single"/>
        </w:rPr>
        <w:t>Respondent Universe and Sampling Methods</w:t>
      </w:r>
    </w:p>
    <w:p w:rsidR="00675DFE" w:rsidRPr="00F512D2" w:rsidRDefault="00675DFE" w:rsidP="00675D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75DFE" w:rsidRPr="00F512D2" w:rsidRDefault="00675DFE" w:rsidP="00F3551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The respondent universe for the 2012</w:t>
      </w:r>
      <w:r w:rsidR="00F3551A" w:rsidRPr="00F512D2">
        <w:rPr>
          <w:rFonts w:asciiTheme="majorBidi" w:hAnsiTheme="majorBidi" w:cstheme="majorBidi"/>
        </w:rPr>
        <w:t xml:space="preserve"> QFT </w:t>
      </w:r>
      <w:r w:rsidRPr="00F512D2">
        <w:rPr>
          <w:rFonts w:asciiTheme="majorBidi" w:hAnsiTheme="majorBidi" w:cstheme="majorBidi"/>
        </w:rPr>
        <w:t xml:space="preserve">is the civilian, </w:t>
      </w:r>
      <w:proofErr w:type="spellStart"/>
      <w:r w:rsidRPr="00F512D2">
        <w:rPr>
          <w:rFonts w:asciiTheme="majorBidi" w:hAnsiTheme="majorBidi" w:cstheme="majorBidi"/>
        </w:rPr>
        <w:t>noninstitutionalized</w:t>
      </w:r>
      <w:proofErr w:type="spellEnd"/>
      <w:r w:rsidRPr="00F512D2">
        <w:rPr>
          <w:rFonts w:asciiTheme="majorBidi" w:hAnsiTheme="majorBidi" w:cstheme="majorBidi"/>
        </w:rPr>
        <w:t xml:space="preserve"> population aged 12 years old and older within </w:t>
      </w:r>
      <w:r w:rsidR="00751A0A" w:rsidRPr="00F512D2">
        <w:rPr>
          <w:rFonts w:asciiTheme="majorBidi" w:hAnsiTheme="majorBidi" w:cstheme="majorBidi"/>
        </w:rPr>
        <w:t>48</w:t>
      </w:r>
      <w:r w:rsidRPr="00F512D2">
        <w:rPr>
          <w:rFonts w:asciiTheme="majorBidi" w:hAnsiTheme="majorBidi" w:cstheme="majorBidi"/>
        </w:rPr>
        <w:t xml:space="preserve"> </w:t>
      </w:r>
      <w:r w:rsidR="00CF73BC" w:rsidRPr="00F512D2">
        <w:rPr>
          <w:rFonts w:asciiTheme="majorBidi" w:hAnsiTheme="majorBidi" w:cstheme="majorBidi"/>
        </w:rPr>
        <w:t xml:space="preserve">contiguous </w:t>
      </w:r>
      <w:r w:rsidRPr="00F512D2">
        <w:rPr>
          <w:rFonts w:asciiTheme="majorBidi" w:hAnsiTheme="majorBidi" w:cstheme="majorBidi"/>
        </w:rPr>
        <w:t>states and the District of Columbia.  Th</w:t>
      </w:r>
      <w:r w:rsidR="00F3551A" w:rsidRPr="00F512D2">
        <w:rPr>
          <w:rFonts w:asciiTheme="majorBidi" w:hAnsiTheme="majorBidi" w:cstheme="majorBidi"/>
        </w:rPr>
        <w:t xml:space="preserve">is </w:t>
      </w:r>
      <w:r w:rsidRPr="00F512D2">
        <w:rPr>
          <w:rFonts w:asciiTheme="majorBidi" w:hAnsiTheme="majorBidi" w:cstheme="majorBidi"/>
        </w:rPr>
        <w:t xml:space="preserve">universe includes residents of </w:t>
      </w:r>
      <w:proofErr w:type="spellStart"/>
      <w:r w:rsidRPr="00F512D2">
        <w:rPr>
          <w:rFonts w:asciiTheme="majorBidi" w:hAnsiTheme="majorBidi" w:cstheme="majorBidi"/>
        </w:rPr>
        <w:t>noninstitutional</w:t>
      </w:r>
      <w:proofErr w:type="spellEnd"/>
      <w:r w:rsidRPr="00F512D2">
        <w:rPr>
          <w:rFonts w:asciiTheme="majorBidi" w:hAnsiTheme="majorBidi" w:cstheme="majorBidi"/>
        </w:rPr>
        <w:t xml:space="preserve"> group quarters (e.g., shelters, rooming houses, dormitories)</w:t>
      </w:r>
      <w:r w:rsidR="00F3551A" w:rsidRPr="00F512D2">
        <w:rPr>
          <w:rFonts w:asciiTheme="majorBidi" w:hAnsiTheme="majorBidi" w:cstheme="majorBidi"/>
        </w:rPr>
        <w:t xml:space="preserve"> </w:t>
      </w:r>
      <w:r w:rsidRPr="00F512D2">
        <w:rPr>
          <w:rFonts w:asciiTheme="majorBidi" w:hAnsiTheme="majorBidi" w:cstheme="majorBidi"/>
        </w:rPr>
        <w:t xml:space="preserve">and civilians residing on military bases.  Persons excluded from the universe include those with no fixed household address, e.g., homeless transients </w:t>
      </w:r>
      <w:r w:rsidRPr="00F512D2">
        <w:rPr>
          <w:rFonts w:asciiTheme="majorBidi" w:hAnsiTheme="majorBidi" w:cstheme="majorBidi"/>
          <w:u w:val="single"/>
        </w:rPr>
        <w:t>not</w:t>
      </w:r>
      <w:r w:rsidRPr="00F512D2">
        <w:rPr>
          <w:rFonts w:asciiTheme="majorBidi" w:hAnsiTheme="majorBidi" w:cstheme="majorBidi"/>
        </w:rPr>
        <w:t xml:space="preserve"> in shelters, and residents of institutional group quarters such as jails and hospitals. </w:t>
      </w:r>
      <w:r w:rsidR="00F3551A" w:rsidRPr="00F512D2">
        <w:rPr>
          <w:rFonts w:asciiTheme="majorBidi" w:hAnsiTheme="majorBidi" w:cstheme="majorBidi"/>
        </w:rPr>
        <w:t xml:space="preserve"> In addition, to control costs, persons residing in Alaska and Hawaii as well as persons who do not speak English will be excluded from the QFT sample. </w:t>
      </w:r>
      <w:r w:rsidRPr="00F512D2">
        <w:rPr>
          <w:rFonts w:asciiTheme="majorBidi" w:hAnsiTheme="majorBidi" w:cstheme="majorBidi"/>
        </w:rPr>
        <w:t xml:space="preserve"> </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DA74FE" w:rsidRPr="00F512D2" w:rsidRDefault="00DA74FE" w:rsidP="001C558A">
      <w:pPr>
        <w:ind w:left="720"/>
        <w:rPr>
          <w:rFonts w:asciiTheme="majorBidi" w:hAnsiTheme="majorBidi" w:cstheme="majorBidi"/>
        </w:rPr>
      </w:pPr>
      <w:r w:rsidRPr="00F512D2">
        <w:rPr>
          <w:rFonts w:asciiTheme="majorBidi" w:hAnsiTheme="majorBidi" w:cstheme="majorBidi"/>
        </w:rPr>
        <w:t>The annual NSDUH sample is designed to yield 67,500 interviews from 7,200 segments each calendar year (Morton, Hirsch, and Martin, 2011). Thus, an estimated 213 segments will be needed to yield approximately 2,000 completed interviews for the QFT. To achieve national representation of the English-speaking population, a probability proportional to size (PPS) sample of 213 (</w:t>
      </w:r>
      <w:r w:rsidR="0019029E" w:rsidRPr="00F512D2">
        <w:rPr>
          <w:rFonts w:asciiTheme="majorBidi" w:hAnsiTheme="majorBidi" w:cstheme="majorBidi"/>
        </w:rPr>
        <w:t xml:space="preserve">out </w:t>
      </w:r>
      <w:r w:rsidRPr="00F512D2">
        <w:rPr>
          <w:rFonts w:asciiTheme="majorBidi" w:hAnsiTheme="majorBidi" w:cstheme="majorBidi"/>
        </w:rPr>
        <w:t>of 876) state sampling regions will be selected. This design will maximize the efficiency (i.e., increase precision) of the QFT estimates by reducing variation in the weights. In addition, this design has the benefit of placing the sample in heavily populated areas where a sufficient mix of field interviewers (FIs) with various experience levels would be available to meet the QFT staffing needs.</w:t>
      </w:r>
    </w:p>
    <w:p w:rsidR="00C57983" w:rsidRPr="00F512D2" w:rsidRDefault="00C57983" w:rsidP="00CF73BC">
      <w:pPr>
        <w:keepNext/>
        <w:keepLines/>
        <w:ind w:left="720"/>
        <w:rPr>
          <w:rFonts w:asciiTheme="majorBidi" w:hAnsiTheme="majorBidi" w:cstheme="majorBidi"/>
        </w:rPr>
      </w:pPr>
    </w:p>
    <w:p w:rsidR="00DA74FE" w:rsidRPr="00F512D2" w:rsidRDefault="00DA74FE" w:rsidP="00CF73BC">
      <w:pPr>
        <w:keepNext/>
        <w:keepLines/>
        <w:ind w:left="720"/>
        <w:rPr>
          <w:rFonts w:asciiTheme="majorBidi" w:hAnsiTheme="majorBidi" w:cstheme="majorBidi"/>
        </w:rPr>
      </w:pPr>
      <w:r w:rsidRPr="00F512D2">
        <w:rPr>
          <w:rFonts w:asciiTheme="majorBidi" w:hAnsiTheme="majorBidi" w:cstheme="majorBidi"/>
        </w:rPr>
        <w:t xml:space="preserve">Within each selected </w:t>
      </w:r>
      <w:r w:rsidR="00500991" w:rsidRPr="00F512D2">
        <w:rPr>
          <w:rFonts w:asciiTheme="majorBidi" w:hAnsiTheme="majorBidi" w:cstheme="majorBidi"/>
        </w:rPr>
        <w:t>state sampling</w:t>
      </w:r>
      <w:r w:rsidRPr="00F512D2">
        <w:rPr>
          <w:rFonts w:asciiTheme="majorBidi" w:hAnsiTheme="majorBidi" w:cstheme="majorBidi"/>
        </w:rPr>
        <w:t xml:space="preserve"> region, a sample of dwelling units will be drawn from the segment </w:t>
      </w:r>
      <w:r w:rsidR="00500991" w:rsidRPr="00F512D2">
        <w:rPr>
          <w:rFonts w:asciiTheme="majorBidi" w:hAnsiTheme="majorBidi" w:cstheme="majorBidi"/>
        </w:rPr>
        <w:t xml:space="preserve">to be </w:t>
      </w:r>
      <w:r w:rsidRPr="00F512D2">
        <w:rPr>
          <w:rFonts w:asciiTheme="majorBidi" w:hAnsiTheme="majorBidi" w:cstheme="majorBidi"/>
        </w:rPr>
        <w:t>retired from use in Quarter 1 of the 2012 NSDUH. If an insufficient number of eligible dwelling units remain</w:t>
      </w:r>
      <w:r w:rsidR="00CF73BC" w:rsidRPr="00F512D2">
        <w:rPr>
          <w:rFonts w:asciiTheme="majorBidi" w:hAnsiTheme="majorBidi" w:cstheme="majorBidi"/>
        </w:rPr>
        <w:t>s</w:t>
      </w:r>
      <w:r w:rsidRPr="00F512D2">
        <w:rPr>
          <w:rFonts w:asciiTheme="majorBidi" w:hAnsiTheme="majorBidi" w:cstheme="majorBidi"/>
        </w:rPr>
        <w:t xml:space="preserve"> in a</w:t>
      </w:r>
      <w:r w:rsidR="00500991" w:rsidRPr="00F512D2">
        <w:rPr>
          <w:rFonts w:asciiTheme="majorBidi" w:hAnsiTheme="majorBidi" w:cstheme="majorBidi"/>
        </w:rPr>
        <w:t>ny</w:t>
      </w:r>
      <w:r w:rsidRPr="00F512D2">
        <w:rPr>
          <w:rFonts w:asciiTheme="majorBidi" w:hAnsiTheme="majorBidi" w:cstheme="majorBidi"/>
        </w:rPr>
        <w:t xml:space="preserve"> segment, </w:t>
      </w:r>
      <w:r w:rsidR="00CF73BC" w:rsidRPr="00F512D2">
        <w:rPr>
          <w:rFonts w:asciiTheme="majorBidi" w:hAnsiTheme="majorBidi" w:cstheme="majorBidi"/>
        </w:rPr>
        <w:t xml:space="preserve">this </w:t>
      </w:r>
      <w:r w:rsidRPr="00F512D2">
        <w:rPr>
          <w:rFonts w:asciiTheme="majorBidi" w:hAnsiTheme="majorBidi" w:cstheme="majorBidi"/>
        </w:rPr>
        <w:t>segment will be replaced with the Quarter 4</w:t>
      </w:r>
      <w:r w:rsidR="00500991" w:rsidRPr="00F512D2">
        <w:rPr>
          <w:rFonts w:asciiTheme="majorBidi" w:hAnsiTheme="majorBidi" w:cstheme="majorBidi"/>
        </w:rPr>
        <w:t>,</w:t>
      </w:r>
      <w:r w:rsidRPr="00F512D2">
        <w:rPr>
          <w:rFonts w:asciiTheme="majorBidi" w:hAnsiTheme="majorBidi" w:cstheme="majorBidi"/>
        </w:rPr>
        <w:t xml:space="preserve"> 2011 retired segment in the same </w:t>
      </w:r>
      <w:r w:rsidR="00500991" w:rsidRPr="00F512D2">
        <w:rPr>
          <w:rFonts w:asciiTheme="majorBidi" w:hAnsiTheme="majorBidi" w:cstheme="majorBidi"/>
        </w:rPr>
        <w:t>state sampling</w:t>
      </w:r>
      <w:r w:rsidRPr="00F512D2">
        <w:rPr>
          <w:rFonts w:asciiTheme="majorBidi" w:hAnsiTheme="majorBidi" w:cstheme="majorBidi"/>
        </w:rPr>
        <w:t xml:space="preserve"> region. The retired segments to be used for the QFT were formed and selected at the same time as the main study NSDUH segments, but randomly assigned to a different survey year and quarter.</w:t>
      </w:r>
    </w:p>
    <w:p w:rsidR="001C558A" w:rsidRPr="00F512D2" w:rsidRDefault="001C558A" w:rsidP="001C558A">
      <w:pPr>
        <w:keepNext/>
        <w:keepLines/>
        <w:ind w:left="720"/>
        <w:rPr>
          <w:rFonts w:asciiTheme="majorBidi" w:hAnsiTheme="majorBidi" w:cstheme="majorBidi"/>
        </w:rPr>
      </w:pPr>
    </w:p>
    <w:p w:rsidR="00DA74FE" w:rsidRPr="00F512D2" w:rsidRDefault="00500991" w:rsidP="001C558A">
      <w:pPr>
        <w:keepNext/>
        <w:keepLines/>
        <w:ind w:left="720"/>
        <w:rPr>
          <w:rFonts w:asciiTheme="majorBidi" w:hAnsiTheme="majorBidi" w:cstheme="majorBidi"/>
        </w:rPr>
      </w:pPr>
      <w:r w:rsidRPr="00F512D2">
        <w:rPr>
          <w:rFonts w:asciiTheme="majorBidi" w:hAnsiTheme="majorBidi" w:cstheme="majorBidi"/>
        </w:rPr>
        <w:t xml:space="preserve">Table 1 </w:t>
      </w:r>
      <w:r w:rsidR="001C558A" w:rsidRPr="00F512D2">
        <w:rPr>
          <w:rFonts w:asciiTheme="majorBidi" w:hAnsiTheme="majorBidi" w:cstheme="majorBidi"/>
        </w:rPr>
        <w:t xml:space="preserve">below </w:t>
      </w:r>
      <w:r w:rsidRPr="00F512D2">
        <w:rPr>
          <w:rFonts w:asciiTheme="majorBidi" w:hAnsiTheme="majorBidi" w:cstheme="majorBidi"/>
        </w:rPr>
        <w:t>shows the expected number of state sampling regions by state.</w:t>
      </w:r>
    </w:p>
    <w:p w:rsidR="00500991" w:rsidRPr="00F512D2" w:rsidRDefault="00500991" w:rsidP="00500991">
      <w:pPr>
        <w:keepNext/>
        <w:keepLines/>
        <w:spacing w:after="120"/>
        <w:ind w:left="720"/>
        <w:rPr>
          <w:rFonts w:asciiTheme="majorBidi" w:hAnsiTheme="majorBidi" w:cstheme="majorBidi"/>
        </w:rPr>
      </w:pPr>
    </w:p>
    <w:p w:rsidR="00C57983" w:rsidRPr="00F512D2" w:rsidRDefault="00C57983">
      <w:pPr>
        <w:widowControl/>
        <w:autoSpaceDE/>
        <w:autoSpaceDN/>
        <w:adjustRightInd/>
        <w:rPr>
          <w:rFonts w:asciiTheme="majorBidi" w:hAnsiTheme="majorBidi" w:cstheme="majorBidi"/>
          <w:b/>
          <w:bCs/>
          <w:color w:val="000000"/>
          <w:u w:val="single"/>
        </w:rPr>
      </w:pPr>
      <w:r w:rsidRPr="00F512D2">
        <w:rPr>
          <w:rFonts w:asciiTheme="majorBidi" w:hAnsiTheme="majorBidi" w:cstheme="majorBidi"/>
          <w:b/>
          <w:bCs/>
          <w:color w:val="000000"/>
          <w:u w:val="single"/>
        </w:rPr>
        <w:br w:type="page"/>
      </w:r>
    </w:p>
    <w:p w:rsidR="00500991" w:rsidRPr="00F512D2" w:rsidRDefault="00500991" w:rsidP="00500991">
      <w:pPr>
        <w:spacing w:after="120"/>
        <w:ind w:left="720"/>
        <w:rPr>
          <w:rFonts w:asciiTheme="majorBidi" w:hAnsiTheme="majorBidi" w:cstheme="majorBidi"/>
          <w:u w:val="single"/>
        </w:rPr>
      </w:pPr>
      <w:proofErr w:type="gramStart"/>
      <w:r w:rsidRPr="00F512D2">
        <w:rPr>
          <w:rFonts w:asciiTheme="majorBidi" w:hAnsiTheme="majorBidi" w:cstheme="majorBidi"/>
          <w:b/>
          <w:bCs/>
          <w:color w:val="000000"/>
          <w:u w:val="single"/>
        </w:rPr>
        <w:lastRenderedPageBreak/>
        <w:t>Table 1.</w:t>
      </w:r>
      <w:proofErr w:type="gramEnd"/>
      <w:r w:rsidRPr="00F512D2">
        <w:rPr>
          <w:rFonts w:asciiTheme="majorBidi" w:hAnsiTheme="majorBidi" w:cstheme="majorBidi"/>
          <w:b/>
          <w:bCs/>
          <w:color w:val="000000"/>
          <w:u w:val="single"/>
        </w:rPr>
        <w:t xml:space="preserve"> Expected Number of Questionnaire Field Test State Sampling Regions by State</w:t>
      </w:r>
    </w:p>
    <w:tbl>
      <w:tblPr>
        <w:tblpPr w:leftFromText="180" w:rightFromText="180" w:vertAnchor="text" w:tblpX="828" w:tblpY="1"/>
        <w:tblOverlap w:val="never"/>
        <w:tblW w:w="8375" w:type="dxa"/>
        <w:tblLook w:val="04A0"/>
      </w:tblPr>
      <w:tblGrid>
        <w:gridCol w:w="876"/>
        <w:gridCol w:w="49"/>
        <w:gridCol w:w="1282"/>
        <w:gridCol w:w="1113"/>
        <w:gridCol w:w="1392"/>
        <w:gridCol w:w="2195"/>
        <w:gridCol w:w="1468"/>
      </w:tblGrid>
      <w:tr w:rsidR="00500991" w:rsidRPr="00F512D2" w:rsidTr="00C57983">
        <w:trPr>
          <w:trHeight w:val="316"/>
        </w:trPr>
        <w:tc>
          <w:tcPr>
            <w:tcW w:w="925"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rsidR="00500991" w:rsidRPr="00F512D2" w:rsidRDefault="00500991" w:rsidP="00C57983">
            <w:pPr>
              <w:jc w:val="center"/>
              <w:rPr>
                <w:rFonts w:asciiTheme="majorBidi" w:hAnsiTheme="majorBidi" w:cstheme="majorBidi"/>
                <w:b/>
                <w:bCs/>
                <w:color w:val="000000"/>
                <w:sz w:val="22"/>
                <w:szCs w:val="22"/>
              </w:rPr>
            </w:pPr>
            <w:r w:rsidRPr="00F512D2">
              <w:rPr>
                <w:rFonts w:asciiTheme="majorBidi" w:hAnsiTheme="majorBidi" w:cstheme="majorBidi"/>
                <w:b/>
                <w:bCs/>
                <w:color w:val="000000"/>
                <w:sz w:val="22"/>
                <w:szCs w:val="22"/>
              </w:rPr>
              <w:t>State</w:t>
            </w:r>
          </w:p>
        </w:tc>
        <w:tc>
          <w:tcPr>
            <w:tcW w:w="1282" w:type="dxa"/>
            <w:vMerge w:val="restart"/>
            <w:tcBorders>
              <w:top w:val="single" w:sz="4" w:space="0" w:color="auto"/>
              <w:left w:val="nil"/>
              <w:bottom w:val="single" w:sz="4" w:space="0" w:color="000000"/>
              <w:right w:val="nil"/>
            </w:tcBorders>
            <w:shd w:val="clear" w:color="auto" w:fill="auto"/>
            <w:vAlign w:val="bottom"/>
            <w:hideMark/>
          </w:tcPr>
          <w:p w:rsidR="00500991" w:rsidRPr="00F512D2" w:rsidRDefault="00500991" w:rsidP="00C57983">
            <w:pPr>
              <w:jc w:val="center"/>
              <w:rPr>
                <w:rFonts w:asciiTheme="majorBidi" w:hAnsiTheme="majorBidi" w:cstheme="majorBidi"/>
                <w:b/>
                <w:bCs/>
                <w:color w:val="000000"/>
                <w:sz w:val="22"/>
                <w:szCs w:val="22"/>
              </w:rPr>
            </w:pPr>
            <w:r w:rsidRPr="00F512D2">
              <w:rPr>
                <w:rFonts w:asciiTheme="majorBidi" w:hAnsiTheme="majorBidi" w:cstheme="majorBidi"/>
                <w:b/>
                <w:bCs/>
                <w:color w:val="000000"/>
                <w:sz w:val="22"/>
                <w:szCs w:val="22"/>
              </w:rPr>
              <w:t>Population Rank</w:t>
            </w:r>
          </w:p>
        </w:tc>
        <w:tc>
          <w:tcPr>
            <w:tcW w:w="1113" w:type="dxa"/>
            <w:vMerge w:val="restart"/>
            <w:tcBorders>
              <w:top w:val="single" w:sz="4" w:space="0" w:color="auto"/>
              <w:left w:val="nil"/>
              <w:bottom w:val="single" w:sz="4" w:space="0" w:color="000000"/>
              <w:right w:val="nil"/>
            </w:tcBorders>
            <w:shd w:val="clear" w:color="auto" w:fill="auto"/>
            <w:vAlign w:val="bottom"/>
            <w:hideMark/>
          </w:tcPr>
          <w:p w:rsidR="00500991" w:rsidRPr="00F512D2" w:rsidRDefault="00500991" w:rsidP="00C57983">
            <w:pPr>
              <w:jc w:val="center"/>
              <w:rPr>
                <w:rFonts w:asciiTheme="majorBidi" w:hAnsiTheme="majorBidi" w:cstheme="majorBidi"/>
                <w:b/>
                <w:bCs/>
                <w:color w:val="000000"/>
                <w:sz w:val="22"/>
                <w:szCs w:val="22"/>
              </w:rPr>
            </w:pPr>
            <w:r w:rsidRPr="00F512D2">
              <w:rPr>
                <w:rFonts w:asciiTheme="majorBidi" w:hAnsiTheme="majorBidi" w:cstheme="majorBidi"/>
                <w:b/>
                <w:bCs/>
                <w:color w:val="000000"/>
                <w:sz w:val="22"/>
                <w:szCs w:val="22"/>
              </w:rPr>
              <w:t>Current Design</w:t>
            </w:r>
          </w:p>
        </w:tc>
        <w:tc>
          <w:tcPr>
            <w:tcW w:w="1392" w:type="dxa"/>
            <w:vMerge w:val="restart"/>
            <w:tcBorders>
              <w:top w:val="single" w:sz="4" w:space="0" w:color="auto"/>
              <w:left w:val="nil"/>
              <w:bottom w:val="single" w:sz="4" w:space="0" w:color="000000"/>
              <w:right w:val="nil"/>
            </w:tcBorders>
            <w:shd w:val="clear" w:color="auto" w:fill="auto"/>
            <w:vAlign w:val="bottom"/>
            <w:hideMark/>
          </w:tcPr>
          <w:p w:rsidR="00500991" w:rsidRPr="00F512D2" w:rsidRDefault="00500991" w:rsidP="00C57983">
            <w:pPr>
              <w:jc w:val="center"/>
              <w:rPr>
                <w:rFonts w:asciiTheme="majorBidi" w:hAnsiTheme="majorBidi" w:cstheme="majorBidi"/>
                <w:b/>
                <w:bCs/>
                <w:color w:val="000000"/>
                <w:sz w:val="22"/>
                <w:szCs w:val="22"/>
              </w:rPr>
            </w:pPr>
            <w:r w:rsidRPr="00F512D2">
              <w:rPr>
                <w:rFonts w:asciiTheme="majorBidi" w:hAnsiTheme="majorBidi" w:cstheme="majorBidi"/>
                <w:b/>
                <w:bCs/>
                <w:color w:val="000000"/>
                <w:sz w:val="22"/>
                <w:szCs w:val="22"/>
              </w:rPr>
              <w:t>NSDUH SS Regions</w:t>
            </w:r>
          </w:p>
        </w:tc>
        <w:tc>
          <w:tcPr>
            <w:tcW w:w="2195" w:type="dxa"/>
            <w:vMerge w:val="restart"/>
            <w:tcBorders>
              <w:top w:val="single" w:sz="4" w:space="0" w:color="auto"/>
              <w:left w:val="nil"/>
              <w:bottom w:val="single" w:sz="4" w:space="0" w:color="000000"/>
              <w:right w:val="nil"/>
            </w:tcBorders>
            <w:shd w:val="clear" w:color="auto" w:fill="auto"/>
            <w:vAlign w:val="bottom"/>
            <w:hideMark/>
          </w:tcPr>
          <w:p w:rsidR="00500991" w:rsidRPr="00F512D2" w:rsidRDefault="00500991" w:rsidP="00C57983">
            <w:pPr>
              <w:jc w:val="center"/>
              <w:rPr>
                <w:rFonts w:asciiTheme="majorBidi" w:hAnsiTheme="majorBidi" w:cstheme="majorBidi"/>
                <w:b/>
                <w:bCs/>
                <w:color w:val="000000"/>
                <w:sz w:val="22"/>
                <w:szCs w:val="22"/>
              </w:rPr>
            </w:pPr>
            <w:r w:rsidRPr="00F512D2">
              <w:rPr>
                <w:rFonts w:asciiTheme="majorBidi" w:hAnsiTheme="majorBidi" w:cstheme="majorBidi"/>
                <w:b/>
                <w:bCs/>
                <w:color w:val="000000"/>
                <w:sz w:val="22"/>
                <w:szCs w:val="22"/>
              </w:rPr>
              <w:t xml:space="preserve">Expected Number of </w:t>
            </w:r>
            <w:r w:rsidR="0019029E" w:rsidRPr="00F512D2">
              <w:rPr>
                <w:rFonts w:asciiTheme="majorBidi" w:hAnsiTheme="majorBidi" w:cstheme="majorBidi"/>
                <w:b/>
                <w:bCs/>
                <w:color w:val="000000"/>
                <w:sz w:val="22"/>
                <w:szCs w:val="22"/>
              </w:rPr>
              <w:t xml:space="preserve">QFT </w:t>
            </w:r>
            <w:r w:rsidRPr="00F512D2">
              <w:rPr>
                <w:rFonts w:asciiTheme="majorBidi" w:hAnsiTheme="majorBidi" w:cstheme="majorBidi"/>
                <w:b/>
                <w:bCs/>
                <w:color w:val="000000"/>
                <w:sz w:val="22"/>
                <w:szCs w:val="22"/>
              </w:rPr>
              <w:t>SS Regions/ Segments (PPS)</w:t>
            </w:r>
          </w:p>
        </w:tc>
        <w:tc>
          <w:tcPr>
            <w:tcW w:w="1468" w:type="dxa"/>
            <w:vMerge w:val="restart"/>
            <w:tcBorders>
              <w:top w:val="single" w:sz="4" w:space="0" w:color="auto"/>
              <w:left w:val="nil"/>
              <w:bottom w:val="single" w:sz="4" w:space="0" w:color="000000"/>
              <w:right w:val="single" w:sz="4" w:space="0" w:color="auto"/>
            </w:tcBorders>
            <w:shd w:val="clear" w:color="auto" w:fill="auto"/>
            <w:vAlign w:val="bottom"/>
            <w:hideMark/>
          </w:tcPr>
          <w:p w:rsidR="00500991" w:rsidRPr="00F512D2" w:rsidRDefault="00500991" w:rsidP="00C57983">
            <w:pPr>
              <w:jc w:val="center"/>
              <w:rPr>
                <w:rFonts w:asciiTheme="majorBidi" w:hAnsiTheme="majorBidi" w:cstheme="majorBidi"/>
                <w:b/>
                <w:bCs/>
                <w:color w:val="000000"/>
                <w:sz w:val="22"/>
                <w:szCs w:val="22"/>
              </w:rPr>
            </w:pPr>
            <w:r w:rsidRPr="00F512D2">
              <w:rPr>
                <w:rFonts w:asciiTheme="majorBidi" w:hAnsiTheme="majorBidi" w:cstheme="majorBidi"/>
                <w:b/>
                <w:bCs/>
                <w:color w:val="000000"/>
                <w:sz w:val="22"/>
                <w:szCs w:val="22"/>
              </w:rPr>
              <w:t>Expected QFT Sample Size</w:t>
            </w:r>
          </w:p>
        </w:tc>
      </w:tr>
      <w:tr w:rsidR="00500991" w:rsidRPr="00F512D2" w:rsidTr="00C57983">
        <w:trPr>
          <w:trHeight w:val="301"/>
        </w:trPr>
        <w:tc>
          <w:tcPr>
            <w:tcW w:w="925" w:type="dxa"/>
            <w:gridSpan w:val="2"/>
            <w:vMerge/>
            <w:tcBorders>
              <w:top w:val="single" w:sz="4" w:space="0" w:color="auto"/>
              <w:left w:val="single" w:sz="4" w:space="0" w:color="auto"/>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282"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113"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392"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2195"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468" w:type="dxa"/>
            <w:vMerge/>
            <w:tcBorders>
              <w:top w:val="single" w:sz="4" w:space="0" w:color="auto"/>
              <w:left w:val="nil"/>
              <w:bottom w:val="single" w:sz="4" w:space="0" w:color="000000"/>
              <w:right w:val="single" w:sz="4" w:space="0" w:color="auto"/>
            </w:tcBorders>
            <w:vAlign w:val="center"/>
            <w:hideMark/>
          </w:tcPr>
          <w:p w:rsidR="00262707" w:rsidRPr="00F512D2" w:rsidRDefault="00262707">
            <w:pPr>
              <w:rPr>
                <w:rFonts w:asciiTheme="majorBidi" w:hAnsiTheme="majorBidi" w:cstheme="majorBidi"/>
                <w:b/>
                <w:bCs/>
                <w:color w:val="000000"/>
                <w:sz w:val="22"/>
                <w:szCs w:val="22"/>
              </w:rPr>
            </w:pPr>
          </w:p>
        </w:tc>
      </w:tr>
      <w:tr w:rsidR="00500991" w:rsidRPr="00F512D2" w:rsidTr="00C57983">
        <w:trPr>
          <w:trHeight w:val="255"/>
        </w:trPr>
        <w:tc>
          <w:tcPr>
            <w:tcW w:w="925" w:type="dxa"/>
            <w:gridSpan w:val="2"/>
            <w:vMerge/>
            <w:tcBorders>
              <w:top w:val="single" w:sz="4" w:space="0" w:color="auto"/>
              <w:left w:val="single" w:sz="4" w:space="0" w:color="auto"/>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282"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113"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392"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2195" w:type="dxa"/>
            <w:vMerge/>
            <w:tcBorders>
              <w:top w:val="single" w:sz="4" w:space="0" w:color="auto"/>
              <w:left w:val="nil"/>
              <w:bottom w:val="single" w:sz="4" w:space="0" w:color="000000"/>
              <w:right w:val="nil"/>
            </w:tcBorders>
            <w:vAlign w:val="center"/>
            <w:hideMark/>
          </w:tcPr>
          <w:p w:rsidR="00262707" w:rsidRPr="00F512D2" w:rsidRDefault="00262707">
            <w:pPr>
              <w:rPr>
                <w:rFonts w:asciiTheme="majorBidi" w:hAnsiTheme="majorBidi" w:cstheme="majorBidi"/>
                <w:b/>
                <w:bCs/>
                <w:color w:val="000000"/>
                <w:sz w:val="22"/>
                <w:szCs w:val="22"/>
              </w:rPr>
            </w:pPr>
          </w:p>
        </w:tc>
        <w:tc>
          <w:tcPr>
            <w:tcW w:w="1468" w:type="dxa"/>
            <w:vMerge/>
            <w:tcBorders>
              <w:top w:val="single" w:sz="4" w:space="0" w:color="auto"/>
              <w:left w:val="nil"/>
              <w:bottom w:val="single" w:sz="4" w:space="0" w:color="000000"/>
              <w:right w:val="single" w:sz="4" w:space="0" w:color="auto"/>
            </w:tcBorders>
            <w:vAlign w:val="center"/>
            <w:hideMark/>
          </w:tcPr>
          <w:p w:rsidR="00262707" w:rsidRPr="00F512D2" w:rsidRDefault="00262707">
            <w:pPr>
              <w:rPr>
                <w:rFonts w:asciiTheme="majorBidi" w:hAnsiTheme="majorBidi" w:cstheme="majorBidi"/>
                <w:b/>
                <w:bCs/>
                <w:color w:val="000000"/>
                <w:sz w:val="22"/>
                <w:szCs w:val="22"/>
              </w:rPr>
            </w:pP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CA</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26</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244</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TX</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17</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159</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NY</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14</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131</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FL</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13</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122</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IL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84</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PA</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6</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84</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OH</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7</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8</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75</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MI</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8</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7</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66</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GA</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7</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66</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NC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10</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6</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56</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NJ</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11</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6</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56</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VA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6</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56</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MA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13</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47</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WA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14</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47</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IN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15</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47</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AZ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16</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TN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17</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MO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18</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WI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MD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20</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MN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21</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CO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22</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AL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23</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top w:val="nil"/>
              <w:left w:val="single" w:sz="4" w:space="0" w:color="auto"/>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SC  </w:t>
            </w:r>
          </w:p>
        </w:tc>
        <w:tc>
          <w:tcPr>
            <w:tcW w:w="128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24</w:t>
            </w:r>
          </w:p>
        </w:tc>
        <w:tc>
          <w:tcPr>
            <w:tcW w:w="1113"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top w:val="nil"/>
              <w:left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top w:val="nil"/>
              <w:left w:val="single" w:sz="4" w:space="0" w:color="auto"/>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KY   </w:t>
            </w:r>
          </w:p>
        </w:tc>
        <w:tc>
          <w:tcPr>
            <w:tcW w:w="128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25</w:t>
            </w:r>
          </w:p>
        </w:tc>
        <w:tc>
          <w:tcPr>
            <w:tcW w:w="1113"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top w:val="nil"/>
              <w:left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LA    </w:t>
            </w:r>
          </w:p>
        </w:tc>
        <w:tc>
          <w:tcPr>
            <w:tcW w:w="1282" w:type="dxa"/>
            <w:tcBorders>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26</w:t>
            </w:r>
          </w:p>
        </w:tc>
        <w:tc>
          <w:tcPr>
            <w:tcW w:w="1113" w:type="dxa"/>
            <w:tcBorders>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OR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27</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OK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CT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29</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28</w:t>
            </w:r>
          </w:p>
        </w:tc>
      </w:tr>
      <w:tr w:rsidR="00500991" w:rsidRPr="00F512D2" w:rsidTr="00C57983">
        <w:trPr>
          <w:trHeight w:val="301"/>
        </w:trPr>
        <w:tc>
          <w:tcPr>
            <w:tcW w:w="925" w:type="dxa"/>
            <w:gridSpan w:val="2"/>
            <w:tcBorders>
              <w:top w:val="nil"/>
              <w:left w:val="single" w:sz="4" w:space="0" w:color="auto"/>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IA   </w:t>
            </w:r>
          </w:p>
        </w:tc>
        <w:tc>
          <w:tcPr>
            <w:tcW w:w="128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30</w:t>
            </w:r>
          </w:p>
        </w:tc>
        <w:tc>
          <w:tcPr>
            <w:tcW w:w="1113"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w:t>
            </w:r>
          </w:p>
        </w:tc>
        <w:tc>
          <w:tcPr>
            <w:tcW w:w="1468" w:type="dxa"/>
            <w:tcBorders>
              <w:top w:val="nil"/>
              <w:left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w:t>
            </w:r>
          </w:p>
        </w:tc>
      </w:tr>
      <w:tr w:rsidR="00500991" w:rsidRPr="00F512D2" w:rsidTr="00C57983">
        <w:trPr>
          <w:trHeight w:val="301"/>
        </w:trPr>
        <w:tc>
          <w:tcPr>
            <w:tcW w:w="925" w:type="dxa"/>
            <w:gridSpan w:val="2"/>
            <w:tcBorders>
              <w:top w:val="nil"/>
              <w:left w:val="single" w:sz="4" w:space="0" w:color="auto"/>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MS    </w:t>
            </w:r>
          </w:p>
        </w:tc>
        <w:tc>
          <w:tcPr>
            <w:tcW w:w="128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31</w:t>
            </w:r>
          </w:p>
        </w:tc>
        <w:tc>
          <w:tcPr>
            <w:tcW w:w="1113"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w:t>
            </w:r>
          </w:p>
        </w:tc>
        <w:tc>
          <w:tcPr>
            <w:tcW w:w="1468" w:type="dxa"/>
            <w:tcBorders>
              <w:top w:val="nil"/>
              <w:left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w:t>
            </w:r>
          </w:p>
        </w:tc>
      </w:tr>
      <w:tr w:rsidR="00500991" w:rsidRPr="00F512D2" w:rsidTr="00C57983">
        <w:trPr>
          <w:trHeight w:val="301"/>
        </w:trPr>
        <w:tc>
          <w:tcPr>
            <w:tcW w:w="925" w:type="dxa"/>
            <w:gridSpan w:val="2"/>
            <w:tcBorders>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AR    </w:t>
            </w:r>
          </w:p>
        </w:tc>
        <w:tc>
          <w:tcPr>
            <w:tcW w:w="1282" w:type="dxa"/>
            <w:tcBorders>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32</w:t>
            </w:r>
          </w:p>
        </w:tc>
        <w:tc>
          <w:tcPr>
            <w:tcW w:w="1113" w:type="dxa"/>
            <w:tcBorders>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w:t>
            </w:r>
          </w:p>
        </w:tc>
        <w:tc>
          <w:tcPr>
            <w:tcW w:w="1468" w:type="dxa"/>
            <w:tcBorders>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KS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33</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NV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34</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UT    </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35</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NM</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36</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500991" w:rsidRPr="00F512D2" w:rsidTr="00C57983">
        <w:trPr>
          <w:trHeight w:val="301"/>
        </w:trPr>
        <w:tc>
          <w:tcPr>
            <w:tcW w:w="925" w:type="dxa"/>
            <w:gridSpan w:val="2"/>
            <w:tcBorders>
              <w:top w:val="nil"/>
              <w:left w:val="single" w:sz="4" w:space="0" w:color="auto"/>
              <w:bottom w:val="nil"/>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WV</w:t>
            </w:r>
          </w:p>
        </w:tc>
        <w:tc>
          <w:tcPr>
            <w:tcW w:w="128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37</w:t>
            </w:r>
          </w:p>
        </w:tc>
        <w:tc>
          <w:tcPr>
            <w:tcW w:w="1113"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bottom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500991" w:rsidRPr="00F512D2" w:rsidTr="000261D8">
        <w:trPr>
          <w:trHeight w:val="301"/>
        </w:trPr>
        <w:tc>
          <w:tcPr>
            <w:tcW w:w="925" w:type="dxa"/>
            <w:gridSpan w:val="2"/>
            <w:tcBorders>
              <w:top w:val="nil"/>
              <w:left w:val="single" w:sz="4" w:space="0" w:color="auto"/>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NE    </w:t>
            </w:r>
          </w:p>
        </w:tc>
        <w:tc>
          <w:tcPr>
            <w:tcW w:w="128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38</w:t>
            </w:r>
          </w:p>
        </w:tc>
        <w:tc>
          <w:tcPr>
            <w:tcW w:w="1113"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500991" w:rsidRPr="00F512D2" w:rsidTr="000261D8">
        <w:trPr>
          <w:trHeight w:val="301"/>
        </w:trPr>
        <w:tc>
          <w:tcPr>
            <w:tcW w:w="925" w:type="dxa"/>
            <w:gridSpan w:val="2"/>
            <w:tcBorders>
              <w:top w:val="nil"/>
              <w:left w:val="single" w:sz="4" w:space="0" w:color="auto"/>
              <w:bottom w:val="single" w:sz="4" w:space="0" w:color="auto"/>
              <w:right w:val="nil"/>
            </w:tcBorders>
            <w:shd w:val="clear" w:color="auto" w:fill="auto"/>
            <w:noWrap/>
            <w:vAlign w:val="bottom"/>
            <w:hideMark/>
          </w:tcPr>
          <w:p w:rsidR="00500991" w:rsidRPr="00F512D2" w:rsidRDefault="00500991"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ID    </w:t>
            </w:r>
          </w:p>
        </w:tc>
        <w:tc>
          <w:tcPr>
            <w:tcW w:w="1282" w:type="dxa"/>
            <w:tcBorders>
              <w:top w:val="nil"/>
              <w:left w:val="nil"/>
              <w:bottom w:val="single" w:sz="4" w:space="0" w:color="auto"/>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39</w:t>
            </w:r>
          </w:p>
        </w:tc>
        <w:tc>
          <w:tcPr>
            <w:tcW w:w="1113" w:type="dxa"/>
            <w:tcBorders>
              <w:top w:val="nil"/>
              <w:left w:val="nil"/>
              <w:bottom w:val="single" w:sz="4" w:space="0" w:color="auto"/>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single" w:sz="4" w:space="0" w:color="auto"/>
              <w:right w:val="nil"/>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single" w:sz="4" w:space="0" w:color="auto"/>
              <w:right w:val="nil"/>
            </w:tcBorders>
            <w:shd w:val="clear" w:color="auto" w:fill="auto"/>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bottom w:val="single" w:sz="4" w:space="0" w:color="auto"/>
              <w:right w:val="single" w:sz="4" w:space="0" w:color="auto"/>
            </w:tcBorders>
            <w:shd w:val="clear" w:color="auto" w:fill="auto"/>
            <w:noWrap/>
            <w:vAlign w:val="bottom"/>
            <w:hideMark/>
          </w:tcPr>
          <w:p w:rsidR="00500991" w:rsidRPr="00F512D2" w:rsidRDefault="00500991"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C57983" w:rsidRPr="00F512D2" w:rsidTr="000261D8">
        <w:trPr>
          <w:trHeight w:val="301"/>
        </w:trPr>
        <w:tc>
          <w:tcPr>
            <w:tcW w:w="925" w:type="dxa"/>
            <w:gridSpan w:val="2"/>
            <w:tcBorders>
              <w:top w:val="single" w:sz="4" w:space="0" w:color="auto"/>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p>
        </w:tc>
        <w:tc>
          <w:tcPr>
            <w:tcW w:w="1282" w:type="dxa"/>
            <w:tcBorders>
              <w:top w:val="single" w:sz="4" w:space="0" w:color="auto"/>
              <w:left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p>
        </w:tc>
        <w:tc>
          <w:tcPr>
            <w:tcW w:w="1113" w:type="dxa"/>
            <w:tcBorders>
              <w:top w:val="single" w:sz="4" w:space="0" w:color="auto"/>
              <w:left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p>
        </w:tc>
        <w:tc>
          <w:tcPr>
            <w:tcW w:w="1392" w:type="dxa"/>
            <w:tcBorders>
              <w:top w:val="single" w:sz="4" w:space="0" w:color="auto"/>
              <w:left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p>
        </w:tc>
        <w:tc>
          <w:tcPr>
            <w:tcW w:w="2195" w:type="dxa"/>
            <w:tcBorders>
              <w:top w:val="single" w:sz="4" w:space="0" w:color="auto"/>
              <w:left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p>
        </w:tc>
        <w:tc>
          <w:tcPr>
            <w:tcW w:w="1468" w:type="dxa"/>
            <w:tcBorders>
              <w:top w:val="single" w:sz="4" w:space="0" w:color="auto"/>
              <w:lef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p>
        </w:tc>
      </w:tr>
      <w:tr w:rsidR="00C57983" w:rsidRPr="00F512D2" w:rsidTr="000261D8">
        <w:trPr>
          <w:trHeight w:val="301"/>
        </w:trPr>
        <w:tc>
          <w:tcPr>
            <w:tcW w:w="8375" w:type="dxa"/>
            <w:gridSpan w:val="7"/>
            <w:tcBorders>
              <w:bottom w:val="single" w:sz="4" w:space="0" w:color="auto"/>
            </w:tcBorders>
            <w:shd w:val="clear" w:color="auto" w:fill="auto"/>
            <w:noWrap/>
            <w:vAlign w:val="bottom"/>
            <w:hideMark/>
          </w:tcPr>
          <w:p w:rsidR="00C57983" w:rsidRPr="00F512D2" w:rsidRDefault="00C57983" w:rsidP="000261D8">
            <w:pPr>
              <w:spacing w:after="120"/>
              <w:rPr>
                <w:color w:val="000000"/>
                <w:sz w:val="22"/>
                <w:szCs w:val="22"/>
              </w:rPr>
            </w:pPr>
            <w:r w:rsidRPr="00F512D2">
              <w:rPr>
                <w:rFonts w:asciiTheme="majorBidi" w:hAnsiTheme="majorBidi" w:cstheme="majorBidi"/>
                <w:b/>
                <w:bCs/>
                <w:color w:val="000000"/>
                <w:u w:val="single"/>
              </w:rPr>
              <w:lastRenderedPageBreak/>
              <w:t>Table 1. Expected Number of Questionnaire Field Test State Sampling Regions by State (continued)</w:t>
            </w:r>
          </w:p>
        </w:tc>
      </w:tr>
      <w:tr w:rsidR="00C57983" w:rsidRPr="00F512D2" w:rsidTr="000261D8">
        <w:trPr>
          <w:trHeight w:val="301"/>
        </w:trPr>
        <w:tc>
          <w:tcPr>
            <w:tcW w:w="876" w:type="dxa"/>
            <w:tcBorders>
              <w:top w:val="single" w:sz="4" w:space="0" w:color="auto"/>
              <w:left w:val="single" w:sz="4" w:space="0" w:color="auto"/>
              <w:bottom w:val="single" w:sz="4" w:space="0" w:color="auto"/>
              <w:right w:val="nil"/>
            </w:tcBorders>
            <w:shd w:val="clear" w:color="auto" w:fill="auto"/>
            <w:noWrap/>
            <w:vAlign w:val="bottom"/>
            <w:hideMark/>
          </w:tcPr>
          <w:p w:rsidR="00C57983" w:rsidRPr="00F512D2" w:rsidRDefault="00C57983" w:rsidP="00C57983">
            <w:pPr>
              <w:jc w:val="center"/>
              <w:rPr>
                <w:color w:val="000000"/>
                <w:sz w:val="22"/>
                <w:szCs w:val="22"/>
              </w:rPr>
            </w:pPr>
            <w:r w:rsidRPr="00F512D2">
              <w:rPr>
                <w:rFonts w:asciiTheme="majorBidi" w:hAnsiTheme="majorBidi" w:cstheme="majorBidi"/>
                <w:b/>
                <w:bCs/>
                <w:color w:val="000000"/>
                <w:sz w:val="22"/>
                <w:szCs w:val="22"/>
              </w:rPr>
              <w:t>State</w:t>
            </w:r>
          </w:p>
        </w:tc>
        <w:tc>
          <w:tcPr>
            <w:tcW w:w="1331" w:type="dxa"/>
            <w:gridSpan w:val="2"/>
            <w:tcBorders>
              <w:top w:val="single" w:sz="4" w:space="0" w:color="auto"/>
              <w:left w:val="nil"/>
              <w:bottom w:val="single" w:sz="4" w:space="0" w:color="auto"/>
              <w:right w:val="nil"/>
            </w:tcBorders>
            <w:shd w:val="clear" w:color="auto" w:fill="auto"/>
            <w:noWrap/>
            <w:vAlign w:val="bottom"/>
            <w:hideMark/>
          </w:tcPr>
          <w:p w:rsidR="00C57983" w:rsidRPr="00F512D2" w:rsidRDefault="00C57983" w:rsidP="00C57983">
            <w:pPr>
              <w:jc w:val="center"/>
              <w:rPr>
                <w:color w:val="000000"/>
                <w:sz w:val="22"/>
                <w:szCs w:val="22"/>
              </w:rPr>
            </w:pPr>
            <w:r w:rsidRPr="00F512D2">
              <w:rPr>
                <w:rFonts w:asciiTheme="majorBidi" w:hAnsiTheme="majorBidi" w:cstheme="majorBidi"/>
                <w:b/>
                <w:bCs/>
                <w:color w:val="000000"/>
                <w:sz w:val="22"/>
                <w:szCs w:val="22"/>
              </w:rPr>
              <w:t>Population Rank</w:t>
            </w:r>
          </w:p>
        </w:tc>
        <w:tc>
          <w:tcPr>
            <w:tcW w:w="1113" w:type="dxa"/>
            <w:tcBorders>
              <w:top w:val="single" w:sz="4" w:space="0" w:color="auto"/>
              <w:left w:val="nil"/>
              <w:bottom w:val="single" w:sz="4" w:space="0" w:color="auto"/>
              <w:right w:val="nil"/>
            </w:tcBorders>
            <w:shd w:val="clear" w:color="auto" w:fill="auto"/>
            <w:noWrap/>
            <w:vAlign w:val="bottom"/>
            <w:hideMark/>
          </w:tcPr>
          <w:p w:rsidR="00C57983" w:rsidRPr="00F512D2" w:rsidRDefault="00C57983" w:rsidP="00C57983">
            <w:pPr>
              <w:jc w:val="center"/>
              <w:rPr>
                <w:color w:val="000000"/>
                <w:sz w:val="22"/>
                <w:szCs w:val="22"/>
              </w:rPr>
            </w:pPr>
            <w:r w:rsidRPr="00F512D2">
              <w:rPr>
                <w:rFonts w:asciiTheme="majorBidi" w:hAnsiTheme="majorBidi" w:cstheme="majorBidi"/>
                <w:b/>
                <w:bCs/>
                <w:color w:val="000000"/>
                <w:sz w:val="22"/>
                <w:szCs w:val="22"/>
              </w:rPr>
              <w:t>Current Design</w:t>
            </w:r>
          </w:p>
        </w:tc>
        <w:tc>
          <w:tcPr>
            <w:tcW w:w="1392" w:type="dxa"/>
            <w:tcBorders>
              <w:top w:val="single" w:sz="4" w:space="0" w:color="auto"/>
              <w:left w:val="nil"/>
              <w:bottom w:val="single" w:sz="4" w:space="0" w:color="auto"/>
              <w:right w:val="nil"/>
            </w:tcBorders>
            <w:shd w:val="clear" w:color="auto" w:fill="auto"/>
            <w:noWrap/>
            <w:vAlign w:val="bottom"/>
            <w:hideMark/>
          </w:tcPr>
          <w:p w:rsidR="00C57983" w:rsidRPr="00F512D2" w:rsidRDefault="00C57983" w:rsidP="00C57983">
            <w:pPr>
              <w:jc w:val="center"/>
              <w:rPr>
                <w:color w:val="000000"/>
                <w:sz w:val="22"/>
                <w:szCs w:val="22"/>
              </w:rPr>
            </w:pPr>
            <w:r w:rsidRPr="00F512D2">
              <w:rPr>
                <w:rFonts w:asciiTheme="majorBidi" w:hAnsiTheme="majorBidi" w:cstheme="majorBidi"/>
                <w:b/>
                <w:bCs/>
                <w:color w:val="000000"/>
                <w:sz w:val="22"/>
                <w:szCs w:val="22"/>
              </w:rPr>
              <w:t>NSDUH SS Regions</w:t>
            </w:r>
          </w:p>
        </w:tc>
        <w:tc>
          <w:tcPr>
            <w:tcW w:w="2195" w:type="dxa"/>
            <w:tcBorders>
              <w:top w:val="single" w:sz="4" w:space="0" w:color="auto"/>
              <w:left w:val="nil"/>
              <w:bottom w:val="single" w:sz="4" w:space="0" w:color="auto"/>
              <w:right w:val="nil"/>
            </w:tcBorders>
            <w:shd w:val="clear" w:color="auto" w:fill="auto"/>
            <w:vAlign w:val="bottom"/>
            <w:hideMark/>
          </w:tcPr>
          <w:p w:rsidR="00C57983" w:rsidRPr="00F512D2" w:rsidRDefault="00C57983" w:rsidP="00C57983">
            <w:pPr>
              <w:jc w:val="center"/>
              <w:rPr>
                <w:color w:val="000000"/>
                <w:sz w:val="22"/>
                <w:szCs w:val="22"/>
              </w:rPr>
            </w:pPr>
            <w:r w:rsidRPr="00F512D2">
              <w:rPr>
                <w:rFonts w:asciiTheme="majorBidi" w:hAnsiTheme="majorBidi" w:cstheme="majorBidi"/>
                <w:b/>
                <w:bCs/>
                <w:color w:val="000000"/>
                <w:sz w:val="22"/>
                <w:szCs w:val="22"/>
              </w:rPr>
              <w:t>Expected Number of SS Regions/ Segments (PPS)</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C57983" w:rsidRPr="00F512D2" w:rsidRDefault="00C57983" w:rsidP="00C57983">
            <w:pPr>
              <w:jc w:val="center"/>
              <w:rPr>
                <w:color w:val="000000"/>
                <w:sz w:val="22"/>
                <w:szCs w:val="22"/>
              </w:rPr>
            </w:pPr>
            <w:r w:rsidRPr="00F512D2">
              <w:rPr>
                <w:rFonts w:asciiTheme="majorBidi" w:hAnsiTheme="majorBidi" w:cstheme="majorBidi"/>
                <w:b/>
                <w:bCs/>
                <w:color w:val="000000"/>
                <w:sz w:val="22"/>
                <w:szCs w:val="22"/>
              </w:rPr>
              <w:t>Expected QFT Sample Size</w:t>
            </w:r>
          </w:p>
        </w:tc>
      </w:tr>
      <w:tr w:rsidR="000261D8" w:rsidRPr="00F512D2" w:rsidTr="000261D8">
        <w:trPr>
          <w:trHeight w:val="301"/>
        </w:trPr>
        <w:tc>
          <w:tcPr>
            <w:tcW w:w="876" w:type="dxa"/>
            <w:tcBorders>
              <w:top w:val="single" w:sz="4" w:space="0" w:color="auto"/>
              <w:left w:val="single" w:sz="4" w:space="0" w:color="auto"/>
              <w:bottom w:val="nil"/>
              <w:right w:val="nil"/>
            </w:tcBorders>
            <w:shd w:val="clear" w:color="auto" w:fill="auto"/>
            <w:noWrap/>
            <w:vAlign w:val="bottom"/>
            <w:hideMark/>
          </w:tcPr>
          <w:p w:rsidR="000261D8" w:rsidRPr="00F512D2" w:rsidRDefault="000261D8" w:rsidP="000261D8">
            <w:pPr>
              <w:rPr>
                <w:color w:val="000000"/>
                <w:sz w:val="22"/>
                <w:szCs w:val="22"/>
              </w:rPr>
            </w:pPr>
            <w:r w:rsidRPr="00F512D2">
              <w:rPr>
                <w:color w:val="000000"/>
                <w:sz w:val="22"/>
                <w:szCs w:val="22"/>
              </w:rPr>
              <w:t xml:space="preserve">ME       </w:t>
            </w:r>
          </w:p>
        </w:tc>
        <w:tc>
          <w:tcPr>
            <w:tcW w:w="1331" w:type="dxa"/>
            <w:gridSpan w:val="2"/>
            <w:tcBorders>
              <w:top w:val="single" w:sz="4" w:space="0" w:color="auto"/>
              <w:left w:val="nil"/>
              <w:bottom w:val="nil"/>
              <w:right w:val="nil"/>
            </w:tcBorders>
            <w:shd w:val="clear" w:color="auto" w:fill="auto"/>
            <w:noWrap/>
            <w:vAlign w:val="bottom"/>
            <w:hideMark/>
          </w:tcPr>
          <w:p w:rsidR="000261D8" w:rsidRPr="00F512D2" w:rsidRDefault="000261D8" w:rsidP="000261D8">
            <w:pPr>
              <w:jc w:val="right"/>
              <w:rPr>
                <w:color w:val="000000"/>
                <w:sz w:val="22"/>
                <w:szCs w:val="22"/>
              </w:rPr>
            </w:pPr>
            <w:r w:rsidRPr="00F512D2">
              <w:rPr>
                <w:color w:val="000000"/>
                <w:sz w:val="22"/>
                <w:szCs w:val="22"/>
              </w:rPr>
              <w:t>40</w:t>
            </w:r>
          </w:p>
        </w:tc>
        <w:tc>
          <w:tcPr>
            <w:tcW w:w="1113" w:type="dxa"/>
            <w:tcBorders>
              <w:top w:val="single" w:sz="4" w:space="0" w:color="auto"/>
              <w:left w:val="nil"/>
              <w:bottom w:val="nil"/>
              <w:right w:val="nil"/>
            </w:tcBorders>
            <w:shd w:val="clear" w:color="auto" w:fill="auto"/>
            <w:noWrap/>
            <w:vAlign w:val="bottom"/>
            <w:hideMark/>
          </w:tcPr>
          <w:p w:rsidR="000261D8" w:rsidRPr="00F512D2" w:rsidRDefault="000261D8" w:rsidP="000261D8">
            <w:pPr>
              <w:jc w:val="right"/>
              <w:rPr>
                <w:color w:val="000000"/>
                <w:sz w:val="22"/>
                <w:szCs w:val="22"/>
              </w:rPr>
            </w:pPr>
            <w:r w:rsidRPr="00F512D2">
              <w:rPr>
                <w:color w:val="000000"/>
                <w:sz w:val="22"/>
                <w:szCs w:val="22"/>
              </w:rPr>
              <w:t>900</w:t>
            </w:r>
          </w:p>
        </w:tc>
        <w:tc>
          <w:tcPr>
            <w:tcW w:w="1392" w:type="dxa"/>
            <w:tcBorders>
              <w:top w:val="single" w:sz="4" w:space="0" w:color="auto"/>
              <w:left w:val="nil"/>
              <w:bottom w:val="nil"/>
              <w:right w:val="nil"/>
            </w:tcBorders>
            <w:shd w:val="clear" w:color="auto" w:fill="auto"/>
            <w:noWrap/>
            <w:vAlign w:val="bottom"/>
            <w:hideMark/>
          </w:tcPr>
          <w:p w:rsidR="000261D8" w:rsidRPr="00F512D2" w:rsidRDefault="000261D8" w:rsidP="000261D8">
            <w:pPr>
              <w:jc w:val="right"/>
              <w:rPr>
                <w:color w:val="000000"/>
                <w:sz w:val="22"/>
                <w:szCs w:val="22"/>
              </w:rPr>
            </w:pPr>
            <w:r w:rsidRPr="00F512D2">
              <w:rPr>
                <w:color w:val="000000"/>
                <w:sz w:val="22"/>
                <w:szCs w:val="22"/>
              </w:rPr>
              <w:t>12</w:t>
            </w:r>
          </w:p>
        </w:tc>
        <w:tc>
          <w:tcPr>
            <w:tcW w:w="2195" w:type="dxa"/>
            <w:tcBorders>
              <w:top w:val="single" w:sz="4" w:space="0" w:color="auto"/>
              <w:left w:val="nil"/>
              <w:bottom w:val="nil"/>
              <w:right w:val="nil"/>
            </w:tcBorders>
            <w:shd w:val="clear" w:color="auto" w:fill="auto"/>
            <w:vAlign w:val="bottom"/>
            <w:hideMark/>
          </w:tcPr>
          <w:p w:rsidR="000261D8" w:rsidRPr="00F512D2" w:rsidRDefault="000261D8" w:rsidP="000261D8">
            <w:pPr>
              <w:jc w:val="right"/>
              <w:rPr>
                <w:color w:val="000000"/>
                <w:sz w:val="22"/>
                <w:szCs w:val="22"/>
              </w:rPr>
            </w:pPr>
            <w:r w:rsidRPr="00F512D2">
              <w:rPr>
                <w:color w:val="000000"/>
                <w:sz w:val="22"/>
                <w:szCs w:val="22"/>
              </w:rPr>
              <w:t>1</w:t>
            </w:r>
          </w:p>
        </w:tc>
        <w:tc>
          <w:tcPr>
            <w:tcW w:w="1468" w:type="dxa"/>
            <w:tcBorders>
              <w:top w:val="single" w:sz="4" w:space="0" w:color="auto"/>
              <w:left w:val="nil"/>
              <w:bottom w:val="nil"/>
              <w:right w:val="single" w:sz="4" w:space="0" w:color="auto"/>
            </w:tcBorders>
            <w:shd w:val="clear" w:color="auto" w:fill="auto"/>
            <w:noWrap/>
            <w:vAlign w:val="bottom"/>
            <w:hideMark/>
          </w:tcPr>
          <w:p w:rsidR="000261D8" w:rsidRPr="00F512D2" w:rsidRDefault="000261D8" w:rsidP="000261D8">
            <w:pPr>
              <w:jc w:val="right"/>
              <w:rPr>
                <w:color w:val="000000"/>
                <w:sz w:val="22"/>
                <w:szCs w:val="22"/>
              </w:rPr>
            </w:pPr>
            <w:r w:rsidRPr="00F512D2">
              <w:rPr>
                <w:color w:val="000000"/>
                <w:sz w:val="22"/>
                <w:szCs w:val="22"/>
              </w:rPr>
              <w:t>9</w:t>
            </w:r>
          </w:p>
        </w:tc>
      </w:tr>
      <w:tr w:rsidR="00C57983" w:rsidRPr="00F512D2" w:rsidTr="00C57983">
        <w:trPr>
          <w:trHeight w:val="301"/>
        </w:trPr>
        <w:tc>
          <w:tcPr>
            <w:tcW w:w="876" w:type="dxa"/>
            <w:tcBorders>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color w:val="000000"/>
                <w:sz w:val="22"/>
                <w:szCs w:val="22"/>
              </w:rPr>
              <w:t xml:space="preserve">NH       </w:t>
            </w:r>
          </w:p>
        </w:tc>
        <w:tc>
          <w:tcPr>
            <w:tcW w:w="1331" w:type="dxa"/>
            <w:gridSpan w:val="2"/>
            <w:tcBorders>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color w:val="000000"/>
                <w:sz w:val="22"/>
                <w:szCs w:val="22"/>
              </w:rPr>
              <w:t>41</w:t>
            </w:r>
          </w:p>
        </w:tc>
        <w:tc>
          <w:tcPr>
            <w:tcW w:w="1113" w:type="dxa"/>
            <w:tcBorders>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color w:val="000000"/>
                <w:sz w:val="22"/>
                <w:szCs w:val="22"/>
              </w:rPr>
              <w:t>900</w:t>
            </w:r>
          </w:p>
        </w:tc>
        <w:tc>
          <w:tcPr>
            <w:tcW w:w="1392" w:type="dxa"/>
            <w:tcBorders>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color w:val="000000"/>
                <w:sz w:val="22"/>
                <w:szCs w:val="22"/>
              </w:rPr>
              <w:t>12</w:t>
            </w:r>
          </w:p>
        </w:tc>
        <w:tc>
          <w:tcPr>
            <w:tcW w:w="2195" w:type="dxa"/>
            <w:tcBorders>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color w:val="000000"/>
                <w:sz w:val="22"/>
                <w:szCs w:val="22"/>
              </w:rPr>
              <w:t>1</w:t>
            </w:r>
          </w:p>
        </w:tc>
        <w:tc>
          <w:tcPr>
            <w:tcW w:w="1468" w:type="dxa"/>
            <w:tcBorders>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color w:val="000000"/>
                <w:sz w:val="22"/>
                <w:szCs w:val="22"/>
              </w:rPr>
              <w:t>9</w:t>
            </w:r>
          </w:p>
        </w:tc>
      </w:tr>
      <w:tr w:rsidR="00C57983" w:rsidRPr="00F512D2" w:rsidTr="00C57983">
        <w:trPr>
          <w:trHeight w:val="301"/>
        </w:trPr>
        <w:tc>
          <w:tcPr>
            <w:tcW w:w="876" w:type="dxa"/>
            <w:tcBorders>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HI    </w:t>
            </w:r>
          </w:p>
        </w:tc>
        <w:tc>
          <w:tcPr>
            <w:tcW w:w="1331" w:type="dxa"/>
            <w:gridSpan w:val="2"/>
            <w:tcBorders>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42</w:t>
            </w:r>
          </w:p>
        </w:tc>
        <w:tc>
          <w:tcPr>
            <w:tcW w:w="1113" w:type="dxa"/>
            <w:tcBorders>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n/a</w:t>
            </w:r>
          </w:p>
        </w:tc>
        <w:tc>
          <w:tcPr>
            <w:tcW w:w="1468" w:type="dxa"/>
            <w:tcBorders>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n/a</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RI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43</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MT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44</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DE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45</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SD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46</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AK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47</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n/a</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n/a</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VT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48</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ND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49</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 xml:space="preserve">DC    </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50</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r>
      <w:tr w:rsidR="00C57983" w:rsidRPr="00F512D2" w:rsidTr="00C57983">
        <w:trPr>
          <w:trHeight w:val="301"/>
        </w:trPr>
        <w:tc>
          <w:tcPr>
            <w:tcW w:w="876" w:type="dxa"/>
            <w:tcBorders>
              <w:top w:val="nil"/>
              <w:left w:val="single" w:sz="4" w:space="0" w:color="auto"/>
              <w:bottom w:val="nil"/>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WY</w:t>
            </w:r>
          </w:p>
        </w:tc>
        <w:tc>
          <w:tcPr>
            <w:tcW w:w="1331" w:type="dxa"/>
            <w:gridSpan w:val="2"/>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51</w:t>
            </w:r>
          </w:p>
        </w:tc>
        <w:tc>
          <w:tcPr>
            <w:tcW w:w="1113"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1392" w:type="dxa"/>
            <w:tcBorders>
              <w:top w:val="nil"/>
              <w:left w:val="nil"/>
              <w:bottom w:val="nil"/>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12</w:t>
            </w:r>
          </w:p>
        </w:tc>
        <w:tc>
          <w:tcPr>
            <w:tcW w:w="2195" w:type="dxa"/>
            <w:tcBorders>
              <w:top w:val="nil"/>
              <w:left w:val="nil"/>
              <w:bottom w:val="nil"/>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c>
          <w:tcPr>
            <w:tcW w:w="1468" w:type="dxa"/>
            <w:tcBorders>
              <w:top w:val="nil"/>
              <w:left w:val="nil"/>
              <w:bottom w:val="nil"/>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0</w:t>
            </w:r>
          </w:p>
        </w:tc>
      </w:tr>
      <w:tr w:rsidR="00C57983" w:rsidRPr="00F512D2" w:rsidTr="00C57983">
        <w:trPr>
          <w:trHeight w:val="301"/>
        </w:trPr>
        <w:tc>
          <w:tcPr>
            <w:tcW w:w="2207" w:type="dxa"/>
            <w:gridSpan w:val="3"/>
            <w:tcBorders>
              <w:top w:val="nil"/>
              <w:left w:val="single" w:sz="4" w:space="0" w:color="auto"/>
              <w:bottom w:val="single" w:sz="4" w:space="0" w:color="auto"/>
              <w:right w:val="nil"/>
            </w:tcBorders>
            <w:shd w:val="clear" w:color="auto" w:fill="auto"/>
            <w:noWrap/>
            <w:vAlign w:val="bottom"/>
            <w:hideMark/>
          </w:tcPr>
          <w:p w:rsidR="00C57983" w:rsidRPr="00F512D2" w:rsidRDefault="00C57983" w:rsidP="00C57983">
            <w:pPr>
              <w:rPr>
                <w:rFonts w:asciiTheme="majorBidi" w:hAnsiTheme="majorBidi" w:cstheme="majorBidi"/>
                <w:color w:val="000000"/>
                <w:sz w:val="22"/>
                <w:szCs w:val="22"/>
              </w:rPr>
            </w:pPr>
            <w:r w:rsidRPr="00F512D2">
              <w:rPr>
                <w:rFonts w:asciiTheme="majorBidi" w:hAnsiTheme="majorBidi" w:cstheme="majorBidi"/>
                <w:color w:val="000000"/>
                <w:sz w:val="22"/>
                <w:szCs w:val="22"/>
              </w:rPr>
              <w:t>Total</w:t>
            </w:r>
          </w:p>
        </w:tc>
        <w:tc>
          <w:tcPr>
            <w:tcW w:w="1113" w:type="dxa"/>
            <w:tcBorders>
              <w:top w:val="nil"/>
              <w:left w:val="nil"/>
              <w:bottom w:val="single" w:sz="4" w:space="0" w:color="auto"/>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67,500</w:t>
            </w:r>
          </w:p>
        </w:tc>
        <w:tc>
          <w:tcPr>
            <w:tcW w:w="1392" w:type="dxa"/>
            <w:tcBorders>
              <w:top w:val="nil"/>
              <w:left w:val="nil"/>
              <w:bottom w:val="single" w:sz="4" w:space="0" w:color="auto"/>
              <w:right w:val="nil"/>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900</w:t>
            </w:r>
          </w:p>
        </w:tc>
        <w:tc>
          <w:tcPr>
            <w:tcW w:w="2195" w:type="dxa"/>
            <w:tcBorders>
              <w:top w:val="nil"/>
              <w:left w:val="nil"/>
              <w:bottom w:val="single" w:sz="4" w:space="0" w:color="auto"/>
              <w:right w:val="nil"/>
            </w:tcBorders>
            <w:shd w:val="clear" w:color="auto" w:fill="auto"/>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213</w:t>
            </w:r>
          </w:p>
        </w:tc>
        <w:tc>
          <w:tcPr>
            <w:tcW w:w="1468" w:type="dxa"/>
            <w:tcBorders>
              <w:top w:val="nil"/>
              <w:left w:val="nil"/>
              <w:bottom w:val="single" w:sz="4" w:space="0" w:color="auto"/>
              <w:right w:val="single" w:sz="4" w:space="0" w:color="auto"/>
            </w:tcBorders>
            <w:shd w:val="clear" w:color="auto" w:fill="auto"/>
            <w:noWrap/>
            <w:vAlign w:val="bottom"/>
            <w:hideMark/>
          </w:tcPr>
          <w:p w:rsidR="00C57983" w:rsidRPr="00F512D2" w:rsidRDefault="00C57983" w:rsidP="00C57983">
            <w:pPr>
              <w:jc w:val="right"/>
              <w:rPr>
                <w:rFonts w:asciiTheme="majorBidi" w:hAnsiTheme="majorBidi" w:cstheme="majorBidi"/>
                <w:color w:val="000000"/>
                <w:sz w:val="22"/>
                <w:szCs w:val="22"/>
              </w:rPr>
            </w:pPr>
            <w:r w:rsidRPr="00F512D2">
              <w:rPr>
                <w:rFonts w:asciiTheme="majorBidi" w:hAnsiTheme="majorBidi" w:cstheme="majorBidi"/>
                <w:color w:val="000000"/>
                <w:sz w:val="22"/>
                <w:szCs w:val="22"/>
              </w:rPr>
              <w:t>1,997</w:t>
            </w:r>
          </w:p>
        </w:tc>
      </w:tr>
    </w:tbl>
    <w:p w:rsidR="00500991" w:rsidRPr="00F512D2" w:rsidRDefault="00C57983" w:rsidP="001C558A">
      <w:pPr>
        <w:keepNext/>
        <w:keepLines/>
        <w:ind w:left="720"/>
        <w:rPr>
          <w:rFonts w:asciiTheme="majorBidi" w:hAnsiTheme="majorBidi" w:cstheme="majorBidi"/>
        </w:rPr>
      </w:pPr>
      <w:r w:rsidRPr="00F512D2">
        <w:rPr>
          <w:rFonts w:asciiTheme="majorBidi" w:hAnsiTheme="majorBidi" w:cstheme="majorBidi"/>
        </w:rPr>
        <w:br w:type="textWrapping" w:clear="all"/>
      </w:r>
      <w:r w:rsidR="00500991" w:rsidRPr="00F512D2">
        <w:rPr>
          <w:rFonts w:asciiTheme="majorBidi" w:hAnsiTheme="majorBidi" w:cstheme="majorBidi"/>
        </w:rPr>
        <w:t xml:space="preserve">SS = State Sampling; PPS = probability proportional to size; QFT = Questionnaire Field Test. </w:t>
      </w:r>
    </w:p>
    <w:p w:rsidR="001C558A" w:rsidRPr="00F512D2" w:rsidRDefault="001C558A" w:rsidP="001C558A">
      <w:pPr>
        <w:keepNext/>
        <w:keepLines/>
        <w:ind w:left="720"/>
        <w:rPr>
          <w:rFonts w:asciiTheme="majorBidi" w:hAnsiTheme="majorBidi" w:cstheme="majorBidi"/>
        </w:rPr>
      </w:pPr>
    </w:p>
    <w:p w:rsidR="001C558A" w:rsidRPr="00F512D2" w:rsidRDefault="000074F5" w:rsidP="001C558A">
      <w:pPr>
        <w:keepNext/>
        <w:keepLines/>
        <w:ind w:left="720"/>
        <w:rPr>
          <w:rFonts w:asciiTheme="majorBidi" w:hAnsiTheme="majorBidi" w:cstheme="majorBidi"/>
        </w:rPr>
      </w:pPr>
      <w:r w:rsidRPr="00F512D2">
        <w:rPr>
          <w:rFonts w:asciiTheme="majorBidi" w:hAnsiTheme="majorBidi" w:cstheme="majorBidi"/>
        </w:rPr>
        <w:t xml:space="preserve">Dwelling units not selected for the 2011 and 2012 main </w:t>
      </w:r>
      <w:r w:rsidR="001C558A" w:rsidRPr="00F512D2">
        <w:rPr>
          <w:rFonts w:asciiTheme="majorBidi" w:hAnsiTheme="majorBidi" w:cstheme="majorBidi"/>
        </w:rPr>
        <w:t>NS</w:t>
      </w:r>
      <w:r w:rsidRPr="00F512D2">
        <w:rPr>
          <w:rFonts w:asciiTheme="majorBidi" w:hAnsiTheme="majorBidi" w:cstheme="majorBidi"/>
        </w:rPr>
        <w:t>D</w:t>
      </w:r>
      <w:r w:rsidR="001C558A" w:rsidRPr="00F512D2">
        <w:rPr>
          <w:rFonts w:asciiTheme="majorBidi" w:hAnsiTheme="majorBidi" w:cstheme="majorBidi"/>
        </w:rPr>
        <w:t>U</w:t>
      </w:r>
      <w:r w:rsidRPr="00F512D2">
        <w:rPr>
          <w:rFonts w:asciiTheme="majorBidi" w:hAnsiTheme="majorBidi" w:cstheme="majorBidi"/>
        </w:rPr>
        <w:t xml:space="preserve">H study will be eligible for selection in the </w:t>
      </w:r>
      <w:r w:rsidR="001C558A" w:rsidRPr="00F512D2">
        <w:rPr>
          <w:rFonts w:asciiTheme="majorBidi" w:hAnsiTheme="majorBidi" w:cstheme="majorBidi"/>
        </w:rPr>
        <w:t>QFT</w:t>
      </w:r>
      <w:r w:rsidRPr="00F512D2">
        <w:rPr>
          <w:rFonts w:asciiTheme="majorBidi" w:hAnsiTheme="majorBidi" w:cstheme="majorBidi"/>
        </w:rPr>
        <w:t>. A sufficient number of dwelling units will be drawn to account for the lower sample yield resulting from conducting interviews in English only. After accounting for eligibility, nonresponse, and the person-level sample selection procedures, it is estimated that approximately 4,552 dwelling units will need to be selected in order to yield 2,000 completed interviews for the field test</w:t>
      </w:r>
      <w:r w:rsidR="001C558A" w:rsidRPr="00F512D2">
        <w:rPr>
          <w:rFonts w:asciiTheme="majorBidi" w:hAnsiTheme="majorBidi" w:cstheme="majorBidi"/>
        </w:rPr>
        <w:t>,</w:t>
      </w:r>
      <w:r w:rsidRPr="00F512D2">
        <w:rPr>
          <w:rFonts w:asciiTheme="majorBidi" w:hAnsiTheme="majorBidi" w:cstheme="majorBidi"/>
        </w:rPr>
        <w:t xml:space="preserve"> as shown in Table 2</w:t>
      </w:r>
      <w:r w:rsidR="001C558A" w:rsidRPr="00F512D2">
        <w:rPr>
          <w:rFonts w:asciiTheme="majorBidi" w:hAnsiTheme="majorBidi" w:cstheme="majorBidi"/>
        </w:rPr>
        <w:t xml:space="preserve"> below</w:t>
      </w:r>
      <w:r w:rsidRPr="00F512D2">
        <w:rPr>
          <w:rFonts w:asciiTheme="majorBidi" w:hAnsiTheme="majorBidi" w:cstheme="majorBidi"/>
        </w:rPr>
        <w:t>. The 2010 NSDUH</w:t>
      </w:r>
      <w:r w:rsidR="001C558A" w:rsidRPr="00F512D2">
        <w:rPr>
          <w:rFonts w:asciiTheme="majorBidi" w:hAnsiTheme="majorBidi" w:cstheme="majorBidi"/>
        </w:rPr>
        <w:t xml:space="preserve"> sample</w:t>
      </w:r>
      <w:r w:rsidRPr="00F512D2">
        <w:rPr>
          <w:rFonts w:asciiTheme="majorBidi" w:hAnsiTheme="majorBidi" w:cstheme="majorBidi"/>
        </w:rPr>
        <w:t xml:space="preserve"> </w:t>
      </w:r>
      <w:r w:rsidR="001C558A" w:rsidRPr="00F512D2">
        <w:rPr>
          <w:rFonts w:asciiTheme="majorBidi" w:hAnsiTheme="majorBidi" w:cstheme="majorBidi"/>
        </w:rPr>
        <w:t>outcomes</w:t>
      </w:r>
      <w:r w:rsidRPr="00F512D2">
        <w:rPr>
          <w:rFonts w:asciiTheme="majorBidi" w:hAnsiTheme="majorBidi" w:cstheme="majorBidi"/>
        </w:rPr>
        <w:t xml:space="preserve">, adjusted for the planned QFT age distribution, </w:t>
      </w:r>
      <w:r w:rsidR="007B6232" w:rsidRPr="00F512D2">
        <w:rPr>
          <w:rFonts w:asciiTheme="majorBidi" w:hAnsiTheme="majorBidi" w:cstheme="majorBidi"/>
        </w:rPr>
        <w:t>were</w:t>
      </w:r>
      <w:r w:rsidRPr="00F512D2">
        <w:rPr>
          <w:rFonts w:asciiTheme="majorBidi" w:hAnsiTheme="majorBidi" w:cstheme="majorBidi"/>
        </w:rPr>
        <w:t xml:space="preserve"> used to estimate the number of dwelling units needed.</w:t>
      </w:r>
    </w:p>
    <w:p w:rsidR="001C558A" w:rsidRPr="00F512D2" w:rsidRDefault="001C558A" w:rsidP="001C558A">
      <w:pPr>
        <w:keepNext/>
        <w:keepLines/>
        <w:ind w:left="720"/>
        <w:rPr>
          <w:rFonts w:asciiTheme="majorBidi" w:hAnsiTheme="majorBidi" w:cstheme="majorBidi"/>
        </w:rPr>
      </w:pPr>
    </w:p>
    <w:p w:rsidR="001C558A" w:rsidRPr="00F512D2" w:rsidRDefault="001C558A" w:rsidP="001C558A">
      <w:pPr>
        <w:ind w:left="720"/>
        <w:rPr>
          <w:rFonts w:asciiTheme="majorBidi" w:hAnsiTheme="majorBidi" w:cstheme="majorBidi"/>
        </w:rPr>
      </w:pPr>
      <w:r w:rsidRPr="00F512D2">
        <w:rPr>
          <w:rFonts w:asciiTheme="majorBidi" w:hAnsiTheme="majorBidi" w:cstheme="majorBidi"/>
        </w:rPr>
        <w:t>Similar to the main study, a small reserve sample of dwelling units from each segment will be selected and the total sample will be partitioned into equal probability subsamples. While the majority of the sample will be released at the beginning of the QFT data collection period, having the additional sample and sample partitions will allow for greater flexibility in controlling the sample size. This procedure will allow us to ensure data collection goals are attained within the field period.</w:t>
      </w:r>
    </w:p>
    <w:p w:rsidR="008E5A7B" w:rsidRPr="00F512D2" w:rsidRDefault="008E5A7B" w:rsidP="001C558A">
      <w:pPr>
        <w:ind w:left="720"/>
        <w:rPr>
          <w:rFonts w:asciiTheme="majorBidi" w:hAnsiTheme="majorBidi" w:cstheme="majorBidi"/>
        </w:rPr>
      </w:pPr>
    </w:p>
    <w:p w:rsidR="008E5A7B" w:rsidRPr="00F512D2" w:rsidRDefault="001C558A" w:rsidP="008E5A7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The QFT respondent sample will be allocated to the three major age groups in the following proportions: 25 percent aged 12 to 17, 25 percent aged 18 to 25, and 50 percent aged 26 or older. This sample allocation will match the planned allocation for the 2</w:t>
      </w:r>
      <w:r w:rsidR="00CB311A" w:rsidRPr="00F512D2">
        <w:rPr>
          <w:rFonts w:asciiTheme="majorBidi" w:hAnsiTheme="majorBidi" w:cstheme="majorBidi"/>
        </w:rPr>
        <w:t xml:space="preserve">015 </w:t>
      </w:r>
      <w:r w:rsidR="00B75D2E" w:rsidRPr="00F512D2">
        <w:rPr>
          <w:rFonts w:asciiTheme="majorBidi" w:hAnsiTheme="majorBidi" w:cstheme="majorBidi"/>
        </w:rPr>
        <w:t>NSDUH redesign</w:t>
      </w:r>
      <w:r w:rsidRPr="00F512D2">
        <w:rPr>
          <w:rFonts w:asciiTheme="majorBidi" w:hAnsiTheme="majorBidi" w:cstheme="majorBidi"/>
        </w:rPr>
        <w:t xml:space="preserve">. </w:t>
      </w:r>
      <w:r w:rsidR="008E5A7B" w:rsidRPr="00F512D2">
        <w:rPr>
          <w:rFonts w:asciiTheme="majorBidi" w:hAnsiTheme="majorBidi" w:cstheme="majorBidi"/>
        </w:rPr>
        <w:t>The expected number of selected persons per completed screening interview was roughly approximated by ratio-adjusting the 2010 NSDUH selected persons and completed screeners to the planned QFT age distribution. The expected interview response rate was calculated by averaging the 2010 NSDUH age group response rates and weighting by the planned age distribution.</w:t>
      </w:r>
    </w:p>
    <w:p w:rsidR="000261D8" w:rsidRPr="00F512D2" w:rsidRDefault="000261D8">
      <w:r w:rsidRPr="00F512D2">
        <w:br w:type="page"/>
      </w:r>
    </w:p>
    <w:tbl>
      <w:tblPr>
        <w:tblW w:w="8010" w:type="dxa"/>
        <w:tblInd w:w="828" w:type="dxa"/>
        <w:tblLook w:val="04A0"/>
      </w:tblPr>
      <w:tblGrid>
        <w:gridCol w:w="4410"/>
        <w:gridCol w:w="1028"/>
        <w:gridCol w:w="2572"/>
      </w:tblGrid>
      <w:tr w:rsidR="000074F5" w:rsidRPr="00F512D2" w:rsidTr="001C558A">
        <w:trPr>
          <w:trHeight w:val="314"/>
        </w:trPr>
        <w:tc>
          <w:tcPr>
            <w:tcW w:w="8010" w:type="dxa"/>
            <w:gridSpan w:val="3"/>
            <w:tcBorders>
              <w:top w:val="nil"/>
              <w:left w:val="nil"/>
              <w:bottom w:val="nil"/>
              <w:right w:val="nil"/>
            </w:tcBorders>
            <w:shd w:val="clear" w:color="auto" w:fill="auto"/>
            <w:noWrap/>
            <w:vAlign w:val="bottom"/>
            <w:hideMark/>
          </w:tcPr>
          <w:p w:rsidR="000074F5" w:rsidRPr="00F512D2" w:rsidRDefault="000074F5" w:rsidP="000074F5">
            <w:pPr>
              <w:jc w:val="center"/>
              <w:rPr>
                <w:rFonts w:asciiTheme="majorBidi" w:hAnsiTheme="majorBidi" w:cstheme="majorBidi"/>
                <w:b/>
                <w:bCs/>
                <w:u w:val="single"/>
              </w:rPr>
            </w:pPr>
          </w:p>
          <w:p w:rsidR="000074F5" w:rsidRPr="00F512D2" w:rsidRDefault="000074F5" w:rsidP="000074F5">
            <w:pPr>
              <w:jc w:val="center"/>
              <w:rPr>
                <w:rFonts w:asciiTheme="majorBidi" w:hAnsiTheme="majorBidi" w:cstheme="majorBidi"/>
                <w:b/>
                <w:bCs/>
                <w:u w:val="single"/>
              </w:rPr>
            </w:pPr>
            <w:r w:rsidRPr="00F512D2">
              <w:rPr>
                <w:rFonts w:asciiTheme="majorBidi" w:hAnsiTheme="majorBidi" w:cstheme="majorBidi"/>
                <w:b/>
                <w:bCs/>
                <w:u w:val="single"/>
              </w:rPr>
              <w:t>Table 2. Summary of the Questionnaire Field Test Sample Design</w:t>
            </w:r>
          </w:p>
          <w:p w:rsidR="001C558A" w:rsidRPr="00F512D2" w:rsidRDefault="001C558A" w:rsidP="000074F5">
            <w:pPr>
              <w:jc w:val="center"/>
              <w:rPr>
                <w:rFonts w:asciiTheme="majorBidi" w:hAnsiTheme="majorBidi" w:cstheme="majorBidi"/>
                <w:b/>
                <w:bCs/>
                <w:u w:val="single"/>
              </w:rPr>
            </w:pPr>
          </w:p>
        </w:tc>
      </w:tr>
      <w:tr w:rsidR="000074F5" w:rsidRPr="00F512D2" w:rsidTr="001C558A">
        <w:trPr>
          <w:trHeight w:val="629"/>
        </w:trPr>
        <w:tc>
          <w:tcPr>
            <w:tcW w:w="4410" w:type="dxa"/>
            <w:tcBorders>
              <w:top w:val="single" w:sz="4" w:space="0" w:color="auto"/>
              <w:left w:val="single" w:sz="4" w:space="0" w:color="auto"/>
              <w:bottom w:val="single" w:sz="4" w:space="0" w:color="auto"/>
              <w:right w:val="nil"/>
            </w:tcBorders>
            <w:shd w:val="clear" w:color="auto" w:fill="auto"/>
            <w:vAlign w:val="bottom"/>
            <w:hideMark/>
          </w:tcPr>
          <w:p w:rsidR="000074F5" w:rsidRPr="00F512D2" w:rsidRDefault="000074F5" w:rsidP="00BC7213">
            <w:pPr>
              <w:rPr>
                <w:rFonts w:asciiTheme="majorBidi" w:hAnsiTheme="majorBidi" w:cstheme="majorBidi"/>
                <w:b/>
                <w:bCs/>
              </w:rPr>
            </w:pPr>
            <w:r w:rsidRPr="00F512D2">
              <w:rPr>
                <w:rFonts w:asciiTheme="majorBidi" w:hAnsiTheme="majorBidi" w:cstheme="majorBidi"/>
                <w:b/>
                <w:bCs/>
              </w:rPr>
              <w:t>Statistic</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74F5" w:rsidRPr="00F512D2" w:rsidRDefault="000074F5" w:rsidP="00BC7213">
            <w:pPr>
              <w:jc w:val="center"/>
              <w:rPr>
                <w:rFonts w:asciiTheme="majorBidi" w:hAnsiTheme="majorBidi" w:cstheme="majorBidi"/>
                <w:b/>
                <w:bCs/>
              </w:rPr>
            </w:pPr>
            <w:r w:rsidRPr="00F512D2">
              <w:rPr>
                <w:rFonts w:asciiTheme="majorBidi" w:hAnsiTheme="majorBidi" w:cstheme="majorBidi"/>
                <w:b/>
                <w:bCs/>
              </w:rPr>
              <w:t>Total</w:t>
            </w:r>
          </w:p>
        </w:tc>
        <w:tc>
          <w:tcPr>
            <w:tcW w:w="2572" w:type="dxa"/>
            <w:tcBorders>
              <w:top w:val="single" w:sz="4" w:space="0" w:color="auto"/>
              <w:left w:val="nil"/>
              <w:bottom w:val="single" w:sz="4" w:space="0" w:color="auto"/>
              <w:right w:val="single" w:sz="4" w:space="0" w:color="auto"/>
            </w:tcBorders>
            <w:shd w:val="clear" w:color="auto" w:fill="auto"/>
            <w:vAlign w:val="bottom"/>
            <w:hideMark/>
          </w:tcPr>
          <w:p w:rsidR="000074F5" w:rsidRPr="00F512D2" w:rsidRDefault="000074F5" w:rsidP="00BC7213">
            <w:pPr>
              <w:jc w:val="center"/>
              <w:rPr>
                <w:rFonts w:asciiTheme="majorBidi" w:hAnsiTheme="majorBidi" w:cstheme="majorBidi"/>
                <w:b/>
                <w:bCs/>
              </w:rPr>
            </w:pPr>
            <w:r w:rsidRPr="00F512D2">
              <w:rPr>
                <w:rFonts w:asciiTheme="majorBidi" w:hAnsiTheme="majorBidi" w:cstheme="majorBidi"/>
                <w:b/>
                <w:bCs/>
              </w:rPr>
              <w:t>Expected Rate</w:t>
            </w:r>
          </w:p>
        </w:tc>
      </w:tr>
      <w:tr w:rsidR="000074F5" w:rsidRPr="00F512D2" w:rsidTr="001C558A">
        <w:trPr>
          <w:trHeight w:val="314"/>
        </w:trPr>
        <w:tc>
          <w:tcPr>
            <w:tcW w:w="4410" w:type="dxa"/>
            <w:tcBorders>
              <w:top w:val="nil"/>
              <w:left w:val="single" w:sz="4" w:space="0" w:color="auto"/>
              <w:bottom w:val="nil"/>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S</w:t>
            </w:r>
            <w:r w:rsidR="001C558A" w:rsidRPr="00F512D2">
              <w:rPr>
                <w:rFonts w:asciiTheme="majorBidi" w:hAnsiTheme="majorBidi" w:cstheme="majorBidi"/>
              </w:rPr>
              <w:t xml:space="preserve">tate </w:t>
            </w:r>
            <w:r w:rsidRPr="00F512D2">
              <w:rPr>
                <w:rFonts w:asciiTheme="majorBidi" w:hAnsiTheme="majorBidi" w:cstheme="majorBidi"/>
              </w:rPr>
              <w:t>S</w:t>
            </w:r>
            <w:r w:rsidR="001C558A" w:rsidRPr="00F512D2">
              <w:rPr>
                <w:rFonts w:asciiTheme="majorBidi" w:hAnsiTheme="majorBidi" w:cstheme="majorBidi"/>
              </w:rPr>
              <w:t>ampling</w:t>
            </w:r>
            <w:r w:rsidRPr="00F512D2">
              <w:rPr>
                <w:rFonts w:asciiTheme="majorBidi" w:hAnsiTheme="majorBidi" w:cstheme="majorBidi"/>
              </w:rPr>
              <w:t xml:space="preserve"> Regions</w:t>
            </w:r>
          </w:p>
        </w:tc>
        <w:tc>
          <w:tcPr>
            <w:tcW w:w="1028" w:type="dxa"/>
            <w:tcBorders>
              <w:top w:val="nil"/>
              <w:left w:val="single" w:sz="4" w:space="0" w:color="auto"/>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213</w:t>
            </w:r>
          </w:p>
        </w:tc>
        <w:tc>
          <w:tcPr>
            <w:tcW w:w="2572" w:type="dxa"/>
            <w:tcBorders>
              <w:top w:val="nil"/>
              <w:left w:val="nil"/>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 </w:t>
            </w:r>
          </w:p>
        </w:tc>
      </w:tr>
      <w:tr w:rsidR="000074F5" w:rsidRPr="00F512D2" w:rsidTr="001C558A">
        <w:trPr>
          <w:trHeight w:val="314"/>
        </w:trPr>
        <w:tc>
          <w:tcPr>
            <w:tcW w:w="4410" w:type="dxa"/>
            <w:tcBorders>
              <w:top w:val="nil"/>
              <w:left w:val="single" w:sz="4" w:space="0" w:color="auto"/>
              <w:bottom w:val="nil"/>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Segments</w:t>
            </w:r>
          </w:p>
        </w:tc>
        <w:tc>
          <w:tcPr>
            <w:tcW w:w="1028" w:type="dxa"/>
            <w:tcBorders>
              <w:top w:val="nil"/>
              <w:left w:val="single" w:sz="4" w:space="0" w:color="auto"/>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213</w:t>
            </w:r>
          </w:p>
        </w:tc>
        <w:tc>
          <w:tcPr>
            <w:tcW w:w="2572" w:type="dxa"/>
            <w:tcBorders>
              <w:top w:val="nil"/>
              <w:left w:val="nil"/>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 </w:t>
            </w:r>
          </w:p>
        </w:tc>
      </w:tr>
      <w:tr w:rsidR="000074F5" w:rsidRPr="00F512D2" w:rsidTr="001C558A">
        <w:trPr>
          <w:trHeight w:val="314"/>
        </w:trPr>
        <w:tc>
          <w:tcPr>
            <w:tcW w:w="4410" w:type="dxa"/>
            <w:tcBorders>
              <w:top w:val="nil"/>
              <w:left w:val="single" w:sz="4" w:space="0" w:color="auto"/>
              <w:bottom w:val="nil"/>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Selected Dwelling Units</w:t>
            </w:r>
          </w:p>
        </w:tc>
        <w:tc>
          <w:tcPr>
            <w:tcW w:w="1028" w:type="dxa"/>
            <w:tcBorders>
              <w:top w:val="nil"/>
              <w:left w:val="single" w:sz="4" w:space="0" w:color="auto"/>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4,552</w:t>
            </w:r>
          </w:p>
        </w:tc>
        <w:tc>
          <w:tcPr>
            <w:tcW w:w="2572" w:type="dxa"/>
            <w:tcBorders>
              <w:top w:val="nil"/>
              <w:left w:val="nil"/>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 </w:t>
            </w:r>
          </w:p>
        </w:tc>
      </w:tr>
      <w:tr w:rsidR="000074F5" w:rsidRPr="00F512D2" w:rsidTr="001C558A">
        <w:trPr>
          <w:trHeight w:val="314"/>
        </w:trPr>
        <w:tc>
          <w:tcPr>
            <w:tcW w:w="4410" w:type="dxa"/>
            <w:tcBorders>
              <w:top w:val="nil"/>
              <w:left w:val="single" w:sz="4" w:space="0" w:color="auto"/>
              <w:bottom w:val="nil"/>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Expected Eligible Dwelling Units</w:t>
            </w:r>
          </w:p>
        </w:tc>
        <w:tc>
          <w:tcPr>
            <w:tcW w:w="1028" w:type="dxa"/>
            <w:tcBorders>
              <w:top w:val="nil"/>
              <w:left w:val="single" w:sz="4" w:space="0" w:color="auto"/>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3,751</w:t>
            </w:r>
          </w:p>
        </w:tc>
        <w:tc>
          <w:tcPr>
            <w:tcW w:w="2572" w:type="dxa"/>
            <w:tcBorders>
              <w:top w:val="nil"/>
              <w:left w:val="nil"/>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0.82</w:t>
            </w:r>
          </w:p>
        </w:tc>
      </w:tr>
      <w:tr w:rsidR="000074F5" w:rsidRPr="00F512D2" w:rsidTr="001C558A">
        <w:trPr>
          <w:trHeight w:val="314"/>
        </w:trPr>
        <w:tc>
          <w:tcPr>
            <w:tcW w:w="4410" w:type="dxa"/>
            <w:tcBorders>
              <w:top w:val="nil"/>
              <w:left w:val="single" w:sz="4" w:space="0" w:color="auto"/>
              <w:bottom w:val="nil"/>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Expected Completed Screening Interviews</w:t>
            </w:r>
          </w:p>
        </w:tc>
        <w:tc>
          <w:tcPr>
            <w:tcW w:w="1028" w:type="dxa"/>
            <w:tcBorders>
              <w:top w:val="nil"/>
              <w:left w:val="single" w:sz="4" w:space="0" w:color="auto"/>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3,338</w:t>
            </w:r>
          </w:p>
        </w:tc>
        <w:tc>
          <w:tcPr>
            <w:tcW w:w="2572" w:type="dxa"/>
            <w:tcBorders>
              <w:top w:val="nil"/>
              <w:left w:val="nil"/>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0.89</w:t>
            </w:r>
          </w:p>
        </w:tc>
      </w:tr>
      <w:tr w:rsidR="000074F5" w:rsidRPr="00F512D2" w:rsidTr="001C558A">
        <w:trPr>
          <w:trHeight w:val="314"/>
        </w:trPr>
        <w:tc>
          <w:tcPr>
            <w:tcW w:w="4410" w:type="dxa"/>
            <w:tcBorders>
              <w:top w:val="nil"/>
              <w:left w:val="single" w:sz="4" w:space="0" w:color="auto"/>
              <w:bottom w:val="nil"/>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Expected Selected Persons</w:t>
            </w:r>
          </w:p>
        </w:tc>
        <w:tc>
          <w:tcPr>
            <w:tcW w:w="1028" w:type="dxa"/>
            <w:tcBorders>
              <w:top w:val="nil"/>
              <w:left w:val="single" w:sz="4" w:space="0" w:color="auto"/>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2,637</w:t>
            </w:r>
          </w:p>
        </w:tc>
        <w:tc>
          <w:tcPr>
            <w:tcW w:w="2572" w:type="dxa"/>
            <w:tcBorders>
              <w:top w:val="nil"/>
              <w:left w:val="nil"/>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 </w:t>
            </w:r>
          </w:p>
        </w:tc>
      </w:tr>
      <w:tr w:rsidR="000074F5" w:rsidRPr="00F512D2" w:rsidTr="001C558A">
        <w:trPr>
          <w:trHeight w:val="314"/>
        </w:trPr>
        <w:tc>
          <w:tcPr>
            <w:tcW w:w="4410" w:type="dxa"/>
            <w:tcBorders>
              <w:top w:val="nil"/>
              <w:left w:val="single" w:sz="4" w:space="0" w:color="auto"/>
              <w:bottom w:val="nil"/>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Expected Eligible Persons (English-Speaking)</w:t>
            </w:r>
          </w:p>
        </w:tc>
        <w:tc>
          <w:tcPr>
            <w:tcW w:w="1028" w:type="dxa"/>
            <w:tcBorders>
              <w:top w:val="nil"/>
              <w:left w:val="single" w:sz="4" w:space="0" w:color="auto"/>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2,532</w:t>
            </w:r>
          </w:p>
        </w:tc>
        <w:tc>
          <w:tcPr>
            <w:tcW w:w="2572" w:type="dxa"/>
            <w:tcBorders>
              <w:top w:val="nil"/>
              <w:left w:val="nil"/>
              <w:bottom w:val="nil"/>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0.96</w:t>
            </w:r>
          </w:p>
        </w:tc>
      </w:tr>
      <w:tr w:rsidR="000074F5" w:rsidRPr="00F512D2" w:rsidTr="001C558A">
        <w:trPr>
          <w:trHeight w:val="314"/>
        </w:trPr>
        <w:tc>
          <w:tcPr>
            <w:tcW w:w="4410" w:type="dxa"/>
            <w:tcBorders>
              <w:top w:val="nil"/>
              <w:left w:val="single" w:sz="4" w:space="0" w:color="auto"/>
              <w:bottom w:val="single" w:sz="4" w:space="0" w:color="auto"/>
              <w:right w:val="nil"/>
            </w:tcBorders>
            <w:shd w:val="clear" w:color="auto" w:fill="auto"/>
            <w:hideMark/>
          </w:tcPr>
          <w:p w:rsidR="000074F5" w:rsidRPr="00F512D2" w:rsidRDefault="000074F5" w:rsidP="00BC7213">
            <w:pPr>
              <w:jc w:val="both"/>
              <w:rPr>
                <w:rFonts w:asciiTheme="majorBidi" w:hAnsiTheme="majorBidi" w:cstheme="majorBidi"/>
              </w:rPr>
            </w:pPr>
            <w:r w:rsidRPr="00F512D2">
              <w:rPr>
                <w:rFonts w:asciiTheme="majorBidi" w:hAnsiTheme="majorBidi" w:cstheme="majorBidi"/>
              </w:rPr>
              <w:t>Expected Completed Interviews</w:t>
            </w:r>
          </w:p>
        </w:tc>
        <w:tc>
          <w:tcPr>
            <w:tcW w:w="1028" w:type="dxa"/>
            <w:tcBorders>
              <w:top w:val="nil"/>
              <w:left w:val="single" w:sz="4" w:space="0" w:color="auto"/>
              <w:bottom w:val="single" w:sz="4" w:space="0" w:color="auto"/>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2,000</w:t>
            </w:r>
          </w:p>
        </w:tc>
        <w:tc>
          <w:tcPr>
            <w:tcW w:w="2572" w:type="dxa"/>
            <w:tcBorders>
              <w:top w:val="nil"/>
              <w:left w:val="nil"/>
              <w:bottom w:val="single" w:sz="4" w:space="0" w:color="auto"/>
              <w:right w:val="single" w:sz="4" w:space="0" w:color="auto"/>
            </w:tcBorders>
            <w:shd w:val="clear" w:color="auto" w:fill="auto"/>
            <w:hideMark/>
          </w:tcPr>
          <w:p w:rsidR="000074F5" w:rsidRPr="00F512D2" w:rsidRDefault="000074F5" w:rsidP="00BC7213">
            <w:pPr>
              <w:jc w:val="right"/>
              <w:rPr>
                <w:rFonts w:asciiTheme="majorBidi" w:hAnsiTheme="majorBidi" w:cstheme="majorBidi"/>
              </w:rPr>
            </w:pPr>
            <w:r w:rsidRPr="00F512D2">
              <w:rPr>
                <w:rFonts w:asciiTheme="majorBidi" w:hAnsiTheme="majorBidi" w:cstheme="majorBidi"/>
              </w:rPr>
              <w:t>0.79</w:t>
            </w:r>
          </w:p>
        </w:tc>
      </w:tr>
    </w:tbl>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675DFE">
      <w:pPr>
        <w:ind w:left="720"/>
        <w:rPr>
          <w:rFonts w:asciiTheme="majorBidi" w:hAnsiTheme="majorBidi" w:cstheme="majorBidi"/>
        </w:rPr>
      </w:pPr>
    </w:p>
    <w:p w:rsidR="00675DFE" w:rsidRPr="00F512D2" w:rsidRDefault="00675DFE" w:rsidP="00675DFE">
      <w:pPr>
        <w:rPr>
          <w:rFonts w:asciiTheme="majorBidi" w:hAnsiTheme="majorBidi" w:cstheme="majorBidi"/>
        </w:rPr>
      </w:pPr>
      <w:r w:rsidRPr="00F512D2">
        <w:rPr>
          <w:rFonts w:asciiTheme="majorBidi" w:hAnsiTheme="majorBidi" w:cstheme="majorBidi"/>
          <w:b/>
        </w:rPr>
        <w:t>2.</w:t>
      </w:r>
      <w:r w:rsidRPr="00F512D2">
        <w:rPr>
          <w:rFonts w:asciiTheme="majorBidi" w:hAnsiTheme="majorBidi" w:cstheme="majorBidi"/>
          <w:b/>
        </w:rPr>
        <w:tab/>
      </w:r>
      <w:r w:rsidRPr="00F512D2">
        <w:rPr>
          <w:rFonts w:asciiTheme="majorBidi" w:hAnsiTheme="majorBidi" w:cstheme="majorBidi"/>
          <w:b/>
          <w:u w:val="single"/>
        </w:rPr>
        <w:t>Information Collection Procedures</w:t>
      </w:r>
    </w:p>
    <w:p w:rsidR="00675DFE" w:rsidRPr="00F512D2" w:rsidRDefault="00675DFE" w:rsidP="00675D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75DFE" w:rsidRPr="00F512D2" w:rsidRDefault="00675DFE" w:rsidP="008E5A7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Prior to the interviewer’s arrival at the sample dwelling unit (SDU), a </w:t>
      </w:r>
      <w:r w:rsidR="0095701C" w:rsidRPr="00F512D2">
        <w:rPr>
          <w:rFonts w:asciiTheme="majorBidi" w:hAnsiTheme="majorBidi" w:cstheme="majorBidi"/>
        </w:rPr>
        <w:t xml:space="preserve">lead </w:t>
      </w:r>
      <w:r w:rsidRPr="00F512D2">
        <w:rPr>
          <w:rFonts w:asciiTheme="majorBidi" w:hAnsiTheme="majorBidi" w:cstheme="majorBidi"/>
        </w:rPr>
        <w:t xml:space="preserve">letter will be mailed to the resident(s) briefly explaining the </w:t>
      </w:r>
      <w:r w:rsidR="008E5A7B" w:rsidRPr="00F512D2">
        <w:rPr>
          <w:rFonts w:asciiTheme="majorBidi" w:hAnsiTheme="majorBidi" w:cstheme="majorBidi"/>
        </w:rPr>
        <w:t>QFT</w:t>
      </w:r>
      <w:r w:rsidR="006C595B" w:rsidRPr="00F512D2">
        <w:rPr>
          <w:rFonts w:asciiTheme="majorBidi" w:hAnsiTheme="majorBidi" w:cstheme="majorBidi"/>
        </w:rPr>
        <w:t xml:space="preserve"> </w:t>
      </w:r>
      <w:r w:rsidRPr="00F512D2">
        <w:rPr>
          <w:rFonts w:asciiTheme="majorBidi" w:hAnsiTheme="majorBidi" w:cstheme="majorBidi"/>
        </w:rPr>
        <w:t>and requesting their cooperation.  This letter will be printed on Department of Health and Human Services letterhead with the signature of the DHHS National Study Director and the Contractor’s National Field Director (see Attachment D).</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Upon arrival at the SDU, the interviewer will refer the respondent to this letter and answer any questions.  If the respondent has no knowledge of the lead letter, the interviewer will provide another copy, explain that one was previously sent, and then answer any questions.  If no one is at home during the initial call at the SDU, the interviewer may leave a Sorry I Missed You card (Attachment E) informing the resident(s) that the interviewer plans to make another callback at a later date/time.  Callbacks will be made as soon as possible.  Interviewers will attempt to make at least four callbacks (in addition to the initial call) to each SDU in order to complete the screening process and obtain an interview. </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6C595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If the interviewer is unable to contact anyone at the SDU after repeated attempts, the interviewer’s Field Supervisor may send an Unable to Contact (UTC) letter.  The UTC letter </w:t>
      </w:r>
      <w:r w:rsidR="006C595B" w:rsidRPr="00F512D2">
        <w:rPr>
          <w:rFonts w:asciiTheme="majorBidi" w:hAnsiTheme="majorBidi" w:cstheme="majorBidi"/>
        </w:rPr>
        <w:t xml:space="preserve">will </w:t>
      </w:r>
      <w:r w:rsidRPr="00F512D2">
        <w:rPr>
          <w:rFonts w:asciiTheme="majorBidi" w:hAnsiTheme="majorBidi" w:cstheme="majorBidi"/>
        </w:rPr>
        <w:t xml:space="preserve">re-iterate information contained in the lead letter and presents a plea for the respondent to participate in the study (See Attachment Q for all UTC letters).  If after sending that letter an interviewer is still unable to contact anyone at an SDU, another informational letter (See Attachment R) may be sent to the SDU requesting that the resident(s) call the Field Supervisor as soon as possible to set up an appointment for the interviewer to visit the resident(s).  </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6C595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As necessary and appropriate, the interviewer may make use of the Appointment Card (Attachment F) for scheduled return visits with the respondent.  </w:t>
      </w:r>
      <w:r w:rsidR="005A37B0" w:rsidRPr="00F512D2">
        <w:rPr>
          <w:rFonts w:asciiTheme="majorBidi" w:hAnsiTheme="majorBidi" w:cstheme="majorBidi"/>
        </w:rPr>
        <w:t xml:space="preserve">When </w:t>
      </w:r>
      <w:proofErr w:type="spellStart"/>
      <w:r w:rsidR="005A37B0" w:rsidRPr="00F512D2">
        <w:rPr>
          <w:rFonts w:asciiTheme="majorBidi" w:hAnsiTheme="majorBidi" w:cstheme="majorBidi"/>
        </w:rPr>
        <w:t>in</w:t>
      </w:r>
      <w:r w:rsidR="005A37B0" w:rsidRPr="00F512D2">
        <w:rPr>
          <w:rFonts w:asciiTheme="majorBidi" w:hAnsiTheme="majorBidi" w:cstheme="majorBidi"/>
        </w:rPr>
        <w:noBreakHyphen/>
        <w:t>person</w:t>
      </w:r>
      <w:proofErr w:type="spellEnd"/>
      <w:r w:rsidR="005A37B0" w:rsidRPr="00F512D2">
        <w:rPr>
          <w:rFonts w:asciiTheme="majorBidi" w:hAnsiTheme="majorBidi" w:cstheme="majorBidi"/>
        </w:rPr>
        <w:t xml:space="preserve"> contact is made with an adult member of the SDU and introductory procedures are completed, the interviewer will present a Study Description (Attachment G) and answer questions if required.  </w:t>
      </w:r>
      <w:r w:rsidRPr="00F512D2">
        <w:rPr>
          <w:rFonts w:asciiTheme="majorBidi" w:hAnsiTheme="majorBidi" w:cstheme="majorBidi"/>
        </w:rPr>
        <w:t xml:space="preserve">Assuming respondent cooperation, a screening of the SDU then will be initiated through administration of the Housing Unit Screening questions for housing units, or the </w:t>
      </w:r>
      <w:r w:rsidRPr="00F512D2">
        <w:rPr>
          <w:rFonts w:asciiTheme="majorBidi" w:hAnsiTheme="majorBidi" w:cstheme="majorBidi"/>
        </w:rPr>
        <w:lastRenderedPageBreak/>
        <w:t xml:space="preserve">Group Quarters Unit Screening questions for group quarters units.  The screening questions </w:t>
      </w:r>
      <w:r w:rsidR="006C595B" w:rsidRPr="00F512D2">
        <w:rPr>
          <w:rFonts w:asciiTheme="majorBidi" w:hAnsiTheme="majorBidi" w:cstheme="majorBidi"/>
        </w:rPr>
        <w:t>will b</w:t>
      </w:r>
      <w:r w:rsidRPr="00F512D2">
        <w:rPr>
          <w:rFonts w:asciiTheme="majorBidi" w:hAnsiTheme="majorBidi" w:cstheme="majorBidi"/>
        </w:rPr>
        <w:t xml:space="preserve">e administered via a hand-held, pen-based computer, which also performs the subsequent sample-selection routines.  A paper representation of the housing unit and group </w:t>
      </w:r>
      <w:proofErr w:type="gramStart"/>
      <w:r w:rsidRPr="00F512D2">
        <w:rPr>
          <w:rFonts w:asciiTheme="majorBidi" w:hAnsiTheme="majorBidi" w:cstheme="majorBidi"/>
        </w:rPr>
        <w:t>quarters</w:t>
      </w:r>
      <w:proofErr w:type="gramEnd"/>
      <w:r w:rsidRPr="00F512D2">
        <w:rPr>
          <w:rFonts w:asciiTheme="majorBidi" w:hAnsiTheme="majorBidi" w:cstheme="majorBidi"/>
        </w:rPr>
        <w:t xml:space="preserve"> unit screening process is shown in Attachment H.    </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2A5A0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If a potential respondent refuses to be screened, the interviewer </w:t>
      </w:r>
      <w:r w:rsidR="006C595B" w:rsidRPr="00F512D2">
        <w:rPr>
          <w:rFonts w:asciiTheme="majorBidi" w:hAnsiTheme="majorBidi" w:cstheme="majorBidi"/>
        </w:rPr>
        <w:t>will be</w:t>
      </w:r>
      <w:r w:rsidRPr="00F512D2">
        <w:rPr>
          <w:rFonts w:asciiTheme="majorBidi" w:hAnsiTheme="majorBidi" w:cstheme="majorBidi"/>
        </w:rPr>
        <w:t xml:space="preserve"> trained to accept the refusal in a positive manner, thereby avoiding the possibility of creating an adversarial relationship and precluding future opportunities for conversion.  A refusal letter may then be sent by the Field Supervisor.  The refusal letter sent </w:t>
      </w:r>
      <w:r w:rsidR="006C595B" w:rsidRPr="00F512D2">
        <w:rPr>
          <w:rFonts w:asciiTheme="majorBidi" w:hAnsiTheme="majorBidi" w:cstheme="majorBidi"/>
        </w:rPr>
        <w:t xml:space="preserve">will be </w:t>
      </w:r>
      <w:r w:rsidRPr="00F512D2">
        <w:rPr>
          <w:rFonts w:asciiTheme="majorBidi" w:hAnsiTheme="majorBidi" w:cstheme="majorBidi"/>
        </w:rPr>
        <w:t xml:space="preserve">tailored to the specific concerns expressed by the potential respondent and ask him/her to reconsider participation (See Attachment S for all refusal letters).  An in-person conversion </w:t>
      </w:r>
      <w:r w:rsidR="006C595B" w:rsidRPr="00F512D2">
        <w:rPr>
          <w:rFonts w:asciiTheme="majorBidi" w:hAnsiTheme="majorBidi" w:cstheme="majorBidi"/>
        </w:rPr>
        <w:t xml:space="preserve">will </w:t>
      </w:r>
      <w:r w:rsidRPr="00F512D2">
        <w:rPr>
          <w:rFonts w:asciiTheme="majorBidi" w:hAnsiTheme="majorBidi" w:cstheme="majorBidi"/>
        </w:rPr>
        <w:t xml:space="preserve">then </w:t>
      </w:r>
      <w:r w:rsidR="006C595B" w:rsidRPr="00F512D2">
        <w:rPr>
          <w:rFonts w:asciiTheme="majorBidi" w:hAnsiTheme="majorBidi" w:cstheme="majorBidi"/>
        </w:rPr>
        <w:t xml:space="preserve">be </w:t>
      </w:r>
      <w:r w:rsidRPr="00F512D2">
        <w:rPr>
          <w:rFonts w:asciiTheme="majorBidi" w:hAnsiTheme="majorBidi" w:cstheme="majorBidi"/>
        </w:rPr>
        <w:t>attempted either by supervisory field staff or specially selected intervie</w:t>
      </w:r>
      <w:r w:rsidR="002A5A0D" w:rsidRPr="00F512D2">
        <w:rPr>
          <w:rFonts w:asciiTheme="majorBidi" w:hAnsiTheme="majorBidi" w:cstheme="majorBidi"/>
        </w:rPr>
        <w:t>wers with successful convers</w:t>
      </w:r>
      <w:r w:rsidRPr="00F512D2">
        <w:rPr>
          <w:rFonts w:asciiTheme="majorBidi" w:hAnsiTheme="majorBidi" w:cstheme="majorBidi"/>
        </w:rPr>
        <w:t xml:space="preserve">ion experience. If the respondent proceeds with the screening process, the interviewer </w:t>
      </w:r>
      <w:r w:rsidR="002A5A0D" w:rsidRPr="00F512D2">
        <w:rPr>
          <w:rFonts w:asciiTheme="majorBidi" w:hAnsiTheme="majorBidi" w:cstheme="majorBidi"/>
        </w:rPr>
        <w:t xml:space="preserve">will </w:t>
      </w:r>
      <w:r w:rsidRPr="00F512D2">
        <w:rPr>
          <w:rFonts w:asciiTheme="majorBidi" w:hAnsiTheme="majorBidi" w:cstheme="majorBidi"/>
        </w:rPr>
        <w:t xml:space="preserve">answer any questions that the screening respondent may have concerning the study.  A Question &amp; Answer Brochure (Attachment I) that provides answers to commonly asked questions also will be given to the respondent at this time, or just prior to the start of the interview.  In addition, interviewers will be supplied with copies of the NSDUH Highlights (Attachment J) and the NSDUH Newspaper </w:t>
      </w:r>
      <w:r w:rsidR="0095701C" w:rsidRPr="00F512D2">
        <w:rPr>
          <w:rFonts w:asciiTheme="majorBidi" w:hAnsiTheme="majorBidi" w:cstheme="majorBidi"/>
        </w:rPr>
        <w:t>Article</w:t>
      </w:r>
      <w:r w:rsidR="002273F1" w:rsidRPr="00F512D2">
        <w:rPr>
          <w:rFonts w:asciiTheme="majorBidi" w:hAnsiTheme="majorBidi" w:cstheme="majorBidi"/>
        </w:rPr>
        <w:t>s</w:t>
      </w:r>
      <w:r w:rsidR="0095701C" w:rsidRPr="00F512D2">
        <w:rPr>
          <w:rFonts w:asciiTheme="majorBidi" w:hAnsiTheme="majorBidi" w:cstheme="majorBidi"/>
        </w:rPr>
        <w:t xml:space="preserve"> </w:t>
      </w:r>
      <w:r w:rsidRPr="00F512D2">
        <w:rPr>
          <w:rFonts w:asciiTheme="majorBidi" w:hAnsiTheme="majorBidi" w:cstheme="majorBidi"/>
        </w:rPr>
        <w:t>(Attachment K) which can be left with the respondent.  Following this introductory exchange, the screening will continue until completion.</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6C595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Once the </w:t>
      </w:r>
      <w:proofErr w:type="spellStart"/>
      <w:r w:rsidRPr="00F512D2">
        <w:rPr>
          <w:rFonts w:asciiTheme="majorBidi" w:hAnsiTheme="majorBidi" w:cstheme="majorBidi"/>
        </w:rPr>
        <w:t>rostering</w:t>
      </w:r>
      <w:proofErr w:type="spellEnd"/>
      <w:r w:rsidRPr="00F512D2">
        <w:rPr>
          <w:rFonts w:asciiTheme="majorBidi" w:hAnsiTheme="majorBidi" w:cstheme="majorBidi"/>
        </w:rPr>
        <w:t xml:space="preserve"> of all dwelling unit members 12 or older is complete, and assuming the within dwelling unit sampling process selects one or two members to participate in the study by completing the interview, the following procedures </w:t>
      </w:r>
      <w:r w:rsidR="006C595B" w:rsidRPr="00F512D2">
        <w:rPr>
          <w:rFonts w:asciiTheme="majorBidi" w:hAnsiTheme="majorBidi" w:cstheme="majorBidi"/>
        </w:rPr>
        <w:t>will be</w:t>
      </w:r>
      <w:r w:rsidRPr="00F512D2">
        <w:rPr>
          <w:rFonts w:asciiTheme="majorBidi" w:hAnsiTheme="majorBidi" w:cstheme="majorBidi"/>
        </w:rPr>
        <w:t xml:space="preserve"> implemented</w:t>
      </w:r>
      <w:r w:rsidR="006C595B" w:rsidRPr="00F512D2">
        <w:rPr>
          <w:rFonts w:asciiTheme="majorBidi" w:hAnsiTheme="majorBidi" w:cstheme="majorBidi"/>
        </w:rPr>
        <w:t xml:space="preserve"> for QFT interviews</w:t>
      </w:r>
      <w:r w:rsidRPr="00F512D2">
        <w:rPr>
          <w:rFonts w:asciiTheme="majorBidi" w:hAnsiTheme="majorBidi" w:cstheme="majorBidi"/>
        </w:rPr>
        <w:t>:</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2A5A0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If the selected individual is 18 or older and currently available, the interviewer </w:t>
      </w:r>
      <w:r w:rsidR="006C595B" w:rsidRPr="00F512D2">
        <w:rPr>
          <w:rFonts w:asciiTheme="majorBidi" w:hAnsiTheme="majorBidi" w:cstheme="majorBidi"/>
        </w:rPr>
        <w:t xml:space="preserve">will </w:t>
      </w:r>
      <w:r w:rsidRPr="00F512D2">
        <w:rPr>
          <w:rFonts w:asciiTheme="majorBidi" w:hAnsiTheme="majorBidi" w:cstheme="majorBidi"/>
        </w:rPr>
        <w:t xml:space="preserve">immediately begin </w:t>
      </w:r>
      <w:r w:rsidR="002A5A0D" w:rsidRPr="00F512D2">
        <w:rPr>
          <w:rFonts w:asciiTheme="majorBidi" w:hAnsiTheme="majorBidi" w:cstheme="majorBidi"/>
        </w:rPr>
        <w:t>t</w:t>
      </w:r>
      <w:r w:rsidR="006C595B" w:rsidRPr="00F512D2">
        <w:rPr>
          <w:rFonts w:asciiTheme="majorBidi" w:hAnsiTheme="majorBidi" w:cstheme="majorBidi"/>
        </w:rPr>
        <w:t xml:space="preserve">o </w:t>
      </w:r>
      <w:r w:rsidRPr="00F512D2">
        <w:rPr>
          <w:rFonts w:asciiTheme="majorBidi" w:hAnsiTheme="majorBidi" w:cstheme="majorBidi"/>
        </w:rPr>
        <w:t>administer</w:t>
      </w:r>
      <w:r w:rsidR="006C595B" w:rsidRPr="00F512D2">
        <w:rPr>
          <w:rFonts w:asciiTheme="majorBidi" w:hAnsiTheme="majorBidi" w:cstheme="majorBidi"/>
        </w:rPr>
        <w:t xml:space="preserve"> </w:t>
      </w:r>
      <w:r w:rsidRPr="00F512D2">
        <w:rPr>
          <w:rFonts w:asciiTheme="majorBidi" w:hAnsiTheme="majorBidi" w:cstheme="majorBidi"/>
        </w:rPr>
        <w:t xml:space="preserve">the questionnaire in a private setting within the dwelling unit after obtaining informed consent.  If the selected individual is 12 to 17 years of age, parental consent </w:t>
      </w:r>
      <w:r w:rsidR="006C595B" w:rsidRPr="00F512D2">
        <w:rPr>
          <w:rFonts w:asciiTheme="majorBidi" w:hAnsiTheme="majorBidi" w:cstheme="majorBidi"/>
        </w:rPr>
        <w:t>will be</w:t>
      </w:r>
      <w:r w:rsidRPr="00F512D2">
        <w:rPr>
          <w:rFonts w:asciiTheme="majorBidi" w:hAnsiTheme="majorBidi" w:cstheme="majorBidi"/>
        </w:rPr>
        <w:t xml:space="preserve"> obtained from the selected individual’s parent or legal guardian, using the Introduction and Informed Consent for Sample Members Age 12-17 Years Old found in the </w:t>
      </w:r>
      <w:proofErr w:type="spellStart"/>
      <w:r w:rsidRPr="00F512D2">
        <w:rPr>
          <w:rFonts w:asciiTheme="majorBidi" w:hAnsiTheme="majorBidi" w:cstheme="majorBidi"/>
        </w:rPr>
        <w:t>Showcard</w:t>
      </w:r>
      <w:proofErr w:type="spellEnd"/>
      <w:r w:rsidRPr="00F512D2">
        <w:rPr>
          <w:rFonts w:asciiTheme="majorBidi" w:hAnsiTheme="majorBidi" w:cstheme="majorBidi"/>
        </w:rPr>
        <w:t xml:space="preserve"> Booklet (Attachment L); the minor is then asked to participate.  Once consent is obtained from the parent and child, the interviewer </w:t>
      </w:r>
      <w:r w:rsidR="002A5A0D" w:rsidRPr="00F512D2">
        <w:rPr>
          <w:rFonts w:asciiTheme="majorBidi" w:hAnsiTheme="majorBidi" w:cstheme="majorBidi"/>
        </w:rPr>
        <w:t xml:space="preserve">will </w:t>
      </w:r>
      <w:r w:rsidRPr="00F512D2">
        <w:rPr>
          <w:rFonts w:asciiTheme="majorBidi" w:hAnsiTheme="majorBidi" w:cstheme="majorBidi"/>
        </w:rPr>
        <w:t>begin the interview process.</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2A5A0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For all identified/selected eligible potential respondents, the interviewer </w:t>
      </w:r>
      <w:r w:rsidR="002A5A0D" w:rsidRPr="00F512D2">
        <w:rPr>
          <w:rFonts w:asciiTheme="majorBidi" w:hAnsiTheme="majorBidi" w:cstheme="majorBidi"/>
        </w:rPr>
        <w:t xml:space="preserve">will </w:t>
      </w:r>
      <w:r w:rsidRPr="00F512D2">
        <w:rPr>
          <w:rFonts w:asciiTheme="majorBidi" w:hAnsiTheme="majorBidi" w:cstheme="majorBidi"/>
        </w:rPr>
        <w:t>administer the interview in a prescribed and uniform manner.  The sensitive portions of the interview will be completed via ACASI; that is, the respondent will listen privately to the questions through an audio headset and/or read them on the computer screen, and will enter his/her own responses directly into the computer.  This method maximizes respondent privacy and confidentiality.</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83336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In order to facilitate the respondent's recollection of prescription type drugs and their proper names, a set of </w:t>
      </w:r>
      <w:r w:rsidR="002A5A0D" w:rsidRPr="00F512D2">
        <w:rPr>
          <w:rFonts w:asciiTheme="majorBidi" w:hAnsiTheme="majorBidi" w:cstheme="majorBidi"/>
        </w:rPr>
        <w:t xml:space="preserve">electronic </w:t>
      </w:r>
      <w:r w:rsidR="0083336C" w:rsidRPr="00F512D2">
        <w:rPr>
          <w:rFonts w:asciiTheme="majorBidi" w:hAnsiTheme="majorBidi" w:cstheme="majorBidi"/>
        </w:rPr>
        <w:t xml:space="preserve">pill images </w:t>
      </w:r>
      <w:r w:rsidR="002A5A0D" w:rsidRPr="00F512D2">
        <w:rPr>
          <w:rFonts w:asciiTheme="majorBidi" w:hAnsiTheme="majorBidi" w:cstheme="majorBidi"/>
        </w:rPr>
        <w:t xml:space="preserve">will be </w:t>
      </w:r>
      <w:r w:rsidRPr="00F512D2">
        <w:rPr>
          <w:rFonts w:asciiTheme="majorBidi" w:hAnsiTheme="majorBidi" w:cstheme="majorBidi"/>
        </w:rPr>
        <w:t xml:space="preserve">provided to the respondent </w:t>
      </w:r>
      <w:r w:rsidR="002A5A0D" w:rsidRPr="00F512D2">
        <w:rPr>
          <w:rFonts w:asciiTheme="majorBidi" w:hAnsiTheme="majorBidi" w:cstheme="majorBidi"/>
        </w:rPr>
        <w:t>for these questions on the laptop</w:t>
      </w:r>
      <w:r w:rsidRPr="00F512D2">
        <w:rPr>
          <w:rFonts w:asciiTheme="majorBidi" w:hAnsiTheme="majorBidi" w:cstheme="majorBidi"/>
        </w:rPr>
        <w:t xml:space="preserve">. </w:t>
      </w:r>
      <w:proofErr w:type="spellStart"/>
      <w:r w:rsidR="0083336C" w:rsidRPr="00F512D2">
        <w:rPr>
          <w:rFonts w:asciiTheme="majorBidi" w:hAnsiTheme="majorBidi" w:cstheme="majorBidi"/>
        </w:rPr>
        <w:t>S</w:t>
      </w:r>
      <w:r w:rsidRPr="00F512D2">
        <w:rPr>
          <w:rFonts w:asciiTheme="majorBidi" w:hAnsiTheme="majorBidi" w:cstheme="majorBidi"/>
        </w:rPr>
        <w:t>howcards</w:t>
      </w:r>
      <w:proofErr w:type="spellEnd"/>
      <w:r w:rsidRPr="00F512D2">
        <w:rPr>
          <w:rFonts w:asciiTheme="majorBidi" w:hAnsiTheme="majorBidi" w:cstheme="majorBidi"/>
        </w:rPr>
        <w:t xml:space="preserve"> are included in the </w:t>
      </w:r>
      <w:proofErr w:type="spellStart"/>
      <w:r w:rsidRPr="00F512D2">
        <w:rPr>
          <w:rFonts w:asciiTheme="majorBidi" w:hAnsiTheme="majorBidi" w:cstheme="majorBidi"/>
        </w:rPr>
        <w:t>Showcard</w:t>
      </w:r>
      <w:proofErr w:type="spellEnd"/>
      <w:r w:rsidRPr="00F512D2">
        <w:rPr>
          <w:rFonts w:asciiTheme="majorBidi" w:hAnsiTheme="majorBidi" w:cstheme="majorBidi"/>
        </w:rPr>
        <w:t xml:space="preserve"> Booklet (Attachment L) and allow the respondent to refer to information necessary for accurate responses.  </w:t>
      </w:r>
      <w:r w:rsidR="0083336C" w:rsidRPr="00F512D2">
        <w:rPr>
          <w:rFonts w:asciiTheme="majorBidi" w:hAnsiTheme="majorBidi" w:cstheme="majorBidi"/>
        </w:rPr>
        <w:t>Each</w:t>
      </w:r>
      <w:r w:rsidRPr="00F512D2">
        <w:rPr>
          <w:rFonts w:asciiTheme="majorBidi" w:hAnsiTheme="majorBidi" w:cstheme="majorBidi"/>
        </w:rPr>
        <w:t xml:space="preserve"> respondent </w:t>
      </w:r>
      <w:r w:rsidR="0083336C" w:rsidRPr="00F512D2">
        <w:rPr>
          <w:rFonts w:asciiTheme="majorBidi" w:hAnsiTheme="majorBidi" w:cstheme="majorBidi"/>
        </w:rPr>
        <w:t xml:space="preserve">will </w:t>
      </w:r>
      <w:r w:rsidRPr="00F512D2">
        <w:rPr>
          <w:rFonts w:asciiTheme="majorBidi" w:hAnsiTheme="majorBidi" w:cstheme="majorBidi"/>
        </w:rPr>
        <w:t xml:space="preserve">enter his/her own answers directly into the computer during the ACASI </w:t>
      </w:r>
      <w:r w:rsidR="0095701C" w:rsidRPr="00F512D2">
        <w:rPr>
          <w:rFonts w:asciiTheme="majorBidi" w:hAnsiTheme="majorBidi" w:cstheme="majorBidi"/>
        </w:rPr>
        <w:t xml:space="preserve">portion of the </w:t>
      </w:r>
      <w:r w:rsidRPr="00F512D2">
        <w:rPr>
          <w:rFonts w:asciiTheme="majorBidi" w:hAnsiTheme="majorBidi" w:cstheme="majorBidi"/>
        </w:rPr>
        <w:t xml:space="preserve">interview.  </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83336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lastRenderedPageBreak/>
        <w:t xml:space="preserve">After the interview is completed and before the verification procedures are begun, each respondent </w:t>
      </w:r>
      <w:r w:rsidR="0083336C" w:rsidRPr="00F512D2">
        <w:rPr>
          <w:rFonts w:asciiTheme="majorBidi" w:hAnsiTheme="majorBidi" w:cstheme="majorBidi"/>
        </w:rPr>
        <w:t>will be</w:t>
      </w:r>
      <w:r w:rsidRPr="00F512D2">
        <w:rPr>
          <w:rFonts w:asciiTheme="majorBidi" w:hAnsiTheme="majorBidi" w:cstheme="majorBidi"/>
        </w:rPr>
        <w:t xml:space="preserve"> given a $30.00 incentive payment and a signed Interview Payment Receipt (Attachment O)</w:t>
      </w:r>
      <w:r w:rsidR="0095701C" w:rsidRPr="00F512D2">
        <w:rPr>
          <w:rFonts w:asciiTheme="majorBidi" w:hAnsiTheme="majorBidi" w:cstheme="majorBidi"/>
        </w:rPr>
        <w:t xml:space="preserve"> from the interviewer</w:t>
      </w:r>
      <w:r w:rsidRPr="00F512D2">
        <w:rPr>
          <w:rFonts w:asciiTheme="majorBidi" w:hAnsiTheme="majorBidi" w:cstheme="majorBidi"/>
        </w:rPr>
        <w:t>.</w:t>
      </w:r>
    </w:p>
    <w:p w:rsidR="00675DFE" w:rsidRPr="00F512D2" w:rsidRDefault="00675DFE" w:rsidP="00675D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75DFE" w:rsidRPr="00F512D2" w:rsidRDefault="00675DFE" w:rsidP="0083336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For verification purposes, interview respondents </w:t>
      </w:r>
      <w:r w:rsidR="0083336C" w:rsidRPr="00F512D2">
        <w:rPr>
          <w:rFonts w:asciiTheme="majorBidi" w:hAnsiTheme="majorBidi" w:cstheme="majorBidi"/>
        </w:rPr>
        <w:t xml:space="preserve">will </w:t>
      </w:r>
      <w:r w:rsidR="005A37B0" w:rsidRPr="00F512D2">
        <w:rPr>
          <w:rFonts w:asciiTheme="majorBidi" w:hAnsiTheme="majorBidi" w:cstheme="majorBidi"/>
        </w:rPr>
        <w:t>be</w:t>
      </w:r>
      <w:r w:rsidRPr="00F512D2">
        <w:rPr>
          <w:rFonts w:asciiTheme="majorBidi" w:hAnsiTheme="majorBidi" w:cstheme="majorBidi"/>
        </w:rPr>
        <w:t xml:space="preserve"> asked to complete a Quality Control Form (Attachment C) that requests their address and telephone number for possible follow</w:t>
      </w:r>
      <w:r w:rsidRPr="00F512D2">
        <w:rPr>
          <w:rFonts w:asciiTheme="majorBidi" w:hAnsiTheme="majorBidi" w:cstheme="majorBidi"/>
        </w:rPr>
        <w:noBreakHyphen/>
        <w:t xml:space="preserve">up to ensure that the interviewer did his/her job appropriately.  </w:t>
      </w:r>
      <w:r w:rsidR="0083336C" w:rsidRPr="00F512D2">
        <w:rPr>
          <w:rFonts w:asciiTheme="majorBidi" w:hAnsiTheme="majorBidi" w:cstheme="majorBidi"/>
        </w:rPr>
        <w:t>QFT r</w:t>
      </w:r>
      <w:r w:rsidRPr="00F512D2">
        <w:rPr>
          <w:rFonts w:asciiTheme="majorBidi" w:hAnsiTheme="majorBidi" w:cstheme="majorBidi"/>
        </w:rPr>
        <w:t xml:space="preserve">espondents </w:t>
      </w:r>
      <w:r w:rsidR="0083336C" w:rsidRPr="00F512D2">
        <w:rPr>
          <w:rFonts w:asciiTheme="majorBidi" w:hAnsiTheme="majorBidi" w:cstheme="majorBidi"/>
        </w:rPr>
        <w:t xml:space="preserve">will </w:t>
      </w:r>
      <w:r w:rsidR="005A37B0" w:rsidRPr="00F512D2">
        <w:rPr>
          <w:rFonts w:asciiTheme="majorBidi" w:hAnsiTheme="majorBidi" w:cstheme="majorBidi"/>
        </w:rPr>
        <w:t>be informed</w:t>
      </w:r>
      <w:r w:rsidRPr="00F512D2">
        <w:rPr>
          <w:rFonts w:asciiTheme="majorBidi" w:hAnsiTheme="majorBidi" w:cstheme="majorBidi"/>
        </w:rPr>
        <w:t xml:space="preserve"> that completing the Quality Control Form is voluntary.  This form </w:t>
      </w:r>
      <w:r w:rsidR="0083336C" w:rsidRPr="00F512D2">
        <w:rPr>
          <w:rFonts w:asciiTheme="majorBidi" w:hAnsiTheme="majorBidi" w:cstheme="majorBidi"/>
        </w:rPr>
        <w:t>will be</w:t>
      </w:r>
      <w:r w:rsidRPr="00F512D2">
        <w:rPr>
          <w:rFonts w:asciiTheme="majorBidi" w:hAnsiTheme="majorBidi" w:cstheme="majorBidi"/>
        </w:rPr>
        <w:t xml:space="preserve"> completed and placed in an envelope by the respondent and mailed to the NSDUH Contractor for processing.</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83336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Interviewers will be supplied with Certificates of Participation (Attachment P) to distribute to interested respondents, primarily adolescents, after the interview is completed.  Respondents may attempt to use these certificates to earn school or community service credit hours.  No guarantee of credit </w:t>
      </w:r>
      <w:r w:rsidR="0083336C" w:rsidRPr="00F512D2">
        <w:rPr>
          <w:rFonts w:asciiTheme="majorBidi" w:hAnsiTheme="majorBidi" w:cstheme="majorBidi"/>
        </w:rPr>
        <w:t xml:space="preserve">will be </w:t>
      </w:r>
      <w:r w:rsidRPr="00F512D2">
        <w:rPr>
          <w:rFonts w:asciiTheme="majorBidi" w:hAnsiTheme="majorBidi" w:cstheme="majorBidi"/>
        </w:rPr>
        <w:t>made by SAMHSA or the Contractor and the certificates clearly state this lack of guarantee.</w:t>
      </w: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75DFE" w:rsidRPr="00F512D2" w:rsidRDefault="00675DFE" w:rsidP="00B75D2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A random sample of those who complete Quality Control Forms </w:t>
      </w:r>
      <w:r w:rsidR="0083336C" w:rsidRPr="00F512D2">
        <w:rPr>
          <w:rFonts w:asciiTheme="majorBidi" w:hAnsiTheme="majorBidi" w:cstheme="majorBidi"/>
        </w:rPr>
        <w:t xml:space="preserve">will </w:t>
      </w:r>
      <w:r w:rsidRPr="00F512D2">
        <w:rPr>
          <w:rFonts w:asciiTheme="majorBidi" w:hAnsiTheme="majorBidi" w:cstheme="majorBidi"/>
        </w:rPr>
        <w:t xml:space="preserve">receive a telephone call expressing appreciation for their participation in the </w:t>
      </w:r>
      <w:r w:rsidR="0083336C" w:rsidRPr="00F512D2">
        <w:rPr>
          <w:rFonts w:asciiTheme="majorBidi" w:hAnsiTheme="majorBidi" w:cstheme="majorBidi"/>
        </w:rPr>
        <w:t>QFT</w:t>
      </w:r>
      <w:r w:rsidRPr="00F512D2">
        <w:rPr>
          <w:rFonts w:asciiTheme="majorBidi" w:hAnsiTheme="majorBidi" w:cstheme="majorBidi"/>
        </w:rPr>
        <w:t xml:space="preserve">.  Each respondent </w:t>
      </w:r>
      <w:r w:rsidR="0083336C" w:rsidRPr="00F512D2">
        <w:rPr>
          <w:rFonts w:asciiTheme="majorBidi" w:hAnsiTheme="majorBidi" w:cstheme="majorBidi"/>
        </w:rPr>
        <w:t xml:space="preserve">will </w:t>
      </w:r>
      <w:r w:rsidRPr="00F512D2">
        <w:rPr>
          <w:rFonts w:asciiTheme="majorBidi" w:hAnsiTheme="majorBidi" w:cstheme="majorBidi"/>
        </w:rPr>
        <w:t xml:space="preserve">also </w:t>
      </w:r>
      <w:r w:rsidR="0083336C" w:rsidRPr="00F512D2">
        <w:rPr>
          <w:rFonts w:asciiTheme="majorBidi" w:hAnsiTheme="majorBidi" w:cstheme="majorBidi"/>
        </w:rPr>
        <w:t xml:space="preserve">be </w:t>
      </w:r>
      <w:r w:rsidRPr="00F512D2">
        <w:rPr>
          <w:rFonts w:asciiTheme="majorBidi" w:hAnsiTheme="majorBidi" w:cstheme="majorBidi"/>
        </w:rPr>
        <w:t>asked to answer a few questions verifying that the interview took place, that proper procedures were followed, and that the amount of time required to administer the interview was within expected parameters.</w:t>
      </w:r>
      <w:r w:rsidR="00B75D2E" w:rsidRPr="00F512D2">
        <w:rPr>
          <w:rFonts w:asciiTheme="majorBidi" w:hAnsiTheme="majorBidi" w:cstheme="majorBidi"/>
        </w:rPr>
        <w:t xml:space="preserve">  </w:t>
      </w:r>
      <w:r w:rsidRPr="00F512D2">
        <w:rPr>
          <w:rFonts w:asciiTheme="majorBidi" w:hAnsiTheme="majorBidi" w:cstheme="majorBidi"/>
        </w:rPr>
        <w:t>In previous NSDUH surveys, less than 1 percent of the verification sample refused to fill out Quality Control Forms.  As in the past, the respondents</w:t>
      </w:r>
      <w:r w:rsidR="0083336C" w:rsidRPr="00F512D2">
        <w:rPr>
          <w:rFonts w:asciiTheme="majorBidi" w:hAnsiTheme="majorBidi" w:cstheme="majorBidi"/>
        </w:rPr>
        <w:t xml:space="preserve"> will b</w:t>
      </w:r>
      <w:r w:rsidRPr="00F512D2">
        <w:rPr>
          <w:rFonts w:asciiTheme="majorBidi" w:hAnsiTheme="majorBidi" w:cstheme="majorBidi"/>
        </w:rPr>
        <w:t xml:space="preserve">e given the opportunity to decline to complete the form.  </w:t>
      </w:r>
    </w:p>
    <w:p w:rsidR="00675DFE" w:rsidRPr="00F512D2" w:rsidRDefault="00675DFE" w:rsidP="00675DFE">
      <w:pPr>
        <w:pStyle w:val="BodyText"/>
        <w:spacing w:after="0"/>
        <w:rPr>
          <w:rFonts w:asciiTheme="majorBidi" w:hAnsiTheme="majorBidi" w:cstheme="majorBidi"/>
        </w:rPr>
      </w:pPr>
    </w:p>
    <w:p w:rsidR="00675DFE" w:rsidRPr="00F512D2" w:rsidRDefault="00675DFE" w:rsidP="00675D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All interview data are transmitted to the Contractor’s offices on a </w:t>
      </w:r>
      <w:r w:rsidR="0019029E" w:rsidRPr="00F512D2">
        <w:rPr>
          <w:rFonts w:asciiTheme="majorBidi" w:hAnsiTheme="majorBidi" w:cstheme="majorBidi"/>
        </w:rPr>
        <w:t>daily</w:t>
      </w:r>
      <w:r w:rsidRPr="00F512D2">
        <w:rPr>
          <w:rFonts w:asciiTheme="majorBidi" w:hAnsiTheme="majorBidi" w:cstheme="majorBidi"/>
        </w:rPr>
        <w:t xml:space="preserve"> basis.</w:t>
      </w:r>
    </w:p>
    <w:p w:rsidR="00675DFE" w:rsidRPr="00F512D2" w:rsidRDefault="00675DFE" w:rsidP="00675DFE">
      <w:pPr>
        <w:tabs>
          <w:tab w:val="left" w:pos="720"/>
        </w:tabs>
        <w:ind w:left="720" w:hanging="720"/>
        <w:rPr>
          <w:rFonts w:asciiTheme="majorBidi" w:hAnsiTheme="majorBidi" w:cstheme="majorBidi"/>
          <w:b/>
          <w:i/>
        </w:rPr>
      </w:pPr>
    </w:p>
    <w:p w:rsidR="00675DFE" w:rsidRPr="00F512D2" w:rsidRDefault="00675DFE" w:rsidP="00675DFE">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b/>
          <w:u w:val="single"/>
        </w:rPr>
        <w:t>Questionnaire</w:t>
      </w:r>
    </w:p>
    <w:p w:rsidR="00675DFE" w:rsidRPr="00F512D2" w:rsidRDefault="00675DFE" w:rsidP="00675DFE">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83336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The version of the questionnaire to be fielded in </w:t>
      </w:r>
      <w:r w:rsidR="009A44CE" w:rsidRPr="00F512D2">
        <w:rPr>
          <w:rFonts w:asciiTheme="majorBidi" w:hAnsiTheme="majorBidi" w:cstheme="majorBidi"/>
        </w:rPr>
        <w:t xml:space="preserve">the </w:t>
      </w:r>
      <w:r w:rsidRPr="00F512D2">
        <w:rPr>
          <w:rFonts w:asciiTheme="majorBidi" w:hAnsiTheme="majorBidi" w:cstheme="majorBidi"/>
        </w:rPr>
        <w:t>2012</w:t>
      </w:r>
      <w:r w:rsidR="009A44CE" w:rsidRPr="00F512D2">
        <w:rPr>
          <w:rFonts w:asciiTheme="majorBidi" w:hAnsiTheme="majorBidi" w:cstheme="majorBidi"/>
        </w:rPr>
        <w:t xml:space="preserve"> QFT </w:t>
      </w:r>
      <w:r w:rsidRPr="00F512D2">
        <w:rPr>
          <w:rFonts w:asciiTheme="majorBidi" w:hAnsiTheme="majorBidi" w:cstheme="majorBidi"/>
        </w:rPr>
        <w:t xml:space="preserve">is a computerized (CAPI/ACASI) instrument that </w:t>
      </w:r>
      <w:r w:rsidR="0083336C" w:rsidRPr="00F512D2">
        <w:rPr>
          <w:rFonts w:asciiTheme="majorBidi" w:hAnsiTheme="majorBidi" w:cstheme="majorBidi"/>
        </w:rPr>
        <w:t>will include much</w:t>
      </w:r>
      <w:r w:rsidRPr="00F512D2">
        <w:rPr>
          <w:rFonts w:asciiTheme="majorBidi" w:hAnsiTheme="majorBidi" w:cstheme="majorBidi"/>
        </w:rPr>
        <w:t xml:space="preserve"> </w:t>
      </w:r>
      <w:r w:rsidR="0083336C" w:rsidRPr="00F512D2">
        <w:rPr>
          <w:rFonts w:asciiTheme="majorBidi" w:hAnsiTheme="majorBidi" w:cstheme="majorBidi"/>
        </w:rPr>
        <w:t xml:space="preserve">of the same </w:t>
      </w:r>
      <w:r w:rsidRPr="00F512D2">
        <w:rPr>
          <w:rFonts w:asciiTheme="majorBidi" w:hAnsiTheme="majorBidi" w:cstheme="majorBidi"/>
        </w:rPr>
        <w:t xml:space="preserve">content and structure </w:t>
      </w:r>
      <w:r w:rsidR="0083336C" w:rsidRPr="00F512D2">
        <w:rPr>
          <w:rFonts w:asciiTheme="majorBidi" w:hAnsiTheme="majorBidi" w:cstheme="majorBidi"/>
        </w:rPr>
        <w:t>as t</w:t>
      </w:r>
      <w:r w:rsidRPr="00F512D2">
        <w:rPr>
          <w:rFonts w:asciiTheme="majorBidi" w:hAnsiTheme="majorBidi" w:cstheme="majorBidi"/>
        </w:rPr>
        <w:t xml:space="preserve">he computerized instrument fielded in </w:t>
      </w:r>
      <w:r w:rsidR="0083336C" w:rsidRPr="00F512D2">
        <w:rPr>
          <w:rFonts w:asciiTheme="majorBidi" w:hAnsiTheme="majorBidi" w:cstheme="majorBidi"/>
        </w:rPr>
        <w:t xml:space="preserve">the </w:t>
      </w:r>
      <w:r w:rsidRPr="00F512D2">
        <w:rPr>
          <w:rFonts w:asciiTheme="majorBidi" w:hAnsiTheme="majorBidi" w:cstheme="majorBidi"/>
        </w:rPr>
        <w:t>201</w:t>
      </w:r>
      <w:r w:rsidR="0083336C" w:rsidRPr="00F512D2">
        <w:rPr>
          <w:rFonts w:asciiTheme="majorBidi" w:hAnsiTheme="majorBidi" w:cstheme="majorBidi"/>
        </w:rPr>
        <w:t>2 NSDUH</w:t>
      </w:r>
      <w:r w:rsidRPr="00F512D2">
        <w:rPr>
          <w:rFonts w:asciiTheme="majorBidi" w:hAnsiTheme="majorBidi" w:cstheme="majorBidi"/>
        </w:rPr>
        <w:t xml:space="preserve">. </w:t>
      </w:r>
      <w:r w:rsidR="0083336C" w:rsidRPr="00F512D2">
        <w:rPr>
          <w:rFonts w:asciiTheme="majorBidi" w:hAnsiTheme="majorBidi" w:cstheme="majorBidi"/>
        </w:rPr>
        <w:t xml:space="preserve"> The new content and structural changes for the QFT questionnaire mentioned in section A.1 represent the major differences between this revised instrument and the current NSDUH instrument. Otherwise the QFT questionnaire will follow similar design principles as the 2012 NSDUH instrument.</w:t>
      </w:r>
    </w:p>
    <w:p w:rsidR="00675DFE" w:rsidRPr="00F512D2" w:rsidRDefault="00675DFE" w:rsidP="00675DFE">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2D501B">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The </w:t>
      </w:r>
      <w:r w:rsidR="0083336C" w:rsidRPr="00F512D2">
        <w:rPr>
          <w:rFonts w:asciiTheme="majorBidi" w:hAnsiTheme="majorBidi" w:cstheme="majorBidi"/>
        </w:rPr>
        <w:t xml:space="preserve">QFT </w:t>
      </w:r>
      <w:r w:rsidRPr="00F512D2">
        <w:rPr>
          <w:rFonts w:asciiTheme="majorBidi" w:hAnsiTheme="majorBidi" w:cstheme="majorBidi"/>
        </w:rPr>
        <w:t xml:space="preserve">questionnaire and interview methods </w:t>
      </w:r>
      <w:r w:rsidR="0083336C" w:rsidRPr="00F512D2">
        <w:rPr>
          <w:rFonts w:asciiTheme="majorBidi" w:hAnsiTheme="majorBidi" w:cstheme="majorBidi"/>
        </w:rPr>
        <w:t>will b</w:t>
      </w:r>
      <w:r w:rsidRPr="00F512D2">
        <w:rPr>
          <w:rFonts w:asciiTheme="majorBidi" w:hAnsiTheme="majorBidi" w:cstheme="majorBidi"/>
        </w:rPr>
        <w:t xml:space="preserve">e designed to retain respondent interest, ensure confidentiality, and maximize the validity of response.  The questionnaire </w:t>
      </w:r>
      <w:r w:rsidR="0083336C" w:rsidRPr="00F512D2">
        <w:rPr>
          <w:rFonts w:asciiTheme="majorBidi" w:hAnsiTheme="majorBidi" w:cstheme="majorBidi"/>
        </w:rPr>
        <w:t>will be</w:t>
      </w:r>
      <w:r w:rsidRPr="00F512D2">
        <w:rPr>
          <w:rFonts w:asciiTheme="majorBidi" w:hAnsiTheme="majorBidi" w:cstheme="majorBidi"/>
        </w:rPr>
        <w:t xml:space="preserve"> administered in such a way that interviewers will not know respondents’ answers to the sensitive questions, including those on illicit drug use.  These questions </w:t>
      </w:r>
      <w:r w:rsidR="0083336C" w:rsidRPr="00F512D2">
        <w:rPr>
          <w:rFonts w:asciiTheme="majorBidi" w:hAnsiTheme="majorBidi" w:cstheme="majorBidi"/>
        </w:rPr>
        <w:t>will be</w:t>
      </w:r>
      <w:r w:rsidRPr="00F512D2">
        <w:rPr>
          <w:rFonts w:asciiTheme="majorBidi" w:hAnsiTheme="majorBidi" w:cstheme="majorBidi"/>
        </w:rPr>
        <w:t xml:space="preserve"> self-administered (ACASI), that is, respondents listen to or read the questions and enter their responses directly into the computer.  The respondent </w:t>
      </w:r>
      <w:r w:rsidR="0083336C" w:rsidRPr="00F512D2">
        <w:rPr>
          <w:rFonts w:asciiTheme="majorBidi" w:hAnsiTheme="majorBidi" w:cstheme="majorBidi"/>
        </w:rPr>
        <w:t xml:space="preserve">will </w:t>
      </w:r>
      <w:r w:rsidRPr="00F512D2">
        <w:rPr>
          <w:rFonts w:asciiTheme="majorBidi" w:hAnsiTheme="majorBidi" w:cstheme="majorBidi"/>
        </w:rPr>
        <w:t xml:space="preserve">listen in private through headphones, so even those who have difficulty seeing or reading </w:t>
      </w:r>
      <w:r w:rsidR="0083336C" w:rsidRPr="00F512D2">
        <w:rPr>
          <w:rFonts w:asciiTheme="majorBidi" w:hAnsiTheme="majorBidi" w:cstheme="majorBidi"/>
        </w:rPr>
        <w:t>will b</w:t>
      </w:r>
      <w:r w:rsidRPr="00F512D2">
        <w:rPr>
          <w:rFonts w:asciiTheme="majorBidi" w:hAnsiTheme="majorBidi" w:cstheme="majorBidi"/>
        </w:rPr>
        <w:t xml:space="preserve">e able to complete the self-administered portion. </w:t>
      </w:r>
      <w:r w:rsidR="005A37B0" w:rsidRPr="00F512D2">
        <w:rPr>
          <w:rFonts w:asciiTheme="majorBidi" w:hAnsiTheme="majorBidi" w:cstheme="majorBidi"/>
        </w:rPr>
        <w:t>The only topic</w:t>
      </w:r>
      <w:r w:rsidR="00924C23" w:rsidRPr="00F512D2">
        <w:rPr>
          <w:rFonts w:asciiTheme="majorBidi" w:hAnsiTheme="majorBidi" w:cstheme="majorBidi"/>
        </w:rPr>
        <w:t>s</w:t>
      </w:r>
      <w:r w:rsidR="005A37B0" w:rsidRPr="00F512D2">
        <w:rPr>
          <w:rFonts w:asciiTheme="majorBidi" w:hAnsiTheme="majorBidi" w:cstheme="majorBidi"/>
        </w:rPr>
        <w:t xml:space="preserve"> that will be administered by the interviewer (i.e., the CAPI section) </w:t>
      </w:r>
      <w:r w:rsidR="002D501B" w:rsidRPr="00F512D2">
        <w:rPr>
          <w:rFonts w:asciiTheme="majorBidi" w:hAnsiTheme="majorBidi" w:cstheme="majorBidi"/>
        </w:rPr>
        <w:t xml:space="preserve">are </w:t>
      </w:r>
      <w:r w:rsidR="005A37B0" w:rsidRPr="00F512D2">
        <w:rPr>
          <w:rFonts w:asciiTheme="majorBidi" w:hAnsiTheme="majorBidi" w:cstheme="majorBidi"/>
        </w:rPr>
        <w:t>an initial section on Demographics</w:t>
      </w:r>
      <w:r w:rsidR="00924C23" w:rsidRPr="00F512D2">
        <w:rPr>
          <w:rFonts w:asciiTheme="majorBidi" w:hAnsiTheme="majorBidi" w:cstheme="majorBidi"/>
        </w:rPr>
        <w:t xml:space="preserve"> and a listing of the residents </w:t>
      </w:r>
      <w:r w:rsidR="00641829" w:rsidRPr="00F512D2">
        <w:rPr>
          <w:rFonts w:asciiTheme="majorBidi" w:hAnsiTheme="majorBidi" w:cstheme="majorBidi"/>
        </w:rPr>
        <w:t>in</w:t>
      </w:r>
      <w:r w:rsidR="00924C23" w:rsidRPr="00F512D2">
        <w:rPr>
          <w:rFonts w:asciiTheme="majorBidi" w:hAnsiTheme="majorBidi" w:cstheme="majorBidi"/>
        </w:rPr>
        <w:t xml:space="preserve"> the home</w:t>
      </w:r>
      <w:r w:rsidR="005A37B0" w:rsidRPr="00F512D2">
        <w:rPr>
          <w:rFonts w:asciiTheme="majorBidi" w:hAnsiTheme="majorBidi" w:cstheme="majorBidi"/>
        </w:rPr>
        <w:t>.</w:t>
      </w:r>
    </w:p>
    <w:p w:rsidR="00675DFE" w:rsidRPr="00F512D2" w:rsidRDefault="00675DFE" w:rsidP="00675DFE">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83336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The questionnaire </w:t>
      </w:r>
      <w:r w:rsidR="0083336C" w:rsidRPr="00F512D2">
        <w:rPr>
          <w:rFonts w:asciiTheme="majorBidi" w:hAnsiTheme="majorBidi" w:cstheme="majorBidi"/>
        </w:rPr>
        <w:t>will be</w:t>
      </w:r>
      <w:r w:rsidRPr="00F512D2">
        <w:rPr>
          <w:rFonts w:asciiTheme="majorBidi" w:hAnsiTheme="majorBidi" w:cstheme="majorBidi"/>
        </w:rPr>
        <w:t xml:space="preserve"> divided into sections based on specific substances or other main topics. The same questions </w:t>
      </w:r>
      <w:r w:rsidR="0083336C" w:rsidRPr="00F512D2">
        <w:rPr>
          <w:rFonts w:asciiTheme="majorBidi" w:hAnsiTheme="majorBidi" w:cstheme="majorBidi"/>
        </w:rPr>
        <w:t xml:space="preserve">will be </w:t>
      </w:r>
      <w:r w:rsidRPr="00F512D2">
        <w:rPr>
          <w:rFonts w:asciiTheme="majorBidi" w:hAnsiTheme="majorBidi" w:cstheme="majorBidi"/>
        </w:rPr>
        <w:t xml:space="preserve">asked for each substance or substance class, ascertaining </w:t>
      </w:r>
      <w:r w:rsidRPr="00F512D2">
        <w:rPr>
          <w:rFonts w:asciiTheme="majorBidi" w:hAnsiTheme="majorBidi" w:cstheme="majorBidi"/>
        </w:rPr>
        <w:lastRenderedPageBreak/>
        <w:t>the respondent’s history in terms of age of first use, most recent use, number of times used in lifetime, and frequency of use in past 30 days and past 12 months.  These substance use histories allow estimation of the incidence, prevalence, and patterns of use for licit and illicit substances.</w:t>
      </w:r>
    </w:p>
    <w:p w:rsidR="00675DFE" w:rsidRPr="00F512D2" w:rsidRDefault="00675DFE" w:rsidP="00675DFE">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5A37B0">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A key feature of the questionnaire is a core-supplement structure.  </w:t>
      </w:r>
      <w:r w:rsidR="005A37B0" w:rsidRPr="00F512D2">
        <w:rPr>
          <w:rFonts w:asciiTheme="majorBidi" w:hAnsiTheme="majorBidi" w:cstheme="majorBidi"/>
        </w:rPr>
        <w:t>C</w:t>
      </w:r>
      <w:r w:rsidRPr="00F512D2">
        <w:rPr>
          <w:rFonts w:asciiTheme="majorBidi" w:hAnsiTheme="majorBidi" w:cstheme="majorBidi"/>
        </w:rPr>
        <w:t>ore questions that are critical for basic trend measurement of substance use incidence and prevalence rates</w:t>
      </w:r>
      <w:r w:rsidR="005A37B0" w:rsidRPr="00F512D2">
        <w:rPr>
          <w:rFonts w:asciiTheme="majorBidi" w:hAnsiTheme="majorBidi" w:cstheme="majorBidi"/>
        </w:rPr>
        <w:t xml:space="preserve"> </w:t>
      </w:r>
      <w:r w:rsidRPr="00F512D2">
        <w:rPr>
          <w:rFonts w:asciiTheme="majorBidi" w:hAnsiTheme="majorBidi" w:cstheme="majorBidi"/>
        </w:rPr>
        <w:t xml:space="preserve">remain in the survey every year and comprise the main part of the questionnaire.  </w:t>
      </w:r>
      <w:r w:rsidR="005A37B0" w:rsidRPr="00F512D2">
        <w:rPr>
          <w:rFonts w:asciiTheme="majorBidi" w:hAnsiTheme="majorBidi" w:cstheme="majorBidi"/>
        </w:rPr>
        <w:t xml:space="preserve">This will also be the case for the QFT questionnaire. </w:t>
      </w:r>
      <w:r w:rsidRPr="00F512D2">
        <w:rPr>
          <w:rFonts w:asciiTheme="majorBidi" w:hAnsiTheme="majorBidi" w:cstheme="majorBidi"/>
        </w:rPr>
        <w:t xml:space="preserve">The core is comprised of the initial demographic questions and the Tobacco through </w:t>
      </w:r>
      <w:r w:rsidR="005A37B0" w:rsidRPr="00F512D2">
        <w:rPr>
          <w:rFonts w:asciiTheme="majorBidi" w:hAnsiTheme="majorBidi" w:cstheme="majorBidi"/>
        </w:rPr>
        <w:t>Inhalant</w:t>
      </w:r>
      <w:r w:rsidRPr="00F512D2">
        <w:rPr>
          <w:rFonts w:asciiTheme="majorBidi" w:hAnsiTheme="majorBidi" w:cstheme="majorBidi"/>
        </w:rPr>
        <w:t xml:space="preserve">s modules. </w:t>
      </w:r>
      <w:r w:rsidR="005A37B0" w:rsidRPr="00F512D2">
        <w:rPr>
          <w:rFonts w:asciiTheme="majorBidi" w:hAnsiTheme="majorBidi" w:cstheme="majorBidi"/>
        </w:rPr>
        <w:t xml:space="preserve"> As noted in section A.1, the QFT questionnaire will include a new </w:t>
      </w:r>
      <w:r w:rsidR="005A37B0" w:rsidRPr="00F512D2">
        <w:rPr>
          <w:rFonts w:cs="TimesNewRoman"/>
          <w:bCs/>
        </w:rPr>
        <w:t>Methamphetamine module and new modules for Prescription Drugs (which include Pain Relievers, Tranquilizers, Stimulants, and Sedatives).</w:t>
      </w:r>
      <w:r w:rsidRPr="00F512D2">
        <w:rPr>
          <w:rFonts w:asciiTheme="majorBidi" w:hAnsiTheme="majorBidi" w:cstheme="majorBidi"/>
        </w:rPr>
        <w:t xml:space="preserve"> </w:t>
      </w:r>
    </w:p>
    <w:p w:rsidR="00675DFE" w:rsidRPr="00F512D2" w:rsidRDefault="00675DFE" w:rsidP="00675DF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F512D2">
        <w:rPr>
          <w:rFonts w:asciiTheme="majorBidi" w:hAnsiTheme="majorBidi" w:cstheme="majorBidi"/>
        </w:rPr>
        <w:tab/>
      </w:r>
    </w:p>
    <w:p w:rsidR="00675DFE" w:rsidRPr="00F512D2" w:rsidRDefault="00675DFE" w:rsidP="005A37B0">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The proposed questionnaire content for 2012</w:t>
      </w:r>
      <w:r w:rsidR="009A44CE" w:rsidRPr="00F512D2">
        <w:rPr>
          <w:rFonts w:asciiTheme="majorBidi" w:hAnsiTheme="majorBidi" w:cstheme="majorBidi"/>
        </w:rPr>
        <w:t xml:space="preserve"> QFT </w:t>
      </w:r>
      <w:r w:rsidRPr="00F512D2">
        <w:rPr>
          <w:rFonts w:asciiTheme="majorBidi" w:hAnsiTheme="majorBidi" w:cstheme="majorBidi"/>
        </w:rPr>
        <w:t xml:space="preserve">is shown in Attachment </w:t>
      </w:r>
      <w:r w:rsidR="009A44CE" w:rsidRPr="00F512D2">
        <w:rPr>
          <w:rFonts w:asciiTheme="majorBidi" w:hAnsiTheme="majorBidi" w:cstheme="majorBidi"/>
        </w:rPr>
        <w:t>A</w:t>
      </w:r>
      <w:r w:rsidRPr="00F512D2">
        <w:rPr>
          <w:rFonts w:asciiTheme="majorBidi" w:hAnsiTheme="majorBidi" w:cstheme="majorBidi"/>
        </w:rPr>
        <w:t>.  While the actual administration will be electronic, the document shown is a paper representation of the content that is to be programmed</w:t>
      </w:r>
      <w:r w:rsidR="005A37B0" w:rsidRPr="00F512D2">
        <w:rPr>
          <w:rFonts w:asciiTheme="majorBidi" w:hAnsiTheme="majorBidi" w:cstheme="majorBidi"/>
        </w:rPr>
        <w:t xml:space="preserve"> for CAPI/ACASI.</w:t>
      </w:r>
    </w:p>
    <w:p w:rsidR="00675DFE" w:rsidRPr="00F512D2" w:rsidRDefault="00675DFE" w:rsidP="00675DFE">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675DFE">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675DFE" w:rsidP="00675D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rPr>
      </w:pPr>
      <w:r w:rsidRPr="00F512D2">
        <w:rPr>
          <w:rFonts w:asciiTheme="majorBidi" w:hAnsiTheme="majorBidi" w:cstheme="majorBidi"/>
          <w:b/>
        </w:rPr>
        <w:t>3.</w:t>
      </w:r>
      <w:r w:rsidRPr="00F512D2">
        <w:rPr>
          <w:rFonts w:asciiTheme="majorBidi" w:hAnsiTheme="majorBidi" w:cstheme="majorBidi"/>
          <w:b/>
        </w:rPr>
        <w:tab/>
      </w:r>
      <w:r w:rsidRPr="00F512D2">
        <w:rPr>
          <w:rFonts w:asciiTheme="majorBidi" w:hAnsiTheme="majorBidi" w:cstheme="majorBidi"/>
          <w:b/>
          <w:u w:val="single"/>
        </w:rPr>
        <w:t>Methods to Maximize Response Rates</w:t>
      </w:r>
      <w:r w:rsidRPr="00F512D2">
        <w:rPr>
          <w:rFonts w:asciiTheme="majorBidi" w:hAnsiTheme="majorBidi" w:cstheme="majorBidi"/>
          <w:b/>
        </w:rPr>
        <w:t xml:space="preserve"> </w:t>
      </w:r>
    </w:p>
    <w:p w:rsidR="00675DFE" w:rsidRPr="00F512D2" w:rsidRDefault="00675DFE" w:rsidP="00675D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AE6341" w:rsidRPr="00F512D2" w:rsidRDefault="00675DFE" w:rsidP="009531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color w:val="000000"/>
        </w:rPr>
      </w:pPr>
      <w:r w:rsidRPr="00F512D2">
        <w:rPr>
          <w:rFonts w:asciiTheme="majorBidi" w:hAnsiTheme="majorBidi" w:cstheme="majorBidi"/>
        </w:rPr>
        <w:t xml:space="preserve">With a $30.00 incentive </w:t>
      </w:r>
      <w:r w:rsidR="00953177" w:rsidRPr="00F512D2">
        <w:rPr>
          <w:rFonts w:asciiTheme="majorBidi" w:hAnsiTheme="majorBidi" w:cstheme="majorBidi"/>
        </w:rPr>
        <w:t xml:space="preserve">offered </w:t>
      </w:r>
      <w:r w:rsidRPr="00F512D2">
        <w:rPr>
          <w:rFonts w:asciiTheme="majorBidi" w:hAnsiTheme="majorBidi" w:cstheme="majorBidi"/>
        </w:rPr>
        <w:t xml:space="preserve">for the </w:t>
      </w:r>
      <w:r w:rsidR="00953177" w:rsidRPr="00F512D2">
        <w:rPr>
          <w:rFonts w:asciiTheme="majorBidi" w:hAnsiTheme="majorBidi" w:cstheme="majorBidi"/>
        </w:rPr>
        <w:t>QFT</w:t>
      </w:r>
      <w:r w:rsidRPr="00F512D2">
        <w:rPr>
          <w:rFonts w:asciiTheme="majorBidi" w:hAnsiTheme="majorBidi" w:cstheme="majorBidi"/>
        </w:rPr>
        <w:t xml:space="preserve"> interview, the Contractor expects to obtain </w:t>
      </w:r>
      <w:r w:rsidR="007B6232" w:rsidRPr="00F512D2">
        <w:rPr>
          <w:rFonts w:asciiTheme="majorBidi" w:hAnsiTheme="majorBidi" w:cstheme="majorBidi"/>
        </w:rPr>
        <w:t>an</w:t>
      </w:r>
      <w:r w:rsidRPr="00F512D2">
        <w:rPr>
          <w:rFonts w:asciiTheme="majorBidi" w:hAnsiTheme="majorBidi" w:cstheme="majorBidi"/>
        </w:rPr>
        <w:t xml:space="preserve"> </w:t>
      </w:r>
      <w:r w:rsidR="00953177" w:rsidRPr="00F512D2">
        <w:rPr>
          <w:rFonts w:asciiTheme="majorBidi" w:hAnsiTheme="majorBidi" w:cstheme="majorBidi"/>
        </w:rPr>
        <w:t>8</w:t>
      </w:r>
      <w:r w:rsidRPr="00F512D2">
        <w:rPr>
          <w:rFonts w:asciiTheme="majorBidi" w:hAnsiTheme="majorBidi" w:cstheme="majorBidi"/>
          <w:color w:val="000000"/>
        </w:rPr>
        <w:t xml:space="preserve">9% </w:t>
      </w:r>
      <w:proofErr w:type="spellStart"/>
      <w:r w:rsidRPr="00F512D2">
        <w:rPr>
          <w:rFonts w:asciiTheme="majorBidi" w:hAnsiTheme="majorBidi" w:cstheme="majorBidi"/>
          <w:color w:val="000000"/>
        </w:rPr>
        <w:t>unweighted</w:t>
      </w:r>
      <w:proofErr w:type="spellEnd"/>
      <w:r w:rsidRPr="00F512D2">
        <w:rPr>
          <w:rFonts w:asciiTheme="majorBidi" w:hAnsiTheme="majorBidi" w:cstheme="majorBidi"/>
          <w:color w:val="000000"/>
        </w:rPr>
        <w:t xml:space="preserve"> </w:t>
      </w:r>
      <w:r w:rsidR="00953177" w:rsidRPr="00F512D2">
        <w:rPr>
          <w:rFonts w:asciiTheme="majorBidi" w:hAnsiTheme="majorBidi" w:cstheme="majorBidi"/>
          <w:color w:val="000000"/>
        </w:rPr>
        <w:t xml:space="preserve">screening response rate and a 79% </w:t>
      </w:r>
      <w:proofErr w:type="spellStart"/>
      <w:r w:rsidR="00953177" w:rsidRPr="00F512D2">
        <w:rPr>
          <w:rFonts w:asciiTheme="majorBidi" w:hAnsiTheme="majorBidi" w:cstheme="majorBidi"/>
          <w:color w:val="000000"/>
        </w:rPr>
        <w:t>unweighted</w:t>
      </w:r>
      <w:proofErr w:type="spellEnd"/>
      <w:r w:rsidR="00953177" w:rsidRPr="00F512D2">
        <w:rPr>
          <w:rFonts w:asciiTheme="majorBidi" w:hAnsiTheme="majorBidi" w:cstheme="majorBidi"/>
          <w:color w:val="000000"/>
        </w:rPr>
        <w:t xml:space="preserve"> </w:t>
      </w:r>
      <w:r w:rsidRPr="00F512D2">
        <w:rPr>
          <w:rFonts w:asciiTheme="majorBidi" w:hAnsiTheme="majorBidi" w:cstheme="majorBidi"/>
          <w:color w:val="000000"/>
        </w:rPr>
        <w:t xml:space="preserve">interview </w:t>
      </w:r>
      <w:r w:rsidR="00953177" w:rsidRPr="00F512D2">
        <w:rPr>
          <w:rFonts w:asciiTheme="majorBidi" w:hAnsiTheme="majorBidi" w:cstheme="majorBidi"/>
          <w:color w:val="000000"/>
        </w:rPr>
        <w:t>response rate (IRR) among selected respondents</w:t>
      </w:r>
      <w:r w:rsidRPr="00F512D2">
        <w:rPr>
          <w:rFonts w:asciiTheme="majorBidi" w:hAnsiTheme="majorBidi" w:cstheme="majorBidi"/>
          <w:color w:val="000000"/>
        </w:rPr>
        <w:t xml:space="preserve">.  </w:t>
      </w:r>
      <w:r w:rsidR="00953177" w:rsidRPr="00F512D2">
        <w:rPr>
          <w:rFonts w:asciiTheme="majorBidi" w:hAnsiTheme="majorBidi" w:cstheme="majorBidi"/>
          <w:color w:val="000000"/>
        </w:rPr>
        <w:t>Combined, this represents a</w:t>
      </w:r>
      <w:r w:rsidRPr="00F512D2">
        <w:rPr>
          <w:rFonts w:asciiTheme="majorBidi" w:hAnsiTheme="majorBidi" w:cstheme="majorBidi"/>
          <w:color w:val="000000"/>
        </w:rPr>
        <w:t xml:space="preserve">n overall response rate (ORR) of </w:t>
      </w:r>
      <w:r w:rsidR="00953177" w:rsidRPr="00F512D2">
        <w:rPr>
          <w:rFonts w:asciiTheme="majorBidi" w:hAnsiTheme="majorBidi" w:cstheme="majorBidi"/>
          <w:color w:val="000000"/>
        </w:rPr>
        <w:t>approximately 70</w:t>
      </w:r>
      <w:r w:rsidRPr="00F512D2">
        <w:rPr>
          <w:rFonts w:asciiTheme="majorBidi" w:hAnsiTheme="majorBidi" w:cstheme="majorBidi"/>
          <w:color w:val="000000"/>
        </w:rPr>
        <w:t>%.</w:t>
      </w:r>
    </w:p>
    <w:p w:rsidR="00AE6341" w:rsidRPr="00F512D2" w:rsidRDefault="00AE6341" w:rsidP="009531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color w:val="000000"/>
        </w:rPr>
      </w:pPr>
    </w:p>
    <w:p w:rsidR="00675DFE" w:rsidRPr="00F512D2" w:rsidRDefault="00AE6341" w:rsidP="00FC1689">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b/>
          <w:bCs/>
        </w:rPr>
      </w:pPr>
      <w:r w:rsidRPr="00F512D2">
        <w:rPr>
          <w:rFonts w:asciiTheme="majorBidi" w:hAnsiTheme="majorBidi" w:cstheme="majorBidi"/>
          <w:color w:val="000000"/>
        </w:rPr>
        <w:t xml:space="preserve">A key feature of the QFT protocol designed to maximize response rates are the redesigned NSDUH </w:t>
      </w:r>
      <w:r w:rsidR="00247E1A" w:rsidRPr="00F512D2">
        <w:rPr>
          <w:rFonts w:asciiTheme="majorBidi" w:hAnsiTheme="majorBidi" w:cstheme="majorBidi"/>
          <w:color w:val="000000"/>
        </w:rPr>
        <w:t>L</w:t>
      </w:r>
      <w:r w:rsidRPr="00F512D2">
        <w:rPr>
          <w:rFonts w:asciiTheme="majorBidi" w:hAnsiTheme="majorBidi" w:cstheme="majorBidi"/>
          <w:color w:val="000000"/>
        </w:rPr>
        <w:t xml:space="preserve">ead </w:t>
      </w:r>
      <w:r w:rsidR="00247E1A" w:rsidRPr="00F512D2">
        <w:rPr>
          <w:rFonts w:asciiTheme="majorBidi" w:hAnsiTheme="majorBidi" w:cstheme="majorBidi"/>
          <w:color w:val="000000"/>
        </w:rPr>
        <w:t>L</w:t>
      </w:r>
      <w:r w:rsidRPr="00F512D2">
        <w:rPr>
          <w:rFonts w:asciiTheme="majorBidi" w:hAnsiTheme="majorBidi" w:cstheme="majorBidi"/>
          <w:color w:val="000000"/>
        </w:rPr>
        <w:t xml:space="preserve">etter and Question &amp; Answer </w:t>
      </w:r>
      <w:r w:rsidR="00247E1A" w:rsidRPr="00F512D2">
        <w:rPr>
          <w:rFonts w:asciiTheme="majorBidi" w:hAnsiTheme="majorBidi" w:cstheme="majorBidi"/>
          <w:color w:val="000000"/>
        </w:rPr>
        <w:t>B</w:t>
      </w:r>
      <w:r w:rsidRPr="00F512D2">
        <w:rPr>
          <w:rFonts w:asciiTheme="majorBidi" w:hAnsiTheme="majorBidi" w:cstheme="majorBidi"/>
          <w:color w:val="000000"/>
        </w:rPr>
        <w:t xml:space="preserve">rochure. </w:t>
      </w:r>
      <w:r w:rsidRPr="00F512D2">
        <w:rPr>
          <w:rFonts w:asciiTheme="majorBidi" w:hAnsiTheme="majorBidi" w:cstheme="majorBidi"/>
        </w:rPr>
        <w:t>CBHSQ</w:t>
      </w:r>
      <w:r w:rsidRPr="00F512D2">
        <w:rPr>
          <w:rFonts w:asciiTheme="majorBidi" w:hAnsiTheme="majorBidi" w:cstheme="majorBidi"/>
          <w:color w:val="000000"/>
        </w:rPr>
        <w:t xml:space="preserve"> and the NSDUH contractor revised the contact materials through review of contact materials used for other government-sponsored surveys, expert review, and feedback from 17 focus groups conducted in five metropolitan areas</w:t>
      </w:r>
      <w:r w:rsidR="007A2C50" w:rsidRPr="00F512D2">
        <w:rPr>
          <w:rFonts w:asciiTheme="majorBidi" w:hAnsiTheme="majorBidi" w:cstheme="majorBidi"/>
          <w:color w:val="000000"/>
        </w:rPr>
        <w:t xml:space="preserve"> </w:t>
      </w:r>
      <w:r w:rsidR="00FC1689" w:rsidRPr="00F512D2">
        <w:rPr>
          <w:rFonts w:asciiTheme="majorBidi" w:hAnsiTheme="majorBidi" w:cstheme="majorBidi"/>
          <w:color w:val="000000"/>
        </w:rPr>
        <w:t>(</w:t>
      </w:r>
      <w:r w:rsidR="00FC1689" w:rsidRPr="00F512D2">
        <w:rPr>
          <w:rFonts w:ascii="Times New Roman" w:hAnsi="Times New Roman"/>
        </w:rPr>
        <w:t>OMB No. 0930-0290)</w:t>
      </w:r>
      <w:r w:rsidRPr="00F512D2">
        <w:rPr>
          <w:rFonts w:asciiTheme="majorBidi" w:hAnsiTheme="majorBidi" w:cstheme="majorBidi"/>
          <w:color w:val="000000"/>
        </w:rPr>
        <w:t xml:space="preserve">. The primary focus of redesigning the contact materials was to improve the materials in ways likely to generate positive reactions from members of sampled households and, therefore, maximize participation.  </w:t>
      </w:r>
      <w:r w:rsidR="00675DFE" w:rsidRPr="00F512D2">
        <w:rPr>
          <w:rFonts w:asciiTheme="majorBidi" w:hAnsiTheme="majorBidi" w:cstheme="majorBidi"/>
          <w:color w:val="000000"/>
        </w:rPr>
        <w:t xml:space="preserve">  </w:t>
      </w:r>
    </w:p>
    <w:p w:rsidR="00675DFE" w:rsidRPr="00F512D2" w:rsidRDefault="00675DFE" w:rsidP="00675DFE">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675DFE" w:rsidRPr="00F512D2" w:rsidRDefault="00953177" w:rsidP="00953177">
      <w:pPr>
        <w:ind w:left="720"/>
        <w:rPr>
          <w:rFonts w:asciiTheme="majorBidi" w:hAnsiTheme="majorBidi" w:cstheme="majorBidi"/>
        </w:rPr>
      </w:pPr>
      <w:r w:rsidRPr="00F512D2">
        <w:rPr>
          <w:rFonts w:asciiTheme="majorBidi" w:hAnsiTheme="majorBidi" w:cstheme="majorBidi"/>
        </w:rPr>
        <w:t>R</w:t>
      </w:r>
      <w:r w:rsidR="00675DFE" w:rsidRPr="00F512D2">
        <w:rPr>
          <w:rFonts w:asciiTheme="majorBidi" w:hAnsiTheme="majorBidi" w:cstheme="majorBidi"/>
        </w:rPr>
        <w:t xml:space="preserve">esponse rates for the </w:t>
      </w:r>
      <w:r w:rsidRPr="00F512D2">
        <w:rPr>
          <w:rFonts w:asciiTheme="majorBidi" w:hAnsiTheme="majorBidi" w:cstheme="majorBidi"/>
        </w:rPr>
        <w:t>QFT will be</w:t>
      </w:r>
      <w:r w:rsidR="00675DFE" w:rsidRPr="00F512D2">
        <w:rPr>
          <w:rFonts w:asciiTheme="majorBidi" w:hAnsiTheme="majorBidi" w:cstheme="majorBidi"/>
        </w:rPr>
        <w:t xml:space="preserve"> tracked on a daily basis.  Interviewers </w:t>
      </w:r>
      <w:r w:rsidRPr="00F512D2">
        <w:rPr>
          <w:rFonts w:asciiTheme="majorBidi" w:hAnsiTheme="majorBidi" w:cstheme="majorBidi"/>
        </w:rPr>
        <w:t xml:space="preserve">will </w:t>
      </w:r>
      <w:r w:rsidR="00675DFE" w:rsidRPr="00F512D2">
        <w:rPr>
          <w:rFonts w:asciiTheme="majorBidi" w:hAnsiTheme="majorBidi" w:cstheme="majorBidi"/>
        </w:rPr>
        <w:t xml:space="preserve">transmit their work each evening and a web-based case management system (CMS) </w:t>
      </w:r>
      <w:r w:rsidRPr="00F512D2">
        <w:rPr>
          <w:rFonts w:asciiTheme="majorBidi" w:hAnsiTheme="majorBidi" w:cstheme="majorBidi"/>
        </w:rPr>
        <w:t>will be</w:t>
      </w:r>
      <w:r w:rsidR="00675DFE" w:rsidRPr="00F512D2">
        <w:rPr>
          <w:rFonts w:asciiTheme="majorBidi" w:hAnsiTheme="majorBidi" w:cstheme="majorBidi"/>
        </w:rPr>
        <w:t xml:space="preserve"> used by project management to monitor their area of responsibility.  The system </w:t>
      </w:r>
      <w:r w:rsidRPr="00F512D2">
        <w:rPr>
          <w:rFonts w:asciiTheme="majorBidi" w:hAnsiTheme="majorBidi" w:cstheme="majorBidi"/>
        </w:rPr>
        <w:t xml:space="preserve">will </w:t>
      </w:r>
      <w:r w:rsidR="00675DFE" w:rsidRPr="00F512D2">
        <w:rPr>
          <w:rFonts w:asciiTheme="majorBidi" w:hAnsiTheme="majorBidi" w:cstheme="majorBidi"/>
        </w:rPr>
        <w:t xml:space="preserve">allow managers </w:t>
      </w:r>
      <w:r w:rsidRPr="00F512D2">
        <w:rPr>
          <w:rFonts w:asciiTheme="majorBidi" w:hAnsiTheme="majorBidi" w:cstheme="majorBidi"/>
        </w:rPr>
        <w:t>to</w:t>
      </w:r>
      <w:r w:rsidR="00675DFE" w:rsidRPr="00F512D2">
        <w:rPr>
          <w:rFonts w:asciiTheme="majorBidi" w:hAnsiTheme="majorBidi" w:cstheme="majorBidi"/>
        </w:rPr>
        <w:t xml:space="preserve"> identify problem</w:t>
      </w:r>
      <w:r w:rsidRPr="00F512D2">
        <w:rPr>
          <w:rFonts w:asciiTheme="majorBidi" w:hAnsiTheme="majorBidi" w:cstheme="majorBidi"/>
        </w:rPr>
        <w:t>s</w:t>
      </w:r>
      <w:r w:rsidR="00675DFE" w:rsidRPr="00F512D2">
        <w:rPr>
          <w:rFonts w:asciiTheme="majorBidi" w:hAnsiTheme="majorBidi" w:cstheme="majorBidi"/>
        </w:rPr>
        <w:t xml:space="preserve"> as early as possible and take corrective action. The CMS also has a data quality component that collects information from the interviewers and data processing staff and produces reports for management.  Some of the items available in these data quality reports are verification information, time discrepancies, interview length problems, missing data, and form errors.</w:t>
      </w:r>
    </w:p>
    <w:p w:rsidR="00675DFE" w:rsidRPr="00F512D2" w:rsidRDefault="00675DFE" w:rsidP="00675DFE">
      <w:pPr>
        <w:ind w:left="720"/>
        <w:rPr>
          <w:rFonts w:asciiTheme="majorBidi" w:hAnsiTheme="majorBidi" w:cstheme="majorBidi"/>
        </w:rPr>
      </w:pPr>
    </w:p>
    <w:p w:rsidR="00675DFE" w:rsidRPr="00F512D2" w:rsidRDefault="00953177" w:rsidP="000261D8">
      <w:pPr>
        <w:ind w:left="720"/>
        <w:rPr>
          <w:rFonts w:asciiTheme="majorBidi" w:hAnsiTheme="majorBidi" w:cstheme="majorBidi"/>
        </w:rPr>
      </w:pPr>
      <w:r w:rsidRPr="00F512D2">
        <w:rPr>
          <w:rFonts w:asciiTheme="majorBidi" w:hAnsiTheme="majorBidi" w:cstheme="majorBidi"/>
        </w:rPr>
        <w:t>Procedures to maximize response rates for the QFT will be based on previous studies and recent experience with the NSDUH annual data collection.</w:t>
      </w:r>
      <w:r w:rsidR="00B75D2E" w:rsidRPr="00F512D2">
        <w:rPr>
          <w:rFonts w:asciiTheme="majorBidi" w:hAnsiTheme="majorBidi" w:cstheme="majorBidi"/>
        </w:rPr>
        <w:t xml:space="preserve">  </w:t>
      </w:r>
      <w:r w:rsidR="000261D8" w:rsidRPr="00F512D2">
        <w:rPr>
          <w:rFonts w:asciiTheme="majorBidi" w:hAnsiTheme="majorBidi" w:cstheme="majorBidi"/>
        </w:rPr>
        <w:t>Each quarter</w:t>
      </w:r>
      <w:r w:rsidR="00675DFE" w:rsidRPr="00F512D2">
        <w:rPr>
          <w:rFonts w:asciiTheme="majorBidi" w:hAnsiTheme="majorBidi" w:cstheme="majorBidi"/>
        </w:rPr>
        <w:t xml:space="preserve">, </w:t>
      </w:r>
      <w:r w:rsidRPr="00F512D2">
        <w:rPr>
          <w:rFonts w:asciiTheme="majorBidi" w:hAnsiTheme="majorBidi" w:cstheme="majorBidi"/>
        </w:rPr>
        <w:t xml:space="preserve">NSDUH </w:t>
      </w:r>
      <w:r w:rsidR="00675DFE" w:rsidRPr="00F512D2">
        <w:rPr>
          <w:rFonts w:asciiTheme="majorBidi" w:hAnsiTheme="majorBidi" w:cstheme="majorBidi"/>
        </w:rPr>
        <w:t xml:space="preserve">response rate patterns are analyzed by state.  States with significant changes are closely scrutinized to uncover possible reasons for the changes.  Action plans are put into place for states with significant declines, and any special techniques, such as a particular greeting or use of certain survey materials, used by states with increases are noted.  If the technique is </w:t>
      </w:r>
      <w:proofErr w:type="spellStart"/>
      <w:r w:rsidR="00675DFE" w:rsidRPr="00F512D2">
        <w:rPr>
          <w:rFonts w:asciiTheme="majorBidi" w:hAnsiTheme="majorBidi" w:cstheme="majorBidi"/>
        </w:rPr>
        <w:lastRenderedPageBreak/>
        <w:t>generalizable</w:t>
      </w:r>
      <w:proofErr w:type="spellEnd"/>
      <w:r w:rsidR="00675DFE" w:rsidRPr="00F512D2">
        <w:rPr>
          <w:rFonts w:asciiTheme="majorBidi" w:hAnsiTheme="majorBidi" w:cstheme="majorBidi"/>
        </w:rPr>
        <w:t xml:space="preserve">, it may be given to the interviewers as a helpful tip or worked into a future training.  Response and nonresponse patterns are also tracked by various demographics on an annual basis in the NSDUH Data Collection Final report.  The report provides detailed information about </w:t>
      </w:r>
      <w:proofErr w:type="spellStart"/>
      <w:r w:rsidR="00675DFE" w:rsidRPr="00F512D2">
        <w:rPr>
          <w:rFonts w:asciiTheme="majorBidi" w:hAnsiTheme="majorBidi" w:cstheme="majorBidi"/>
        </w:rPr>
        <w:t>noncontacts</w:t>
      </w:r>
      <w:proofErr w:type="spellEnd"/>
      <w:r w:rsidR="00675DFE" w:rsidRPr="00F512D2">
        <w:rPr>
          <w:rFonts w:asciiTheme="majorBidi" w:hAnsiTheme="majorBidi" w:cstheme="majorBidi"/>
        </w:rPr>
        <w:t xml:space="preserve"> vs. refusals, including reasons for refusals.  This information is reviewed annually for changes in trends.</w:t>
      </w:r>
      <w:r w:rsidRPr="00F512D2">
        <w:rPr>
          <w:rFonts w:asciiTheme="majorBidi" w:hAnsiTheme="majorBidi" w:cstheme="majorBidi"/>
        </w:rPr>
        <w:t xml:space="preserve"> All of this information will inform procedures for ensuring response rate goals for the QFT data collection will be attained.</w:t>
      </w:r>
    </w:p>
    <w:p w:rsidR="00675DFE" w:rsidRPr="00F512D2" w:rsidRDefault="00675DFE" w:rsidP="00675DFE">
      <w:pPr>
        <w:ind w:left="720"/>
        <w:rPr>
          <w:rFonts w:asciiTheme="majorBidi" w:hAnsiTheme="majorBidi" w:cstheme="majorBidi"/>
        </w:rPr>
      </w:pPr>
    </w:p>
    <w:p w:rsidR="00675DFE" w:rsidRPr="00F512D2" w:rsidRDefault="00675DFE" w:rsidP="00675DFE">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b/>
        </w:rPr>
      </w:pPr>
    </w:p>
    <w:p w:rsidR="00675DFE" w:rsidRPr="00F512D2" w:rsidRDefault="00675DFE" w:rsidP="00675D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rPr>
      </w:pPr>
      <w:r w:rsidRPr="00F512D2">
        <w:rPr>
          <w:rFonts w:asciiTheme="majorBidi" w:hAnsiTheme="majorBidi" w:cstheme="majorBidi"/>
          <w:b/>
        </w:rPr>
        <w:t>4.</w:t>
      </w:r>
      <w:r w:rsidRPr="00F512D2">
        <w:rPr>
          <w:rFonts w:asciiTheme="majorBidi" w:hAnsiTheme="majorBidi" w:cstheme="majorBidi"/>
          <w:b/>
        </w:rPr>
        <w:tab/>
      </w:r>
      <w:r w:rsidRPr="00F512D2">
        <w:rPr>
          <w:rFonts w:asciiTheme="majorBidi" w:hAnsiTheme="majorBidi" w:cstheme="majorBidi"/>
          <w:b/>
          <w:u w:val="single"/>
        </w:rPr>
        <w:t>Tests of Procedures</w:t>
      </w:r>
    </w:p>
    <w:p w:rsidR="00675DFE" w:rsidRPr="00F512D2" w:rsidRDefault="00675DFE" w:rsidP="00675D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75DFE" w:rsidRPr="00F512D2" w:rsidRDefault="00675DFE" w:rsidP="00F863C2">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sidRPr="00F512D2">
        <w:rPr>
          <w:rFonts w:asciiTheme="majorBidi" w:hAnsiTheme="majorBidi" w:cstheme="majorBidi"/>
        </w:rPr>
        <w:t xml:space="preserve">The 2012 QFT </w:t>
      </w:r>
      <w:r w:rsidR="00F863C2" w:rsidRPr="00F512D2">
        <w:rPr>
          <w:rFonts w:asciiTheme="majorBidi" w:hAnsiTheme="majorBidi" w:cstheme="majorBidi"/>
        </w:rPr>
        <w:t>activities to be conducted under this approval are in themselves tests of NSDUH procedures.</w:t>
      </w:r>
      <w:r w:rsidRPr="00F512D2">
        <w:rPr>
          <w:rFonts w:asciiTheme="majorBidi" w:hAnsiTheme="majorBidi" w:cstheme="majorBidi"/>
        </w:rPr>
        <w:t xml:space="preserve"> </w:t>
      </w:r>
    </w:p>
    <w:p w:rsidR="006252F1" w:rsidRPr="00F512D2" w:rsidRDefault="006252F1" w:rsidP="00682AC8">
      <w:pPr>
        <w:widowControl/>
        <w:rPr>
          <w:rFonts w:asciiTheme="majorBidi" w:hAnsiTheme="majorBidi" w:cstheme="majorBidi"/>
        </w:rPr>
      </w:pPr>
    </w:p>
    <w:p w:rsidR="00675DFE" w:rsidRPr="00F512D2" w:rsidRDefault="00675DFE" w:rsidP="00682AC8">
      <w:pPr>
        <w:widowControl/>
        <w:rPr>
          <w:rFonts w:asciiTheme="majorBidi" w:hAnsiTheme="majorBidi" w:cstheme="majorBidi"/>
        </w:rPr>
      </w:pPr>
    </w:p>
    <w:p w:rsidR="006252F1" w:rsidRPr="00F512D2" w:rsidRDefault="00675DFE" w:rsidP="00682AC8">
      <w:pPr>
        <w:pStyle w:val="Heading1"/>
        <w:widowControl/>
        <w:spacing w:before="0" w:after="0"/>
        <w:rPr>
          <w:rFonts w:asciiTheme="majorBidi" w:hAnsiTheme="majorBidi" w:cstheme="majorBidi"/>
          <w:u w:val="single"/>
        </w:rPr>
      </w:pPr>
      <w:r w:rsidRPr="00F512D2">
        <w:rPr>
          <w:rFonts w:asciiTheme="majorBidi" w:hAnsiTheme="majorBidi" w:cstheme="majorBidi"/>
        </w:rPr>
        <w:t>5</w:t>
      </w:r>
      <w:r w:rsidR="006252F1" w:rsidRPr="00F512D2">
        <w:rPr>
          <w:rFonts w:asciiTheme="majorBidi" w:hAnsiTheme="majorBidi" w:cstheme="majorBidi"/>
        </w:rPr>
        <w:t>.</w:t>
      </w:r>
      <w:r w:rsidR="006252F1" w:rsidRPr="00F512D2">
        <w:rPr>
          <w:rFonts w:asciiTheme="majorBidi" w:hAnsiTheme="majorBidi" w:cstheme="majorBidi"/>
        </w:rPr>
        <w:tab/>
      </w:r>
      <w:r w:rsidR="006252F1" w:rsidRPr="00F512D2">
        <w:rPr>
          <w:rFonts w:asciiTheme="majorBidi" w:hAnsiTheme="majorBidi" w:cstheme="majorBidi"/>
          <w:u w:val="single"/>
        </w:rPr>
        <w:t>Statistical Consultants</w:t>
      </w:r>
    </w:p>
    <w:p w:rsidR="006252F1" w:rsidRPr="00F512D2" w:rsidRDefault="006252F1" w:rsidP="007B6232">
      <w:pPr>
        <w:pStyle w:val="Heading1"/>
        <w:widowControl/>
        <w:spacing w:before="0" w:after="0"/>
        <w:rPr>
          <w:rFonts w:asciiTheme="majorBidi" w:hAnsiTheme="majorBidi" w:cstheme="majorBidi"/>
        </w:rPr>
      </w:pPr>
      <w:r w:rsidRPr="00F512D2">
        <w:rPr>
          <w:rFonts w:asciiTheme="majorBidi" w:hAnsiTheme="majorBidi" w:cstheme="majorBidi"/>
        </w:rPr>
        <w:tab/>
      </w:r>
    </w:p>
    <w:tbl>
      <w:tblPr>
        <w:tblW w:w="0" w:type="auto"/>
        <w:tblInd w:w="738" w:type="dxa"/>
        <w:tblLook w:val="01E0"/>
      </w:tblPr>
      <w:tblGrid>
        <w:gridCol w:w="4194"/>
        <w:gridCol w:w="4932"/>
      </w:tblGrid>
      <w:tr w:rsidR="006252F1" w:rsidRPr="00F512D2" w:rsidTr="00CC43A2">
        <w:tc>
          <w:tcPr>
            <w:tcW w:w="4194" w:type="dxa"/>
          </w:tcPr>
          <w:p w:rsidR="006252F1" w:rsidRPr="00F512D2" w:rsidRDefault="006252F1" w:rsidP="00682AC8">
            <w:pPr>
              <w:pStyle w:val="BodyText"/>
              <w:widowControl/>
              <w:spacing w:after="0"/>
              <w:ind w:left="0"/>
              <w:rPr>
                <w:rFonts w:asciiTheme="majorBidi" w:hAnsiTheme="majorBidi" w:cstheme="majorBidi"/>
                <w:i/>
              </w:rPr>
            </w:pPr>
            <w:r w:rsidRPr="00F512D2">
              <w:rPr>
                <w:rFonts w:asciiTheme="majorBidi" w:hAnsiTheme="majorBidi" w:cstheme="majorBidi"/>
                <w:i/>
              </w:rPr>
              <w:t>Michael Jones</w:t>
            </w:r>
          </w:p>
          <w:p w:rsidR="006252F1" w:rsidRPr="00F512D2" w:rsidRDefault="006252F1" w:rsidP="00682AC8">
            <w:pPr>
              <w:pStyle w:val="BodyText"/>
              <w:widowControl/>
              <w:spacing w:after="0"/>
              <w:ind w:left="0"/>
              <w:rPr>
                <w:rFonts w:asciiTheme="majorBidi" w:hAnsiTheme="majorBidi" w:cstheme="majorBidi"/>
              </w:rPr>
            </w:pPr>
            <w:r w:rsidRPr="00F512D2">
              <w:rPr>
                <w:rFonts w:asciiTheme="majorBidi" w:hAnsiTheme="majorBidi" w:cstheme="majorBidi"/>
              </w:rPr>
              <w:t>(240) 276-1274</w:t>
            </w:r>
          </w:p>
          <w:p w:rsidR="006252F1" w:rsidRPr="00F512D2" w:rsidRDefault="006252F1" w:rsidP="00682AC8">
            <w:pPr>
              <w:pStyle w:val="BodyText"/>
              <w:widowControl/>
              <w:spacing w:after="0"/>
              <w:ind w:left="0"/>
              <w:rPr>
                <w:rFonts w:asciiTheme="majorBidi" w:hAnsiTheme="majorBidi" w:cstheme="majorBidi"/>
              </w:rPr>
            </w:pPr>
            <w:r w:rsidRPr="00F512D2">
              <w:rPr>
                <w:rFonts w:asciiTheme="majorBidi" w:hAnsiTheme="majorBidi" w:cstheme="majorBidi"/>
              </w:rPr>
              <w:t>Project Officer</w:t>
            </w:r>
          </w:p>
          <w:p w:rsidR="006252F1" w:rsidRPr="00F512D2" w:rsidRDefault="006252F1" w:rsidP="00682AC8">
            <w:pPr>
              <w:pStyle w:val="BodyText"/>
              <w:widowControl/>
              <w:spacing w:after="0"/>
              <w:ind w:left="0"/>
              <w:rPr>
                <w:rFonts w:asciiTheme="majorBidi" w:hAnsiTheme="majorBidi" w:cstheme="majorBidi"/>
              </w:rPr>
            </w:pPr>
            <w:r w:rsidRPr="00F512D2">
              <w:rPr>
                <w:rFonts w:asciiTheme="majorBidi" w:hAnsiTheme="majorBidi" w:cstheme="majorBidi"/>
              </w:rPr>
              <w:t>Division of Population Surveys</w:t>
            </w:r>
          </w:p>
          <w:p w:rsidR="006252F1" w:rsidRPr="00F512D2" w:rsidRDefault="006252F1" w:rsidP="00682AC8">
            <w:pPr>
              <w:pStyle w:val="BodyText"/>
              <w:widowControl/>
              <w:spacing w:after="0"/>
              <w:ind w:left="0"/>
              <w:rPr>
                <w:rFonts w:asciiTheme="majorBidi" w:hAnsiTheme="majorBidi" w:cstheme="majorBidi"/>
              </w:rPr>
            </w:pPr>
            <w:r w:rsidRPr="00F512D2">
              <w:rPr>
                <w:rFonts w:asciiTheme="majorBidi" w:hAnsiTheme="majorBidi" w:cstheme="majorBidi"/>
              </w:rPr>
              <w:t>CBHSQ, SAMHSA</w:t>
            </w:r>
          </w:p>
          <w:p w:rsidR="006252F1" w:rsidRPr="00F512D2" w:rsidRDefault="006252F1" w:rsidP="00682AC8">
            <w:pPr>
              <w:pStyle w:val="BodyText"/>
              <w:widowControl/>
              <w:spacing w:after="0"/>
              <w:ind w:left="0"/>
              <w:rPr>
                <w:rFonts w:asciiTheme="majorBidi" w:hAnsiTheme="majorBidi" w:cstheme="majorBidi"/>
              </w:rPr>
            </w:pPr>
          </w:p>
        </w:tc>
        <w:tc>
          <w:tcPr>
            <w:tcW w:w="4932" w:type="dxa"/>
          </w:tcPr>
          <w:p w:rsidR="006252F1" w:rsidRPr="00F512D2" w:rsidRDefault="006252F1" w:rsidP="00682AC8">
            <w:pPr>
              <w:widowControl/>
              <w:autoSpaceDE/>
              <w:autoSpaceDN/>
              <w:adjustRightInd/>
              <w:rPr>
                <w:rFonts w:asciiTheme="majorBidi" w:hAnsiTheme="majorBidi" w:cstheme="majorBidi"/>
                <w:i/>
              </w:rPr>
            </w:pPr>
            <w:r w:rsidRPr="00F512D2">
              <w:rPr>
                <w:rFonts w:asciiTheme="majorBidi" w:hAnsiTheme="majorBidi" w:cstheme="majorBidi"/>
                <w:i/>
              </w:rPr>
              <w:t>Peter Tice</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(240) 276-1254</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Alternate Project Officer</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Division of Population Surveys</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CBHSQ, SAMHSA</w:t>
            </w:r>
          </w:p>
          <w:p w:rsidR="006252F1" w:rsidRPr="00F512D2" w:rsidRDefault="006252F1" w:rsidP="00682AC8">
            <w:pPr>
              <w:widowControl/>
              <w:autoSpaceDE/>
              <w:autoSpaceDN/>
              <w:adjustRightInd/>
              <w:rPr>
                <w:rFonts w:asciiTheme="majorBidi" w:hAnsiTheme="majorBidi" w:cstheme="majorBidi"/>
              </w:rPr>
            </w:pPr>
          </w:p>
        </w:tc>
      </w:tr>
      <w:tr w:rsidR="006252F1" w:rsidRPr="00F512D2" w:rsidTr="00CC43A2">
        <w:tc>
          <w:tcPr>
            <w:tcW w:w="4194" w:type="dxa"/>
          </w:tcPr>
          <w:p w:rsidR="006252F1" w:rsidRPr="00F512D2" w:rsidRDefault="006252F1" w:rsidP="00682AC8">
            <w:pPr>
              <w:widowControl/>
              <w:autoSpaceDE/>
              <w:autoSpaceDN/>
              <w:adjustRightInd/>
              <w:rPr>
                <w:rFonts w:asciiTheme="majorBidi" w:hAnsiTheme="majorBidi" w:cstheme="majorBidi"/>
                <w:i/>
              </w:rPr>
            </w:pPr>
            <w:r w:rsidRPr="00F512D2">
              <w:rPr>
                <w:rFonts w:asciiTheme="majorBidi" w:hAnsiTheme="majorBidi" w:cstheme="majorBidi"/>
                <w:i/>
              </w:rPr>
              <w:t>Joseph Gfroerer</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(240) 276-1262</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Division Director/Supervisory Mathematical Statistician</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Division of Population Surveys</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CBHSQ, SAMHSA</w:t>
            </w:r>
          </w:p>
          <w:p w:rsidR="006252F1" w:rsidRPr="00F512D2" w:rsidRDefault="006252F1" w:rsidP="00682AC8">
            <w:pPr>
              <w:widowControl/>
              <w:autoSpaceDE/>
              <w:autoSpaceDN/>
              <w:adjustRightInd/>
              <w:rPr>
                <w:rFonts w:asciiTheme="majorBidi" w:hAnsiTheme="majorBidi" w:cstheme="majorBidi"/>
              </w:rPr>
            </w:pPr>
          </w:p>
          <w:p w:rsidR="006252F1" w:rsidRPr="00F512D2" w:rsidRDefault="006252F1" w:rsidP="00682AC8">
            <w:pPr>
              <w:widowControl/>
              <w:autoSpaceDE/>
              <w:autoSpaceDN/>
              <w:adjustRightInd/>
              <w:rPr>
                <w:rFonts w:asciiTheme="majorBidi" w:hAnsiTheme="majorBidi" w:cstheme="majorBidi"/>
                <w:i/>
              </w:rPr>
            </w:pPr>
            <w:r w:rsidRPr="00F512D2">
              <w:rPr>
                <w:rFonts w:asciiTheme="majorBidi" w:hAnsiTheme="majorBidi" w:cstheme="majorBidi"/>
                <w:i/>
              </w:rPr>
              <w:t>Dicy Painter</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(240) 276-1264</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Statistician</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Division of Population Surveys</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CBHSQ, SAMHSA</w:t>
            </w:r>
          </w:p>
          <w:p w:rsidR="006252F1" w:rsidRPr="00F512D2" w:rsidRDefault="006252F1" w:rsidP="00682AC8">
            <w:pPr>
              <w:widowControl/>
              <w:autoSpaceDE/>
              <w:autoSpaceDN/>
              <w:adjustRightInd/>
              <w:rPr>
                <w:rFonts w:asciiTheme="majorBidi" w:hAnsiTheme="majorBidi" w:cstheme="majorBidi"/>
              </w:rPr>
            </w:pPr>
          </w:p>
          <w:p w:rsidR="00570C78" w:rsidRPr="00F512D2" w:rsidRDefault="00570C78" w:rsidP="00682AC8">
            <w:pPr>
              <w:widowControl/>
              <w:autoSpaceDE/>
              <w:autoSpaceDN/>
              <w:adjustRightInd/>
              <w:rPr>
                <w:rFonts w:asciiTheme="majorBidi" w:hAnsiTheme="majorBidi" w:cstheme="majorBidi"/>
              </w:rPr>
            </w:pPr>
          </w:p>
          <w:p w:rsidR="00570C78" w:rsidRPr="00F512D2" w:rsidRDefault="00570C78" w:rsidP="00682AC8">
            <w:pPr>
              <w:widowControl/>
              <w:autoSpaceDE/>
              <w:autoSpaceDN/>
              <w:adjustRightInd/>
              <w:rPr>
                <w:rFonts w:asciiTheme="majorBidi" w:hAnsiTheme="majorBidi" w:cstheme="majorBidi"/>
              </w:rPr>
            </w:pPr>
          </w:p>
          <w:p w:rsidR="00570C78" w:rsidRPr="00F512D2" w:rsidRDefault="00570C78" w:rsidP="00682AC8">
            <w:pPr>
              <w:widowControl/>
              <w:autoSpaceDE/>
              <w:autoSpaceDN/>
              <w:adjustRightInd/>
              <w:rPr>
                <w:rFonts w:asciiTheme="majorBidi" w:hAnsiTheme="majorBidi" w:cstheme="majorBidi"/>
              </w:rPr>
            </w:pPr>
          </w:p>
          <w:p w:rsidR="00570C78" w:rsidRPr="00F512D2" w:rsidRDefault="00570C78" w:rsidP="00682AC8">
            <w:pPr>
              <w:widowControl/>
              <w:autoSpaceDE/>
              <w:autoSpaceDN/>
              <w:adjustRightInd/>
              <w:rPr>
                <w:rFonts w:asciiTheme="majorBidi" w:hAnsiTheme="majorBidi" w:cstheme="majorBidi"/>
              </w:rPr>
            </w:pPr>
          </w:p>
        </w:tc>
        <w:tc>
          <w:tcPr>
            <w:tcW w:w="4932" w:type="dxa"/>
          </w:tcPr>
          <w:p w:rsidR="006252F1" w:rsidRPr="00F512D2" w:rsidRDefault="006252F1" w:rsidP="00682AC8">
            <w:pPr>
              <w:widowControl/>
              <w:autoSpaceDE/>
              <w:autoSpaceDN/>
              <w:adjustRightInd/>
              <w:rPr>
                <w:rFonts w:asciiTheme="majorBidi" w:hAnsiTheme="majorBidi" w:cstheme="majorBidi"/>
                <w:i/>
              </w:rPr>
            </w:pPr>
            <w:r w:rsidRPr="00F512D2">
              <w:rPr>
                <w:rFonts w:asciiTheme="majorBidi" w:hAnsiTheme="majorBidi" w:cstheme="majorBidi"/>
                <w:i/>
              </w:rPr>
              <w:t>Peggy Barker</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(240) 276-1258</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Statistician</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Division of Population Surveys</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CBHSQ, SAMHSA</w:t>
            </w:r>
          </w:p>
          <w:p w:rsidR="006252F1" w:rsidRPr="00F512D2" w:rsidRDefault="006252F1" w:rsidP="00682AC8">
            <w:pPr>
              <w:widowControl/>
              <w:autoSpaceDE/>
              <w:autoSpaceDN/>
              <w:adjustRightInd/>
              <w:rPr>
                <w:rFonts w:asciiTheme="majorBidi" w:hAnsiTheme="majorBidi" w:cstheme="majorBidi"/>
                <w:i/>
              </w:rPr>
            </w:pPr>
          </w:p>
          <w:p w:rsidR="006252F1" w:rsidRPr="00F512D2" w:rsidRDefault="006252F1" w:rsidP="00682AC8">
            <w:pPr>
              <w:widowControl/>
              <w:autoSpaceDE/>
              <w:autoSpaceDN/>
              <w:adjustRightInd/>
              <w:rPr>
                <w:rFonts w:asciiTheme="majorBidi" w:hAnsiTheme="majorBidi" w:cstheme="majorBidi"/>
                <w:i/>
              </w:rPr>
            </w:pPr>
          </w:p>
          <w:p w:rsidR="006252F1" w:rsidRPr="00F512D2" w:rsidRDefault="006252F1" w:rsidP="00682AC8">
            <w:pPr>
              <w:widowControl/>
              <w:autoSpaceDE/>
              <w:autoSpaceDN/>
              <w:adjustRightInd/>
              <w:rPr>
                <w:rFonts w:asciiTheme="majorBidi" w:hAnsiTheme="majorBidi" w:cstheme="majorBidi"/>
                <w:i/>
              </w:rPr>
            </w:pPr>
            <w:r w:rsidRPr="00F512D2">
              <w:rPr>
                <w:rFonts w:asciiTheme="majorBidi" w:hAnsiTheme="majorBidi" w:cstheme="majorBidi"/>
                <w:i/>
              </w:rPr>
              <w:t>Joel Kennet</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(240) 276-1265</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Statistician</w:t>
            </w:r>
          </w:p>
          <w:p w:rsidR="006252F1" w:rsidRPr="00F512D2" w:rsidRDefault="006252F1" w:rsidP="00682AC8">
            <w:pPr>
              <w:widowControl/>
              <w:autoSpaceDE/>
              <w:autoSpaceDN/>
              <w:adjustRightInd/>
              <w:rPr>
                <w:rFonts w:asciiTheme="majorBidi" w:hAnsiTheme="majorBidi" w:cstheme="majorBidi"/>
              </w:rPr>
            </w:pPr>
            <w:r w:rsidRPr="00F512D2">
              <w:rPr>
                <w:rFonts w:asciiTheme="majorBidi" w:hAnsiTheme="majorBidi" w:cstheme="majorBidi"/>
              </w:rPr>
              <w:t>Division of Population Surveys</w:t>
            </w:r>
          </w:p>
          <w:p w:rsidR="006252F1" w:rsidRPr="00F512D2" w:rsidRDefault="006252F1" w:rsidP="00682AC8">
            <w:pPr>
              <w:widowControl/>
              <w:autoSpaceDE/>
              <w:autoSpaceDN/>
              <w:adjustRightInd/>
              <w:rPr>
                <w:rFonts w:asciiTheme="majorBidi" w:hAnsiTheme="majorBidi" w:cstheme="majorBidi"/>
                <w:i/>
              </w:rPr>
            </w:pPr>
            <w:r w:rsidRPr="00F512D2">
              <w:rPr>
                <w:rFonts w:asciiTheme="majorBidi" w:hAnsiTheme="majorBidi" w:cstheme="majorBidi"/>
              </w:rPr>
              <w:t>CBHSQ, SAMHSA</w:t>
            </w:r>
          </w:p>
          <w:p w:rsidR="006252F1" w:rsidRPr="00F512D2" w:rsidRDefault="006252F1" w:rsidP="00682AC8">
            <w:pPr>
              <w:widowControl/>
              <w:autoSpaceDE/>
              <w:autoSpaceDN/>
              <w:adjustRightInd/>
              <w:rPr>
                <w:rFonts w:asciiTheme="majorBidi" w:hAnsiTheme="majorBidi" w:cstheme="majorBidi"/>
                <w:i/>
              </w:rPr>
            </w:pPr>
          </w:p>
          <w:p w:rsidR="006252F1" w:rsidRPr="00F512D2" w:rsidRDefault="006252F1" w:rsidP="00682AC8">
            <w:pPr>
              <w:widowControl/>
              <w:autoSpaceDE/>
              <w:autoSpaceDN/>
              <w:adjustRightInd/>
              <w:rPr>
                <w:rFonts w:asciiTheme="majorBidi" w:hAnsiTheme="majorBidi" w:cstheme="majorBidi"/>
              </w:rPr>
            </w:pPr>
          </w:p>
        </w:tc>
      </w:tr>
    </w:tbl>
    <w:p w:rsidR="00AE6341" w:rsidRPr="00F512D2" w:rsidRDefault="00AE634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rPr>
      </w:pPr>
    </w:p>
    <w:p w:rsidR="00427331" w:rsidRPr="00F512D2" w:rsidRDefault="0042733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rPr>
      </w:pPr>
    </w:p>
    <w:p w:rsidR="000261D8" w:rsidRPr="00F512D2" w:rsidRDefault="000261D8">
      <w:pPr>
        <w:widowControl/>
        <w:autoSpaceDE/>
        <w:autoSpaceDN/>
        <w:adjustRightInd/>
        <w:rPr>
          <w:rFonts w:asciiTheme="majorBidi" w:hAnsiTheme="majorBidi" w:cstheme="majorBidi"/>
          <w:b/>
        </w:rPr>
      </w:pPr>
      <w:r w:rsidRPr="00F512D2">
        <w:rPr>
          <w:rFonts w:asciiTheme="majorBidi" w:hAnsiTheme="majorBidi" w:cstheme="majorBidi"/>
          <w:b/>
        </w:rPr>
        <w:br w:type="page"/>
      </w:r>
    </w:p>
    <w:p w:rsidR="006252F1" w:rsidRPr="00F512D2"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rPr>
      </w:pPr>
      <w:r w:rsidRPr="00F512D2">
        <w:rPr>
          <w:rFonts w:asciiTheme="majorBidi" w:hAnsiTheme="majorBidi" w:cstheme="majorBidi"/>
          <w:b/>
        </w:rPr>
        <w:lastRenderedPageBreak/>
        <w:t>ATTACHMENTS</w:t>
      </w:r>
    </w:p>
    <w:p w:rsidR="006252F1" w:rsidRPr="00F512D2"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6252F1" w:rsidRPr="00F512D2"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F63E95" w:rsidRDefault="00F63E95"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Bidi" w:hAnsiTheme="majorBidi" w:cstheme="majorBidi"/>
        </w:rPr>
      </w:pPr>
      <w:r>
        <w:rPr>
          <w:rFonts w:asciiTheme="majorBidi" w:hAnsiTheme="majorBidi" w:cstheme="majorBidi"/>
        </w:rPr>
        <w:t>Attachment A -</w:t>
      </w:r>
      <w:r>
        <w:rPr>
          <w:rFonts w:asciiTheme="majorBidi" w:hAnsiTheme="majorBidi" w:cstheme="majorBidi"/>
        </w:rPr>
        <w:tab/>
        <w:t>Federal-Wide Assurance</w:t>
      </w:r>
    </w:p>
    <w:p w:rsidR="00F63E95" w:rsidRDefault="00F63E95"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Bidi" w:hAnsiTheme="majorBidi" w:cstheme="majorBidi"/>
        </w:rPr>
      </w:pP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Bidi" w:hAnsiTheme="majorBidi" w:cstheme="majorBidi"/>
        </w:rPr>
      </w:pPr>
      <w:r w:rsidRPr="00F512D2">
        <w:rPr>
          <w:rFonts w:asciiTheme="majorBidi" w:hAnsiTheme="majorBidi" w:cstheme="majorBidi"/>
        </w:rPr>
        <w:t xml:space="preserve">Attachment </w:t>
      </w:r>
      <w:proofErr w:type="gramStart"/>
      <w:r w:rsidR="00F63E95">
        <w:rPr>
          <w:rFonts w:asciiTheme="majorBidi" w:hAnsiTheme="majorBidi" w:cstheme="majorBidi"/>
        </w:rPr>
        <w:t>B</w:t>
      </w:r>
      <w:r w:rsidRPr="00F512D2">
        <w:rPr>
          <w:rFonts w:asciiTheme="majorBidi" w:hAnsiTheme="majorBidi" w:cstheme="majorBidi"/>
        </w:rPr>
        <w:t xml:space="preserve">  -</w:t>
      </w:r>
      <w:proofErr w:type="gramEnd"/>
      <w:r w:rsidRPr="00F512D2">
        <w:rPr>
          <w:rFonts w:asciiTheme="majorBidi" w:hAnsiTheme="majorBidi" w:cstheme="majorBidi"/>
        </w:rPr>
        <w:tab/>
        <w:t>CAI Questionnaire Content</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r w:rsidRPr="00F512D2">
        <w:rPr>
          <w:rFonts w:asciiTheme="majorBidi" w:hAnsiTheme="majorBidi" w:cstheme="majorBidi"/>
        </w:rPr>
        <w:t xml:space="preserve">Attachment </w:t>
      </w:r>
      <w:proofErr w:type="gramStart"/>
      <w:r w:rsidR="00F63E95">
        <w:rPr>
          <w:rFonts w:asciiTheme="majorBidi" w:hAnsiTheme="majorBidi" w:cstheme="majorBidi"/>
        </w:rPr>
        <w:t>C</w:t>
      </w:r>
      <w:r w:rsidRPr="00F512D2">
        <w:rPr>
          <w:rFonts w:asciiTheme="majorBidi" w:hAnsiTheme="majorBidi" w:cstheme="majorBidi"/>
        </w:rPr>
        <w:t xml:space="preserve">  </w:t>
      </w:r>
      <w:r w:rsidRPr="00F512D2">
        <w:rPr>
          <w:rFonts w:asciiTheme="majorBidi" w:hAnsiTheme="majorBidi" w:cstheme="majorBidi"/>
        </w:rPr>
        <w:noBreakHyphen/>
      </w:r>
      <w:proofErr w:type="gramEnd"/>
      <w:r w:rsidRPr="00F512D2">
        <w:rPr>
          <w:rFonts w:asciiTheme="majorBidi" w:hAnsiTheme="majorBidi" w:cstheme="majorBidi"/>
        </w:rPr>
        <w:tab/>
        <w:t>Quality Control Form</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r w:rsidRPr="00F512D2">
        <w:rPr>
          <w:rFonts w:asciiTheme="majorBidi" w:hAnsiTheme="majorBidi" w:cstheme="majorBidi"/>
        </w:rPr>
        <w:t xml:space="preserve">Attachment </w:t>
      </w:r>
      <w:proofErr w:type="gramStart"/>
      <w:r w:rsidR="00F63E95">
        <w:rPr>
          <w:rFonts w:asciiTheme="majorBidi" w:hAnsiTheme="majorBidi" w:cstheme="majorBidi"/>
        </w:rPr>
        <w:t>D</w:t>
      </w:r>
      <w:r w:rsidRPr="00F512D2">
        <w:rPr>
          <w:rFonts w:asciiTheme="majorBidi" w:hAnsiTheme="majorBidi" w:cstheme="majorBidi"/>
        </w:rPr>
        <w:t xml:space="preserve"> </w:t>
      </w:r>
      <w:r w:rsidR="009A44CE" w:rsidRPr="00F512D2">
        <w:rPr>
          <w:rFonts w:asciiTheme="majorBidi" w:hAnsiTheme="majorBidi" w:cstheme="majorBidi"/>
        </w:rPr>
        <w:t xml:space="preserve"> </w:t>
      </w:r>
      <w:r w:rsidRPr="00F512D2">
        <w:rPr>
          <w:rFonts w:asciiTheme="majorBidi" w:hAnsiTheme="majorBidi" w:cstheme="majorBidi"/>
        </w:rPr>
        <w:noBreakHyphen/>
      </w:r>
      <w:proofErr w:type="gramEnd"/>
      <w:r w:rsidRPr="00F512D2">
        <w:rPr>
          <w:rFonts w:asciiTheme="majorBidi" w:hAnsiTheme="majorBidi" w:cstheme="majorBidi"/>
        </w:rPr>
        <w:tab/>
      </w:r>
      <w:r w:rsidR="00247E1A" w:rsidRPr="00F512D2">
        <w:rPr>
          <w:rFonts w:asciiTheme="majorBidi" w:hAnsiTheme="majorBidi" w:cstheme="majorBidi"/>
        </w:rPr>
        <w:t xml:space="preserve">NSDUH </w:t>
      </w:r>
      <w:r w:rsidRPr="00F512D2">
        <w:rPr>
          <w:rFonts w:asciiTheme="majorBidi" w:hAnsiTheme="majorBidi" w:cstheme="majorBidi"/>
        </w:rPr>
        <w:t xml:space="preserve">Lead Letter </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F63E95"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r>
        <w:rPr>
          <w:rFonts w:asciiTheme="majorBidi" w:hAnsiTheme="majorBidi" w:cstheme="majorBidi"/>
        </w:rPr>
        <w:t xml:space="preserve">Attachment </w:t>
      </w:r>
      <w:proofErr w:type="gramStart"/>
      <w:r>
        <w:rPr>
          <w:rFonts w:asciiTheme="majorBidi" w:hAnsiTheme="majorBidi" w:cstheme="majorBidi"/>
        </w:rPr>
        <w:t>E</w:t>
      </w:r>
      <w:r w:rsidR="00570C78" w:rsidRPr="00F512D2">
        <w:rPr>
          <w:rFonts w:asciiTheme="majorBidi" w:hAnsiTheme="majorBidi" w:cstheme="majorBidi"/>
        </w:rPr>
        <w:t xml:space="preserve">  </w:t>
      </w:r>
      <w:r w:rsidR="00570C78" w:rsidRPr="00F512D2">
        <w:rPr>
          <w:rFonts w:asciiTheme="majorBidi" w:hAnsiTheme="majorBidi" w:cstheme="majorBidi"/>
        </w:rPr>
        <w:noBreakHyphen/>
      </w:r>
      <w:proofErr w:type="gramEnd"/>
      <w:r w:rsidR="00570C78" w:rsidRPr="00F512D2">
        <w:rPr>
          <w:rFonts w:asciiTheme="majorBidi" w:hAnsiTheme="majorBidi" w:cstheme="majorBidi"/>
        </w:rPr>
        <w:tab/>
      </w:r>
      <w:r>
        <w:rPr>
          <w:rFonts w:asciiTheme="majorBidi" w:hAnsiTheme="majorBidi" w:cstheme="majorBidi"/>
        </w:rPr>
        <w:t xml:space="preserve">Contact </w:t>
      </w:r>
      <w:r w:rsidR="00570C78" w:rsidRPr="00F512D2">
        <w:rPr>
          <w:rFonts w:asciiTheme="majorBidi" w:hAnsiTheme="majorBidi" w:cstheme="majorBidi"/>
        </w:rPr>
        <w:t>Card</w:t>
      </w:r>
      <w:r>
        <w:rPr>
          <w:rFonts w:asciiTheme="majorBidi" w:hAnsiTheme="majorBidi" w:cstheme="majorBidi"/>
        </w:rPr>
        <w:t>s</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F63E95" w:rsidRDefault="00F63E95"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Pr>
          <w:rFonts w:asciiTheme="majorBidi" w:hAnsiTheme="majorBidi" w:cstheme="majorBidi"/>
        </w:rPr>
        <w:t xml:space="preserve">Attachment </w:t>
      </w:r>
      <w:proofErr w:type="gramStart"/>
      <w:r>
        <w:rPr>
          <w:rFonts w:asciiTheme="majorBidi" w:hAnsiTheme="majorBidi" w:cstheme="majorBidi"/>
        </w:rPr>
        <w:t>F</w:t>
      </w:r>
      <w:r w:rsidR="00570C78" w:rsidRPr="00F512D2">
        <w:rPr>
          <w:rFonts w:asciiTheme="majorBidi" w:hAnsiTheme="majorBidi" w:cstheme="majorBidi"/>
        </w:rPr>
        <w:t xml:space="preserve">  </w:t>
      </w:r>
      <w:r w:rsidR="00570C78" w:rsidRPr="00F512D2">
        <w:rPr>
          <w:rFonts w:asciiTheme="majorBidi" w:hAnsiTheme="majorBidi" w:cstheme="majorBidi"/>
        </w:rPr>
        <w:noBreakHyphen/>
      </w:r>
      <w:proofErr w:type="gramEnd"/>
      <w:r w:rsidR="00570C78" w:rsidRPr="00F512D2">
        <w:rPr>
          <w:rFonts w:asciiTheme="majorBidi" w:hAnsiTheme="majorBidi" w:cstheme="majorBidi"/>
        </w:rPr>
        <w:tab/>
      </w:r>
      <w:r>
        <w:rPr>
          <w:rFonts w:asciiTheme="majorBidi" w:hAnsiTheme="majorBidi" w:cstheme="majorBidi"/>
        </w:rPr>
        <w:t>Introduction and Informed Consent</w:t>
      </w:r>
    </w:p>
    <w:p w:rsidR="00F63E95" w:rsidRDefault="00F63E95"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570C78" w:rsidRPr="00F512D2" w:rsidRDefault="00F63E95"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r>
        <w:rPr>
          <w:rFonts w:asciiTheme="majorBidi" w:hAnsiTheme="majorBidi" w:cstheme="majorBidi"/>
        </w:rPr>
        <w:t>Attachment G -</w:t>
      </w:r>
      <w:r>
        <w:rPr>
          <w:rFonts w:asciiTheme="majorBidi" w:hAnsiTheme="majorBidi" w:cstheme="majorBidi"/>
        </w:rPr>
        <w:tab/>
      </w:r>
      <w:r w:rsidR="00570C78" w:rsidRPr="00F512D2">
        <w:rPr>
          <w:rFonts w:asciiTheme="majorBidi" w:hAnsiTheme="majorBidi" w:cstheme="majorBidi"/>
        </w:rPr>
        <w:t>Study Description</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F63E95">
        <w:rPr>
          <w:rFonts w:asciiTheme="majorBidi" w:hAnsiTheme="majorBidi" w:cstheme="majorBidi"/>
        </w:rPr>
        <w:t>H</w:t>
      </w:r>
      <w:proofErr w:type="gramEnd"/>
      <w:r w:rsidRPr="00F512D2">
        <w:rPr>
          <w:rFonts w:asciiTheme="majorBidi" w:hAnsiTheme="majorBidi" w:cstheme="majorBidi"/>
        </w:rPr>
        <w:t xml:space="preserve">  </w:t>
      </w:r>
      <w:r w:rsidRPr="00F512D2">
        <w:rPr>
          <w:rFonts w:asciiTheme="majorBidi" w:hAnsiTheme="majorBidi" w:cstheme="majorBidi"/>
        </w:rPr>
        <w:noBreakHyphen/>
      </w:r>
      <w:r w:rsidRPr="00F512D2">
        <w:rPr>
          <w:rFonts w:asciiTheme="majorBidi" w:hAnsiTheme="majorBidi" w:cstheme="majorBidi"/>
        </w:rPr>
        <w:tab/>
        <w:t>Housing Unit and Group Quarters Unit Screening Questions</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8C2A17">
        <w:rPr>
          <w:rFonts w:asciiTheme="majorBidi" w:hAnsiTheme="majorBidi" w:cstheme="majorBidi"/>
        </w:rPr>
        <w:t>I</w:t>
      </w:r>
      <w:proofErr w:type="gramEnd"/>
      <w:r w:rsidRPr="00F512D2">
        <w:rPr>
          <w:rFonts w:asciiTheme="majorBidi" w:hAnsiTheme="majorBidi" w:cstheme="majorBidi"/>
        </w:rPr>
        <w:t xml:space="preserve"> </w:t>
      </w:r>
      <w:r w:rsidRPr="00F512D2">
        <w:rPr>
          <w:rFonts w:asciiTheme="majorBidi" w:hAnsiTheme="majorBidi" w:cstheme="majorBidi"/>
        </w:rPr>
        <w:noBreakHyphen/>
      </w:r>
      <w:r w:rsidRPr="00F512D2">
        <w:rPr>
          <w:rFonts w:asciiTheme="majorBidi" w:hAnsiTheme="majorBidi" w:cstheme="majorBidi"/>
        </w:rPr>
        <w:tab/>
        <w:t xml:space="preserve">Question </w:t>
      </w:r>
      <w:r w:rsidR="00247E1A" w:rsidRPr="00F512D2">
        <w:rPr>
          <w:rFonts w:asciiTheme="majorBidi" w:hAnsiTheme="majorBidi" w:cstheme="majorBidi"/>
        </w:rPr>
        <w:t>&amp;</w:t>
      </w:r>
      <w:r w:rsidRPr="00F512D2">
        <w:rPr>
          <w:rFonts w:asciiTheme="majorBidi" w:hAnsiTheme="majorBidi" w:cstheme="majorBidi"/>
        </w:rPr>
        <w:t xml:space="preserve"> Answer Brochure</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8C2A17">
        <w:rPr>
          <w:rFonts w:asciiTheme="majorBidi" w:hAnsiTheme="majorBidi" w:cstheme="majorBidi"/>
        </w:rPr>
        <w:t>J</w:t>
      </w:r>
      <w:proofErr w:type="gramEnd"/>
      <w:r w:rsidRPr="00F512D2">
        <w:rPr>
          <w:rFonts w:asciiTheme="majorBidi" w:hAnsiTheme="majorBidi" w:cstheme="majorBidi"/>
        </w:rPr>
        <w:t xml:space="preserve"> </w:t>
      </w:r>
      <w:r w:rsidRPr="00F512D2">
        <w:rPr>
          <w:rFonts w:asciiTheme="majorBidi" w:hAnsiTheme="majorBidi" w:cstheme="majorBidi"/>
        </w:rPr>
        <w:noBreakHyphen/>
      </w:r>
      <w:r w:rsidRPr="00F512D2">
        <w:rPr>
          <w:rFonts w:asciiTheme="majorBidi" w:hAnsiTheme="majorBidi" w:cstheme="majorBidi"/>
        </w:rPr>
        <w:tab/>
        <w:t>NSDUH Highlights</w:t>
      </w:r>
      <w:r w:rsidR="008C2A17">
        <w:rPr>
          <w:rFonts w:asciiTheme="majorBidi" w:hAnsiTheme="majorBidi" w:cstheme="majorBidi"/>
        </w:rPr>
        <w:t xml:space="preserve"> and Newspaper Articles</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52D79" w:rsidRPr="00F512D2" w:rsidRDefault="00552D79"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B75D2E" w:rsidRPr="00F512D2">
        <w:rPr>
          <w:rFonts w:asciiTheme="majorBidi" w:hAnsiTheme="majorBidi" w:cstheme="majorBidi"/>
        </w:rPr>
        <w:t>K</w:t>
      </w:r>
      <w:proofErr w:type="gramEnd"/>
      <w:r w:rsidRPr="00F512D2">
        <w:rPr>
          <w:rFonts w:asciiTheme="majorBidi" w:hAnsiTheme="majorBidi" w:cstheme="majorBidi"/>
        </w:rPr>
        <w:t xml:space="preserve"> -</w:t>
      </w:r>
      <w:r w:rsidRPr="00F512D2">
        <w:rPr>
          <w:rFonts w:asciiTheme="majorBidi" w:hAnsiTheme="majorBidi" w:cstheme="majorBidi"/>
        </w:rPr>
        <w:tab/>
      </w:r>
      <w:proofErr w:type="spellStart"/>
      <w:r w:rsidRPr="00F512D2">
        <w:rPr>
          <w:rFonts w:asciiTheme="majorBidi" w:hAnsiTheme="majorBidi" w:cstheme="majorBidi"/>
        </w:rPr>
        <w:t>Showcard</w:t>
      </w:r>
      <w:proofErr w:type="spellEnd"/>
      <w:r w:rsidRPr="00F512D2">
        <w:rPr>
          <w:rFonts w:asciiTheme="majorBidi" w:hAnsiTheme="majorBidi" w:cstheme="majorBidi"/>
        </w:rPr>
        <w:t xml:space="preserve"> Booklet</w:t>
      </w:r>
    </w:p>
    <w:p w:rsidR="00552D79" w:rsidRPr="00F512D2" w:rsidRDefault="00552D79" w:rsidP="00552D7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
    <w:p w:rsidR="00570C78" w:rsidRPr="00F512D2" w:rsidRDefault="00570C78" w:rsidP="00552D7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hAnsiTheme="majorBidi" w:cstheme="majorBidi"/>
        </w:rPr>
      </w:pPr>
      <w:proofErr w:type="gramStart"/>
      <w:r w:rsidRPr="00F512D2">
        <w:rPr>
          <w:rFonts w:asciiTheme="majorBidi" w:hAnsiTheme="majorBidi" w:cstheme="majorBidi"/>
        </w:rPr>
        <w:t xml:space="preserve">Attachment </w:t>
      </w:r>
      <w:r w:rsidR="00552D79" w:rsidRPr="00F512D2">
        <w:rPr>
          <w:rFonts w:asciiTheme="majorBidi" w:hAnsiTheme="majorBidi" w:cstheme="majorBidi"/>
        </w:rPr>
        <w:t xml:space="preserve"> </w:t>
      </w:r>
      <w:r w:rsidR="00B75D2E" w:rsidRPr="00F512D2">
        <w:rPr>
          <w:rFonts w:asciiTheme="majorBidi" w:hAnsiTheme="majorBidi" w:cstheme="majorBidi"/>
        </w:rPr>
        <w:t>L</w:t>
      </w:r>
      <w:proofErr w:type="gramEnd"/>
      <w:r w:rsidRPr="00F512D2">
        <w:rPr>
          <w:rFonts w:asciiTheme="majorBidi" w:hAnsiTheme="majorBidi" w:cstheme="majorBidi"/>
        </w:rPr>
        <w:t xml:space="preserve">  -</w:t>
      </w:r>
      <w:r w:rsidRPr="00F512D2">
        <w:rPr>
          <w:rFonts w:asciiTheme="majorBidi" w:hAnsiTheme="majorBidi" w:cstheme="majorBidi"/>
        </w:rPr>
        <w:tab/>
        <w:t>Sample Design</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570C78"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552D79" w:rsidRPr="00F512D2">
        <w:rPr>
          <w:rFonts w:asciiTheme="majorBidi" w:hAnsiTheme="majorBidi" w:cstheme="majorBidi"/>
        </w:rPr>
        <w:t xml:space="preserve"> </w:t>
      </w:r>
      <w:r w:rsidR="00B75D2E" w:rsidRPr="00F512D2">
        <w:rPr>
          <w:rFonts w:asciiTheme="majorBidi" w:hAnsiTheme="majorBidi" w:cstheme="majorBidi"/>
        </w:rPr>
        <w:t>M</w:t>
      </w:r>
      <w:proofErr w:type="gramEnd"/>
      <w:r w:rsidRPr="00F512D2">
        <w:rPr>
          <w:rFonts w:asciiTheme="majorBidi" w:hAnsiTheme="majorBidi" w:cstheme="majorBidi"/>
        </w:rPr>
        <w:t xml:space="preserve">  -</w:t>
      </w:r>
      <w:r w:rsidRPr="00F512D2">
        <w:rPr>
          <w:rFonts w:asciiTheme="majorBidi" w:hAnsiTheme="majorBidi" w:cstheme="majorBidi"/>
        </w:rPr>
        <w:tab/>
        <w:t>Interview Payment Receipt</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570C78" w:rsidRPr="00F512D2" w:rsidRDefault="00570C78"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B75D2E" w:rsidRPr="00F512D2">
        <w:rPr>
          <w:rFonts w:asciiTheme="majorBidi" w:hAnsiTheme="majorBidi" w:cstheme="majorBidi"/>
        </w:rPr>
        <w:t>N</w:t>
      </w:r>
      <w:proofErr w:type="gramEnd"/>
      <w:r w:rsidRPr="00F512D2">
        <w:rPr>
          <w:rFonts w:asciiTheme="majorBidi" w:hAnsiTheme="majorBidi" w:cstheme="majorBidi"/>
        </w:rPr>
        <w:t xml:space="preserve"> -</w:t>
      </w:r>
      <w:r w:rsidRPr="00F512D2">
        <w:rPr>
          <w:rFonts w:asciiTheme="majorBidi" w:hAnsiTheme="majorBidi" w:cstheme="majorBidi"/>
        </w:rPr>
        <w:tab/>
        <w:t>Certificate of Participation</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
    <w:p w:rsidR="00570C78" w:rsidRPr="00F512D2" w:rsidRDefault="00570C78"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B75D2E" w:rsidRPr="00F512D2">
        <w:rPr>
          <w:rFonts w:asciiTheme="majorBidi" w:hAnsiTheme="majorBidi" w:cstheme="majorBidi"/>
        </w:rPr>
        <w:t>O</w:t>
      </w:r>
      <w:proofErr w:type="gramEnd"/>
      <w:r w:rsidRPr="00F512D2">
        <w:rPr>
          <w:rFonts w:asciiTheme="majorBidi" w:hAnsiTheme="majorBidi" w:cstheme="majorBidi"/>
        </w:rPr>
        <w:t xml:space="preserve"> - </w:t>
      </w:r>
      <w:r w:rsidRPr="00F512D2">
        <w:rPr>
          <w:rFonts w:asciiTheme="majorBidi" w:hAnsiTheme="majorBidi" w:cstheme="majorBidi"/>
        </w:rPr>
        <w:tab/>
        <w:t>Unable to Contact Letters</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
    <w:p w:rsidR="00570C78" w:rsidRPr="00F512D2" w:rsidRDefault="00570C78"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B75D2E" w:rsidRPr="00F512D2">
        <w:rPr>
          <w:rFonts w:asciiTheme="majorBidi" w:hAnsiTheme="majorBidi" w:cstheme="majorBidi"/>
        </w:rPr>
        <w:t>P</w:t>
      </w:r>
      <w:proofErr w:type="gramEnd"/>
      <w:r w:rsidR="008C2A17">
        <w:rPr>
          <w:rFonts w:asciiTheme="majorBidi" w:hAnsiTheme="majorBidi" w:cstheme="majorBidi"/>
        </w:rPr>
        <w:t xml:space="preserve"> -</w:t>
      </w:r>
      <w:r w:rsidR="008C2A17">
        <w:rPr>
          <w:rFonts w:asciiTheme="majorBidi" w:hAnsiTheme="majorBidi" w:cstheme="majorBidi"/>
        </w:rPr>
        <w:tab/>
        <w:t>Refusal Letters</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
    <w:p w:rsidR="00570C78" w:rsidRPr="00F512D2" w:rsidRDefault="00570C78"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B75D2E" w:rsidRPr="00F512D2">
        <w:rPr>
          <w:rFonts w:asciiTheme="majorBidi" w:hAnsiTheme="majorBidi" w:cstheme="majorBidi"/>
        </w:rPr>
        <w:t>Q</w:t>
      </w:r>
      <w:proofErr w:type="gramEnd"/>
      <w:r w:rsidRPr="00F512D2">
        <w:rPr>
          <w:rFonts w:asciiTheme="majorBidi" w:hAnsiTheme="majorBidi" w:cstheme="majorBidi"/>
        </w:rPr>
        <w:t xml:space="preserve"> - </w:t>
      </w:r>
      <w:r w:rsidRPr="00F512D2">
        <w:rPr>
          <w:rFonts w:asciiTheme="majorBidi" w:hAnsiTheme="majorBidi" w:cstheme="majorBidi"/>
        </w:rPr>
        <w:tab/>
      </w:r>
      <w:r w:rsidR="008C2A17">
        <w:rPr>
          <w:rFonts w:asciiTheme="majorBidi" w:hAnsiTheme="majorBidi" w:cstheme="majorBidi"/>
        </w:rPr>
        <w:t>Telephone Verification Scripts</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
    <w:p w:rsidR="00570C78" w:rsidRPr="00F512D2" w:rsidRDefault="00570C78"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roofErr w:type="gramStart"/>
      <w:r w:rsidRPr="00F512D2">
        <w:rPr>
          <w:rFonts w:asciiTheme="majorBidi" w:hAnsiTheme="majorBidi" w:cstheme="majorBidi"/>
        </w:rPr>
        <w:t xml:space="preserve">Attachment </w:t>
      </w:r>
      <w:r w:rsidR="00552D79" w:rsidRPr="00F512D2">
        <w:rPr>
          <w:rFonts w:asciiTheme="majorBidi" w:hAnsiTheme="majorBidi" w:cstheme="majorBidi"/>
        </w:rPr>
        <w:t xml:space="preserve"> </w:t>
      </w:r>
      <w:r w:rsidR="00B75D2E" w:rsidRPr="00F512D2">
        <w:rPr>
          <w:rFonts w:asciiTheme="majorBidi" w:hAnsiTheme="majorBidi" w:cstheme="majorBidi"/>
        </w:rPr>
        <w:t>R</w:t>
      </w:r>
      <w:proofErr w:type="gramEnd"/>
      <w:r w:rsidRPr="00F512D2">
        <w:rPr>
          <w:rFonts w:asciiTheme="majorBidi" w:hAnsiTheme="majorBidi" w:cstheme="majorBidi"/>
        </w:rPr>
        <w:t xml:space="preserve"> - </w:t>
      </w:r>
      <w:r w:rsidRPr="00F512D2">
        <w:rPr>
          <w:rFonts w:asciiTheme="majorBidi" w:hAnsiTheme="majorBidi" w:cstheme="majorBidi"/>
        </w:rPr>
        <w:tab/>
        <w:t xml:space="preserve">Confidentiality </w:t>
      </w:r>
      <w:r w:rsidR="002273F1" w:rsidRPr="00F512D2">
        <w:rPr>
          <w:rFonts w:asciiTheme="majorBidi" w:hAnsiTheme="majorBidi" w:cstheme="majorBidi"/>
        </w:rPr>
        <w:t>Agreement</w:t>
      </w:r>
    </w:p>
    <w:p w:rsidR="00CF11B6" w:rsidRPr="00F512D2" w:rsidRDefault="00CF11B6"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
    <w:p w:rsidR="00CF11B6" w:rsidRPr="00F512D2" w:rsidRDefault="00CF11B6" w:rsidP="00B75D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r w:rsidRPr="00F512D2">
        <w:rPr>
          <w:rFonts w:asciiTheme="majorBidi" w:hAnsiTheme="majorBidi" w:cstheme="majorBidi"/>
        </w:rPr>
        <w:t>Attachment S -</w:t>
      </w:r>
      <w:r w:rsidRPr="00F512D2">
        <w:rPr>
          <w:rFonts w:asciiTheme="majorBidi" w:hAnsiTheme="majorBidi" w:cstheme="majorBidi"/>
        </w:rPr>
        <w:tab/>
        <w:t>Response to Federal Register Comment</w:t>
      </w:r>
    </w:p>
    <w:p w:rsidR="00570C78" w:rsidRPr="00F512D2" w:rsidRDefault="00570C78" w:rsidP="00570C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heme="majorBidi" w:hAnsiTheme="majorBidi" w:cstheme="majorBidi"/>
        </w:rPr>
      </w:pPr>
    </w:p>
    <w:p w:rsidR="006252F1" w:rsidRPr="00F512D2" w:rsidRDefault="006252F1" w:rsidP="00682AC8">
      <w:pPr>
        <w:pStyle w:val="BodyText"/>
        <w:widowControl/>
        <w:spacing w:after="0"/>
        <w:rPr>
          <w:rFonts w:asciiTheme="majorBidi" w:hAnsiTheme="majorBidi" w:cstheme="majorBidi"/>
        </w:rPr>
      </w:pPr>
    </w:p>
    <w:p w:rsidR="006252F1" w:rsidRPr="00F512D2" w:rsidRDefault="006252F1" w:rsidP="00682AC8">
      <w:pPr>
        <w:pStyle w:val="BodyText"/>
        <w:widowControl/>
        <w:spacing w:after="0"/>
        <w:jc w:val="center"/>
        <w:rPr>
          <w:rFonts w:asciiTheme="majorBidi" w:hAnsiTheme="majorBidi" w:cstheme="majorBidi"/>
          <w:b/>
        </w:rPr>
      </w:pPr>
      <w:r w:rsidRPr="00F512D2">
        <w:rPr>
          <w:rFonts w:asciiTheme="majorBidi" w:hAnsiTheme="majorBidi" w:cstheme="majorBidi"/>
          <w:b/>
        </w:rPr>
        <w:t>REFERENCES</w:t>
      </w:r>
    </w:p>
    <w:p w:rsidR="006252F1" w:rsidRPr="00F512D2" w:rsidRDefault="006252F1" w:rsidP="00682AC8">
      <w:pPr>
        <w:pStyle w:val="BodyText"/>
        <w:widowControl/>
        <w:spacing w:after="0"/>
        <w:jc w:val="center"/>
        <w:rPr>
          <w:rFonts w:asciiTheme="majorBidi" w:hAnsiTheme="majorBidi" w:cstheme="majorBidi"/>
          <w:b/>
        </w:rPr>
      </w:pPr>
    </w:p>
    <w:p w:rsidR="00DA74FE" w:rsidRPr="001C558A" w:rsidRDefault="00DA74FE" w:rsidP="00DA74FE">
      <w:pPr>
        <w:spacing w:after="120"/>
        <w:ind w:left="1080" w:hanging="360"/>
        <w:rPr>
          <w:rFonts w:asciiTheme="majorBidi" w:hAnsiTheme="majorBidi" w:cstheme="majorBidi"/>
        </w:rPr>
      </w:pPr>
      <w:proofErr w:type="gramStart"/>
      <w:r w:rsidRPr="00F512D2">
        <w:rPr>
          <w:rFonts w:asciiTheme="majorBidi" w:hAnsiTheme="majorBidi" w:cstheme="majorBidi"/>
        </w:rPr>
        <w:t>Morton, K. B., Hirsch, E. L., and Martin, P. C. (2011).</w:t>
      </w:r>
      <w:proofErr w:type="gramEnd"/>
      <w:r w:rsidRPr="00F512D2">
        <w:rPr>
          <w:rFonts w:asciiTheme="majorBidi" w:hAnsiTheme="majorBidi" w:cstheme="majorBidi"/>
        </w:rPr>
        <w:t xml:space="preserve"> 2012 National Survey on Drug Use and Health: Sample Design Plan. Research Triangle Park, NC: RTI International.</w:t>
      </w:r>
    </w:p>
    <w:p w:rsidR="006252F1" w:rsidRPr="001C558A" w:rsidRDefault="006252F1" w:rsidP="00682AC8">
      <w:pPr>
        <w:pStyle w:val="BodyText"/>
        <w:widowControl/>
        <w:ind w:left="630"/>
        <w:rPr>
          <w:rFonts w:asciiTheme="majorBidi" w:hAnsiTheme="majorBidi" w:cstheme="majorBidi"/>
        </w:rPr>
      </w:pPr>
    </w:p>
    <w:sectPr w:rsidR="006252F1" w:rsidRPr="001C558A" w:rsidSect="00D164B1">
      <w:footerReference w:type="even" r:id="rId8"/>
      <w:footerReference w:type="default" r:id="rId9"/>
      <w:pgSz w:w="12240" w:h="15840"/>
      <w:pgMar w:top="1152" w:right="1440" w:bottom="720" w:left="1152" w:header="1152"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BBD" w:rsidRDefault="00EA0BBD">
      <w:r>
        <w:separator/>
      </w:r>
    </w:p>
  </w:endnote>
  <w:endnote w:type="continuationSeparator" w:id="0">
    <w:p w:rsidR="00EA0BBD" w:rsidRDefault="00EA0BBD">
      <w:r>
        <w:continuationSeparator/>
      </w:r>
    </w:p>
  </w:endnote>
</w:endnotes>
</file>

<file path=word/fontTable.xml><?xml version="1.0" encoding="utf-8"?>
<w:fonts xmlns:r="http://schemas.openxmlformats.org/officeDocument/2006/relationships" xmlns:w="http://schemas.openxmlformats.org/wordprocessingml/2006/main">
  <w:font w:name="GoudyOlSt BT">
    <w:panose1 w:val="02020502050305020303"/>
    <w:charset w:val="00"/>
    <w:family w:val="roman"/>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Narrow">
    <w:panose1 w:val="00000000000000000000"/>
    <w:charset w:val="00"/>
    <w:family w:val="swiss"/>
    <w:notTrueType/>
    <w:pitch w:val="default"/>
    <w:sig w:usb0="00000003" w:usb1="00000000" w:usb2="00000000" w:usb3="00000000" w:csb0="00000001" w:csb1="00000000"/>
  </w:font>
  <w:font w:name="Kabel Bk BT">
    <w:altName w:val="Century Gothic"/>
    <w:panose1 w:val="020D04020202040209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imesNewRoman">
    <w:altName w:val="Times New Roman"/>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95" w:rsidRDefault="0097166F" w:rsidP="00D164B1">
    <w:pPr>
      <w:pStyle w:val="Footer"/>
      <w:framePr w:wrap="around" w:vAnchor="text" w:hAnchor="margin" w:xAlign="right" w:y="1"/>
      <w:rPr>
        <w:rStyle w:val="PageNumber"/>
      </w:rPr>
    </w:pPr>
    <w:r>
      <w:rPr>
        <w:rStyle w:val="PageNumber"/>
      </w:rPr>
      <w:fldChar w:fldCharType="begin"/>
    </w:r>
    <w:r w:rsidR="00F63E95">
      <w:rPr>
        <w:rStyle w:val="PageNumber"/>
      </w:rPr>
      <w:instrText xml:space="preserve">PAGE  </w:instrText>
    </w:r>
    <w:r>
      <w:rPr>
        <w:rStyle w:val="PageNumber"/>
      </w:rPr>
      <w:fldChar w:fldCharType="end"/>
    </w:r>
  </w:p>
  <w:p w:rsidR="00F63E95" w:rsidRDefault="00F63E95" w:rsidP="007E1A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95" w:rsidRPr="00A43FCF" w:rsidRDefault="0097166F" w:rsidP="00B34C80">
    <w:pPr>
      <w:pStyle w:val="Footer"/>
      <w:framePr w:wrap="around" w:vAnchor="text" w:hAnchor="margin" w:xAlign="right" w:y="1"/>
      <w:rPr>
        <w:rStyle w:val="PageNumber"/>
      </w:rPr>
    </w:pPr>
    <w:r w:rsidRPr="00A43FCF">
      <w:rPr>
        <w:rStyle w:val="PageNumber"/>
      </w:rPr>
      <w:fldChar w:fldCharType="begin"/>
    </w:r>
    <w:r w:rsidR="00F63E95" w:rsidRPr="00A43FCF">
      <w:rPr>
        <w:rStyle w:val="PageNumber"/>
      </w:rPr>
      <w:instrText xml:space="preserve">PAGE  </w:instrText>
    </w:r>
    <w:r w:rsidRPr="00A43FCF">
      <w:rPr>
        <w:rStyle w:val="PageNumber"/>
      </w:rPr>
      <w:fldChar w:fldCharType="separate"/>
    </w:r>
    <w:r w:rsidR="000C0A1A">
      <w:rPr>
        <w:rStyle w:val="PageNumber"/>
        <w:noProof/>
      </w:rPr>
      <w:t>8</w:t>
    </w:r>
    <w:r w:rsidRPr="00A43FCF">
      <w:rPr>
        <w:rStyle w:val="PageNumber"/>
      </w:rPr>
      <w:fldChar w:fldCharType="end"/>
    </w:r>
  </w:p>
  <w:p w:rsidR="00F63E95" w:rsidRPr="00A43FCF" w:rsidRDefault="00F63E95" w:rsidP="00B06697">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BBD" w:rsidRDefault="00EA0BBD">
      <w:r>
        <w:separator/>
      </w:r>
    </w:p>
  </w:footnote>
  <w:footnote w:type="continuationSeparator" w:id="0">
    <w:p w:rsidR="00EA0BBD" w:rsidRDefault="00EA0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CG Times"/>
        <w:sz w:val="24"/>
        <w:szCs w:val="24"/>
      </w:rPr>
    </w:lvl>
  </w:abstractNum>
  <w:abstractNum w:abstractNumId="1">
    <w:nsid w:val="00000002"/>
    <w:multiLevelType w:val="multilevel"/>
    <w:tmpl w:val="00000000"/>
    <w:name w:val="AutoList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64D64EB"/>
    <w:multiLevelType w:val="hybridMultilevel"/>
    <w:tmpl w:val="BCA81D72"/>
    <w:lvl w:ilvl="0" w:tplc="04090001">
      <w:start w:val="1"/>
      <w:numFmt w:val="bullet"/>
      <w:lvlText w:val=""/>
      <w:lvlJc w:val="left"/>
      <w:pPr>
        <w:tabs>
          <w:tab w:val="num" w:pos="1440"/>
        </w:tabs>
        <w:ind w:left="1440" w:hanging="360"/>
      </w:pPr>
      <w:rPr>
        <w:rFonts w:ascii="Symbol" w:hAnsi="Symbol" w:hint="default"/>
      </w:rPr>
    </w:lvl>
    <w:lvl w:ilvl="1" w:tplc="69B0F956">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C75DA4"/>
    <w:multiLevelType w:val="hybridMultilevel"/>
    <w:tmpl w:val="4EBE6116"/>
    <w:lvl w:ilvl="0" w:tplc="1136C392">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5A4DDA"/>
    <w:multiLevelType w:val="hybridMultilevel"/>
    <w:tmpl w:val="3DB6CEC2"/>
    <w:lvl w:ilvl="0" w:tplc="780842DC">
      <w:start w:val="1"/>
      <w:numFmt w:val="bullet"/>
      <w:lvlText w:val=""/>
      <w:lvlJc w:val="left"/>
      <w:pPr>
        <w:tabs>
          <w:tab w:val="num" w:pos="1440"/>
        </w:tabs>
        <w:ind w:left="1440" w:hanging="360"/>
      </w:pPr>
      <w:rPr>
        <w:rFonts w:ascii="Symbol" w:hAnsi="Symbol" w:hint="default"/>
        <w:color w:val="00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8E4227"/>
    <w:multiLevelType w:val="hybridMultilevel"/>
    <w:tmpl w:val="1A2689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DF239E6"/>
    <w:multiLevelType w:val="hybridMultilevel"/>
    <w:tmpl w:val="DEDEA17E"/>
    <w:lvl w:ilvl="0" w:tplc="81F28D80">
      <w:start w:val="4"/>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127E77"/>
    <w:multiLevelType w:val="hybridMultilevel"/>
    <w:tmpl w:val="CFE28C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BA19DE"/>
    <w:multiLevelType w:val="hybridMultilevel"/>
    <w:tmpl w:val="385A58B4"/>
    <w:lvl w:ilvl="0" w:tplc="99F25418">
      <w:start w:val="1"/>
      <w:numFmt w:val="bullet"/>
      <w:lvlText w:val=""/>
      <w:lvlJc w:val="left"/>
      <w:pPr>
        <w:tabs>
          <w:tab w:val="num" w:pos="990"/>
        </w:tabs>
        <w:ind w:left="990" w:hanging="360"/>
      </w:pPr>
      <w:rPr>
        <w:rFonts w:ascii="Symbol" w:hAnsi="Symbol" w:hint="default"/>
        <w:sz w:val="20"/>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nsid w:val="1ABF3F26"/>
    <w:multiLevelType w:val="hybridMultilevel"/>
    <w:tmpl w:val="AACA76BC"/>
    <w:lvl w:ilvl="0" w:tplc="04090001">
      <w:start w:val="1"/>
      <w:numFmt w:val="bullet"/>
      <w:lvlText w:val=""/>
      <w:lvlJc w:val="left"/>
      <w:pPr>
        <w:tabs>
          <w:tab w:val="num" w:pos="1440"/>
        </w:tabs>
        <w:ind w:left="1440" w:hanging="360"/>
      </w:pPr>
      <w:rPr>
        <w:rFonts w:ascii="Symbol" w:hAnsi="Symbol" w:hint="default"/>
      </w:rPr>
    </w:lvl>
    <w:lvl w:ilvl="1" w:tplc="58A4E492">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C8C64DD"/>
    <w:multiLevelType w:val="hybridMultilevel"/>
    <w:tmpl w:val="80B63C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CD0022"/>
    <w:multiLevelType w:val="hybridMultilevel"/>
    <w:tmpl w:val="73502F36"/>
    <w:lvl w:ilvl="0" w:tplc="9620BF88">
      <w:start w:val="11"/>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9955B8"/>
    <w:multiLevelType w:val="hybridMultilevel"/>
    <w:tmpl w:val="5F06C4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8DB261F"/>
    <w:multiLevelType w:val="multilevel"/>
    <w:tmpl w:val="47AC23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BE95711"/>
    <w:multiLevelType w:val="hybridMultilevel"/>
    <w:tmpl w:val="0492B3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C491E4B"/>
    <w:multiLevelType w:val="hybridMultilevel"/>
    <w:tmpl w:val="97180230"/>
    <w:lvl w:ilvl="0" w:tplc="A18AD71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04C0B63"/>
    <w:multiLevelType w:val="hybridMultilevel"/>
    <w:tmpl w:val="94B6AD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6116123"/>
    <w:multiLevelType w:val="hybridMultilevel"/>
    <w:tmpl w:val="DB9458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C606C"/>
    <w:multiLevelType w:val="hybridMultilevel"/>
    <w:tmpl w:val="B50E5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C28156C"/>
    <w:multiLevelType w:val="hybridMultilevel"/>
    <w:tmpl w:val="2FE24E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480054"/>
    <w:multiLevelType w:val="hybridMultilevel"/>
    <w:tmpl w:val="A208AB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2492580"/>
    <w:multiLevelType w:val="hybridMultilevel"/>
    <w:tmpl w:val="AC1AD7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BDC03D3"/>
    <w:multiLevelType w:val="hybridMultilevel"/>
    <w:tmpl w:val="7398F422"/>
    <w:lvl w:ilvl="0" w:tplc="512802C2">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B30B9D"/>
    <w:multiLevelType w:val="hybridMultilevel"/>
    <w:tmpl w:val="E7E03188"/>
    <w:lvl w:ilvl="0" w:tplc="6CC2CB62">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6">
    <w:nsid w:val="4F1C25FB"/>
    <w:multiLevelType w:val="multilevel"/>
    <w:tmpl w:val="825EE10C"/>
    <w:lvl w:ilvl="0">
      <w:start w:val="1"/>
      <w:numFmt w:val="bullet"/>
      <w:lvlText w:val=""/>
      <w:lvlJc w:val="left"/>
      <w:pPr>
        <w:tabs>
          <w:tab w:val="num" w:pos="1080"/>
        </w:tabs>
        <w:ind w:left="10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C3646E"/>
    <w:multiLevelType w:val="hybridMultilevel"/>
    <w:tmpl w:val="1C5EBF36"/>
    <w:lvl w:ilvl="0" w:tplc="0EA40E6C">
      <w:start w:val="12"/>
      <w:numFmt w:val="bullet"/>
      <w:pStyle w:val="bullet"/>
      <w:lvlText w:val=""/>
      <w:lvlJc w:val="left"/>
      <w:pPr>
        <w:tabs>
          <w:tab w:val="num" w:pos="1440"/>
        </w:tabs>
        <w:ind w:left="1440" w:hanging="72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3F102E9"/>
    <w:multiLevelType w:val="hybridMultilevel"/>
    <w:tmpl w:val="36746442"/>
    <w:lvl w:ilvl="0" w:tplc="F4C844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5C5416E"/>
    <w:multiLevelType w:val="hybridMultilevel"/>
    <w:tmpl w:val="1A7E9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96F4375"/>
    <w:multiLevelType w:val="hybridMultilevel"/>
    <w:tmpl w:val="2C88E8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B19199C"/>
    <w:multiLevelType w:val="hybridMultilevel"/>
    <w:tmpl w:val="4A74BA90"/>
    <w:lvl w:ilvl="0" w:tplc="04090001">
      <w:start w:val="1"/>
      <w:numFmt w:val="bullet"/>
      <w:lvlText w:val=""/>
      <w:lvlJc w:val="left"/>
      <w:pPr>
        <w:tabs>
          <w:tab w:val="num" w:pos="1440"/>
        </w:tabs>
        <w:ind w:left="1440" w:hanging="360"/>
      </w:pPr>
      <w:rPr>
        <w:rFonts w:ascii="Symbol" w:hAnsi="Symbol" w:hint="default"/>
      </w:rPr>
    </w:lvl>
    <w:lvl w:ilvl="1" w:tplc="58A4E492">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02B2359"/>
    <w:multiLevelType w:val="hybridMultilevel"/>
    <w:tmpl w:val="F280D882"/>
    <w:lvl w:ilvl="0" w:tplc="35DA4442">
      <w:start w:val="12"/>
      <w:numFmt w:val="bullet"/>
      <w:lvlText w:val=""/>
      <w:lvlJc w:val="left"/>
      <w:pPr>
        <w:tabs>
          <w:tab w:val="num" w:pos="1440"/>
        </w:tabs>
        <w:ind w:left="1440" w:hanging="720"/>
      </w:pPr>
      <w:rPr>
        <w:rFonts w:ascii="Symbol" w:eastAsia="Times New Roman" w:hAnsi="Symbol" w:hint="default"/>
      </w:rPr>
    </w:lvl>
    <w:lvl w:ilvl="1" w:tplc="90B870A6">
      <w:start w:val="1"/>
      <w:numFmt w:val="bullet"/>
      <w:pStyle w:val="2ndlevelbullet"/>
      <w:lvlText w:val=""/>
      <w:lvlJc w:val="left"/>
      <w:pPr>
        <w:tabs>
          <w:tab w:val="num" w:pos="2160"/>
        </w:tabs>
        <w:ind w:left="2160" w:hanging="72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712695C"/>
    <w:multiLevelType w:val="hybridMultilevel"/>
    <w:tmpl w:val="6BE6CA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DAF1A66"/>
    <w:multiLevelType w:val="hybridMultilevel"/>
    <w:tmpl w:val="C68EC4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4150F0E"/>
    <w:multiLevelType w:val="hybridMultilevel"/>
    <w:tmpl w:val="825EE10C"/>
    <w:lvl w:ilvl="0" w:tplc="4B1E1B80">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E01996"/>
    <w:multiLevelType w:val="hybridMultilevel"/>
    <w:tmpl w:val="A16C3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8518FD"/>
    <w:multiLevelType w:val="hybridMultilevel"/>
    <w:tmpl w:val="C27E0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14"/>
  </w:num>
  <w:num w:numId="4">
    <w:abstractNumId w:val="29"/>
  </w:num>
  <w:num w:numId="5">
    <w:abstractNumId w:val="6"/>
  </w:num>
  <w:num w:numId="6">
    <w:abstractNumId w:val="12"/>
  </w:num>
  <w:num w:numId="7">
    <w:abstractNumId w:val="19"/>
  </w:num>
  <w:num w:numId="8">
    <w:abstractNumId w:val="20"/>
  </w:num>
  <w:num w:numId="9">
    <w:abstractNumId w:val="30"/>
  </w:num>
  <w:num w:numId="10">
    <w:abstractNumId w:val="4"/>
  </w:num>
  <w:num w:numId="11">
    <w:abstractNumId w:val="18"/>
  </w:num>
  <w:num w:numId="12">
    <w:abstractNumId w:val="34"/>
  </w:num>
  <w:num w:numId="13">
    <w:abstractNumId w:val="11"/>
  </w:num>
  <w:num w:numId="14">
    <w:abstractNumId w:val="31"/>
  </w:num>
  <w:num w:numId="15">
    <w:abstractNumId w:val="24"/>
  </w:num>
  <w:num w:numId="16">
    <w:abstractNumId w:val="16"/>
  </w:num>
  <w:num w:numId="17">
    <w:abstractNumId w:val="23"/>
  </w:num>
  <w:num w:numId="18">
    <w:abstractNumId w:val="5"/>
  </w:num>
  <w:num w:numId="19">
    <w:abstractNumId w:val="8"/>
  </w:num>
  <w:num w:numId="20">
    <w:abstractNumId w:val="13"/>
  </w:num>
  <w:num w:numId="21">
    <w:abstractNumId w:val="36"/>
  </w:num>
  <w:num w:numId="22">
    <w:abstractNumId w:val="35"/>
  </w:num>
  <w:num w:numId="23">
    <w:abstractNumId w:val="28"/>
  </w:num>
  <w:num w:numId="24">
    <w:abstractNumId w:val="26"/>
  </w:num>
  <w:num w:numId="25">
    <w:abstractNumId w:val="10"/>
  </w:num>
  <w:num w:numId="26">
    <w:abstractNumId w:val="15"/>
  </w:num>
  <w:num w:numId="27">
    <w:abstractNumId w:val="17"/>
  </w:num>
  <w:num w:numId="28">
    <w:abstractNumId w:val="25"/>
  </w:num>
  <w:num w:numId="29">
    <w:abstractNumId w:val="9"/>
  </w:num>
  <w:num w:numId="30">
    <w:abstractNumId w:val="21"/>
  </w:num>
  <w:num w:numId="31">
    <w:abstractNumId w:val="37"/>
  </w:num>
  <w:num w:numId="32">
    <w:abstractNumId w:val="7"/>
  </w:num>
  <w:num w:numId="33">
    <w:abstractNumId w:val="33"/>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1F08"/>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773D27"/>
    <w:rsid w:val="00000532"/>
    <w:rsid w:val="00002C53"/>
    <w:rsid w:val="0000390E"/>
    <w:rsid w:val="000064A8"/>
    <w:rsid w:val="0000658D"/>
    <w:rsid w:val="000074F5"/>
    <w:rsid w:val="000125D1"/>
    <w:rsid w:val="00014704"/>
    <w:rsid w:val="00014FDB"/>
    <w:rsid w:val="00015E6F"/>
    <w:rsid w:val="00016B52"/>
    <w:rsid w:val="00021143"/>
    <w:rsid w:val="0002319E"/>
    <w:rsid w:val="00025D42"/>
    <w:rsid w:val="000261D8"/>
    <w:rsid w:val="00033A6D"/>
    <w:rsid w:val="00034E65"/>
    <w:rsid w:val="00044452"/>
    <w:rsid w:val="00045AB2"/>
    <w:rsid w:val="00052003"/>
    <w:rsid w:val="000521F8"/>
    <w:rsid w:val="00052829"/>
    <w:rsid w:val="00054B7C"/>
    <w:rsid w:val="0006152F"/>
    <w:rsid w:val="00062926"/>
    <w:rsid w:val="00063BE6"/>
    <w:rsid w:val="00066FC4"/>
    <w:rsid w:val="00072789"/>
    <w:rsid w:val="0007304C"/>
    <w:rsid w:val="0007377C"/>
    <w:rsid w:val="00073CFD"/>
    <w:rsid w:val="00075BE5"/>
    <w:rsid w:val="00077397"/>
    <w:rsid w:val="000801D0"/>
    <w:rsid w:val="00084C3B"/>
    <w:rsid w:val="00085C6B"/>
    <w:rsid w:val="00085DDD"/>
    <w:rsid w:val="00087B12"/>
    <w:rsid w:val="000910ED"/>
    <w:rsid w:val="0009214E"/>
    <w:rsid w:val="00092EA9"/>
    <w:rsid w:val="000932B1"/>
    <w:rsid w:val="00095041"/>
    <w:rsid w:val="000A0C0C"/>
    <w:rsid w:val="000A29A8"/>
    <w:rsid w:val="000A3852"/>
    <w:rsid w:val="000A3D4F"/>
    <w:rsid w:val="000A610D"/>
    <w:rsid w:val="000A7641"/>
    <w:rsid w:val="000B050F"/>
    <w:rsid w:val="000B0E49"/>
    <w:rsid w:val="000B1042"/>
    <w:rsid w:val="000B506D"/>
    <w:rsid w:val="000B52F4"/>
    <w:rsid w:val="000B6B5A"/>
    <w:rsid w:val="000B7552"/>
    <w:rsid w:val="000B75A2"/>
    <w:rsid w:val="000C0A1A"/>
    <w:rsid w:val="000C1E13"/>
    <w:rsid w:val="000C30AB"/>
    <w:rsid w:val="000C7F44"/>
    <w:rsid w:val="000D3A37"/>
    <w:rsid w:val="000D5B2F"/>
    <w:rsid w:val="000E4594"/>
    <w:rsid w:val="000E4C90"/>
    <w:rsid w:val="000E51B0"/>
    <w:rsid w:val="000E5A40"/>
    <w:rsid w:val="000E755D"/>
    <w:rsid w:val="00101F9A"/>
    <w:rsid w:val="0010255E"/>
    <w:rsid w:val="00105E9C"/>
    <w:rsid w:val="00112107"/>
    <w:rsid w:val="00115A78"/>
    <w:rsid w:val="001238D4"/>
    <w:rsid w:val="00123D0E"/>
    <w:rsid w:val="00131DC9"/>
    <w:rsid w:val="001330E6"/>
    <w:rsid w:val="001356AE"/>
    <w:rsid w:val="00141C5A"/>
    <w:rsid w:val="00144412"/>
    <w:rsid w:val="001455FF"/>
    <w:rsid w:val="001502A3"/>
    <w:rsid w:val="00153218"/>
    <w:rsid w:val="00157F5E"/>
    <w:rsid w:val="001615C3"/>
    <w:rsid w:val="00165A2C"/>
    <w:rsid w:val="00182B77"/>
    <w:rsid w:val="00183465"/>
    <w:rsid w:val="00183BD9"/>
    <w:rsid w:val="001842EC"/>
    <w:rsid w:val="00184EF6"/>
    <w:rsid w:val="00184F65"/>
    <w:rsid w:val="001859A0"/>
    <w:rsid w:val="0019029E"/>
    <w:rsid w:val="001A0642"/>
    <w:rsid w:val="001A1039"/>
    <w:rsid w:val="001A1192"/>
    <w:rsid w:val="001B182A"/>
    <w:rsid w:val="001B3FAE"/>
    <w:rsid w:val="001B66BB"/>
    <w:rsid w:val="001B6C0E"/>
    <w:rsid w:val="001C4B7E"/>
    <w:rsid w:val="001C558A"/>
    <w:rsid w:val="001C7301"/>
    <w:rsid w:val="001D0EB1"/>
    <w:rsid w:val="001D1147"/>
    <w:rsid w:val="001D7F29"/>
    <w:rsid w:val="001E00D3"/>
    <w:rsid w:val="001E10E8"/>
    <w:rsid w:val="001E52C5"/>
    <w:rsid w:val="001E6862"/>
    <w:rsid w:val="001E72A0"/>
    <w:rsid w:val="001E7314"/>
    <w:rsid w:val="001E7530"/>
    <w:rsid w:val="001F01D7"/>
    <w:rsid w:val="001F02DA"/>
    <w:rsid w:val="001F1EFC"/>
    <w:rsid w:val="001F3F3F"/>
    <w:rsid w:val="001F43DA"/>
    <w:rsid w:val="0020632F"/>
    <w:rsid w:val="00210898"/>
    <w:rsid w:val="00213C08"/>
    <w:rsid w:val="00217344"/>
    <w:rsid w:val="00221A2A"/>
    <w:rsid w:val="00222594"/>
    <w:rsid w:val="002227D4"/>
    <w:rsid w:val="002239AE"/>
    <w:rsid w:val="00223DF1"/>
    <w:rsid w:val="002273F1"/>
    <w:rsid w:val="00231ABD"/>
    <w:rsid w:val="00232E30"/>
    <w:rsid w:val="002340B5"/>
    <w:rsid w:val="0023565F"/>
    <w:rsid w:val="00235EB3"/>
    <w:rsid w:val="0023608B"/>
    <w:rsid w:val="002365FC"/>
    <w:rsid w:val="002378CB"/>
    <w:rsid w:val="00240A2F"/>
    <w:rsid w:val="00243B01"/>
    <w:rsid w:val="002454EB"/>
    <w:rsid w:val="00245628"/>
    <w:rsid w:val="002479A6"/>
    <w:rsid w:val="00247E1A"/>
    <w:rsid w:val="00254495"/>
    <w:rsid w:val="002547E0"/>
    <w:rsid w:val="00254AA5"/>
    <w:rsid w:val="00257A5E"/>
    <w:rsid w:val="00260827"/>
    <w:rsid w:val="002626DF"/>
    <w:rsid w:val="00262707"/>
    <w:rsid w:val="0026433F"/>
    <w:rsid w:val="0026575C"/>
    <w:rsid w:val="002657D4"/>
    <w:rsid w:val="00271D2E"/>
    <w:rsid w:val="002805C0"/>
    <w:rsid w:val="00283BF5"/>
    <w:rsid w:val="002856FA"/>
    <w:rsid w:val="00290F55"/>
    <w:rsid w:val="00291E82"/>
    <w:rsid w:val="00293562"/>
    <w:rsid w:val="00293955"/>
    <w:rsid w:val="002976D4"/>
    <w:rsid w:val="00297A55"/>
    <w:rsid w:val="002A08C5"/>
    <w:rsid w:val="002A1392"/>
    <w:rsid w:val="002A3136"/>
    <w:rsid w:val="002A5A0D"/>
    <w:rsid w:val="002A714A"/>
    <w:rsid w:val="002B0DEA"/>
    <w:rsid w:val="002B0DEE"/>
    <w:rsid w:val="002B3D60"/>
    <w:rsid w:val="002B469C"/>
    <w:rsid w:val="002C1339"/>
    <w:rsid w:val="002C4D25"/>
    <w:rsid w:val="002C5613"/>
    <w:rsid w:val="002C686A"/>
    <w:rsid w:val="002C7CD8"/>
    <w:rsid w:val="002C7F4E"/>
    <w:rsid w:val="002D3B94"/>
    <w:rsid w:val="002D501B"/>
    <w:rsid w:val="002D5B40"/>
    <w:rsid w:val="002D6008"/>
    <w:rsid w:val="002D606B"/>
    <w:rsid w:val="002D692E"/>
    <w:rsid w:val="002E46E8"/>
    <w:rsid w:val="002F2539"/>
    <w:rsid w:val="002F3425"/>
    <w:rsid w:val="002F517B"/>
    <w:rsid w:val="002F6C88"/>
    <w:rsid w:val="0030223A"/>
    <w:rsid w:val="00305150"/>
    <w:rsid w:val="0030621D"/>
    <w:rsid w:val="00307315"/>
    <w:rsid w:val="00311194"/>
    <w:rsid w:val="00312923"/>
    <w:rsid w:val="003129E6"/>
    <w:rsid w:val="0031302D"/>
    <w:rsid w:val="003139FC"/>
    <w:rsid w:val="003159E5"/>
    <w:rsid w:val="003218B5"/>
    <w:rsid w:val="00322804"/>
    <w:rsid w:val="00326857"/>
    <w:rsid w:val="00326DB3"/>
    <w:rsid w:val="00327566"/>
    <w:rsid w:val="00331FAF"/>
    <w:rsid w:val="003322A4"/>
    <w:rsid w:val="00333FA2"/>
    <w:rsid w:val="00336847"/>
    <w:rsid w:val="0033724B"/>
    <w:rsid w:val="00340393"/>
    <w:rsid w:val="0034182B"/>
    <w:rsid w:val="003431D4"/>
    <w:rsid w:val="00345C8F"/>
    <w:rsid w:val="00350846"/>
    <w:rsid w:val="00351145"/>
    <w:rsid w:val="00353887"/>
    <w:rsid w:val="003547C1"/>
    <w:rsid w:val="003560B4"/>
    <w:rsid w:val="003617F8"/>
    <w:rsid w:val="00374DC9"/>
    <w:rsid w:val="0037768B"/>
    <w:rsid w:val="00380B80"/>
    <w:rsid w:val="00381094"/>
    <w:rsid w:val="0038195D"/>
    <w:rsid w:val="003836F2"/>
    <w:rsid w:val="00392C2C"/>
    <w:rsid w:val="00395362"/>
    <w:rsid w:val="003A092B"/>
    <w:rsid w:val="003A1264"/>
    <w:rsid w:val="003A37B0"/>
    <w:rsid w:val="003A549C"/>
    <w:rsid w:val="003A66ED"/>
    <w:rsid w:val="003B12EB"/>
    <w:rsid w:val="003B41AE"/>
    <w:rsid w:val="003B5AB5"/>
    <w:rsid w:val="003C252D"/>
    <w:rsid w:val="003C722B"/>
    <w:rsid w:val="003D1523"/>
    <w:rsid w:val="003D158D"/>
    <w:rsid w:val="003D7850"/>
    <w:rsid w:val="003E1A48"/>
    <w:rsid w:val="003E35AE"/>
    <w:rsid w:val="003E4AA8"/>
    <w:rsid w:val="003E6E32"/>
    <w:rsid w:val="003F1C9E"/>
    <w:rsid w:val="003F458B"/>
    <w:rsid w:val="003F649B"/>
    <w:rsid w:val="00401ED5"/>
    <w:rsid w:val="00404C45"/>
    <w:rsid w:val="0041054B"/>
    <w:rsid w:val="00411B07"/>
    <w:rsid w:val="00413CD4"/>
    <w:rsid w:val="00420183"/>
    <w:rsid w:val="00420D1D"/>
    <w:rsid w:val="00423FE3"/>
    <w:rsid w:val="00427331"/>
    <w:rsid w:val="0043526F"/>
    <w:rsid w:val="00435373"/>
    <w:rsid w:val="00435EDD"/>
    <w:rsid w:val="004409AD"/>
    <w:rsid w:val="00442939"/>
    <w:rsid w:val="00445226"/>
    <w:rsid w:val="004454B2"/>
    <w:rsid w:val="00445D88"/>
    <w:rsid w:val="004475DD"/>
    <w:rsid w:val="0044786D"/>
    <w:rsid w:val="00453710"/>
    <w:rsid w:val="00454DFE"/>
    <w:rsid w:val="00456E7D"/>
    <w:rsid w:val="00460E5E"/>
    <w:rsid w:val="00460F9A"/>
    <w:rsid w:val="00463EB4"/>
    <w:rsid w:val="004668DD"/>
    <w:rsid w:val="00466A63"/>
    <w:rsid w:val="00471AA4"/>
    <w:rsid w:val="00472C69"/>
    <w:rsid w:val="00473D06"/>
    <w:rsid w:val="0047492D"/>
    <w:rsid w:val="0047730B"/>
    <w:rsid w:val="00491292"/>
    <w:rsid w:val="00491337"/>
    <w:rsid w:val="00496A2F"/>
    <w:rsid w:val="00497176"/>
    <w:rsid w:val="004A1515"/>
    <w:rsid w:val="004A162C"/>
    <w:rsid w:val="004A25CA"/>
    <w:rsid w:val="004A55C9"/>
    <w:rsid w:val="004B22DB"/>
    <w:rsid w:val="004B5110"/>
    <w:rsid w:val="004B68FD"/>
    <w:rsid w:val="004C1F8E"/>
    <w:rsid w:val="004C3B60"/>
    <w:rsid w:val="004D0CEA"/>
    <w:rsid w:val="004D5951"/>
    <w:rsid w:val="004E154D"/>
    <w:rsid w:val="004E1A6D"/>
    <w:rsid w:val="004E35E0"/>
    <w:rsid w:val="004E364A"/>
    <w:rsid w:val="004E442F"/>
    <w:rsid w:val="004E4E15"/>
    <w:rsid w:val="004F07F6"/>
    <w:rsid w:val="004F2566"/>
    <w:rsid w:val="004F2AB5"/>
    <w:rsid w:val="00500991"/>
    <w:rsid w:val="00502543"/>
    <w:rsid w:val="00502D54"/>
    <w:rsid w:val="005034D1"/>
    <w:rsid w:val="005040E2"/>
    <w:rsid w:val="00504304"/>
    <w:rsid w:val="00507FF8"/>
    <w:rsid w:val="00512397"/>
    <w:rsid w:val="005129ED"/>
    <w:rsid w:val="00520CFD"/>
    <w:rsid w:val="00522757"/>
    <w:rsid w:val="00526511"/>
    <w:rsid w:val="00526C39"/>
    <w:rsid w:val="00527AF6"/>
    <w:rsid w:val="00530A68"/>
    <w:rsid w:val="00533AAD"/>
    <w:rsid w:val="00533B42"/>
    <w:rsid w:val="00536A7A"/>
    <w:rsid w:val="00536BD1"/>
    <w:rsid w:val="00540E27"/>
    <w:rsid w:val="0054468C"/>
    <w:rsid w:val="0054640D"/>
    <w:rsid w:val="00546930"/>
    <w:rsid w:val="005476E3"/>
    <w:rsid w:val="0055201C"/>
    <w:rsid w:val="0055264F"/>
    <w:rsid w:val="00552D79"/>
    <w:rsid w:val="00552FD5"/>
    <w:rsid w:val="00553895"/>
    <w:rsid w:val="005557AB"/>
    <w:rsid w:val="00556DF2"/>
    <w:rsid w:val="005610F2"/>
    <w:rsid w:val="005656E1"/>
    <w:rsid w:val="005658E7"/>
    <w:rsid w:val="00570604"/>
    <w:rsid w:val="00570C78"/>
    <w:rsid w:val="00572C6D"/>
    <w:rsid w:val="00574455"/>
    <w:rsid w:val="005750B4"/>
    <w:rsid w:val="00575D8A"/>
    <w:rsid w:val="0058064E"/>
    <w:rsid w:val="00582670"/>
    <w:rsid w:val="00584312"/>
    <w:rsid w:val="00585313"/>
    <w:rsid w:val="00586283"/>
    <w:rsid w:val="00592A6A"/>
    <w:rsid w:val="00596500"/>
    <w:rsid w:val="005A01F7"/>
    <w:rsid w:val="005A0544"/>
    <w:rsid w:val="005A37B0"/>
    <w:rsid w:val="005A6A79"/>
    <w:rsid w:val="005A73A8"/>
    <w:rsid w:val="005B0079"/>
    <w:rsid w:val="005B4442"/>
    <w:rsid w:val="005B4B1B"/>
    <w:rsid w:val="005C26CB"/>
    <w:rsid w:val="005D0E42"/>
    <w:rsid w:val="005D2D23"/>
    <w:rsid w:val="005D2F14"/>
    <w:rsid w:val="005E4BDE"/>
    <w:rsid w:val="005E514C"/>
    <w:rsid w:val="005E71F7"/>
    <w:rsid w:val="005F342E"/>
    <w:rsid w:val="005F61F4"/>
    <w:rsid w:val="005F63C0"/>
    <w:rsid w:val="006000FC"/>
    <w:rsid w:val="00601581"/>
    <w:rsid w:val="006028EB"/>
    <w:rsid w:val="00607F2D"/>
    <w:rsid w:val="0061156B"/>
    <w:rsid w:val="00613C3A"/>
    <w:rsid w:val="00614A66"/>
    <w:rsid w:val="0062441D"/>
    <w:rsid w:val="00624FCC"/>
    <w:rsid w:val="006252F1"/>
    <w:rsid w:val="00626C88"/>
    <w:rsid w:val="00631EF7"/>
    <w:rsid w:val="00635329"/>
    <w:rsid w:val="00637C96"/>
    <w:rsid w:val="006403B3"/>
    <w:rsid w:val="00640567"/>
    <w:rsid w:val="00641829"/>
    <w:rsid w:val="006520DA"/>
    <w:rsid w:val="00652A96"/>
    <w:rsid w:val="00653051"/>
    <w:rsid w:val="00654510"/>
    <w:rsid w:val="006642DE"/>
    <w:rsid w:val="006675B4"/>
    <w:rsid w:val="00667E26"/>
    <w:rsid w:val="0067065A"/>
    <w:rsid w:val="0067329A"/>
    <w:rsid w:val="00673818"/>
    <w:rsid w:val="00673A96"/>
    <w:rsid w:val="0067527B"/>
    <w:rsid w:val="00675CB6"/>
    <w:rsid w:val="00675DFE"/>
    <w:rsid w:val="00680CDE"/>
    <w:rsid w:val="0068199D"/>
    <w:rsid w:val="00681BA7"/>
    <w:rsid w:val="006821E1"/>
    <w:rsid w:val="00682AC8"/>
    <w:rsid w:val="0069076C"/>
    <w:rsid w:val="00693169"/>
    <w:rsid w:val="00693D84"/>
    <w:rsid w:val="006978B1"/>
    <w:rsid w:val="006B2AA4"/>
    <w:rsid w:val="006B529F"/>
    <w:rsid w:val="006B5465"/>
    <w:rsid w:val="006B6927"/>
    <w:rsid w:val="006C4BD5"/>
    <w:rsid w:val="006C595B"/>
    <w:rsid w:val="006D4BCF"/>
    <w:rsid w:val="006E5AFA"/>
    <w:rsid w:val="006F258A"/>
    <w:rsid w:val="006F4DA2"/>
    <w:rsid w:val="006F6C7D"/>
    <w:rsid w:val="006F6DF9"/>
    <w:rsid w:val="00701C61"/>
    <w:rsid w:val="007031DC"/>
    <w:rsid w:val="00704EEE"/>
    <w:rsid w:val="00707939"/>
    <w:rsid w:val="00712724"/>
    <w:rsid w:val="0071550D"/>
    <w:rsid w:val="007221F0"/>
    <w:rsid w:val="00722627"/>
    <w:rsid w:val="007243EA"/>
    <w:rsid w:val="00724641"/>
    <w:rsid w:val="007247B4"/>
    <w:rsid w:val="00731F39"/>
    <w:rsid w:val="007326B1"/>
    <w:rsid w:val="00740A9D"/>
    <w:rsid w:val="00743978"/>
    <w:rsid w:val="0074786A"/>
    <w:rsid w:val="00751A0A"/>
    <w:rsid w:val="0076036A"/>
    <w:rsid w:val="00762ED8"/>
    <w:rsid w:val="0076747F"/>
    <w:rsid w:val="00771590"/>
    <w:rsid w:val="00771C85"/>
    <w:rsid w:val="00773D27"/>
    <w:rsid w:val="00774774"/>
    <w:rsid w:val="00774C24"/>
    <w:rsid w:val="0078079D"/>
    <w:rsid w:val="0078278B"/>
    <w:rsid w:val="007832CF"/>
    <w:rsid w:val="00785517"/>
    <w:rsid w:val="00785F35"/>
    <w:rsid w:val="00793415"/>
    <w:rsid w:val="00793A3B"/>
    <w:rsid w:val="00794DE1"/>
    <w:rsid w:val="007969E5"/>
    <w:rsid w:val="00797D53"/>
    <w:rsid w:val="007A044E"/>
    <w:rsid w:val="007A2C50"/>
    <w:rsid w:val="007A5BD8"/>
    <w:rsid w:val="007A65FC"/>
    <w:rsid w:val="007B0C33"/>
    <w:rsid w:val="007B29AF"/>
    <w:rsid w:val="007B6232"/>
    <w:rsid w:val="007C5090"/>
    <w:rsid w:val="007C708E"/>
    <w:rsid w:val="007D08CE"/>
    <w:rsid w:val="007D22F7"/>
    <w:rsid w:val="007D309C"/>
    <w:rsid w:val="007D5A4C"/>
    <w:rsid w:val="007D6903"/>
    <w:rsid w:val="007E1AB2"/>
    <w:rsid w:val="007E3BA8"/>
    <w:rsid w:val="007E6D95"/>
    <w:rsid w:val="007F0B7C"/>
    <w:rsid w:val="007F561B"/>
    <w:rsid w:val="007F611C"/>
    <w:rsid w:val="00803AD1"/>
    <w:rsid w:val="0080465A"/>
    <w:rsid w:val="00804C2E"/>
    <w:rsid w:val="00807383"/>
    <w:rsid w:val="008105F8"/>
    <w:rsid w:val="00813128"/>
    <w:rsid w:val="008136E0"/>
    <w:rsid w:val="00814E13"/>
    <w:rsid w:val="00815DE8"/>
    <w:rsid w:val="00817181"/>
    <w:rsid w:val="008210D8"/>
    <w:rsid w:val="00821683"/>
    <w:rsid w:val="00821AB2"/>
    <w:rsid w:val="00822601"/>
    <w:rsid w:val="008269A4"/>
    <w:rsid w:val="00827B3A"/>
    <w:rsid w:val="00830A77"/>
    <w:rsid w:val="0083336C"/>
    <w:rsid w:val="00834A06"/>
    <w:rsid w:val="00835512"/>
    <w:rsid w:val="00842B61"/>
    <w:rsid w:val="00843A2C"/>
    <w:rsid w:val="0084549D"/>
    <w:rsid w:val="00847B6C"/>
    <w:rsid w:val="00852147"/>
    <w:rsid w:val="00856617"/>
    <w:rsid w:val="00857C63"/>
    <w:rsid w:val="00860D79"/>
    <w:rsid w:val="00860E98"/>
    <w:rsid w:val="00861C46"/>
    <w:rsid w:val="00862387"/>
    <w:rsid w:val="008638F8"/>
    <w:rsid w:val="00865E12"/>
    <w:rsid w:val="00866630"/>
    <w:rsid w:val="00867554"/>
    <w:rsid w:val="0087038B"/>
    <w:rsid w:val="00870885"/>
    <w:rsid w:val="00871218"/>
    <w:rsid w:val="00876EA5"/>
    <w:rsid w:val="008909D6"/>
    <w:rsid w:val="00891EB2"/>
    <w:rsid w:val="008935C8"/>
    <w:rsid w:val="00894BC0"/>
    <w:rsid w:val="00894DE4"/>
    <w:rsid w:val="00895C57"/>
    <w:rsid w:val="00896E88"/>
    <w:rsid w:val="008A2418"/>
    <w:rsid w:val="008A2A27"/>
    <w:rsid w:val="008A4593"/>
    <w:rsid w:val="008A5180"/>
    <w:rsid w:val="008B0D62"/>
    <w:rsid w:val="008B63CE"/>
    <w:rsid w:val="008B6833"/>
    <w:rsid w:val="008C11E7"/>
    <w:rsid w:val="008C2A17"/>
    <w:rsid w:val="008C3C7C"/>
    <w:rsid w:val="008C3DD3"/>
    <w:rsid w:val="008C45A2"/>
    <w:rsid w:val="008D0683"/>
    <w:rsid w:val="008D32F9"/>
    <w:rsid w:val="008D3AE5"/>
    <w:rsid w:val="008D447F"/>
    <w:rsid w:val="008D4B2C"/>
    <w:rsid w:val="008D526D"/>
    <w:rsid w:val="008E05A0"/>
    <w:rsid w:val="008E0693"/>
    <w:rsid w:val="008E14CA"/>
    <w:rsid w:val="008E45E7"/>
    <w:rsid w:val="008E5A7B"/>
    <w:rsid w:val="008F1A29"/>
    <w:rsid w:val="009025E4"/>
    <w:rsid w:val="00904905"/>
    <w:rsid w:val="00906997"/>
    <w:rsid w:val="009108D8"/>
    <w:rsid w:val="009119B0"/>
    <w:rsid w:val="009126AE"/>
    <w:rsid w:val="00912F2B"/>
    <w:rsid w:val="00913D95"/>
    <w:rsid w:val="00914BA2"/>
    <w:rsid w:val="0091558D"/>
    <w:rsid w:val="00915B54"/>
    <w:rsid w:val="009203D1"/>
    <w:rsid w:val="009232AE"/>
    <w:rsid w:val="00924A1D"/>
    <w:rsid w:val="00924C21"/>
    <w:rsid w:val="00924C23"/>
    <w:rsid w:val="0092517C"/>
    <w:rsid w:val="00925231"/>
    <w:rsid w:val="009256EF"/>
    <w:rsid w:val="009312B8"/>
    <w:rsid w:val="009331A3"/>
    <w:rsid w:val="00941D29"/>
    <w:rsid w:val="0094211C"/>
    <w:rsid w:val="00950EC5"/>
    <w:rsid w:val="00953177"/>
    <w:rsid w:val="009532D9"/>
    <w:rsid w:val="0095490E"/>
    <w:rsid w:val="00955DBB"/>
    <w:rsid w:val="0095701C"/>
    <w:rsid w:val="00964077"/>
    <w:rsid w:val="00964546"/>
    <w:rsid w:val="00964FF2"/>
    <w:rsid w:val="0097166F"/>
    <w:rsid w:val="0097519C"/>
    <w:rsid w:val="00975937"/>
    <w:rsid w:val="00975EF0"/>
    <w:rsid w:val="009763D1"/>
    <w:rsid w:val="009835C8"/>
    <w:rsid w:val="00983EB7"/>
    <w:rsid w:val="009849C9"/>
    <w:rsid w:val="00984D39"/>
    <w:rsid w:val="00984E81"/>
    <w:rsid w:val="00991301"/>
    <w:rsid w:val="0099376F"/>
    <w:rsid w:val="00997436"/>
    <w:rsid w:val="009A2592"/>
    <w:rsid w:val="009A44CE"/>
    <w:rsid w:val="009A4FE0"/>
    <w:rsid w:val="009A7027"/>
    <w:rsid w:val="009A7596"/>
    <w:rsid w:val="009B2BCE"/>
    <w:rsid w:val="009B70A0"/>
    <w:rsid w:val="009C0C46"/>
    <w:rsid w:val="009C14C4"/>
    <w:rsid w:val="009C3DE7"/>
    <w:rsid w:val="009C615B"/>
    <w:rsid w:val="009C7219"/>
    <w:rsid w:val="009C7A56"/>
    <w:rsid w:val="009D1684"/>
    <w:rsid w:val="009D1C10"/>
    <w:rsid w:val="009D397C"/>
    <w:rsid w:val="009D3B25"/>
    <w:rsid w:val="009D7188"/>
    <w:rsid w:val="009E21B3"/>
    <w:rsid w:val="009E3570"/>
    <w:rsid w:val="009F2D51"/>
    <w:rsid w:val="009F47B7"/>
    <w:rsid w:val="009F7FF2"/>
    <w:rsid w:val="00A002DA"/>
    <w:rsid w:val="00A00AB3"/>
    <w:rsid w:val="00A02D3E"/>
    <w:rsid w:val="00A03CB1"/>
    <w:rsid w:val="00A05DD1"/>
    <w:rsid w:val="00A07E5D"/>
    <w:rsid w:val="00A1003D"/>
    <w:rsid w:val="00A11A5E"/>
    <w:rsid w:val="00A17C47"/>
    <w:rsid w:val="00A21E60"/>
    <w:rsid w:val="00A240B2"/>
    <w:rsid w:val="00A24F48"/>
    <w:rsid w:val="00A2639D"/>
    <w:rsid w:val="00A309B3"/>
    <w:rsid w:val="00A340B9"/>
    <w:rsid w:val="00A36E3A"/>
    <w:rsid w:val="00A40387"/>
    <w:rsid w:val="00A40A26"/>
    <w:rsid w:val="00A42E54"/>
    <w:rsid w:val="00A43FCF"/>
    <w:rsid w:val="00A469C5"/>
    <w:rsid w:val="00A5203B"/>
    <w:rsid w:val="00A52D68"/>
    <w:rsid w:val="00A54474"/>
    <w:rsid w:val="00A54F3F"/>
    <w:rsid w:val="00A55F9F"/>
    <w:rsid w:val="00A56B8C"/>
    <w:rsid w:val="00A63980"/>
    <w:rsid w:val="00A659EC"/>
    <w:rsid w:val="00A65F3B"/>
    <w:rsid w:val="00A75873"/>
    <w:rsid w:val="00A77D57"/>
    <w:rsid w:val="00A77E7C"/>
    <w:rsid w:val="00A8177C"/>
    <w:rsid w:val="00A93C7A"/>
    <w:rsid w:val="00A95F3A"/>
    <w:rsid w:val="00AA7EA6"/>
    <w:rsid w:val="00AB0F02"/>
    <w:rsid w:val="00AC1BD2"/>
    <w:rsid w:val="00AC3CDD"/>
    <w:rsid w:val="00AC4161"/>
    <w:rsid w:val="00AC6880"/>
    <w:rsid w:val="00AC6994"/>
    <w:rsid w:val="00AC76B8"/>
    <w:rsid w:val="00AD0E8F"/>
    <w:rsid w:val="00AD20E6"/>
    <w:rsid w:val="00AD2EE9"/>
    <w:rsid w:val="00AD5874"/>
    <w:rsid w:val="00AD5F87"/>
    <w:rsid w:val="00AD68BF"/>
    <w:rsid w:val="00AD7E14"/>
    <w:rsid w:val="00AE44EE"/>
    <w:rsid w:val="00AE60B2"/>
    <w:rsid w:val="00AE6341"/>
    <w:rsid w:val="00AE6934"/>
    <w:rsid w:val="00B02500"/>
    <w:rsid w:val="00B025D2"/>
    <w:rsid w:val="00B05D10"/>
    <w:rsid w:val="00B0662A"/>
    <w:rsid w:val="00B06697"/>
    <w:rsid w:val="00B121E0"/>
    <w:rsid w:val="00B12F09"/>
    <w:rsid w:val="00B1520F"/>
    <w:rsid w:val="00B17E74"/>
    <w:rsid w:val="00B200FA"/>
    <w:rsid w:val="00B309CE"/>
    <w:rsid w:val="00B34663"/>
    <w:rsid w:val="00B34C80"/>
    <w:rsid w:val="00B36974"/>
    <w:rsid w:val="00B40700"/>
    <w:rsid w:val="00B41E88"/>
    <w:rsid w:val="00B427ED"/>
    <w:rsid w:val="00B43100"/>
    <w:rsid w:val="00B43DCD"/>
    <w:rsid w:val="00B476FF"/>
    <w:rsid w:val="00B512EF"/>
    <w:rsid w:val="00B51D9B"/>
    <w:rsid w:val="00B54558"/>
    <w:rsid w:val="00B61E8E"/>
    <w:rsid w:val="00B62AF5"/>
    <w:rsid w:val="00B632DB"/>
    <w:rsid w:val="00B63727"/>
    <w:rsid w:val="00B637AB"/>
    <w:rsid w:val="00B6534F"/>
    <w:rsid w:val="00B654CA"/>
    <w:rsid w:val="00B73AEF"/>
    <w:rsid w:val="00B74B9D"/>
    <w:rsid w:val="00B75D2E"/>
    <w:rsid w:val="00B76F8F"/>
    <w:rsid w:val="00B77339"/>
    <w:rsid w:val="00B81D9F"/>
    <w:rsid w:val="00B82CEB"/>
    <w:rsid w:val="00B913EA"/>
    <w:rsid w:val="00B916D1"/>
    <w:rsid w:val="00B97225"/>
    <w:rsid w:val="00B97D6D"/>
    <w:rsid w:val="00B97F25"/>
    <w:rsid w:val="00BA0037"/>
    <w:rsid w:val="00BA0D97"/>
    <w:rsid w:val="00BA6D7C"/>
    <w:rsid w:val="00BA75D5"/>
    <w:rsid w:val="00BB03BF"/>
    <w:rsid w:val="00BB11FB"/>
    <w:rsid w:val="00BB2139"/>
    <w:rsid w:val="00BB38DB"/>
    <w:rsid w:val="00BB6AF9"/>
    <w:rsid w:val="00BC12F1"/>
    <w:rsid w:val="00BC3A01"/>
    <w:rsid w:val="00BC56C7"/>
    <w:rsid w:val="00BC7213"/>
    <w:rsid w:val="00BD2788"/>
    <w:rsid w:val="00BD5BDA"/>
    <w:rsid w:val="00BD68D0"/>
    <w:rsid w:val="00BE68B9"/>
    <w:rsid w:val="00BE74EB"/>
    <w:rsid w:val="00BE7E7A"/>
    <w:rsid w:val="00BF0EAF"/>
    <w:rsid w:val="00BF3B33"/>
    <w:rsid w:val="00BF4B8B"/>
    <w:rsid w:val="00C02B3D"/>
    <w:rsid w:val="00C04DF3"/>
    <w:rsid w:val="00C05544"/>
    <w:rsid w:val="00C074C5"/>
    <w:rsid w:val="00C10AFE"/>
    <w:rsid w:val="00C13A11"/>
    <w:rsid w:val="00C23973"/>
    <w:rsid w:val="00C31612"/>
    <w:rsid w:val="00C33D89"/>
    <w:rsid w:val="00C36DB9"/>
    <w:rsid w:val="00C426DE"/>
    <w:rsid w:val="00C42FBF"/>
    <w:rsid w:val="00C474C6"/>
    <w:rsid w:val="00C52A0C"/>
    <w:rsid w:val="00C52C34"/>
    <w:rsid w:val="00C56C6F"/>
    <w:rsid w:val="00C57983"/>
    <w:rsid w:val="00C6131B"/>
    <w:rsid w:val="00C67423"/>
    <w:rsid w:val="00C67C56"/>
    <w:rsid w:val="00C70128"/>
    <w:rsid w:val="00C70F15"/>
    <w:rsid w:val="00C728B7"/>
    <w:rsid w:val="00C72F36"/>
    <w:rsid w:val="00C7533C"/>
    <w:rsid w:val="00C80BCA"/>
    <w:rsid w:val="00C848C0"/>
    <w:rsid w:val="00C856C8"/>
    <w:rsid w:val="00C85FE8"/>
    <w:rsid w:val="00C860D0"/>
    <w:rsid w:val="00C87CEE"/>
    <w:rsid w:val="00C87FFD"/>
    <w:rsid w:val="00C918EF"/>
    <w:rsid w:val="00C92A89"/>
    <w:rsid w:val="00C945BD"/>
    <w:rsid w:val="00C9481A"/>
    <w:rsid w:val="00C94A6D"/>
    <w:rsid w:val="00C9558A"/>
    <w:rsid w:val="00C9574C"/>
    <w:rsid w:val="00C96706"/>
    <w:rsid w:val="00CA28CB"/>
    <w:rsid w:val="00CA2FA9"/>
    <w:rsid w:val="00CA42E6"/>
    <w:rsid w:val="00CA5C00"/>
    <w:rsid w:val="00CA7970"/>
    <w:rsid w:val="00CB311A"/>
    <w:rsid w:val="00CC0811"/>
    <w:rsid w:val="00CC43A2"/>
    <w:rsid w:val="00CC6ACC"/>
    <w:rsid w:val="00CC7815"/>
    <w:rsid w:val="00CD0282"/>
    <w:rsid w:val="00CD255C"/>
    <w:rsid w:val="00CE569D"/>
    <w:rsid w:val="00CF0FF1"/>
    <w:rsid w:val="00CF11B6"/>
    <w:rsid w:val="00CF1448"/>
    <w:rsid w:val="00CF34D0"/>
    <w:rsid w:val="00CF4256"/>
    <w:rsid w:val="00CF73BC"/>
    <w:rsid w:val="00D022FA"/>
    <w:rsid w:val="00D04A98"/>
    <w:rsid w:val="00D04D1C"/>
    <w:rsid w:val="00D1009C"/>
    <w:rsid w:val="00D1032B"/>
    <w:rsid w:val="00D13AC2"/>
    <w:rsid w:val="00D15CA5"/>
    <w:rsid w:val="00D164B1"/>
    <w:rsid w:val="00D22449"/>
    <w:rsid w:val="00D224CA"/>
    <w:rsid w:val="00D3115C"/>
    <w:rsid w:val="00D316EA"/>
    <w:rsid w:val="00D32E37"/>
    <w:rsid w:val="00D339D8"/>
    <w:rsid w:val="00D365CA"/>
    <w:rsid w:val="00D376A9"/>
    <w:rsid w:val="00D53C17"/>
    <w:rsid w:val="00D541A5"/>
    <w:rsid w:val="00D56CB9"/>
    <w:rsid w:val="00D61167"/>
    <w:rsid w:val="00D6141F"/>
    <w:rsid w:val="00D630F7"/>
    <w:rsid w:val="00D63FAB"/>
    <w:rsid w:val="00D650C4"/>
    <w:rsid w:val="00D72EA2"/>
    <w:rsid w:val="00D753A3"/>
    <w:rsid w:val="00D774D4"/>
    <w:rsid w:val="00D83537"/>
    <w:rsid w:val="00D845F6"/>
    <w:rsid w:val="00D84F82"/>
    <w:rsid w:val="00D85279"/>
    <w:rsid w:val="00D90BF3"/>
    <w:rsid w:val="00D90C5A"/>
    <w:rsid w:val="00D90EA1"/>
    <w:rsid w:val="00D921CE"/>
    <w:rsid w:val="00D92996"/>
    <w:rsid w:val="00D9378C"/>
    <w:rsid w:val="00DA030B"/>
    <w:rsid w:val="00DA19AF"/>
    <w:rsid w:val="00DA1E9C"/>
    <w:rsid w:val="00DA261F"/>
    <w:rsid w:val="00DA6B43"/>
    <w:rsid w:val="00DA74FE"/>
    <w:rsid w:val="00DB1232"/>
    <w:rsid w:val="00DB7075"/>
    <w:rsid w:val="00DB7A3C"/>
    <w:rsid w:val="00DC13E8"/>
    <w:rsid w:val="00DC7CAA"/>
    <w:rsid w:val="00DD1783"/>
    <w:rsid w:val="00DD2410"/>
    <w:rsid w:val="00DD3118"/>
    <w:rsid w:val="00DD4068"/>
    <w:rsid w:val="00DD4B6B"/>
    <w:rsid w:val="00DD5005"/>
    <w:rsid w:val="00DD57FF"/>
    <w:rsid w:val="00DE2D33"/>
    <w:rsid w:val="00DE3AC5"/>
    <w:rsid w:val="00DE4B9E"/>
    <w:rsid w:val="00DE6475"/>
    <w:rsid w:val="00DF1485"/>
    <w:rsid w:val="00DF6B17"/>
    <w:rsid w:val="00DF7BD7"/>
    <w:rsid w:val="00E001EB"/>
    <w:rsid w:val="00E012DD"/>
    <w:rsid w:val="00E116CE"/>
    <w:rsid w:val="00E12D2D"/>
    <w:rsid w:val="00E12F4A"/>
    <w:rsid w:val="00E179D1"/>
    <w:rsid w:val="00E216CE"/>
    <w:rsid w:val="00E24320"/>
    <w:rsid w:val="00E24EDC"/>
    <w:rsid w:val="00E26638"/>
    <w:rsid w:val="00E26F78"/>
    <w:rsid w:val="00E27287"/>
    <w:rsid w:val="00E277A6"/>
    <w:rsid w:val="00E30073"/>
    <w:rsid w:val="00E35D8A"/>
    <w:rsid w:val="00E43E3C"/>
    <w:rsid w:val="00E47684"/>
    <w:rsid w:val="00E47928"/>
    <w:rsid w:val="00E51C14"/>
    <w:rsid w:val="00E54AF5"/>
    <w:rsid w:val="00E54BB8"/>
    <w:rsid w:val="00E54DAD"/>
    <w:rsid w:val="00E56C07"/>
    <w:rsid w:val="00E57272"/>
    <w:rsid w:val="00E57AAB"/>
    <w:rsid w:val="00E57BC2"/>
    <w:rsid w:val="00E60402"/>
    <w:rsid w:val="00E622C3"/>
    <w:rsid w:val="00E63C74"/>
    <w:rsid w:val="00E63FFD"/>
    <w:rsid w:val="00E67CD4"/>
    <w:rsid w:val="00E70123"/>
    <w:rsid w:val="00E72A4A"/>
    <w:rsid w:val="00E75085"/>
    <w:rsid w:val="00E75EED"/>
    <w:rsid w:val="00E76DC4"/>
    <w:rsid w:val="00E804BC"/>
    <w:rsid w:val="00E83891"/>
    <w:rsid w:val="00E83DEB"/>
    <w:rsid w:val="00E8479D"/>
    <w:rsid w:val="00E853F4"/>
    <w:rsid w:val="00E866CC"/>
    <w:rsid w:val="00E91E31"/>
    <w:rsid w:val="00E9313B"/>
    <w:rsid w:val="00EA0117"/>
    <w:rsid w:val="00EA0BBD"/>
    <w:rsid w:val="00EA367F"/>
    <w:rsid w:val="00EA497D"/>
    <w:rsid w:val="00EB04A6"/>
    <w:rsid w:val="00EB129F"/>
    <w:rsid w:val="00EB2A66"/>
    <w:rsid w:val="00EB58D3"/>
    <w:rsid w:val="00EC08F1"/>
    <w:rsid w:val="00EC1488"/>
    <w:rsid w:val="00EC3B49"/>
    <w:rsid w:val="00EC5003"/>
    <w:rsid w:val="00EC54C2"/>
    <w:rsid w:val="00EC5D05"/>
    <w:rsid w:val="00ED2520"/>
    <w:rsid w:val="00ED37EB"/>
    <w:rsid w:val="00ED3870"/>
    <w:rsid w:val="00ED7BDB"/>
    <w:rsid w:val="00EE03D8"/>
    <w:rsid w:val="00EE1087"/>
    <w:rsid w:val="00EE11E4"/>
    <w:rsid w:val="00EE1A06"/>
    <w:rsid w:val="00EE2CBA"/>
    <w:rsid w:val="00EF1533"/>
    <w:rsid w:val="00EF4E87"/>
    <w:rsid w:val="00EF5002"/>
    <w:rsid w:val="00EF52CE"/>
    <w:rsid w:val="00EF5D2C"/>
    <w:rsid w:val="00F0067D"/>
    <w:rsid w:val="00F00C88"/>
    <w:rsid w:val="00F02A11"/>
    <w:rsid w:val="00F06947"/>
    <w:rsid w:val="00F1175B"/>
    <w:rsid w:val="00F13719"/>
    <w:rsid w:val="00F14BF3"/>
    <w:rsid w:val="00F20B86"/>
    <w:rsid w:val="00F26CC4"/>
    <w:rsid w:val="00F279DD"/>
    <w:rsid w:val="00F31763"/>
    <w:rsid w:val="00F3551A"/>
    <w:rsid w:val="00F40189"/>
    <w:rsid w:val="00F411A9"/>
    <w:rsid w:val="00F4169B"/>
    <w:rsid w:val="00F45565"/>
    <w:rsid w:val="00F475B5"/>
    <w:rsid w:val="00F50A84"/>
    <w:rsid w:val="00F512D2"/>
    <w:rsid w:val="00F6053A"/>
    <w:rsid w:val="00F6067D"/>
    <w:rsid w:val="00F60EA6"/>
    <w:rsid w:val="00F639E2"/>
    <w:rsid w:val="00F63E95"/>
    <w:rsid w:val="00F73724"/>
    <w:rsid w:val="00F75FEC"/>
    <w:rsid w:val="00F80A7B"/>
    <w:rsid w:val="00F863C2"/>
    <w:rsid w:val="00F93A0A"/>
    <w:rsid w:val="00FA193E"/>
    <w:rsid w:val="00FA2C03"/>
    <w:rsid w:val="00FA586A"/>
    <w:rsid w:val="00FB01A7"/>
    <w:rsid w:val="00FB128B"/>
    <w:rsid w:val="00FB2EFA"/>
    <w:rsid w:val="00FB727E"/>
    <w:rsid w:val="00FC1689"/>
    <w:rsid w:val="00FC33D5"/>
    <w:rsid w:val="00FC36E0"/>
    <w:rsid w:val="00FC4697"/>
    <w:rsid w:val="00FC4CCB"/>
    <w:rsid w:val="00FC6794"/>
    <w:rsid w:val="00FC743C"/>
    <w:rsid w:val="00FD55F8"/>
    <w:rsid w:val="00FD7558"/>
    <w:rsid w:val="00FD7E36"/>
    <w:rsid w:val="00FE29FE"/>
    <w:rsid w:val="00FE46AD"/>
    <w:rsid w:val="00FE5BEE"/>
    <w:rsid w:val="00FF11E4"/>
    <w:rsid w:val="00FF7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39"/>
    <w:pPr>
      <w:widowControl w:val="0"/>
      <w:autoSpaceDE w:val="0"/>
      <w:autoSpaceDN w:val="0"/>
      <w:adjustRightInd w:val="0"/>
    </w:pPr>
    <w:rPr>
      <w:rFonts w:ascii="CG Times" w:hAnsi="CG Times"/>
      <w:sz w:val="24"/>
      <w:szCs w:val="24"/>
    </w:rPr>
  </w:style>
  <w:style w:type="paragraph" w:styleId="Heading1">
    <w:name w:val="heading 1"/>
    <w:basedOn w:val="Normal"/>
    <w:next w:val="Normal"/>
    <w:link w:val="Heading1Char"/>
    <w:uiPriority w:val="99"/>
    <w:qFormat/>
    <w:rsid w:val="00526C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outlineLvl w:val="0"/>
    </w:pPr>
    <w:rPr>
      <w:b/>
    </w:rPr>
  </w:style>
  <w:style w:type="paragraph" w:styleId="Heading3">
    <w:name w:val="heading 3"/>
    <w:basedOn w:val="Normal"/>
    <w:next w:val="Normal"/>
    <w:link w:val="Heading3Char"/>
    <w:uiPriority w:val="99"/>
    <w:qFormat/>
    <w:rsid w:val="00526C39"/>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8C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4108C4"/>
    <w:rPr>
      <w:rFonts w:ascii="Cambria" w:eastAsia="Times New Roman" w:hAnsi="Cambria" w:cs="Times New Roman"/>
      <w:b/>
      <w:bCs/>
      <w:sz w:val="26"/>
      <w:szCs w:val="26"/>
    </w:rPr>
  </w:style>
  <w:style w:type="character" w:styleId="FootnoteReference">
    <w:name w:val="footnote reference"/>
    <w:basedOn w:val="DefaultParagraphFont"/>
    <w:semiHidden/>
    <w:rsid w:val="00526C39"/>
    <w:rPr>
      <w:rFonts w:cs="Times New Roman"/>
    </w:rPr>
  </w:style>
  <w:style w:type="paragraph" w:styleId="BodyTextIndent">
    <w:name w:val="Body Text Indent"/>
    <w:basedOn w:val="Normal"/>
    <w:link w:val="BodyTextIndentChar"/>
    <w:uiPriority w:val="99"/>
    <w:rsid w:val="00526C39"/>
    <w:pPr>
      <w:tabs>
        <w:tab w:val="right" w:pos="9936"/>
      </w:tabs>
      <w:spacing w:line="240" w:lineRule="exact"/>
      <w:ind w:left="810"/>
    </w:pPr>
  </w:style>
  <w:style w:type="character" w:customStyle="1" w:styleId="BodyTextIndentChar">
    <w:name w:val="Body Text Indent Char"/>
    <w:basedOn w:val="DefaultParagraphFont"/>
    <w:link w:val="BodyTextIndent"/>
    <w:uiPriority w:val="99"/>
    <w:semiHidden/>
    <w:rsid w:val="004108C4"/>
    <w:rPr>
      <w:rFonts w:ascii="CG Times" w:hAnsi="CG Times"/>
      <w:sz w:val="24"/>
      <w:szCs w:val="24"/>
    </w:rPr>
  </w:style>
  <w:style w:type="paragraph" w:styleId="BodyTextIndent2">
    <w:name w:val="Body Text Indent 2"/>
    <w:basedOn w:val="Normal"/>
    <w:link w:val="BodyTextIndent2Char"/>
    <w:uiPriority w:val="99"/>
    <w:rsid w:val="00526C39"/>
    <w:pPr>
      <w:keepNext/>
      <w:keepLines/>
      <w:tabs>
        <w:tab w:val="left" w:pos="5130"/>
      </w:tabs>
      <w:spacing w:line="240" w:lineRule="exact"/>
      <w:ind w:left="720"/>
    </w:pPr>
  </w:style>
  <w:style w:type="character" w:customStyle="1" w:styleId="BodyTextIndent2Char">
    <w:name w:val="Body Text Indent 2 Char"/>
    <w:basedOn w:val="DefaultParagraphFont"/>
    <w:link w:val="BodyTextIndent2"/>
    <w:uiPriority w:val="99"/>
    <w:semiHidden/>
    <w:rsid w:val="004108C4"/>
    <w:rPr>
      <w:rFonts w:ascii="CG Times" w:hAnsi="CG Times"/>
      <w:sz w:val="24"/>
      <w:szCs w:val="24"/>
    </w:rPr>
  </w:style>
  <w:style w:type="paragraph" w:styleId="BalloonText">
    <w:name w:val="Balloon Text"/>
    <w:basedOn w:val="Normal"/>
    <w:link w:val="BalloonTextChar"/>
    <w:uiPriority w:val="99"/>
    <w:semiHidden/>
    <w:rsid w:val="00526C39"/>
    <w:rPr>
      <w:rFonts w:ascii="Tahoma" w:hAnsi="Tahoma" w:cs="GoudyOlSt BT"/>
      <w:sz w:val="16"/>
      <w:szCs w:val="16"/>
    </w:rPr>
  </w:style>
  <w:style w:type="character" w:customStyle="1" w:styleId="BalloonTextChar">
    <w:name w:val="Balloon Text Char"/>
    <w:basedOn w:val="DefaultParagraphFont"/>
    <w:link w:val="BalloonText"/>
    <w:uiPriority w:val="99"/>
    <w:semiHidden/>
    <w:rsid w:val="004108C4"/>
    <w:rPr>
      <w:sz w:val="0"/>
      <w:szCs w:val="0"/>
    </w:rPr>
  </w:style>
  <w:style w:type="character" w:styleId="Hyperlink">
    <w:name w:val="Hyperlink"/>
    <w:basedOn w:val="DefaultParagraphFont"/>
    <w:uiPriority w:val="99"/>
    <w:rsid w:val="00526C39"/>
    <w:rPr>
      <w:rFonts w:ascii="Arial" w:hAnsi="Arial" w:cs="Arial"/>
      <w:color w:val="005A9C"/>
      <w:u w:val="single"/>
    </w:rPr>
  </w:style>
  <w:style w:type="paragraph" w:styleId="NormalWeb">
    <w:name w:val="Normal (Web)"/>
    <w:basedOn w:val="Normal"/>
    <w:uiPriority w:val="99"/>
    <w:rsid w:val="00526C39"/>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uiPriority w:val="99"/>
    <w:rsid w:val="00526C39"/>
    <w:rPr>
      <w:rFonts w:cs="Times New Roman"/>
      <w:color w:val="800080"/>
      <w:u w:val="single"/>
    </w:rPr>
  </w:style>
  <w:style w:type="paragraph" w:styleId="Footer">
    <w:name w:val="footer"/>
    <w:basedOn w:val="Normal"/>
    <w:link w:val="FooterChar"/>
    <w:uiPriority w:val="99"/>
    <w:rsid w:val="00526C39"/>
    <w:pPr>
      <w:tabs>
        <w:tab w:val="center" w:pos="4320"/>
        <w:tab w:val="right" w:pos="8640"/>
      </w:tabs>
    </w:pPr>
  </w:style>
  <w:style w:type="character" w:customStyle="1" w:styleId="FooterChar">
    <w:name w:val="Footer Char"/>
    <w:basedOn w:val="DefaultParagraphFont"/>
    <w:link w:val="Footer"/>
    <w:uiPriority w:val="99"/>
    <w:semiHidden/>
    <w:rsid w:val="004108C4"/>
    <w:rPr>
      <w:rFonts w:ascii="CG Times" w:hAnsi="CG Times"/>
      <w:sz w:val="24"/>
      <w:szCs w:val="24"/>
    </w:rPr>
  </w:style>
  <w:style w:type="character" w:styleId="PageNumber">
    <w:name w:val="page number"/>
    <w:basedOn w:val="DefaultParagraphFont"/>
    <w:uiPriority w:val="99"/>
    <w:rsid w:val="00526C39"/>
    <w:rPr>
      <w:rFonts w:cs="Times New Roman"/>
    </w:rPr>
  </w:style>
  <w:style w:type="paragraph" w:styleId="BodyText">
    <w:name w:val="Body Text"/>
    <w:basedOn w:val="Normal"/>
    <w:link w:val="BodyTextChar"/>
    <w:uiPriority w:val="99"/>
    <w:rsid w:val="00526C39"/>
    <w:pPr>
      <w:tabs>
        <w:tab w:val="left" w:pos="-720"/>
        <w:tab w:val="left" w:pos="0"/>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style>
  <w:style w:type="character" w:customStyle="1" w:styleId="BodyTextChar">
    <w:name w:val="Body Text Char"/>
    <w:basedOn w:val="DefaultParagraphFont"/>
    <w:link w:val="BodyText"/>
    <w:uiPriority w:val="99"/>
    <w:locked/>
    <w:rsid w:val="00075BE5"/>
    <w:rPr>
      <w:rFonts w:ascii="CG Times" w:hAnsi="CG Times" w:cs="Times New Roman"/>
      <w:sz w:val="24"/>
      <w:szCs w:val="24"/>
      <w:lang w:val="en-US" w:eastAsia="en-US" w:bidi="ar-SA"/>
    </w:rPr>
  </w:style>
  <w:style w:type="paragraph" w:customStyle="1" w:styleId="ListingNameCharCharCharChar">
    <w:name w:val="Listing_Name Char Char Char Char"/>
    <w:basedOn w:val="Normal"/>
    <w:uiPriority w:val="99"/>
    <w:rsid w:val="00526C39"/>
    <w:pPr>
      <w:widowControl/>
      <w:autoSpaceDE/>
      <w:autoSpaceDN/>
      <w:adjustRightInd/>
      <w:spacing w:before="120" w:line="240" w:lineRule="exact"/>
    </w:pPr>
    <w:rPr>
      <w:i/>
      <w:sz w:val="22"/>
      <w:szCs w:val="22"/>
    </w:rPr>
  </w:style>
  <w:style w:type="character" w:customStyle="1" w:styleId="ListingNameCharCharCharCharChar">
    <w:name w:val="Listing_Name Char Char Char Char Char"/>
    <w:basedOn w:val="DefaultParagraphFont"/>
    <w:uiPriority w:val="99"/>
    <w:rsid w:val="00526C39"/>
    <w:rPr>
      <w:rFonts w:ascii="CG Times" w:hAnsi="CG Times" w:cs="Times New Roman"/>
      <w:i/>
      <w:sz w:val="22"/>
      <w:szCs w:val="22"/>
      <w:lang w:val="en-US" w:eastAsia="en-US" w:bidi="ar-SA"/>
    </w:rPr>
  </w:style>
  <w:style w:type="paragraph" w:customStyle="1" w:styleId="a">
    <w:name w:val=""/>
    <w:uiPriority w:val="99"/>
    <w:rsid w:val="00526C39"/>
    <w:pPr>
      <w:autoSpaceDE w:val="0"/>
      <w:autoSpaceDN w:val="0"/>
      <w:adjustRightInd w:val="0"/>
      <w:ind w:left="-1440"/>
    </w:pPr>
    <w:rPr>
      <w:sz w:val="24"/>
      <w:szCs w:val="24"/>
    </w:rPr>
  </w:style>
  <w:style w:type="character" w:customStyle="1" w:styleId="EmailStyle35">
    <w:name w:val="EmailStyle35"/>
    <w:basedOn w:val="DefaultParagraphFont"/>
    <w:uiPriority w:val="99"/>
    <w:semiHidden/>
    <w:rsid w:val="00526C39"/>
    <w:rPr>
      <w:rFonts w:ascii="Arial" w:hAnsi="Arial" w:cs="Arial"/>
      <w:color w:val="auto"/>
      <w:sz w:val="20"/>
      <w:szCs w:val="20"/>
    </w:rPr>
  </w:style>
  <w:style w:type="paragraph" w:customStyle="1" w:styleId="bullet">
    <w:name w:val="bullet"/>
    <w:basedOn w:val="Normal"/>
    <w:uiPriority w:val="99"/>
    <w:rsid w:val="00526C39"/>
    <w:pPr>
      <w:numPr>
        <w:numId w:val="2"/>
      </w:num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style>
  <w:style w:type="paragraph" w:customStyle="1" w:styleId="2ndlevelbullet">
    <w:name w:val="2ndlevelbullet"/>
    <w:basedOn w:val="bullet"/>
    <w:uiPriority w:val="99"/>
    <w:rsid w:val="00526C39"/>
    <w:pPr>
      <w:numPr>
        <w:ilvl w:val="1"/>
        <w:numId w:val="1"/>
      </w:numPr>
    </w:pPr>
  </w:style>
  <w:style w:type="paragraph" w:customStyle="1" w:styleId="Default">
    <w:name w:val="Default"/>
    <w:uiPriority w:val="99"/>
    <w:rsid w:val="003E1A48"/>
    <w:pPr>
      <w:autoSpaceDE w:val="0"/>
      <w:autoSpaceDN w:val="0"/>
      <w:adjustRightInd w:val="0"/>
    </w:pPr>
    <w:rPr>
      <w:rFonts w:ascii="ArialNarrow" w:hAnsi="ArialNarrow" w:cs="ArialNarrow"/>
    </w:rPr>
  </w:style>
  <w:style w:type="paragraph" w:customStyle="1" w:styleId="CM21">
    <w:name w:val="CM21"/>
    <w:basedOn w:val="Default"/>
    <w:next w:val="Default"/>
    <w:uiPriority w:val="99"/>
    <w:rsid w:val="003E1A48"/>
    <w:pPr>
      <w:spacing w:line="211" w:lineRule="auto"/>
    </w:pPr>
    <w:rPr>
      <w:rFonts w:cs="Times New Roman"/>
      <w:sz w:val="24"/>
      <w:szCs w:val="24"/>
    </w:rPr>
  </w:style>
  <w:style w:type="table" w:styleId="TableClassic1">
    <w:name w:val="Table Classic 1"/>
    <w:basedOn w:val="TableNormal"/>
    <w:uiPriority w:val="99"/>
    <w:rsid w:val="00F411A9"/>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pPr>
        <w:jc w:val="center"/>
      </w:pPr>
      <w:rPr>
        <w:rFonts w:cs="Times New Roman"/>
        <w:b/>
        <w:i w:val="0"/>
        <w:iCs/>
      </w:rPr>
      <w:tblPr/>
      <w:tcPr>
        <w:tcBorders>
          <w:bottom w:val="single" w:sz="6" w:space="0" w:color="000000"/>
        </w:tcBorders>
      </w:tcPr>
    </w:tblStylePr>
    <w:tblStylePr w:type="lastRow">
      <w:rPr>
        <w:rFonts w:cs="Times New Roman"/>
        <w:color w:val="auto"/>
      </w:rPr>
      <w:tblPr/>
      <w:tcPr>
        <w:tcBorders>
          <w:top w:val="nil"/>
        </w:tcBorders>
        <w:shd w:val="clear" w:color="auto" w:fill="auto"/>
      </w:tcPr>
    </w:tblStylePr>
    <w:tblStylePr w:type="firstCol">
      <w:rPr>
        <w:rFonts w:cs="Times New Roman"/>
        <w:b/>
      </w:rPr>
      <w:tblPr/>
      <w:tcPr>
        <w:tcBorders>
          <w:right w:val="single" w:sz="6" w:space="0" w:color="000000"/>
          <w:tl2br w:val="none" w:sz="0" w:space="0" w:color="auto"/>
          <w:tr2bl w:val="none" w:sz="0" w:space="0" w:color="auto"/>
        </w:tcBorders>
      </w:tcPr>
    </w:tblStylePr>
    <w:tblStylePr w:type="lastCol">
      <w:rPr>
        <w:rFonts w:cs="Times New Roman"/>
        <w:b w:val="0"/>
      </w:r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Level1">
    <w:name w:val="Level 1"/>
    <w:basedOn w:val="Normal"/>
    <w:uiPriority w:val="99"/>
    <w:rsid w:val="0097519C"/>
    <w:pPr>
      <w:autoSpaceDE/>
      <w:autoSpaceDN/>
      <w:adjustRightInd/>
    </w:pPr>
    <w:rPr>
      <w:rFonts w:ascii="Times New Roman" w:hAnsi="Times New Roman"/>
      <w:szCs w:val="20"/>
    </w:rPr>
  </w:style>
  <w:style w:type="character" w:styleId="CommentReference">
    <w:name w:val="annotation reference"/>
    <w:basedOn w:val="DefaultParagraphFont"/>
    <w:uiPriority w:val="99"/>
    <w:semiHidden/>
    <w:rsid w:val="00DE3AC5"/>
    <w:rPr>
      <w:rFonts w:cs="Times New Roman"/>
      <w:sz w:val="16"/>
      <w:szCs w:val="16"/>
    </w:rPr>
  </w:style>
  <w:style w:type="paragraph" w:styleId="CommentText">
    <w:name w:val="annotation text"/>
    <w:basedOn w:val="Normal"/>
    <w:link w:val="CommentTextChar"/>
    <w:uiPriority w:val="99"/>
    <w:semiHidden/>
    <w:rsid w:val="00DE3AC5"/>
    <w:rPr>
      <w:sz w:val="20"/>
      <w:szCs w:val="20"/>
    </w:rPr>
  </w:style>
  <w:style w:type="character" w:customStyle="1" w:styleId="CommentTextChar">
    <w:name w:val="Comment Text Char"/>
    <w:basedOn w:val="DefaultParagraphFont"/>
    <w:link w:val="CommentText"/>
    <w:uiPriority w:val="99"/>
    <w:semiHidden/>
    <w:rsid w:val="004108C4"/>
    <w:rPr>
      <w:rFonts w:ascii="CG Times" w:hAnsi="CG Times"/>
      <w:sz w:val="20"/>
      <w:szCs w:val="20"/>
    </w:rPr>
  </w:style>
  <w:style w:type="paragraph" w:styleId="CommentSubject">
    <w:name w:val="annotation subject"/>
    <w:basedOn w:val="CommentText"/>
    <w:next w:val="CommentText"/>
    <w:link w:val="CommentSubjectChar"/>
    <w:uiPriority w:val="99"/>
    <w:semiHidden/>
    <w:rsid w:val="00DE3AC5"/>
    <w:rPr>
      <w:b/>
      <w:bCs/>
    </w:rPr>
  </w:style>
  <w:style w:type="character" w:customStyle="1" w:styleId="CommentSubjectChar">
    <w:name w:val="Comment Subject Char"/>
    <w:basedOn w:val="CommentTextChar"/>
    <w:link w:val="CommentSubject"/>
    <w:uiPriority w:val="99"/>
    <w:semiHidden/>
    <w:rsid w:val="004108C4"/>
    <w:rPr>
      <w:rFonts w:ascii="CG Times" w:hAnsi="CG Times"/>
      <w:b/>
      <w:bCs/>
      <w:sz w:val="20"/>
      <w:szCs w:val="20"/>
    </w:rPr>
  </w:style>
  <w:style w:type="table" w:styleId="TableGrid">
    <w:name w:val="Table Grid"/>
    <w:basedOn w:val="TableNormal"/>
    <w:uiPriority w:val="99"/>
    <w:rsid w:val="00DF6B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uiPriority w:val="99"/>
    <w:rsid w:val="00673818"/>
    <w:rPr>
      <w:rFonts w:ascii="CG Times" w:hAnsi="CG Times" w:cs="Times New Roman"/>
      <w:sz w:val="24"/>
      <w:szCs w:val="24"/>
      <w:lang w:val="en-US" w:eastAsia="en-US" w:bidi="ar-SA"/>
    </w:rPr>
  </w:style>
  <w:style w:type="character" w:styleId="Strong">
    <w:name w:val="Strong"/>
    <w:basedOn w:val="DefaultParagraphFont"/>
    <w:uiPriority w:val="99"/>
    <w:qFormat/>
    <w:rsid w:val="006B2AA4"/>
    <w:rPr>
      <w:rFonts w:cs="Times New Roman"/>
      <w:b/>
      <w:bCs/>
    </w:rPr>
  </w:style>
  <w:style w:type="character" w:styleId="Emphasis">
    <w:name w:val="Emphasis"/>
    <w:basedOn w:val="DefaultParagraphFont"/>
    <w:uiPriority w:val="99"/>
    <w:qFormat/>
    <w:rsid w:val="00B43100"/>
    <w:rPr>
      <w:rFonts w:cs="Times New Roman"/>
      <w:i/>
      <w:iCs/>
    </w:rPr>
  </w:style>
  <w:style w:type="paragraph" w:styleId="Header">
    <w:name w:val="header"/>
    <w:basedOn w:val="Normal"/>
    <w:link w:val="HeaderChar"/>
    <w:uiPriority w:val="99"/>
    <w:rsid w:val="00ED37EB"/>
    <w:pPr>
      <w:tabs>
        <w:tab w:val="center" w:pos="4320"/>
        <w:tab w:val="right" w:pos="8640"/>
      </w:tabs>
    </w:pPr>
  </w:style>
  <w:style w:type="character" w:customStyle="1" w:styleId="HeaderChar">
    <w:name w:val="Header Char"/>
    <w:basedOn w:val="DefaultParagraphFont"/>
    <w:link w:val="Header"/>
    <w:uiPriority w:val="99"/>
    <w:semiHidden/>
    <w:rsid w:val="004108C4"/>
    <w:rPr>
      <w:rFonts w:ascii="CG Times" w:hAnsi="CG Times"/>
      <w:sz w:val="24"/>
      <w:szCs w:val="24"/>
    </w:rPr>
  </w:style>
  <w:style w:type="paragraph" w:styleId="Revision">
    <w:name w:val="Revision"/>
    <w:hidden/>
    <w:uiPriority w:val="99"/>
    <w:semiHidden/>
    <w:rsid w:val="002D3B94"/>
    <w:rPr>
      <w:rFonts w:ascii="CG Times" w:hAnsi="CG Times"/>
      <w:sz w:val="24"/>
      <w:szCs w:val="24"/>
    </w:rPr>
  </w:style>
  <w:style w:type="paragraph" w:styleId="ListParagraph">
    <w:name w:val="List Paragraph"/>
    <w:basedOn w:val="Normal"/>
    <w:uiPriority w:val="99"/>
    <w:qFormat/>
    <w:rsid w:val="004409AD"/>
    <w:pPr>
      <w:widowControl/>
      <w:autoSpaceDE/>
      <w:autoSpaceDN/>
      <w:adjustRightInd/>
      <w:ind w:left="720"/>
      <w:contextualSpacing/>
    </w:pPr>
    <w:rPr>
      <w:rFonts w:ascii="Times New Roman" w:hAnsi="Times New Roman"/>
    </w:rPr>
  </w:style>
  <w:style w:type="paragraph" w:styleId="PlainText">
    <w:name w:val="Plain Text"/>
    <w:basedOn w:val="Normal"/>
    <w:link w:val="PlainTextChar"/>
    <w:uiPriority w:val="99"/>
    <w:unhideWhenUsed/>
    <w:rsid w:val="00675DFE"/>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675DFE"/>
    <w:rPr>
      <w:rFonts w:ascii="Kabel Bk BT" w:eastAsia="Calibri" w:hAnsi="Kabel Bk B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58988">
      <w:marLeft w:val="0"/>
      <w:marRight w:val="0"/>
      <w:marTop w:val="0"/>
      <w:marBottom w:val="0"/>
      <w:divBdr>
        <w:top w:val="none" w:sz="0" w:space="0" w:color="auto"/>
        <w:left w:val="none" w:sz="0" w:space="0" w:color="auto"/>
        <w:bottom w:val="none" w:sz="0" w:space="0" w:color="auto"/>
        <w:right w:val="none" w:sz="0" w:space="0" w:color="auto"/>
      </w:divBdr>
      <w:divsChild>
        <w:div w:id="89158999">
          <w:marLeft w:val="720"/>
          <w:marRight w:val="720"/>
          <w:marTop w:val="100"/>
          <w:marBottom w:val="100"/>
          <w:divBdr>
            <w:top w:val="none" w:sz="0" w:space="0" w:color="auto"/>
            <w:left w:val="none" w:sz="0" w:space="0" w:color="auto"/>
            <w:bottom w:val="none" w:sz="0" w:space="0" w:color="auto"/>
            <w:right w:val="none" w:sz="0" w:space="0" w:color="auto"/>
          </w:divBdr>
        </w:div>
      </w:divsChild>
    </w:div>
    <w:div w:id="89158989">
      <w:marLeft w:val="0"/>
      <w:marRight w:val="0"/>
      <w:marTop w:val="0"/>
      <w:marBottom w:val="0"/>
      <w:divBdr>
        <w:top w:val="none" w:sz="0" w:space="0" w:color="auto"/>
        <w:left w:val="none" w:sz="0" w:space="0" w:color="auto"/>
        <w:bottom w:val="none" w:sz="0" w:space="0" w:color="auto"/>
        <w:right w:val="none" w:sz="0" w:space="0" w:color="auto"/>
      </w:divBdr>
      <w:divsChild>
        <w:div w:id="89158995">
          <w:marLeft w:val="720"/>
          <w:marRight w:val="720"/>
          <w:marTop w:val="100"/>
          <w:marBottom w:val="100"/>
          <w:divBdr>
            <w:top w:val="none" w:sz="0" w:space="0" w:color="auto"/>
            <w:left w:val="none" w:sz="0" w:space="0" w:color="auto"/>
            <w:bottom w:val="none" w:sz="0" w:space="0" w:color="auto"/>
            <w:right w:val="none" w:sz="0" w:space="0" w:color="auto"/>
          </w:divBdr>
        </w:div>
      </w:divsChild>
    </w:div>
    <w:div w:id="89158990">
      <w:marLeft w:val="0"/>
      <w:marRight w:val="0"/>
      <w:marTop w:val="0"/>
      <w:marBottom w:val="0"/>
      <w:divBdr>
        <w:top w:val="none" w:sz="0" w:space="0" w:color="auto"/>
        <w:left w:val="none" w:sz="0" w:space="0" w:color="auto"/>
        <w:bottom w:val="none" w:sz="0" w:space="0" w:color="auto"/>
        <w:right w:val="none" w:sz="0" w:space="0" w:color="auto"/>
      </w:divBdr>
    </w:div>
    <w:div w:id="89158992">
      <w:marLeft w:val="0"/>
      <w:marRight w:val="0"/>
      <w:marTop w:val="0"/>
      <w:marBottom w:val="0"/>
      <w:divBdr>
        <w:top w:val="none" w:sz="0" w:space="0" w:color="auto"/>
        <w:left w:val="none" w:sz="0" w:space="0" w:color="auto"/>
        <w:bottom w:val="none" w:sz="0" w:space="0" w:color="auto"/>
        <w:right w:val="none" w:sz="0" w:space="0" w:color="auto"/>
      </w:divBdr>
    </w:div>
    <w:div w:id="89158993">
      <w:marLeft w:val="0"/>
      <w:marRight w:val="0"/>
      <w:marTop w:val="0"/>
      <w:marBottom w:val="0"/>
      <w:divBdr>
        <w:top w:val="none" w:sz="0" w:space="0" w:color="auto"/>
        <w:left w:val="none" w:sz="0" w:space="0" w:color="auto"/>
        <w:bottom w:val="none" w:sz="0" w:space="0" w:color="auto"/>
        <w:right w:val="none" w:sz="0" w:space="0" w:color="auto"/>
      </w:divBdr>
      <w:divsChild>
        <w:div w:id="89159001">
          <w:marLeft w:val="720"/>
          <w:marRight w:val="720"/>
          <w:marTop w:val="100"/>
          <w:marBottom w:val="100"/>
          <w:divBdr>
            <w:top w:val="none" w:sz="0" w:space="0" w:color="auto"/>
            <w:left w:val="none" w:sz="0" w:space="0" w:color="auto"/>
            <w:bottom w:val="none" w:sz="0" w:space="0" w:color="auto"/>
            <w:right w:val="none" w:sz="0" w:space="0" w:color="auto"/>
          </w:divBdr>
        </w:div>
      </w:divsChild>
    </w:div>
    <w:div w:id="89158994">
      <w:marLeft w:val="0"/>
      <w:marRight w:val="0"/>
      <w:marTop w:val="0"/>
      <w:marBottom w:val="0"/>
      <w:divBdr>
        <w:top w:val="none" w:sz="0" w:space="0" w:color="auto"/>
        <w:left w:val="none" w:sz="0" w:space="0" w:color="auto"/>
        <w:bottom w:val="none" w:sz="0" w:space="0" w:color="auto"/>
        <w:right w:val="none" w:sz="0" w:space="0" w:color="auto"/>
      </w:divBdr>
    </w:div>
    <w:div w:id="89158997">
      <w:marLeft w:val="0"/>
      <w:marRight w:val="0"/>
      <w:marTop w:val="0"/>
      <w:marBottom w:val="0"/>
      <w:divBdr>
        <w:top w:val="none" w:sz="0" w:space="0" w:color="auto"/>
        <w:left w:val="none" w:sz="0" w:space="0" w:color="auto"/>
        <w:bottom w:val="none" w:sz="0" w:space="0" w:color="auto"/>
        <w:right w:val="none" w:sz="0" w:space="0" w:color="auto"/>
      </w:divBdr>
    </w:div>
    <w:div w:id="89159002">
      <w:marLeft w:val="0"/>
      <w:marRight w:val="0"/>
      <w:marTop w:val="0"/>
      <w:marBottom w:val="0"/>
      <w:divBdr>
        <w:top w:val="none" w:sz="0" w:space="0" w:color="auto"/>
        <w:left w:val="none" w:sz="0" w:space="0" w:color="auto"/>
        <w:bottom w:val="none" w:sz="0" w:space="0" w:color="auto"/>
        <w:right w:val="none" w:sz="0" w:space="0" w:color="auto"/>
      </w:divBdr>
    </w:div>
    <w:div w:id="89159003">
      <w:marLeft w:val="0"/>
      <w:marRight w:val="0"/>
      <w:marTop w:val="0"/>
      <w:marBottom w:val="0"/>
      <w:divBdr>
        <w:top w:val="none" w:sz="0" w:space="0" w:color="auto"/>
        <w:left w:val="none" w:sz="0" w:space="0" w:color="auto"/>
        <w:bottom w:val="none" w:sz="0" w:space="0" w:color="auto"/>
        <w:right w:val="none" w:sz="0" w:space="0" w:color="auto"/>
      </w:divBdr>
      <w:divsChild>
        <w:div w:id="89158998">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4">
      <w:marLeft w:val="0"/>
      <w:marRight w:val="0"/>
      <w:marTop w:val="0"/>
      <w:marBottom w:val="0"/>
      <w:divBdr>
        <w:top w:val="none" w:sz="0" w:space="0" w:color="auto"/>
        <w:left w:val="none" w:sz="0" w:space="0" w:color="auto"/>
        <w:bottom w:val="none" w:sz="0" w:space="0" w:color="auto"/>
        <w:right w:val="none" w:sz="0" w:space="0" w:color="auto"/>
      </w:divBdr>
      <w:divsChild>
        <w:div w:id="89159018">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5">
      <w:marLeft w:val="0"/>
      <w:marRight w:val="0"/>
      <w:marTop w:val="0"/>
      <w:marBottom w:val="0"/>
      <w:divBdr>
        <w:top w:val="none" w:sz="0" w:space="0" w:color="auto"/>
        <w:left w:val="none" w:sz="0" w:space="0" w:color="auto"/>
        <w:bottom w:val="none" w:sz="0" w:space="0" w:color="auto"/>
        <w:right w:val="none" w:sz="0" w:space="0" w:color="auto"/>
      </w:divBdr>
      <w:divsChild>
        <w:div w:id="89159011">
          <w:marLeft w:val="0"/>
          <w:marRight w:val="0"/>
          <w:marTop w:val="0"/>
          <w:marBottom w:val="0"/>
          <w:divBdr>
            <w:top w:val="none" w:sz="0" w:space="0" w:color="auto"/>
            <w:left w:val="none" w:sz="0" w:space="0" w:color="auto"/>
            <w:bottom w:val="none" w:sz="0" w:space="0" w:color="auto"/>
            <w:right w:val="none" w:sz="0" w:space="0" w:color="auto"/>
          </w:divBdr>
        </w:div>
      </w:divsChild>
    </w:div>
    <w:div w:id="89159007">
      <w:marLeft w:val="0"/>
      <w:marRight w:val="0"/>
      <w:marTop w:val="0"/>
      <w:marBottom w:val="0"/>
      <w:divBdr>
        <w:top w:val="none" w:sz="0" w:space="0" w:color="auto"/>
        <w:left w:val="none" w:sz="0" w:space="0" w:color="auto"/>
        <w:bottom w:val="none" w:sz="0" w:space="0" w:color="auto"/>
        <w:right w:val="none" w:sz="0" w:space="0" w:color="auto"/>
      </w:divBdr>
      <w:divsChild>
        <w:div w:id="89159000">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8">
      <w:marLeft w:val="0"/>
      <w:marRight w:val="0"/>
      <w:marTop w:val="0"/>
      <w:marBottom w:val="0"/>
      <w:divBdr>
        <w:top w:val="none" w:sz="0" w:space="0" w:color="auto"/>
        <w:left w:val="none" w:sz="0" w:space="0" w:color="auto"/>
        <w:bottom w:val="none" w:sz="0" w:space="0" w:color="auto"/>
        <w:right w:val="none" w:sz="0" w:space="0" w:color="auto"/>
      </w:divBdr>
      <w:divsChild>
        <w:div w:id="89159012">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9">
      <w:marLeft w:val="0"/>
      <w:marRight w:val="0"/>
      <w:marTop w:val="0"/>
      <w:marBottom w:val="0"/>
      <w:divBdr>
        <w:top w:val="none" w:sz="0" w:space="0" w:color="auto"/>
        <w:left w:val="none" w:sz="0" w:space="0" w:color="auto"/>
        <w:bottom w:val="none" w:sz="0" w:space="0" w:color="auto"/>
        <w:right w:val="none" w:sz="0" w:space="0" w:color="auto"/>
      </w:divBdr>
      <w:divsChild>
        <w:div w:id="89159020">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3">
      <w:marLeft w:val="0"/>
      <w:marRight w:val="0"/>
      <w:marTop w:val="0"/>
      <w:marBottom w:val="0"/>
      <w:divBdr>
        <w:top w:val="none" w:sz="0" w:space="0" w:color="auto"/>
        <w:left w:val="none" w:sz="0" w:space="0" w:color="auto"/>
        <w:bottom w:val="none" w:sz="0" w:space="0" w:color="auto"/>
        <w:right w:val="none" w:sz="0" w:space="0" w:color="auto"/>
      </w:divBdr>
      <w:divsChild>
        <w:div w:id="89159010">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4">
      <w:marLeft w:val="0"/>
      <w:marRight w:val="0"/>
      <w:marTop w:val="0"/>
      <w:marBottom w:val="0"/>
      <w:divBdr>
        <w:top w:val="none" w:sz="0" w:space="0" w:color="auto"/>
        <w:left w:val="none" w:sz="0" w:space="0" w:color="auto"/>
        <w:bottom w:val="none" w:sz="0" w:space="0" w:color="auto"/>
        <w:right w:val="none" w:sz="0" w:space="0" w:color="auto"/>
      </w:divBdr>
      <w:divsChild>
        <w:div w:id="89158996">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5">
      <w:marLeft w:val="0"/>
      <w:marRight w:val="0"/>
      <w:marTop w:val="0"/>
      <w:marBottom w:val="0"/>
      <w:divBdr>
        <w:top w:val="none" w:sz="0" w:space="0" w:color="auto"/>
        <w:left w:val="none" w:sz="0" w:space="0" w:color="auto"/>
        <w:bottom w:val="none" w:sz="0" w:space="0" w:color="auto"/>
        <w:right w:val="none" w:sz="0" w:space="0" w:color="auto"/>
      </w:divBdr>
      <w:divsChild>
        <w:div w:id="89158991">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6">
      <w:marLeft w:val="0"/>
      <w:marRight w:val="0"/>
      <w:marTop w:val="0"/>
      <w:marBottom w:val="0"/>
      <w:divBdr>
        <w:top w:val="none" w:sz="0" w:space="0" w:color="auto"/>
        <w:left w:val="none" w:sz="0" w:space="0" w:color="auto"/>
        <w:bottom w:val="none" w:sz="0" w:space="0" w:color="auto"/>
        <w:right w:val="none" w:sz="0" w:space="0" w:color="auto"/>
      </w:divBdr>
      <w:divsChild>
        <w:div w:id="89159006">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7">
      <w:marLeft w:val="0"/>
      <w:marRight w:val="0"/>
      <w:marTop w:val="0"/>
      <w:marBottom w:val="0"/>
      <w:divBdr>
        <w:top w:val="none" w:sz="0" w:space="0" w:color="auto"/>
        <w:left w:val="none" w:sz="0" w:space="0" w:color="auto"/>
        <w:bottom w:val="none" w:sz="0" w:space="0" w:color="auto"/>
        <w:right w:val="none" w:sz="0" w:space="0" w:color="auto"/>
      </w:divBdr>
    </w:div>
    <w:div w:id="89159019">
      <w:marLeft w:val="0"/>
      <w:marRight w:val="0"/>
      <w:marTop w:val="0"/>
      <w:marBottom w:val="0"/>
      <w:divBdr>
        <w:top w:val="none" w:sz="0" w:space="0" w:color="auto"/>
        <w:left w:val="none" w:sz="0" w:space="0" w:color="auto"/>
        <w:bottom w:val="none" w:sz="0" w:space="0" w:color="auto"/>
        <w:right w:val="none" w:sz="0" w:space="0" w:color="auto"/>
      </w:divBdr>
    </w:div>
    <w:div w:id="89159021">
      <w:marLeft w:val="0"/>
      <w:marRight w:val="0"/>
      <w:marTop w:val="0"/>
      <w:marBottom w:val="0"/>
      <w:divBdr>
        <w:top w:val="none" w:sz="0" w:space="0" w:color="auto"/>
        <w:left w:val="none" w:sz="0" w:space="0" w:color="auto"/>
        <w:bottom w:val="none" w:sz="0" w:space="0" w:color="auto"/>
        <w:right w:val="none" w:sz="0" w:space="0" w:color="auto"/>
      </w:divBdr>
      <w:divsChild>
        <w:div w:id="89158987">
          <w:marLeft w:val="720"/>
          <w:marRight w:val="720"/>
          <w:marTop w:val="100"/>
          <w:marBottom w:val="100"/>
          <w:divBdr>
            <w:top w:val="none" w:sz="0" w:space="0" w:color="auto"/>
            <w:left w:val="none" w:sz="0" w:space="0" w:color="auto"/>
            <w:bottom w:val="none" w:sz="0" w:space="0" w:color="auto"/>
            <w:right w:val="none" w:sz="0" w:space="0" w:color="auto"/>
          </w:divBdr>
        </w:div>
      </w:divsChild>
    </w:div>
    <w:div w:id="13026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D122-B022-4228-B9FD-A7F5CF4B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subject/>
  <dc:creator>rebecca</dc:creator>
  <cp:keywords/>
  <dc:description/>
  <cp:lastModifiedBy>DHHS</cp:lastModifiedBy>
  <cp:revision>2</cp:revision>
  <cp:lastPrinted>2011-09-13T14:47:00Z</cp:lastPrinted>
  <dcterms:created xsi:type="dcterms:W3CDTF">2012-05-17T12:59:00Z</dcterms:created>
  <dcterms:modified xsi:type="dcterms:W3CDTF">2012-05-17T12:59:00Z</dcterms:modified>
</cp:coreProperties>
</file>