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529E" w:rsidRDefault="0079529E" w:rsidP="0079529E">
      <w:pPr>
        <w:pStyle w:val="Heading1"/>
        <w:tabs>
          <w:tab w:val="clear" w:pos="-1440"/>
          <w:tab w:val="clear" w:pos="-720"/>
          <w:tab w:val="clear" w:pos="450"/>
          <w:tab w:val="clear" w:pos="720"/>
          <w:tab w:val="clear" w:pos="900"/>
          <w:tab w:val="clear" w:pos="2160"/>
          <w:tab w:val="clear" w:pos="2880"/>
          <w:tab w:val="clear" w:pos="3600"/>
          <w:tab w:val="clear" w:pos="4320"/>
          <w:tab w:val="clear" w:pos="5040"/>
          <w:tab w:val="clear" w:pos="5760"/>
          <w:tab w:val="clear" w:pos="6480"/>
          <w:tab w:val="clear" w:pos="7200"/>
          <w:tab w:val="clear" w:pos="7920"/>
          <w:tab w:val="clear" w:pos="8640"/>
        </w:tabs>
        <w:jc w:val="center"/>
        <w:rPr>
          <w:rFonts w:ascii="Times New Roman" w:hAnsi="Times New Roman" w:cs="Times New Roman"/>
        </w:rPr>
      </w:pPr>
      <w:bookmarkStart w:id="0" w:name="_GoBack"/>
      <w:bookmarkEnd w:id="0"/>
      <w:r>
        <w:rPr>
          <w:rFonts w:ascii="Times New Roman" w:hAnsi="Times New Roman" w:cs="Times New Roman"/>
        </w:rPr>
        <w:t>Addendum to the Supporting Statement for the SSA-3368</w:t>
      </w:r>
    </w:p>
    <w:p w:rsidR="0079529E" w:rsidRDefault="0079529E" w:rsidP="0079529E">
      <w:pPr>
        <w:pStyle w:val="Heading1"/>
        <w:tabs>
          <w:tab w:val="clear" w:pos="-1440"/>
          <w:tab w:val="clear" w:pos="-720"/>
          <w:tab w:val="clear" w:pos="450"/>
          <w:tab w:val="clear" w:pos="720"/>
          <w:tab w:val="clear" w:pos="900"/>
          <w:tab w:val="clear" w:pos="2160"/>
          <w:tab w:val="clear" w:pos="2880"/>
          <w:tab w:val="clear" w:pos="3600"/>
          <w:tab w:val="clear" w:pos="4320"/>
          <w:tab w:val="clear" w:pos="5040"/>
          <w:tab w:val="clear" w:pos="5760"/>
          <w:tab w:val="clear" w:pos="6480"/>
          <w:tab w:val="clear" w:pos="7200"/>
          <w:tab w:val="clear" w:pos="7920"/>
          <w:tab w:val="clear" w:pos="8640"/>
        </w:tabs>
        <w:jc w:val="center"/>
        <w:rPr>
          <w:rFonts w:ascii="Times New Roman" w:hAnsi="Times New Roman" w:cs="Times New Roman"/>
        </w:rPr>
      </w:pPr>
      <w:r>
        <w:rPr>
          <w:rFonts w:ascii="Times New Roman" w:hAnsi="Times New Roman" w:cs="Times New Roman"/>
        </w:rPr>
        <w:t xml:space="preserve"> Disability Report – Adult</w:t>
      </w:r>
    </w:p>
    <w:p w:rsidR="0079529E" w:rsidRPr="00BC7F42" w:rsidRDefault="0079529E" w:rsidP="0079529E">
      <w:pPr>
        <w:pStyle w:val="Heading1"/>
        <w:tabs>
          <w:tab w:val="clear" w:pos="-1440"/>
          <w:tab w:val="clear" w:pos="-720"/>
          <w:tab w:val="clear" w:pos="450"/>
          <w:tab w:val="clear" w:pos="720"/>
          <w:tab w:val="clear" w:pos="900"/>
          <w:tab w:val="clear" w:pos="2160"/>
          <w:tab w:val="clear" w:pos="2880"/>
          <w:tab w:val="clear" w:pos="3600"/>
          <w:tab w:val="clear" w:pos="4320"/>
          <w:tab w:val="clear" w:pos="5040"/>
          <w:tab w:val="clear" w:pos="5760"/>
          <w:tab w:val="clear" w:pos="6480"/>
          <w:tab w:val="clear" w:pos="7200"/>
          <w:tab w:val="clear" w:pos="7920"/>
          <w:tab w:val="clear" w:pos="8640"/>
        </w:tabs>
        <w:jc w:val="center"/>
        <w:rPr>
          <w:rFonts w:ascii="Times New Roman" w:hAnsi="Times New Roman" w:cs="Times New Roman"/>
        </w:rPr>
      </w:pPr>
      <w:r>
        <w:rPr>
          <w:rFonts w:ascii="Times New Roman" w:hAnsi="Times New Roman" w:cs="Times New Roman"/>
        </w:rPr>
        <w:t>20 CFR 404.1512 and 416.912</w:t>
      </w:r>
    </w:p>
    <w:p w:rsidR="0079529E" w:rsidRPr="00BC7F42" w:rsidRDefault="0079529E" w:rsidP="0079529E">
      <w:pPr>
        <w:pStyle w:val="Heading1"/>
        <w:tabs>
          <w:tab w:val="clear" w:pos="-1440"/>
          <w:tab w:val="clear" w:pos="-720"/>
          <w:tab w:val="clear" w:pos="450"/>
          <w:tab w:val="clear" w:pos="720"/>
          <w:tab w:val="clear" w:pos="900"/>
          <w:tab w:val="clear" w:pos="2160"/>
          <w:tab w:val="clear" w:pos="2880"/>
          <w:tab w:val="clear" w:pos="3600"/>
          <w:tab w:val="clear" w:pos="4320"/>
          <w:tab w:val="clear" w:pos="5040"/>
          <w:tab w:val="clear" w:pos="5760"/>
          <w:tab w:val="clear" w:pos="6480"/>
          <w:tab w:val="clear" w:pos="7200"/>
          <w:tab w:val="clear" w:pos="7920"/>
          <w:tab w:val="clear" w:pos="8640"/>
        </w:tabs>
        <w:jc w:val="center"/>
        <w:rPr>
          <w:rFonts w:ascii="Times New Roman" w:hAnsi="Times New Roman" w:cs="Times New Roman"/>
        </w:rPr>
      </w:pPr>
      <w:r w:rsidRPr="00BC7F42">
        <w:rPr>
          <w:rFonts w:ascii="Times New Roman" w:hAnsi="Times New Roman" w:cs="Times New Roman"/>
        </w:rPr>
        <w:t xml:space="preserve">OMB </w:t>
      </w:r>
      <w:r>
        <w:rPr>
          <w:rFonts w:ascii="Times New Roman" w:hAnsi="Times New Roman" w:cs="Times New Roman"/>
        </w:rPr>
        <w:t>No.</w:t>
      </w:r>
      <w:r w:rsidRPr="00BC7F42">
        <w:rPr>
          <w:rFonts w:ascii="Times New Roman" w:hAnsi="Times New Roman" w:cs="Times New Roman"/>
        </w:rPr>
        <w:t xml:space="preserve"> 0960-</w:t>
      </w:r>
      <w:r>
        <w:rPr>
          <w:rFonts w:ascii="Times New Roman" w:hAnsi="Times New Roman" w:cs="Times New Roman"/>
        </w:rPr>
        <w:t>0579</w:t>
      </w:r>
    </w:p>
    <w:p w:rsidR="0079529E" w:rsidRPr="00664553" w:rsidRDefault="0079529E" w:rsidP="0079529E">
      <w:pPr>
        <w:jc w:val="center"/>
        <w:rPr>
          <w:rFonts w:ascii="Times New Roman" w:hAnsi="Times New Roman"/>
          <w:b/>
          <w:color w:val="FF0000"/>
        </w:rPr>
      </w:pPr>
    </w:p>
    <w:p w:rsidR="0079529E" w:rsidRPr="00BC7F42" w:rsidRDefault="0079529E" w:rsidP="0079529E">
      <w:pPr>
        <w:rPr>
          <w:rFonts w:ascii="Times New Roman" w:hAnsi="Times New Roman"/>
        </w:rPr>
      </w:pPr>
    </w:p>
    <w:p w:rsidR="0079529E" w:rsidRPr="00BC7F42" w:rsidRDefault="0079529E" w:rsidP="0079529E">
      <w:pPr>
        <w:pStyle w:val="Heading7"/>
      </w:pPr>
      <w:r w:rsidRPr="00BC7F42">
        <w:t xml:space="preserve">Terms of Clearance </w:t>
      </w:r>
    </w:p>
    <w:p w:rsidR="00092A93" w:rsidRDefault="00092A93" w:rsidP="00092A93">
      <w:pPr>
        <w:widowControl/>
        <w:autoSpaceDE w:val="0"/>
        <w:autoSpaceDN w:val="0"/>
        <w:adjustRightInd w:val="0"/>
        <w:rPr>
          <w:rFonts w:ascii="Times New Roman" w:eastAsiaTheme="minorHAnsi" w:hAnsi="Times New Roman"/>
          <w:snapToGrid/>
        </w:rPr>
      </w:pPr>
      <w:r>
        <w:rPr>
          <w:rFonts w:ascii="Times New Roman" w:eastAsiaTheme="minorHAnsi" w:hAnsi="Times New Roman"/>
          <w:snapToGrid/>
        </w:rPr>
        <w:t>When we last obtained OMB approval in November 2009, OMB placed the following Terms of Clearance on the information collection request (ICR):</w:t>
      </w:r>
    </w:p>
    <w:p w:rsidR="00092A93" w:rsidRDefault="00092A93" w:rsidP="00092A93">
      <w:pPr>
        <w:widowControl/>
        <w:autoSpaceDE w:val="0"/>
        <w:autoSpaceDN w:val="0"/>
        <w:adjustRightInd w:val="0"/>
        <w:rPr>
          <w:rFonts w:ascii="Times New Roman" w:eastAsiaTheme="minorHAnsi" w:hAnsi="Times New Roman"/>
          <w:snapToGrid/>
        </w:rPr>
      </w:pPr>
    </w:p>
    <w:p w:rsidR="0079529E" w:rsidRPr="00092A93" w:rsidRDefault="00092A93" w:rsidP="00092A93">
      <w:pPr>
        <w:widowControl/>
        <w:autoSpaceDE w:val="0"/>
        <w:autoSpaceDN w:val="0"/>
        <w:adjustRightInd w:val="0"/>
        <w:rPr>
          <w:rFonts w:ascii="Times New Roman" w:eastAsiaTheme="minorHAnsi" w:hAnsi="Times New Roman"/>
          <w:i/>
          <w:snapToGrid/>
        </w:rPr>
      </w:pPr>
      <w:r w:rsidRPr="00092A93">
        <w:rPr>
          <w:rFonts w:ascii="Times New Roman" w:eastAsiaTheme="minorHAnsi" w:hAnsi="Times New Roman"/>
          <w:i/>
          <w:snapToGrid/>
        </w:rPr>
        <w:t xml:space="preserve">As a condition of OMB's approval of this ICR, SSA agrees to destroy its entire stock of the prior SSA-3368 form.  In addition, SSA agrees that it will make no further revisions to the SSA-3368 (OMB 0960-0579) within the three year period for which it’s approved.  In agreeing to this condition, SSA will be allowed to use the paper form for the three-year </w:t>
      </w:r>
      <w:proofErr w:type="gramStart"/>
      <w:r w:rsidRPr="00092A93">
        <w:rPr>
          <w:rFonts w:ascii="Times New Roman" w:eastAsiaTheme="minorHAnsi" w:hAnsi="Times New Roman"/>
          <w:i/>
          <w:snapToGrid/>
        </w:rPr>
        <w:t>period</w:t>
      </w:r>
      <w:proofErr w:type="gramEnd"/>
      <w:r w:rsidRPr="00092A93">
        <w:rPr>
          <w:rFonts w:ascii="Times New Roman" w:eastAsiaTheme="minorHAnsi" w:hAnsi="Times New Roman"/>
          <w:i/>
          <w:snapToGrid/>
        </w:rPr>
        <w:t xml:space="preserve"> without printing an expiration date.</w:t>
      </w:r>
    </w:p>
    <w:p w:rsidR="0079529E" w:rsidRDefault="0079529E" w:rsidP="0079529E">
      <w:pPr>
        <w:pStyle w:val="Heading7"/>
        <w:rPr>
          <w:b w:val="0"/>
          <w:bCs w:val="0"/>
          <w:u w:val="none"/>
        </w:rPr>
      </w:pPr>
    </w:p>
    <w:p w:rsidR="0079529E" w:rsidRDefault="00092A93" w:rsidP="0079529E">
      <w:pPr>
        <w:pStyle w:val="Heading7"/>
        <w:rPr>
          <w:b w:val="0"/>
          <w:bCs w:val="0"/>
          <w:u w:val="none"/>
        </w:rPr>
      </w:pPr>
      <w:r>
        <w:rPr>
          <w:b w:val="0"/>
          <w:bCs w:val="0"/>
          <w:u w:val="none"/>
        </w:rPr>
        <w:t>S</w:t>
      </w:r>
      <w:r w:rsidR="0079529E">
        <w:rPr>
          <w:b w:val="0"/>
          <w:bCs w:val="0"/>
          <w:u w:val="none"/>
        </w:rPr>
        <w:t xml:space="preserve">SA agreed to the </w:t>
      </w:r>
      <w:r>
        <w:rPr>
          <w:b w:val="0"/>
          <w:bCs w:val="0"/>
          <w:u w:val="none"/>
        </w:rPr>
        <w:t>above Terms</w:t>
      </w:r>
      <w:r w:rsidR="0079529E">
        <w:rPr>
          <w:b w:val="0"/>
          <w:bCs w:val="0"/>
          <w:u w:val="none"/>
        </w:rPr>
        <w:t xml:space="preserve"> </w:t>
      </w:r>
      <w:r>
        <w:rPr>
          <w:b w:val="0"/>
          <w:bCs w:val="0"/>
          <w:u w:val="none"/>
        </w:rPr>
        <w:t>and mad</w:t>
      </w:r>
      <w:r w:rsidR="0079529E" w:rsidRPr="00DC3670">
        <w:rPr>
          <w:b w:val="0"/>
          <w:bCs w:val="0"/>
          <w:u w:val="none"/>
        </w:rPr>
        <w:t>e no further revisions to the</w:t>
      </w:r>
      <w:r w:rsidR="0079529E">
        <w:rPr>
          <w:b w:val="0"/>
          <w:bCs w:val="0"/>
          <w:u w:val="none"/>
        </w:rPr>
        <w:t xml:space="preserve"> </w:t>
      </w:r>
      <w:r>
        <w:rPr>
          <w:b w:val="0"/>
          <w:bCs w:val="0"/>
          <w:u w:val="none"/>
        </w:rPr>
        <w:t xml:space="preserve">paper </w:t>
      </w:r>
      <w:r w:rsidR="0079529E" w:rsidRPr="00DC3670">
        <w:rPr>
          <w:b w:val="0"/>
          <w:bCs w:val="0"/>
          <w:u w:val="none"/>
        </w:rPr>
        <w:t>SSA-3368 within the</w:t>
      </w:r>
      <w:r>
        <w:rPr>
          <w:b w:val="0"/>
          <w:bCs w:val="0"/>
          <w:u w:val="none"/>
        </w:rPr>
        <w:t xml:space="preserve"> last</w:t>
      </w:r>
      <w:r w:rsidR="0079529E" w:rsidRPr="00DC3670">
        <w:rPr>
          <w:b w:val="0"/>
          <w:bCs w:val="0"/>
          <w:u w:val="none"/>
        </w:rPr>
        <w:t xml:space="preserve"> three year</w:t>
      </w:r>
      <w:r>
        <w:rPr>
          <w:b w:val="0"/>
          <w:bCs w:val="0"/>
          <w:u w:val="none"/>
        </w:rPr>
        <w:t>s since OMB approved it; therefore, we did not print an expiration date on the form, as per OMB’s allowance</w:t>
      </w:r>
      <w:r w:rsidR="0079529E" w:rsidRPr="00DC3670">
        <w:rPr>
          <w:b w:val="0"/>
          <w:bCs w:val="0"/>
          <w:u w:val="none"/>
        </w:rPr>
        <w:t>.</w:t>
      </w:r>
      <w:r>
        <w:rPr>
          <w:b w:val="0"/>
          <w:bCs w:val="0"/>
          <w:u w:val="none"/>
        </w:rPr>
        <w:t xml:space="preserve"> </w:t>
      </w:r>
      <w:r w:rsidR="0079529E" w:rsidRPr="00DC3670">
        <w:rPr>
          <w:b w:val="0"/>
          <w:bCs w:val="0"/>
          <w:u w:val="none"/>
        </w:rPr>
        <w:t xml:space="preserve"> </w:t>
      </w:r>
      <w:r>
        <w:rPr>
          <w:b w:val="0"/>
          <w:bCs w:val="0"/>
          <w:u w:val="none"/>
        </w:rPr>
        <w:t>We also destroyed our entire stock of the prior SSA-3368 paper forms.  Going forward, we do not intend to make yearly changes to this form; therefore, we will continue to print the forms without an expiration date as per the agreement we have with OMB regarding SSA’s paper forms (see #17 of the Supporting Statement).</w:t>
      </w:r>
    </w:p>
    <w:p w:rsidR="0079529E" w:rsidRDefault="0079529E" w:rsidP="0079529E">
      <w:pPr>
        <w:pStyle w:val="Heading7"/>
      </w:pPr>
    </w:p>
    <w:p w:rsidR="0079529E" w:rsidRPr="00BC7F42" w:rsidRDefault="0079529E" w:rsidP="0079529E">
      <w:pPr>
        <w:pStyle w:val="Heading7"/>
      </w:pPr>
      <w:r w:rsidRPr="00BC7F42">
        <w:t>Revision to the Collection Instrument</w:t>
      </w:r>
    </w:p>
    <w:p w:rsidR="0079529E" w:rsidRPr="00302AA4" w:rsidRDefault="0079529E" w:rsidP="0079529E">
      <w:pPr>
        <w:pStyle w:val="Heading7"/>
        <w:rPr>
          <w:b w:val="0"/>
          <w:bCs w:val="0"/>
          <w:u w:val="none"/>
        </w:rPr>
      </w:pPr>
      <w:r w:rsidRPr="00302AA4">
        <w:rPr>
          <w:b w:val="0"/>
          <w:bCs w:val="0"/>
          <w:u w:val="none"/>
        </w:rPr>
        <w:t>In 2009</w:t>
      </w:r>
      <w:r w:rsidR="006859AE">
        <w:rPr>
          <w:b w:val="0"/>
          <w:bCs w:val="0"/>
          <w:u w:val="none"/>
        </w:rPr>
        <w:t>,</w:t>
      </w:r>
      <w:r w:rsidRPr="00302AA4">
        <w:rPr>
          <w:b w:val="0"/>
          <w:bCs w:val="0"/>
          <w:u w:val="none"/>
        </w:rPr>
        <w:t xml:space="preserve"> when</w:t>
      </w:r>
      <w:r w:rsidR="00092A93">
        <w:rPr>
          <w:b w:val="0"/>
          <w:bCs w:val="0"/>
          <w:u w:val="none"/>
        </w:rPr>
        <w:t xml:space="preserve"> we implemented</w:t>
      </w:r>
      <w:r w:rsidRPr="00302AA4">
        <w:rPr>
          <w:b w:val="0"/>
          <w:bCs w:val="0"/>
          <w:u w:val="none"/>
        </w:rPr>
        <w:t xml:space="preserve"> the revised i3368 (Internet version), the i3368 workgroup added a question about earnings to determine if the respondent needs development of substantial gainful activity (SGA).</w:t>
      </w:r>
      <w:r w:rsidR="00554803">
        <w:rPr>
          <w:b w:val="0"/>
          <w:bCs w:val="0"/>
          <w:u w:val="none"/>
        </w:rPr>
        <w:t xml:space="preserve">  We did not add this question to the paper version of the form, as the paper version already contains questions to help determine if SSA needs to obtain further SGA information from the respondent.</w:t>
      </w:r>
    </w:p>
    <w:p w:rsidR="0079529E" w:rsidRPr="00302AA4" w:rsidRDefault="0079529E" w:rsidP="0079529E">
      <w:pPr>
        <w:pStyle w:val="Heading7"/>
        <w:rPr>
          <w:b w:val="0"/>
          <w:bCs w:val="0"/>
          <w:u w:val="none"/>
        </w:rPr>
      </w:pPr>
    </w:p>
    <w:p w:rsidR="0079529E" w:rsidRPr="00302AA4" w:rsidRDefault="0079529E" w:rsidP="0079529E">
      <w:pPr>
        <w:pStyle w:val="Heading7"/>
        <w:rPr>
          <w:b w:val="0"/>
          <w:bCs w:val="0"/>
          <w:u w:val="none"/>
        </w:rPr>
      </w:pPr>
      <w:r w:rsidRPr="00302AA4">
        <w:rPr>
          <w:b w:val="0"/>
          <w:bCs w:val="0"/>
          <w:u w:val="none"/>
        </w:rPr>
        <w:t>The electronic versions (i3368 and EDCS 3368) of the Adult Disability Report</w:t>
      </w:r>
      <w:r w:rsidR="00BC0D82">
        <w:rPr>
          <w:b w:val="0"/>
          <w:bCs w:val="0"/>
          <w:u w:val="none"/>
        </w:rPr>
        <w:t xml:space="preserve"> automatically</w:t>
      </w:r>
      <w:r w:rsidRPr="00302AA4">
        <w:rPr>
          <w:b w:val="0"/>
          <w:bCs w:val="0"/>
          <w:u w:val="none"/>
        </w:rPr>
        <w:t xml:space="preserve"> present the SGA amount for the year that work activity changed. </w:t>
      </w:r>
      <w:r w:rsidR="00BC0D82">
        <w:rPr>
          <w:b w:val="0"/>
          <w:bCs w:val="0"/>
          <w:u w:val="none"/>
        </w:rPr>
        <w:t xml:space="preserve"> In addition, t</w:t>
      </w:r>
      <w:r w:rsidRPr="00302AA4">
        <w:rPr>
          <w:b w:val="0"/>
          <w:bCs w:val="0"/>
          <w:u w:val="none"/>
        </w:rPr>
        <w:t>he electronic versions</w:t>
      </w:r>
      <w:r w:rsidR="00BC0D82">
        <w:rPr>
          <w:b w:val="0"/>
          <w:bCs w:val="0"/>
          <w:u w:val="none"/>
        </w:rPr>
        <w:t xml:space="preserve"> prompt claims representatives </w:t>
      </w:r>
      <w:r w:rsidRPr="00302AA4">
        <w:rPr>
          <w:b w:val="0"/>
          <w:bCs w:val="0"/>
          <w:u w:val="none"/>
        </w:rPr>
        <w:t xml:space="preserve">to complete a Work Activity Report if </w:t>
      </w:r>
      <w:r w:rsidR="00BC0D82">
        <w:rPr>
          <w:b w:val="0"/>
          <w:bCs w:val="0"/>
          <w:u w:val="none"/>
        </w:rPr>
        <w:t xml:space="preserve">the applicant alleges </w:t>
      </w:r>
      <w:r w:rsidRPr="00302AA4">
        <w:rPr>
          <w:b w:val="0"/>
          <w:bCs w:val="0"/>
          <w:u w:val="none"/>
        </w:rPr>
        <w:t>work above the SGA amount.</w:t>
      </w:r>
    </w:p>
    <w:p w:rsidR="0079529E" w:rsidRPr="00302AA4" w:rsidRDefault="0079529E" w:rsidP="0079529E">
      <w:pPr>
        <w:pStyle w:val="Heading7"/>
        <w:rPr>
          <w:b w:val="0"/>
          <w:bCs w:val="0"/>
          <w:u w:val="none"/>
        </w:rPr>
      </w:pPr>
    </w:p>
    <w:p w:rsidR="0079529E" w:rsidRPr="00302AA4" w:rsidRDefault="0079529E" w:rsidP="0079529E">
      <w:pPr>
        <w:pStyle w:val="Heading7"/>
        <w:rPr>
          <w:b w:val="0"/>
          <w:bCs w:val="0"/>
          <w:u w:val="none"/>
        </w:rPr>
      </w:pPr>
      <w:r w:rsidRPr="00302AA4">
        <w:rPr>
          <w:b w:val="0"/>
          <w:bCs w:val="0"/>
          <w:u w:val="none"/>
        </w:rPr>
        <w:t>The agency continues to promote online filing as the primary way of doing business.  The electronic versions pull the monthly SGA amounts from a global reference table (GRT).  Paper forms are costly to reprint, dispose of, and are for non-electronic claims, EDCS exclusions, and paper filers.  By design, the paper forms are lenient in screening for SGA without disadvantaging the claimant, which is why the preprinted forms may show a previous year’s SGA amount.  The monthly SGA amounts on the preprinted and printable forms are updated every third year with the renewal of the Office of Management and Budget (OMB) approval and clearance of the information collection.</w:t>
      </w:r>
    </w:p>
    <w:p w:rsidR="0079529E" w:rsidRDefault="0079529E" w:rsidP="0079529E">
      <w:pPr>
        <w:rPr>
          <w:rFonts w:ascii="Times New Roman" w:hAnsi="Times New Roman"/>
          <w:i/>
        </w:rPr>
      </w:pPr>
    </w:p>
    <w:p w:rsidR="0079529E" w:rsidRPr="002573AE" w:rsidRDefault="00554803" w:rsidP="0079529E">
      <w:pPr>
        <w:rPr>
          <w:rFonts w:ascii="Times New Roman" w:hAnsi="Times New Roman"/>
        </w:rPr>
      </w:pPr>
      <w:r>
        <w:rPr>
          <w:rFonts w:ascii="Times New Roman" w:hAnsi="Times New Roman"/>
        </w:rPr>
        <w:t>As per our triennial update, w</w:t>
      </w:r>
      <w:r w:rsidR="0079529E" w:rsidRPr="002573AE">
        <w:rPr>
          <w:rFonts w:ascii="Times New Roman" w:hAnsi="Times New Roman"/>
        </w:rPr>
        <w:t>e are changing the SGA amount in questions #4.E. and 4.G.</w:t>
      </w:r>
      <w:r w:rsidR="00BC0D82">
        <w:rPr>
          <w:rFonts w:ascii="Times New Roman" w:hAnsi="Times New Roman"/>
        </w:rPr>
        <w:t xml:space="preserve"> </w:t>
      </w:r>
      <w:r w:rsidR="00BC0D82">
        <w:rPr>
          <w:rFonts w:ascii="Times New Roman" w:hAnsi="Times New Roman"/>
        </w:rPr>
        <w:lastRenderedPageBreak/>
        <w:t>of the paper SSA-3368</w:t>
      </w:r>
      <w:r w:rsidR="0079529E" w:rsidRPr="002573AE">
        <w:rPr>
          <w:rFonts w:ascii="Times New Roman" w:hAnsi="Times New Roman"/>
        </w:rPr>
        <w:t xml:space="preserve"> from “$980” to “$1010”as an adjustment to the SGA earnings question.  We are making this language change for clarification purposes.</w:t>
      </w:r>
    </w:p>
    <w:p w:rsidR="0079529E" w:rsidRDefault="0079529E" w:rsidP="0079529E">
      <w:pPr>
        <w:rPr>
          <w:rFonts w:ascii="Times New Roman" w:hAnsi="Times New Roman"/>
          <w:i/>
        </w:rPr>
      </w:pPr>
    </w:p>
    <w:p w:rsidR="004F48A0" w:rsidRDefault="0079529E">
      <w:pPr>
        <w:rPr>
          <w:rFonts w:ascii="Times New Roman" w:hAnsi="Times New Roman"/>
        </w:rPr>
      </w:pPr>
      <w:r>
        <w:rPr>
          <w:rFonts w:ascii="Times New Roman" w:hAnsi="Times New Roman"/>
        </w:rPr>
        <w:t>We will use the old preprint</w:t>
      </w:r>
      <w:r w:rsidR="00BC0D82">
        <w:rPr>
          <w:rFonts w:ascii="Times New Roman" w:hAnsi="Times New Roman"/>
        </w:rPr>
        <w:t xml:space="preserve">ed paper stock (dated 01-2010) </w:t>
      </w:r>
      <w:r>
        <w:rPr>
          <w:rFonts w:ascii="Times New Roman" w:hAnsi="Times New Roman"/>
        </w:rPr>
        <w:t>until the stock is depleted and then switch to the updated version.</w:t>
      </w:r>
    </w:p>
    <w:p w:rsidR="00BC0D82" w:rsidRDefault="00BC0D82">
      <w:pPr>
        <w:rPr>
          <w:rFonts w:ascii="Times New Roman" w:hAnsi="Times New Roman"/>
        </w:rPr>
      </w:pPr>
    </w:p>
    <w:p w:rsidR="00BC0D82" w:rsidRDefault="00BC0D82">
      <w:pPr>
        <w:rPr>
          <w:rFonts w:ascii="Times New Roman" w:hAnsi="Times New Roman"/>
        </w:rPr>
      </w:pPr>
      <w:r>
        <w:rPr>
          <w:rFonts w:ascii="Times New Roman" w:hAnsi="Times New Roman"/>
        </w:rPr>
        <w:t xml:space="preserve">In addition, we are discontinued use of the i3368-PRO upon full implementation of the revised i3368 Internet application as promised in our last full ICR.  We successfully completed full implementation of the i3368 as promised in our last request.  Therefore, we are removing the IC for the i3368-PRO from this ICR.  The i3368 absorbs the former i3368PRO users.  </w:t>
      </w:r>
    </w:p>
    <w:p w:rsidR="00F60E49" w:rsidRDefault="00F60E49">
      <w:pPr>
        <w:rPr>
          <w:rFonts w:ascii="Times New Roman" w:hAnsi="Times New Roman"/>
        </w:rPr>
      </w:pPr>
    </w:p>
    <w:p w:rsidR="00F60E49" w:rsidRPr="004F0DFA" w:rsidRDefault="00F60E49" w:rsidP="00F60E49">
      <w:pPr>
        <w:rPr>
          <w:rFonts w:ascii="Times New Roman" w:hAnsi="Times New Roman"/>
          <w:bCs/>
        </w:rPr>
      </w:pPr>
      <w:r>
        <w:rPr>
          <w:rFonts w:ascii="Times New Roman" w:hAnsi="Times New Roman"/>
        </w:rPr>
        <w:t xml:space="preserve">Finally, </w:t>
      </w:r>
      <w:r>
        <w:rPr>
          <w:rFonts w:ascii="Times New Roman" w:hAnsi="Times New Roman"/>
          <w:bCs/>
        </w:rPr>
        <w:t>we are revising the PRA statement to reflect our current boilerplate language because our current language is outdated.  In addition, SSA’s Office of the General Counsel is conducting a systematic review of SSA’s Privacy Act Statements on agency forms.  As a result, SSA is updating the Privacy Act Statement on this form.</w:t>
      </w:r>
    </w:p>
    <w:p w:rsidR="00F60E49" w:rsidRPr="0079529E" w:rsidRDefault="00F60E49">
      <w:pPr>
        <w:rPr>
          <w:rFonts w:ascii="Times New Roman" w:hAnsi="Times New Roman"/>
        </w:rPr>
      </w:pPr>
    </w:p>
    <w:sectPr w:rsidR="00F60E49" w:rsidRPr="0079529E">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29E"/>
    <w:rsid w:val="00092A93"/>
    <w:rsid w:val="001C3956"/>
    <w:rsid w:val="004F48A0"/>
    <w:rsid w:val="00512B55"/>
    <w:rsid w:val="00554803"/>
    <w:rsid w:val="006859AE"/>
    <w:rsid w:val="0079529E"/>
    <w:rsid w:val="00BC0D82"/>
    <w:rsid w:val="00CD5542"/>
    <w:rsid w:val="00F60E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529E"/>
    <w:pPr>
      <w:widowControl w:val="0"/>
      <w:spacing w:after="0" w:line="240" w:lineRule="auto"/>
    </w:pPr>
    <w:rPr>
      <w:rFonts w:ascii="Courier" w:eastAsia="Times New Roman" w:hAnsi="Courier" w:cs="Times New Roman"/>
      <w:snapToGrid w:val="0"/>
      <w:sz w:val="24"/>
      <w:szCs w:val="24"/>
    </w:rPr>
  </w:style>
  <w:style w:type="paragraph" w:styleId="Heading1">
    <w:name w:val="heading 1"/>
    <w:basedOn w:val="Normal"/>
    <w:next w:val="Normal"/>
    <w:link w:val="Heading1Char"/>
    <w:qFormat/>
    <w:rsid w:val="0079529E"/>
    <w:pPr>
      <w:keepNext/>
      <w:tabs>
        <w:tab w:val="left" w:pos="-1440"/>
        <w:tab w:val="left" w:pos="-720"/>
        <w:tab w:val="left" w:pos="450"/>
        <w:tab w:val="left" w:pos="720"/>
        <w:tab w:val="left" w:pos="900"/>
        <w:tab w:val="left" w:pos="2160"/>
        <w:tab w:val="left" w:pos="2880"/>
        <w:tab w:val="left" w:pos="3600"/>
        <w:tab w:val="left" w:pos="4320"/>
        <w:tab w:val="left" w:pos="5040"/>
        <w:tab w:val="left" w:pos="5760"/>
        <w:tab w:val="left" w:pos="6480"/>
        <w:tab w:val="left" w:pos="7200"/>
        <w:tab w:val="left" w:pos="7920"/>
        <w:tab w:val="left" w:pos="8640"/>
      </w:tabs>
      <w:outlineLvl w:val="0"/>
    </w:pPr>
    <w:rPr>
      <w:rFonts w:ascii="Courier New" w:hAnsi="Courier New" w:cs="Courier New"/>
      <w:b/>
      <w:bCs/>
    </w:rPr>
  </w:style>
  <w:style w:type="paragraph" w:styleId="Heading7">
    <w:name w:val="heading 7"/>
    <w:basedOn w:val="Normal"/>
    <w:next w:val="Normal"/>
    <w:link w:val="Heading7Char"/>
    <w:qFormat/>
    <w:rsid w:val="0079529E"/>
    <w:pPr>
      <w:keepNext/>
      <w:outlineLvl w:val="6"/>
    </w:pPr>
    <w:rPr>
      <w:rFonts w:ascii="Times New Roman" w:hAnsi="Times New Roman"/>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9529E"/>
    <w:rPr>
      <w:rFonts w:ascii="Courier New" w:eastAsia="Times New Roman" w:hAnsi="Courier New" w:cs="Courier New"/>
      <w:b/>
      <w:bCs/>
      <w:snapToGrid w:val="0"/>
      <w:sz w:val="24"/>
      <w:szCs w:val="24"/>
    </w:rPr>
  </w:style>
  <w:style w:type="character" w:customStyle="1" w:styleId="Heading7Char">
    <w:name w:val="Heading 7 Char"/>
    <w:basedOn w:val="DefaultParagraphFont"/>
    <w:link w:val="Heading7"/>
    <w:rsid w:val="0079529E"/>
    <w:rPr>
      <w:rFonts w:ascii="Times New Roman" w:eastAsia="Times New Roman" w:hAnsi="Times New Roman" w:cs="Times New Roman"/>
      <w:b/>
      <w:bCs/>
      <w:snapToGrid w:val="0"/>
      <w:sz w:val="24"/>
      <w:szCs w:val="24"/>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529E"/>
    <w:pPr>
      <w:widowControl w:val="0"/>
      <w:spacing w:after="0" w:line="240" w:lineRule="auto"/>
    </w:pPr>
    <w:rPr>
      <w:rFonts w:ascii="Courier" w:eastAsia="Times New Roman" w:hAnsi="Courier" w:cs="Times New Roman"/>
      <w:snapToGrid w:val="0"/>
      <w:sz w:val="24"/>
      <w:szCs w:val="24"/>
    </w:rPr>
  </w:style>
  <w:style w:type="paragraph" w:styleId="Heading1">
    <w:name w:val="heading 1"/>
    <w:basedOn w:val="Normal"/>
    <w:next w:val="Normal"/>
    <w:link w:val="Heading1Char"/>
    <w:qFormat/>
    <w:rsid w:val="0079529E"/>
    <w:pPr>
      <w:keepNext/>
      <w:tabs>
        <w:tab w:val="left" w:pos="-1440"/>
        <w:tab w:val="left" w:pos="-720"/>
        <w:tab w:val="left" w:pos="450"/>
        <w:tab w:val="left" w:pos="720"/>
        <w:tab w:val="left" w:pos="900"/>
        <w:tab w:val="left" w:pos="2160"/>
        <w:tab w:val="left" w:pos="2880"/>
        <w:tab w:val="left" w:pos="3600"/>
        <w:tab w:val="left" w:pos="4320"/>
        <w:tab w:val="left" w:pos="5040"/>
        <w:tab w:val="left" w:pos="5760"/>
        <w:tab w:val="left" w:pos="6480"/>
        <w:tab w:val="left" w:pos="7200"/>
        <w:tab w:val="left" w:pos="7920"/>
        <w:tab w:val="left" w:pos="8640"/>
      </w:tabs>
      <w:outlineLvl w:val="0"/>
    </w:pPr>
    <w:rPr>
      <w:rFonts w:ascii="Courier New" w:hAnsi="Courier New" w:cs="Courier New"/>
      <w:b/>
      <w:bCs/>
    </w:rPr>
  </w:style>
  <w:style w:type="paragraph" w:styleId="Heading7">
    <w:name w:val="heading 7"/>
    <w:basedOn w:val="Normal"/>
    <w:next w:val="Normal"/>
    <w:link w:val="Heading7Char"/>
    <w:qFormat/>
    <w:rsid w:val="0079529E"/>
    <w:pPr>
      <w:keepNext/>
      <w:outlineLvl w:val="6"/>
    </w:pPr>
    <w:rPr>
      <w:rFonts w:ascii="Times New Roman" w:hAnsi="Times New Roman"/>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9529E"/>
    <w:rPr>
      <w:rFonts w:ascii="Courier New" w:eastAsia="Times New Roman" w:hAnsi="Courier New" w:cs="Courier New"/>
      <w:b/>
      <w:bCs/>
      <w:snapToGrid w:val="0"/>
      <w:sz w:val="24"/>
      <w:szCs w:val="24"/>
    </w:rPr>
  </w:style>
  <w:style w:type="character" w:customStyle="1" w:styleId="Heading7Char">
    <w:name w:val="Heading 7 Char"/>
    <w:basedOn w:val="DefaultParagraphFont"/>
    <w:link w:val="Heading7"/>
    <w:rsid w:val="0079529E"/>
    <w:rPr>
      <w:rFonts w:ascii="Times New Roman" w:eastAsia="Times New Roman" w:hAnsi="Times New Roman" w:cs="Times New Roman"/>
      <w:b/>
      <w:bCs/>
      <w:snapToGrid w:val="0"/>
      <w:sz w:val="24"/>
      <w:szCs w:val="24"/>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556</Words>
  <Characters>3173</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Social Security Administration</Company>
  <LinksUpToDate>false</LinksUpToDate>
  <CharactersWithSpaces>3722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Naomi</dc:creator>
  <cp:lastModifiedBy>889123</cp:lastModifiedBy>
  <cp:revision>2</cp:revision>
  <dcterms:created xsi:type="dcterms:W3CDTF">2012-08-09T13:17:00Z</dcterms:created>
  <dcterms:modified xsi:type="dcterms:W3CDTF">2012-08-09T13:17:00Z</dcterms:modified>
</cp:coreProperties>
</file>