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6E9" w:rsidRDefault="004F26E9">
      <w:pPr>
        <w:jc w:val="center"/>
        <w:rPr>
          <w:b/>
          <w:bCs/>
          <w:sz w:val="24"/>
          <w:szCs w:val="24"/>
        </w:rPr>
      </w:pPr>
      <w:bookmarkStart w:id="0" w:name="_GoBack"/>
      <w:bookmarkEnd w:id="0"/>
      <w:r>
        <w:rPr>
          <w:b/>
          <w:bCs/>
          <w:sz w:val="24"/>
          <w:szCs w:val="24"/>
        </w:rPr>
        <w:t>SUPPORTING STATEMENT</w:t>
      </w:r>
    </w:p>
    <w:p w:rsidR="004F26E9" w:rsidRDefault="00B20C9F">
      <w:pPr>
        <w:jc w:val="center"/>
        <w:rPr>
          <w:b/>
          <w:bCs/>
          <w:sz w:val="24"/>
          <w:szCs w:val="24"/>
        </w:rPr>
      </w:pPr>
      <w:r>
        <w:rPr>
          <w:b/>
          <w:bCs/>
          <w:sz w:val="24"/>
          <w:szCs w:val="24"/>
        </w:rPr>
        <w:t>(</w:t>
      </w:r>
      <w:r w:rsidR="009603ED" w:rsidRPr="009603ED">
        <w:rPr>
          <w:b/>
          <w:sz w:val="24"/>
          <w:szCs w:val="24"/>
        </w:rPr>
        <w:t>Employment and Training Administration Financial Report Form ETA-9130</w:t>
      </w:r>
      <w:r w:rsidR="004F26E9" w:rsidRPr="009603ED">
        <w:rPr>
          <w:b/>
          <w:bCs/>
          <w:sz w:val="24"/>
          <w:szCs w:val="24"/>
        </w:rPr>
        <w:t>)</w:t>
      </w:r>
    </w:p>
    <w:p w:rsidR="004F26E9" w:rsidRDefault="004F26E9">
      <w:pPr>
        <w:jc w:val="center"/>
        <w:rPr>
          <w:sz w:val="24"/>
          <w:szCs w:val="24"/>
        </w:rPr>
      </w:pPr>
      <w:r>
        <w:rPr>
          <w:b/>
          <w:bCs/>
          <w:sz w:val="24"/>
          <w:szCs w:val="24"/>
        </w:rPr>
        <w:t xml:space="preserve">OMB CONTROL NO. </w:t>
      </w:r>
      <w:r w:rsidR="00CB0D64">
        <w:rPr>
          <w:b/>
          <w:bCs/>
          <w:sz w:val="24"/>
          <w:szCs w:val="24"/>
        </w:rPr>
        <w:t>1205</w:t>
      </w:r>
      <w:r>
        <w:rPr>
          <w:b/>
          <w:bCs/>
          <w:sz w:val="24"/>
          <w:szCs w:val="24"/>
        </w:rPr>
        <w:t>-</w:t>
      </w:r>
      <w:r w:rsidR="009603ED">
        <w:rPr>
          <w:b/>
          <w:bCs/>
          <w:sz w:val="24"/>
          <w:szCs w:val="24"/>
        </w:rPr>
        <w:t>0461</w:t>
      </w:r>
      <w:r w:rsidR="00D47476">
        <w:rPr>
          <w:b/>
          <w:bCs/>
          <w:sz w:val="24"/>
          <w:szCs w:val="24"/>
        </w:rPr>
        <w:t xml:space="preserve"> </w:t>
      </w:r>
    </w:p>
    <w:p w:rsidR="004F26E9" w:rsidRDefault="004F26E9">
      <w:pPr>
        <w:rPr>
          <w:sz w:val="24"/>
          <w:szCs w:val="24"/>
        </w:rPr>
      </w:pPr>
    </w:p>
    <w:p w:rsidR="004F26E9" w:rsidRDefault="004F26E9">
      <w:pPr>
        <w:rPr>
          <w:sz w:val="24"/>
          <w:szCs w:val="24"/>
        </w:rPr>
      </w:pPr>
    </w:p>
    <w:p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rsidR="004F26E9" w:rsidRDefault="004F26E9">
      <w:pPr>
        <w:rPr>
          <w:sz w:val="24"/>
          <w:szCs w:val="24"/>
        </w:rPr>
      </w:pPr>
    </w:p>
    <w:p w:rsidR="004F26E9" w:rsidRDefault="004F26E9">
      <w:pPr>
        <w:rPr>
          <w:sz w:val="24"/>
          <w:szCs w:val="24"/>
        </w:rPr>
        <w:sectPr w:rsidR="004F26E9">
          <w:footerReference w:type="default" r:id="rId6"/>
          <w:footnotePr>
            <w:numRestart w:val="eachSect"/>
          </w:footnotePr>
          <w:endnotePr>
            <w:numFmt w:val="decimal"/>
          </w:endnotePr>
          <w:type w:val="continuous"/>
          <w:pgSz w:w="12240" w:h="15840"/>
          <w:pgMar w:top="1440" w:right="1440" w:bottom="1080" w:left="1440" w:header="720" w:footer="720" w:gutter="0"/>
          <w:cols w:space="720"/>
        </w:sectPr>
      </w:pPr>
    </w:p>
    <w:p w:rsidR="004F26E9" w:rsidRDefault="004F26E9">
      <w:pPr>
        <w:rPr>
          <w:b/>
          <w:bCs/>
          <w:sz w:val="24"/>
          <w:szCs w:val="24"/>
          <w:u w:val="single"/>
        </w:rPr>
      </w:pPr>
      <w:r>
        <w:rPr>
          <w:b/>
          <w:bCs/>
          <w:sz w:val="24"/>
          <w:szCs w:val="24"/>
        </w:rPr>
        <w:lastRenderedPageBreak/>
        <w:t xml:space="preserve">1.  </w:t>
      </w:r>
      <w:r>
        <w:rPr>
          <w:b/>
          <w:bCs/>
          <w:sz w:val="24"/>
          <w:szCs w:val="24"/>
          <w:u w:val="single"/>
        </w:rPr>
        <w:t>Explain the circumstances that make the collection of information necessary.</w:t>
      </w:r>
    </w:p>
    <w:p w:rsidR="009603ED" w:rsidRDefault="009603ED" w:rsidP="009603ED">
      <w:pPr>
        <w:ind w:left="-90"/>
        <w:rPr>
          <w:sz w:val="24"/>
          <w:szCs w:val="24"/>
        </w:rPr>
      </w:pPr>
      <w:r>
        <w:rPr>
          <w:sz w:val="24"/>
          <w:szCs w:val="24"/>
        </w:rPr>
        <w:t xml:space="preserve">  </w:t>
      </w:r>
    </w:p>
    <w:p w:rsidR="00B95D34" w:rsidRDefault="009603ED" w:rsidP="009603ED">
      <w:pPr>
        <w:ind w:left="-90"/>
        <w:rPr>
          <w:sz w:val="24"/>
          <w:szCs w:val="24"/>
        </w:rPr>
      </w:pPr>
      <w:r>
        <w:rPr>
          <w:sz w:val="24"/>
          <w:szCs w:val="24"/>
        </w:rPr>
        <w:t xml:space="preserve">  </w:t>
      </w:r>
      <w:r w:rsidR="00430A8E">
        <w:rPr>
          <w:sz w:val="24"/>
          <w:szCs w:val="24"/>
        </w:rPr>
        <w:t>The Employment and Training Administration (ETA) seeks approval of an extension with</w:t>
      </w:r>
    </w:p>
    <w:p w:rsidR="00B374B8" w:rsidRDefault="00B95D34" w:rsidP="009603ED">
      <w:pPr>
        <w:ind w:left="-90"/>
        <w:rPr>
          <w:sz w:val="24"/>
          <w:szCs w:val="24"/>
        </w:rPr>
      </w:pPr>
      <w:r>
        <w:rPr>
          <w:sz w:val="24"/>
          <w:szCs w:val="24"/>
        </w:rPr>
        <w:t xml:space="preserve">  nonsubstantive </w:t>
      </w:r>
      <w:r w:rsidR="00430A8E">
        <w:rPr>
          <w:sz w:val="24"/>
          <w:szCs w:val="24"/>
        </w:rPr>
        <w:t>changes.</w:t>
      </w:r>
      <w:r w:rsidR="003F4913">
        <w:rPr>
          <w:sz w:val="24"/>
          <w:szCs w:val="24"/>
        </w:rPr>
        <w:t xml:space="preserve">  ETA has made minor changes to the reporting instructions </w:t>
      </w:r>
      <w:r w:rsidR="000F0BE7">
        <w:rPr>
          <w:sz w:val="24"/>
          <w:szCs w:val="24"/>
        </w:rPr>
        <w:t>only</w:t>
      </w:r>
      <w:r w:rsidR="00B374B8">
        <w:rPr>
          <w:sz w:val="24"/>
          <w:szCs w:val="24"/>
        </w:rPr>
        <w:t>.  The</w:t>
      </w:r>
    </w:p>
    <w:p w:rsidR="00B374B8" w:rsidRDefault="00B374B8" w:rsidP="009603ED">
      <w:pPr>
        <w:ind w:left="-90"/>
        <w:rPr>
          <w:sz w:val="24"/>
          <w:szCs w:val="24"/>
        </w:rPr>
      </w:pPr>
      <w:r>
        <w:rPr>
          <w:sz w:val="24"/>
          <w:szCs w:val="24"/>
        </w:rPr>
        <w:t xml:space="preserve">  minor changes </w:t>
      </w:r>
      <w:r w:rsidR="00430A8E">
        <w:rPr>
          <w:sz w:val="24"/>
          <w:szCs w:val="24"/>
        </w:rPr>
        <w:t>clarify</w:t>
      </w:r>
      <w:r w:rsidR="000F0BE7">
        <w:rPr>
          <w:sz w:val="24"/>
          <w:szCs w:val="24"/>
        </w:rPr>
        <w:t xml:space="preserve"> </w:t>
      </w:r>
      <w:r w:rsidR="003F4913">
        <w:rPr>
          <w:sz w:val="24"/>
          <w:szCs w:val="24"/>
        </w:rPr>
        <w:t xml:space="preserve">the </w:t>
      </w:r>
      <w:r w:rsidR="00430A8E">
        <w:rPr>
          <w:sz w:val="24"/>
          <w:szCs w:val="24"/>
        </w:rPr>
        <w:t>instructions</w:t>
      </w:r>
      <w:r w:rsidR="00B95D34">
        <w:rPr>
          <w:sz w:val="24"/>
          <w:szCs w:val="24"/>
        </w:rPr>
        <w:t xml:space="preserve"> </w:t>
      </w:r>
      <w:r w:rsidR="00430A8E">
        <w:rPr>
          <w:sz w:val="24"/>
          <w:szCs w:val="24"/>
        </w:rPr>
        <w:t>previously approved by OMB on November 3, 2009.</w:t>
      </w:r>
    </w:p>
    <w:p w:rsidR="00E06AE7" w:rsidRDefault="00E06AE7" w:rsidP="009603ED">
      <w:pPr>
        <w:ind w:left="-90"/>
        <w:rPr>
          <w:sz w:val="24"/>
          <w:szCs w:val="24"/>
        </w:rPr>
      </w:pPr>
    </w:p>
    <w:p w:rsidR="00B374B8" w:rsidRDefault="003F4913" w:rsidP="009603ED">
      <w:pPr>
        <w:ind w:left="-90"/>
        <w:rPr>
          <w:sz w:val="24"/>
          <w:szCs w:val="24"/>
        </w:rPr>
      </w:pPr>
      <w:r>
        <w:rPr>
          <w:sz w:val="24"/>
          <w:szCs w:val="24"/>
        </w:rPr>
        <w:t xml:space="preserve">  </w:t>
      </w:r>
      <w:r w:rsidR="00430A8E">
        <w:rPr>
          <w:sz w:val="24"/>
          <w:szCs w:val="24"/>
        </w:rPr>
        <w:t>ETA</w:t>
      </w:r>
      <w:r w:rsidR="00B374B8">
        <w:rPr>
          <w:sz w:val="24"/>
          <w:szCs w:val="24"/>
        </w:rPr>
        <w:t xml:space="preserve"> </w:t>
      </w:r>
      <w:r w:rsidR="00430A8E">
        <w:rPr>
          <w:sz w:val="24"/>
          <w:szCs w:val="24"/>
        </w:rPr>
        <w:t>would also</w:t>
      </w:r>
      <w:r w:rsidR="00B374B8">
        <w:rPr>
          <w:sz w:val="24"/>
          <w:szCs w:val="24"/>
        </w:rPr>
        <w:t xml:space="preserve"> </w:t>
      </w:r>
      <w:r w:rsidR="00430A8E">
        <w:rPr>
          <w:sz w:val="24"/>
          <w:szCs w:val="24"/>
        </w:rPr>
        <w:t>like to</w:t>
      </w:r>
      <w:r w:rsidR="000F0BE7">
        <w:rPr>
          <w:sz w:val="24"/>
          <w:szCs w:val="24"/>
        </w:rPr>
        <w:t xml:space="preserve"> </w:t>
      </w:r>
      <w:r w:rsidR="00430A8E">
        <w:rPr>
          <w:sz w:val="24"/>
          <w:szCs w:val="24"/>
        </w:rPr>
        <w:t>mention the</w:t>
      </w:r>
      <w:r w:rsidR="00B95D34">
        <w:rPr>
          <w:sz w:val="24"/>
          <w:szCs w:val="24"/>
        </w:rPr>
        <w:t xml:space="preserve"> </w:t>
      </w:r>
      <w:r w:rsidR="00430A8E">
        <w:rPr>
          <w:sz w:val="24"/>
          <w:szCs w:val="24"/>
        </w:rPr>
        <w:t xml:space="preserve">recent </w:t>
      </w:r>
      <w:r>
        <w:rPr>
          <w:sz w:val="24"/>
          <w:szCs w:val="24"/>
        </w:rPr>
        <w:t xml:space="preserve">approval of </w:t>
      </w:r>
      <w:r w:rsidR="00B95D34">
        <w:rPr>
          <w:sz w:val="24"/>
          <w:szCs w:val="24"/>
        </w:rPr>
        <w:t>a nonsubstantive change for the Trade</w:t>
      </w:r>
    </w:p>
    <w:p w:rsidR="00B374B8" w:rsidRDefault="00B374B8" w:rsidP="009603ED">
      <w:pPr>
        <w:ind w:left="-90"/>
        <w:rPr>
          <w:sz w:val="24"/>
          <w:szCs w:val="24"/>
        </w:rPr>
      </w:pPr>
      <w:r>
        <w:rPr>
          <w:sz w:val="24"/>
          <w:szCs w:val="24"/>
        </w:rPr>
        <w:t xml:space="preserve">  </w:t>
      </w:r>
      <w:r w:rsidR="00B95D34">
        <w:rPr>
          <w:sz w:val="24"/>
          <w:szCs w:val="24"/>
        </w:rPr>
        <w:t>Adjustment</w:t>
      </w:r>
      <w:r>
        <w:rPr>
          <w:sz w:val="24"/>
          <w:szCs w:val="24"/>
        </w:rPr>
        <w:t xml:space="preserve"> </w:t>
      </w:r>
      <w:r w:rsidR="00B95D34">
        <w:rPr>
          <w:sz w:val="24"/>
          <w:szCs w:val="24"/>
        </w:rPr>
        <w:t>Assistance</w:t>
      </w:r>
      <w:r w:rsidR="000F0BE7">
        <w:rPr>
          <w:sz w:val="24"/>
          <w:szCs w:val="24"/>
        </w:rPr>
        <w:t xml:space="preserve"> </w:t>
      </w:r>
      <w:r w:rsidR="00B95D34">
        <w:rPr>
          <w:sz w:val="24"/>
          <w:szCs w:val="24"/>
        </w:rPr>
        <w:t>Program (TAA)</w:t>
      </w:r>
      <w:r>
        <w:rPr>
          <w:sz w:val="24"/>
          <w:szCs w:val="24"/>
        </w:rPr>
        <w:t>, January 4, 2012</w:t>
      </w:r>
      <w:r w:rsidR="00B95D34">
        <w:rPr>
          <w:sz w:val="24"/>
          <w:szCs w:val="24"/>
        </w:rPr>
        <w:t>.  The change was required to allow</w:t>
      </w:r>
    </w:p>
    <w:p w:rsidR="00B374B8" w:rsidRDefault="00B374B8" w:rsidP="009603ED">
      <w:pPr>
        <w:ind w:left="-90"/>
        <w:rPr>
          <w:sz w:val="24"/>
          <w:szCs w:val="24"/>
        </w:rPr>
      </w:pPr>
      <w:r>
        <w:rPr>
          <w:sz w:val="24"/>
          <w:szCs w:val="24"/>
        </w:rPr>
        <w:t xml:space="preserve"> </w:t>
      </w:r>
      <w:r w:rsidR="00B95D34">
        <w:rPr>
          <w:sz w:val="24"/>
          <w:szCs w:val="24"/>
        </w:rPr>
        <w:t xml:space="preserve"> ETA to be in compliance with</w:t>
      </w:r>
      <w:r>
        <w:rPr>
          <w:sz w:val="24"/>
          <w:szCs w:val="24"/>
        </w:rPr>
        <w:t xml:space="preserve"> </w:t>
      </w:r>
      <w:r w:rsidR="00B95D34">
        <w:rPr>
          <w:sz w:val="24"/>
          <w:szCs w:val="24"/>
        </w:rPr>
        <w:t>the new trade</w:t>
      </w:r>
      <w:r w:rsidR="000F0BE7">
        <w:rPr>
          <w:sz w:val="24"/>
          <w:szCs w:val="24"/>
        </w:rPr>
        <w:t xml:space="preserve"> </w:t>
      </w:r>
      <w:r w:rsidR="00B95D34">
        <w:rPr>
          <w:sz w:val="24"/>
          <w:szCs w:val="24"/>
        </w:rPr>
        <w:t>legislation the enactment of the TAA Extension Act</w:t>
      </w:r>
    </w:p>
    <w:p w:rsidR="00B95D34" w:rsidRDefault="00B374B8" w:rsidP="009603ED">
      <w:pPr>
        <w:ind w:left="-90"/>
        <w:rPr>
          <w:sz w:val="24"/>
          <w:szCs w:val="24"/>
        </w:rPr>
      </w:pPr>
      <w:r>
        <w:rPr>
          <w:sz w:val="24"/>
          <w:szCs w:val="24"/>
        </w:rPr>
        <w:t xml:space="preserve"> </w:t>
      </w:r>
      <w:r w:rsidR="00B95D34">
        <w:rPr>
          <w:sz w:val="24"/>
          <w:szCs w:val="24"/>
        </w:rPr>
        <w:t xml:space="preserve"> </w:t>
      </w:r>
      <w:r w:rsidR="00617786">
        <w:rPr>
          <w:sz w:val="24"/>
          <w:szCs w:val="24"/>
        </w:rPr>
        <w:t>o</w:t>
      </w:r>
      <w:r w:rsidR="00B95D34">
        <w:rPr>
          <w:sz w:val="24"/>
          <w:szCs w:val="24"/>
        </w:rPr>
        <w:t>f</w:t>
      </w:r>
      <w:r w:rsidR="00617786">
        <w:rPr>
          <w:sz w:val="24"/>
          <w:szCs w:val="24"/>
        </w:rPr>
        <w:t xml:space="preserve"> </w:t>
      </w:r>
      <w:r w:rsidR="00B95D34">
        <w:rPr>
          <w:sz w:val="24"/>
          <w:szCs w:val="24"/>
        </w:rPr>
        <w:t>2011</w:t>
      </w:r>
      <w:r w:rsidR="000F0BE7">
        <w:rPr>
          <w:sz w:val="24"/>
          <w:szCs w:val="24"/>
        </w:rPr>
        <w:t>.</w:t>
      </w:r>
    </w:p>
    <w:p w:rsidR="00430A8E" w:rsidRDefault="00430A8E" w:rsidP="009603ED">
      <w:pPr>
        <w:ind w:left="-90"/>
        <w:rPr>
          <w:sz w:val="24"/>
          <w:szCs w:val="24"/>
        </w:rPr>
      </w:pPr>
    </w:p>
    <w:p w:rsidR="009603ED" w:rsidRPr="009603ED" w:rsidRDefault="009603ED" w:rsidP="008313A1">
      <w:pPr>
        <w:ind w:left="90"/>
        <w:rPr>
          <w:sz w:val="24"/>
          <w:szCs w:val="24"/>
        </w:rPr>
      </w:pPr>
      <w:r w:rsidRPr="009603ED">
        <w:rPr>
          <w:sz w:val="24"/>
          <w:szCs w:val="24"/>
        </w:rPr>
        <w:t>Financial reporting requirements for Federal programs are prescribed in OMB Circulars A-102</w:t>
      </w:r>
      <w:r w:rsidR="008313A1">
        <w:rPr>
          <w:sz w:val="24"/>
          <w:szCs w:val="24"/>
        </w:rPr>
        <w:t xml:space="preserve"> </w:t>
      </w:r>
      <w:r w:rsidRPr="009603ED">
        <w:rPr>
          <w:sz w:val="24"/>
          <w:szCs w:val="24"/>
        </w:rPr>
        <w:t xml:space="preserve"> and A-110.  U.S. DOL has codified these requirements at 29 CFR 95.52 and 29 CFR</w:t>
      </w:r>
      <w:r>
        <w:rPr>
          <w:sz w:val="24"/>
          <w:szCs w:val="24"/>
        </w:rPr>
        <w:t xml:space="preserve"> </w:t>
      </w:r>
      <w:r w:rsidR="0025379E">
        <w:rPr>
          <w:sz w:val="24"/>
          <w:szCs w:val="24"/>
        </w:rPr>
        <w:t>9</w:t>
      </w:r>
      <w:r>
        <w:rPr>
          <w:sz w:val="24"/>
          <w:szCs w:val="24"/>
        </w:rPr>
        <w:t>7.41,</w:t>
      </w:r>
      <w:r w:rsidR="008313A1">
        <w:rPr>
          <w:sz w:val="24"/>
          <w:szCs w:val="24"/>
        </w:rPr>
        <w:t xml:space="preserve"> </w:t>
      </w:r>
      <w:r>
        <w:rPr>
          <w:sz w:val="24"/>
          <w:szCs w:val="24"/>
        </w:rPr>
        <w:t xml:space="preserve">which  </w:t>
      </w:r>
      <w:r w:rsidRPr="009603ED">
        <w:rPr>
          <w:sz w:val="24"/>
          <w:szCs w:val="24"/>
        </w:rPr>
        <w:t>specify that forms approved by OMB are authorized for obtaining financial information from</w:t>
      </w:r>
      <w:r w:rsidR="008313A1">
        <w:rPr>
          <w:sz w:val="24"/>
          <w:szCs w:val="24"/>
        </w:rPr>
        <w:t xml:space="preserve"> </w:t>
      </w:r>
      <w:r w:rsidRPr="009603ED">
        <w:rPr>
          <w:sz w:val="24"/>
          <w:szCs w:val="24"/>
        </w:rPr>
        <w:t xml:space="preserve">recipients. </w:t>
      </w:r>
    </w:p>
    <w:p w:rsidR="009603ED" w:rsidRPr="009603ED" w:rsidRDefault="009603ED" w:rsidP="009603ED">
      <w:pPr>
        <w:ind w:left="-90"/>
        <w:rPr>
          <w:sz w:val="24"/>
          <w:szCs w:val="24"/>
        </w:rPr>
      </w:pPr>
    </w:p>
    <w:p w:rsidR="009603ED" w:rsidRDefault="009603ED" w:rsidP="009603ED">
      <w:pPr>
        <w:ind w:left="-90"/>
        <w:rPr>
          <w:sz w:val="24"/>
          <w:szCs w:val="24"/>
        </w:rPr>
      </w:pPr>
      <w:r>
        <w:rPr>
          <w:sz w:val="24"/>
          <w:szCs w:val="24"/>
        </w:rPr>
        <w:t xml:space="preserve">  </w:t>
      </w:r>
      <w:r w:rsidRPr="009603ED">
        <w:rPr>
          <w:sz w:val="24"/>
          <w:szCs w:val="24"/>
        </w:rPr>
        <w:t>ETA programs have varied administrative cost limitation requirements as specified in</w:t>
      </w:r>
    </w:p>
    <w:p w:rsidR="009603ED" w:rsidRDefault="009603ED" w:rsidP="009603ED">
      <w:pPr>
        <w:ind w:left="-90"/>
        <w:rPr>
          <w:sz w:val="24"/>
          <w:szCs w:val="24"/>
        </w:rPr>
      </w:pPr>
      <w:r>
        <w:rPr>
          <w:sz w:val="24"/>
          <w:szCs w:val="24"/>
        </w:rPr>
        <w:t xml:space="preserve"> </w:t>
      </w:r>
      <w:r w:rsidRPr="009603ED">
        <w:rPr>
          <w:sz w:val="24"/>
          <w:szCs w:val="24"/>
        </w:rPr>
        <w:t xml:space="preserve"> program statutes, regulations, and/or individual grant agreements.  These requirements are met</w:t>
      </w:r>
    </w:p>
    <w:p w:rsidR="009603ED" w:rsidRDefault="009603ED" w:rsidP="009603ED">
      <w:pPr>
        <w:ind w:left="-90"/>
        <w:rPr>
          <w:sz w:val="24"/>
          <w:szCs w:val="24"/>
        </w:rPr>
      </w:pPr>
      <w:r>
        <w:rPr>
          <w:sz w:val="24"/>
          <w:szCs w:val="24"/>
        </w:rPr>
        <w:t xml:space="preserve"> </w:t>
      </w:r>
      <w:r w:rsidRPr="009603ED">
        <w:rPr>
          <w:sz w:val="24"/>
          <w:szCs w:val="24"/>
        </w:rPr>
        <w:t xml:space="preserve"> with a line item for Total Administrative Expenditures, thus providing a mechanism for</w:t>
      </w:r>
    </w:p>
    <w:p w:rsidR="00617786" w:rsidRDefault="009603ED">
      <w:pPr>
        <w:rPr>
          <w:sz w:val="24"/>
          <w:szCs w:val="24"/>
        </w:rPr>
      </w:pPr>
      <w:r>
        <w:rPr>
          <w:sz w:val="24"/>
          <w:szCs w:val="24"/>
        </w:rPr>
        <w:t xml:space="preserve"> </w:t>
      </w:r>
      <w:r w:rsidRPr="009603ED">
        <w:rPr>
          <w:sz w:val="24"/>
          <w:szCs w:val="24"/>
        </w:rPr>
        <w:t>assessing</w:t>
      </w:r>
      <w:r>
        <w:rPr>
          <w:sz w:val="24"/>
          <w:szCs w:val="24"/>
        </w:rPr>
        <w:t xml:space="preserve"> </w:t>
      </w:r>
      <w:r w:rsidRPr="009603ED">
        <w:rPr>
          <w:sz w:val="24"/>
          <w:szCs w:val="24"/>
        </w:rPr>
        <w:t>compliance with these requirements.    </w:t>
      </w:r>
    </w:p>
    <w:p w:rsidR="00617786" w:rsidRDefault="00617786">
      <w:pPr>
        <w:rPr>
          <w:sz w:val="24"/>
          <w:szCs w:val="24"/>
        </w:rPr>
      </w:pPr>
    </w:p>
    <w:p w:rsidR="004F26E9" w:rsidRDefault="004F26E9">
      <w:pPr>
        <w:rPr>
          <w:sz w:val="24"/>
          <w:szCs w:val="24"/>
        </w:rPr>
      </w:pPr>
      <w:r>
        <w:rPr>
          <w:b/>
          <w:bCs/>
          <w:sz w:val="24"/>
          <w:szCs w:val="24"/>
        </w:rPr>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9603ED" w:rsidRPr="009603ED" w:rsidRDefault="009603ED" w:rsidP="009603ED">
      <w:pPr>
        <w:rPr>
          <w:sz w:val="24"/>
          <w:szCs w:val="24"/>
        </w:rPr>
      </w:pPr>
      <w:r w:rsidRPr="009603ED">
        <w:rPr>
          <w:sz w:val="24"/>
          <w:szCs w:val="24"/>
        </w:rPr>
        <w:t>ETA uses the data collected to assess the effectiveness of ETA programs and to monitor and analyze the financial activity of its grantees.  Pre-designed software is provided to the grantees to reflect the requirements of ETA Form 9130 so that the required data is reported directly into the E</w:t>
      </w:r>
      <w:r w:rsidR="002864E4">
        <w:rPr>
          <w:sz w:val="24"/>
          <w:szCs w:val="24"/>
        </w:rPr>
        <w:t>-Grants Grantee Reporting System</w:t>
      </w:r>
      <w:r w:rsidRPr="009603ED">
        <w:rPr>
          <w:sz w:val="24"/>
          <w:szCs w:val="24"/>
        </w:rPr>
        <w:t xml:space="preserve"> by the grant recipients.  </w:t>
      </w:r>
    </w:p>
    <w:p w:rsidR="009603ED" w:rsidRPr="009603ED" w:rsidRDefault="009603ED" w:rsidP="009603ED">
      <w:pPr>
        <w:rPr>
          <w:sz w:val="24"/>
          <w:szCs w:val="24"/>
        </w:rPr>
      </w:pPr>
    </w:p>
    <w:p w:rsidR="004F26E9" w:rsidRDefault="009603ED" w:rsidP="009603ED">
      <w:pPr>
        <w:rPr>
          <w:sz w:val="24"/>
          <w:szCs w:val="24"/>
        </w:rPr>
      </w:pPr>
      <w:r w:rsidRPr="009603ED">
        <w:rPr>
          <w:sz w:val="24"/>
          <w:szCs w:val="24"/>
        </w:rPr>
        <w:t>This data collection format permits ETA to evaluate program effectiveness and to monitor and analyze financial activity, while complying with OMB efforts to streamline Federal financial reporting.</w:t>
      </w:r>
    </w:p>
    <w:p w:rsidR="004F26E9" w:rsidRDefault="004F26E9">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524A98" w:rsidRPr="00524A98" w:rsidRDefault="00524A98" w:rsidP="00524A98">
      <w:pPr>
        <w:rPr>
          <w:sz w:val="24"/>
          <w:szCs w:val="24"/>
        </w:rPr>
      </w:pPr>
      <w:r w:rsidRPr="00524A98">
        <w:rPr>
          <w:sz w:val="24"/>
          <w:szCs w:val="24"/>
        </w:rPr>
        <w:t xml:space="preserve">The focus of all ETA reporting has been to provide ease and simplicity for the grantees.  At each point of data entry, the specific instruction relating to the required data element can be viewed by </w:t>
      </w:r>
      <w:r w:rsidRPr="00524A98">
        <w:rPr>
          <w:sz w:val="24"/>
          <w:szCs w:val="24"/>
        </w:rPr>
        <w:lastRenderedPageBreak/>
        <w:t>the grantee.  The timeliness of financial data has increased significantly with electronic financial reporting.</w:t>
      </w:r>
    </w:p>
    <w:p w:rsidR="00524A98" w:rsidRPr="00524A98" w:rsidRDefault="00524A98" w:rsidP="00524A98">
      <w:pPr>
        <w:rPr>
          <w:sz w:val="24"/>
          <w:szCs w:val="24"/>
        </w:rPr>
      </w:pPr>
    </w:p>
    <w:p w:rsidR="00524A98" w:rsidRPr="00524A98" w:rsidRDefault="00524A98" w:rsidP="00524A98">
      <w:pPr>
        <w:rPr>
          <w:sz w:val="24"/>
          <w:szCs w:val="24"/>
        </w:rPr>
      </w:pPr>
      <w:r w:rsidRPr="00524A98">
        <w:rPr>
          <w:sz w:val="24"/>
          <w:szCs w:val="24"/>
        </w:rPr>
        <w:t xml:space="preserve">Financial reporting training is a continuing effort within the ETA community.  This training provides a more consistent understanding of the required data elements, as well as ensuring an understanding of the electronic reporting process.  Finally, </w:t>
      </w:r>
      <w:r w:rsidR="008C0321">
        <w:rPr>
          <w:sz w:val="24"/>
          <w:szCs w:val="24"/>
        </w:rPr>
        <w:t>d</w:t>
      </w:r>
      <w:r w:rsidRPr="00524A98">
        <w:rPr>
          <w:sz w:val="24"/>
          <w:szCs w:val="24"/>
        </w:rPr>
        <w:t xml:space="preserve">etailed instructions for filling out the ETA-9130 financial report are available on-line at </w:t>
      </w:r>
      <w:hyperlink r:id="rId7" w:history="1">
        <w:r w:rsidR="00BD242C" w:rsidRPr="00274BBA">
          <w:rPr>
            <w:rStyle w:val="Hyperlink"/>
            <w:sz w:val="24"/>
            <w:szCs w:val="24"/>
          </w:rPr>
          <w:t>http://www.doleta.gov/grants/financial_reporting.cfm</w:t>
        </w:r>
      </w:hyperlink>
      <w:r w:rsidRPr="00524A98">
        <w:rPr>
          <w:sz w:val="24"/>
          <w:szCs w:val="24"/>
        </w:rPr>
        <w:t xml:space="preserve">.  </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524A98" w:rsidRPr="00524A98" w:rsidRDefault="00524A98" w:rsidP="00524A98">
      <w:pPr>
        <w:rPr>
          <w:sz w:val="24"/>
          <w:szCs w:val="24"/>
        </w:rPr>
      </w:pPr>
      <w:r w:rsidRPr="00524A98">
        <w:rPr>
          <w:sz w:val="24"/>
          <w:szCs w:val="24"/>
        </w:rPr>
        <w:t xml:space="preserve">ETA grantees </w:t>
      </w:r>
      <w:r w:rsidR="007032FC">
        <w:rPr>
          <w:sz w:val="24"/>
          <w:szCs w:val="24"/>
        </w:rPr>
        <w:t xml:space="preserve">are </w:t>
      </w:r>
      <w:r w:rsidRPr="00524A98">
        <w:rPr>
          <w:sz w:val="24"/>
          <w:szCs w:val="24"/>
        </w:rPr>
        <w:t>using an OMB approved program-specific reporting format report on the ETA Form 9130, which is the only source for collecting required financial data from these grantees.</w:t>
      </w: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524A98" w:rsidRPr="00524A98" w:rsidRDefault="00524A98" w:rsidP="00524A98">
      <w:pPr>
        <w:rPr>
          <w:sz w:val="24"/>
          <w:szCs w:val="24"/>
        </w:rPr>
      </w:pPr>
      <w:r w:rsidRPr="00524A98">
        <w:rPr>
          <w:sz w:val="24"/>
          <w:szCs w:val="24"/>
        </w:rPr>
        <w:t xml:space="preserve">This data collection does not impact significantly on small entities. Grantees must secure, however, the necessary data from all subrecipients to roll into grantee level required reporting formats.  </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524A98" w:rsidRPr="00524A98" w:rsidRDefault="00524A98" w:rsidP="00524A98">
      <w:pPr>
        <w:rPr>
          <w:sz w:val="24"/>
          <w:szCs w:val="24"/>
        </w:rPr>
      </w:pPr>
      <w:r w:rsidRPr="00524A98">
        <w:rPr>
          <w:sz w:val="24"/>
          <w:szCs w:val="24"/>
        </w:rPr>
        <w:t xml:space="preserve">Failure to collect this required financial data, and/or to collect it less frequently than quarterly, would be a distinct violation of </w:t>
      </w:r>
      <w:r w:rsidR="00AB1BB4">
        <w:rPr>
          <w:sz w:val="24"/>
          <w:szCs w:val="24"/>
        </w:rPr>
        <w:t xml:space="preserve">OMB Circulars, </w:t>
      </w:r>
      <w:r w:rsidRPr="00524A98">
        <w:rPr>
          <w:sz w:val="24"/>
          <w:szCs w:val="24"/>
        </w:rPr>
        <w:t>ETA program statutes, regulations, and/or individual grant agreements, all of which set forth financial reporting requirements.    </w:t>
      </w: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524A98" w:rsidRPr="00524A98" w:rsidRDefault="00524A98" w:rsidP="00524A98">
      <w:pPr>
        <w:rPr>
          <w:sz w:val="24"/>
          <w:szCs w:val="24"/>
        </w:rPr>
      </w:pPr>
      <w:r w:rsidRPr="00524A98">
        <w:rPr>
          <w:sz w:val="24"/>
          <w:szCs w:val="24"/>
        </w:rPr>
        <w:t>There are no known special circumstances relating to the above listing.</w:t>
      </w:r>
    </w:p>
    <w:p w:rsidR="004F26E9" w:rsidRDefault="004F26E9">
      <w:pPr>
        <w:rPr>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D8063A">
        <w:rPr>
          <w:b/>
          <w:bCs/>
          <w:sz w:val="24"/>
          <w:szCs w:val="24"/>
          <w:u w:val="single"/>
        </w:rPr>
        <w:t>information on the PRA Federal Register 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554D55" w:rsidRPr="00554D55" w:rsidRDefault="00554D55" w:rsidP="00554D55">
      <w:pPr>
        <w:jc w:val="both"/>
        <w:rPr>
          <w:sz w:val="24"/>
          <w:szCs w:val="24"/>
        </w:rPr>
      </w:pPr>
      <w:r w:rsidRPr="00554D55">
        <w:rPr>
          <w:sz w:val="24"/>
          <w:szCs w:val="24"/>
        </w:rPr>
        <w:t xml:space="preserve">The public was given an opportunity for sixty days’ comment on this proposed information collection. A Federal Register Notice was published May 29, 2012 (Vol. 77, p. 31642).   No comments were received.   </w:t>
      </w:r>
    </w:p>
    <w:p w:rsidR="004F26E9" w:rsidRDefault="004F26E9">
      <w:pPr>
        <w:rPr>
          <w:sz w:val="24"/>
          <w:szCs w:val="24"/>
        </w:rPr>
      </w:pPr>
    </w:p>
    <w:p w:rsidR="00524A98" w:rsidRDefault="00524A98" w:rsidP="00524A98">
      <w:pPr>
        <w:jc w:val="both"/>
        <w:rPr>
          <w:sz w:val="24"/>
          <w:szCs w:val="24"/>
        </w:rPr>
      </w:pPr>
      <w:r w:rsidRPr="00524A98">
        <w:rPr>
          <w:sz w:val="24"/>
          <w:szCs w:val="24"/>
        </w:rPr>
        <w:t>The Department has continuously consulted with Regional Offices, States and other DOL grant recipients to refine and simplify overall reporting strategy.   </w:t>
      </w:r>
    </w:p>
    <w:p w:rsidR="00524A98" w:rsidRDefault="00524A98" w:rsidP="00524A98">
      <w:pPr>
        <w:jc w:val="both"/>
        <w:rPr>
          <w:sz w:val="24"/>
          <w:szCs w:val="24"/>
        </w:rPr>
      </w:pPr>
    </w:p>
    <w:p w:rsidR="00524A98" w:rsidRPr="00524A98" w:rsidRDefault="00524A98" w:rsidP="00524A98">
      <w:pPr>
        <w:rPr>
          <w:sz w:val="24"/>
          <w:szCs w:val="24"/>
        </w:rPr>
      </w:pPr>
      <w:r w:rsidRPr="00524A98">
        <w:rPr>
          <w:sz w:val="24"/>
          <w:szCs w:val="24"/>
        </w:rPr>
        <w:lastRenderedPageBreak/>
        <w:t xml:space="preserve">Training and technical assistance has been and will continue to be provided to grantee personnel who are, or in the future may be, involved in ETA financial reporting. (Response to item 3. above describes on-going training efforts.) </w:t>
      </w:r>
      <w:r w:rsidR="00216BC2">
        <w:rPr>
          <w:sz w:val="24"/>
          <w:szCs w:val="24"/>
        </w:rPr>
        <w:t xml:space="preserve"> </w:t>
      </w:r>
      <w:r w:rsidRPr="00524A98">
        <w:rPr>
          <w:sz w:val="24"/>
          <w:szCs w:val="24"/>
        </w:rPr>
        <w:t>Continuous communication in the forms of training and providing one-on-one technical assistance for grant recipients is part of ETA’s strategy to streamline and simplify all reporting efforts, while increasing the overall integrity of the reported data.</w:t>
      </w:r>
    </w:p>
    <w:p w:rsidR="00524A98" w:rsidRPr="00524A98" w:rsidRDefault="00524A98" w:rsidP="00524A98">
      <w:pPr>
        <w:jc w:val="both"/>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524A98" w:rsidRPr="00524A98" w:rsidRDefault="00524A98" w:rsidP="00524A98">
      <w:pPr>
        <w:rPr>
          <w:sz w:val="24"/>
          <w:szCs w:val="24"/>
        </w:rPr>
      </w:pPr>
      <w:r w:rsidRPr="00524A98">
        <w:rPr>
          <w:sz w:val="24"/>
          <w:szCs w:val="24"/>
        </w:rPr>
        <w:t>There are no payments or gifts to respondents other than remuneration of contractors or grantees.</w:t>
      </w: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5A1F7A" w:rsidRPr="005A1F7A" w:rsidRDefault="005A1F7A" w:rsidP="005A1F7A">
      <w:pPr>
        <w:rPr>
          <w:sz w:val="24"/>
          <w:szCs w:val="24"/>
        </w:rPr>
      </w:pPr>
      <w:r w:rsidRPr="005A1F7A">
        <w:rPr>
          <w:sz w:val="24"/>
          <w:szCs w:val="24"/>
        </w:rPr>
        <w:t>This collection of information does not include confidential information.</w:t>
      </w: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5A1F7A" w:rsidRDefault="005A1F7A" w:rsidP="005A1F7A">
      <w:pPr>
        <w:ind w:left="720" w:hanging="720"/>
        <w:rPr>
          <w:sz w:val="24"/>
          <w:szCs w:val="24"/>
        </w:rPr>
      </w:pPr>
      <w:r w:rsidRPr="005A1F7A">
        <w:rPr>
          <w:sz w:val="24"/>
          <w:szCs w:val="24"/>
        </w:rPr>
        <w:t>There are no questions of a sensitive nature.</w:t>
      </w:r>
    </w:p>
    <w:p w:rsidR="0046519B" w:rsidRDefault="0046519B" w:rsidP="005A1F7A">
      <w:pPr>
        <w:ind w:left="720" w:hanging="720"/>
        <w:rPr>
          <w:sz w:val="24"/>
          <w:szCs w:val="24"/>
        </w:rPr>
      </w:pPr>
    </w:p>
    <w:p w:rsidR="00617786"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617786" w:rsidRDefault="00617786" w:rsidP="00617786">
      <w:pPr>
        <w:rPr>
          <w:sz w:val="24"/>
          <w:szCs w:val="24"/>
        </w:rPr>
      </w:pPr>
    </w:p>
    <w:p w:rsidR="005A1F7A" w:rsidRDefault="005A1F7A" w:rsidP="00617786">
      <w:pPr>
        <w:rPr>
          <w:sz w:val="24"/>
          <w:szCs w:val="24"/>
        </w:rPr>
      </w:pPr>
      <w:r w:rsidRPr="005A1F7A">
        <w:rPr>
          <w:sz w:val="24"/>
          <w:szCs w:val="24"/>
        </w:rPr>
        <w:t>Please see the reporting burden estimate below:</w:t>
      </w:r>
    </w:p>
    <w:p w:rsidR="00452ACA" w:rsidRDefault="00452ACA" w:rsidP="00617786">
      <w:pPr>
        <w:rPr>
          <w:sz w:val="24"/>
          <w:szCs w:val="24"/>
        </w:rPr>
      </w:pPr>
    </w:p>
    <w:p w:rsidR="00043DB2" w:rsidRDefault="00043DB2" w:rsidP="00617786">
      <w:pPr>
        <w:rPr>
          <w:sz w:val="24"/>
          <w:szCs w:val="24"/>
        </w:rPr>
      </w:pPr>
    </w:p>
    <w:tbl>
      <w:tblPr>
        <w:tblW w:w="9014" w:type="dxa"/>
        <w:tblInd w:w="198" w:type="dxa"/>
        <w:tblCellMar>
          <w:left w:w="0" w:type="dxa"/>
          <w:right w:w="0" w:type="dxa"/>
        </w:tblCellMar>
        <w:tblLook w:val="0000"/>
      </w:tblPr>
      <w:tblGrid>
        <w:gridCol w:w="5242"/>
        <w:gridCol w:w="1196"/>
        <w:gridCol w:w="1196"/>
        <w:gridCol w:w="1380"/>
      </w:tblGrid>
      <w:tr w:rsidR="002A20F9" w:rsidRPr="005A1F7A" w:rsidTr="00452ACA">
        <w:trPr>
          <w:cantSplit/>
          <w:trHeight w:val="27"/>
        </w:trPr>
        <w:tc>
          <w:tcPr>
            <w:tcW w:w="9014" w:type="dxa"/>
            <w:gridSpan w:val="4"/>
            <w:tcBorders>
              <w:top w:val="double" w:sz="18" w:space="0" w:color="auto"/>
              <w:left w:val="double" w:sz="18" w:space="0" w:color="auto"/>
              <w:bottom w:val="double" w:sz="18" w:space="0" w:color="auto"/>
              <w:right w:val="double" w:sz="18" w:space="0" w:color="auto"/>
            </w:tcBorders>
            <w:shd w:val="clear" w:color="auto" w:fill="auto"/>
            <w:tcMar>
              <w:top w:w="0" w:type="dxa"/>
              <w:left w:w="108" w:type="dxa"/>
              <w:bottom w:w="0" w:type="dxa"/>
              <w:right w:w="108" w:type="dxa"/>
            </w:tcMar>
          </w:tcPr>
          <w:p w:rsidR="002A20F9" w:rsidRPr="005A1F7A" w:rsidRDefault="002A20F9" w:rsidP="002A20F9">
            <w:pPr>
              <w:jc w:val="center"/>
              <w:rPr>
                <w:sz w:val="24"/>
                <w:szCs w:val="24"/>
              </w:rPr>
            </w:pPr>
            <w:r w:rsidRPr="005A1F7A">
              <w:rPr>
                <w:caps/>
                <w:sz w:val="24"/>
                <w:szCs w:val="24"/>
              </w:rPr>
              <w:t xml:space="preserve">DOL-ETA reporting burden for </w:t>
            </w:r>
          </w:p>
          <w:p w:rsidR="002A20F9" w:rsidRPr="005A1F7A" w:rsidRDefault="002A20F9" w:rsidP="002A20F9">
            <w:pPr>
              <w:spacing w:line="35" w:lineRule="atLeast"/>
              <w:jc w:val="center"/>
              <w:rPr>
                <w:sz w:val="24"/>
                <w:szCs w:val="24"/>
              </w:rPr>
            </w:pPr>
            <w:r w:rsidRPr="005A1F7A">
              <w:rPr>
                <w:caps/>
                <w:sz w:val="24"/>
                <w:szCs w:val="24"/>
              </w:rPr>
              <w:t xml:space="preserve">ENTITIES REPORTING ON ETA-9130 FINANCIAL STATUS REPORT </w:t>
            </w:r>
          </w:p>
        </w:tc>
      </w:tr>
      <w:tr w:rsidR="00346D16" w:rsidRPr="005A1F7A" w:rsidTr="00452ACA">
        <w:trPr>
          <w:cantSplit/>
          <w:trHeight w:val="348"/>
        </w:trPr>
        <w:tc>
          <w:tcPr>
            <w:tcW w:w="5242" w:type="dxa"/>
            <w:tcBorders>
              <w:top w:val="nil"/>
              <w:left w:val="double" w:sz="18" w:space="0" w:color="auto"/>
              <w:bottom w:val="double" w:sz="18" w:space="0" w:color="auto"/>
              <w:right w:val="double" w:sz="18" w:space="0" w:color="auto"/>
            </w:tcBorders>
            <w:shd w:val="clear" w:color="auto" w:fill="auto"/>
            <w:tcMar>
              <w:top w:w="0" w:type="dxa"/>
              <w:left w:w="108" w:type="dxa"/>
              <w:bottom w:w="0" w:type="dxa"/>
              <w:right w:w="108" w:type="dxa"/>
            </w:tcMar>
          </w:tcPr>
          <w:p w:rsidR="00346D16" w:rsidRPr="005A1F7A" w:rsidRDefault="00346D16" w:rsidP="002A20F9">
            <w:pPr>
              <w:rPr>
                <w:sz w:val="24"/>
                <w:szCs w:val="24"/>
              </w:rPr>
            </w:pPr>
          </w:p>
        </w:tc>
        <w:tc>
          <w:tcPr>
            <w:tcW w:w="3772" w:type="dxa"/>
            <w:gridSpan w:val="3"/>
            <w:tcBorders>
              <w:top w:val="nil"/>
              <w:left w:val="nil"/>
              <w:bottom w:val="double" w:sz="18" w:space="0" w:color="auto"/>
              <w:right w:val="double" w:sz="18" w:space="0" w:color="auto"/>
            </w:tcBorders>
            <w:shd w:val="clear" w:color="auto" w:fill="auto"/>
            <w:tcMar>
              <w:top w:w="0" w:type="dxa"/>
              <w:left w:w="108" w:type="dxa"/>
              <w:bottom w:w="0" w:type="dxa"/>
              <w:right w:w="108" w:type="dxa"/>
            </w:tcMar>
            <w:vAlign w:val="center"/>
          </w:tcPr>
          <w:p w:rsidR="00346D16" w:rsidRPr="005A1F7A" w:rsidRDefault="00346D16" w:rsidP="0063710B">
            <w:pPr>
              <w:jc w:val="center"/>
              <w:rPr>
                <w:sz w:val="24"/>
                <w:szCs w:val="24"/>
              </w:rPr>
            </w:pPr>
            <w:r w:rsidRPr="005A1F7A">
              <w:rPr>
                <w:b/>
                <w:bCs/>
                <w:caps/>
                <w:sz w:val="24"/>
                <w:szCs w:val="24"/>
              </w:rPr>
              <w:t> </w:t>
            </w:r>
            <w:r>
              <w:rPr>
                <w:b/>
                <w:bCs/>
                <w:sz w:val="24"/>
                <w:szCs w:val="24"/>
              </w:rPr>
              <w:t>Annual</w:t>
            </w:r>
            <w:r w:rsidRPr="005A1F7A">
              <w:rPr>
                <w:b/>
                <w:bCs/>
                <w:caps/>
                <w:sz w:val="24"/>
                <w:szCs w:val="24"/>
              </w:rPr>
              <w:t> </w:t>
            </w:r>
          </w:p>
        </w:tc>
      </w:tr>
      <w:tr w:rsidR="00346D16" w:rsidRPr="005A1F7A" w:rsidTr="00DC581F">
        <w:trPr>
          <w:cantSplit/>
          <w:trHeight w:val="211"/>
        </w:trPr>
        <w:tc>
          <w:tcPr>
            <w:tcW w:w="5242" w:type="dxa"/>
            <w:tcBorders>
              <w:top w:val="nil"/>
              <w:left w:val="double" w:sz="18" w:space="0" w:color="auto"/>
              <w:bottom w:val="single" w:sz="8" w:space="0" w:color="000000"/>
              <w:right w:val="single" w:sz="8" w:space="0" w:color="000000"/>
            </w:tcBorders>
            <w:shd w:val="clear" w:color="auto" w:fill="auto"/>
            <w:tcMar>
              <w:top w:w="0" w:type="dxa"/>
              <w:left w:w="108" w:type="dxa"/>
              <w:bottom w:w="0" w:type="dxa"/>
              <w:right w:w="108" w:type="dxa"/>
            </w:tcMar>
          </w:tcPr>
          <w:p w:rsidR="00346D16" w:rsidRPr="005A1F7A" w:rsidRDefault="00346D16" w:rsidP="002A20F9">
            <w:pPr>
              <w:rPr>
                <w:sz w:val="24"/>
                <w:szCs w:val="24"/>
              </w:rPr>
            </w:pPr>
          </w:p>
        </w:tc>
        <w:tc>
          <w:tcPr>
            <w:tcW w:w="119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46D16" w:rsidRPr="005A1F7A" w:rsidRDefault="00346D16" w:rsidP="002A20F9">
            <w:pPr>
              <w:jc w:val="center"/>
              <w:rPr>
                <w:sz w:val="24"/>
                <w:szCs w:val="24"/>
              </w:rPr>
            </w:pPr>
            <w:r>
              <w:rPr>
                <w:sz w:val="24"/>
                <w:szCs w:val="24"/>
              </w:rPr>
              <w:t>P</w:t>
            </w:r>
            <w:r w:rsidR="00C36030">
              <w:rPr>
                <w:sz w:val="24"/>
                <w:szCs w:val="24"/>
              </w:rPr>
              <w:t xml:space="preserve">rogram </w:t>
            </w:r>
            <w:r>
              <w:rPr>
                <w:sz w:val="24"/>
                <w:szCs w:val="24"/>
              </w:rPr>
              <w:t>Y</w:t>
            </w:r>
            <w:r w:rsidR="00C36030">
              <w:rPr>
                <w:sz w:val="24"/>
                <w:szCs w:val="24"/>
              </w:rPr>
              <w:t>ear (PY)</w:t>
            </w:r>
          </w:p>
        </w:tc>
        <w:tc>
          <w:tcPr>
            <w:tcW w:w="1196" w:type="dxa"/>
            <w:tcBorders>
              <w:top w:val="nil"/>
              <w:left w:val="nil"/>
              <w:bottom w:val="single" w:sz="8" w:space="0" w:color="000000"/>
              <w:right w:val="double" w:sz="18" w:space="0" w:color="auto"/>
            </w:tcBorders>
            <w:shd w:val="clear" w:color="auto" w:fill="auto"/>
            <w:tcMar>
              <w:top w:w="0" w:type="dxa"/>
              <w:left w:w="108" w:type="dxa"/>
              <w:bottom w:w="0" w:type="dxa"/>
              <w:right w:w="108" w:type="dxa"/>
            </w:tcMar>
            <w:vAlign w:val="center"/>
          </w:tcPr>
          <w:p w:rsidR="00346D16" w:rsidRPr="005A1F7A" w:rsidRDefault="00346D16" w:rsidP="002A20F9">
            <w:pPr>
              <w:jc w:val="center"/>
              <w:rPr>
                <w:sz w:val="24"/>
                <w:szCs w:val="24"/>
              </w:rPr>
            </w:pPr>
            <w:r>
              <w:rPr>
                <w:sz w:val="24"/>
                <w:szCs w:val="24"/>
              </w:rPr>
              <w:t>F</w:t>
            </w:r>
            <w:r w:rsidR="00C36030">
              <w:rPr>
                <w:sz w:val="24"/>
                <w:szCs w:val="24"/>
              </w:rPr>
              <w:t xml:space="preserve">iscal </w:t>
            </w:r>
            <w:r>
              <w:rPr>
                <w:sz w:val="24"/>
                <w:szCs w:val="24"/>
              </w:rPr>
              <w:t>Y</w:t>
            </w:r>
            <w:r w:rsidR="00C36030">
              <w:rPr>
                <w:sz w:val="24"/>
                <w:szCs w:val="24"/>
              </w:rPr>
              <w:t>ear</w:t>
            </w:r>
            <w:r w:rsidR="00C36030">
              <w:rPr>
                <w:sz w:val="24"/>
                <w:szCs w:val="24"/>
              </w:rPr>
              <w:br/>
              <w:t>(FY)</w:t>
            </w:r>
          </w:p>
        </w:tc>
        <w:tc>
          <w:tcPr>
            <w:tcW w:w="1380" w:type="dxa"/>
            <w:tcBorders>
              <w:top w:val="nil"/>
              <w:left w:val="nil"/>
              <w:bottom w:val="single" w:sz="8" w:space="0" w:color="000000"/>
              <w:right w:val="double" w:sz="18" w:space="0" w:color="auto"/>
            </w:tcBorders>
            <w:shd w:val="clear" w:color="auto" w:fill="auto"/>
            <w:tcMar>
              <w:top w:w="0" w:type="dxa"/>
              <w:left w:w="108" w:type="dxa"/>
              <w:bottom w:w="0" w:type="dxa"/>
              <w:right w:w="108" w:type="dxa"/>
            </w:tcMar>
            <w:vAlign w:val="center"/>
          </w:tcPr>
          <w:p w:rsidR="00346D16" w:rsidRPr="005A1F7A" w:rsidRDefault="00346D16" w:rsidP="002A20F9">
            <w:pPr>
              <w:jc w:val="center"/>
              <w:rPr>
                <w:sz w:val="24"/>
                <w:szCs w:val="24"/>
              </w:rPr>
            </w:pPr>
            <w:r w:rsidRPr="005A1F7A">
              <w:rPr>
                <w:caps/>
                <w:sz w:val="24"/>
                <w:szCs w:val="24"/>
              </w:rPr>
              <w:t>Total</w:t>
            </w:r>
          </w:p>
        </w:tc>
      </w:tr>
      <w:tr w:rsidR="00346D16" w:rsidRPr="005A1F7A" w:rsidTr="00DC581F">
        <w:trPr>
          <w:trHeight w:val="397"/>
        </w:trPr>
        <w:tc>
          <w:tcPr>
            <w:tcW w:w="5242" w:type="dxa"/>
            <w:tcBorders>
              <w:top w:val="nil"/>
              <w:left w:val="double" w:sz="18" w:space="0" w:color="auto"/>
              <w:bottom w:val="single" w:sz="8" w:space="0" w:color="000000"/>
              <w:right w:val="single" w:sz="8" w:space="0" w:color="000000"/>
            </w:tcBorders>
            <w:shd w:val="clear" w:color="auto" w:fill="auto"/>
            <w:tcMar>
              <w:top w:w="0" w:type="dxa"/>
              <w:left w:w="108" w:type="dxa"/>
              <w:bottom w:w="0" w:type="dxa"/>
              <w:right w:w="108" w:type="dxa"/>
            </w:tcMar>
          </w:tcPr>
          <w:p w:rsidR="00346D16" w:rsidRPr="005A1F7A" w:rsidRDefault="00346D16" w:rsidP="00AD5DF0">
            <w:pPr>
              <w:rPr>
                <w:sz w:val="24"/>
                <w:szCs w:val="24"/>
              </w:rPr>
            </w:pPr>
            <w:r>
              <w:rPr>
                <w:sz w:val="24"/>
                <w:szCs w:val="24"/>
              </w:rPr>
              <w:t>Number of grantees reporting</w:t>
            </w:r>
          </w:p>
        </w:tc>
        <w:tc>
          <w:tcPr>
            <w:tcW w:w="119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46D16" w:rsidRPr="005A1F7A" w:rsidRDefault="00A409B0" w:rsidP="002A20F9">
            <w:pPr>
              <w:jc w:val="center"/>
              <w:rPr>
                <w:sz w:val="24"/>
                <w:szCs w:val="24"/>
              </w:rPr>
            </w:pPr>
            <w:r>
              <w:rPr>
                <w:sz w:val="24"/>
                <w:szCs w:val="24"/>
              </w:rPr>
              <w:t>848</w:t>
            </w:r>
          </w:p>
        </w:tc>
        <w:tc>
          <w:tcPr>
            <w:tcW w:w="1196" w:type="dxa"/>
            <w:tcBorders>
              <w:top w:val="nil"/>
              <w:left w:val="nil"/>
              <w:bottom w:val="single" w:sz="8" w:space="0" w:color="000000"/>
              <w:right w:val="double" w:sz="18" w:space="0" w:color="auto"/>
            </w:tcBorders>
            <w:shd w:val="clear" w:color="auto" w:fill="auto"/>
            <w:tcMar>
              <w:top w:w="0" w:type="dxa"/>
              <w:left w:w="108" w:type="dxa"/>
              <w:bottom w:w="0" w:type="dxa"/>
              <w:right w:w="108" w:type="dxa"/>
            </w:tcMar>
            <w:vAlign w:val="center"/>
          </w:tcPr>
          <w:p w:rsidR="00346D16" w:rsidRPr="005A1F7A" w:rsidRDefault="00A409B0" w:rsidP="002A20F9">
            <w:pPr>
              <w:jc w:val="center"/>
              <w:rPr>
                <w:sz w:val="24"/>
                <w:szCs w:val="24"/>
              </w:rPr>
            </w:pPr>
            <w:r>
              <w:rPr>
                <w:sz w:val="24"/>
                <w:szCs w:val="24"/>
              </w:rPr>
              <w:t>848</w:t>
            </w:r>
          </w:p>
        </w:tc>
        <w:tc>
          <w:tcPr>
            <w:tcW w:w="1380" w:type="dxa"/>
            <w:tcBorders>
              <w:top w:val="nil"/>
              <w:left w:val="nil"/>
              <w:bottom w:val="single" w:sz="8" w:space="0" w:color="000000"/>
              <w:right w:val="double" w:sz="18" w:space="0" w:color="auto"/>
            </w:tcBorders>
            <w:shd w:val="clear" w:color="auto" w:fill="auto"/>
            <w:tcMar>
              <w:top w:w="0" w:type="dxa"/>
              <w:left w:w="108" w:type="dxa"/>
              <w:bottom w:w="0" w:type="dxa"/>
              <w:right w:w="108" w:type="dxa"/>
            </w:tcMar>
            <w:vAlign w:val="center"/>
          </w:tcPr>
          <w:p w:rsidR="00346D16" w:rsidRPr="005A1F7A" w:rsidRDefault="00A409B0" w:rsidP="002A20F9">
            <w:pPr>
              <w:jc w:val="center"/>
              <w:rPr>
                <w:sz w:val="24"/>
                <w:szCs w:val="24"/>
              </w:rPr>
            </w:pPr>
            <w:r>
              <w:rPr>
                <w:sz w:val="24"/>
                <w:szCs w:val="24"/>
              </w:rPr>
              <w:t>848</w:t>
            </w:r>
          </w:p>
        </w:tc>
      </w:tr>
      <w:tr w:rsidR="00346D16" w:rsidRPr="005A1F7A" w:rsidTr="00DC581F">
        <w:trPr>
          <w:trHeight w:val="419"/>
        </w:trPr>
        <w:tc>
          <w:tcPr>
            <w:tcW w:w="5242" w:type="dxa"/>
            <w:tcBorders>
              <w:top w:val="nil"/>
              <w:left w:val="double" w:sz="18" w:space="0" w:color="auto"/>
              <w:bottom w:val="single" w:sz="8" w:space="0" w:color="000000"/>
              <w:right w:val="single" w:sz="8" w:space="0" w:color="000000"/>
            </w:tcBorders>
            <w:shd w:val="clear" w:color="auto" w:fill="auto"/>
            <w:tcMar>
              <w:top w:w="0" w:type="dxa"/>
              <w:left w:w="108" w:type="dxa"/>
              <w:bottom w:w="0" w:type="dxa"/>
              <w:right w:w="108" w:type="dxa"/>
            </w:tcMar>
          </w:tcPr>
          <w:p w:rsidR="00346D16" w:rsidRPr="005A1F7A" w:rsidRDefault="00346D16" w:rsidP="00AD5DF0">
            <w:pPr>
              <w:rPr>
                <w:sz w:val="24"/>
                <w:szCs w:val="24"/>
              </w:rPr>
            </w:pPr>
            <w:r>
              <w:rPr>
                <w:sz w:val="24"/>
                <w:szCs w:val="24"/>
              </w:rPr>
              <w:t>Average number of reports per grantee per year</w:t>
            </w:r>
          </w:p>
        </w:tc>
        <w:tc>
          <w:tcPr>
            <w:tcW w:w="119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46D16" w:rsidRPr="005A1F7A" w:rsidRDefault="00346D16" w:rsidP="002A20F9">
            <w:pPr>
              <w:jc w:val="center"/>
              <w:rPr>
                <w:sz w:val="24"/>
                <w:szCs w:val="24"/>
              </w:rPr>
            </w:pPr>
            <w:r>
              <w:rPr>
                <w:sz w:val="24"/>
                <w:szCs w:val="24"/>
              </w:rPr>
              <w:t>4</w:t>
            </w:r>
          </w:p>
        </w:tc>
        <w:tc>
          <w:tcPr>
            <w:tcW w:w="1196" w:type="dxa"/>
            <w:tcBorders>
              <w:top w:val="nil"/>
              <w:left w:val="nil"/>
              <w:bottom w:val="single" w:sz="8" w:space="0" w:color="000000"/>
              <w:right w:val="double" w:sz="18" w:space="0" w:color="auto"/>
            </w:tcBorders>
            <w:shd w:val="clear" w:color="auto" w:fill="auto"/>
            <w:tcMar>
              <w:top w:w="0" w:type="dxa"/>
              <w:left w:w="108" w:type="dxa"/>
              <w:bottom w:w="0" w:type="dxa"/>
              <w:right w:w="108" w:type="dxa"/>
            </w:tcMar>
            <w:vAlign w:val="center"/>
          </w:tcPr>
          <w:p w:rsidR="00346D16" w:rsidRPr="005A1F7A" w:rsidRDefault="00346D16" w:rsidP="002A20F9">
            <w:pPr>
              <w:jc w:val="center"/>
              <w:rPr>
                <w:sz w:val="24"/>
                <w:szCs w:val="24"/>
              </w:rPr>
            </w:pPr>
            <w:r>
              <w:rPr>
                <w:sz w:val="24"/>
                <w:szCs w:val="24"/>
              </w:rPr>
              <w:t>4</w:t>
            </w:r>
          </w:p>
        </w:tc>
        <w:tc>
          <w:tcPr>
            <w:tcW w:w="1380" w:type="dxa"/>
            <w:tcBorders>
              <w:top w:val="nil"/>
              <w:left w:val="nil"/>
              <w:bottom w:val="single" w:sz="8" w:space="0" w:color="000000"/>
              <w:right w:val="double" w:sz="18" w:space="0" w:color="auto"/>
            </w:tcBorders>
            <w:shd w:val="clear" w:color="auto" w:fill="auto"/>
            <w:tcMar>
              <w:top w:w="0" w:type="dxa"/>
              <w:left w:w="108" w:type="dxa"/>
              <w:bottom w:w="0" w:type="dxa"/>
              <w:right w:w="108" w:type="dxa"/>
            </w:tcMar>
            <w:vAlign w:val="center"/>
          </w:tcPr>
          <w:p w:rsidR="00346D16" w:rsidRPr="005A1F7A" w:rsidRDefault="00346D16" w:rsidP="002A20F9">
            <w:pPr>
              <w:jc w:val="center"/>
              <w:rPr>
                <w:sz w:val="24"/>
                <w:szCs w:val="24"/>
              </w:rPr>
            </w:pPr>
            <w:r>
              <w:rPr>
                <w:sz w:val="24"/>
                <w:szCs w:val="24"/>
              </w:rPr>
              <w:t>8</w:t>
            </w:r>
          </w:p>
        </w:tc>
      </w:tr>
      <w:tr w:rsidR="00346D16" w:rsidRPr="005A1F7A" w:rsidTr="00DC581F">
        <w:trPr>
          <w:trHeight w:val="601"/>
        </w:trPr>
        <w:tc>
          <w:tcPr>
            <w:tcW w:w="5242" w:type="dxa"/>
            <w:tcBorders>
              <w:top w:val="nil"/>
              <w:left w:val="double" w:sz="18" w:space="0" w:color="auto"/>
              <w:bottom w:val="single" w:sz="8" w:space="0" w:color="000000"/>
              <w:right w:val="single" w:sz="8" w:space="0" w:color="000000"/>
            </w:tcBorders>
            <w:shd w:val="clear" w:color="auto" w:fill="auto"/>
            <w:tcMar>
              <w:top w:w="0" w:type="dxa"/>
              <w:left w:w="108" w:type="dxa"/>
              <w:bottom w:w="0" w:type="dxa"/>
              <w:right w:w="108" w:type="dxa"/>
            </w:tcMar>
          </w:tcPr>
          <w:p w:rsidR="00346D16" w:rsidRPr="005A1F7A" w:rsidRDefault="00346D16" w:rsidP="002A20F9">
            <w:pPr>
              <w:rPr>
                <w:sz w:val="24"/>
                <w:szCs w:val="24"/>
              </w:rPr>
            </w:pPr>
            <w:r w:rsidRPr="005A1F7A">
              <w:rPr>
                <w:sz w:val="24"/>
                <w:szCs w:val="24"/>
              </w:rPr>
              <w:t>Average number of hours required for reporting per quarter per report</w:t>
            </w:r>
          </w:p>
        </w:tc>
        <w:tc>
          <w:tcPr>
            <w:tcW w:w="119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46D16" w:rsidRPr="005A1F7A" w:rsidRDefault="00346D16" w:rsidP="002A20F9">
            <w:pPr>
              <w:jc w:val="center"/>
              <w:rPr>
                <w:sz w:val="24"/>
                <w:szCs w:val="24"/>
              </w:rPr>
            </w:pPr>
            <w:r>
              <w:rPr>
                <w:sz w:val="24"/>
                <w:szCs w:val="24"/>
              </w:rPr>
              <w:t>½</w:t>
            </w:r>
            <w:r w:rsidR="003C2E74">
              <w:rPr>
                <w:sz w:val="24"/>
                <w:szCs w:val="24"/>
              </w:rPr>
              <w:t xml:space="preserve"> hr.</w:t>
            </w:r>
          </w:p>
        </w:tc>
        <w:tc>
          <w:tcPr>
            <w:tcW w:w="1196" w:type="dxa"/>
            <w:tcBorders>
              <w:top w:val="nil"/>
              <w:left w:val="nil"/>
              <w:bottom w:val="single" w:sz="8" w:space="0" w:color="000000"/>
              <w:right w:val="double" w:sz="18" w:space="0" w:color="auto"/>
            </w:tcBorders>
            <w:shd w:val="clear" w:color="auto" w:fill="auto"/>
            <w:tcMar>
              <w:top w:w="0" w:type="dxa"/>
              <w:left w:w="108" w:type="dxa"/>
              <w:bottom w:w="0" w:type="dxa"/>
              <w:right w:w="108" w:type="dxa"/>
            </w:tcMar>
            <w:vAlign w:val="center"/>
          </w:tcPr>
          <w:p w:rsidR="00346D16" w:rsidRPr="005A1F7A" w:rsidRDefault="00346D16" w:rsidP="002A20F9">
            <w:pPr>
              <w:jc w:val="center"/>
              <w:rPr>
                <w:sz w:val="24"/>
                <w:szCs w:val="24"/>
              </w:rPr>
            </w:pPr>
            <w:r>
              <w:rPr>
                <w:sz w:val="24"/>
                <w:szCs w:val="24"/>
              </w:rPr>
              <w:t>½</w:t>
            </w:r>
            <w:r w:rsidR="003C2E74">
              <w:rPr>
                <w:sz w:val="24"/>
                <w:szCs w:val="24"/>
              </w:rPr>
              <w:t xml:space="preserve"> hr.</w:t>
            </w:r>
          </w:p>
        </w:tc>
        <w:tc>
          <w:tcPr>
            <w:tcW w:w="1380" w:type="dxa"/>
            <w:tcBorders>
              <w:top w:val="nil"/>
              <w:left w:val="nil"/>
              <w:bottom w:val="single" w:sz="8" w:space="0" w:color="000000"/>
              <w:right w:val="double" w:sz="18" w:space="0" w:color="auto"/>
            </w:tcBorders>
            <w:shd w:val="clear" w:color="auto" w:fill="auto"/>
            <w:tcMar>
              <w:top w:w="0" w:type="dxa"/>
              <w:left w:w="108" w:type="dxa"/>
              <w:bottom w:w="0" w:type="dxa"/>
              <w:right w:w="108" w:type="dxa"/>
            </w:tcMar>
            <w:vAlign w:val="center"/>
          </w:tcPr>
          <w:p w:rsidR="00346D16" w:rsidRPr="005A1F7A" w:rsidRDefault="00346D16" w:rsidP="002A20F9">
            <w:pPr>
              <w:jc w:val="center"/>
              <w:rPr>
                <w:sz w:val="24"/>
                <w:szCs w:val="24"/>
              </w:rPr>
            </w:pPr>
            <w:r>
              <w:rPr>
                <w:sz w:val="24"/>
                <w:szCs w:val="24"/>
              </w:rPr>
              <w:t>½</w:t>
            </w:r>
            <w:r w:rsidR="003C2E74">
              <w:rPr>
                <w:sz w:val="24"/>
                <w:szCs w:val="24"/>
              </w:rPr>
              <w:t xml:space="preserve"> hr.</w:t>
            </w:r>
          </w:p>
        </w:tc>
      </w:tr>
      <w:tr w:rsidR="00346D16" w:rsidRPr="005A1F7A" w:rsidTr="00DC581F">
        <w:trPr>
          <w:trHeight w:val="601"/>
        </w:trPr>
        <w:tc>
          <w:tcPr>
            <w:tcW w:w="5242" w:type="dxa"/>
            <w:tcBorders>
              <w:top w:val="nil"/>
              <w:left w:val="double" w:sz="18" w:space="0" w:color="auto"/>
              <w:bottom w:val="single" w:sz="8" w:space="0" w:color="000000"/>
              <w:right w:val="single" w:sz="8" w:space="0" w:color="000000"/>
            </w:tcBorders>
            <w:shd w:val="clear" w:color="auto" w:fill="auto"/>
            <w:tcMar>
              <w:top w:w="0" w:type="dxa"/>
              <w:left w:w="108" w:type="dxa"/>
              <w:bottom w:w="0" w:type="dxa"/>
              <w:right w:w="108" w:type="dxa"/>
            </w:tcMar>
          </w:tcPr>
          <w:p w:rsidR="00346D16" w:rsidRPr="005A1F7A" w:rsidRDefault="00346D16" w:rsidP="00AD5DF0">
            <w:pPr>
              <w:rPr>
                <w:sz w:val="24"/>
                <w:szCs w:val="24"/>
              </w:rPr>
            </w:pPr>
            <w:r w:rsidRPr="005A1F7A">
              <w:rPr>
                <w:sz w:val="24"/>
                <w:szCs w:val="24"/>
              </w:rPr>
              <w:t xml:space="preserve">Average number of hours required for reporting per </w:t>
            </w:r>
            <w:r>
              <w:rPr>
                <w:sz w:val="24"/>
                <w:szCs w:val="24"/>
              </w:rPr>
              <w:t>grantee</w:t>
            </w:r>
            <w:r w:rsidRPr="005A1F7A">
              <w:rPr>
                <w:sz w:val="24"/>
                <w:szCs w:val="24"/>
              </w:rPr>
              <w:t xml:space="preserve"> per year</w:t>
            </w:r>
          </w:p>
        </w:tc>
        <w:tc>
          <w:tcPr>
            <w:tcW w:w="119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46D16" w:rsidRPr="005A1F7A" w:rsidRDefault="00346D16" w:rsidP="002A20F9">
            <w:pPr>
              <w:jc w:val="center"/>
              <w:rPr>
                <w:sz w:val="24"/>
                <w:szCs w:val="24"/>
              </w:rPr>
            </w:pPr>
            <w:r>
              <w:rPr>
                <w:sz w:val="24"/>
                <w:szCs w:val="24"/>
              </w:rPr>
              <w:t>2</w:t>
            </w:r>
            <w:r w:rsidR="00C36030">
              <w:rPr>
                <w:sz w:val="24"/>
                <w:szCs w:val="24"/>
              </w:rPr>
              <w:t xml:space="preserve"> hr</w:t>
            </w:r>
          </w:p>
        </w:tc>
        <w:tc>
          <w:tcPr>
            <w:tcW w:w="1196" w:type="dxa"/>
            <w:tcBorders>
              <w:top w:val="nil"/>
              <w:left w:val="nil"/>
              <w:bottom w:val="single" w:sz="8" w:space="0" w:color="000000"/>
              <w:right w:val="double" w:sz="18" w:space="0" w:color="auto"/>
            </w:tcBorders>
            <w:shd w:val="clear" w:color="auto" w:fill="auto"/>
            <w:tcMar>
              <w:top w:w="0" w:type="dxa"/>
              <w:left w:w="108" w:type="dxa"/>
              <w:bottom w:w="0" w:type="dxa"/>
              <w:right w:w="108" w:type="dxa"/>
            </w:tcMar>
            <w:vAlign w:val="center"/>
          </w:tcPr>
          <w:p w:rsidR="00346D16" w:rsidRPr="005A1F7A" w:rsidRDefault="00346D16" w:rsidP="002A20F9">
            <w:pPr>
              <w:jc w:val="center"/>
              <w:rPr>
                <w:sz w:val="24"/>
                <w:szCs w:val="24"/>
              </w:rPr>
            </w:pPr>
            <w:r>
              <w:rPr>
                <w:sz w:val="24"/>
                <w:szCs w:val="24"/>
              </w:rPr>
              <w:t>2</w:t>
            </w:r>
            <w:r w:rsidR="00C36030">
              <w:rPr>
                <w:sz w:val="24"/>
                <w:szCs w:val="24"/>
              </w:rPr>
              <w:t xml:space="preserve"> hr</w:t>
            </w:r>
          </w:p>
        </w:tc>
        <w:tc>
          <w:tcPr>
            <w:tcW w:w="1380" w:type="dxa"/>
            <w:tcBorders>
              <w:top w:val="nil"/>
              <w:left w:val="nil"/>
              <w:bottom w:val="single" w:sz="8" w:space="0" w:color="000000"/>
              <w:right w:val="double" w:sz="18" w:space="0" w:color="auto"/>
            </w:tcBorders>
            <w:shd w:val="clear" w:color="auto" w:fill="auto"/>
            <w:tcMar>
              <w:top w:w="0" w:type="dxa"/>
              <w:left w:w="108" w:type="dxa"/>
              <w:bottom w:w="0" w:type="dxa"/>
              <w:right w:w="108" w:type="dxa"/>
            </w:tcMar>
            <w:vAlign w:val="center"/>
          </w:tcPr>
          <w:p w:rsidR="00346D16" w:rsidRPr="005A1F7A" w:rsidRDefault="00346D16" w:rsidP="002A20F9">
            <w:pPr>
              <w:jc w:val="center"/>
              <w:rPr>
                <w:sz w:val="24"/>
                <w:szCs w:val="24"/>
              </w:rPr>
            </w:pPr>
            <w:r>
              <w:rPr>
                <w:sz w:val="24"/>
                <w:szCs w:val="24"/>
              </w:rPr>
              <w:t>4</w:t>
            </w:r>
            <w:r w:rsidR="00C36030">
              <w:rPr>
                <w:sz w:val="24"/>
                <w:szCs w:val="24"/>
              </w:rPr>
              <w:t xml:space="preserve"> hr</w:t>
            </w:r>
          </w:p>
        </w:tc>
      </w:tr>
      <w:tr w:rsidR="00346D16" w:rsidRPr="005A1F7A" w:rsidTr="00DC581F">
        <w:trPr>
          <w:trHeight w:val="637"/>
        </w:trPr>
        <w:tc>
          <w:tcPr>
            <w:tcW w:w="5242" w:type="dxa"/>
            <w:tcBorders>
              <w:top w:val="nil"/>
              <w:left w:val="double" w:sz="18" w:space="0" w:color="auto"/>
              <w:bottom w:val="single" w:sz="8" w:space="0" w:color="000000"/>
              <w:right w:val="single" w:sz="8" w:space="0" w:color="000000"/>
            </w:tcBorders>
            <w:shd w:val="clear" w:color="auto" w:fill="auto"/>
            <w:tcMar>
              <w:top w:w="0" w:type="dxa"/>
              <w:left w:w="108" w:type="dxa"/>
              <w:bottom w:w="0" w:type="dxa"/>
              <w:right w:w="108" w:type="dxa"/>
            </w:tcMar>
          </w:tcPr>
          <w:p w:rsidR="00346D16" w:rsidRPr="005A1F7A" w:rsidRDefault="00346D16" w:rsidP="002A20F9">
            <w:pPr>
              <w:rPr>
                <w:sz w:val="24"/>
                <w:szCs w:val="24"/>
              </w:rPr>
            </w:pPr>
            <w:r w:rsidRPr="005A1F7A">
              <w:rPr>
                <w:sz w:val="24"/>
                <w:szCs w:val="24"/>
              </w:rPr>
              <w:t>Average number of hours required for reporting burden per year</w:t>
            </w:r>
          </w:p>
        </w:tc>
        <w:tc>
          <w:tcPr>
            <w:tcW w:w="119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46D16" w:rsidRPr="005A1F7A" w:rsidRDefault="000B0009" w:rsidP="002A20F9">
            <w:pPr>
              <w:jc w:val="center"/>
              <w:rPr>
                <w:sz w:val="24"/>
                <w:szCs w:val="24"/>
              </w:rPr>
            </w:pPr>
            <w:r>
              <w:rPr>
                <w:sz w:val="24"/>
                <w:szCs w:val="24"/>
              </w:rPr>
              <w:t>1696</w:t>
            </w:r>
          </w:p>
        </w:tc>
        <w:tc>
          <w:tcPr>
            <w:tcW w:w="1196" w:type="dxa"/>
            <w:tcBorders>
              <w:top w:val="nil"/>
              <w:left w:val="nil"/>
              <w:bottom w:val="single" w:sz="8" w:space="0" w:color="000000"/>
              <w:right w:val="double" w:sz="18" w:space="0" w:color="auto"/>
            </w:tcBorders>
            <w:shd w:val="clear" w:color="auto" w:fill="auto"/>
            <w:tcMar>
              <w:top w:w="0" w:type="dxa"/>
              <w:left w:w="108" w:type="dxa"/>
              <w:bottom w:w="0" w:type="dxa"/>
              <w:right w:w="108" w:type="dxa"/>
            </w:tcMar>
            <w:vAlign w:val="center"/>
          </w:tcPr>
          <w:p w:rsidR="00346D16" w:rsidRPr="005A1F7A" w:rsidRDefault="000B0009" w:rsidP="002A20F9">
            <w:pPr>
              <w:jc w:val="center"/>
              <w:rPr>
                <w:sz w:val="24"/>
                <w:szCs w:val="24"/>
              </w:rPr>
            </w:pPr>
            <w:r>
              <w:rPr>
                <w:sz w:val="24"/>
                <w:szCs w:val="24"/>
              </w:rPr>
              <w:t>1696</w:t>
            </w:r>
          </w:p>
        </w:tc>
        <w:tc>
          <w:tcPr>
            <w:tcW w:w="1380" w:type="dxa"/>
            <w:tcBorders>
              <w:top w:val="nil"/>
              <w:left w:val="nil"/>
              <w:bottom w:val="single" w:sz="8" w:space="0" w:color="000000"/>
              <w:right w:val="double" w:sz="18" w:space="0" w:color="auto"/>
            </w:tcBorders>
            <w:shd w:val="clear" w:color="auto" w:fill="auto"/>
            <w:tcMar>
              <w:top w:w="0" w:type="dxa"/>
              <w:left w:w="108" w:type="dxa"/>
              <w:bottom w:w="0" w:type="dxa"/>
              <w:right w:w="108" w:type="dxa"/>
            </w:tcMar>
            <w:vAlign w:val="center"/>
          </w:tcPr>
          <w:p w:rsidR="00346D16" w:rsidRPr="005A1F7A" w:rsidRDefault="000B0009" w:rsidP="002A20F9">
            <w:pPr>
              <w:jc w:val="center"/>
              <w:rPr>
                <w:sz w:val="24"/>
                <w:szCs w:val="24"/>
              </w:rPr>
            </w:pPr>
            <w:r>
              <w:rPr>
                <w:sz w:val="24"/>
                <w:szCs w:val="24"/>
              </w:rPr>
              <w:t>3392</w:t>
            </w:r>
          </w:p>
        </w:tc>
      </w:tr>
    </w:tbl>
    <w:p w:rsidR="00043DB2" w:rsidRDefault="00043DB2" w:rsidP="00617786">
      <w:pPr>
        <w:rPr>
          <w:sz w:val="24"/>
          <w:szCs w:val="24"/>
        </w:rPr>
      </w:pPr>
    </w:p>
    <w:p w:rsidR="00DC581F" w:rsidRDefault="00DC581F" w:rsidP="00CA5A9E">
      <w:pPr>
        <w:rPr>
          <w:sz w:val="24"/>
          <w:szCs w:val="24"/>
        </w:rPr>
      </w:pPr>
    </w:p>
    <w:p w:rsidR="00CA5A9E" w:rsidRDefault="00CA5A9E" w:rsidP="00CA5A9E">
      <w:pPr>
        <w:rPr>
          <w:sz w:val="24"/>
          <w:szCs w:val="24"/>
        </w:rPr>
      </w:pPr>
      <w:r w:rsidRPr="005A1F7A">
        <w:rPr>
          <w:sz w:val="24"/>
          <w:szCs w:val="24"/>
        </w:rPr>
        <w:lastRenderedPageBreak/>
        <w:t>The above data represents average burden figures for all ETA programs reporting on the U.S. DOL ETA Financial Report.</w:t>
      </w:r>
      <w:r w:rsidRPr="005A1F7A">
        <w:rPr>
          <w:color w:val="00CCFF"/>
          <w:sz w:val="24"/>
          <w:szCs w:val="24"/>
        </w:rPr>
        <w:t> </w:t>
      </w:r>
      <w:r w:rsidRPr="005A1F7A">
        <w:rPr>
          <w:sz w:val="24"/>
          <w:szCs w:val="24"/>
        </w:rPr>
        <w:t xml:space="preserve"> </w:t>
      </w:r>
      <w:r w:rsidR="00D42D31">
        <w:rPr>
          <w:sz w:val="24"/>
          <w:szCs w:val="24"/>
        </w:rPr>
        <w:t>Also included</w:t>
      </w:r>
      <w:r w:rsidR="00346D16">
        <w:rPr>
          <w:sz w:val="24"/>
          <w:szCs w:val="24"/>
        </w:rPr>
        <w:t xml:space="preserve"> in the total</w:t>
      </w:r>
      <w:r w:rsidR="00D42D31">
        <w:rPr>
          <w:sz w:val="24"/>
          <w:szCs w:val="24"/>
        </w:rPr>
        <w:t xml:space="preserve"> are</w:t>
      </w:r>
      <w:r w:rsidR="00346D16">
        <w:rPr>
          <w:sz w:val="24"/>
          <w:szCs w:val="24"/>
        </w:rPr>
        <w:t xml:space="preserve"> </w:t>
      </w:r>
      <w:r w:rsidR="00D478F3">
        <w:rPr>
          <w:sz w:val="24"/>
          <w:szCs w:val="24"/>
        </w:rPr>
        <w:t xml:space="preserve">ETA programs that report both program </w:t>
      </w:r>
      <w:r w:rsidR="00E126A5">
        <w:rPr>
          <w:sz w:val="24"/>
          <w:szCs w:val="24"/>
        </w:rPr>
        <w:t xml:space="preserve">year (PY) </w:t>
      </w:r>
      <w:r w:rsidR="00D478F3">
        <w:rPr>
          <w:sz w:val="24"/>
          <w:szCs w:val="24"/>
        </w:rPr>
        <w:t>and fiscal year</w:t>
      </w:r>
      <w:r w:rsidR="00E126A5">
        <w:rPr>
          <w:sz w:val="24"/>
          <w:szCs w:val="24"/>
        </w:rPr>
        <w:t xml:space="preserve"> (FY)</w:t>
      </w:r>
      <w:r w:rsidR="00D478F3">
        <w:rPr>
          <w:sz w:val="24"/>
          <w:szCs w:val="24"/>
        </w:rPr>
        <w:t xml:space="preserve"> dollars simultaneously per quarter</w:t>
      </w:r>
      <w:r w:rsidR="00834F6C">
        <w:rPr>
          <w:sz w:val="24"/>
          <w:szCs w:val="24"/>
        </w:rPr>
        <w:t xml:space="preserve">, as </w:t>
      </w:r>
      <w:r w:rsidR="000B0009" w:rsidRPr="00273129">
        <w:rPr>
          <w:sz w:val="24"/>
          <w:szCs w:val="24"/>
        </w:rPr>
        <w:t>discussed in more detail below</w:t>
      </w:r>
      <w:r w:rsidR="00D42D31" w:rsidRPr="00273129">
        <w:rPr>
          <w:sz w:val="24"/>
          <w:szCs w:val="24"/>
        </w:rPr>
        <w:t>.</w:t>
      </w:r>
      <w:r w:rsidR="00D478F3" w:rsidRPr="00273129">
        <w:rPr>
          <w:sz w:val="24"/>
          <w:szCs w:val="24"/>
        </w:rPr>
        <w:t xml:space="preserve">  </w:t>
      </w:r>
      <w:r w:rsidRPr="00273129">
        <w:rPr>
          <w:sz w:val="24"/>
          <w:szCs w:val="24"/>
        </w:rPr>
        <w:t xml:space="preserve">Programs included in this compilation are:  State Employment Security Agencies (SESAs) </w:t>
      </w:r>
      <w:r w:rsidR="00273129" w:rsidRPr="00273129">
        <w:rPr>
          <w:sz w:val="24"/>
          <w:szCs w:val="24"/>
        </w:rPr>
        <w:t xml:space="preserve">which are </w:t>
      </w:r>
      <w:r w:rsidRPr="00273129">
        <w:rPr>
          <w:sz w:val="24"/>
          <w:szCs w:val="24"/>
        </w:rPr>
        <w:t xml:space="preserve">comprised of three components: </w:t>
      </w:r>
      <w:r w:rsidR="00C36030" w:rsidRPr="00273129">
        <w:rPr>
          <w:sz w:val="24"/>
          <w:szCs w:val="24"/>
        </w:rPr>
        <w:t xml:space="preserve">Wagner Peyser </w:t>
      </w:r>
      <w:r w:rsidRPr="00273129">
        <w:rPr>
          <w:sz w:val="24"/>
          <w:szCs w:val="24"/>
        </w:rPr>
        <w:t>Employment Service (ES), Unemployment Service (UI), and Trade Program Grant Agreements (TAs)</w:t>
      </w:r>
      <w:r w:rsidR="004F48D0" w:rsidRPr="00273129">
        <w:rPr>
          <w:sz w:val="24"/>
          <w:szCs w:val="24"/>
        </w:rPr>
        <w:t xml:space="preserve">; </w:t>
      </w:r>
      <w:r w:rsidR="00273129" w:rsidRPr="00273129">
        <w:rPr>
          <w:sz w:val="24"/>
          <w:szCs w:val="24"/>
        </w:rPr>
        <w:t xml:space="preserve">as well as </w:t>
      </w:r>
      <w:r w:rsidR="004F48D0" w:rsidRPr="00273129">
        <w:rPr>
          <w:sz w:val="24"/>
          <w:szCs w:val="24"/>
        </w:rPr>
        <w:t>Workforce Investment Act Youth, Adult and Dislocated Worker;</w:t>
      </w:r>
      <w:r w:rsidR="001E6787" w:rsidRPr="00273129">
        <w:rPr>
          <w:sz w:val="24"/>
          <w:szCs w:val="24"/>
        </w:rPr>
        <w:t xml:space="preserve"> </w:t>
      </w:r>
      <w:r w:rsidRPr="00273129">
        <w:rPr>
          <w:sz w:val="24"/>
          <w:szCs w:val="24"/>
        </w:rPr>
        <w:t>Hardmark Grants; Workforce Investment Act discretionary grants, H-I B Grants; and Performance Incentive Grants.  Estimates also include provision for other miscellaneous grants</w:t>
      </w:r>
      <w:r w:rsidRPr="005A1F7A">
        <w:rPr>
          <w:sz w:val="24"/>
          <w:szCs w:val="24"/>
        </w:rPr>
        <w:t xml:space="preserve"> which are yet to be funded, but which will report on the</w:t>
      </w:r>
      <w:r w:rsidRPr="005A1F7A">
        <w:rPr>
          <w:color w:val="00CCFF"/>
          <w:sz w:val="24"/>
          <w:szCs w:val="24"/>
        </w:rPr>
        <w:t xml:space="preserve"> </w:t>
      </w:r>
      <w:r w:rsidRPr="005A1F7A">
        <w:rPr>
          <w:sz w:val="24"/>
          <w:szCs w:val="24"/>
        </w:rPr>
        <w:t xml:space="preserve">Financial Report.  </w:t>
      </w:r>
    </w:p>
    <w:p w:rsidR="00090640" w:rsidRDefault="00090640" w:rsidP="005A1F7A">
      <w:pPr>
        <w:rPr>
          <w:sz w:val="24"/>
          <w:szCs w:val="24"/>
        </w:rPr>
      </w:pPr>
    </w:p>
    <w:p w:rsidR="00F0448F" w:rsidRDefault="000B0009" w:rsidP="005A1F7A">
      <w:pPr>
        <w:rPr>
          <w:sz w:val="24"/>
          <w:szCs w:val="24"/>
        </w:rPr>
      </w:pPr>
      <w:r>
        <w:rPr>
          <w:sz w:val="24"/>
          <w:szCs w:val="24"/>
        </w:rPr>
        <w:t xml:space="preserve">ETA has approximately 848 active grantees.  The number may increase or decrease from year to year due to funding for discretionary grant awards or other special circumstances.  For example, the number increased under the ARRA with the award of additional grants and funds.  However, ETA believes that 848 </w:t>
      </w:r>
      <w:proofErr w:type="gramStart"/>
      <w:r>
        <w:rPr>
          <w:sz w:val="24"/>
          <w:szCs w:val="24"/>
        </w:rPr>
        <w:t>continues</w:t>
      </w:r>
      <w:proofErr w:type="gramEnd"/>
      <w:r>
        <w:rPr>
          <w:sz w:val="24"/>
          <w:szCs w:val="24"/>
        </w:rPr>
        <w:t xml:space="preserve"> to represent an average number of grants per year.    </w:t>
      </w:r>
      <w:r w:rsidR="00273129">
        <w:rPr>
          <w:sz w:val="24"/>
          <w:szCs w:val="24"/>
        </w:rPr>
        <w:t xml:space="preserve">ETA’s annual figures </w:t>
      </w:r>
      <w:r>
        <w:rPr>
          <w:sz w:val="24"/>
          <w:szCs w:val="24"/>
        </w:rPr>
        <w:t xml:space="preserve">must </w:t>
      </w:r>
      <w:r w:rsidR="00DC4A22">
        <w:rPr>
          <w:sz w:val="24"/>
          <w:szCs w:val="24"/>
        </w:rPr>
        <w:t xml:space="preserve">include a </w:t>
      </w:r>
      <w:r w:rsidR="00273129">
        <w:rPr>
          <w:sz w:val="24"/>
          <w:szCs w:val="24"/>
        </w:rPr>
        <w:t>F</w:t>
      </w:r>
      <w:r w:rsidR="00DC4A22">
        <w:rPr>
          <w:sz w:val="24"/>
          <w:szCs w:val="24"/>
        </w:rPr>
        <w:t xml:space="preserve">Y and </w:t>
      </w:r>
      <w:r w:rsidR="00273129">
        <w:rPr>
          <w:sz w:val="24"/>
          <w:szCs w:val="24"/>
        </w:rPr>
        <w:t>P</w:t>
      </w:r>
      <w:r w:rsidR="00DC4A22">
        <w:rPr>
          <w:sz w:val="24"/>
          <w:szCs w:val="24"/>
        </w:rPr>
        <w:t xml:space="preserve">Y breakout.  </w:t>
      </w:r>
      <w:r w:rsidR="00C36030">
        <w:rPr>
          <w:sz w:val="24"/>
          <w:szCs w:val="24"/>
        </w:rPr>
        <w:t xml:space="preserve">ETA’s </w:t>
      </w:r>
      <w:r w:rsidR="00273129">
        <w:rPr>
          <w:sz w:val="24"/>
          <w:szCs w:val="24"/>
        </w:rPr>
        <w:t xml:space="preserve">tracks funds based upon funding stream as appropriated and by fiscal year and program year.  </w:t>
      </w:r>
      <w:r w:rsidR="00C36030">
        <w:rPr>
          <w:sz w:val="24"/>
          <w:szCs w:val="24"/>
        </w:rPr>
        <w:t>The</w:t>
      </w:r>
      <w:r w:rsidR="00DC4A22">
        <w:rPr>
          <w:sz w:val="24"/>
          <w:szCs w:val="24"/>
        </w:rPr>
        <w:t xml:space="preserve"> 9130 reports </w:t>
      </w:r>
      <w:r w:rsidR="00C36030">
        <w:rPr>
          <w:sz w:val="24"/>
          <w:szCs w:val="24"/>
        </w:rPr>
        <w:t>for PY and FY are submitted</w:t>
      </w:r>
      <w:r w:rsidR="00DC4A22">
        <w:rPr>
          <w:sz w:val="24"/>
          <w:szCs w:val="24"/>
        </w:rPr>
        <w:t xml:space="preserve"> </w:t>
      </w:r>
      <w:r w:rsidR="00DC4A22" w:rsidRPr="00273129">
        <w:rPr>
          <w:sz w:val="24"/>
          <w:szCs w:val="24"/>
        </w:rPr>
        <w:t>simultaneously</w:t>
      </w:r>
      <w:r w:rsidR="00C36030" w:rsidRPr="00273129">
        <w:rPr>
          <w:sz w:val="24"/>
          <w:szCs w:val="24"/>
        </w:rPr>
        <w:t>.</w:t>
      </w:r>
      <w:r w:rsidR="00BC6868">
        <w:rPr>
          <w:sz w:val="24"/>
          <w:szCs w:val="24"/>
        </w:rPr>
        <w:t xml:space="preserve">  </w:t>
      </w:r>
      <w:r>
        <w:rPr>
          <w:sz w:val="24"/>
          <w:szCs w:val="24"/>
        </w:rPr>
        <w:t xml:space="preserve">All grantees submit 9130 reports for each stream of funds four times per year.  The result is that ETA estimates a total of 8 reports per grantee per year.  </w:t>
      </w:r>
    </w:p>
    <w:p w:rsidR="003C2E74" w:rsidRDefault="003C2E74" w:rsidP="005A1F7A">
      <w:pPr>
        <w:rPr>
          <w:sz w:val="24"/>
          <w:szCs w:val="24"/>
        </w:rPr>
      </w:pPr>
    </w:p>
    <w:p w:rsidR="00293E17" w:rsidRDefault="00E7094F" w:rsidP="00293E17">
      <w:pPr>
        <w:rPr>
          <w:sz w:val="24"/>
          <w:szCs w:val="24"/>
        </w:rPr>
      </w:pPr>
      <w:r w:rsidRPr="00273129">
        <w:rPr>
          <w:sz w:val="24"/>
          <w:szCs w:val="24"/>
        </w:rPr>
        <w:t xml:space="preserve">ETA </w:t>
      </w:r>
      <w:r w:rsidR="00F0448F" w:rsidRPr="00273129">
        <w:rPr>
          <w:sz w:val="24"/>
          <w:szCs w:val="24"/>
        </w:rPr>
        <w:t>strives</w:t>
      </w:r>
      <w:r w:rsidR="00E126A5" w:rsidRPr="00273129">
        <w:rPr>
          <w:sz w:val="24"/>
          <w:szCs w:val="24"/>
        </w:rPr>
        <w:t xml:space="preserve"> to reduce reporting </w:t>
      </w:r>
      <w:r w:rsidR="00643820" w:rsidRPr="00273129">
        <w:rPr>
          <w:sz w:val="24"/>
          <w:szCs w:val="24"/>
        </w:rPr>
        <w:t>time</w:t>
      </w:r>
      <w:r w:rsidR="00E126A5" w:rsidRPr="00273129">
        <w:rPr>
          <w:sz w:val="24"/>
          <w:szCs w:val="24"/>
        </w:rPr>
        <w:t xml:space="preserve"> for </w:t>
      </w:r>
      <w:r w:rsidR="00BC6868" w:rsidRPr="00273129">
        <w:rPr>
          <w:sz w:val="24"/>
          <w:szCs w:val="24"/>
        </w:rPr>
        <w:t>our</w:t>
      </w:r>
      <w:r w:rsidR="00E126A5" w:rsidRPr="00273129">
        <w:rPr>
          <w:sz w:val="24"/>
          <w:szCs w:val="24"/>
        </w:rPr>
        <w:t xml:space="preserve"> grantees.  Several sections of the 9130 </w:t>
      </w:r>
      <w:r w:rsidRPr="00273129">
        <w:rPr>
          <w:sz w:val="24"/>
          <w:szCs w:val="24"/>
        </w:rPr>
        <w:t>ha</w:t>
      </w:r>
      <w:r w:rsidR="00D75740" w:rsidRPr="00273129">
        <w:rPr>
          <w:sz w:val="24"/>
          <w:szCs w:val="24"/>
        </w:rPr>
        <w:t>ve</w:t>
      </w:r>
      <w:r w:rsidRPr="00273129">
        <w:rPr>
          <w:sz w:val="24"/>
          <w:szCs w:val="24"/>
        </w:rPr>
        <w:t xml:space="preserve"> pre-filled</w:t>
      </w:r>
      <w:r w:rsidR="00AD0AC1" w:rsidRPr="00273129">
        <w:rPr>
          <w:sz w:val="24"/>
          <w:szCs w:val="24"/>
        </w:rPr>
        <w:t xml:space="preserve"> line items</w:t>
      </w:r>
      <w:r w:rsidR="00F0448F" w:rsidRPr="00273129">
        <w:rPr>
          <w:sz w:val="24"/>
          <w:szCs w:val="24"/>
        </w:rPr>
        <w:t xml:space="preserve"> or automatically calculated line items,</w:t>
      </w:r>
      <w:r w:rsidRPr="00273129">
        <w:rPr>
          <w:sz w:val="24"/>
          <w:szCs w:val="24"/>
        </w:rPr>
        <w:t xml:space="preserve"> which is </w:t>
      </w:r>
      <w:r w:rsidR="00FD1576" w:rsidRPr="00273129">
        <w:rPr>
          <w:sz w:val="24"/>
          <w:szCs w:val="24"/>
        </w:rPr>
        <w:t>c</w:t>
      </w:r>
      <w:r w:rsidRPr="00273129">
        <w:rPr>
          <w:sz w:val="24"/>
          <w:szCs w:val="24"/>
        </w:rPr>
        <w:t>onvien</w:t>
      </w:r>
      <w:r w:rsidR="00FD1576" w:rsidRPr="00273129">
        <w:rPr>
          <w:sz w:val="24"/>
          <w:szCs w:val="24"/>
        </w:rPr>
        <w:t>t</w:t>
      </w:r>
      <w:r w:rsidR="00F0448F" w:rsidRPr="00273129">
        <w:rPr>
          <w:sz w:val="24"/>
          <w:szCs w:val="24"/>
        </w:rPr>
        <w:t xml:space="preserve"> and time </w:t>
      </w:r>
      <w:r w:rsidR="00273129" w:rsidRPr="00273129">
        <w:rPr>
          <w:sz w:val="24"/>
          <w:szCs w:val="24"/>
        </w:rPr>
        <w:t>saving</w:t>
      </w:r>
      <w:r w:rsidRPr="00273129">
        <w:rPr>
          <w:sz w:val="24"/>
          <w:szCs w:val="24"/>
        </w:rPr>
        <w:t xml:space="preserve"> for </w:t>
      </w:r>
      <w:r w:rsidR="00833426" w:rsidRPr="00273129">
        <w:rPr>
          <w:sz w:val="24"/>
          <w:szCs w:val="24"/>
        </w:rPr>
        <w:t>our</w:t>
      </w:r>
      <w:r w:rsidR="00D75740" w:rsidRPr="00273129">
        <w:rPr>
          <w:sz w:val="24"/>
          <w:szCs w:val="24"/>
        </w:rPr>
        <w:t xml:space="preserve"> </w:t>
      </w:r>
      <w:r w:rsidRPr="00273129">
        <w:rPr>
          <w:sz w:val="24"/>
          <w:szCs w:val="24"/>
        </w:rPr>
        <w:t>grantees</w:t>
      </w:r>
      <w:r w:rsidR="00AD0AC1" w:rsidRPr="00273129">
        <w:rPr>
          <w:sz w:val="24"/>
          <w:szCs w:val="24"/>
        </w:rPr>
        <w:t>.</w:t>
      </w:r>
      <w:r w:rsidR="000C778B" w:rsidRPr="00273129">
        <w:rPr>
          <w:sz w:val="24"/>
          <w:szCs w:val="24"/>
        </w:rPr>
        <w:t xml:space="preserve"> </w:t>
      </w:r>
      <w:r w:rsidR="00F0448F" w:rsidRPr="00273129">
        <w:rPr>
          <w:sz w:val="24"/>
          <w:szCs w:val="24"/>
        </w:rPr>
        <w:t xml:space="preserve"> </w:t>
      </w:r>
      <w:r w:rsidRPr="00273129">
        <w:rPr>
          <w:sz w:val="24"/>
          <w:szCs w:val="24"/>
        </w:rPr>
        <w:t xml:space="preserve">It takes the grantees on average </w:t>
      </w:r>
      <w:r w:rsidR="00BC6868" w:rsidRPr="00273129">
        <w:rPr>
          <w:sz w:val="24"/>
          <w:szCs w:val="24"/>
        </w:rPr>
        <w:t>30 minutes</w:t>
      </w:r>
      <w:r w:rsidRPr="00273129">
        <w:rPr>
          <w:sz w:val="24"/>
          <w:szCs w:val="24"/>
        </w:rPr>
        <w:t xml:space="preserve"> to fill out </w:t>
      </w:r>
      <w:r w:rsidR="00F0448F" w:rsidRPr="00273129">
        <w:rPr>
          <w:sz w:val="24"/>
          <w:szCs w:val="24"/>
        </w:rPr>
        <w:t xml:space="preserve">one 9130 </w:t>
      </w:r>
      <w:r w:rsidRPr="00273129">
        <w:rPr>
          <w:sz w:val="24"/>
          <w:szCs w:val="24"/>
        </w:rPr>
        <w:t>report</w:t>
      </w:r>
      <w:r w:rsidR="00F0448F" w:rsidRPr="00273129">
        <w:rPr>
          <w:sz w:val="24"/>
          <w:szCs w:val="24"/>
        </w:rPr>
        <w:t>,</w:t>
      </w:r>
      <w:r w:rsidRPr="00273129">
        <w:rPr>
          <w:sz w:val="24"/>
          <w:szCs w:val="24"/>
        </w:rPr>
        <w:t xml:space="preserve"> which averages out to approximately two hours per year</w:t>
      </w:r>
      <w:r w:rsidR="00AD0AC1" w:rsidRPr="00273129">
        <w:rPr>
          <w:sz w:val="24"/>
          <w:szCs w:val="24"/>
        </w:rPr>
        <w:t xml:space="preserve"> (4 reports per year </w:t>
      </w:r>
      <w:r w:rsidR="00833426" w:rsidRPr="00273129">
        <w:rPr>
          <w:sz w:val="24"/>
          <w:szCs w:val="24"/>
        </w:rPr>
        <w:t xml:space="preserve">at </w:t>
      </w:r>
      <w:r w:rsidR="00BC6868" w:rsidRPr="00273129">
        <w:rPr>
          <w:sz w:val="24"/>
          <w:szCs w:val="24"/>
        </w:rPr>
        <w:t>30 minutes per report</w:t>
      </w:r>
      <w:r w:rsidR="00AD0AC1" w:rsidRPr="00273129">
        <w:rPr>
          <w:sz w:val="24"/>
          <w:szCs w:val="24"/>
        </w:rPr>
        <w:t>)</w:t>
      </w:r>
      <w:r w:rsidRPr="00273129">
        <w:rPr>
          <w:sz w:val="24"/>
          <w:szCs w:val="24"/>
        </w:rPr>
        <w:t>.</w:t>
      </w:r>
      <w:r w:rsidR="00AD0AC1" w:rsidRPr="00273129">
        <w:rPr>
          <w:sz w:val="24"/>
          <w:szCs w:val="24"/>
        </w:rPr>
        <w:t xml:space="preserve">  ETA has always calculated the time per report at no more than </w:t>
      </w:r>
      <w:r w:rsidR="00AF2128" w:rsidRPr="00273129">
        <w:rPr>
          <w:sz w:val="24"/>
          <w:szCs w:val="24"/>
        </w:rPr>
        <w:t>30 minutes</w:t>
      </w:r>
      <w:r w:rsidR="00F0448F" w:rsidRPr="00273129">
        <w:rPr>
          <w:sz w:val="24"/>
          <w:szCs w:val="24"/>
        </w:rPr>
        <w:t xml:space="preserve"> and this</w:t>
      </w:r>
      <w:r w:rsidR="00AF2128" w:rsidRPr="00273129">
        <w:rPr>
          <w:sz w:val="24"/>
          <w:szCs w:val="24"/>
        </w:rPr>
        <w:t xml:space="preserve"> was part of the initial package</w:t>
      </w:r>
      <w:r w:rsidR="00F0448F" w:rsidRPr="00273129">
        <w:rPr>
          <w:sz w:val="24"/>
          <w:szCs w:val="24"/>
        </w:rPr>
        <w:t xml:space="preserve"> approved</w:t>
      </w:r>
      <w:r w:rsidR="000B0009" w:rsidRPr="00273129">
        <w:rPr>
          <w:sz w:val="24"/>
          <w:szCs w:val="24"/>
        </w:rPr>
        <w:t>,</w:t>
      </w:r>
      <w:r w:rsidR="00F0448F" w:rsidRPr="00273129">
        <w:rPr>
          <w:sz w:val="24"/>
          <w:szCs w:val="24"/>
        </w:rPr>
        <w:t xml:space="preserve"> as well as subsequent nonsubstantive renewals</w:t>
      </w:r>
      <w:r w:rsidR="00AF2128" w:rsidRPr="00273129">
        <w:rPr>
          <w:sz w:val="24"/>
          <w:szCs w:val="24"/>
        </w:rPr>
        <w:t xml:space="preserve">.  </w:t>
      </w:r>
      <w:r w:rsidR="00273129">
        <w:rPr>
          <w:sz w:val="24"/>
          <w:szCs w:val="24"/>
        </w:rPr>
        <w:t xml:space="preserve">There have been no changes to the form that would impact burden.  </w:t>
      </w:r>
      <w:r w:rsidR="00440C84">
        <w:rPr>
          <w:sz w:val="24"/>
          <w:szCs w:val="24"/>
        </w:rPr>
        <w:t>During the initial and subsequent 60 day public comment periods</w:t>
      </w:r>
      <w:r w:rsidR="00273129">
        <w:rPr>
          <w:sz w:val="24"/>
          <w:szCs w:val="24"/>
        </w:rPr>
        <w:t>, ETA has not received any comments from recipients suggesting this time is inconsistent with their actual burden. </w:t>
      </w:r>
      <w:r w:rsidR="00217E2A">
        <w:rPr>
          <w:sz w:val="24"/>
          <w:szCs w:val="24"/>
        </w:rPr>
        <w:t xml:space="preserve">  </w:t>
      </w:r>
      <w:r w:rsidR="00AF2128">
        <w:rPr>
          <w:sz w:val="24"/>
          <w:szCs w:val="24"/>
        </w:rPr>
        <w:t xml:space="preserve">On average </w:t>
      </w:r>
      <w:r w:rsidR="00A409B0">
        <w:rPr>
          <w:sz w:val="24"/>
          <w:szCs w:val="24"/>
        </w:rPr>
        <w:t>3,392</w:t>
      </w:r>
      <w:r w:rsidR="00643820">
        <w:rPr>
          <w:sz w:val="24"/>
          <w:szCs w:val="24"/>
        </w:rPr>
        <w:t xml:space="preserve"> </w:t>
      </w:r>
      <w:r w:rsidR="00F0448F">
        <w:rPr>
          <w:sz w:val="24"/>
          <w:szCs w:val="24"/>
        </w:rPr>
        <w:t xml:space="preserve">hours </w:t>
      </w:r>
      <w:r w:rsidR="00643820">
        <w:rPr>
          <w:sz w:val="24"/>
          <w:szCs w:val="24"/>
        </w:rPr>
        <w:t xml:space="preserve">is </w:t>
      </w:r>
      <w:r w:rsidR="00AF2128">
        <w:rPr>
          <w:sz w:val="24"/>
          <w:szCs w:val="24"/>
        </w:rPr>
        <w:t xml:space="preserve">the </w:t>
      </w:r>
      <w:r w:rsidR="00643820">
        <w:rPr>
          <w:sz w:val="24"/>
          <w:szCs w:val="24"/>
        </w:rPr>
        <w:t xml:space="preserve">estimated </w:t>
      </w:r>
      <w:r w:rsidR="00F0448F">
        <w:rPr>
          <w:sz w:val="24"/>
          <w:szCs w:val="24"/>
        </w:rPr>
        <w:t>annual reporting burden.  The</w:t>
      </w:r>
      <w:r w:rsidR="000B0009">
        <w:rPr>
          <w:sz w:val="24"/>
          <w:szCs w:val="24"/>
        </w:rPr>
        <w:t xml:space="preserve"> </w:t>
      </w:r>
      <w:r w:rsidR="00643820">
        <w:rPr>
          <w:sz w:val="24"/>
          <w:szCs w:val="24"/>
        </w:rPr>
        <w:t xml:space="preserve">calculation is based on </w:t>
      </w:r>
      <w:r w:rsidR="00DA44EA">
        <w:rPr>
          <w:sz w:val="24"/>
          <w:szCs w:val="24"/>
        </w:rPr>
        <w:t>6,784 reports</w:t>
      </w:r>
      <w:r w:rsidR="00F0448F">
        <w:rPr>
          <w:sz w:val="24"/>
          <w:szCs w:val="24"/>
        </w:rPr>
        <w:t xml:space="preserve"> per year </w:t>
      </w:r>
      <w:r w:rsidR="000B0009">
        <w:rPr>
          <w:sz w:val="24"/>
          <w:szCs w:val="24"/>
        </w:rPr>
        <w:t>(</w:t>
      </w:r>
      <w:r w:rsidR="00F0448F">
        <w:rPr>
          <w:sz w:val="24"/>
          <w:szCs w:val="24"/>
        </w:rPr>
        <w:t>(848 grant X 4 PY</w:t>
      </w:r>
      <w:r w:rsidR="000B0009">
        <w:rPr>
          <w:sz w:val="24"/>
          <w:szCs w:val="24"/>
        </w:rPr>
        <w:t xml:space="preserve"> = </w:t>
      </w:r>
      <w:r w:rsidR="00DC581F">
        <w:rPr>
          <w:sz w:val="24"/>
          <w:szCs w:val="24"/>
        </w:rPr>
        <w:t>3392</w:t>
      </w:r>
      <w:r w:rsidR="000B0009">
        <w:rPr>
          <w:sz w:val="24"/>
          <w:szCs w:val="24"/>
        </w:rPr>
        <w:t>) +</w:t>
      </w:r>
      <w:r w:rsidR="00F0448F">
        <w:rPr>
          <w:sz w:val="24"/>
          <w:szCs w:val="24"/>
        </w:rPr>
        <w:t xml:space="preserve"> </w:t>
      </w:r>
      <w:r w:rsidR="000B0009">
        <w:rPr>
          <w:sz w:val="24"/>
          <w:szCs w:val="24"/>
        </w:rPr>
        <w:t xml:space="preserve">(848 grants </w:t>
      </w:r>
      <w:r w:rsidR="00F0448F">
        <w:rPr>
          <w:sz w:val="24"/>
          <w:szCs w:val="24"/>
        </w:rPr>
        <w:t>X 4 FY</w:t>
      </w:r>
      <w:r w:rsidR="000B0009">
        <w:rPr>
          <w:sz w:val="24"/>
          <w:szCs w:val="24"/>
        </w:rPr>
        <w:t xml:space="preserve"> =</w:t>
      </w:r>
      <w:r w:rsidR="00DC581F">
        <w:rPr>
          <w:sz w:val="24"/>
          <w:szCs w:val="24"/>
        </w:rPr>
        <w:t>3392</w:t>
      </w:r>
      <w:r w:rsidR="000B0009">
        <w:rPr>
          <w:sz w:val="24"/>
          <w:szCs w:val="24"/>
        </w:rPr>
        <w:t>)</w:t>
      </w:r>
      <w:r w:rsidR="00DC581F">
        <w:rPr>
          <w:sz w:val="24"/>
          <w:szCs w:val="24"/>
        </w:rPr>
        <w:t xml:space="preserve"> = 6784</w:t>
      </w:r>
      <w:r w:rsidR="00F0448F">
        <w:rPr>
          <w:sz w:val="24"/>
          <w:szCs w:val="24"/>
        </w:rPr>
        <w:t>) at 30 minutes per report</w:t>
      </w:r>
      <w:r w:rsidR="000B0009">
        <w:rPr>
          <w:sz w:val="24"/>
          <w:szCs w:val="24"/>
        </w:rPr>
        <w:t xml:space="preserve"> (6784/</w:t>
      </w:r>
      <w:r w:rsidR="00F0448F">
        <w:rPr>
          <w:sz w:val="24"/>
          <w:szCs w:val="24"/>
        </w:rPr>
        <w:t>2</w:t>
      </w:r>
      <w:r w:rsidR="000B0009">
        <w:rPr>
          <w:sz w:val="24"/>
          <w:szCs w:val="24"/>
        </w:rPr>
        <w:t>=3,392</w:t>
      </w:r>
      <w:r w:rsidR="00F0448F">
        <w:rPr>
          <w:sz w:val="24"/>
          <w:szCs w:val="24"/>
        </w:rPr>
        <w:t xml:space="preserve">).  </w:t>
      </w:r>
      <w:r w:rsidR="00643820">
        <w:rPr>
          <w:sz w:val="24"/>
          <w:szCs w:val="24"/>
        </w:rPr>
        <w:t xml:space="preserve"> </w:t>
      </w:r>
      <w:r w:rsidR="00293E17">
        <w:rPr>
          <w:sz w:val="24"/>
          <w:szCs w:val="24"/>
        </w:rPr>
        <w:t>A GS 12/01 is the estimated level of staff required to perform this function.  It</w:t>
      </w:r>
      <w:r w:rsidR="00293E17" w:rsidRPr="00206AD3">
        <w:rPr>
          <w:sz w:val="24"/>
          <w:szCs w:val="24"/>
        </w:rPr>
        <w:t xml:space="preserve"> is estimated </w:t>
      </w:r>
      <w:r w:rsidR="00293E17">
        <w:rPr>
          <w:sz w:val="24"/>
          <w:szCs w:val="24"/>
        </w:rPr>
        <w:t xml:space="preserve">that the annual hours are at a cost of approximately $36.00 per hour for an annual cost of $122,112.  We have estimated the GS 12/01 level based on title/position of personnel submitting 9130 reports for our grantees.  Many of our grantee personnel submitting the 9130 reports are accountants.   </w:t>
      </w:r>
    </w:p>
    <w:p w:rsidR="00293E17" w:rsidRDefault="00293E17" w:rsidP="005A1F7A">
      <w:pPr>
        <w:rPr>
          <w:sz w:val="24"/>
          <w:szCs w:val="24"/>
        </w:rPr>
      </w:pPr>
    </w:p>
    <w:tbl>
      <w:tblPr>
        <w:tblW w:w="9195" w:type="dxa"/>
        <w:tblInd w:w="93" w:type="dxa"/>
        <w:tblLook w:val="04A0"/>
      </w:tblPr>
      <w:tblGrid>
        <w:gridCol w:w="1275"/>
        <w:gridCol w:w="1440"/>
        <w:gridCol w:w="1260"/>
        <w:gridCol w:w="1440"/>
        <w:gridCol w:w="990"/>
        <w:gridCol w:w="990"/>
        <w:gridCol w:w="1800"/>
      </w:tblGrid>
      <w:tr w:rsidR="00293E17" w:rsidRPr="00542BFC" w:rsidTr="005C02C6">
        <w:trPr>
          <w:trHeight w:val="570"/>
        </w:trPr>
        <w:tc>
          <w:tcPr>
            <w:tcW w:w="9195" w:type="dxa"/>
            <w:gridSpan w:val="7"/>
            <w:tcBorders>
              <w:top w:val="double" w:sz="6" w:space="0" w:color="auto"/>
              <w:left w:val="single" w:sz="8" w:space="0" w:color="auto"/>
              <w:bottom w:val="double" w:sz="6" w:space="0" w:color="auto"/>
              <w:right w:val="single" w:sz="8" w:space="0" w:color="000000"/>
            </w:tcBorders>
            <w:shd w:val="clear" w:color="auto" w:fill="auto"/>
            <w:noWrap/>
            <w:vAlign w:val="center"/>
            <w:hideMark/>
          </w:tcPr>
          <w:p w:rsidR="00293E17" w:rsidRDefault="00293E17" w:rsidP="00542BFC">
            <w:pPr>
              <w:widowControl/>
              <w:autoSpaceDE/>
              <w:autoSpaceDN/>
              <w:adjustRightInd/>
              <w:rPr>
                <w:rFonts w:ascii="Calibri" w:hAnsi="Calibri"/>
                <w:b/>
                <w:bCs/>
                <w:color w:val="000000"/>
                <w:sz w:val="22"/>
                <w:szCs w:val="22"/>
              </w:rPr>
            </w:pPr>
            <w:r>
              <w:rPr>
                <w:rFonts w:ascii="Calibri" w:hAnsi="Calibri"/>
                <w:b/>
                <w:bCs/>
                <w:color w:val="000000"/>
                <w:sz w:val="22"/>
                <w:szCs w:val="22"/>
              </w:rPr>
              <w:t xml:space="preserve">             </w:t>
            </w:r>
            <w:r w:rsidRPr="00542BFC">
              <w:rPr>
                <w:rFonts w:ascii="Calibri" w:hAnsi="Calibri"/>
                <w:b/>
                <w:bCs/>
                <w:color w:val="000000"/>
                <w:sz w:val="22"/>
                <w:szCs w:val="22"/>
              </w:rPr>
              <w:t>ESTIMATED ANNUAL ETA-9130 REPORTING BURDEN COST FOR GRANTEES</w:t>
            </w:r>
          </w:p>
        </w:tc>
      </w:tr>
      <w:tr w:rsidR="005C02C6" w:rsidRPr="00542BFC" w:rsidTr="005C02C6">
        <w:trPr>
          <w:trHeight w:val="837"/>
        </w:trPr>
        <w:tc>
          <w:tcPr>
            <w:tcW w:w="1275" w:type="dxa"/>
            <w:tcBorders>
              <w:top w:val="nil"/>
              <w:left w:val="single" w:sz="8" w:space="0" w:color="auto"/>
              <w:bottom w:val="single" w:sz="8" w:space="0" w:color="auto"/>
              <w:right w:val="single" w:sz="8" w:space="0" w:color="auto"/>
            </w:tcBorders>
            <w:shd w:val="clear" w:color="auto" w:fill="auto"/>
            <w:vAlign w:val="bottom"/>
            <w:hideMark/>
          </w:tcPr>
          <w:p w:rsidR="00293E17" w:rsidRPr="00542BFC" w:rsidRDefault="00293E17" w:rsidP="00542BFC">
            <w:pPr>
              <w:widowControl/>
              <w:autoSpaceDE/>
              <w:autoSpaceDN/>
              <w:adjustRightInd/>
              <w:jc w:val="center"/>
              <w:rPr>
                <w:rFonts w:ascii="Calibri" w:hAnsi="Calibri"/>
                <w:color w:val="000000"/>
                <w:sz w:val="22"/>
                <w:szCs w:val="22"/>
              </w:rPr>
            </w:pPr>
            <w:r w:rsidRPr="00542BFC">
              <w:rPr>
                <w:rFonts w:ascii="Calibri" w:hAnsi="Calibri"/>
                <w:color w:val="000000"/>
                <w:sz w:val="22"/>
                <w:szCs w:val="22"/>
              </w:rPr>
              <w:t>Data Collection Activity</w:t>
            </w:r>
          </w:p>
        </w:tc>
        <w:tc>
          <w:tcPr>
            <w:tcW w:w="1440" w:type="dxa"/>
            <w:tcBorders>
              <w:top w:val="nil"/>
              <w:left w:val="nil"/>
              <w:bottom w:val="single" w:sz="8" w:space="0" w:color="auto"/>
              <w:right w:val="single" w:sz="8" w:space="0" w:color="auto"/>
            </w:tcBorders>
            <w:shd w:val="clear" w:color="auto" w:fill="auto"/>
            <w:vAlign w:val="bottom"/>
            <w:hideMark/>
          </w:tcPr>
          <w:p w:rsidR="00293E17" w:rsidRPr="00542BFC" w:rsidRDefault="00293E17" w:rsidP="00542BFC">
            <w:pPr>
              <w:widowControl/>
              <w:autoSpaceDE/>
              <w:autoSpaceDN/>
              <w:adjustRightInd/>
              <w:jc w:val="center"/>
              <w:rPr>
                <w:rFonts w:ascii="Calibri" w:hAnsi="Calibri"/>
                <w:color w:val="000000"/>
                <w:sz w:val="22"/>
                <w:szCs w:val="22"/>
              </w:rPr>
            </w:pPr>
            <w:r w:rsidRPr="00542BFC">
              <w:rPr>
                <w:rFonts w:ascii="Calibri" w:hAnsi="Calibri"/>
                <w:color w:val="000000"/>
                <w:sz w:val="22"/>
                <w:szCs w:val="22"/>
              </w:rPr>
              <w:t>Number of Respondents</w:t>
            </w:r>
          </w:p>
        </w:tc>
        <w:tc>
          <w:tcPr>
            <w:tcW w:w="1260" w:type="dxa"/>
            <w:tcBorders>
              <w:top w:val="nil"/>
              <w:left w:val="nil"/>
              <w:bottom w:val="single" w:sz="8" w:space="0" w:color="auto"/>
              <w:right w:val="single" w:sz="8" w:space="0" w:color="auto"/>
            </w:tcBorders>
            <w:shd w:val="clear" w:color="auto" w:fill="auto"/>
            <w:vAlign w:val="bottom"/>
            <w:hideMark/>
          </w:tcPr>
          <w:p w:rsidR="00293E17" w:rsidRPr="00542BFC" w:rsidRDefault="00293E17" w:rsidP="00542BFC">
            <w:pPr>
              <w:widowControl/>
              <w:autoSpaceDE/>
              <w:autoSpaceDN/>
              <w:adjustRightInd/>
              <w:jc w:val="center"/>
              <w:rPr>
                <w:rFonts w:ascii="Calibri" w:hAnsi="Calibri"/>
                <w:color w:val="000000"/>
                <w:sz w:val="22"/>
                <w:szCs w:val="22"/>
              </w:rPr>
            </w:pPr>
            <w:r w:rsidRPr="00542BFC">
              <w:rPr>
                <w:rFonts w:ascii="Calibri" w:hAnsi="Calibri"/>
                <w:color w:val="000000"/>
                <w:sz w:val="22"/>
                <w:szCs w:val="22"/>
              </w:rPr>
              <w:t>Frequency</w:t>
            </w:r>
          </w:p>
        </w:tc>
        <w:tc>
          <w:tcPr>
            <w:tcW w:w="1440" w:type="dxa"/>
            <w:tcBorders>
              <w:top w:val="nil"/>
              <w:left w:val="nil"/>
              <w:bottom w:val="single" w:sz="8" w:space="0" w:color="auto"/>
              <w:right w:val="single" w:sz="8" w:space="0" w:color="auto"/>
            </w:tcBorders>
            <w:shd w:val="clear" w:color="auto" w:fill="auto"/>
            <w:vAlign w:val="bottom"/>
            <w:hideMark/>
          </w:tcPr>
          <w:p w:rsidR="00293E17" w:rsidRPr="00542BFC" w:rsidRDefault="00293E17" w:rsidP="00542BFC">
            <w:pPr>
              <w:widowControl/>
              <w:autoSpaceDE/>
              <w:autoSpaceDN/>
              <w:adjustRightInd/>
              <w:jc w:val="center"/>
              <w:rPr>
                <w:rFonts w:ascii="Calibri" w:hAnsi="Calibri"/>
                <w:color w:val="000000"/>
                <w:sz w:val="22"/>
                <w:szCs w:val="22"/>
              </w:rPr>
            </w:pPr>
            <w:r w:rsidRPr="00542BFC">
              <w:rPr>
                <w:rFonts w:ascii="Calibri" w:hAnsi="Calibri"/>
                <w:color w:val="000000"/>
                <w:sz w:val="22"/>
                <w:szCs w:val="22"/>
              </w:rPr>
              <w:t>Average Time Per Response</w:t>
            </w:r>
          </w:p>
        </w:tc>
        <w:tc>
          <w:tcPr>
            <w:tcW w:w="990" w:type="dxa"/>
            <w:tcBorders>
              <w:top w:val="nil"/>
              <w:left w:val="nil"/>
              <w:bottom w:val="single" w:sz="8" w:space="0" w:color="auto"/>
              <w:right w:val="single" w:sz="8" w:space="0" w:color="auto"/>
            </w:tcBorders>
            <w:shd w:val="clear" w:color="auto" w:fill="auto"/>
            <w:vAlign w:val="bottom"/>
            <w:hideMark/>
          </w:tcPr>
          <w:p w:rsidR="00293E17" w:rsidRPr="00542BFC" w:rsidRDefault="00293E17" w:rsidP="00542BFC">
            <w:pPr>
              <w:widowControl/>
              <w:autoSpaceDE/>
              <w:autoSpaceDN/>
              <w:adjustRightInd/>
              <w:jc w:val="center"/>
              <w:rPr>
                <w:rFonts w:ascii="Calibri" w:hAnsi="Calibri"/>
                <w:color w:val="000000"/>
                <w:sz w:val="22"/>
                <w:szCs w:val="22"/>
              </w:rPr>
            </w:pPr>
            <w:r w:rsidRPr="00542BFC">
              <w:rPr>
                <w:rFonts w:ascii="Calibri" w:hAnsi="Calibri"/>
                <w:color w:val="000000"/>
                <w:sz w:val="22"/>
                <w:szCs w:val="22"/>
              </w:rPr>
              <w:t>Burden Hours</w:t>
            </w:r>
          </w:p>
        </w:tc>
        <w:tc>
          <w:tcPr>
            <w:tcW w:w="990" w:type="dxa"/>
            <w:tcBorders>
              <w:top w:val="nil"/>
              <w:left w:val="nil"/>
              <w:bottom w:val="single" w:sz="8" w:space="0" w:color="auto"/>
              <w:right w:val="single" w:sz="8" w:space="0" w:color="auto"/>
            </w:tcBorders>
            <w:shd w:val="clear" w:color="auto" w:fill="auto"/>
            <w:vAlign w:val="bottom"/>
            <w:hideMark/>
          </w:tcPr>
          <w:p w:rsidR="00293E17" w:rsidRPr="00542BFC" w:rsidRDefault="00293E17" w:rsidP="00542BFC">
            <w:pPr>
              <w:widowControl/>
              <w:autoSpaceDE/>
              <w:autoSpaceDN/>
              <w:adjustRightInd/>
              <w:jc w:val="center"/>
              <w:rPr>
                <w:rFonts w:ascii="Calibri" w:hAnsi="Calibri"/>
                <w:color w:val="000000"/>
                <w:sz w:val="22"/>
                <w:szCs w:val="22"/>
              </w:rPr>
            </w:pPr>
            <w:r>
              <w:rPr>
                <w:rFonts w:ascii="Calibri" w:hAnsi="Calibri"/>
                <w:color w:val="000000"/>
                <w:sz w:val="22"/>
                <w:szCs w:val="22"/>
              </w:rPr>
              <w:t>Cost per hour</w:t>
            </w:r>
          </w:p>
        </w:tc>
        <w:tc>
          <w:tcPr>
            <w:tcW w:w="1800" w:type="dxa"/>
            <w:tcBorders>
              <w:top w:val="nil"/>
              <w:left w:val="nil"/>
              <w:bottom w:val="single" w:sz="8" w:space="0" w:color="auto"/>
              <w:right w:val="single" w:sz="8" w:space="0" w:color="auto"/>
            </w:tcBorders>
            <w:vAlign w:val="bottom"/>
          </w:tcPr>
          <w:p w:rsidR="00293E17" w:rsidRPr="00542BFC" w:rsidRDefault="00293E17" w:rsidP="00542BFC">
            <w:pPr>
              <w:widowControl/>
              <w:autoSpaceDE/>
              <w:autoSpaceDN/>
              <w:adjustRightInd/>
              <w:jc w:val="center"/>
              <w:rPr>
                <w:rFonts w:ascii="Calibri" w:hAnsi="Calibri"/>
                <w:color w:val="000000"/>
                <w:sz w:val="22"/>
                <w:szCs w:val="22"/>
              </w:rPr>
            </w:pPr>
            <w:r w:rsidRPr="00542BFC">
              <w:rPr>
                <w:rFonts w:ascii="Calibri" w:hAnsi="Calibri"/>
                <w:color w:val="000000"/>
                <w:sz w:val="22"/>
                <w:szCs w:val="22"/>
              </w:rPr>
              <w:t>Estimated Annual Burden Cost for Grantees</w:t>
            </w:r>
          </w:p>
        </w:tc>
      </w:tr>
      <w:tr w:rsidR="005C02C6" w:rsidRPr="00542BFC" w:rsidTr="005C02C6">
        <w:trPr>
          <w:trHeight w:val="315"/>
        </w:trPr>
        <w:tc>
          <w:tcPr>
            <w:tcW w:w="1275" w:type="dxa"/>
            <w:tcBorders>
              <w:top w:val="nil"/>
              <w:left w:val="single" w:sz="8" w:space="0" w:color="auto"/>
              <w:bottom w:val="single" w:sz="8"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rPr>
                <w:rFonts w:ascii="Calibri" w:hAnsi="Calibri"/>
                <w:color w:val="000000"/>
                <w:sz w:val="22"/>
                <w:szCs w:val="22"/>
              </w:rPr>
            </w:pPr>
            <w:r w:rsidRPr="00542BFC">
              <w:rPr>
                <w:rFonts w:ascii="Calibri" w:hAnsi="Calibri"/>
                <w:color w:val="000000"/>
                <w:sz w:val="22"/>
                <w:szCs w:val="22"/>
              </w:rPr>
              <w:t>Program Year</w:t>
            </w:r>
          </w:p>
        </w:tc>
        <w:tc>
          <w:tcPr>
            <w:tcW w:w="1440" w:type="dxa"/>
            <w:tcBorders>
              <w:top w:val="nil"/>
              <w:left w:val="nil"/>
              <w:bottom w:val="single" w:sz="8"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jc w:val="center"/>
              <w:rPr>
                <w:rFonts w:ascii="Calibri" w:hAnsi="Calibri"/>
                <w:color w:val="000000"/>
                <w:sz w:val="22"/>
                <w:szCs w:val="22"/>
              </w:rPr>
            </w:pPr>
            <w:r w:rsidRPr="00542BFC">
              <w:rPr>
                <w:rFonts w:ascii="Calibri" w:hAnsi="Calibri"/>
                <w:color w:val="000000"/>
                <w:sz w:val="22"/>
                <w:szCs w:val="22"/>
              </w:rPr>
              <w:t>848</w:t>
            </w:r>
          </w:p>
        </w:tc>
        <w:tc>
          <w:tcPr>
            <w:tcW w:w="1260" w:type="dxa"/>
            <w:tcBorders>
              <w:top w:val="nil"/>
              <w:left w:val="nil"/>
              <w:bottom w:val="single" w:sz="8"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jc w:val="center"/>
              <w:rPr>
                <w:rFonts w:ascii="Calibri" w:hAnsi="Calibri"/>
                <w:color w:val="000000"/>
                <w:sz w:val="22"/>
                <w:szCs w:val="22"/>
              </w:rPr>
            </w:pPr>
            <w:r w:rsidRPr="00542BFC">
              <w:rPr>
                <w:rFonts w:ascii="Calibri" w:hAnsi="Calibri"/>
                <w:color w:val="000000"/>
                <w:sz w:val="22"/>
                <w:szCs w:val="22"/>
              </w:rPr>
              <w:t>quarterly</w:t>
            </w:r>
          </w:p>
        </w:tc>
        <w:tc>
          <w:tcPr>
            <w:tcW w:w="1440" w:type="dxa"/>
            <w:tcBorders>
              <w:top w:val="nil"/>
              <w:left w:val="nil"/>
              <w:bottom w:val="single" w:sz="8"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jc w:val="center"/>
              <w:rPr>
                <w:rFonts w:ascii="Calibri" w:hAnsi="Calibri"/>
                <w:color w:val="000000"/>
                <w:sz w:val="22"/>
                <w:szCs w:val="22"/>
              </w:rPr>
            </w:pPr>
            <w:r w:rsidRPr="00542BFC">
              <w:rPr>
                <w:rFonts w:ascii="Calibri" w:hAnsi="Calibri"/>
                <w:color w:val="000000"/>
                <w:sz w:val="22"/>
                <w:szCs w:val="22"/>
              </w:rPr>
              <w:t>1/2 hour</w:t>
            </w:r>
          </w:p>
        </w:tc>
        <w:tc>
          <w:tcPr>
            <w:tcW w:w="990" w:type="dxa"/>
            <w:tcBorders>
              <w:top w:val="nil"/>
              <w:left w:val="nil"/>
              <w:bottom w:val="single" w:sz="8"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jc w:val="center"/>
              <w:rPr>
                <w:rFonts w:ascii="Calibri" w:hAnsi="Calibri"/>
                <w:color w:val="000000"/>
                <w:sz w:val="22"/>
                <w:szCs w:val="22"/>
              </w:rPr>
            </w:pPr>
            <w:r w:rsidRPr="00542BFC">
              <w:rPr>
                <w:rFonts w:ascii="Calibri" w:hAnsi="Calibri"/>
                <w:color w:val="000000"/>
                <w:sz w:val="22"/>
                <w:szCs w:val="22"/>
              </w:rPr>
              <w:t>3392</w:t>
            </w:r>
          </w:p>
        </w:tc>
        <w:tc>
          <w:tcPr>
            <w:tcW w:w="990" w:type="dxa"/>
            <w:tcBorders>
              <w:top w:val="nil"/>
              <w:left w:val="nil"/>
              <w:bottom w:val="single" w:sz="8"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jc w:val="center"/>
              <w:rPr>
                <w:rFonts w:ascii="Calibri" w:hAnsi="Calibri"/>
                <w:color w:val="000000"/>
                <w:sz w:val="22"/>
                <w:szCs w:val="22"/>
              </w:rPr>
            </w:pPr>
            <w:r>
              <w:rPr>
                <w:rFonts w:ascii="Calibri" w:hAnsi="Calibri"/>
                <w:color w:val="000000"/>
                <w:sz w:val="22"/>
                <w:szCs w:val="22"/>
              </w:rPr>
              <w:t>36.00</w:t>
            </w:r>
          </w:p>
        </w:tc>
        <w:tc>
          <w:tcPr>
            <w:tcW w:w="1800" w:type="dxa"/>
            <w:tcBorders>
              <w:top w:val="nil"/>
              <w:left w:val="nil"/>
              <w:bottom w:val="single" w:sz="8" w:space="0" w:color="auto"/>
              <w:right w:val="single" w:sz="8" w:space="0" w:color="auto"/>
            </w:tcBorders>
            <w:vAlign w:val="bottom"/>
          </w:tcPr>
          <w:p w:rsidR="00293E17" w:rsidRPr="00542BFC" w:rsidRDefault="00293E17" w:rsidP="00542BFC">
            <w:pPr>
              <w:widowControl/>
              <w:autoSpaceDE/>
              <w:autoSpaceDN/>
              <w:adjustRightInd/>
              <w:jc w:val="center"/>
              <w:rPr>
                <w:rFonts w:ascii="Calibri" w:hAnsi="Calibri"/>
                <w:color w:val="000000"/>
                <w:sz w:val="22"/>
                <w:szCs w:val="22"/>
              </w:rPr>
            </w:pPr>
            <w:r w:rsidRPr="00542BFC">
              <w:rPr>
                <w:rFonts w:ascii="Calibri" w:hAnsi="Calibri"/>
                <w:color w:val="000000"/>
                <w:sz w:val="22"/>
                <w:szCs w:val="22"/>
              </w:rPr>
              <w:t xml:space="preserve">$122,112 </w:t>
            </w:r>
          </w:p>
        </w:tc>
      </w:tr>
      <w:tr w:rsidR="005C02C6" w:rsidRPr="00542BFC" w:rsidTr="005C02C6">
        <w:trPr>
          <w:trHeight w:val="315"/>
        </w:trPr>
        <w:tc>
          <w:tcPr>
            <w:tcW w:w="1275" w:type="dxa"/>
            <w:tcBorders>
              <w:top w:val="nil"/>
              <w:left w:val="single" w:sz="8" w:space="0" w:color="auto"/>
              <w:bottom w:val="single" w:sz="8"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rPr>
                <w:rFonts w:ascii="Calibri" w:hAnsi="Calibri"/>
                <w:color w:val="000000"/>
                <w:sz w:val="22"/>
                <w:szCs w:val="22"/>
              </w:rPr>
            </w:pPr>
            <w:r w:rsidRPr="00542BFC">
              <w:rPr>
                <w:rFonts w:ascii="Calibri" w:hAnsi="Calibri"/>
                <w:color w:val="000000"/>
                <w:sz w:val="22"/>
                <w:szCs w:val="22"/>
              </w:rPr>
              <w:t>Fiscal Year</w:t>
            </w:r>
          </w:p>
        </w:tc>
        <w:tc>
          <w:tcPr>
            <w:tcW w:w="1440" w:type="dxa"/>
            <w:tcBorders>
              <w:top w:val="nil"/>
              <w:left w:val="nil"/>
              <w:bottom w:val="single" w:sz="8"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jc w:val="center"/>
              <w:rPr>
                <w:rFonts w:ascii="Calibri" w:hAnsi="Calibri"/>
                <w:color w:val="000000"/>
                <w:sz w:val="22"/>
                <w:szCs w:val="22"/>
              </w:rPr>
            </w:pPr>
            <w:r w:rsidRPr="00542BFC">
              <w:rPr>
                <w:rFonts w:ascii="Calibri" w:hAnsi="Calibri"/>
                <w:color w:val="000000"/>
                <w:sz w:val="22"/>
                <w:szCs w:val="22"/>
              </w:rPr>
              <w:t>848</w:t>
            </w:r>
          </w:p>
        </w:tc>
        <w:tc>
          <w:tcPr>
            <w:tcW w:w="1260" w:type="dxa"/>
            <w:tcBorders>
              <w:top w:val="nil"/>
              <w:left w:val="nil"/>
              <w:bottom w:val="single" w:sz="8"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jc w:val="center"/>
              <w:rPr>
                <w:rFonts w:ascii="Calibri" w:hAnsi="Calibri"/>
                <w:color w:val="000000"/>
                <w:sz w:val="22"/>
                <w:szCs w:val="22"/>
              </w:rPr>
            </w:pPr>
            <w:r w:rsidRPr="00542BFC">
              <w:rPr>
                <w:rFonts w:ascii="Calibri" w:hAnsi="Calibri"/>
                <w:color w:val="000000"/>
                <w:sz w:val="22"/>
                <w:szCs w:val="22"/>
              </w:rPr>
              <w:t>quarterly</w:t>
            </w:r>
          </w:p>
        </w:tc>
        <w:tc>
          <w:tcPr>
            <w:tcW w:w="1440" w:type="dxa"/>
            <w:tcBorders>
              <w:top w:val="nil"/>
              <w:left w:val="nil"/>
              <w:bottom w:val="single" w:sz="8"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jc w:val="center"/>
              <w:rPr>
                <w:rFonts w:ascii="Calibri" w:hAnsi="Calibri"/>
                <w:color w:val="000000"/>
                <w:sz w:val="22"/>
                <w:szCs w:val="22"/>
              </w:rPr>
            </w:pPr>
            <w:r w:rsidRPr="00542BFC">
              <w:rPr>
                <w:rFonts w:ascii="Calibri" w:hAnsi="Calibri"/>
                <w:color w:val="000000"/>
                <w:sz w:val="22"/>
                <w:szCs w:val="22"/>
              </w:rPr>
              <w:t>1/2 hour</w:t>
            </w:r>
          </w:p>
        </w:tc>
        <w:tc>
          <w:tcPr>
            <w:tcW w:w="990" w:type="dxa"/>
            <w:tcBorders>
              <w:top w:val="nil"/>
              <w:left w:val="nil"/>
              <w:bottom w:val="single" w:sz="8"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jc w:val="center"/>
              <w:rPr>
                <w:rFonts w:ascii="Calibri" w:hAnsi="Calibri"/>
                <w:color w:val="000000"/>
                <w:sz w:val="22"/>
                <w:szCs w:val="22"/>
              </w:rPr>
            </w:pPr>
            <w:r w:rsidRPr="00542BFC">
              <w:rPr>
                <w:rFonts w:ascii="Calibri" w:hAnsi="Calibri"/>
                <w:color w:val="000000"/>
                <w:sz w:val="22"/>
                <w:szCs w:val="22"/>
              </w:rPr>
              <w:t>3392</w:t>
            </w:r>
          </w:p>
        </w:tc>
        <w:tc>
          <w:tcPr>
            <w:tcW w:w="990" w:type="dxa"/>
            <w:tcBorders>
              <w:top w:val="nil"/>
              <w:left w:val="nil"/>
              <w:bottom w:val="single" w:sz="8"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jc w:val="center"/>
              <w:rPr>
                <w:rFonts w:ascii="Calibri" w:hAnsi="Calibri"/>
                <w:color w:val="000000"/>
                <w:sz w:val="22"/>
                <w:szCs w:val="22"/>
              </w:rPr>
            </w:pPr>
            <w:r>
              <w:rPr>
                <w:rFonts w:ascii="Calibri" w:hAnsi="Calibri"/>
                <w:color w:val="000000"/>
                <w:sz w:val="22"/>
                <w:szCs w:val="22"/>
              </w:rPr>
              <w:t>36.00</w:t>
            </w:r>
          </w:p>
        </w:tc>
        <w:tc>
          <w:tcPr>
            <w:tcW w:w="1800" w:type="dxa"/>
            <w:tcBorders>
              <w:top w:val="nil"/>
              <w:left w:val="nil"/>
              <w:bottom w:val="single" w:sz="8" w:space="0" w:color="auto"/>
              <w:right w:val="single" w:sz="8" w:space="0" w:color="auto"/>
            </w:tcBorders>
            <w:vAlign w:val="bottom"/>
          </w:tcPr>
          <w:p w:rsidR="00293E17" w:rsidRPr="00542BFC" w:rsidRDefault="00293E17" w:rsidP="00542BFC">
            <w:pPr>
              <w:widowControl/>
              <w:autoSpaceDE/>
              <w:autoSpaceDN/>
              <w:adjustRightInd/>
              <w:jc w:val="center"/>
              <w:rPr>
                <w:rFonts w:ascii="Calibri" w:hAnsi="Calibri"/>
                <w:color w:val="000000"/>
                <w:sz w:val="22"/>
                <w:szCs w:val="22"/>
              </w:rPr>
            </w:pPr>
            <w:r w:rsidRPr="00542BFC">
              <w:rPr>
                <w:rFonts w:ascii="Calibri" w:hAnsi="Calibri"/>
                <w:color w:val="000000"/>
                <w:sz w:val="22"/>
                <w:szCs w:val="22"/>
              </w:rPr>
              <w:t xml:space="preserve">$122,112 </w:t>
            </w:r>
          </w:p>
        </w:tc>
      </w:tr>
      <w:tr w:rsidR="005C02C6" w:rsidRPr="00542BFC" w:rsidTr="005C02C6">
        <w:trPr>
          <w:trHeight w:val="315"/>
        </w:trPr>
        <w:tc>
          <w:tcPr>
            <w:tcW w:w="1275" w:type="dxa"/>
            <w:tcBorders>
              <w:top w:val="nil"/>
              <w:left w:val="single" w:sz="8" w:space="0" w:color="auto"/>
              <w:bottom w:val="single" w:sz="8"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rPr>
                <w:rFonts w:ascii="Calibri" w:hAnsi="Calibri"/>
                <w:color w:val="000000"/>
                <w:sz w:val="22"/>
                <w:szCs w:val="22"/>
              </w:rPr>
            </w:pPr>
            <w:r w:rsidRPr="00542BFC">
              <w:rPr>
                <w:rFonts w:ascii="Calibri" w:hAnsi="Calibri"/>
                <w:color w:val="000000"/>
                <w:sz w:val="22"/>
                <w:szCs w:val="22"/>
              </w:rPr>
              <w:t> </w:t>
            </w:r>
          </w:p>
        </w:tc>
        <w:tc>
          <w:tcPr>
            <w:tcW w:w="1440" w:type="dxa"/>
            <w:tcBorders>
              <w:top w:val="nil"/>
              <w:left w:val="nil"/>
              <w:bottom w:val="single" w:sz="8"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rPr>
                <w:rFonts w:ascii="Calibri" w:hAnsi="Calibri"/>
                <w:color w:val="000000"/>
                <w:sz w:val="22"/>
                <w:szCs w:val="22"/>
              </w:rPr>
            </w:pPr>
            <w:r w:rsidRPr="00542BFC">
              <w:rPr>
                <w:rFonts w:ascii="Calibri" w:hAnsi="Calibri"/>
                <w:color w:val="000000"/>
                <w:sz w:val="22"/>
                <w:szCs w:val="22"/>
              </w:rPr>
              <w:t> </w:t>
            </w:r>
          </w:p>
        </w:tc>
        <w:tc>
          <w:tcPr>
            <w:tcW w:w="1260" w:type="dxa"/>
            <w:tcBorders>
              <w:top w:val="nil"/>
              <w:left w:val="nil"/>
              <w:bottom w:val="single" w:sz="8"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rPr>
                <w:rFonts w:ascii="Calibri" w:hAnsi="Calibri"/>
                <w:color w:val="000000"/>
                <w:sz w:val="22"/>
                <w:szCs w:val="22"/>
              </w:rPr>
            </w:pPr>
            <w:r w:rsidRPr="00542BFC">
              <w:rPr>
                <w:rFonts w:ascii="Calibri" w:hAnsi="Calibri"/>
                <w:color w:val="000000"/>
                <w:sz w:val="22"/>
                <w:szCs w:val="22"/>
              </w:rPr>
              <w:t> </w:t>
            </w:r>
          </w:p>
        </w:tc>
        <w:tc>
          <w:tcPr>
            <w:tcW w:w="1440" w:type="dxa"/>
            <w:tcBorders>
              <w:top w:val="nil"/>
              <w:left w:val="nil"/>
              <w:bottom w:val="single" w:sz="8"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rPr>
                <w:rFonts w:ascii="Calibri" w:hAnsi="Calibri"/>
                <w:color w:val="000000"/>
                <w:sz w:val="22"/>
                <w:szCs w:val="22"/>
              </w:rPr>
            </w:pPr>
            <w:r w:rsidRPr="00542BFC">
              <w:rPr>
                <w:rFonts w:ascii="Calibri" w:hAnsi="Calibri"/>
                <w:color w:val="000000"/>
                <w:sz w:val="22"/>
                <w:szCs w:val="22"/>
              </w:rPr>
              <w:t> </w:t>
            </w:r>
          </w:p>
        </w:tc>
        <w:tc>
          <w:tcPr>
            <w:tcW w:w="990" w:type="dxa"/>
            <w:tcBorders>
              <w:top w:val="nil"/>
              <w:left w:val="nil"/>
              <w:bottom w:val="single" w:sz="8"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rPr>
                <w:rFonts w:ascii="Calibri" w:hAnsi="Calibri"/>
                <w:color w:val="000000"/>
                <w:sz w:val="22"/>
                <w:szCs w:val="22"/>
              </w:rPr>
            </w:pPr>
            <w:r w:rsidRPr="00542BFC">
              <w:rPr>
                <w:rFonts w:ascii="Calibri" w:hAnsi="Calibri"/>
                <w:color w:val="000000"/>
                <w:sz w:val="22"/>
                <w:szCs w:val="22"/>
              </w:rPr>
              <w:t> </w:t>
            </w:r>
          </w:p>
        </w:tc>
        <w:tc>
          <w:tcPr>
            <w:tcW w:w="990" w:type="dxa"/>
            <w:tcBorders>
              <w:top w:val="nil"/>
              <w:left w:val="nil"/>
              <w:bottom w:val="single" w:sz="8"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rPr>
                <w:rFonts w:ascii="Calibri" w:hAnsi="Calibri"/>
                <w:color w:val="000000"/>
                <w:sz w:val="22"/>
                <w:szCs w:val="22"/>
              </w:rPr>
            </w:pPr>
            <w:r w:rsidRPr="00542BFC">
              <w:rPr>
                <w:rFonts w:ascii="Calibri" w:hAnsi="Calibri"/>
                <w:color w:val="000000"/>
                <w:sz w:val="22"/>
                <w:szCs w:val="22"/>
              </w:rPr>
              <w:t> </w:t>
            </w:r>
          </w:p>
        </w:tc>
        <w:tc>
          <w:tcPr>
            <w:tcW w:w="1800" w:type="dxa"/>
            <w:tcBorders>
              <w:top w:val="nil"/>
              <w:left w:val="nil"/>
              <w:bottom w:val="single" w:sz="8" w:space="0" w:color="auto"/>
              <w:right w:val="single" w:sz="8" w:space="0" w:color="auto"/>
            </w:tcBorders>
          </w:tcPr>
          <w:p w:rsidR="00293E17" w:rsidRPr="00542BFC" w:rsidRDefault="00293E17" w:rsidP="00542BFC">
            <w:pPr>
              <w:widowControl/>
              <w:autoSpaceDE/>
              <w:autoSpaceDN/>
              <w:adjustRightInd/>
              <w:rPr>
                <w:rFonts w:ascii="Calibri" w:hAnsi="Calibri"/>
                <w:color w:val="000000"/>
                <w:sz w:val="22"/>
                <w:szCs w:val="22"/>
              </w:rPr>
            </w:pPr>
          </w:p>
        </w:tc>
      </w:tr>
      <w:tr w:rsidR="005C02C6" w:rsidRPr="00542BFC" w:rsidTr="005C02C6">
        <w:trPr>
          <w:trHeight w:val="315"/>
        </w:trPr>
        <w:tc>
          <w:tcPr>
            <w:tcW w:w="1275" w:type="dxa"/>
            <w:tcBorders>
              <w:top w:val="nil"/>
              <w:left w:val="single" w:sz="8" w:space="0" w:color="auto"/>
              <w:bottom w:val="double" w:sz="6"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rPr>
                <w:rFonts w:ascii="Calibri" w:hAnsi="Calibri"/>
                <w:b/>
                <w:bCs/>
                <w:color w:val="000000"/>
                <w:sz w:val="22"/>
                <w:szCs w:val="22"/>
              </w:rPr>
            </w:pPr>
            <w:r w:rsidRPr="00542BFC">
              <w:rPr>
                <w:rFonts w:ascii="Calibri" w:hAnsi="Calibri"/>
                <w:b/>
                <w:bCs/>
                <w:color w:val="000000"/>
                <w:sz w:val="22"/>
                <w:szCs w:val="22"/>
              </w:rPr>
              <w:t>Total</w:t>
            </w:r>
          </w:p>
        </w:tc>
        <w:tc>
          <w:tcPr>
            <w:tcW w:w="1440" w:type="dxa"/>
            <w:tcBorders>
              <w:top w:val="nil"/>
              <w:left w:val="nil"/>
              <w:bottom w:val="double" w:sz="6"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jc w:val="center"/>
              <w:rPr>
                <w:rFonts w:ascii="Calibri" w:hAnsi="Calibri"/>
                <w:b/>
                <w:bCs/>
                <w:color w:val="000000"/>
                <w:sz w:val="22"/>
                <w:szCs w:val="22"/>
              </w:rPr>
            </w:pPr>
            <w:r w:rsidRPr="00542BFC">
              <w:rPr>
                <w:rFonts w:ascii="Calibri" w:hAnsi="Calibri"/>
                <w:b/>
                <w:bCs/>
                <w:color w:val="000000"/>
                <w:sz w:val="22"/>
                <w:szCs w:val="22"/>
              </w:rPr>
              <w:t>848</w:t>
            </w:r>
          </w:p>
        </w:tc>
        <w:tc>
          <w:tcPr>
            <w:tcW w:w="1260" w:type="dxa"/>
            <w:tcBorders>
              <w:top w:val="nil"/>
              <w:left w:val="nil"/>
              <w:bottom w:val="double" w:sz="6"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jc w:val="center"/>
              <w:rPr>
                <w:rFonts w:ascii="Calibri" w:hAnsi="Calibri"/>
                <w:b/>
                <w:bCs/>
                <w:color w:val="000000"/>
                <w:sz w:val="22"/>
                <w:szCs w:val="22"/>
              </w:rPr>
            </w:pPr>
            <w:r w:rsidRPr="00542BFC">
              <w:rPr>
                <w:rFonts w:ascii="Calibri" w:hAnsi="Calibri"/>
                <w:b/>
                <w:bCs/>
                <w:color w:val="000000"/>
                <w:sz w:val="22"/>
                <w:szCs w:val="22"/>
              </w:rPr>
              <w:t> </w:t>
            </w:r>
          </w:p>
        </w:tc>
        <w:tc>
          <w:tcPr>
            <w:tcW w:w="1440" w:type="dxa"/>
            <w:tcBorders>
              <w:top w:val="nil"/>
              <w:left w:val="nil"/>
              <w:bottom w:val="double" w:sz="6"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jc w:val="center"/>
              <w:rPr>
                <w:rFonts w:ascii="Calibri" w:hAnsi="Calibri"/>
                <w:b/>
                <w:bCs/>
                <w:color w:val="000000"/>
                <w:sz w:val="22"/>
                <w:szCs w:val="22"/>
              </w:rPr>
            </w:pPr>
            <w:r w:rsidRPr="00542BFC">
              <w:rPr>
                <w:rFonts w:ascii="Calibri" w:hAnsi="Calibri"/>
                <w:b/>
                <w:bCs/>
                <w:color w:val="000000"/>
                <w:sz w:val="22"/>
                <w:szCs w:val="22"/>
              </w:rPr>
              <w:t>2 hours</w:t>
            </w:r>
          </w:p>
        </w:tc>
        <w:tc>
          <w:tcPr>
            <w:tcW w:w="990" w:type="dxa"/>
            <w:tcBorders>
              <w:top w:val="nil"/>
              <w:left w:val="nil"/>
              <w:bottom w:val="double" w:sz="6" w:space="0" w:color="auto"/>
              <w:right w:val="single" w:sz="8" w:space="0" w:color="auto"/>
            </w:tcBorders>
            <w:shd w:val="clear" w:color="auto" w:fill="auto"/>
            <w:noWrap/>
            <w:vAlign w:val="bottom"/>
            <w:hideMark/>
          </w:tcPr>
          <w:p w:rsidR="00293E17" w:rsidRPr="00542BFC" w:rsidRDefault="00293E17" w:rsidP="00542BFC">
            <w:pPr>
              <w:widowControl/>
              <w:autoSpaceDE/>
              <w:autoSpaceDN/>
              <w:adjustRightInd/>
              <w:jc w:val="center"/>
              <w:rPr>
                <w:rFonts w:ascii="Calibri" w:hAnsi="Calibri"/>
                <w:b/>
                <w:bCs/>
                <w:color w:val="000000"/>
                <w:sz w:val="22"/>
                <w:szCs w:val="22"/>
              </w:rPr>
            </w:pPr>
            <w:r w:rsidRPr="00542BFC">
              <w:rPr>
                <w:rFonts w:ascii="Calibri" w:hAnsi="Calibri"/>
                <w:b/>
                <w:bCs/>
                <w:color w:val="000000"/>
                <w:sz w:val="22"/>
                <w:szCs w:val="22"/>
              </w:rPr>
              <w:t>6784</w:t>
            </w:r>
          </w:p>
        </w:tc>
        <w:tc>
          <w:tcPr>
            <w:tcW w:w="990" w:type="dxa"/>
            <w:tcBorders>
              <w:top w:val="nil"/>
              <w:left w:val="nil"/>
              <w:bottom w:val="double" w:sz="6" w:space="0" w:color="auto"/>
              <w:right w:val="single" w:sz="8" w:space="0" w:color="auto"/>
            </w:tcBorders>
            <w:shd w:val="clear" w:color="auto" w:fill="auto"/>
            <w:noWrap/>
            <w:vAlign w:val="bottom"/>
            <w:hideMark/>
          </w:tcPr>
          <w:p w:rsidR="00293E17" w:rsidRPr="00542BFC" w:rsidRDefault="004349DA" w:rsidP="00542BFC">
            <w:pPr>
              <w:widowControl/>
              <w:autoSpaceDE/>
              <w:autoSpaceDN/>
              <w:adjustRightInd/>
              <w:jc w:val="center"/>
              <w:rPr>
                <w:rFonts w:ascii="Calibri" w:hAnsi="Calibri"/>
                <w:b/>
                <w:bCs/>
                <w:color w:val="000000"/>
                <w:sz w:val="22"/>
                <w:szCs w:val="22"/>
              </w:rPr>
            </w:pPr>
            <w:r>
              <w:rPr>
                <w:rFonts w:ascii="Calibri" w:hAnsi="Calibri"/>
                <w:b/>
                <w:bCs/>
                <w:color w:val="000000"/>
                <w:sz w:val="22"/>
                <w:szCs w:val="22"/>
              </w:rPr>
              <w:t>36.00</w:t>
            </w:r>
          </w:p>
        </w:tc>
        <w:tc>
          <w:tcPr>
            <w:tcW w:w="1800" w:type="dxa"/>
            <w:tcBorders>
              <w:top w:val="nil"/>
              <w:left w:val="nil"/>
              <w:bottom w:val="double" w:sz="6" w:space="0" w:color="auto"/>
              <w:right w:val="single" w:sz="8" w:space="0" w:color="auto"/>
            </w:tcBorders>
          </w:tcPr>
          <w:p w:rsidR="00293E17" w:rsidRPr="00542BFC" w:rsidRDefault="004349DA" w:rsidP="00542BFC">
            <w:pPr>
              <w:widowControl/>
              <w:autoSpaceDE/>
              <w:autoSpaceDN/>
              <w:adjustRightInd/>
              <w:jc w:val="center"/>
              <w:rPr>
                <w:rFonts w:ascii="Calibri" w:hAnsi="Calibri"/>
                <w:b/>
                <w:bCs/>
                <w:color w:val="000000"/>
                <w:sz w:val="22"/>
                <w:szCs w:val="22"/>
              </w:rPr>
            </w:pPr>
            <w:r w:rsidRPr="00542BFC">
              <w:rPr>
                <w:rFonts w:ascii="Calibri" w:hAnsi="Calibri"/>
                <w:b/>
                <w:bCs/>
                <w:color w:val="000000"/>
                <w:sz w:val="22"/>
                <w:szCs w:val="22"/>
              </w:rPr>
              <w:t>$244,224</w:t>
            </w:r>
          </w:p>
        </w:tc>
      </w:tr>
    </w:tbl>
    <w:p w:rsidR="00646D86" w:rsidRDefault="00646D86" w:rsidP="005A1F7A">
      <w:pPr>
        <w:rPr>
          <w:sz w:val="24"/>
          <w:szCs w:val="24"/>
        </w:rPr>
      </w:pPr>
    </w:p>
    <w:p w:rsidR="005A1F7A" w:rsidRPr="005A1F7A" w:rsidRDefault="005A1F7A" w:rsidP="005A1F7A">
      <w:pPr>
        <w:rPr>
          <w:sz w:val="24"/>
          <w:szCs w:val="24"/>
        </w:rPr>
      </w:pPr>
      <w:r w:rsidRPr="005A1F7A">
        <w:rPr>
          <w:sz w:val="24"/>
          <w:szCs w:val="24"/>
        </w:rPr>
        <w:lastRenderedPageBreak/>
        <w:t> </w:t>
      </w:r>
    </w:p>
    <w:p w:rsidR="004F26E9" w:rsidRDefault="004F26E9">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#12 above)</w:t>
      </w:r>
      <w:r>
        <w:rPr>
          <w:b/>
          <w:bCs/>
          <w:sz w:val="24"/>
          <w:szCs w:val="24"/>
        </w:rPr>
        <w:t>.</w:t>
      </w:r>
    </w:p>
    <w:p w:rsidR="004F26E9" w:rsidRDefault="004F26E9">
      <w:pPr>
        <w:rPr>
          <w:sz w:val="24"/>
          <w:szCs w:val="24"/>
        </w:rPr>
      </w:pPr>
    </w:p>
    <w:p w:rsidR="001D1F2A" w:rsidRPr="001D1F2A" w:rsidRDefault="001D1F2A" w:rsidP="001D1F2A">
      <w:pPr>
        <w:rPr>
          <w:sz w:val="24"/>
          <w:szCs w:val="24"/>
        </w:rPr>
      </w:pPr>
      <w:r w:rsidRPr="001D1F2A">
        <w:rPr>
          <w:sz w:val="24"/>
          <w:szCs w:val="24"/>
        </w:rPr>
        <w:t>There are no other costs.</w:t>
      </w:r>
    </w:p>
    <w:p w:rsidR="004F26E9" w:rsidRDefault="004F26E9">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tbl>
      <w:tblPr>
        <w:tblW w:w="9285" w:type="dxa"/>
        <w:tblInd w:w="93" w:type="dxa"/>
        <w:tblLook w:val="04A0"/>
      </w:tblPr>
      <w:tblGrid>
        <w:gridCol w:w="1747"/>
        <w:gridCol w:w="1677"/>
        <w:gridCol w:w="1607"/>
        <w:gridCol w:w="1561"/>
        <w:gridCol w:w="1202"/>
        <w:gridCol w:w="1491"/>
      </w:tblGrid>
      <w:tr w:rsidR="00293E17" w:rsidRPr="00F53DA1" w:rsidTr="005C02C6">
        <w:trPr>
          <w:trHeight w:val="645"/>
        </w:trPr>
        <w:tc>
          <w:tcPr>
            <w:tcW w:w="9285" w:type="dxa"/>
            <w:gridSpan w:val="6"/>
            <w:tcBorders>
              <w:top w:val="double" w:sz="6" w:space="0" w:color="auto"/>
              <w:left w:val="single" w:sz="8" w:space="0" w:color="auto"/>
              <w:bottom w:val="double" w:sz="6" w:space="0" w:color="auto"/>
              <w:right w:val="single" w:sz="8" w:space="0" w:color="000000"/>
            </w:tcBorders>
            <w:shd w:val="clear" w:color="auto" w:fill="auto"/>
            <w:noWrap/>
            <w:vAlign w:val="center"/>
            <w:hideMark/>
          </w:tcPr>
          <w:p w:rsidR="00293E17" w:rsidRPr="00F53DA1" w:rsidRDefault="00293E17" w:rsidP="009C1529">
            <w:pPr>
              <w:widowControl/>
              <w:autoSpaceDE/>
              <w:autoSpaceDN/>
              <w:adjustRightInd/>
              <w:jc w:val="center"/>
              <w:rPr>
                <w:b/>
                <w:bCs/>
                <w:color w:val="000000"/>
                <w:sz w:val="22"/>
                <w:szCs w:val="22"/>
              </w:rPr>
            </w:pPr>
            <w:r w:rsidRPr="00F53DA1">
              <w:rPr>
                <w:b/>
                <w:bCs/>
                <w:color w:val="000000"/>
                <w:sz w:val="22"/>
                <w:szCs w:val="22"/>
              </w:rPr>
              <w:t>ESTIMATED ANNUAL FEDERAL COST</w:t>
            </w:r>
          </w:p>
        </w:tc>
      </w:tr>
      <w:tr w:rsidR="004349DA" w:rsidRPr="00F53DA1" w:rsidTr="005C02C6">
        <w:trPr>
          <w:trHeight w:val="1200"/>
        </w:trPr>
        <w:tc>
          <w:tcPr>
            <w:tcW w:w="1747" w:type="dxa"/>
            <w:tcBorders>
              <w:top w:val="nil"/>
              <w:left w:val="double" w:sz="6" w:space="0" w:color="auto"/>
              <w:bottom w:val="double" w:sz="6" w:space="0" w:color="auto"/>
              <w:right w:val="double" w:sz="6" w:space="0" w:color="auto"/>
            </w:tcBorders>
            <w:shd w:val="clear" w:color="auto" w:fill="auto"/>
            <w:vAlign w:val="center"/>
            <w:hideMark/>
          </w:tcPr>
          <w:p w:rsidR="00293E17" w:rsidRPr="00F53DA1" w:rsidRDefault="004349DA" w:rsidP="00F53DA1">
            <w:pPr>
              <w:widowControl/>
              <w:autoSpaceDE/>
              <w:autoSpaceDN/>
              <w:adjustRightInd/>
              <w:jc w:val="center"/>
              <w:rPr>
                <w:color w:val="000000"/>
                <w:sz w:val="22"/>
                <w:szCs w:val="22"/>
              </w:rPr>
            </w:pPr>
            <w:r>
              <w:rPr>
                <w:color w:val="000000"/>
                <w:sz w:val="22"/>
                <w:szCs w:val="22"/>
              </w:rPr>
              <w:t>Estimated number Federal staff that review and certify reports</w:t>
            </w:r>
          </w:p>
        </w:tc>
        <w:tc>
          <w:tcPr>
            <w:tcW w:w="1677" w:type="dxa"/>
            <w:tcBorders>
              <w:top w:val="nil"/>
              <w:left w:val="nil"/>
              <w:bottom w:val="double" w:sz="6" w:space="0" w:color="auto"/>
              <w:right w:val="double" w:sz="6" w:space="0" w:color="auto"/>
            </w:tcBorders>
            <w:shd w:val="clear" w:color="auto" w:fill="auto"/>
            <w:vAlign w:val="center"/>
            <w:hideMark/>
          </w:tcPr>
          <w:p w:rsidR="00293E17" w:rsidRDefault="004349DA" w:rsidP="004349DA">
            <w:pPr>
              <w:widowControl/>
              <w:autoSpaceDE/>
              <w:autoSpaceDN/>
              <w:adjustRightInd/>
              <w:rPr>
                <w:color w:val="000000"/>
                <w:sz w:val="22"/>
                <w:szCs w:val="22"/>
              </w:rPr>
            </w:pPr>
            <w:r>
              <w:rPr>
                <w:color w:val="000000"/>
                <w:sz w:val="22"/>
                <w:szCs w:val="22"/>
              </w:rPr>
              <w:t>Average Federal Grade Level</w:t>
            </w:r>
          </w:p>
        </w:tc>
        <w:tc>
          <w:tcPr>
            <w:tcW w:w="1607" w:type="dxa"/>
            <w:tcBorders>
              <w:top w:val="nil"/>
              <w:left w:val="nil"/>
              <w:bottom w:val="double" w:sz="6" w:space="0" w:color="auto"/>
              <w:right w:val="double" w:sz="6" w:space="0" w:color="auto"/>
            </w:tcBorders>
            <w:shd w:val="clear" w:color="auto" w:fill="auto"/>
            <w:vAlign w:val="center"/>
            <w:hideMark/>
          </w:tcPr>
          <w:p w:rsidR="00293E17" w:rsidRPr="00F53DA1" w:rsidRDefault="004349DA" w:rsidP="00F53DA1">
            <w:pPr>
              <w:widowControl/>
              <w:autoSpaceDE/>
              <w:autoSpaceDN/>
              <w:adjustRightInd/>
              <w:jc w:val="center"/>
              <w:rPr>
                <w:color w:val="000000"/>
                <w:sz w:val="22"/>
                <w:szCs w:val="22"/>
              </w:rPr>
            </w:pPr>
            <w:r>
              <w:rPr>
                <w:color w:val="000000"/>
                <w:sz w:val="22"/>
                <w:szCs w:val="22"/>
              </w:rPr>
              <w:t>Estimated number of hours per quarter to review  and accept reports</w:t>
            </w:r>
          </w:p>
        </w:tc>
        <w:tc>
          <w:tcPr>
            <w:tcW w:w="1561" w:type="dxa"/>
            <w:tcBorders>
              <w:top w:val="nil"/>
              <w:left w:val="nil"/>
              <w:bottom w:val="double" w:sz="6" w:space="0" w:color="auto"/>
              <w:right w:val="double" w:sz="6" w:space="0" w:color="auto"/>
            </w:tcBorders>
            <w:shd w:val="clear" w:color="auto" w:fill="auto"/>
            <w:vAlign w:val="center"/>
            <w:hideMark/>
          </w:tcPr>
          <w:p w:rsidR="00293E17" w:rsidRPr="00F53DA1" w:rsidRDefault="004349DA" w:rsidP="004349DA">
            <w:pPr>
              <w:widowControl/>
              <w:autoSpaceDE/>
              <w:autoSpaceDN/>
              <w:adjustRightInd/>
              <w:jc w:val="center"/>
              <w:rPr>
                <w:color w:val="000000"/>
                <w:sz w:val="22"/>
                <w:szCs w:val="22"/>
              </w:rPr>
            </w:pPr>
            <w:r>
              <w:rPr>
                <w:color w:val="000000"/>
                <w:sz w:val="22"/>
                <w:szCs w:val="22"/>
              </w:rPr>
              <w:t>Estimated number of hours per year to review  and accept report</w:t>
            </w:r>
          </w:p>
        </w:tc>
        <w:tc>
          <w:tcPr>
            <w:tcW w:w="1202" w:type="dxa"/>
            <w:tcBorders>
              <w:top w:val="nil"/>
              <w:left w:val="nil"/>
              <w:bottom w:val="nil"/>
              <w:right w:val="double" w:sz="6" w:space="0" w:color="auto"/>
            </w:tcBorders>
            <w:shd w:val="clear" w:color="auto" w:fill="auto"/>
            <w:vAlign w:val="center"/>
            <w:hideMark/>
          </w:tcPr>
          <w:p w:rsidR="00293E17" w:rsidRPr="00F53DA1" w:rsidRDefault="004349DA" w:rsidP="00F53DA1">
            <w:pPr>
              <w:widowControl/>
              <w:autoSpaceDE/>
              <w:autoSpaceDN/>
              <w:adjustRightInd/>
              <w:jc w:val="center"/>
              <w:rPr>
                <w:color w:val="000000"/>
                <w:sz w:val="22"/>
                <w:szCs w:val="22"/>
              </w:rPr>
            </w:pPr>
            <w:r>
              <w:rPr>
                <w:color w:val="000000"/>
                <w:sz w:val="22"/>
                <w:szCs w:val="22"/>
              </w:rPr>
              <w:t>Hour wage rate for federal staff</w:t>
            </w:r>
          </w:p>
        </w:tc>
        <w:tc>
          <w:tcPr>
            <w:tcW w:w="1491" w:type="dxa"/>
            <w:tcBorders>
              <w:top w:val="nil"/>
              <w:left w:val="nil"/>
              <w:bottom w:val="nil"/>
              <w:right w:val="double" w:sz="6" w:space="0" w:color="auto"/>
            </w:tcBorders>
            <w:vAlign w:val="center"/>
          </w:tcPr>
          <w:p w:rsidR="00293E17" w:rsidRPr="00F53DA1" w:rsidRDefault="00293E17" w:rsidP="00F53DA1">
            <w:pPr>
              <w:widowControl/>
              <w:autoSpaceDE/>
              <w:autoSpaceDN/>
              <w:adjustRightInd/>
              <w:jc w:val="center"/>
              <w:rPr>
                <w:color w:val="000000"/>
                <w:sz w:val="22"/>
                <w:szCs w:val="22"/>
              </w:rPr>
            </w:pPr>
            <w:r w:rsidRPr="00F53DA1">
              <w:rPr>
                <w:color w:val="000000"/>
                <w:sz w:val="22"/>
                <w:szCs w:val="22"/>
              </w:rPr>
              <w:t>Estimated Federal Cost Per Year</w:t>
            </w:r>
          </w:p>
        </w:tc>
      </w:tr>
      <w:tr w:rsidR="004349DA" w:rsidRPr="00F53DA1" w:rsidTr="005C02C6">
        <w:trPr>
          <w:trHeight w:val="330"/>
        </w:trPr>
        <w:tc>
          <w:tcPr>
            <w:tcW w:w="1747" w:type="dxa"/>
            <w:tcBorders>
              <w:top w:val="nil"/>
              <w:left w:val="double" w:sz="6" w:space="0" w:color="auto"/>
              <w:bottom w:val="double" w:sz="6" w:space="0" w:color="auto"/>
              <w:right w:val="double" w:sz="6" w:space="0" w:color="auto"/>
            </w:tcBorders>
            <w:shd w:val="clear" w:color="auto" w:fill="auto"/>
            <w:noWrap/>
            <w:vAlign w:val="bottom"/>
            <w:hideMark/>
          </w:tcPr>
          <w:p w:rsidR="00E81D5F" w:rsidRDefault="004349DA">
            <w:pPr>
              <w:widowControl/>
              <w:autoSpaceDE/>
              <w:autoSpaceDN/>
              <w:adjustRightInd/>
              <w:jc w:val="center"/>
              <w:rPr>
                <w:color w:val="000000"/>
                <w:sz w:val="22"/>
                <w:szCs w:val="22"/>
              </w:rPr>
            </w:pPr>
            <w:r>
              <w:rPr>
                <w:color w:val="000000"/>
                <w:sz w:val="22"/>
                <w:szCs w:val="22"/>
              </w:rPr>
              <w:t>40</w:t>
            </w:r>
          </w:p>
        </w:tc>
        <w:tc>
          <w:tcPr>
            <w:tcW w:w="1677" w:type="dxa"/>
            <w:tcBorders>
              <w:top w:val="nil"/>
              <w:left w:val="nil"/>
              <w:bottom w:val="double" w:sz="6" w:space="0" w:color="auto"/>
              <w:right w:val="double" w:sz="6" w:space="0" w:color="auto"/>
            </w:tcBorders>
            <w:shd w:val="clear" w:color="auto" w:fill="auto"/>
            <w:noWrap/>
            <w:vAlign w:val="bottom"/>
            <w:hideMark/>
          </w:tcPr>
          <w:p w:rsidR="00E81D5F" w:rsidRDefault="004349DA">
            <w:pPr>
              <w:widowControl/>
              <w:autoSpaceDE/>
              <w:autoSpaceDN/>
              <w:adjustRightInd/>
              <w:jc w:val="center"/>
              <w:rPr>
                <w:color w:val="000000"/>
                <w:sz w:val="22"/>
                <w:szCs w:val="22"/>
              </w:rPr>
            </w:pPr>
            <w:r>
              <w:rPr>
                <w:color w:val="000000"/>
                <w:sz w:val="22"/>
                <w:szCs w:val="22"/>
              </w:rPr>
              <w:t>GS  13 Step 1</w:t>
            </w:r>
          </w:p>
        </w:tc>
        <w:tc>
          <w:tcPr>
            <w:tcW w:w="1607" w:type="dxa"/>
            <w:tcBorders>
              <w:top w:val="nil"/>
              <w:left w:val="nil"/>
              <w:bottom w:val="double" w:sz="6" w:space="0" w:color="auto"/>
              <w:right w:val="double" w:sz="6" w:space="0" w:color="auto"/>
            </w:tcBorders>
            <w:shd w:val="clear" w:color="auto" w:fill="auto"/>
            <w:noWrap/>
            <w:vAlign w:val="bottom"/>
            <w:hideMark/>
          </w:tcPr>
          <w:p w:rsidR="00293E17" w:rsidRPr="00F53DA1" w:rsidRDefault="004349DA" w:rsidP="00F53DA1">
            <w:pPr>
              <w:widowControl/>
              <w:autoSpaceDE/>
              <w:autoSpaceDN/>
              <w:adjustRightInd/>
              <w:jc w:val="center"/>
              <w:rPr>
                <w:color w:val="000000"/>
                <w:sz w:val="22"/>
                <w:szCs w:val="22"/>
              </w:rPr>
            </w:pPr>
            <w:r>
              <w:rPr>
                <w:color w:val="000000"/>
                <w:sz w:val="22"/>
                <w:szCs w:val="22"/>
              </w:rPr>
              <w:t>80</w:t>
            </w:r>
          </w:p>
        </w:tc>
        <w:tc>
          <w:tcPr>
            <w:tcW w:w="1561" w:type="dxa"/>
            <w:tcBorders>
              <w:top w:val="nil"/>
              <w:left w:val="nil"/>
              <w:bottom w:val="double" w:sz="6" w:space="0" w:color="auto"/>
              <w:right w:val="double" w:sz="6" w:space="0" w:color="auto"/>
            </w:tcBorders>
            <w:shd w:val="clear" w:color="auto" w:fill="auto"/>
            <w:noWrap/>
            <w:vAlign w:val="bottom"/>
            <w:hideMark/>
          </w:tcPr>
          <w:p w:rsidR="00293E17" w:rsidRPr="00F53DA1" w:rsidRDefault="004349DA" w:rsidP="00F53DA1">
            <w:pPr>
              <w:widowControl/>
              <w:autoSpaceDE/>
              <w:autoSpaceDN/>
              <w:adjustRightInd/>
              <w:jc w:val="center"/>
              <w:rPr>
                <w:color w:val="000000"/>
                <w:sz w:val="22"/>
                <w:szCs w:val="22"/>
              </w:rPr>
            </w:pPr>
            <w:r>
              <w:rPr>
                <w:color w:val="000000"/>
                <w:sz w:val="22"/>
                <w:szCs w:val="22"/>
              </w:rPr>
              <w:t>12,800</w:t>
            </w:r>
          </w:p>
        </w:tc>
        <w:tc>
          <w:tcPr>
            <w:tcW w:w="1202" w:type="dxa"/>
            <w:tcBorders>
              <w:top w:val="double" w:sz="6" w:space="0" w:color="auto"/>
              <w:left w:val="nil"/>
              <w:bottom w:val="double" w:sz="6" w:space="0" w:color="auto"/>
              <w:right w:val="double" w:sz="6" w:space="0" w:color="auto"/>
            </w:tcBorders>
            <w:shd w:val="clear" w:color="auto" w:fill="auto"/>
            <w:noWrap/>
            <w:vAlign w:val="bottom"/>
            <w:hideMark/>
          </w:tcPr>
          <w:p w:rsidR="00293E17" w:rsidRPr="00F53DA1" w:rsidRDefault="004349DA" w:rsidP="00F53DA1">
            <w:pPr>
              <w:widowControl/>
              <w:autoSpaceDE/>
              <w:autoSpaceDN/>
              <w:adjustRightInd/>
              <w:jc w:val="right"/>
              <w:rPr>
                <w:color w:val="000000"/>
                <w:sz w:val="22"/>
                <w:szCs w:val="22"/>
              </w:rPr>
            </w:pPr>
            <w:r>
              <w:rPr>
                <w:color w:val="000000"/>
                <w:sz w:val="22"/>
                <w:szCs w:val="22"/>
              </w:rPr>
              <w:t>$43.00</w:t>
            </w:r>
          </w:p>
        </w:tc>
        <w:tc>
          <w:tcPr>
            <w:tcW w:w="1491" w:type="dxa"/>
            <w:tcBorders>
              <w:top w:val="double" w:sz="6" w:space="0" w:color="auto"/>
              <w:left w:val="nil"/>
              <w:bottom w:val="double" w:sz="6" w:space="0" w:color="auto"/>
              <w:right w:val="double" w:sz="6" w:space="0" w:color="auto"/>
            </w:tcBorders>
            <w:vAlign w:val="bottom"/>
          </w:tcPr>
          <w:p w:rsidR="00293E17" w:rsidRPr="00F53DA1" w:rsidRDefault="00293E17" w:rsidP="004349DA">
            <w:pPr>
              <w:widowControl/>
              <w:autoSpaceDE/>
              <w:autoSpaceDN/>
              <w:adjustRightInd/>
              <w:jc w:val="right"/>
              <w:rPr>
                <w:color w:val="000000"/>
                <w:sz w:val="22"/>
                <w:szCs w:val="22"/>
              </w:rPr>
            </w:pPr>
            <w:r w:rsidRPr="00F53DA1">
              <w:rPr>
                <w:color w:val="000000"/>
                <w:sz w:val="22"/>
                <w:szCs w:val="22"/>
              </w:rPr>
              <w:t>$</w:t>
            </w:r>
            <w:r w:rsidR="004349DA">
              <w:rPr>
                <w:color w:val="000000"/>
                <w:sz w:val="22"/>
                <w:szCs w:val="22"/>
              </w:rPr>
              <w:t>550,400</w:t>
            </w:r>
            <w:r w:rsidRPr="00F53DA1">
              <w:rPr>
                <w:color w:val="000000"/>
                <w:sz w:val="22"/>
                <w:szCs w:val="22"/>
              </w:rPr>
              <w:t xml:space="preserve"> </w:t>
            </w:r>
          </w:p>
        </w:tc>
      </w:tr>
      <w:tr w:rsidR="004349DA" w:rsidRPr="00F53DA1" w:rsidTr="005C02C6">
        <w:trPr>
          <w:trHeight w:val="330"/>
        </w:trPr>
        <w:tc>
          <w:tcPr>
            <w:tcW w:w="1747" w:type="dxa"/>
            <w:tcBorders>
              <w:top w:val="nil"/>
              <w:left w:val="double" w:sz="6" w:space="0" w:color="auto"/>
              <w:bottom w:val="double" w:sz="6" w:space="0" w:color="auto"/>
              <w:right w:val="double" w:sz="6" w:space="0" w:color="auto"/>
            </w:tcBorders>
            <w:shd w:val="clear" w:color="auto" w:fill="auto"/>
            <w:noWrap/>
            <w:vAlign w:val="bottom"/>
            <w:hideMark/>
          </w:tcPr>
          <w:p w:rsidR="00293E17" w:rsidRPr="00F53DA1" w:rsidRDefault="00293E17" w:rsidP="00F53DA1">
            <w:pPr>
              <w:widowControl/>
              <w:autoSpaceDE/>
              <w:autoSpaceDN/>
              <w:adjustRightInd/>
              <w:rPr>
                <w:color w:val="000000"/>
                <w:sz w:val="22"/>
                <w:szCs w:val="22"/>
              </w:rPr>
            </w:pPr>
            <w:r w:rsidRPr="00F53DA1">
              <w:rPr>
                <w:color w:val="000000"/>
                <w:sz w:val="22"/>
                <w:szCs w:val="22"/>
              </w:rPr>
              <w:t> </w:t>
            </w:r>
          </w:p>
        </w:tc>
        <w:tc>
          <w:tcPr>
            <w:tcW w:w="1677" w:type="dxa"/>
            <w:tcBorders>
              <w:top w:val="nil"/>
              <w:left w:val="nil"/>
              <w:bottom w:val="double" w:sz="6" w:space="0" w:color="auto"/>
              <w:right w:val="double" w:sz="6" w:space="0" w:color="auto"/>
            </w:tcBorders>
            <w:shd w:val="clear" w:color="auto" w:fill="auto"/>
            <w:noWrap/>
            <w:vAlign w:val="bottom"/>
            <w:hideMark/>
          </w:tcPr>
          <w:p w:rsidR="00293E17" w:rsidRPr="00F53DA1" w:rsidRDefault="00293E17" w:rsidP="00F53DA1">
            <w:pPr>
              <w:widowControl/>
              <w:autoSpaceDE/>
              <w:autoSpaceDN/>
              <w:adjustRightInd/>
              <w:rPr>
                <w:color w:val="000000"/>
                <w:sz w:val="22"/>
                <w:szCs w:val="22"/>
              </w:rPr>
            </w:pPr>
            <w:r w:rsidRPr="00F53DA1">
              <w:rPr>
                <w:color w:val="000000"/>
                <w:sz w:val="22"/>
                <w:szCs w:val="22"/>
              </w:rPr>
              <w:t> </w:t>
            </w:r>
          </w:p>
        </w:tc>
        <w:tc>
          <w:tcPr>
            <w:tcW w:w="1607" w:type="dxa"/>
            <w:tcBorders>
              <w:top w:val="nil"/>
              <w:left w:val="nil"/>
              <w:bottom w:val="double" w:sz="6" w:space="0" w:color="auto"/>
              <w:right w:val="double" w:sz="6" w:space="0" w:color="auto"/>
            </w:tcBorders>
            <w:shd w:val="clear" w:color="auto" w:fill="auto"/>
            <w:noWrap/>
            <w:vAlign w:val="bottom"/>
            <w:hideMark/>
          </w:tcPr>
          <w:p w:rsidR="00293E17" w:rsidRPr="00F53DA1" w:rsidRDefault="00293E17" w:rsidP="00F53DA1">
            <w:pPr>
              <w:widowControl/>
              <w:autoSpaceDE/>
              <w:autoSpaceDN/>
              <w:adjustRightInd/>
              <w:rPr>
                <w:color w:val="000000"/>
                <w:sz w:val="22"/>
                <w:szCs w:val="22"/>
              </w:rPr>
            </w:pPr>
            <w:r w:rsidRPr="00F53DA1">
              <w:rPr>
                <w:color w:val="000000"/>
                <w:sz w:val="22"/>
                <w:szCs w:val="22"/>
              </w:rPr>
              <w:t> </w:t>
            </w:r>
          </w:p>
        </w:tc>
        <w:tc>
          <w:tcPr>
            <w:tcW w:w="1561" w:type="dxa"/>
            <w:tcBorders>
              <w:top w:val="nil"/>
              <w:left w:val="nil"/>
              <w:bottom w:val="double" w:sz="6" w:space="0" w:color="auto"/>
              <w:right w:val="double" w:sz="6" w:space="0" w:color="auto"/>
            </w:tcBorders>
            <w:shd w:val="clear" w:color="auto" w:fill="auto"/>
            <w:noWrap/>
            <w:vAlign w:val="bottom"/>
            <w:hideMark/>
          </w:tcPr>
          <w:p w:rsidR="00293E17" w:rsidRPr="00F53DA1" w:rsidRDefault="00293E17" w:rsidP="00F53DA1">
            <w:pPr>
              <w:widowControl/>
              <w:autoSpaceDE/>
              <w:autoSpaceDN/>
              <w:adjustRightInd/>
              <w:rPr>
                <w:color w:val="000000"/>
                <w:sz w:val="22"/>
                <w:szCs w:val="22"/>
              </w:rPr>
            </w:pPr>
            <w:r w:rsidRPr="00F53DA1">
              <w:rPr>
                <w:color w:val="000000"/>
                <w:sz w:val="22"/>
                <w:szCs w:val="22"/>
              </w:rPr>
              <w:t> </w:t>
            </w:r>
          </w:p>
        </w:tc>
        <w:tc>
          <w:tcPr>
            <w:tcW w:w="1202" w:type="dxa"/>
            <w:tcBorders>
              <w:top w:val="nil"/>
              <w:left w:val="nil"/>
              <w:bottom w:val="double" w:sz="6" w:space="0" w:color="auto"/>
              <w:right w:val="double" w:sz="6" w:space="0" w:color="auto"/>
            </w:tcBorders>
            <w:shd w:val="clear" w:color="auto" w:fill="auto"/>
            <w:noWrap/>
            <w:vAlign w:val="bottom"/>
            <w:hideMark/>
          </w:tcPr>
          <w:p w:rsidR="00293E17" w:rsidRPr="00F53DA1" w:rsidRDefault="00293E17" w:rsidP="00F53DA1">
            <w:pPr>
              <w:widowControl/>
              <w:autoSpaceDE/>
              <w:autoSpaceDN/>
              <w:adjustRightInd/>
              <w:rPr>
                <w:color w:val="000000"/>
                <w:sz w:val="22"/>
                <w:szCs w:val="22"/>
              </w:rPr>
            </w:pPr>
          </w:p>
        </w:tc>
        <w:tc>
          <w:tcPr>
            <w:tcW w:w="1491" w:type="dxa"/>
            <w:tcBorders>
              <w:top w:val="nil"/>
              <w:left w:val="nil"/>
              <w:bottom w:val="double" w:sz="6" w:space="0" w:color="auto"/>
              <w:right w:val="double" w:sz="6" w:space="0" w:color="auto"/>
            </w:tcBorders>
            <w:vAlign w:val="bottom"/>
          </w:tcPr>
          <w:p w:rsidR="00293E17" w:rsidRPr="00F53DA1" w:rsidRDefault="00293E17" w:rsidP="00F53DA1">
            <w:pPr>
              <w:widowControl/>
              <w:autoSpaceDE/>
              <w:autoSpaceDN/>
              <w:adjustRightInd/>
              <w:rPr>
                <w:color w:val="000000"/>
                <w:sz w:val="22"/>
                <w:szCs w:val="22"/>
              </w:rPr>
            </w:pPr>
            <w:r w:rsidRPr="00F53DA1">
              <w:rPr>
                <w:color w:val="000000"/>
                <w:sz w:val="22"/>
                <w:szCs w:val="22"/>
              </w:rPr>
              <w:t> </w:t>
            </w:r>
          </w:p>
        </w:tc>
      </w:tr>
    </w:tbl>
    <w:p w:rsidR="00216141" w:rsidRDefault="00216141">
      <w:pPr>
        <w:rPr>
          <w:sz w:val="24"/>
          <w:szCs w:val="24"/>
        </w:rPr>
      </w:pPr>
    </w:p>
    <w:p w:rsidR="00542BFC" w:rsidRDefault="006F6E06" w:rsidP="00DC581F">
      <w:pPr>
        <w:rPr>
          <w:sz w:val="24"/>
          <w:szCs w:val="24"/>
        </w:rPr>
      </w:pPr>
      <w:r>
        <w:rPr>
          <w:sz w:val="24"/>
          <w:szCs w:val="24"/>
        </w:rPr>
        <w:t xml:space="preserve">There </w:t>
      </w:r>
      <w:proofErr w:type="gramStart"/>
      <w:r>
        <w:rPr>
          <w:sz w:val="24"/>
          <w:szCs w:val="24"/>
        </w:rPr>
        <w:t>are</w:t>
      </w:r>
      <w:proofErr w:type="gramEnd"/>
      <w:r>
        <w:rPr>
          <w:sz w:val="24"/>
          <w:szCs w:val="24"/>
        </w:rPr>
        <w:t xml:space="preserve"> approximately 40 Federal staff </w:t>
      </w:r>
      <w:r w:rsidR="005C02C6">
        <w:rPr>
          <w:sz w:val="24"/>
          <w:szCs w:val="24"/>
        </w:rPr>
        <w:t>as part of their duties</w:t>
      </w:r>
      <w:r>
        <w:rPr>
          <w:sz w:val="24"/>
          <w:szCs w:val="24"/>
        </w:rPr>
        <w:t xml:space="preserve"> </w:t>
      </w:r>
      <w:r w:rsidR="0062399B">
        <w:rPr>
          <w:sz w:val="24"/>
          <w:szCs w:val="24"/>
        </w:rPr>
        <w:t xml:space="preserve">as </w:t>
      </w:r>
      <w:r w:rsidR="00293E17">
        <w:rPr>
          <w:sz w:val="24"/>
          <w:szCs w:val="24"/>
        </w:rPr>
        <w:t xml:space="preserve">a </w:t>
      </w:r>
      <w:r w:rsidR="0062399B">
        <w:rPr>
          <w:sz w:val="24"/>
          <w:szCs w:val="24"/>
        </w:rPr>
        <w:t>Fi</w:t>
      </w:r>
      <w:r w:rsidR="00293E17">
        <w:rPr>
          <w:sz w:val="24"/>
          <w:szCs w:val="24"/>
        </w:rPr>
        <w:t>nancial Analyst</w:t>
      </w:r>
      <w:r w:rsidR="0062399B">
        <w:rPr>
          <w:sz w:val="24"/>
          <w:szCs w:val="24"/>
        </w:rPr>
        <w:t xml:space="preserve">/Federal Project Officer (FPO) </w:t>
      </w:r>
      <w:r>
        <w:rPr>
          <w:sz w:val="24"/>
          <w:szCs w:val="24"/>
        </w:rPr>
        <w:t>is to review and accept the ETA-9130 cost reports submitted by the grantees</w:t>
      </w:r>
      <w:r w:rsidR="0022351C">
        <w:rPr>
          <w:sz w:val="24"/>
          <w:szCs w:val="24"/>
        </w:rPr>
        <w:t xml:space="preserve"> quarterly</w:t>
      </w:r>
      <w:r>
        <w:rPr>
          <w:sz w:val="24"/>
          <w:szCs w:val="24"/>
        </w:rPr>
        <w:t xml:space="preserve">.  </w:t>
      </w:r>
      <w:r w:rsidR="0022351C">
        <w:rPr>
          <w:sz w:val="24"/>
          <w:szCs w:val="24"/>
        </w:rPr>
        <w:t>The average Fi</w:t>
      </w:r>
      <w:r w:rsidR="00293E17">
        <w:rPr>
          <w:sz w:val="24"/>
          <w:szCs w:val="24"/>
        </w:rPr>
        <w:t>nancial Analyst</w:t>
      </w:r>
      <w:r w:rsidR="0022351C">
        <w:rPr>
          <w:sz w:val="24"/>
          <w:szCs w:val="24"/>
        </w:rPr>
        <w:t>/FPO</w:t>
      </w:r>
      <w:r w:rsidR="0062399B">
        <w:rPr>
          <w:sz w:val="24"/>
          <w:szCs w:val="24"/>
        </w:rPr>
        <w:t xml:space="preserve"> personnel </w:t>
      </w:r>
      <w:proofErr w:type="gramStart"/>
      <w:r w:rsidR="0022351C">
        <w:rPr>
          <w:sz w:val="24"/>
          <w:szCs w:val="24"/>
        </w:rPr>
        <w:t>is</w:t>
      </w:r>
      <w:proofErr w:type="gramEnd"/>
      <w:r w:rsidR="0022351C">
        <w:rPr>
          <w:sz w:val="24"/>
          <w:szCs w:val="24"/>
        </w:rPr>
        <w:t xml:space="preserve"> a GS-13 step 1, with an estimated annual salary</w:t>
      </w:r>
      <w:r w:rsidR="00292872">
        <w:rPr>
          <w:sz w:val="24"/>
          <w:szCs w:val="24"/>
        </w:rPr>
        <w:t xml:space="preserve"> </w:t>
      </w:r>
      <w:r w:rsidR="0022351C">
        <w:rPr>
          <w:sz w:val="24"/>
          <w:szCs w:val="24"/>
        </w:rPr>
        <w:t>of $89,033 based on the FY 2010 Salary Table</w:t>
      </w:r>
      <w:r w:rsidR="00293E17">
        <w:rPr>
          <w:sz w:val="24"/>
          <w:szCs w:val="24"/>
        </w:rPr>
        <w:t xml:space="preserve"> and an hourly wage rate of $43.00.  </w:t>
      </w:r>
      <w:r w:rsidR="0022351C">
        <w:rPr>
          <w:sz w:val="24"/>
          <w:szCs w:val="24"/>
        </w:rPr>
        <w:t>Based on ETA’s reporting instructions</w:t>
      </w:r>
      <w:r w:rsidR="00293E17">
        <w:rPr>
          <w:sz w:val="24"/>
          <w:szCs w:val="24"/>
        </w:rPr>
        <w:t>,</w:t>
      </w:r>
      <w:r w:rsidR="0022351C">
        <w:rPr>
          <w:sz w:val="24"/>
          <w:szCs w:val="24"/>
        </w:rPr>
        <w:t xml:space="preserve"> it takes </w:t>
      </w:r>
      <w:r w:rsidR="0062399B">
        <w:rPr>
          <w:sz w:val="24"/>
          <w:szCs w:val="24"/>
        </w:rPr>
        <w:t>F</w:t>
      </w:r>
      <w:r w:rsidR="0022351C">
        <w:rPr>
          <w:sz w:val="24"/>
          <w:szCs w:val="24"/>
        </w:rPr>
        <w:t xml:space="preserve">iscal/FPO staff </w:t>
      </w:r>
      <w:r w:rsidR="0062399B">
        <w:rPr>
          <w:sz w:val="24"/>
          <w:szCs w:val="24"/>
        </w:rPr>
        <w:t xml:space="preserve">approximately </w:t>
      </w:r>
      <w:r w:rsidR="00293E17">
        <w:rPr>
          <w:sz w:val="24"/>
          <w:szCs w:val="24"/>
        </w:rPr>
        <w:t xml:space="preserve">80 hours </w:t>
      </w:r>
      <w:r w:rsidR="0022351C">
        <w:rPr>
          <w:sz w:val="24"/>
          <w:szCs w:val="24"/>
        </w:rPr>
        <w:t xml:space="preserve">(10 days x 8 hours per day = 80 hours) to review and accept the ETA-9130 reports </w:t>
      </w:r>
      <w:r w:rsidR="0062399B">
        <w:rPr>
          <w:sz w:val="24"/>
          <w:szCs w:val="24"/>
        </w:rPr>
        <w:t xml:space="preserve">quarterly.  </w:t>
      </w:r>
      <w:r w:rsidR="008633DF">
        <w:rPr>
          <w:sz w:val="24"/>
          <w:szCs w:val="24"/>
        </w:rPr>
        <w:t xml:space="preserve">Annually, it takes approximately 12,800 hours to review and accept reports (80*4 quarters * 40 federal staff).  At $43.00 per hour, the </w:t>
      </w:r>
      <w:r w:rsidR="004349DA">
        <w:rPr>
          <w:sz w:val="24"/>
          <w:szCs w:val="24"/>
        </w:rPr>
        <w:t>estimated</w:t>
      </w:r>
      <w:r w:rsidR="008633DF">
        <w:rPr>
          <w:sz w:val="24"/>
          <w:szCs w:val="24"/>
        </w:rPr>
        <w:t xml:space="preserve"> annual cost to the federal government is $550,400.  </w:t>
      </w:r>
      <w:r w:rsidR="0058736E">
        <w:rPr>
          <w:sz w:val="24"/>
          <w:szCs w:val="24"/>
        </w:rPr>
        <w:t xml:space="preserve"> </w:t>
      </w:r>
    </w:p>
    <w:p w:rsidR="00293E17" w:rsidRDefault="00293E17" w:rsidP="00DC581F">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 reported in Items 13 or 14 of the OMB 83-I</w:t>
      </w:r>
      <w:r>
        <w:rPr>
          <w:b/>
          <w:bCs/>
          <w:sz w:val="24"/>
          <w:szCs w:val="24"/>
        </w:rPr>
        <w:t>.</w:t>
      </w:r>
    </w:p>
    <w:p w:rsidR="004F26E9" w:rsidRDefault="004F26E9">
      <w:pPr>
        <w:rPr>
          <w:sz w:val="24"/>
          <w:szCs w:val="24"/>
        </w:rPr>
      </w:pPr>
    </w:p>
    <w:p w:rsidR="001D1F2A" w:rsidRPr="001D1F2A" w:rsidRDefault="003A1C1D" w:rsidP="00DC581F">
      <w:pPr>
        <w:rPr>
          <w:sz w:val="24"/>
          <w:szCs w:val="24"/>
        </w:rPr>
      </w:pPr>
      <w:r w:rsidRPr="003A1C1D">
        <w:rPr>
          <w:sz w:val="24"/>
          <w:szCs w:val="24"/>
        </w:rPr>
        <w:t xml:space="preserve">The reduction in burden </w:t>
      </w:r>
      <w:r w:rsidR="00593ADD">
        <w:rPr>
          <w:sz w:val="24"/>
          <w:szCs w:val="24"/>
        </w:rPr>
        <w:t xml:space="preserve">in the reginfo.gov database </w:t>
      </w:r>
      <w:r w:rsidRPr="003A1C1D">
        <w:rPr>
          <w:sz w:val="24"/>
          <w:szCs w:val="24"/>
        </w:rPr>
        <w:t>corrects the previous submission, which erroneously calculated the ETA-9130 burden at 1 hour per response rather than 30 minutes per response.</w:t>
      </w:r>
    </w:p>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1D1F2A" w:rsidRPr="001D1F2A" w:rsidRDefault="001D1F2A" w:rsidP="001D1F2A">
      <w:pPr>
        <w:rPr>
          <w:sz w:val="24"/>
          <w:szCs w:val="24"/>
        </w:rPr>
      </w:pPr>
      <w:r w:rsidRPr="001D1F2A">
        <w:rPr>
          <w:sz w:val="24"/>
          <w:szCs w:val="24"/>
        </w:rPr>
        <w:t>The information collected will not be published.</w:t>
      </w: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E81144" w:rsidRDefault="00D21244">
      <w:pPr>
        <w:rPr>
          <w:sz w:val="24"/>
          <w:szCs w:val="24"/>
        </w:rPr>
      </w:pPr>
      <w:r>
        <w:rPr>
          <w:sz w:val="24"/>
          <w:szCs w:val="24"/>
        </w:rPr>
        <w:t xml:space="preserve">The expiration date will be included on </w:t>
      </w:r>
      <w:r w:rsidR="003A1C1D">
        <w:rPr>
          <w:sz w:val="24"/>
          <w:szCs w:val="24"/>
        </w:rPr>
        <w:t>the forms associated with this ICR.</w:t>
      </w:r>
    </w:p>
    <w:p w:rsidR="004F26E9" w:rsidRDefault="004F26E9">
      <w:pPr>
        <w:rPr>
          <w:sz w:val="24"/>
          <w:szCs w:val="24"/>
        </w:rPr>
      </w:pPr>
    </w:p>
    <w:p w:rsidR="004F26E9" w:rsidRDefault="004F26E9">
      <w:pPr>
        <w:rPr>
          <w:b/>
          <w:bCs/>
          <w:sz w:val="24"/>
          <w:szCs w:val="24"/>
          <w:u w:val="single"/>
        </w:rPr>
      </w:pPr>
      <w:r>
        <w:rPr>
          <w:b/>
          <w:bCs/>
          <w:sz w:val="24"/>
          <w:szCs w:val="24"/>
        </w:rPr>
        <w:lastRenderedPageBreak/>
        <w:t xml:space="preserve">18.  </w:t>
      </w:r>
      <w:r>
        <w:rPr>
          <w:b/>
          <w:bCs/>
          <w:sz w:val="24"/>
          <w:szCs w:val="24"/>
          <w:u w:val="single"/>
        </w:rPr>
        <w:t xml:space="preserve">Explain each exception to the certification statement identified in Item 19 of the </w:t>
      </w:r>
    </w:p>
    <w:p w:rsidR="004F26E9" w:rsidRDefault="004F26E9">
      <w:pPr>
        <w:rPr>
          <w:sz w:val="24"/>
          <w:szCs w:val="24"/>
        </w:rPr>
      </w:pPr>
      <w:r>
        <w:rPr>
          <w:b/>
          <w:bCs/>
          <w:sz w:val="24"/>
          <w:szCs w:val="24"/>
          <w:u w:val="single"/>
        </w:rPr>
        <w:t>OMB 83-I</w:t>
      </w:r>
      <w:r>
        <w:rPr>
          <w:b/>
          <w:bCs/>
          <w:sz w:val="24"/>
          <w:szCs w:val="24"/>
        </w:rPr>
        <w:t>.</w:t>
      </w:r>
    </w:p>
    <w:p w:rsidR="004F26E9" w:rsidRDefault="004F26E9">
      <w:pPr>
        <w:rPr>
          <w:sz w:val="24"/>
          <w:szCs w:val="24"/>
        </w:rPr>
      </w:pPr>
    </w:p>
    <w:p w:rsidR="004F26E9" w:rsidRDefault="001D1F2A">
      <w:pPr>
        <w:rPr>
          <w:sz w:val="24"/>
          <w:szCs w:val="24"/>
        </w:rPr>
      </w:pPr>
      <w:r w:rsidRPr="001D1F2A">
        <w:rPr>
          <w:sz w:val="24"/>
          <w:szCs w:val="24"/>
        </w:rPr>
        <w:t>There are no exceptions.</w:t>
      </w:r>
    </w:p>
    <w:p w:rsidR="004F26E9" w:rsidRDefault="004F26E9">
      <w:pPr>
        <w:rPr>
          <w:sz w:val="24"/>
          <w:szCs w:val="24"/>
        </w:rPr>
      </w:pPr>
    </w:p>
    <w:p w:rsidR="004F26E9" w:rsidRDefault="004F26E9">
      <w:pPr>
        <w:rPr>
          <w:sz w:val="24"/>
          <w:szCs w:val="24"/>
        </w:rPr>
      </w:pPr>
      <w:r>
        <w:rPr>
          <w:b/>
          <w:bCs/>
          <w:sz w:val="24"/>
          <w:szCs w:val="24"/>
        </w:rPr>
        <w:t>B.  COLLECTIONS OF INFORMATION EMPLOYING STATISTICAL METHODS</w:t>
      </w:r>
    </w:p>
    <w:p w:rsidR="001D1F2A" w:rsidRDefault="001D1F2A">
      <w:pPr>
        <w:rPr>
          <w:sz w:val="24"/>
          <w:szCs w:val="24"/>
        </w:rPr>
      </w:pPr>
    </w:p>
    <w:p w:rsidR="004F26E9" w:rsidRDefault="00AB1BB4" w:rsidP="00E81144">
      <w:pPr>
        <w:rPr>
          <w:sz w:val="24"/>
          <w:szCs w:val="24"/>
        </w:rPr>
      </w:pPr>
      <w:r>
        <w:rPr>
          <w:sz w:val="24"/>
          <w:szCs w:val="24"/>
        </w:rPr>
        <w:t xml:space="preserve">The </w:t>
      </w:r>
      <w:r w:rsidR="001D1F2A">
        <w:rPr>
          <w:sz w:val="24"/>
          <w:szCs w:val="24"/>
        </w:rPr>
        <w:t>collection does not employ statistical methods.</w:t>
      </w:r>
    </w:p>
    <w:sectPr w:rsidR="004F26E9" w:rsidSect="00BE4A73">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B41" w:rsidRDefault="00B11B41">
      <w:r>
        <w:separator/>
      </w:r>
    </w:p>
  </w:endnote>
  <w:endnote w:type="continuationSeparator" w:id="0">
    <w:p w:rsidR="00B11B41" w:rsidRDefault="00B11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329" w:rsidRDefault="00E81D5F">
    <w:pPr>
      <w:pStyle w:val="Footer"/>
      <w:framePr w:w="576" w:wrap="auto" w:vAnchor="page" w:hAnchor="page" w:x="5545" w:y="15121"/>
      <w:jc w:val="right"/>
      <w:rPr>
        <w:rStyle w:val="PageNumber"/>
        <w:sz w:val="24"/>
        <w:szCs w:val="24"/>
      </w:rPr>
    </w:pPr>
    <w:r>
      <w:rPr>
        <w:rStyle w:val="PageNumber"/>
        <w:sz w:val="24"/>
        <w:szCs w:val="24"/>
      </w:rPr>
      <w:fldChar w:fldCharType="begin"/>
    </w:r>
    <w:r w:rsidR="00305329">
      <w:rPr>
        <w:rStyle w:val="PageNumber"/>
        <w:sz w:val="24"/>
        <w:szCs w:val="24"/>
      </w:rPr>
      <w:instrText xml:space="preserve">PAGE  </w:instrText>
    </w:r>
    <w:r>
      <w:rPr>
        <w:rStyle w:val="PageNumber"/>
        <w:sz w:val="24"/>
        <w:szCs w:val="24"/>
      </w:rPr>
      <w:fldChar w:fldCharType="separate"/>
    </w:r>
    <w:r w:rsidR="00452ACA">
      <w:rPr>
        <w:rStyle w:val="PageNumber"/>
        <w:noProof/>
        <w:sz w:val="24"/>
        <w:szCs w:val="24"/>
      </w:rPr>
      <w:t>4</w:t>
    </w:r>
    <w:r>
      <w:rPr>
        <w:rStyle w:val="PageNumber"/>
        <w:sz w:val="24"/>
        <w:szCs w:val="24"/>
      </w:rPr>
      <w:fldChar w:fldCharType="end"/>
    </w:r>
  </w:p>
  <w:p w:rsidR="00305329" w:rsidRDefault="003053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B41" w:rsidRDefault="00B11B41">
      <w:r>
        <w:separator/>
      </w:r>
    </w:p>
  </w:footnote>
  <w:footnote w:type="continuationSeparator" w:id="0">
    <w:p w:rsidR="00B11B41" w:rsidRDefault="00B11B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rsids>
    <w:rsidRoot w:val="004F26E9"/>
    <w:rsid w:val="00014EF7"/>
    <w:rsid w:val="000350C6"/>
    <w:rsid w:val="00041A75"/>
    <w:rsid w:val="00043DB2"/>
    <w:rsid w:val="00057866"/>
    <w:rsid w:val="00090640"/>
    <w:rsid w:val="00092A72"/>
    <w:rsid w:val="000943DC"/>
    <w:rsid w:val="000A5BCE"/>
    <w:rsid w:val="000B0009"/>
    <w:rsid w:val="000B1095"/>
    <w:rsid w:val="000C778B"/>
    <w:rsid w:val="000F0BE7"/>
    <w:rsid w:val="000F33F8"/>
    <w:rsid w:val="001015CA"/>
    <w:rsid w:val="00114F23"/>
    <w:rsid w:val="00135E7D"/>
    <w:rsid w:val="001416F8"/>
    <w:rsid w:val="00147A2C"/>
    <w:rsid w:val="0019232F"/>
    <w:rsid w:val="001A776E"/>
    <w:rsid w:val="001D1F2A"/>
    <w:rsid w:val="001E35F0"/>
    <w:rsid w:val="001E6787"/>
    <w:rsid w:val="00206AD3"/>
    <w:rsid w:val="00216141"/>
    <w:rsid w:val="00216BC2"/>
    <w:rsid w:val="00217E2A"/>
    <w:rsid w:val="0022351C"/>
    <w:rsid w:val="0025379E"/>
    <w:rsid w:val="00266D23"/>
    <w:rsid w:val="00273129"/>
    <w:rsid w:val="002741B0"/>
    <w:rsid w:val="002769B0"/>
    <w:rsid w:val="002864E4"/>
    <w:rsid w:val="00292872"/>
    <w:rsid w:val="00293E17"/>
    <w:rsid w:val="002A20F9"/>
    <w:rsid w:val="002A52A6"/>
    <w:rsid w:val="002B32B7"/>
    <w:rsid w:val="002B65D8"/>
    <w:rsid w:val="002C1842"/>
    <w:rsid w:val="002F687F"/>
    <w:rsid w:val="00305329"/>
    <w:rsid w:val="003265D1"/>
    <w:rsid w:val="00346D16"/>
    <w:rsid w:val="003614AD"/>
    <w:rsid w:val="003A1C1D"/>
    <w:rsid w:val="003C2E74"/>
    <w:rsid w:val="003F4913"/>
    <w:rsid w:val="003F511A"/>
    <w:rsid w:val="00430A8E"/>
    <w:rsid w:val="0043467F"/>
    <w:rsid w:val="004349DA"/>
    <w:rsid w:val="00440C84"/>
    <w:rsid w:val="00452ACA"/>
    <w:rsid w:val="00454FD2"/>
    <w:rsid w:val="0046519B"/>
    <w:rsid w:val="00483D12"/>
    <w:rsid w:val="004A4064"/>
    <w:rsid w:val="004B682D"/>
    <w:rsid w:val="004E11C6"/>
    <w:rsid w:val="004F26E9"/>
    <w:rsid w:val="004F48D0"/>
    <w:rsid w:val="004F683F"/>
    <w:rsid w:val="005047FA"/>
    <w:rsid w:val="005056A8"/>
    <w:rsid w:val="00514D23"/>
    <w:rsid w:val="00524A98"/>
    <w:rsid w:val="0053442D"/>
    <w:rsid w:val="0054148B"/>
    <w:rsid w:val="00542BFC"/>
    <w:rsid w:val="00552954"/>
    <w:rsid w:val="00554D55"/>
    <w:rsid w:val="0058736E"/>
    <w:rsid w:val="00590F4D"/>
    <w:rsid w:val="00593ADD"/>
    <w:rsid w:val="005A1F7A"/>
    <w:rsid w:val="005C02C6"/>
    <w:rsid w:val="005D0C06"/>
    <w:rsid w:val="005E60AE"/>
    <w:rsid w:val="005E7D3B"/>
    <w:rsid w:val="00605446"/>
    <w:rsid w:val="00606BA3"/>
    <w:rsid w:val="00617786"/>
    <w:rsid w:val="0062399B"/>
    <w:rsid w:val="0063710B"/>
    <w:rsid w:val="00643820"/>
    <w:rsid w:val="00644FDF"/>
    <w:rsid w:val="00646D86"/>
    <w:rsid w:val="00650968"/>
    <w:rsid w:val="00672091"/>
    <w:rsid w:val="006738D3"/>
    <w:rsid w:val="00684833"/>
    <w:rsid w:val="006864F8"/>
    <w:rsid w:val="00697218"/>
    <w:rsid w:val="006B0CBD"/>
    <w:rsid w:val="006D3102"/>
    <w:rsid w:val="006F4578"/>
    <w:rsid w:val="006F6E06"/>
    <w:rsid w:val="007032FC"/>
    <w:rsid w:val="007264C6"/>
    <w:rsid w:val="007471CA"/>
    <w:rsid w:val="007721DE"/>
    <w:rsid w:val="00787764"/>
    <w:rsid w:val="007B4316"/>
    <w:rsid w:val="007B7CD2"/>
    <w:rsid w:val="007C2DF2"/>
    <w:rsid w:val="007D5CD4"/>
    <w:rsid w:val="007F01AC"/>
    <w:rsid w:val="007F39F1"/>
    <w:rsid w:val="007F5D25"/>
    <w:rsid w:val="007F73AA"/>
    <w:rsid w:val="008313A1"/>
    <w:rsid w:val="00833426"/>
    <w:rsid w:val="00834F6C"/>
    <w:rsid w:val="008633DF"/>
    <w:rsid w:val="0089384C"/>
    <w:rsid w:val="008A0E07"/>
    <w:rsid w:val="008C0321"/>
    <w:rsid w:val="008E4450"/>
    <w:rsid w:val="008F4061"/>
    <w:rsid w:val="008F555A"/>
    <w:rsid w:val="0092788D"/>
    <w:rsid w:val="0094222E"/>
    <w:rsid w:val="00953A5A"/>
    <w:rsid w:val="009603ED"/>
    <w:rsid w:val="009809FA"/>
    <w:rsid w:val="00992424"/>
    <w:rsid w:val="00996613"/>
    <w:rsid w:val="009C1529"/>
    <w:rsid w:val="009E6D97"/>
    <w:rsid w:val="009F48CE"/>
    <w:rsid w:val="00A27225"/>
    <w:rsid w:val="00A409B0"/>
    <w:rsid w:val="00A4219C"/>
    <w:rsid w:val="00A52D80"/>
    <w:rsid w:val="00A53A6F"/>
    <w:rsid w:val="00A80DC1"/>
    <w:rsid w:val="00A916B6"/>
    <w:rsid w:val="00AA624D"/>
    <w:rsid w:val="00AB0842"/>
    <w:rsid w:val="00AB1BB4"/>
    <w:rsid w:val="00AB6EA5"/>
    <w:rsid w:val="00AD0AC1"/>
    <w:rsid w:val="00AD5DF0"/>
    <w:rsid w:val="00AD76D1"/>
    <w:rsid w:val="00AE011D"/>
    <w:rsid w:val="00AE53E3"/>
    <w:rsid w:val="00AF2128"/>
    <w:rsid w:val="00B00EF5"/>
    <w:rsid w:val="00B03689"/>
    <w:rsid w:val="00B11B41"/>
    <w:rsid w:val="00B20C9F"/>
    <w:rsid w:val="00B374B8"/>
    <w:rsid w:val="00B476F0"/>
    <w:rsid w:val="00B57FE9"/>
    <w:rsid w:val="00B61D7D"/>
    <w:rsid w:val="00B715D6"/>
    <w:rsid w:val="00B95D34"/>
    <w:rsid w:val="00BC6868"/>
    <w:rsid w:val="00BD0E48"/>
    <w:rsid w:val="00BD242C"/>
    <w:rsid w:val="00BE4A73"/>
    <w:rsid w:val="00C36030"/>
    <w:rsid w:val="00C52F96"/>
    <w:rsid w:val="00C665F2"/>
    <w:rsid w:val="00C72EB7"/>
    <w:rsid w:val="00C832C2"/>
    <w:rsid w:val="00C879BD"/>
    <w:rsid w:val="00C9760A"/>
    <w:rsid w:val="00CA5A9E"/>
    <w:rsid w:val="00CB008A"/>
    <w:rsid w:val="00CB0D64"/>
    <w:rsid w:val="00D10C19"/>
    <w:rsid w:val="00D208C1"/>
    <w:rsid w:val="00D21244"/>
    <w:rsid w:val="00D25467"/>
    <w:rsid w:val="00D25ACC"/>
    <w:rsid w:val="00D347F7"/>
    <w:rsid w:val="00D42D31"/>
    <w:rsid w:val="00D47476"/>
    <w:rsid w:val="00D478F3"/>
    <w:rsid w:val="00D67138"/>
    <w:rsid w:val="00D7213F"/>
    <w:rsid w:val="00D75740"/>
    <w:rsid w:val="00D8063A"/>
    <w:rsid w:val="00D868DF"/>
    <w:rsid w:val="00DA44EA"/>
    <w:rsid w:val="00DC4A22"/>
    <w:rsid w:val="00DC581F"/>
    <w:rsid w:val="00DE0E8D"/>
    <w:rsid w:val="00DF04CD"/>
    <w:rsid w:val="00E06AE7"/>
    <w:rsid w:val="00E126A5"/>
    <w:rsid w:val="00E14B41"/>
    <w:rsid w:val="00E219B0"/>
    <w:rsid w:val="00E31414"/>
    <w:rsid w:val="00E54346"/>
    <w:rsid w:val="00E7094F"/>
    <w:rsid w:val="00E81144"/>
    <w:rsid w:val="00E81D5F"/>
    <w:rsid w:val="00E867F6"/>
    <w:rsid w:val="00EA4907"/>
    <w:rsid w:val="00EE75FF"/>
    <w:rsid w:val="00F0448F"/>
    <w:rsid w:val="00F319DD"/>
    <w:rsid w:val="00F521FC"/>
    <w:rsid w:val="00F53DA1"/>
    <w:rsid w:val="00F60ED8"/>
    <w:rsid w:val="00F8735F"/>
    <w:rsid w:val="00F9133E"/>
    <w:rsid w:val="00FD1576"/>
    <w:rsid w:val="00FD4209"/>
    <w:rsid w:val="00FD70FE"/>
    <w:rsid w:val="00FE32BC"/>
    <w:rsid w:val="00FF1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A7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E4A73"/>
    <w:pPr>
      <w:widowControl w:val="0"/>
      <w:autoSpaceDE w:val="0"/>
      <w:autoSpaceDN w:val="0"/>
      <w:adjustRightInd w:val="0"/>
      <w:ind w:left="-1440"/>
      <w:jc w:val="both"/>
    </w:pPr>
    <w:rPr>
      <w:sz w:val="24"/>
      <w:szCs w:val="24"/>
    </w:rPr>
  </w:style>
  <w:style w:type="paragraph" w:customStyle="1" w:styleId="2AutoList1">
    <w:name w:val="2AutoList1"/>
    <w:rsid w:val="00BE4A73"/>
    <w:pPr>
      <w:widowControl w:val="0"/>
      <w:autoSpaceDE w:val="0"/>
      <w:autoSpaceDN w:val="0"/>
      <w:adjustRightInd w:val="0"/>
      <w:ind w:left="-1440"/>
      <w:jc w:val="both"/>
    </w:pPr>
    <w:rPr>
      <w:sz w:val="24"/>
      <w:szCs w:val="24"/>
    </w:rPr>
  </w:style>
  <w:style w:type="paragraph" w:customStyle="1" w:styleId="3AutoList1">
    <w:name w:val="3AutoList1"/>
    <w:rsid w:val="00BE4A73"/>
    <w:pPr>
      <w:widowControl w:val="0"/>
      <w:autoSpaceDE w:val="0"/>
      <w:autoSpaceDN w:val="0"/>
      <w:adjustRightInd w:val="0"/>
      <w:ind w:left="-1440"/>
      <w:jc w:val="both"/>
    </w:pPr>
    <w:rPr>
      <w:sz w:val="24"/>
      <w:szCs w:val="24"/>
    </w:rPr>
  </w:style>
  <w:style w:type="paragraph" w:customStyle="1" w:styleId="4AutoList1">
    <w:name w:val="4AutoList1"/>
    <w:rsid w:val="00BE4A73"/>
    <w:pPr>
      <w:widowControl w:val="0"/>
      <w:autoSpaceDE w:val="0"/>
      <w:autoSpaceDN w:val="0"/>
      <w:adjustRightInd w:val="0"/>
      <w:ind w:left="-1440"/>
      <w:jc w:val="both"/>
    </w:pPr>
    <w:rPr>
      <w:sz w:val="24"/>
      <w:szCs w:val="24"/>
    </w:rPr>
  </w:style>
  <w:style w:type="paragraph" w:customStyle="1" w:styleId="5AutoList1">
    <w:name w:val="5AutoList1"/>
    <w:rsid w:val="00BE4A73"/>
    <w:pPr>
      <w:widowControl w:val="0"/>
      <w:autoSpaceDE w:val="0"/>
      <w:autoSpaceDN w:val="0"/>
      <w:adjustRightInd w:val="0"/>
      <w:ind w:left="-1440"/>
      <w:jc w:val="both"/>
    </w:pPr>
    <w:rPr>
      <w:sz w:val="24"/>
      <w:szCs w:val="24"/>
    </w:rPr>
  </w:style>
  <w:style w:type="paragraph" w:customStyle="1" w:styleId="6AutoList1">
    <w:name w:val="6AutoList1"/>
    <w:rsid w:val="00BE4A73"/>
    <w:pPr>
      <w:widowControl w:val="0"/>
      <w:autoSpaceDE w:val="0"/>
      <w:autoSpaceDN w:val="0"/>
      <w:adjustRightInd w:val="0"/>
      <w:ind w:left="-1440"/>
      <w:jc w:val="both"/>
    </w:pPr>
    <w:rPr>
      <w:sz w:val="24"/>
      <w:szCs w:val="24"/>
    </w:rPr>
  </w:style>
  <w:style w:type="paragraph" w:customStyle="1" w:styleId="7AutoList1">
    <w:name w:val="7AutoList1"/>
    <w:rsid w:val="00BE4A73"/>
    <w:pPr>
      <w:widowControl w:val="0"/>
      <w:autoSpaceDE w:val="0"/>
      <w:autoSpaceDN w:val="0"/>
      <w:adjustRightInd w:val="0"/>
      <w:ind w:left="-1440"/>
      <w:jc w:val="both"/>
    </w:pPr>
    <w:rPr>
      <w:sz w:val="24"/>
      <w:szCs w:val="24"/>
    </w:rPr>
  </w:style>
  <w:style w:type="paragraph" w:customStyle="1" w:styleId="8AutoList1">
    <w:name w:val="8AutoList1"/>
    <w:rsid w:val="00BE4A73"/>
    <w:pPr>
      <w:widowControl w:val="0"/>
      <w:autoSpaceDE w:val="0"/>
      <w:autoSpaceDN w:val="0"/>
      <w:adjustRightInd w:val="0"/>
      <w:ind w:left="-1440"/>
      <w:jc w:val="both"/>
    </w:pPr>
    <w:rPr>
      <w:sz w:val="24"/>
      <w:szCs w:val="24"/>
    </w:rPr>
  </w:style>
  <w:style w:type="paragraph" w:styleId="Footer">
    <w:name w:val="footer"/>
    <w:basedOn w:val="Normal"/>
    <w:rsid w:val="00BE4A73"/>
    <w:pPr>
      <w:tabs>
        <w:tab w:val="center" w:pos="4320"/>
        <w:tab w:val="right" w:pos="8640"/>
      </w:tabs>
    </w:pPr>
  </w:style>
  <w:style w:type="character" w:styleId="PageNumber">
    <w:name w:val="page number"/>
    <w:basedOn w:val="DefaultParagraphFont"/>
    <w:rsid w:val="00BE4A73"/>
  </w:style>
  <w:style w:type="paragraph" w:styleId="Header">
    <w:name w:val="header"/>
    <w:basedOn w:val="Normal"/>
    <w:rsid w:val="00BE4A73"/>
    <w:pPr>
      <w:tabs>
        <w:tab w:val="center" w:pos="4320"/>
        <w:tab w:val="right" w:pos="8640"/>
      </w:tabs>
    </w:pPr>
  </w:style>
  <w:style w:type="character" w:styleId="Hyperlink">
    <w:name w:val="Hyperlink"/>
    <w:basedOn w:val="DefaultParagraphFont"/>
    <w:rsid w:val="00524A98"/>
    <w:rPr>
      <w:color w:val="0000FF"/>
      <w:u w:val="single"/>
    </w:rPr>
  </w:style>
  <w:style w:type="character" w:styleId="FollowedHyperlink">
    <w:name w:val="FollowedHyperlink"/>
    <w:basedOn w:val="DefaultParagraphFont"/>
    <w:rsid w:val="00216BC2"/>
    <w:rPr>
      <w:color w:val="800080"/>
      <w:u w:val="single"/>
    </w:rPr>
  </w:style>
  <w:style w:type="character" w:styleId="CommentReference">
    <w:name w:val="annotation reference"/>
    <w:basedOn w:val="DefaultParagraphFont"/>
    <w:rsid w:val="00AB1BB4"/>
    <w:rPr>
      <w:sz w:val="16"/>
      <w:szCs w:val="16"/>
    </w:rPr>
  </w:style>
  <w:style w:type="paragraph" w:styleId="CommentText">
    <w:name w:val="annotation text"/>
    <w:basedOn w:val="Normal"/>
    <w:link w:val="CommentTextChar"/>
    <w:rsid w:val="00AB1BB4"/>
  </w:style>
  <w:style w:type="character" w:customStyle="1" w:styleId="CommentTextChar">
    <w:name w:val="Comment Text Char"/>
    <w:basedOn w:val="DefaultParagraphFont"/>
    <w:link w:val="CommentText"/>
    <w:rsid w:val="00AB1BB4"/>
  </w:style>
  <w:style w:type="paragraph" w:styleId="CommentSubject">
    <w:name w:val="annotation subject"/>
    <w:basedOn w:val="CommentText"/>
    <w:next w:val="CommentText"/>
    <w:link w:val="CommentSubjectChar"/>
    <w:rsid w:val="00AB1BB4"/>
    <w:rPr>
      <w:b/>
      <w:bCs/>
    </w:rPr>
  </w:style>
  <w:style w:type="character" w:customStyle="1" w:styleId="CommentSubjectChar">
    <w:name w:val="Comment Subject Char"/>
    <w:basedOn w:val="CommentTextChar"/>
    <w:link w:val="CommentSubject"/>
    <w:rsid w:val="00AB1BB4"/>
    <w:rPr>
      <w:b/>
      <w:bCs/>
    </w:rPr>
  </w:style>
  <w:style w:type="paragraph" w:styleId="BalloonText">
    <w:name w:val="Balloon Text"/>
    <w:basedOn w:val="Normal"/>
    <w:link w:val="BalloonTextChar"/>
    <w:rsid w:val="00AB1BB4"/>
    <w:rPr>
      <w:rFonts w:ascii="Tahoma" w:hAnsi="Tahoma" w:cs="Tahoma"/>
      <w:sz w:val="16"/>
      <w:szCs w:val="16"/>
    </w:rPr>
  </w:style>
  <w:style w:type="character" w:customStyle="1" w:styleId="BalloonTextChar">
    <w:name w:val="Balloon Text Char"/>
    <w:basedOn w:val="DefaultParagraphFont"/>
    <w:link w:val="BalloonText"/>
    <w:rsid w:val="00AB1BB4"/>
    <w:rPr>
      <w:rFonts w:ascii="Tahoma" w:hAnsi="Tahoma" w:cs="Tahoma"/>
      <w:sz w:val="16"/>
      <w:szCs w:val="16"/>
    </w:rPr>
  </w:style>
  <w:style w:type="table" w:styleId="TableGrid">
    <w:name w:val="Table Grid"/>
    <w:basedOn w:val="TableNormal"/>
    <w:rsid w:val="002C1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basedOn w:val="DefaultParagraphFont"/>
    <w:rsid w:val="00524A98"/>
    <w:rPr>
      <w:color w:val="0000FF"/>
      <w:u w:val="single"/>
    </w:rPr>
  </w:style>
  <w:style w:type="character" w:styleId="FollowedHyperlink">
    <w:name w:val="FollowedHyperlink"/>
    <w:basedOn w:val="DefaultParagraphFont"/>
    <w:rsid w:val="00216BC2"/>
    <w:rPr>
      <w:color w:val="800080"/>
      <w:u w:val="single"/>
    </w:rPr>
  </w:style>
  <w:style w:type="character" w:styleId="CommentReference">
    <w:name w:val="annotation reference"/>
    <w:basedOn w:val="DefaultParagraphFont"/>
    <w:rsid w:val="00AB1BB4"/>
    <w:rPr>
      <w:sz w:val="16"/>
      <w:szCs w:val="16"/>
    </w:rPr>
  </w:style>
  <w:style w:type="paragraph" w:styleId="CommentText">
    <w:name w:val="annotation text"/>
    <w:basedOn w:val="Normal"/>
    <w:link w:val="CommentTextChar"/>
    <w:rsid w:val="00AB1BB4"/>
  </w:style>
  <w:style w:type="character" w:customStyle="1" w:styleId="CommentTextChar">
    <w:name w:val="Comment Text Char"/>
    <w:basedOn w:val="DefaultParagraphFont"/>
    <w:link w:val="CommentText"/>
    <w:rsid w:val="00AB1BB4"/>
  </w:style>
  <w:style w:type="paragraph" w:styleId="CommentSubject">
    <w:name w:val="annotation subject"/>
    <w:basedOn w:val="CommentText"/>
    <w:next w:val="CommentText"/>
    <w:link w:val="CommentSubjectChar"/>
    <w:rsid w:val="00AB1BB4"/>
    <w:rPr>
      <w:b/>
      <w:bCs/>
    </w:rPr>
  </w:style>
  <w:style w:type="character" w:customStyle="1" w:styleId="CommentSubjectChar">
    <w:name w:val="Comment Subject Char"/>
    <w:basedOn w:val="CommentTextChar"/>
    <w:link w:val="CommentSubject"/>
    <w:rsid w:val="00AB1BB4"/>
    <w:rPr>
      <w:b/>
      <w:bCs/>
    </w:rPr>
  </w:style>
  <w:style w:type="paragraph" w:styleId="BalloonText">
    <w:name w:val="Balloon Text"/>
    <w:basedOn w:val="Normal"/>
    <w:link w:val="BalloonTextChar"/>
    <w:rsid w:val="00AB1BB4"/>
    <w:rPr>
      <w:rFonts w:ascii="Tahoma" w:hAnsi="Tahoma" w:cs="Tahoma"/>
      <w:sz w:val="16"/>
      <w:szCs w:val="16"/>
    </w:rPr>
  </w:style>
  <w:style w:type="character" w:customStyle="1" w:styleId="BalloonTextChar">
    <w:name w:val="Balloon Text Char"/>
    <w:basedOn w:val="DefaultParagraphFont"/>
    <w:link w:val="BalloonText"/>
    <w:rsid w:val="00AB1BB4"/>
    <w:rPr>
      <w:rFonts w:ascii="Tahoma" w:hAnsi="Tahoma" w:cs="Tahoma"/>
      <w:sz w:val="16"/>
      <w:szCs w:val="16"/>
    </w:rPr>
  </w:style>
  <w:style w:type="table" w:styleId="TableGrid">
    <w:name w:val="Table Grid"/>
    <w:basedOn w:val="TableNormal"/>
    <w:rsid w:val="002C1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4119537">
      <w:bodyDiv w:val="1"/>
      <w:marLeft w:val="0"/>
      <w:marRight w:val="0"/>
      <w:marTop w:val="0"/>
      <w:marBottom w:val="0"/>
      <w:divBdr>
        <w:top w:val="none" w:sz="0" w:space="0" w:color="auto"/>
        <w:left w:val="none" w:sz="0" w:space="0" w:color="auto"/>
        <w:bottom w:val="none" w:sz="0" w:space="0" w:color="auto"/>
        <w:right w:val="none" w:sz="0" w:space="0" w:color="auto"/>
      </w:divBdr>
    </w:div>
    <w:div w:id="237062768">
      <w:bodyDiv w:val="1"/>
      <w:marLeft w:val="0"/>
      <w:marRight w:val="0"/>
      <w:marTop w:val="0"/>
      <w:marBottom w:val="0"/>
      <w:divBdr>
        <w:top w:val="none" w:sz="0" w:space="0" w:color="auto"/>
        <w:left w:val="none" w:sz="0" w:space="0" w:color="auto"/>
        <w:bottom w:val="none" w:sz="0" w:space="0" w:color="auto"/>
        <w:right w:val="none" w:sz="0" w:space="0" w:color="auto"/>
      </w:divBdr>
    </w:div>
    <w:div w:id="382750233">
      <w:bodyDiv w:val="1"/>
      <w:marLeft w:val="0"/>
      <w:marRight w:val="0"/>
      <w:marTop w:val="0"/>
      <w:marBottom w:val="0"/>
      <w:divBdr>
        <w:top w:val="none" w:sz="0" w:space="0" w:color="auto"/>
        <w:left w:val="none" w:sz="0" w:space="0" w:color="auto"/>
        <w:bottom w:val="none" w:sz="0" w:space="0" w:color="auto"/>
        <w:right w:val="none" w:sz="0" w:space="0" w:color="auto"/>
      </w:divBdr>
    </w:div>
    <w:div w:id="882327037">
      <w:bodyDiv w:val="1"/>
      <w:marLeft w:val="0"/>
      <w:marRight w:val="0"/>
      <w:marTop w:val="0"/>
      <w:marBottom w:val="0"/>
      <w:divBdr>
        <w:top w:val="none" w:sz="0" w:space="0" w:color="auto"/>
        <w:left w:val="none" w:sz="0" w:space="0" w:color="auto"/>
        <w:bottom w:val="none" w:sz="0" w:space="0" w:color="auto"/>
        <w:right w:val="none" w:sz="0" w:space="0" w:color="auto"/>
      </w:divBdr>
    </w:div>
    <w:div w:id="890573785">
      <w:bodyDiv w:val="1"/>
      <w:marLeft w:val="0"/>
      <w:marRight w:val="0"/>
      <w:marTop w:val="0"/>
      <w:marBottom w:val="0"/>
      <w:divBdr>
        <w:top w:val="none" w:sz="0" w:space="0" w:color="auto"/>
        <w:left w:val="none" w:sz="0" w:space="0" w:color="auto"/>
        <w:bottom w:val="none" w:sz="0" w:space="0" w:color="auto"/>
        <w:right w:val="none" w:sz="0" w:space="0" w:color="auto"/>
      </w:divBdr>
    </w:div>
    <w:div w:id="908923104">
      <w:bodyDiv w:val="1"/>
      <w:marLeft w:val="0"/>
      <w:marRight w:val="0"/>
      <w:marTop w:val="0"/>
      <w:marBottom w:val="0"/>
      <w:divBdr>
        <w:top w:val="none" w:sz="0" w:space="0" w:color="auto"/>
        <w:left w:val="none" w:sz="0" w:space="0" w:color="auto"/>
        <w:bottom w:val="none" w:sz="0" w:space="0" w:color="auto"/>
        <w:right w:val="none" w:sz="0" w:space="0" w:color="auto"/>
      </w:divBdr>
    </w:div>
    <w:div w:id="944264650">
      <w:bodyDiv w:val="1"/>
      <w:marLeft w:val="0"/>
      <w:marRight w:val="0"/>
      <w:marTop w:val="0"/>
      <w:marBottom w:val="0"/>
      <w:divBdr>
        <w:top w:val="none" w:sz="0" w:space="0" w:color="auto"/>
        <w:left w:val="none" w:sz="0" w:space="0" w:color="auto"/>
        <w:bottom w:val="none" w:sz="0" w:space="0" w:color="auto"/>
        <w:right w:val="none" w:sz="0" w:space="0" w:color="auto"/>
      </w:divBdr>
    </w:div>
    <w:div w:id="1094864289">
      <w:bodyDiv w:val="1"/>
      <w:marLeft w:val="0"/>
      <w:marRight w:val="0"/>
      <w:marTop w:val="0"/>
      <w:marBottom w:val="0"/>
      <w:divBdr>
        <w:top w:val="none" w:sz="0" w:space="0" w:color="auto"/>
        <w:left w:val="none" w:sz="0" w:space="0" w:color="auto"/>
        <w:bottom w:val="none" w:sz="0" w:space="0" w:color="auto"/>
        <w:right w:val="none" w:sz="0" w:space="0" w:color="auto"/>
      </w:divBdr>
    </w:div>
    <w:div w:id="1197932911">
      <w:bodyDiv w:val="1"/>
      <w:marLeft w:val="0"/>
      <w:marRight w:val="0"/>
      <w:marTop w:val="0"/>
      <w:marBottom w:val="0"/>
      <w:divBdr>
        <w:top w:val="none" w:sz="0" w:space="0" w:color="auto"/>
        <w:left w:val="none" w:sz="0" w:space="0" w:color="auto"/>
        <w:bottom w:val="none" w:sz="0" w:space="0" w:color="auto"/>
        <w:right w:val="none" w:sz="0" w:space="0" w:color="auto"/>
      </w:divBdr>
    </w:div>
    <w:div w:id="1446272775">
      <w:bodyDiv w:val="1"/>
      <w:marLeft w:val="0"/>
      <w:marRight w:val="0"/>
      <w:marTop w:val="0"/>
      <w:marBottom w:val="0"/>
      <w:divBdr>
        <w:top w:val="none" w:sz="0" w:space="0" w:color="auto"/>
        <w:left w:val="none" w:sz="0" w:space="0" w:color="auto"/>
        <w:bottom w:val="none" w:sz="0" w:space="0" w:color="auto"/>
        <w:right w:val="none" w:sz="0" w:space="0" w:color="auto"/>
      </w:divBdr>
    </w:div>
    <w:div w:id="1497962361">
      <w:bodyDiv w:val="1"/>
      <w:marLeft w:val="0"/>
      <w:marRight w:val="0"/>
      <w:marTop w:val="0"/>
      <w:marBottom w:val="0"/>
      <w:divBdr>
        <w:top w:val="none" w:sz="0" w:space="0" w:color="auto"/>
        <w:left w:val="none" w:sz="0" w:space="0" w:color="auto"/>
        <w:bottom w:val="none" w:sz="0" w:space="0" w:color="auto"/>
        <w:right w:val="none" w:sz="0" w:space="0" w:color="auto"/>
      </w:divBdr>
    </w:div>
    <w:div w:id="1679237724">
      <w:bodyDiv w:val="1"/>
      <w:marLeft w:val="0"/>
      <w:marRight w:val="0"/>
      <w:marTop w:val="0"/>
      <w:marBottom w:val="0"/>
      <w:divBdr>
        <w:top w:val="none" w:sz="0" w:space="0" w:color="auto"/>
        <w:left w:val="none" w:sz="0" w:space="0" w:color="auto"/>
        <w:bottom w:val="none" w:sz="0" w:space="0" w:color="auto"/>
        <w:right w:val="none" w:sz="0" w:space="0" w:color="auto"/>
      </w:divBdr>
    </w:div>
    <w:div w:id="1725328482">
      <w:bodyDiv w:val="1"/>
      <w:marLeft w:val="0"/>
      <w:marRight w:val="0"/>
      <w:marTop w:val="0"/>
      <w:marBottom w:val="0"/>
      <w:divBdr>
        <w:top w:val="none" w:sz="0" w:space="0" w:color="auto"/>
        <w:left w:val="none" w:sz="0" w:space="0" w:color="auto"/>
        <w:bottom w:val="none" w:sz="0" w:space="0" w:color="auto"/>
        <w:right w:val="none" w:sz="0" w:space="0" w:color="auto"/>
      </w:divBdr>
    </w:div>
    <w:div w:id="1798910528">
      <w:bodyDiv w:val="1"/>
      <w:marLeft w:val="0"/>
      <w:marRight w:val="0"/>
      <w:marTop w:val="0"/>
      <w:marBottom w:val="0"/>
      <w:divBdr>
        <w:top w:val="none" w:sz="0" w:space="0" w:color="auto"/>
        <w:left w:val="none" w:sz="0" w:space="0" w:color="auto"/>
        <w:bottom w:val="none" w:sz="0" w:space="0" w:color="auto"/>
        <w:right w:val="none" w:sz="0" w:space="0" w:color="auto"/>
      </w:divBdr>
    </w:div>
    <w:div w:id="2033603395">
      <w:bodyDiv w:val="1"/>
      <w:marLeft w:val="0"/>
      <w:marRight w:val="0"/>
      <w:marTop w:val="0"/>
      <w:marBottom w:val="0"/>
      <w:divBdr>
        <w:top w:val="none" w:sz="0" w:space="0" w:color="auto"/>
        <w:left w:val="none" w:sz="0" w:space="0" w:color="auto"/>
        <w:bottom w:val="none" w:sz="0" w:space="0" w:color="auto"/>
        <w:right w:val="none" w:sz="0" w:space="0" w:color="auto"/>
      </w:divBdr>
    </w:div>
    <w:div w:id="2085059544">
      <w:bodyDiv w:val="1"/>
      <w:marLeft w:val="0"/>
      <w:marRight w:val="0"/>
      <w:marTop w:val="0"/>
      <w:marBottom w:val="0"/>
      <w:divBdr>
        <w:top w:val="none" w:sz="0" w:space="0" w:color="auto"/>
        <w:left w:val="none" w:sz="0" w:space="0" w:color="auto"/>
        <w:bottom w:val="none" w:sz="0" w:space="0" w:color="auto"/>
        <w:right w:val="none" w:sz="0" w:space="0" w:color="auto"/>
      </w:divBdr>
    </w:div>
    <w:div w:id="214284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oleta.gov/grants/financial_reporting.cf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1957</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12965</CharactersWithSpaces>
  <SharedDoc>false</SharedDoc>
  <HLinks>
    <vt:vector size="6" baseType="variant">
      <vt:variant>
        <vt:i4>4522106</vt:i4>
      </vt:variant>
      <vt:variant>
        <vt:i4>4</vt:i4>
      </vt:variant>
      <vt:variant>
        <vt:i4>0</vt:i4>
      </vt:variant>
      <vt:variant>
        <vt:i4>5</vt:i4>
      </vt:variant>
      <vt:variant>
        <vt:lpwstr>http://www.doleta.gov/grants/financial_reporting.cfm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Naradzay.Bonnie</cp:lastModifiedBy>
  <cp:revision>6</cp:revision>
  <cp:lastPrinted>2012-11-28T21:55:00Z</cp:lastPrinted>
  <dcterms:created xsi:type="dcterms:W3CDTF">2012-11-29T14:55:00Z</dcterms:created>
  <dcterms:modified xsi:type="dcterms:W3CDTF">2012-11-29T18:12:00Z</dcterms:modified>
</cp:coreProperties>
</file>