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FD11D3" w:rsidRDefault="00D11135" w:rsidP="00164E75">
      <w:pPr>
        <w:spacing w:after="0" w:line="240" w:lineRule="atLeast"/>
      </w:pPr>
      <w:r w:rsidRPr="00FD11D3">
        <w:t>Note to Reviewer</w:t>
      </w:r>
      <w:r w:rsidR="008664DB">
        <w:t xml:space="preserve"> of 1220-018</w:t>
      </w:r>
      <w:r w:rsidR="007B370A">
        <w:t>3</w:t>
      </w:r>
    </w:p>
    <w:p w:rsidR="00D11135" w:rsidRPr="00FD11D3" w:rsidRDefault="00D11135" w:rsidP="00164E75">
      <w:pPr>
        <w:spacing w:after="0" w:line="240" w:lineRule="atLeast"/>
      </w:pPr>
    </w:p>
    <w:p w:rsidR="00FC70A2" w:rsidRDefault="00FC70A2" w:rsidP="00164E75">
      <w:pPr>
        <w:spacing w:after="0" w:line="240" w:lineRule="atLeast"/>
      </w:pPr>
      <w:r>
        <w:t xml:space="preserve">As outlined in </w:t>
      </w:r>
      <w:r w:rsidR="00F917B2">
        <w:t xml:space="preserve">the </w:t>
      </w:r>
      <w:r>
        <w:t>original OMB clearance package</w:t>
      </w:r>
      <w:r w:rsidR="00F917B2">
        <w:t xml:space="preserve"> for the Green Goods and Services (GGS) survey</w:t>
      </w:r>
      <w:r>
        <w:t xml:space="preserve">, there were several factors identified in </w:t>
      </w:r>
      <w:r w:rsidR="00690E88">
        <w:t>the supporting statements</w:t>
      </w:r>
      <w:r>
        <w:t xml:space="preserve"> that may cause non-substantive changes to the data collection instrument and methods for the upcoming 2012 data collection effort.  </w:t>
      </w:r>
      <w:r w:rsidR="00797763">
        <w:t xml:space="preserve">Those factors include the results from a planned Response Analysis Survey (RAS), the implementation of technology to ease respondent burden, anticipated changes to our </w:t>
      </w:r>
      <w:r w:rsidR="00690E88">
        <w:t xml:space="preserve">industry scope due to </w:t>
      </w:r>
      <w:r w:rsidR="00797763">
        <w:t>the effects of the conversion to NAICS 2012</w:t>
      </w:r>
      <w:r w:rsidR="00C86052">
        <w:t xml:space="preserve">, and conducting a new RAS with the </w:t>
      </w:r>
      <w:r w:rsidR="00C37962">
        <w:t xml:space="preserve">remaining </w:t>
      </w:r>
      <w:r w:rsidR="00C86052">
        <w:t>burden hours from year one</w:t>
      </w:r>
      <w:r w:rsidR="00797763">
        <w:t>.</w:t>
      </w:r>
    </w:p>
    <w:p w:rsidR="00797763" w:rsidRDefault="00797763" w:rsidP="00164E75">
      <w:pPr>
        <w:spacing w:after="0" w:line="240" w:lineRule="atLeast"/>
      </w:pPr>
    </w:p>
    <w:p w:rsidR="00797763" w:rsidRDefault="00797763" w:rsidP="00164E75">
      <w:pPr>
        <w:spacing w:after="0" w:line="240" w:lineRule="atLeast"/>
      </w:pPr>
      <w:r>
        <w:t>We would like permission to make these non-substantive changes to our information collection effort for OMB 1220-0183:</w:t>
      </w:r>
    </w:p>
    <w:p w:rsidR="00FC70A2" w:rsidRDefault="00FC70A2" w:rsidP="00164E75">
      <w:pPr>
        <w:spacing w:after="0" w:line="240" w:lineRule="atLeast"/>
      </w:pPr>
    </w:p>
    <w:p w:rsidR="00FC70A2" w:rsidRDefault="00FC70A2" w:rsidP="00797763">
      <w:pPr>
        <w:spacing w:after="0" w:line="240" w:lineRule="atLeast"/>
        <w:ind w:left="720"/>
      </w:pPr>
      <w:r>
        <w:t xml:space="preserve">1.  </w:t>
      </w:r>
      <w:r w:rsidR="00F917B2">
        <w:t xml:space="preserve">Revise the instructions on </w:t>
      </w:r>
      <w:r>
        <w:t>the data collection form</w:t>
      </w:r>
      <w:r w:rsidR="00690E88">
        <w:t>s</w:t>
      </w:r>
      <w:r>
        <w:t xml:space="preserve"> </w:t>
      </w:r>
      <w:r w:rsidR="00F917B2">
        <w:t xml:space="preserve">to provide </w:t>
      </w:r>
      <w:r>
        <w:t xml:space="preserve">the respondent </w:t>
      </w:r>
      <w:r w:rsidR="00F917B2">
        <w:t xml:space="preserve">with </w:t>
      </w:r>
      <w:r>
        <w:t>a clearer understanding of the information we are requesting.  BLS conduc</w:t>
      </w:r>
      <w:r w:rsidR="00797763">
        <w:t xml:space="preserve">ted a </w:t>
      </w:r>
      <w:r>
        <w:t>RAS</w:t>
      </w:r>
      <w:r w:rsidR="00797763">
        <w:t xml:space="preserve"> </w:t>
      </w:r>
      <w:r>
        <w:t>and determined that the cover letter to the data collection form</w:t>
      </w:r>
      <w:r w:rsidR="00690E88">
        <w:t>s need</w:t>
      </w:r>
      <w:r>
        <w:t xml:space="preserve"> to be reformatted; the instructions to question 4 need</w:t>
      </w:r>
      <w:r w:rsidR="00690E88">
        <w:t>s</w:t>
      </w:r>
      <w:r>
        <w:t xml:space="preserve"> to be improved; and </w:t>
      </w:r>
      <w:r w:rsidR="00797763">
        <w:t xml:space="preserve">the examples listed in question 4 for </w:t>
      </w:r>
      <w:r w:rsidR="00690E88">
        <w:t>form type H need</w:t>
      </w:r>
      <w:r>
        <w:t xml:space="preserve"> to be more specific.</w:t>
      </w:r>
      <w:r w:rsidR="00797763">
        <w:t xml:space="preserve">  We are not </w:t>
      </w:r>
      <w:r w:rsidR="000F4043">
        <w:t xml:space="preserve">collecting additional information from </w:t>
      </w:r>
      <w:r w:rsidR="00690E88">
        <w:t xml:space="preserve">the </w:t>
      </w:r>
      <w:r w:rsidR="000F4043">
        <w:t>respondent, only improving the wording of the instructions</w:t>
      </w:r>
      <w:r w:rsidR="00690E88">
        <w:t xml:space="preserve"> and examples</w:t>
      </w:r>
      <w:r w:rsidR="000F4043">
        <w:t>.</w:t>
      </w:r>
    </w:p>
    <w:p w:rsidR="00FC70A2" w:rsidRDefault="00FC70A2" w:rsidP="00797763">
      <w:pPr>
        <w:spacing w:after="0" w:line="240" w:lineRule="atLeast"/>
        <w:ind w:left="720"/>
      </w:pPr>
    </w:p>
    <w:p w:rsidR="00FC70A2" w:rsidRDefault="00FC70A2" w:rsidP="00797763">
      <w:pPr>
        <w:spacing w:after="0" w:line="240" w:lineRule="atLeast"/>
        <w:ind w:left="720"/>
      </w:pPr>
      <w:r>
        <w:t>2.  Introduce a web-based data collection instrument that essentially copies the paper form</w:t>
      </w:r>
      <w:r w:rsidR="00F917B2">
        <w:t xml:space="preserve"> and provide a format for email responses</w:t>
      </w:r>
      <w:r>
        <w:t>.</w:t>
      </w:r>
      <w:r w:rsidR="00797763">
        <w:t xml:space="preserve">  </w:t>
      </w:r>
      <w:r w:rsidR="00F917B2">
        <w:t>D</w:t>
      </w:r>
      <w:r w:rsidR="00690E88">
        <w:t xml:space="preserve">uring this past collection cycle, </w:t>
      </w:r>
      <w:r w:rsidR="00797763">
        <w:t>several large employers requested we utilize email for data collection to ease their reporting burden</w:t>
      </w:r>
      <w:r w:rsidR="00690E88">
        <w:t>.  W</w:t>
      </w:r>
      <w:r w:rsidR="00797763">
        <w:t xml:space="preserve">e anticipate </w:t>
      </w:r>
      <w:r w:rsidR="00F917B2">
        <w:t xml:space="preserve">requests for using </w:t>
      </w:r>
      <w:r w:rsidR="00797763">
        <w:t>email again this year for larger employers.</w:t>
      </w:r>
      <w:r w:rsidR="000F4043" w:rsidRPr="000F4043">
        <w:t xml:space="preserve"> </w:t>
      </w:r>
      <w:r w:rsidR="000F4043">
        <w:t xml:space="preserve"> We are not collecting additional information from respondent</w:t>
      </w:r>
      <w:r w:rsidR="00F917B2">
        <w:t>s</w:t>
      </w:r>
      <w:r w:rsidR="000F4043">
        <w:t xml:space="preserve"> by introducing these new technological improvements.</w:t>
      </w:r>
    </w:p>
    <w:p w:rsidR="00FC70A2" w:rsidRDefault="00FC70A2" w:rsidP="00797763">
      <w:pPr>
        <w:spacing w:after="0" w:line="240" w:lineRule="atLeast"/>
        <w:ind w:left="720"/>
      </w:pPr>
    </w:p>
    <w:p w:rsidR="00FC70A2" w:rsidRDefault="00FC70A2" w:rsidP="00797763">
      <w:pPr>
        <w:spacing w:after="0" w:line="240" w:lineRule="atLeast"/>
        <w:ind w:left="720"/>
      </w:pPr>
      <w:r>
        <w:t xml:space="preserve">3. </w:t>
      </w:r>
      <w:r w:rsidR="00F209AA">
        <w:t>Increase t</w:t>
      </w:r>
      <w:r>
        <w:t xml:space="preserve">he sample size </w:t>
      </w:r>
      <w:r w:rsidR="00F917B2">
        <w:t xml:space="preserve">slightly </w:t>
      </w:r>
      <w:r>
        <w:t>from approximat</w:t>
      </w:r>
      <w:r w:rsidR="00690E88">
        <w:t>ely 120,000 to approximately 122</w:t>
      </w:r>
      <w:r>
        <w:t>,</w:t>
      </w:r>
      <w:r w:rsidR="00690E88">
        <w:t>5</w:t>
      </w:r>
      <w:r>
        <w:t>00 to accommodate for the industrial classification changes necessitated by the NAICS 2012 conversion’s impact on the GGS sampling frame and estimating process</w:t>
      </w:r>
      <w:r w:rsidR="00797763">
        <w:t>es</w:t>
      </w:r>
      <w:r>
        <w:t>.</w:t>
      </w:r>
    </w:p>
    <w:p w:rsidR="00C86052" w:rsidRDefault="00C86052" w:rsidP="00797763">
      <w:pPr>
        <w:spacing w:after="0" w:line="240" w:lineRule="atLeast"/>
        <w:ind w:left="720"/>
      </w:pPr>
    </w:p>
    <w:p w:rsidR="00230B7C" w:rsidRDefault="00C86052" w:rsidP="00797763">
      <w:pPr>
        <w:spacing w:after="0" w:line="240" w:lineRule="atLeast"/>
        <w:ind w:left="720"/>
      </w:pPr>
      <w:r>
        <w:t xml:space="preserve">4.  </w:t>
      </w:r>
      <w:r w:rsidR="00F209AA">
        <w:t>C</w:t>
      </w:r>
      <w:r>
        <w:t xml:space="preserve">onduct a </w:t>
      </w:r>
      <w:r w:rsidR="00014EAC">
        <w:t>Response Analysi</w:t>
      </w:r>
      <w:r w:rsidR="00F209AA">
        <w:t>s Survey (</w:t>
      </w:r>
      <w:r>
        <w:t>RAS</w:t>
      </w:r>
      <w:r w:rsidR="00F209AA">
        <w:t>)</w:t>
      </w:r>
      <w:r>
        <w:t xml:space="preserve"> to gauge the respondents</w:t>
      </w:r>
      <w:r w:rsidR="00B121A2">
        <w:t>’</w:t>
      </w:r>
      <w:r>
        <w:t xml:space="preserve"> understanding of </w:t>
      </w:r>
      <w:r w:rsidR="002851A6">
        <w:t xml:space="preserve">the </w:t>
      </w:r>
      <w:r>
        <w:t xml:space="preserve"> percent of GGS revenue or employment questions on </w:t>
      </w:r>
      <w:r w:rsidR="00B121A2">
        <w:t>the</w:t>
      </w:r>
      <w:r>
        <w:t xml:space="preserve"> survey forms</w:t>
      </w:r>
      <w:r w:rsidR="00C37962">
        <w:t xml:space="preserve"> using the remaining burden hours from the initial RAS </w:t>
      </w:r>
      <w:r w:rsidR="00B121A2">
        <w:t xml:space="preserve">conducted </w:t>
      </w:r>
      <w:r w:rsidR="00C37962">
        <w:t>at the end of year one collection (approximately 1,500 hours remain from the original 3,000 approved)</w:t>
      </w:r>
      <w:r>
        <w:t>.</w:t>
      </w:r>
      <w:r w:rsidR="00F209AA">
        <w:t xml:space="preserve"> </w:t>
      </w:r>
    </w:p>
    <w:p w:rsidR="00AC3906" w:rsidRPr="00AC3906" w:rsidRDefault="00AC3906" w:rsidP="00797763">
      <w:pPr>
        <w:spacing w:after="0" w:line="240" w:lineRule="atLeast"/>
        <w:ind w:left="720"/>
        <w:rPr>
          <w:color w:val="000000" w:themeColor="text1"/>
        </w:rPr>
      </w:pPr>
    </w:p>
    <w:p w:rsidR="00000000" w:rsidRDefault="006C08DC">
      <w:pPr>
        <w:spacing w:after="0" w:line="240" w:lineRule="atLeast"/>
        <w:ind w:left="720"/>
      </w:pPr>
      <w:r w:rsidRPr="006C08DC">
        <w:t xml:space="preserve">The RAS conducted </w:t>
      </w:r>
      <w:r w:rsidR="00BC3A80">
        <w:t xml:space="preserve">in 2011 </w:t>
      </w:r>
      <w:r w:rsidRPr="006C08DC">
        <w:t xml:space="preserve">concentrated on the advanced notification letters and cover letters to determine if respondents understood the instructions regarding responses from both green and non-green establishments.  Other questions about the general understanding of the form </w:t>
      </w:r>
      <w:r w:rsidR="00BC3A80">
        <w:t xml:space="preserve">also </w:t>
      </w:r>
      <w:r w:rsidRPr="006C08DC">
        <w:t>were asked. As a result of this RAS, we changed the format of the cover letter and made slight modifications to the instructions for question 4 of all surveys.</w:t>
      </w:r>
    </w:p>
    <w:p w:rsidR="00000000" w:rsidRDefault="00F136F1">
      <w:pPr>
        <w:spacing w:after="0" w:line="240" w:lineRule="atLeast"/>
        <w:ind w:left="720"/>
      </w:pPr>
    </w:p>
    <w:p w:rsidR="00000000" w:rsidRDefault="006C08DC">
      <w:pPr>
        <w:spacing w:after="0" w:line="240" w:lineRule="atLeast"/>
        <w:ind w:left="720"/>
      </w:pPr>
      <w:r w:rsidRPr="006C08DC">
        <w:t>For the RAS we would like to conduct for this survey cycle, the RAS sample will be stratified by form type (14 form types), by size (small/medium/large), and by response method (mail or internet/edit call/ non-response call).  We will select 50 respondents from each category combination, resulting in a RAS sample size of 6,300 units (14x3x3x50 = 6,300).</w:t>
      </w:r>
    </w:p>
    <w:p w:rsidR="00000000" w:rsidRDefault="00F136F1">
      <w:pPr>
        <w:spacing w:after="0" w:line="240" w:lineRule="atLeast"/>
        <w:ind w:left="720"/>
      </w:pPr>
    </w:p>
    <w:p w:rsidR="00000000" w:rsidRDefault="006C08DC">
      <w:pPr>
        <w:spacing w:after="0" w:line="240" w:lineRule="atLeast"/>
        <w:ind w:left="720"/>
      </w:pPr>
      <w:r w:rsidRPr="006C08DC">
        <w:t>Establishments selected to participate in the RAS are chosen randomly from completed surveys providing answers indicating the establishment is Green.   Non-green units are not selected because they do not have revenue associated with green products or services</w:t>
      </w:r>
      <w:r w:rsidR="00BC3A80">
        <w:t>.</w:t>
      </w:r>
    </w:p>
    <w:p w:rsidR="00000000" w:rsidRDefault="00F136F1">
      <w:pPr>
        <w:spacing w:after="0" w:line="240" w:lineRule="atLeast"/>
        <w:ind w:left="720"/>
      </w:pPr>
    </w:p>
    <w:p w:rsidR="00000000" w:rsidRDefault="006C08DC">
      <w:pPr>
        <w:spacing w:after="0" w:line="240" w:lineRule="atLeast"/>
        <w:ind w:left="720"/>
      </w:pPr>
      <w:r w:rsidRPr="006C08DC">
        <w:t>We estimate the time to complete the RAS is approximately 5 minutes.  Total possible burden is 6,300 units x 5min=31,500 minutes, or 525 burden hours.</w:t>
      </w:r>
    </w:p>
    <w:p w:rsidR="00000000" w:rsidRDefault="00F136F1">
      <w:pPr>
        <w:spacing w:after="0" w:line="240" w:lineRule="atLeast"/>
        <w:ind w:left="720"/>
      </w:pPr>
    </w:p>
    <w:p w:rsidR="00000000" w:rsidRDefault="006C08DC">
      <w:pPr>
        <w:spacing w:after="0" w:line="240" w:lineRule="atLeast"/>
        <w:ind w:left="720"/>
      </w:pPr>
      <w:r w:rsidRPr="006C08DC">
        <w:t>For those units in the edit call or non-response call categories, the contractor will conduct the RAS as part of the edit reconciliation and NRP process.  No separate calls for this group will be made for RAS purposes – this reduces the burden on the respondent, allows us to collect the RAS information as the interview happens, and it is cost effective for the contractor and government.</w:t>
      </w:r>
    </w:p>
    <w:sectPr w:rsidR="00000000" w:rsidSect="0086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1690"/>
    <w:multiLevelType w:val="hybridMultilevel"/>
    <w:tmpl w:val="9712F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B6776"/>
    <w:multiLevelType w:val="hybridMultilevel"/>
    <w:tmpl w:val="FF143988"/>
    <w:lvl w:ilvl="0" w:tplc="D6C03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E4296"/>
    <w:multiLevelType w:val="hybridMultilevel"/>
    <w:tmpl w:val="3574FB8A"/>
    <w:lvl w:ilvl="0" w:tplc="9DEE4C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135"/>
    <w:rsid w:val="00014EAC"/>
    <w:rsid w:val="000B3042"/>
    <w:rsid w:val="000F4043"/>
    <w:rsid w:val="00100F06"/>
    <w:rsid w:val="00112503"/>
    <w:rsid w:val="00164E75"/>
    <w:rsid w:val="001D5C5C"/>
    <w:rsid w:val="0021571F"/>
    <w:rsid w:val="00230B7C"/>
    <w:rsid w:val="00231266"/>
    <w:rsid w:val="002851A6"/>
    <w:rsid w:val="002B330C"/>
    <w:rsid w:val="00440F4F"/>
    <w:rsid w:val="005C3487"/>
    <w:rsid w:val="00626D59"/>
    <w:rsid w:val="0062768C"/>
    <w:rsid w:val="00663DF6"/>
    <w:rsid w:val="00690E88"/>
    <w:rsid w:val="006B61AC"/>
    <w:rsid w:val="006C08DC"/>
    <w:rsid w:val="006D5AC3"/>
    <w:rsid w:val="00707BDF"/>
    <w:rsid w:val="00715083"/>
    <w:rsid w:val="00766876"/>
    <w:rsid w:val="00797763"/>
    <w:rsid w:val="007B370A"/>
    <w:rsid w:val="00850C1F"/>
    <w:rsid w:val="00857A5F"/>
    <w:rsid w:val="008664DB"/>
    <w:rsid w:val="0088365B"/>
    <w:rsid w:val="00927C57"/>
    <w:rsid w:val="0099271E"/>
    <w:rsid w:val="00A27A8D"/>
    <w:rsid w:val="00A65D2C"/>
    <w:rsid w:val="00A82DDB"/>
    <w:rsid w:val="00A87893"/>
    <w:rsid w:val="00A93A71"/>
    <w:rsid w:val="00AC075A"/>
    <w:rsid w:val="00AC3906"/>
    <w:rsid w:val="00B121A2"/>
    <w:rsid w:val="00B77EA2"/>
    <w:rsid w:val="00BC3A80"/>
    <w:rsid w:val="00C33EB3"/>
    <w:rsid w:val="00C37962"/>
    <w:rsid w:val="00C60BE0"/>
    <w:rsid w:val="00C86052"/>
    <w:rsid w:val="00C96073"/>
    <w:rsid w:val="00D11135"/>
    <w:rsid w:val="00DC723E"/>
    <w:rsid w:val="00DF4B08"/>
    <w:rsid w:val="00EA4665"/>
    <w:rsid w:val="00F136F1"/>
    <w:rsid w:val="00F209AA"/>
    <w:rsid w:val="00F917B2"/>
    <w:rsid w:val="00FA21D8"/>
    <w:rsid w:val="00FC70A2"/>
    <w:rsid w:val="00FD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89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4BF3-6233-4D78-AA53-EFCDDD8E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rowan_c</dc:creator>
  <cp:keywords/>
  <dc:description/>
  <cp:lastModifiedBy>rowan_c</cp:lastModifiedBy>
  <cp:revision>3</cp:revision>
  <dcterms:created xsi:type="dcterms:W3CDTF">2012-08-01T19:46:00Z</dcterms:created>
  <dcterms:modified xsi:type="dcterms:W3CDTF">2012-08-01T20:03:00Z</dcterms:modified>
</cp:coreProperties>
</file>