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06A" w:rsidRDefault="0070006A" w:rsidP="0070006A">
      <w:pPr>
        <w:spacing w:after="0" w:line="240" w:lineRule="auto"/>
        <w:jc w:val="center"/>
        <w:rPr>
          <w:rFonts w:eastAsia="Times New Roman"/>
        </w:rPr>
      </w:pPr>
      <w:r>
        <w:rPr>
          <w:rFonts w:eastAsia="Times New Roman"/>
        </w:rPr>
        <w:t>Justification for Change</w:t>
      </w:r>
    </w:p>
    <w:p w:rsidR="0070006A" w:rsidRDefault="0070006A" w:rsidP="0070006A">
      <w:pPr>
        <w:spacing w:after="0" w:line="240" w:lineRule="auto"/>
        <w:jc w:val="center"/>
        <w:rPr>
          <w:rFonts w:eastAsia="Times New Roman"/>
        </w:rPr>
      </w:pPr>
      <w:bookmarkStart w:id="0" w:name="_GoBack"/>
      <w:bookmarkEnd w:id="0"/>
      <w:r>
        <w:rPr>
          <w:rFonts w:eastAsia="Times New Roman"/>
        </w:rPr>
        <w:t>OMB #1505-0242</w:t>
      </w:r>
    </w:p>
    <w:p w:rsidR="0070006A" w:rsidRDefault="0070006A" w:rsidP="009B6D2A">
      <w:pPr>
        <w:spacing w:after="0" w:line="240" w:lineRule="auto"/>
        <w:rPr>
          <w:rFonts w:eastAsia="Times New Roman"/>
        </w:rPr>
      </w:pPr>
    </w:p>
    <w:p w:rsidR="009B6D2A" w:rsidRDefault="00594BDD" w:rsidP="009B6D2A">
      <w:pPr>
        <w:spacing w:after="0" w:line="240" w:lineRule="auto"/>
        <w:rPr>
          <w:rFonts w:eastAsia="Times New Roman"/>
        </w:rPr>
      </w:pPr>
      <w:r>
        <w:rPr>
          <w:rFonts w:eastAsia="Times New Roman"/>
        </w:rPr>
        <w:t>The following materials for the AFCO adult pilot were updated:</w:t>
      </w:r>
    </w:p>
    <w:p w:rsidR="009B6D2A" w:rsidRDefault="009B6D2A" w:rsidP="009B6D2A">
      <w:pPr>
        <w:spacing w:after="0" w:line="240" w:lineRule="auto"/>
        <w:rPr>
          <w:rFonts w:eastAsia="Times New Roman"/>
        </w:rPr>
      </w:pPr>
    </w:p>
    <w:p w:rsidR="006202B6" w:rsidRPr="006F1621" w:rsidRDefault="009B6D2A" w:rsidP="006202B6">
      <w:pPr>
        <w:pStyle w:val="ListParagraph"/>
        <w:numPr>
          <w:ilvl w:val="0"/>
          <w:numId w:val="1"/>
        </w:numPr>
        <w:spacing w:after="0" w:line="240" w:lineRule="auto"/>
        <w:rPr>
          <w:rFonts w:eastAsia="Times New Roman"/>
          <w:b/>
        </w:rPr>
      </w:pPr>
      <w:r w:rsidRPr="006F1621">
        <w:rPr>
          <w:rFonts w:eastAsia="Times New Roman"/>
          <w:b/>
        </w:rPr>
        <w:t xml:space="preserve">Cover letters for follow-up survey </w:t>
      </w:r>
    </w:p>
    <w:p w:rsidR="006F1621" w:rsidRPr="006F1621" w:rsidRDefault="006F1621" w:rsidP="006F1621">
      <w:pPr>
        <w:pStyle w:val="ListParagraph"/>
        <w:spacing w:after="0" w:line="240" w:lineRule="auto"/>
        <w:ind w:left="360"/>
        <w:rPr>
          <w:rFonts w:eastAsia="Times New Roman"/>
        </w:rPr>
      </w:pPr>
    </w:p>
    <w:p w:rsidR="006202B6" w:rsidRDefault="006202B6" w:rsidP="006202B6">
      <w:pPr>
        <w:spacing w:after="0" w:line="240" w:lineRule="auto"/>
        <w:ind w:left="360"/>
        <w:rPr>
          <w:rFonts w:eastAsia="Times New Roman"/>
        </w:rPr>
      </w:pPr>
      <w:r>
        <w:rPr>
          <w:rFonts w:eastAsia="Times New Roman"/>
        </w:rPr>
        <w:t>The</w:t>
      </w:r>
      <w:r w:rsidR="009B6D2A" w:rsidRPr="006202B6">
        <w:rPr>
          <w:rFonts w:eastAsia="Times New Roman"/>
        </w:rPr>
        <w:t xml:space="preserve"> contact information for the Survey Center manager assigned to the project</w:t>
      </w:r>
      <w:r>
        <w:rPr>
          <w:rFonts w:eastAsia="Times New Roman"/>
        </w:rPr>
        <w:t xml:space="preserve"> was updated, and the letters were adjusted to reflect survey administration 6 months from baseline instead of the 5 months initially planned.</w:t>
      </w:r>
    </w:p>
    <w:p w:rsidR="009B6D2A" w:rsidRPr="006202B6" w:rsidRDefault="009B6D2A" w:rsidP="006202B6">
      <w:pPr>
        <w:spacing w:after="0" w:line="240" w:lineRule="auto"/>
        <w:ind w:left="360"/>
        <w:rPr>
          <w:rFonts w:eastAsia="Times New Roman"/>
        </w:rPr>
      </w:pPr>
    </w:p>
    <w:p w:rsidR="009B6D2A" w:rsidRPr="006F1621" w:rsidRDefault="009B6D2A" w:rsidP="009B6D2A">
      <w:pPr>
        <w:pStyle w:val="ListParagraph"/>
        <w:numPr>
          <w:ilvl w:val="0"/>
          <w:numId w:val="1"/>
        </w:numPr>
        <w:spacing w:after="0" w:line="240" w:lineRule="auto"/>
        <w:rPr>
          <w:rFonts w:eastAsia="Times New Roman"/>
          <w:b/>
        </w:rPr>
      </w:pPr>
      <w:r w:rsidRPr="006F1621">
        <w:rPr>
          <w:rFonts w:eastAsia="Times New Roman"/>
          <w:b/>
        </w:rPr>
        <w:t xml:space="preserve">Reminder postcard for the follow-up survey </w:t>
      </w:r>
    </w:p>
    <w:p w:rsidR="006202B6" w:rsidRDefault="006202B6" w:rsidP="006202B6">
      <w:pPr>
        <w:spacing w:after="0" w:line="240" w:lineRule="auto"/>
        <w:rPr>
          <w:rFonts w:eastAsia="Times New Roman"/>
        </w:rPr>
      </w:pPr>
    </w:p>
    <w:p w:rsidR="006202B6" w:rsidRDefault="006202B6" w:rsidP="006202B6">
      <w:pPr>
        <w:spacing w:after="0" w:line="240" w:lineRule="auto"/>
        <w:ind w:firstLine="360"/>
        <w:rPr>
          <w:rFonts w:eastAsia="Times New Roman"/>
        </w:rPr>
      </w:pPr>
      <w:r>
        <w:rPr>
          <w:rFonts w:eastAsia="Times New Roman"/>
        </w:rPr>
        <w:t>The</w:t>
      </w:r>
      <w:r w:rsidRPr="006202B6">
        <w:rPr>
          <w:rFonts w:eastAsia="Times New Roman"/>
        </w:rPr>
        <w:t xml:space="preserve"> contact information for the Survey Center manager assigned to the project</w:t>
      </w:r>
      <w:r>
        <w:rPr>
          <w:rFonts w:eastAsia="Times New Roman"/>
        </w:rPr>
        <w:t xml:space="preserve"> was updated. </w:t>
      </w:r>
    </w:p>
    <w:p w:rsidR="009B6D2A" w:rsidRPr="006202B6" w:rsidRDefault="009B6D2A" w:rsidP="006202B6">
      <w:pPr>
        <w:spacing w:after="0" w:line="240" w:lineRule="auto"/>
        <w:rPr>
          <w:rFonts w:eastAsia="Times New Roman"/>
        </w:rPr>
      </w:pPr>
    </w:p>
    <w:p w:rsidR="009B6D2A" w:rsidRPr="006F1621" w:rsidRDefault="009B6D2A" w:rsidP="009B6D2A">
      <w:pPr>
        <w:pStyle w:val="ListParagraph"/>
        <w:numPr>
          <w:ilvl w:val="0"/>
          <w:numId w:val="1"/>
        </w:numPr>
        <w:spacing w:after="0" w:line="240" w:lineRule="auto"/>
        <w:rPr>
          <w:rFonts w:eastAsia="Times New Roman"/>
          <w:b/>
        </w:rPr>
      </w:pPr>
      <w:r w:rsidRPr="006F1621">
        <w:rPr>
          <w:rFonts w:eastAsia="Times New Roman"/>
          <w:b/>
        </w:rPr>
        <w:t xml:space="preserve">Follow-up survey </w:t>
      </w:r>
      <w:r w:rsidR="006F1621" w:rsidRPr="006F1621">
        <w:rPr>
          <w:rFonts w:eastAsia="Times New Roman"/>
          <w:b/>
        </w:rPr>
        <w:t>instrument</w:t>
      </w:r>
    </w:p>
    <w:p w:rsidR="006202B6" w:rsidRDefault="006202B6" w:rsidP="006202B6">
      <w:pPr>
        <w:spacing w:after="0" w:line="240" w:lineRule="auto"/>
        <w:rPr>
          <w:rFonts w:eastAsia="Times New Roman"/>
        </w:rPr>
      </w:pPr>
    </w:p>
    <w:p w:rsidR="001640F4" w:rsidRDefault="001640F4" w:rsidP="006202B6">
      <w:pPr>
        <w:spacing w:after="0" w:line="240" w:lineRule="auto"/>
        <w:ind w:left="360"/>
        <w:rPr>
          <w:rFonts w:eastAsia="Times New Roman"/>
        </w:rPr>
      </w:pPr>
      <w:r>
        <w:rPr>
          <w:rFonts w:eastAsia="Times New Roman"/>
        </w:rPr>
        <w:t>The follow-up survey collects data on respondents’ finan</w:t>
      </w:r>
      <w:r w:rsidR="000F1683">
        <w:rPr>
          <w:rFonts w:eastAsia="Times New Roman"/>
        </w:rPr>
        <w:t xml:space="preserve">cial behavior and outcomes that are not captured in the employment, banking, and </w:t>
      </w:r>
      <w:r w:rsidR="00594BDD">
        <w:rPr>
          <w:rFonts w:eastAsia="Times New Roman"/>
        </w:rPr>
        <w:t>credit</w:t>
      </w:r>
      <w:r w:rsidR="000F1683">
        <w:rPr>
          <w:rFonts w:eastAsia="Times New Roman"/>
        </w:rPr>
        <w:t xml:space="preserve"> report data collected for the study. Specifically, the survey is used to measure the impacts of financial counseling on respondents’ use of financial services, money management behavior, financial health, financial attitudes, and financial knowledge. </w:t>
      </w:r>
    </w:p>
    <w:p w:rsidR="001640F4" w:rsidRDefault="001640F4" w:rsidP="006202B6">
      <w:pPr>
        <w:spacing w:after="0" w:line="240" w:lineRule="auto"/>
        <w:ind w:left="360"/>
        <w:rPr>
          <w:rFonts w:eastAsia="Times New Roman"/>
        </w:rPr>
      </w:pPr>
    </w:p>
    <w:p w:rsidR="008519DC" w:rsidRDefault="006202B6" w:rsidP="006202B6">
      <w:pPr>
        <w:spacing w:after="0" w:line="240" w:lineRule="auto"/>
        <w:ind w:left="360"/>
        <w:rPr>
          <w:rFonts w:eastAsia="Times New Roman"/>
        </w:rPr>
      </w:pPr>
      <w:r>
        <w:rPr>
          <w:rFonts w:eastAsia="Times New Roman"/>
        </w:rPr>
        <w:t xml:space="preserve">This version reflects the final formatting by the UW Survey Center. </w:t>
      </w:r>
      <w:r w:rsidR="006C1E12">
        <w:rPr>
          <w:rFonts w:eastAsia="Times New Roman"/>
        </w:rPr>
        <w:t xml:space="preserve">The Center’s evaluation experts made recommendations about how to adjust question wording to maximize the validity and reliability of responses, and reduce likelihood of non-response. </w:t>
      </w:r>
    </w:p>
    <w:p w:rsidR="008519DC" w:rsidRDefault="008519DC" w:rsidP="006202B6">
      <w:pPr>
        <w:spacing w:after="0" w:line="240" w:lineRule="auto"/>
        <w:ind w:left="360"/>
        <w:rPr>
          <w:rFonts w:eastAsia="Times New Roman"/>
        </w:rPr>
      </w:pPr>
    </w:p>
    <w:p w:rsidR="009B6D2A" w:rsidRDefault="004E48F2" w:rsidP="006202B6">
      <w:pPr>
        <w:spacing w:after="0" w:line="240" w:lineRule="auto"/>
        <w:ind w:left="360"/>
        <w:rPr>
          <w:rFonts w:eastAsia="Times New Roman"/>
        </w:rPr>
      </w:pPr>
      <w:r>
        <w:rPr>
          <w:rFonts w:eastAsia="Times New Roman"/>
        </w:rPr>
        <w:t xml:space="preserve">A significant number of research participants elected to accept the direct deposit offer under evaluation using prepaid cards rather than bank accounts. </w:t>
      </w:r>
      <w:r w:rsidR="00D7643C">
        <w:rPr>
          <w:rFonts w:eastAsia="Times New Roman"/>
        </w:rPr>
        <w:t xml:space="preserve">Some </w:t>
      </w:r>
      <w:r>
        <w:rPr>
          <w:rFonts w:eastAsia="Times New Roman"/>
        </w:rPr>
        <w:t xml:space="preserve">survey </w:t>
      </w:r>
      <w:r w:rsidR="00D7643C">
        <w:rPr>
          <w:rFonts w:eastAsia="Times New Roman"/>
        </w:rPr>
        <w:t xml:space="preserve">questions were adjusted to </w:t>
      </w:r>
      <w:r>
        <w:rPr>
          <w:rFonts w:eastAsia="Times New Roman"/>
        </w:rPr>
        <w:t xml:space="preserve">capture information about participants’ use of prepaid </w:t>
      </w:r>
      <w:r w:rsidR="00E154F7">
        <w:rPr>
          <w:rFonts w:eastAsia="Times New Roman"/>
        </w:rPr>
        <w:t>and payment</w:t>
      </w:r>
      <w:r w:rsidR="00E21DC8">
        <w:rPr>
          <w:rFonts w:eastAsia="Times New Roman"/>
        </w:rPr>
        <w:t xml:space="preserve"> </w:t>
      </w:r>
      <w:r>
        <w:rPr>
          <w:rFonts w:eastAsia="Times New Roman"/>
        </w:rPr>
        <w:t>cards in addition to bank accounts</w:t>
      </w:r>
      <w:r w:rsidR="00E21DC8">
        <w:rPr>
          <w:rFonts w:eastAsia="Times New Roman"/>
        </w:rPr>
        <w:t xml:space="preserve"> so that we can better understand how the treatment under study (</w:t>
      </w:r>
      <w:r w:rsidR="000F1683">
        <w:rPr>
          <w:rFonts w:eastAsia="Times New Roman"/>
        </w:rPr>
        <w:t>financial counseling</w:t>
      </w:r>
      <w:r w:rsidR="00E21DC8">
        <w:rPr>
          <w:rFonts w:eastAsia="Times New Roman"/>
        </w:rPr>
        <w:t>) affects the use of financial services</w:t>
      </w:r>
      <w:r w:rsidR="00E154F7">
        <w:rPr>
          <w:rFonts w:eastAsia="Times New Roman"/>
        </w:rPr>
        <w:t xml:space="preserve"> related to direct deposit</w:t>
      </w:r>
      <w:r w:rsidR="00E21DC8">
        <w:rPr>
          <w:rFonts w:eastAsia="Times New Roman"/>
        </w:rPr>
        <w:t xml:space="preserve">. </w:t>
      </w:r>
    </w:p>
    <w:p w:rsidR="001640F4" w:rsidRDefault="001640F4" w:rsidP="006202B6">
      <w:pPr>
        <w:spacing w:after="0" w:line="240" w:lineRule="auto"/>
        <w:ind w:left="360"/>
        <w:rPr>
          <w:rFonts w:eastAsia="Times New Roman"/>
        </w:rPr>
      </w:pPr>
    </w:p>
    <w:p w:rsidR="00914C02" w:rsidRDefault="004E48F2" w:rsidP="00914C02">
      <w:pPr>
        <w:spacing w:after="0" w:line="240" w:lineRule="auto"/>
        <w:ind w:left="360"/>
        <w:rPr>
          <w:rFonts w:eastAsia="Times New Roman"/>
        </w:rPr>
      </w:pPr>
      <w:r>
        <w:rPr>
          <w:rFonts w:eastAsia="Times New Roman"/>
        </w:rPr>
        <w:t xml:space="preserve">Some questions were adjusted to better mirror survey questions used in previous studies in the literature. </w:t>
      </w:r>
      <w:r w:rsidR="00914C02">
        <w:rPr>
          <w:rFonts w:eastAsia="Times New Roman"/>
        </w:rPr>
        <w:t>These studies include:</w:t>
      </w:r>
    </w:p>
    <w:p w:rsidR="00914C02" w:rsidRDefault="00914C02" w:rsidP="00914C02">
      <w:pPr>
        <w:spacing w:after="0" w:line="240" w:lineRule="auto"/>
        <w:ind w:left="360"/>
        <w:rPr>
          <w:rFonts w:eastAsia="Times New Roman"/>
        </w:rPr>
      </w:pPr>
    </w:p>
    <w:p w:rsidR="00914C02" w:rsidRPr="004004A8" w:rsidRDefault="006C1E12" w:rsidP="003F7565">
      <w:pPr>
        <w:pStyle w:val="ListParagraph"/>
        <w:numPr>
          <w:ilvl w:val="0"/>
          <w:numId w:val="4"/>
        </w:numPr>
        <w:spacing w:after="0" w:line="240" w:lineRule="auto"/>
        <w:rPr>
          <w:rFonts w:eastAsia="Times New Roman"/>
        </w:rPr>
      </w:pPr>
      <w:r w:rsidRPr="004004A8">
        <w:t xml:space="preserve">Danes, S.M., and H.R. Haberman. 2007. Teen Financial Knowledge, Self-Efficacy, and Behavior: A Gendered View. </w:t>
      </w:r>
      <w:r w:rsidRPr="004004A8">
        <w:rPr>
          <w:i/>
          <w:iCs/>
        </w:rPr>
        <w:t>Financial Counseling and Planning</w:t>
      </w:r>
      <w:r w:rsidR="003F7565" w:rsidRPr="004004A8">
        <w:t xml:space="preserve"> </w:t>
      </w:r>
      <w:r w:rsidRPr="004004A8">
        <w:t>18 (2):48-60.</w:t>
      </w:r>
    </w:p>
    <w:p w:rsidR="003F7565" w:rsidRPr="004004A8" w:rsidRDefault="003F7565" w:rsidP="003F7565">
      <w:pPr>
        <w:pStyle w:val="ListParagraph"/>
        <w:numPr>
          <w:ilvl w:val="0"/>
          <w:numId w:val="4"/>
        </w:numPr>
        <w:spacing w:after="0" w:line="240" w:lineRule="auto"/>
        <w:rPr>
          <w:rFonts w:eastAsia="Times New Roman"/>
        </w:rPr>
      </w:pPr>
      <w:r w:rsidRPr="004004A8">
        <w:t xml:space="preserve">Danes, S.M., C. Huddleston-Casas, and L. Boyce. 1999. Financial Planning Curriculum for Teens: Impact Evaluation. </w:t>
      </w:r>
      <w:r w:rsidRPr="004004A8">
        <w:rPr>
          <w:i/>
          <w:iCs/>
        </w:rPr>
        <w:t>Financial Counseling and Planning</w:t>
      </w:r>
      <w:r w:rsidRPr="004004A8">
        <w:t xml:space="preserve"> 10 (1):25-37.</w:t>
      </w:r>
    </w:p>
    <w:p w:rsidR="004004A8" w:rsidRPr="00DD088A" w:rsidRDefault="004004A8" w:rsidP="003F7565">
      <w:pPr>
        <w:pStyle w:val="ListParagraph"/>
        <w:numPr>
          <w:ilvl w:val="0"/>
          <w:numId w:val="4"/>
        </w:numPr>
        <w:spacing w:after="0" w:line="240" w:lineRule="auto"/>
        <w:rPr>
          <w:rFonts w:eastAsia="Times New Roman"/>
        </w:rPr>
      </w:pPr>
      <w:r w:rsidRPr="004004A8">
        <w:t>Perry, V.G., and M.D. Morris. 2005. Who Is in Control? The Role of Self</w:t>
      </w:r>
      <w:r w:rsidRPr="004004A8">
        <w:rPr>
          <w:rFonts w:ascii="Cambria Math" w:hAnsi="Cambria Math" w:cs="Cambria Math"/>
        </w:rPr>
        <w:t>‐</w:t>
      </w:r>
      <w:r w:rsidRPr="004004A8">
        <w:t xml:space="preserve">Perception, Knowledge, and Income in Explaining Consumer Financial Behavior. </w:t>
      </w:r>
      <w:r w:rsidRPr="004004A8">
        <w:rPr>
          <w:i/>
          <w:iCs/>
        </w:rPr>
        <w:t>Journal of Consumer Affairs</w:t>
      </w:r>
      <w:r w:rsidRPr="004004A8">
        <w:t xml:space="preserve"> 39 (2):299-313.</w:t>
      </w:r>
    </w:p>
    <w:p w:rsidR="00DD088A" w:rsidRPr="001640F4" w:rsidRDefault="00DD088A" w:rsidP="003F7565">
      <w:pPr>
        <w:pStyle w:val="ListParagraph"/>
        <w:numPr>
          <w:ilvl w:val="0"/>
          <w:numId w:val="4"/>
        </w:numPr>
        <w:spacing w:after="0" w:line="240" w:lineRule="auto"/>
        <w:rPr>
          <w:rFonts w:eastAsia="Times New Roman"/>
        </w:rPr>
      </w:pPr>
      <w:r w:rsidRPr="001640F4">
        <w:t xml:space="preserve">Cohen, S., RC Kessler, and L. Underwood Gordon. 1994. Perceived Stress Scale. </w:t>
      </w:r>
      <w:r w:rsidRPr="001640F4">
        <w:rPr>
          <w:i/>
          <w:iCs/>
        </w:rPr>
        <w:t>Measuring Stress: A Guide for Health and Social Scientists</w:t>
      </w:r>
      <w:r w:rsidRPr="001640F4">
        <w:t>.</w:t>
      </w:r>
    </w:p>
    <w:p w:rsidR="006F1621" w:rsidRDefault="006F1621"/>
    <w:sectPr w:rsidR="006F1621" w:rsidSect="0070006A">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6220"/>
    <w:multiLevelType w:val="hybridMultilevel"/>
    <w:tmpl w:val="62ACB4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460881"/>
    <w:multiLevelType w:val="hybridMultilevel"/>
    <w:tmpl w:val="BF90A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57922FE"/>
    <w:multiLevelType w:val="hybridMultilevel"/>
    <w:tmpl w:val="6482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F92672"/>
    <w:multiLevelType w:val="hybridMultilevel"/>
    <w:tmpl w:val="43801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D2A"/>
    <w:rsid w:val="000F1683"/>
    <w:rsid w:val="001640F4"/>
    <w:rsid w:val="00172656"/>
    <w:rsid w:val="00336A79"/>
    <w:rsid w:val="00355D59"/>
    <w:rsid w:val="003F7565"/>
    <w:rsid w:val="004004A8"/>
    <w:rsid w:val="004851B0"/>
    <w:rsid w:val="004E48F2"/>
    <w:rsid w:val="0050501C"/>
    <w:rsid w:val="00594BDD"/>
    <w:rsid w:val="006202B6"/>
    <w:rsid w:val="006C1E12"/>
    <w:rsid w:val="006D1E95"/>
    <w:rsid w:val="006F1621"/>
    <w:rsid w:val="0070006A"/>
    <w:rsid w:val="00734DC5"/>
    <w:rsid w:val="008519DC"/>
    <w:rsid w:val="00914C02"/>
    <w:rsid w:val="009B6D2A"/>
    <w:rsid w:val="00D7643C"/>
    <w:rsid w:val="00DD088A"/>
    <w:rsid w:val="00E154F7"/>
    <w:rsid w:val="00E21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D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963294">
      <w:bodyDiv w:val="1"/>
      <w:marLeft w:val="0"/>
      <w:marRight w:val="0"/>
      <w:marTop w:val="0"/>
      <w:marBottom w:val="0"/>
      <w:divBdr>
        <w:top w:val="none" w:sz="0" w:space="0" w:color="auto"/>
        <w:left w:val="none" w:sz="0" w:space="0" w:color="auto"/>
        <w:bottom w:val="none" w:sz="0" w:space="0" w:color="auto"/>
        <w:right w:val="none" w:sz="0" w:space="0" w:color="auto"/>
      </w:divBdr>
      <w:divsChild>
        <w:div w:id="817918">
          <w:marLeft w:val="0"/>
          <w:marRight w:val="0"/>
          <w:marTop w:val="0"/>
          <w:marBottom w:val="0"/>
          <w:divBdr>
            <w:top w:val="none" w:sz="0" w:space="0" w:color="auto"/>
            <w:left w:val="none" w:sz="0" w:space="0" w:color="auto"/>
            <w:bottom w:val="none" w:sz="0" w:space="0" w:color="auto"/>
            <w:right w:val="none" w:sz="0" w:space="0" w:color="auto"/>
          </w:divBdr>
        </w:div>
        <w:div w:id="492182217">
          <w:marLeft w:val="0"/>
          <w:marRight w:val="0"/>
          <w:marTop w:val="0"/>
          <w:marBottom w:val="0"/>
          <w:divBdr>
            <w:top w:val="none" w:sz="0" w:space="0" w:color="auto"/>
            <w:left w:val="none" w:sz="0" w:space="0" w:color="auto"/>
            <w:bottom w:val="none" w:sz="0" w:space="0" w:color="auto"/>
            <w:right w:val="none" w:sz="0" w:space="0" w:color="auto"/>
          </w:divBdr>
        </w:div>
        <w:div w:id="502932896">
          <w:marLeft w:val="0"/>
          <w:marRight w:val="0"/>
          <w:marTop w:val="0"/>
          <w:marBottom w:val="0"/>
          <w:divBdr>
            <w:top w:val="none" w:sz="0" w:space="0" w:color="auto"/>
            <w:left w:val="none" w:sz="0" w:space="0" w:color="auto"/>
            <w:bottom w:val="none" w:sz="0" w:space="0" w:color="auto"/>
            <w:right w:val="none" w:sz="0" w:space="0" w:color="auto"/>
          </w:divBdr>
        </w:div>
        <w:div w:id="36128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Walsh</dc:creator>
  <cp:lastModifiedBy>Reference</cp:lastModifiedBy>
  <cp:revision>3</cp:revision>
  <dcterms:created xsi:type="dcterms:W3CDTF">2012-05-29T12:09:00Z</dcterms:created>
  <dcterms:modified xsi:type="dcterms:W3CDTF">2012-05-29T12:30:00Z</dcterms:modified>
</cp:coreProperties>
</file>