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2F315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896FC2" w:rsidRDefault="007151FC">
      <w:r w:rsidRPr="007151FC">
        <w:rPr>
          <w:b/>
        </w:rPr>
        <w:t xml:space="preserve">NESHAP </w:t>
      </w:r>
      <w:r w:rsidR="002B29A5" w:rsidRPr="00896FC2">
        <w:rPr>
          <w:b/>
        </w:rPr>
        <w:t xml:space="preserve">for </w:t>
      </w:r>
      <w:r w:rsidR="003A7ACE" w:rsidRPr="00896FC2">
        <w:rPr>
          <w:b/>
          <w:bCs/>
        </w:rPr>
        <w:t>Miscellaneous Metal Parts and Products</w:t>
      </w:r>
      <w:r w:rsidR="003A7ACE" w:rsidRPr="00896FC2">
        <w:rPr>
          <w:b/>
        </w:rPr>
        <w:t xml:space="preserve"> </w:t>
      </w:r>
      <w:r w:rsidR="002B29A5" w:rsidRPr="00896FC2">
        <w:rPr>
          <w:b/>
        </w:rPr>
        <w:t>(40 CFR</w:t>
      </w:r>
      <w:r w:rsidRPr="007151FC">
        <w:rPr>
          <w:b/>
        </w:rPr>
        <w:t xml:space="preserve"> </w:t>
      </w:r>
      <w:r w:rsidR="002B29A5" w:rsidRPr="00896FC2">
        <w:rPr>
          <w:b/>
        </w:rPr>
        <w:t>Part</w:t>
      </w:r>
      <w:r w:rsidRPr="007151FC">
        <w:rPr>
          <w:b/>
        </w:rPr>
        <w:t xml:space="preserve"> 63, </w:t>
      </w:r>
      <w:r w:rsidR="002B29A5" w:rsidRPr="00896FC2">
        <w:rPr>
          <w:b/>
        </w:rPr>
        <w:t>Subpart</w:t>
      </w:r>
      <w:r w:rsidRPr="007151FC">
        <w:rPr>
          <w:b/>
        </w:rPr>
        <w:t xml:space="preserve"> MMMM) </w:t>
      </w:r>
      <w:r w:rsidR="002B29A5" w:rsidRPr="00896FC2">
        <w:rPr>
          <w:b/>
        </w:rPr>
        <w:t>(Renewal)</w:t>
      </w:r>
      <w:r w:rsidRPr="007151FC">
        <w:t xml:space="preserve"> </w:t>
      </w:r>
    </w:p>
    <w:p w:rsidR="00CA4CD6" w:rsidRPr="00896FC2" w:rsidRDefault="00CA4CD6"/>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Pr="00896FC2" w:rsidRDefault="00CA4CD6">
      <w:pPr>
        <w:rPr>
          <w:b/>
          <w:bCs/>
        </w:rPr>
      </w:pPr>
    </w:p>
    <w:p w:rsidR="00CA4CD6" w:rsidRPr="002B29A5" w:rsidRDefault="007151FC" w:rsidP="002B29A5">
      <w:pPr>
        <w:rPr>
          <w:bCs/>
          <w:color w:val="000000"/>
        </w:rPr>
      </w:pPr>
      <w:r w:rsidRPr="007151FC">
        <w:rPr>
          <w:bCs/>
        </w:rPr>
        <w:t>NESHAP for Miscellaneous Metal Parts and Products (40 CFR Part 63, Subpart MMMM)</w:t>
      </w:r>
      <w:r w:rsidR="002B29A5">
        <w:rPr>
          <w:bCs/>
          <w:color w:val="FF0000"/>
        </w:rPr>
        <w:t xml:space="preserve"> </w:t>
      </w:r>
      <w:r w:rsidR="002B29A5" w:rsidRPr="004C5E95">
        <w:rPr>
          <w:bCs/>
        </w:rPr>
        <w:t xml:space="preserve">(Renewal), EPA </w:t>
      </w:r>
      <w:r w:rsidR="002B29A5" w:rsidRPr="00896FC2">
        <w:rPr>
          <w:bCs/>
        </w:rPr>
        <w:t xml:space="preserve">ICR Number </w:t>
      </w:r>
      <w:r w:rsidRPr="007151FC">
        <w:rPr>
          <w:bCs/>
        </w:rPr>
        <w:t>2056</w:t>
      </w:r>
      <w:r w:rsidR="00312530">
        <w:rPr>
          <w:bCs/>
        </w:rPr>
        <w:t>.04</w:t>
      </w:r>
      <w:r w:rsidRPr="007151FC">
        <w:rPr>
          <w:bCs/>
        </w:rPr>
        <w:t xml:space="preserve">, </w:t>
      </w:r>
      <w:r w:rsidR="002B29A5" w:rsidRPr="00896FC2">
        <w:rPr>
          <w:bCs/>
        </w:rPr>
        <w:t>OMB</w:t>
      </w:r>
      <w:r w:rsidR="002B29A5" w:rsidRPr="004C5E95">
        <w:rPr>
          <w:bCs/>
        </w:rPr>
        <w:t xml:space="preserve"> Control Number </w:t>
      </w:r>
      <w:r w:rsidR="002B29A5" w:rsidRPr="00896FC2">
        <w:rPr>
          <w:bCs/>
        </w:rPr>
        <w:t>2060-</w:t>
      </w:r>
      <w:r w:rsidR="00693678">
        <w:rPr>
          <w:bCs/>
        </w:rPr>
        <w:t>0486</w:t>
      </w:r>
      <w:r w:rsidRPr="007151FC">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Pr="00896FC2" w:rsidRDefault="00CA4CD6"/>
    <w:p w:rsidR="00CA4CD6" w:rsidRPr="00896FC2" w:rsidRDefault="007151FC">
      <w:pPr>
        <w:ind w:firstLine="720"/>
      </w:pPr>
      <w:r w:rsidRPr="007151FC">
        <w:t xml:space="preserve">The National Emission Standards for Hazardous Air Pollutants (NESHAP) for </w:t>
      </w:r>
      <w:r w:rsidR="00916061">
        <w:t>Miscellaneous Metal Parts and Products (</w:t>
      </w:r>
      <w:r w:rsidRPr="007151FC">
        <w:t>40 CFR part 63, subpart MMMM</w:t>
      </w:r>
      <w:r w:rsidR="00916061">
        <w:t>)</w:t>
      </w:r>
      <w:r w:rsidRPr="007151FC">
        <w:t xml:space="preserve"> were proposed on </w:t>
      </w:r>
      <w:r w:rsidR="00896FC2" w:rsidRPr="00896FC2">
        <w:t>August 13, 2002</w:t>
      </w:r>
      <w:r w:rsidRPr="007151FC">
        <w:t xml:space="preserve">, and promulgated on </w:t>
      </w:r>
      <w:r w:rsidR="00896FC2" w:rsidRPr="00896FC2">
        <w:t>January 2, 2004</w:t>
      </w:r>
      <w:r w:rsidRPr="007151FC">
        <w:t xml:space="preserve">.  These regulations apply to </w:t>
      </w:r>
      <w:r w:rsidR="00226ACC">
        <w:t xml:space="preserve">new, reconstructed, and </w:t>
      </w:r>
      <w:r w:rsidR="00F93701">
        <w:t>existing</w:t>
      </w:r>
      <w:r w:rsidR="00226ACC">
        <w:t xml:space="preserve"> </w:t>
      </w:r>
      <w:r w:rsidRPr="007151FC">
        <w:t xml:space="preserve">facilities </w:t>
      </w:r>
      <w:r w:rsidR="00896FC2" w:rsidRPr="00896FC2">
        <w:t>with miscellaneous metal parts and products surface coating operations, and associated equipment or containers used for mixing, conveying, storage, or waste</w:t>
      </w:r>
      <w:r w:rsidRPr="007151FC">
        <w:t xml:space="preserve">.  New facilities include those that commenced construction or reconstruction after the date of proposal.  This information is being collected to assure compliance with 40 CFR </w:t>
      </w:r>
      <w:proofErr w:type="gramStart"/>
      <w:r w:rsidRPr="007151FC">
        <w:t>part</w:t>
      </w:r>
      <w:proofErr w:type="gramEnd"/>
      <w:r w:rsidRPr="007151FC">
        <w:t xml:space="preserve"> 63, subpart MMMM.</w:t>
      </w:r>
    </w:p>
    <w:p w:rsidR="00CA4CD6" w:rsidRPr="00896FC2" w:rsidRDefault="00CA4CD6"/>
    <w:p w:rsidR="00CA4CD6" w:rsidRPr="00896FC2" w:rsidRDefault="007151FC">
      <w:pPr>
        <w:ind w:firstLine="720"/>
      </w:pPr>
      <w:r w:rsidRPr="007151FC">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916061">
        <w:t xml:space="preserve">    </w:t>
      </w:r>
      <w:r w:rsidRPr="007151FC">
        <w:t>the operation of an affected facility, or any period during which the monitoring system is inoperative.  These notifications, reports, and records are essential in determining compliance, and are required of all affected facilities subject to 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151FC" w:rsidRPr="007151FC">
        <w:t>five</w:t>
      </w:r>
      <w:r w:rsidR="008B512F">
        <w:rPr>
          <w:color w:val="FF0000"/>
        </w:rPr>
        <w:t xml:space="preserve"> </w:t>
      </w:r>
      <w:r>
        <w:rPr>
          <w:color w:val="000000"/>
        </w:rPr>
        <w:t xml:space="preserve">years following the date of such measurements, maintenance reports, and records.  All reports are sent to the delegated state or local authority.  </w:t>
      </w:r>
      <w:r w:rsidR="00C642EA">
        <w:rPr>
          <w:color w:val="000000"/>
        </w:rPr>
        <w:t xml:space="preserve"> </w:t>
      </w:r>
      <w:r>
        <w:rPr>
          <w:color w:val="000000"/>
        </w:rPr>
        <w:t>In the event that there is no such delegated authority, the reports are sent directly to the U</w:t>
      </w:r>
      <w:r w:rsidR="00C642EA">
        <w:rPr>
          <w:color w:val="000000"/>
        </w:rPr>
        <w:t>.</w:t>
      </w:r>
      <w:r>
        <w:rPr>
          <w:color w:val="000000"/>
        </w:rPr>
        <w:t>S</w:t>
      </w:r>
      <w:r w:rsidR="00C642EA">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B91480">
        <w:t>4,992</w:t>
      </w:r>
      <w:r w:rsidR="007151FC" w:rsidRPr="007151FC">
        <w:t xml:space="preserve"> respondents per year will be subject to the standard, and no additional respondents per year will become</w:t>
      </w:r>
      <w:r w:rsidR="00CA4CD6">
        <w:rPr>
          <w:color w:val="000000"/>
        </w:rPr>
        <w:t xml:space="preserve"> subject to the </w:t>
      </w:r>
      <w:r>
        <w:rPr>
          <w:color w:val="000000"/>
        </w:rPr>
        <w:t xml:space="preserve">standard.  </w:t>
      </w:r>
    </w:p>
    <w:p w:rsidR="009D6567" w:rsidRDefault="009D6567" w:rsidP="00736294">
      <w:pPr>
        <w:pBdr>
          <w:top w:val="single" w:sz="6" w:space="0" w:color="FFFFFF"/>
          <w:left w:val="single" w:sz="6" w:space="0" w:color="FFFFFF"/>
          <w:bottom w:val="single" w:sz="6" w:space="0" w:color="FFFFFF"/>
          <w:right w:val="single" w:sz="6" w:space="0" w:color="FFFFFF"/>
        </w:pBdr>
        <w:rPr>
          <w:color w:val="FF0000"/>
        </w:rPr>
      </w:pPr>
    </w:p>
    <w:p w:rsidR="00CA4CD6" w:rsidRDefault="009D6567" w:rsidP="002B29A5">
      <w:r>
        <w:tab/>
      </w:r>
      <w:r w:rsidR="007151FC" w:rsidRPr="007151FC">
        <w:t xml:space="preserve">The burden to the “Affected Public” may be found </w:t>
      </w:r>
      <w:r w:rsidR="00C642EA">
        <w:t xml:space="preserve">below </w:t>
      </w:r>
      <w:r w:rsidR="007151FC" w:rsidRPr="007151FC">
        <w:t xml:space="preserve">in Table 1: Annual Respondent Burden and Cost – </w:t>
      </w:r>
      <w:r w:rsidR="00694FE7" w:rsidRPr="00F3285A">
        <w:rPr>
          <w:bCs/>
        </w:rPr>
        <w:t>NESHAP for Miscellaneous Metal Parts and Products (40 CFR Part 63, Subpart MMMM)</w:t>
      </w:r>
      <w:r w:rsidR="00694FE7">
        <w:rPr>
          <w:bCs/>
          <w:color w:val="FF0000"/>
        </w:rPr>
        <w:t xml:space="preserve"> </w:t>
      </w:r>
      <w:r w:rsidR="00694FE7" w:rsidRPr="004C5E95">
        <w:rPr>
          <w:bCs/>
        </w:rPr>
        <w:t>(Renewal)</w:t>
      </w:r>
      <w:r w:rsidR="007151FC" w:rsidRPr="007151FC">
        <w:t xml:space="preserve">.  </w:t>
      </w:r>
      <w:r w:rsidR="00694FE7">
        <w:t>T</w:t>
      </w:r>
      <w:r w:rsidR="00CB05B3">
        <w:t xml:space="preserve">he </w:t>
      </w:r>
      <w:r w:rsidR="007151FC" w:rsidRPr="007151FC">
        <w:t xml:space="preserve">burden to the “Federal Government” is attributed entirely to work performed by </w:t>
      </w:r>
      <w:r w:rsidR="00C642EA">
        <w:t>either F</w:t>
      </w:r>
      <w:r w:rsidR="007151FC" w:rsidRPr="007151FC">
        <w:t>ederal employees or government contractors</w:t>
      </w:r>
      <w:r w:rsidR="000C7FDE">
        <w:t>.  The burden to the “Federal Government” may be found</w:t>
      </w:r>
      <w:r w:rsidR="00C642EA">
        <w:t xml:space="preserve"> below</w:t>
      </w:r>
      <w:r w:rsidR="000C7FDE">
        <w:t xml:space="preserve"> in</w:t>
      </w:r>
      <w:r w:rsidR="007151FC" w:rsidRPr="007151FC">
        <w:t xml:space="preserve"> Table 2: Average Annual EPA Burden and Cost – </w:t>
      </w:r>
      <w:r w:rsidR="00694FE7" w:rsidRPr="00F3285A">
        <w:rPr>
          <w:bCs/>
        </w:rPr>
        <w:t>NESHAP for Miscellaneous Metal Parts and Products (40 CFR Part 63, Subpart MMMM)</w:t>
      </w:r>
      <w:r w:rsidR="00694FE7">
        <w:rPr>
          <w:bCs/>
          <w:color w:val="FF0000"/>
        </w:rPr>
        <w:t xml:space="preserve"> </w:t>
      </w:r>
      <w:r w:rsidR="00694FE7" w:rsidRPr="004C5E95">
        <w:rPr>
          <w:bCs/>
        </w:rPr>
        <w:t>(Renewal)</w:t>
      </w:r>
      <w:r w:rsidR="007151FC" w:rsidRPr="007151FC">
        <w:t xml:space="preserve">. </w:t>
      </w:r>
    </w:p>
    <w:p w:rsidR="00736294" w:rsidRDefault="00736294" w:rsidP="002B29A5"/>
    <w:p w:rsidR="00736294" w:rsidRPr="000A7665" w:rsidRDefault="00736294" w:rsidP="00736294">
      <w:pPr>
        <w:pBdr>
          <w:top w:val="single" w:sz="6" w:space="0" w:color="FFFFFF"/>
          <w:left w:val="single" w:sz="6" w:space="0" w:color="FFFFFF"/>
          <w:bottom w:val="single" w:sz="6" w:space="0" w:color="FFFFFF"/>
          <w:right w:val="single" w:sz="6" w:space="0" w:color="FFFFFF"/>
        </w:pBdr>
        <w:ind w:firstLine="720"/>
      </w:pPr>
      <w:r>
        <w:t>The Office of Management and Budget (</w:t>
      </w:r>
      <w:r w:rsidRPr="007151FC">
        <w:t>OMB</w:t>
      </w:r>
      <w:r>
        <w:t>)</w:t>
      </w:r>
      <w:r w:rsidRPr="007151FC">
        <w:t xml:space="preserve"> approved the </w:t>
      </w:r>
      <w:r>
        <w:t xml:space="preserve">current Information Collection Agency (ICR) </w:t>
      </w:r>
      <w:r w:rsidRPr="007151FC">
        <w:t>without any “Terms of Clearance.”</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4C6E96" w:rsidRDefault="004C6E96">
      <w:pPr>
        <w:pBdr>
          <w:top w:val="single" w:sz="6" w:space="0" w:color="FFFFFF"/>
          <w:left w:val="single" w:sz="6" w:space="0" w:color="FFFFFF"/>
          <w:bottom w:val="single" w:sz="6" w:space="0" w:color="FFFFFF"/>
          <w:right w:val="single" w:sz="6" w:space="0" w:color="FFFFFF"/>
        </w:pBdr>
        <w:rPr>
          <w:color w:val="000000"/>
        </w:rPr>
      </w:pPr>
    </w:p>
    <w:p w:rsidR="00CA4CD6" w:rsidRPr="004C6E96" w:rsidRDefault="007151FC">
      <w:pPr>
        <w:pBdr>
          <w:top w:val="single" w:sz="6" w:space="0" w:color="FFFFFF"/>
          <w:left w:val="single" w:sz="6" w:space="0" w:color="FFFFFF"/>
          <w:bottom w:val="single" w:sz="6" w:space="0" w:color="FFFFFF"/>
          <w:right w:val="single" w:sz="6" w:space="0" w:color="FFFFFF"/>
        </w:pBdr>
        <w:ind w:firstLine="720"/>
      </w:pPr>
      <w:r w:rsidRPr="007151F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3F52D2">
        <w:t xml:space="preserve"> </w:t>
      </w:r>
      <w:r w:rsidRPr="007151FC">
        <w:t xml:space="preserve">In addition, section 114(a) states that the Administrator may require any owner/operator subject to any requirement of this Act to: </w:t>
      </w:r>
    </w:p>
    <w:p w:rsidR="00CA4CD6" w:rsidRPr="004C6E96" w:rsidRDefault="00CA4CD6">
      <w:pPr>
        <w:pBdr>
          <w:top w:val="single" w:sz="6" w:space="0" w:color="FFFFFF"/>
          <w:left w:val="single" w:sz="6" w:space="0" w:color="FFFFFF"/>
          <w:bottom w:val="single" w:sz="6" w:space="0" w:color="FFFFFF"/>
          <w:right w:val="single" w:sz="6" w:space="0" w:color="FFFFFF"/>
        </w:pBdr>
      </w:pPr>
    </w:p>
    <w:p w:rsidR="00CA4CD6" w:rsidRPr="004C6E96" w:rsidRDefault="007151FC">
      <w:pPr>
        <w:pBdr>
          <w:top w:val="single" w:sz="6" w:space="0" w:color="FFFFFF"/>
          <w:left w:val="single" w:sz="6" w:space="0" w:color="FFFFFF"/>
          <w:bottom w:val="single" w:sz="6" w:space="0" w:color="FFFFFF"/>
          <w:right w:val="single" w:sz="6" w:space="0" w:color="FFFFFF"/>
        </w:pBdr>
        <w:ind w:left="1440" w:right="1440"/>
      </w:pPr>
      <w:r w:rsidRPr="007151F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A7665"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sidRPr="0064608F">
        <w:t xml:space="preserve">, </w:t>
      </w:r>
      <w:r w:rsidR="0064608F" w:rsidRPr="0064608F">
        <w:t xml:space="preserve">hazardous air pollutant (HAP) emissions (predominantly </w:t>
      </w:r>
      <w:r w:rsidR="00446C82" w:rsidRPr="0064608F">
        <w:t>xylene, toluene, methyl ethyl ketone, phenol, and cresols/cresylic acid</w:t>
      </w:r>
      <w:r w:rsidR="0064608F" w:rsidRPr="0064608F">
        <w:t>)</w:t>
      </w:r>
      <w:r w:rsidR="007151FC" w:rsidRPr="0064608F">
        <w:t xml:space="preserve"> from </w:t>
      </w:r>
      <w:r w:rsidR="00446C82" w:rsidRPr="0064608F">
        <w:t>miscellaneous metal</w:t>
      </w:r>
      <w:r w:rsidR="00446C82">
        <w:t xml:space="preserve"> parts and products surface coating operations</w:t>
      </w:r>
      <w:r w:rsidR="007151FC" w:rsidRPr="007151FC">
        <w:t xml:space="preserve"> cause or contribute to air pollution that may reasonably be anticipated to endanger public health or welfare.  Therefore, the NESHAP was promulgated for this source category at 40 CFR </w:t>
      </w:r>
      <w:proofErr w:type="gramStart"/>
      <w:r w:rsidR="007151FC" w:rsidRPr="007151FC">
        <w:t>part</w:t>
      </w:r>
      <w:proofErr w:type="gramEnd"/>
      <w:r w:rsidR="007151FC" w:rsidRPr="007151FC">
        <w:t xml:space="preserve"> 63,</w:t>
      </w:r>
      <w:r w:rsidR="007151FC" w:rsidRPr="007151FC">
        <w:rPr>
          <w:b/>
          <w:bCs/>
          <w:i/>
          <w:iCs/>
        </w:rPr>
        <w:t xml:space="preserve"> </w:t>
      </w:r>
      <w:r w:rsidR="007151FC" w:rsidRPr="007151FC">
        <w:t>subpart MMMM.</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CD43B6">
        <w:rPr>
          <w:color w:val="000000"/>
        </w:rPr>
        <w:t>s</w:t>
      </w:r>
      <w:r>
        <w:rPr>
          <w:color w:val="000000"/>
        </w:rPr>
        <w:t xml:space="preserv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CD43B6">
        <w:rPr>
          <w:color w:val="000000"/>
        </w:rPr>
        <w:t>’</w:t>
      </w:r>
      <w:r>
        <w:rPr>
          <w:color w:val="000000"/>
        </w:rPr>
        <w:t>s initial capability to comply with the emission standard. Continuous emission monitors are used to ensure compliance with the standard at all times.</w:t>
      </w:r>
      <w:r w:rsidR="007151FC" w:rsidRPr="007151FC">
        <w:t xml:space="preserve">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7151FC" w:rsidRPr="007151FC">
        <w:t>pollution control devices are properly installed and operated, leaks are being detected and repaired,</w:t>
      </w:r>
      <w:r>
        <w:rPr>
          <w:color w:val="000000"/>
        </w:rPr>
        <w:t xml:space="preserve"> and the standard </w:t>
      </w:r>
      <w:r w:rsidR="004048C2">
        <w:rPr>
          <w:color w:val="000000"/>
        </w:rPr>
        <w:t xml:space="preserve">is </w:t>
      </w:r>
      <w:r>
        <w:rPr>
          <w:color w:val="000000"/>
        </w:rPr>
        <w:t>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7151FC" w:rsidRPr="007151FC">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C642E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4048C2">
        <w:rPr>
          <w:color w:val="000000"/>
        </w:rPr>
        <w:t xml:space="preserve"> MMMM</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C642E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C642EA">
        <w:rPr>
          <w:color w:val="000000"/>
        </w:rPr>
        <w:t xml:space="preserve">    </w:t>
      </w:r>
      <w:r>
        <w:rPr>
          <w:color w:val="000000"/>
        </w:rPr>
        <w:t>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17E60" w:rsidRDefault="007151FC">
      <w:pPr>
        <w:pBdr>
          <w:top w:val="single" w:sz="6" w:space="0" w:color="FFFFFF"/>
          <w:left w:val="single" w:sz="6" w:space="0" w:color="FFFFFF"/>
          <w:bottom w:val="single" w:sz="6" w:space="0" w:color="FFFFFF"/>
          <w:right w:val="single" w:sz="6" w:space="0" w:color="FFFFFF"/>
        </w:pBdr>
        <w:ind w:firstLine="720"/>
      </w:pPr>
      <w:r w:rsidRPr="007151FC">
        <w:t xml:space="preserve">An announcement of a public comment period for the renewal of this ICR was published in the </w:t>
      </w:r>
      <w:r w:rsidRPr="007151FC">
        <w:rPr>
          <w:u w:val="single"/>
        </w:rPr>
        <w:t>Federal Register</w:t>
      </w:r>
      <w:r w:rsidRPr="007151FC">
        <w:t xml:space="preserve"> (76 </w:t>
      </w:r>
      <w:r w:rsidRPr="007151FC">
        <w:rPr>
          <w:u w:val="single"/>
        </w:rPr>
        <w:t>FR</w:t>
      </w:r>
      <w:r w:rsidRPr="007151FC">
        <w:t xml:space="preserve"> 26900) on May 9, 2011.  No comments were received on the burden published in the </w:t>
      </w:r>
      <w:r w:rsidRPr="007151FC">
        <w:rPr>
          <w:u w:val="single"/>
        </w:rPr>
        <w:t>Federal Register</w:t>
      </w:r>
      <w:r w:rsidRPr="007151F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1C67F2" w:rsidRDefault="001C67F2" w:rsidP="001C67F2">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B06037" w:rsidRPr="00C47690" w:rsidRDefault="00B06037" w:rsidP="00B06037"/>
    <w:p w:rsidR="00B06037" w:rsidRDefault="00B06037" w:rsidP="00B06037">
      <w:pPr>
        <w:widowControl/>
        <w:ind w:firstLine="720"/>
      </w:pPr>
      <w:r w:rsidRPr="0073606E">
        <w:t xml:space="preserve">Industry trade associations and other interested parties were provided an opportunity to comment on the burden associated with the standard as it was being developed.  In developing this ICR, we </w:t>
      </w:r>
      <w:r w:rsidR="001C67F2">
        <w:t>consulted with</w:t>
      </w:r>
      <w:r w:rsidR="00C642EA">
        <w:t>: 1)</w:t>
      </w:r>
      <w:r w:rsidR="001C67F2">
        <w:t xml:space="preserve"> </w:t>
      </w:r>
      <w:r>
        <w:t xml:space="preserve">the </w:t>
      </w:r>
      <w:r w:rsidR="0091494D">
        <w:t>National Electrical Manufacturers Association (NEMA)</w:t>
      </w:r>
      <w:r w:rsidR="00C642EA">
        <w:t>,</w:t>
      </w:r>
      <w:r w:rsidR="0091494D">
        <w:t xml:space="preserve"> at (703) 841-3245</w:t>
      </w:r>
      <w:r w:rsidR="00C642EA">
        <w:t>; 2)</w:t>
      </w:r>
      <w:r w:rsidR="001C67F2">
        <w:t xml:space="preserve"> Superior Essex</w:t>
      </w:r>
      <w:r w:rsidR="00C642EA">
        <w:t>,</w:t>
      </w:r>
      <w:r w:rsidR="001C67F2">
        <w:t xml:space="preserve"> at (770) </w:t>
      </w:r>
      <w:r w:rsidR="001C67F2" w:rsidRPr="001C67F2">
        <w:t>657-6000</w:t>
      </w:r>
      <w:r w:rsidR="00C642EA">
        <w:t>;</w:t>
      </w:r>
      <w:r w:rsidR="001C67F2">
        <w:t xml:space="preserve"> and </w:t>
      </w:r>
      <w:r w:rsidR="00C642EA">
        <w:t xml:space="preserve">3) </w:t>
      </w:r>
      <w:r w:rsidR="007151FC" w:rsidRPr="007151FC">
        <w:rPr>
          <w:bCs/>
        </w:rPr>
        <w:t>MWS Wire Industries</w:t>
      </w:r>
      <w:r w:rsidR="00C642EA">
        <w:rPr>
          <w:bCs/>
        </w:rPr>
        <w:t>,</w:t>
      </w:r>
      <w:r w:rsidR="001C67F2">
        <w:rPr>
          <w:b/>
          <w:bCs/>
        </w:rPr>
        <w:t xml:space="preserve"> </w:t>
      </w:r>
      <w:r w:rsidR="0064608F" w:rsidRPr="0064608F">
        <w:rPr>
          <w:bCs/>
        </w:rPr>
        <w:t xml:space="preserve">at </w:t>
      </w:r>
      <w:r w:rsidR="001C67F2">
        <w:rPr>
          <w:b/>
          <w:bCs/>
        </w:rPr>
        <w:t>(</w:t>
      </w:r>
      <w:r w:rsidR="001C67F2">
        <w:t xml:space="preserve">818) </w:t>
      </w:r>
      <w:r w:rsidR="001C67F2" w:rsidRPr="001C67F2">
        <w:lastRenderedPageBreak/>
        <w:t>991-8553</w:t>
      </w:r>
      <w:r>
        <w:t xml:space="preserve">.  </w:t>
      </w:r>
      <w:r w:rsidR="0064608F">
        <w:t xml:space="preserve">In response to comments from NEMA, EPA corrected errors in the </w:t>
      </w:r>
      <w:r w:rsidR="00077E42">
        <w:t xml:space="preserve">per-occurrence labor hour </w:t>
      </w:r>
      <w:r w:rsidR="0064608F">
        <w:t>burden for the magnet wire industry</w:t>
      </w:r>
      <w:r w:rsidR="00077E42">
        <w:t xml:space="preserve"> (see Table 1</w:t>
      </w:r>
      <w:r w:rsidR="00C642EA">
        <w:t xml:space="preserve"> below</w:t>
      </w:r>
      <w:r w:rsidR="00077E42">
        <w:t>)</w:t>
      </w:r>
      <w:r w:rsidR="0064608F">
        <w:t xml:space="preserve">.  EPA also updated the respondent universe to reflect </w:t>
      </w:r>
      <w:r w:rsidR="00B37458">
        <w:t xml:space="preserve">11 magnet wire facilities, 8 of which are active members of </w:t>
      </w:r>
      <w:r w:rsidR="00C642EA">
        <w:t xml:space="preserve">       </w:t>
      </w:r>
      <w:r w:rsidR="00B37458">
        <w:t xml:space="preserve">the NEMA Magnet Wire Section </w:t>
      </w:r>
      <w:r w:rsidR="0064608F">
        <w:t>Environmental Health and Safety (</w:t>
      </w:r>
      <w:r w:rsidR="00B37458">
        <w:t>EHS</w:t>
      </w:r>
      <w:r w:rsidR="0064608F">
        <w:t>)</w:t>
      </w:r>
      <w:r w:rsidR="00B37458">
        <w:t xml:space="preserve"> Committee.  </w:t>
      </w:r>
    </w:p>
    <w:p w:rsidR="00B06037" w:rsidRDefault="00B06037" w:rsidP="00B06037">
      <w:pPr>
        <w:widowControl/>
      </w:pPr>
    </w:p>
    <w:p w:rsidR="00B06037" w:rsidRDefault="00B06037" w:rsidP="00B06037">
      <w:pPr>
        <w:widowControl/>
        <w:ind w:firstLine="720"/>
      </w:pPr>
      <w:r w:rsidRPr="00FD5F8C">
        <w:t xml:space="preserve">It is our policy to respond after a thorough review of comments received since the last ICR renewal as well as those submitted in response to the first </w:t>
      </w:r>
      <w:r w:rsidRPr="00C642EA">
        <w:rPr>
          <w:u w:val="single"/>
        </w:rPr>
        <w:t>Federal Register</w:t>
      </w:r>
      <w:r w:rsidRPr="00FD5F8C">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EF4298">
        <w:rPr>
          <w:color w:val="000000"/>
        </w:rPr>
        <w:t xml:space="preserve">  </w:t>
      </w:r>
      <w:r>
        <w:rPr>
          <w:color w:val="000000"/>
        </w:rPr>
        <w:t xml:space="preserve">are applied and emission limitations are met.  If the information required by these standards </w:t>
      </w:r>
      <w:r w:rsidR="00EF4298">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EF4298">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95C1B" w:rsidRDefault="007151FC">
      <w:pPr>
        <w:pBdr>
          <w:top w:val="single" w:sz="6" w:space="0" w:color="FFFFFF"/>
          <w:left w:val="single" w:sz="6" w:space="0" w:color="FFFFFF"/>
          <w:bottom w:val="single" w:sz="6" w:space="0" w:color="FFFFFF"/>
          <w:right w:val="single" w:sz="6" w:space="0" w:color="FFFFFF"/>
        </w:pBdr>
        <w:ind w:firstLine="720"/>
      </w:pPr>
      <w:r w:rsidRPr="007151FC">
        <w:t>These reporting or recordkeeping requirements do not violate any of the regulations promulgated by OMB under 5 CFR part 1320, section 1320.5.</w:t>
      </w:r>
    </w:p>
    <w:p w:rsidR="00CA4CD6" w:rsidRPr="00595C1B" w:rsidRDefault="00CA4CD6">
      <w:pPr>
        <w:pBdr>
          <w:top w:val="single" w:sz="6" w:space="0" w:color="FFFFFF"/>
          <w:left w:val="single" w:sz="6" w:space="0" w:color="FFFFFF"/>
          <w:bottom w:val="single" w:sz="6" w:space="0" w:color="FFFFFF"/>
          <w:right w:val="single" w:sz="6" w:space="0" w:color="FFFFFF"/>
        </w:pBdr>
      </w:pPr>
    </w:p>
    <w:p w:rsidR="007151FC" w:rsidRPr="007151FC" w:rsidRDefault="007151FC" w:rsidP="007151FC">
      <w:pPr>
        <w:pBdr>
          <w:top w:val="single" w:sz="6" w:space="0" w:color="FFFFFF"/>
          <w:left w:val="single" w:sz="6" w:space="0" w:color="FFFFFF"/>
          <w:bottom w:val="single" w:sz="6" w:space="0" w:color="FFFFFF"/>
          <w:right w:val="single" w:sz="6" w:space="0" w:color="FFFFFF"/>
        </w:pBdr>
        <w:ind w:firstLine="720"/>
      </w:pPr>
      <w:r w:rsidRPr="007151FC">
        <w:t>These standards require the respondents to maintain all records, including reports and notifications for at least five years.  This is consistent with the General Provisions as applied to the standards.  EPA believes that the five</w:t>
      </w:r>
      <w:r w:rsidR="00EF4298">
        <w:t>-</w:t>
      </w:r>
      <w:r w:rsidRPr="007151FC">
        <w:t>year records retention requirement is consistent the Part 70 permit program and the five</w:t>
      </w:r>
      <w:r w:rsidR="00EF4298">
        <w:t>-</w:t>
      </w:r>
      <w:r w:rsidRPr="007151FC">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F429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595C1B">
        <w:t>owners or operators of facilities that perform surface coating of miscellaneous metal parts and products</w:t>
      </w:r>
      <w:r>
        <w:rPr>
          <w:color w:val="000000"/>
        </w:rPr>
        <w:t xml:space="preserve">.  The </w:t>
      </w:r>
      <w:r w:rsidR="000A7665">
        <w:rPr>
          <w:color w:val="000000"/>
        </w:rPr>
        <w:t>United States Standard Industrial Classification</w:t>
      </w:r>
      <w:r w:rsidR="00077E42">
        <w:rPr>
          <w:color w:val="000000"/>
        </w:rPr>
        <w:t xml:space="preserve"> (SIC</w:t>
      </w:r>
      <w:r w:rsidR="000A7665">
        <w:rPr>
          <w:color w:val="000000"/>
        </w:rPr>
        <w:t xml:space="preserve">) </w:t>
      </w:r>
      <w:r w:rsidR="00077E42">
        <w:rPr>
          <w:color w:val="000000"/>
        </w:rPr>
        <w:t xml:space="preserve">codes </w:t>
      </w:r>
      <w:r>
        <w:rPr>
          <w:color w:val="000000"/>
        </w:rPr>
        <w:t>for the respondents affected by the standards</w:t>
      </w:r>
      <w:r w:rsidR="00077E42">
        <w:rPr>
          <w:color w:val="000000"/>
        </w:rPr>
        <w:t>,</w:t>
      </w:r>
      <w:r>
        <w:rPr>
          <w:color w:val="000000"/>
        </w:rPr>
        <w:t xml:space="preserve"> </w:t>
      </w:r>
      <w:r w:rsidR="000A7665">
        <w:rPr>
          <w:color w:val="000000"/>
        </w:rPr>
        <w:t xml:space="preserve">and the </w:t>
      </w:r>
      <w:r>
        <w:rPr>
          <w:color w:val="000000"/>
        </w:rPr>
        <w:t>correspond</w:t>
      </w:r>
      <w:r w:rsidR="000A7665">
        <w:rPr>
          <w:color w:val="000000"/>
        </w:rPr>
        <w:t>ing</w:t>
      </w:r>
      <w:r>
        <w:rPr>
          <w:color w:val="000000"/>
        </w:rPr>
        <w:t xml:space="preserve"> North American Industry Classification System</w:t>
      </w:r>
      <w:r w:rsidR="00077E42">
        <w:rPr>
          <w:color w:val="000000"/>
        </w:rPr>
        <w:t xml:space="preserve"> (NAICS</w:t>
      </w:r>
      <w:r>
        <w:rPr>
          <w:color w:val="000000"/>
        </w:rPr>
        <w:t xml:space="preserve">) </w:t>
      </w:r>
      <w:r w:rsidR="00077E42">
        <w:rPr>
          <w:color w:val="000000"/>
        </w:rPr>
        <w:t xml:space="preserve">codes </w:t>
      </w:r>
      <w:r w:rsidR="000A7665">
        <w:rPr>
          <w:color w:val="000000"/>
        </w:rPr>
        <w:t>are listed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860"/>
        <w:gridCol w:w="1980"/>
        <w:gridCol w:w="2520"/>
      </w:tblGrid>
      <w:tr w:rsidR="00CA4CD6" w:rsidTr="006D725D">
        <w:tc>
          <w:tcPr>
            <w:tcW w:w="4860" w:type="dxa"/>
            <w:tcBorders>
              <w:top w:val="single" w:sz="7" w:space="0" w:color="000000"/>
              <w:left w:val="single" w:sz="7" w:space="0" w:color="000000"/>
              <w:bottom w:val="single" w:sz="6" w:space="0" w:color="FFFFFF"/>
              <w:right w:val="single" w:sz="6" w:space="0" w:color="FFFFFF"/>
            </w:tcBorders>
          </w:tcPr>
          <w:p w:rsidR="00CA4CD6" w:rsidRPr="006B0FB9" w:rsidRDefault="00CA4CD6">
            <w:pPr>
              <w:spacing w:line="120" w:lineRule="exact"/>
              <w:rPr>
                <w:b/>
                <w:color w:val="000000"/>
              </w:rPr>
            </w:pPr>
          </w:p>
          <w:p w:rsidR="00CA4CD6" w:rsidRPr="006B0FB9" w:rsidRDefault="00077E42" w:rsidP="00FE241F">
            <w:pPr>
              <w:pBdr>
                <w:top w:val="single" w:sz="6" w:space="0" w:color="FFFFFF"/>
                <w:left w:val="single" w:sz="6" w:space="0" w:color="FFFFFF"/>
                <w:bottom w:val="single" w:sz="6" w:space="0" w:color="FFFFFF"/>
                <w:right w:val="single" w:sz="6" w:space="0" w:color="FFFFFF"/>
              </w:pBdr>
              <w:spacing w:after="54"/>
              <w:jc w:val="center"/>
              <w:rPr>
                <w:bCs/>
              </w:rPr>
            </w:pPr>
            <w:r>
              <w:rPr>
                <w:b/>
                <w:bCs/>
              </w:rPr>
              <w:t>Standard (</w:t>
            </w:r>
            <w:r w:rsidR="007151FC" w:rsidRPr="007151FC">
              <w:rPr>
                <w:b/>
              </w:rPr>
              <w:t xml:space="preserve">40 CFR </w:t>
            </w:r>
            <w:r>
              <w:rPr>
                <w:b/>
              </w:rPr>
              <w:t>P</w:t>
            </w:r>
            <w:r w:rsidR="007151FC" w:rsidRPr="007151FC">
              <w:rPr>
                <w:b/>
              </w:rPr>
              <w:t xml:space="preserve">art 63, </w:t>
            </w:r>
            <w:r>
              <w:rPr>
                <w:b/>
              </w:rPr>
              <w:t>S</w:t>
            </w:r>
            <w:r w:rsidR="007151FC" w:rsidRPr="007151FC">
              <w:rPr>
                <w:b/>
              </w:rPr>
              <w:t>ubpart MMMM</w:t>
            </w:r>
            <w:r>
              <w:rPr>
                <w:b/>
              </w:rPr>
              <w:t>)</w:t>
            </w:r>
          </w:p>
        </w:tc>
        <w:tc>
          <w:tcPr>
            <w:tcW w:w="198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rsidP="00FE241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52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rsidP="00FE241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B0FB9" w:rsidTr="006D725D">
        <w:tc>
          <w:tcPr>
            <w:tcW w:w="4860" w:type="dxa"/>
            <w:tcBorders>
              <w:top w:val="single" w:sz="7" w:space="0" w:color="000000"/>
              <w:left w:val="single" w:sz="7" w:space="0" w:color="000000"/>
              <w:bottom w:val="single" w:sz="6" w:space="0" w:color="FFFFFF"/>
              <w:right w:val="single" w:sz="6" w:space="0" w:color="FFFFFF"/>
            </w:tcBorders>
          </w:tcPr>
          <w:p w:rsidR="006B0FB9" w:rsidRDefault="006B0FB9">
            <w:pPr>
              <w:spacing w:line="120" w:lineRule="exact"/>
              <w:rPr>
                <w:b/>
                <w:bCs/>
                <w:color w:val="000000"/>
              </w:rPr>
            </w:pPr>
          </w:p>
          <w:p w:rsidR="006B0FB9" w:rsidRDefault="006B0FB9" w:rsidP="004C701D">
            <w:pPr>
              <w:pBdr>
                <w:top w:val="single" w:sz="6" w:space="0" w:color="FFFFFF"/>
                <w:left w:val="single" w:sz="6" w:space="0" w:color="FFFFFF"/>
                <w:bottom w:val="single" w:sz="6" w:space="0" w:color="FFFFFF"/>
                <w:right w:val="single" w:sz="6" w:space="0" w:color="FFFFFF"/>
              </w:pBdr>
              <w:spacing w:after="54"/>
              <w:rPr>
                <w:color w:val="000000"/>
              </w:rPr>
            </w:pPr>
            <w:r>
              <w:t>Engines and Turbines, Aircraft Engines and Engine Parts, Aircraft Parts and Auxiliary Equipment</w:t>
            </w:r>
            <w:r w:rsidDel="006B0FB9">
              <w:rPr>
                <w:color w:val="FF0000"/>
              </w:rPr>
              <w:t xml:space="preserve"> </w:t>
            </w:r>
          </w:p>
        </w:tc>
        <w:tc>
          <w:tcPr>
            <w:tcW w:w="1980" w:type="dxa"/>
            <w:tcBorders>
              <w:top w:val="single" w:sz="7" w:space="0" w:color="000000"/>
              <w:left w:val="single" w:sz="7" w:space="0" w:color="000000"/>
              <w:bottom w:val="single" w:sz="6" w:space="0" w:color="FFFFFF"/>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 xml:space="preserve">3724, 3728, 376X, </w:t>
            </w:r>
          </w:p>
        </w:tc>
        <w:tc>
          <w:tcPr>
            <w:tcW w:w="2520" w:type="dxa"/>
            <w:tcBorders>
              <w:top w:val="single" w:sz="7" w:space="0" w:color="000000"/>
              <w:left w:val="single" w:sz="7" w:space="0" w:color="000000"/>
              <w:bottom w:val="single" w:sz="6" w:space="0" w:color="FFFFFF"/>
              <w:right w:val="single" w:sz="7" w:space="0" w:color="000000"/>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336413, 336414, 336415, 54171</w:t>
            </w:r>
          </w:p>
        </w:tc>
      </w:tr>
      <w:tr w:rsidR="006B0FB9" w:rsidTr="006D725D">
        <w:tc>
          <w:tcPr>
            <w:tcW w:w="4860" w:type="dxa"/>
            <w:tcBorders>
              <w:top w:val="single" w:sz="7" w:space="0" w:color="000000"/>
              <w:left w:val="single" w:sz="7" w:space="0" w:color="000000"/>
              <w:bottom w:val="single" w:sz="6" w:space="0" w:color="FFFFFF"/>
              <w:right w:val="single" w:sz="6" w:space="0" w:color="FFFFFF"/>
            </w:tcBorders>
          </w:tcPr>
          <w:p w:rsidR="006B0FB9" w:rsidRDefault="006B0FB9">
            <w:pPr>
              <w:spacing w:line="120" w:lineRule="exact"/>
              <w:rPr>
                <w:color w:val="000000"/>
              </w:rPr>
            </w:pPr>
          </w:p>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Motor Vehicles and Motor Vehicle Equipment</w:t>
            </w:r>
          </w:p>
        </w:tc>
        <w:tc>
          <w:tcPr>
            <w:tcW w:w="1980" w:type="dxa"/>
            <w:tcBorders>
              <w:top w:val="single" w:sz="7" w:space="0" w:color="000000"/>
              <w:left w:val="single" w:sz="7" w:space="0" w:color="000000"/>
              <w:bottom w:val="single" w:sz="6" w:space="0" w:color="FFFFFF"/>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3711, 3713, 3714, 3292, 3429, 3465, 3694, 3829</w:t>
            </w:r>
          </w:p>
        </w:tc>
        <w:tc>
          <w:tcPr>
            <w:tcW w:w="2520" w:type="dxa"/>
            <w:tcBorders>
              <w:top w:val="single" w:sz="7" w:space="0" w:color="000000"/>
              <w:left w:val="single" w:sz="7" w:space="0" w:color="000000"/>
              <w:bottom w:val="single" w:sz="6" w:space="0" w:color="FFFFFF"/>
              <w:right w:val="single" w:sz="7" w:space="0" w:color="000000"/>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335312, 336111, 336211, 336312, 33632, 33633, 33634, 33637, 336399</w:t>
            </w:r>
          </w:p>
        </w:tc>
      </w:tr>
      <w:tr w:rsidR="006B0FB9" w:rsidTr="006D725D">
        <w:tc>
          <w:tcPr>
            <w:tcW w:w="4860" w:type="dxa"/>
            <w:tcBorders>
              <w:top w:val="single" w:sz="7" w:space="0" w:color="000000"/>
              <w:left w:val="single" w:sz="7" w:space="0" w:color="000000"/>
              <w:bottom w:val="single" w:sz="6" w:space="0" w:color="FFFFFF"/>
              <w:right w:val="single" w:sz="6" w:space="0" w:color="FFFFFF"/>
            </w:tcBorders>
          </w:tcPr>
          <w:p w:rsidR="006B0FB9" w:rsidRDefault="006B0FB9">
            <w:pPr>
              <w:spacing w:line="120" w:lineRule="exact"/>
              <w:rPr>
                <w:color w:val="000000"/>
              </w:rPr>
            </w:pPr>
          </w:p>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Rolling, Drawing, and Extruding of Nonferrous Metals</w:t>
            </w:r>
          </w:p>
        </w:tc>
        <w:tc>
          <w:tcPr>
            <w:tcW w:w="1980" w:type="dxa"/>
            <w:tcBorders>
              <w:top w:val="single" w:sz="7" w:space="0" w:color="000000"/>
              <w:left w:val="single" w:sz="7" w:space="0" w:color="000000"/>
              <w:bottom w:val="single" w:sz="6" w:space="0" w:color="FFFFFF"/>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3354, 3365, 3442, 3446</w:t>
            </w:r>
          </w:p>
        </w:tc>
        <w:tc>
          <w:tcPr>
            <w:tcW w:w="2520" w:type="dxa"/>
            <w:tcBorders>
              <w:top w:val="single" w:sz="7" w:space="0" w:color="000000"/>
              <w:left w:val="single" w:sz="7" w:space="0" w:color="000000"/>
              <w:bottom w:val="single" w:sz="6" w:space="0" w:color="FFFFFF"/>
              <w:right w:val="single" w:sz="7" w:space="0" w:color="000000"/>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331316, 331524, 332321, 332323</w:t>
            </w:r>
          </w:p>
        </w:tc>
      </w:tr>
      <w:tr w:rsidR="006B0FB9" w:rsidTr="006D725D">
        <w:tc>
          <w:tcPr>
            <w:tcW w:w="4860" w:type="dxa"/>
            <w:tcBorders>
              <w:top w:val="single" w:sz="7" w:space="0" w:color="000000"/>
              <w:left w:val="single" w:sz="7" w:space="0" w:color="000000"/>
              <w:bottom w:val="single" w:sz="6" w:space="0" w:color="FFFFFF"/>
              <w:right w:val="single" w:sz="6" w:space="0" w:color="FFFFFF"/>
            </w:tcBorders>
          </w:tcPr>
          <w:p w:rsidR="006B0FB9" w:rsidRDefault="006B0FB9">
            <w:pPr>
              <w:spacing w:line="120" w:lineRule="exact"/>
              <w:rPr>
                <w:color w:val="000000"/>
              </w:rPr>
            </w:pPr>
          </w:p>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Farm and Garden Machinery and Equipment, Construction Machinery and Equipment</w:t>
            </w:r>
          </w:p>
        </w:tc>
        <w:tc>
          <w:tcPr>
            <w:tcW w:w="1980" w:type="dxa"/>
            <w:tcBorders>
              <w:top w:val="single" w:sz="7" w:space="0" w:color="000000"/>
              <w:left w:val="single" w:sz="7" w:space="0" w:color="000000"/>
              <w:bottom w:val="single" w:sz="6" w:space="0" w:color="FFFFFF"/>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3511, 3519, 352X, 353X,</w:t>
            </w:r>
          </w:p>
        </w:tc>
        <w:tc>
          <w:tcPr>
            <w:tcW w:w="2520" w:type="dxa"/>
            <w:tcBorders>
              <w:top w:val="single" w:sz="7" w:space="0" w:color="000000"/>
              <w:left w:val="single" w:sz="7" w:space="0" w:color="000000"/>
              <w:bottom w:val="single" w:sz="6" w:space="0" w:color="FFFFFF"/>
              <w:right w:val="single" w:sz="7" w:space="0" w:color="000000"/>
            </w:tcBorders>
          </w:tcPr>
          <w:p w:rsidR="006B0FB9" w:rsidRDefault="006B0FB9">
            <w:pPr>
              <w:pBdr>
                <w:top w:val="single" w:sz="6" w:space="0" w:color="FFFFFF"/>
                <w:left w:val="single" w:sz="6" w:space="0" w:color="FFFFFF"/>
                <w:bottom w:val="single" w:sz="6" w:space="0" w:color="FFFFFF"/>
                <w:right w:val="single" w:sz="6" w:space="0" w:color="FFFFFF"/>
              </w:pBdr>
              <w:spacing w:after="54"/>
              <w:rPr>
                <w:color w:val="000000"/>
              </w:rPr>
            </w:pPr>
            <w:r>
              <w:t xml:space="preserve">33312, 333611, 333618 </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rPr>
                <w:color w:val="000000"/>
              </w:rPr>
            </w:pPr>
            <w:r>
              <w:t>Coat Products by Job and Customer Rather than Coating the One Product or Group of Products</w:t>
            </w:r>
          </w:p>
        </w:tc>
        <w:tc>
          <w:tcPr>
            <w:tcW w:w="198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rPr>
                <w:color w:val="000000"/>
              </w:rPr>
            </w:pPr>
            <w:r>
              <w:t>3441, 3471, 3499, 3999</w:t>
            </w:r>
          </w:p>
        </w:tc>
        <w:tc>
          <w:tcPr>
            <w:tcW w:w="2520" w:type="dxa"/>
            <w:tcBorders>
              <w:top w:val="single" w:sz="7" w:space="0" w:color="000000"/>
              <w:left w:val="single" w:sz="7" w:space="0" w:color="000000"/>
              <w:bottom w:val="single" w:sz="7" w:space="0" w:color="000000"/>
              <w:right w:val="single" w:sz="7" w:space="0" w:color="000000"/>
            </w:tcBorders>
          </w:tcPr>
          <w:p w:rsidR="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332312, 332722, 332813, 332991, 332999, 334119, 336413, 339999</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7151FC" w:rsidRDefault="006B0FB9" w:rsidP="007151FC">
            <w:pPr>
              <w:pBdr>
                <w:top w:val="single" w:sz="6" w:space="0" w:color="FFFFFF"/>
                <w:left w:val="single" w:sz="6" w:space="0" w:color="FFFFFF"/>
                <w:bottom w:val="single" w:sz="6" w:space="0" w:color="FFFFFF"/>
                <w:right w:val="single" w:sz="6" w:space="0" w:color="FFFFFF"/>
              </w:pBdr>
              <w:tabs>
                <w:tab w:val="left" w:pos="992"/>
              </w:tabs>
              <w:spacing w:after="73"/>
            </w:pPr>
            <w:r>
              <w:t>Motor Vehicles and Motor Vehicle Equipment</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3711, 3713, 3716</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33612, 336211</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Rolling, Drawing, and Extruding of Nonferrous Metal Wire</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3351, 3357</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331319, 331422, 335929</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Prefabricated Metal Buildings and Components</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3448</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332311</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Metal Shipping Barrels, Drums, Kegs, and Pails</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2655, 3089, 3325, 3412, 3443, 5085</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33242, 81131, 322214, 326199, 331513, 332439</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7151FC" w:rsidRDefault="006B0FB9" w:rsidP="007151FC">
            <w:pPr>
              <w:pBdr>
                <w:top w:val="single" w:sz="6" w:space="0" w:color="FFFFFF"/>
                <w:left w:val="single" w:sz="6" w:space="0" w:color="FFFFFF"/>
                <w:bottom w:val="single" w:sz="6" w:space="0" w:color="FFFFFF"/>
                <w:right w:val="single" w:sz="6" w:space="0" w:color="FFFFFF"/>
              </w:pBdr>
              <w:tabs>
                <w:tab w:val="left" w:pos="951"/>
              </w:tabs>
              <w:spacing w:after="73"/>
            </w:pPr>
            <w:r>
              <w:t>Primary Metal Industries</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 xml:space="preserve">331X, 332X, 336X, 3399 </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331111, 331513, 33121, 331221, 331511</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Transportation Equipment</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3731, 3743, 4011, 4741</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33651, 336611, 482111</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lastRenderedPageBreak/>
              <w:t>Transportation Equipment</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 xml:space="preserve">3083, 3354, 3713, 3714, 3716, 375X, 3792 </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 xml:space="preserve">3369, 331316, 336991, 336211, 336112, 336213, 336214, 336399 </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Fabricated Rubber Products (applied to metal)</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3061, 3069, 3479</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326291, 326299</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Fabricated Structural Metal Products</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3441, 3448</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332311, 332312</w:t>
            </w:r>
          </w:p>
        </w:tc>
      </w:tr>
      <w:tr w:rsidR="006B0FB9" w:rsidTr="006D725D">
        <w:tc>
          <w:tcPr>
            <w:tcW w:w="4860" w:type="dxa"/>
            <w:tcBorders>
              <w:top w:val="single" w:sz="7" w:space="0" w:color="000000"/>
              <w:left w:val="single" w:sz="7" w:space="0" w:color="000000"/>
              <w:bottom w:val="single" w:sz="7" w:space="0" w:color="000000"/>
              <w:right w:val="single" w:sz="6" w:space="0" w:color="FFFFFF"/>
            </w:tcBorders>
          </w:tcPr>
          <w:p w:rsidR="006B0FB9" w:rsidRDefault="006B0FB9">
            <w:pPr>
              <w:pBdr>
                <w:top w:val="single" w:sz="6" w:space="0" w:color="FFFFFF"/>
                <w:left w:val="single" w:sz="6" w:space="0" w:color="FFFFFF"/>
                <w:bottom w:val="single" w:sz="6" w:space="0" w:color="FFFFFF"/>
                <w:right w:val="single" w:sz="6" w:space="0" w:color="FFFFFF"/>
              </w:pBdr>
              <w:spacing w:after="73"/>
            </w:pPr>
            <w:r>
              <w:t>Transportation Equipment Not Listed Otherwise</w:t>
            </w:r>
          </w:p>
        </w:tc>
        <w:tc>
          <w:tcPr>
            <w:tcW w:w="1980" w:type="dxa"/>
            <w:tcBorders>
              <w:top w:val="single" w:sz="7" w:space="0" w:color="000000"/>
              <w:left w:val="single" w:sz="7" w:space="0" w:color="000000"/>
              <w:bottom w:val="single" w:sz="7" w:space="0" w:color="000000"/>
              <w:right w:val="single" w:sz="6" w:space="0" w:color="FFFFFF"/>
            </w:tcBorders>
          </w:tcPr>
          <w:p w:rsidR="006B0FB9" w:rsidDel="006B0FB9" w:rsidRDefault="006B0FB9">
            <w:pPr>
              <w:pBdr>
                <w:top w:val="single" w:sz="6" w:space="0" w:color="FFFFFF"/>
                <w:left w:val="single" w:sz="6" w:space="0" w:color="FFFFFF"/>
                <w:bottom w:val="single" w:sz="6" w:space="0" w:color="FFFFFF"/>
                <w:right w:val="single" w:sz="6" w:space="0" w:color="FFFFFF"/>
              </w:pBdr>
              <w:spacing w:after="73"/>
              <w:rPr>
                <w:color w:val="000000"/>
              </w:rPr>
            </w:pPr>
            <w:r>
              <w:t xml:space="preserve">3711, 3519, 3714, 3715, 3795, 3621, </w:t>
            </w:r>
          </w:p>
        </w:tc>
        <w:tc>
          <w:tcPr>
            <w:tcW w:w="2520" w:type="dxa"/>
            <w:tcBorders>
              <w:top w:val="single" w:sz="7" w:space="0" w:color="000000"/>
              <w:left w:val="single" w:sz="7" w:space="0" w:color="000000"/>
              <w:bottom w:val="single" w:sz="7" w:space="0" w:color="000000"/>
              <w:right w:val="single" w:sz="7" w:space="0" w:color="000000"/>
            </w:tcBorders>
          </w:tcPr>
          <w:p w:rsidR="006B0FB9" w:rsidDel="006B0FB9" w:rsidRDefault="006B0FB9" w:rsidP="006D725D">
            <w:pPr>
              <w:pBdr>
                <w:top w:val="single" w:sz="6" w:space="0" w:color="FFFFFF"/>
                <w:left w:val="single" w:sz="6" w:space="0" w:color="FFFFFF"/>
                <w:bottom w:val="single" w:sz="6" w:space="0" w:color="FFFFFF"/>
                <w:right w:val="single" w:sz="6" w:space="0" w:color="FFFFFF"/>
              </w:pBdr>
              <w:spacing w:after="73"/>
              <w:rPr>
                <w:color w:val="000000"/>
              </w:rPr>
            </w:pPr>
            <w:r>
              <w:t xml:space="preserve">336212, 336999, </w:t>
            </w:r>
            <w:r w:rsidR="006D725D">
              <w:t xml:space="preserve">56211 </w:t>
            </w:r>
            <w:r>
              <w:t xml:space="preserve">33635, 56121, 8111,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95C1B" w:rsidRDefault="007151FC">
      <w:pPr>
        <w:pBdr>
          <w:top w:val="single" w:sz="6" w:space="0" w:color="FFFFFF"/>
          <w:left w:val="single" w:sz="6" w:space="0" w:color="FFFFFF"/>
          <w:bottom w:val="single" w:sz="6" w:space="0" w:color="FFFFFF"/>
          <w:right w:val="single" w:sz="6" w:space="0" w:color="FFFFFF"/>
        </w:pBdr>
        <w:ind w:firstLine="720"/>
      </w:pPr>
      <w:r w:rsidRPr="007151FC">
        <w:t xml:space="preserve">In this ICR, all the data that is recorded or reported is required by </w:t>
      </w:r>
      <w:r w:rsidR="00077E42">
        <w:t xml:space="preserve">the </w:t>
      </w:r>
      <w:r w:rsidRPr="007151FC">
        <w:t xml:space="preserve">NESHAP for </w:t>
      </w:r>
      <w:r w:rsidRPr="007151FC">
        <w:rPr>
          <w:bCs/>
        </w:rPr>
        <w:t>Miscellaneous Metal Parts and Products</w:t>
      </w:r>
      <w:r w:rsidRPr="007151FC">
        <w:t xml:space="preserve"> (40 CFR </w:t>
      </w:r>
      <w:r w:rsidR="00077E42">
        <w:t>P</w:t>
      </w:r>
      <w:r w:rsidRPr="007151FC">
        <w:t xml:space="preserve">art 63, </w:t>
      </w:r>
      <w:r w:rsidR="00077E42">
        <w:t>S</w:t>
      </w:r>
      <w:r w:rsidRPr="007151FC">
        <w:t xml:space="preserve">ubpart MMMM).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595C1B" w:rsidRDefault="00595C1B">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tblPr>
      <w:tblGrid>
        <w:gridCol w:w="6390"/>
        <w:gridCol w:w="2970"/>
      </w:tblGrid>
      <w:tr w:rsidR="00595C1B" w:rsidTr="00077E42">
        <w:trPr>
          <w:cantSplit/>
          <w:tblHeader/>
          <w:jc w:val="center"/>
        </w:trPr>
        <w:tc>
          <w:tcPr>
            <w:tcW w:w="9360" w:type="dxa"/>
            <w:gridSpan w:val="2"/>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spacing w:after="58"/>
              <w:jc w:val="center"/>
              <w:rPr>
                <w:b/>
              </w:rPr>
            </w:pPr>
            <w:r>
              <w:rPr>
                <w:b/>
              </w:rPr>
              <w:t>Notification Reports</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Initial Notification</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63.3910(b)</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Notification of Compliance Status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63.3910(c)</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Notification of construction or reconstruction</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63.9(b)</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Notification of actual date of initial startup</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63.9(b)</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Notification of intent to conduct a performance test</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63.7(b); 63.9(e); 63.3910(a)</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Periodic reports  (semiannual)</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63.3920(a)</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 xml:space="preserve">Statement of compliance (if no </w:t>
            </w:r>
            <w:proofErr w:type="spellStart"/>
            <w:r>
              <w:t>exceedances</w:t>
            </w:r>
            <w:proofErr w:type="spellEnd"/>
            <w:r>
              <w:t xml:space="preserve"> occurred)</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63.3920(a)</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 xml:space="preserve">Average monitoring data for any periods where </w:t>
            </w:r>
            <w:proofErr w:type="spellStart"/>
            <w:r>
              <w:t>exceedances</w:t>
            </w:r>
            <w:proofErr w:type="spellEnd"/>
            <w:r>
              <w:t xml:space="preserve"> or excursions occur</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63.3920(a)</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 xml:space="preserve">Periods of monitoring system downtime </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63.3920(a)</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Results of any performance tests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63.3920(b)</w:t>
            </w:r>
          </w:p>
        </w:tc>
      </w:tr>
      <w:tr w:rsidR="00595C1B" w:rsidTr="00700F18">
        <w:trPr>
          <w:cantSplit/>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Startup, shutdown, malfunction reports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63.3920(c)</w:t>
            </w:r>
          </w:p>
        </w:tc>
      </w:tr>
    </w:tbl>
    <w:p w:rsidR="007151FC" w:rsidRDefault="007151FC" w:rsidP="007151F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7151FC" w:rsidRPr="007151FC" w:rsidRDefault="007151FC" w:rsidP="007151FC">
      <w:pPr>
        <w:pBdr>
          <w:top w:val="single" w:sz="6" w:space="0" w:color="FFFFFF"/>
          <w:left w:val="single" w:sz="6" w:space="0" w:color="FFFFFF"/>
          <w:bottom w:val="single" w:sz="6" w:space="0" w:color="FFFFFF"/>
          <w:right w:val="single" w:sz="6" w:space="0" w:color="FFFFFF"/>
        </w:pBdr>
        <w:ind w:firstLine="720"/>
        <w:jc w:val="center"/>
        <w:rPr>
          <w:b/>
          <w:color w:val="000000"/>
        </w:rPr>
      </w:pPr>
    </w:p>
    <w:tbl>
      <w:tblPr>
        <w:tblW w:w="0" w:type="auto"/>
        <w:jc w:val="center"/>
        <w:tblLayout w:type="fixed"/>
        <w:tblCellMar>
          <w:left w:w="120" w:type="dxa"/>
          <w:right w:w="120" w:type="dxa"/>
        </w:tblCellMar>
        <w:tblLook w:val="0000"/>
      </w:tblPr>
      <w:tblGrid>
        <w:gridCol w:w="6390"/>
        <w:gridCol w:w="2970"/>
      </w:tblGrid>
      <w:tr w:rsidR="00595C1B" w:rsidRPr="00595C1B" w:rsidTr="00595C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151FC" w:rsidRPr="007151FC" w:rsidRDefault="007151FC" w:rsidP="007151FC">
            <w:pPr>
              <w:pBdr>
                <w:top w:val="single" w:sz="6" w:space="0" w:color="FFFFFF"/>
                <w:left w:val="single" w:sz="6" w:space="0" w:color="FFFFFF"/>
                <w:bottom w:val="single" w:sz="6" w:space="0" w:color="FFFFFF"/>
                <w:right w:val="single" w:sz="6" w:space="0" w:color="FFFFFF"/>
              </w:pBdr>
              <w:jc w:val="center"/>
              <w:rPr>
                <w:b/>
                <w:color w:val="000000"/>
              </w:rPr>
            </w:pPr>
            <w:r w:rsidRPr="007151FC">
              <w:rPr>
                <w:b/>
                <w:color w:val="000000"/>
              </w:rPr>
              <w:t>Recordkeeping</w:t>
            </w:r>
          </w:p>
        </w:tc>
      </w:tr>
      <w:tr w:rsidR="00595C1B" w:rsidTr="006E3F3C">
        <w:trPr>
          <w:jc w:val="center"/>
        </w:trPr>
        <w:tc>
          <w:tcPr>
            <w:tcW w:w="6390" w:type="dxa"/>
            <w:tcBorders>
              <w:top w:val="single" w:sz="8" w:space="0" w:color="000000"/>
              <w:left w:val="single" w:sz="8" w:space="0" w:color="000000"/>
              <w:bottom w:val="single" w:sz="8"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snapToGrid w:val="0"/>
            </w:pPr>
            <w:r>
              <w:t>Five-year retention of records</w:t>
            </w:r>
          </w:p>
        </w:tc>
        <w:tc>
          <w:tcPr>
            <w:tcW w:w="2970" w:type="dxa"/>
            <w:tcBorders>
              <w:top w:val="single" w:sz="8" w:space="0" w:color="000000"/>
              <w:left w:val="single" w:sz="8" w:space="0" w:color="000000"/>
              <w:bottom w:val="single" w:sz="8" w:space="0" w:color="000000"/>
              <w:right w:val="single" w:sz="8"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snapToGrid w:val="0"/>
            </w:pPr>
            <w:r>
              <w:t>63.10(b)(1)</w:t>
            </w:r>
          </w:p>
        </w:tc>
      </w:tr>
      <w:tr w:rsidR="00595C1B" w:rsidTr="006E3F3C">
        <w:trPr>
          <w:jc w:val="center"/>
        </w:trPr>
        <w:tc>
          <w:tcPr>
            <w:tcW w:w="6390" w:type="dxa"/>
            <w:tcBorders>
              <w:top w:val="single" w:sz="8"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Material formulation data</w:t>
            </w:r>
          </w:p>
        </w:tc>
        <w:tc>
          <w:tcPr>
            <w:tcW w:w="2970" w:type="dxa"/>
            <w:tcBorders>
              <w:top w:val="single" w:sz="8"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63.3930(b)</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Records of HAP content calculations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63.3930(c)</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Copies of Notifications and Reports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63.3930(a)</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Records of names of materials used</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63.3930(d)</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lastRenderedPageBreak/>
              <w:t>HAP fractions in each material used</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63.3930(e)</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Coating solids fraction in each material used</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63.3930(f)</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Density of materials used</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63.3930(g)</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Documentation of waste material shipped offsite</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63.3930(h)</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Startup, shutdown, and malfunction plan/records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63.6(e)(3); 63.3900(c); 63.3930(k)</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Documentation of control device performance tests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63.10(b)(2); 63.3930(k)</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Values measured by continuous monitoring systems</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63.3968</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Monitoring system calibrations, maintenance</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63.3968</w:t>
            </w:r>
          </w:p>
        </w:tc>
      </w:tr>
      <w:tr w:rsidR="00595C1B" w:rsidTr="006E3F3C">
        <w:trPr>
          <w:jc w:val="center"/>
        </w:trPr>
        <w:tc>
          <w:tcPr>
            <w:tcW w:w="6390" w:type="dxa"/>
            <w:tcBorders>
              <w:top w:val="single" w:sz="4" w:space="0" w:color="000000"/>
              <w:left w:val="single" w:sz="4" w:space="0" w:color="000000"/>
              <w:bottom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Periods of monitoring system failure/shutdown</w:t>
            </w:r>
          </w:p>
        </w:tc>
        <w:tc>
          <w:tcPr>
            <w:tcW w:w="2970" w:type="dxa"/>
            <w:tcBorders>
              <w:top w:val="single" w:sz="4" w:space="0" w:color="000000"/>
              <w:left w:val="single" w:sz="4" w:space="0" w:color="000000"/>
              <w:bottom w:val="single" w:sz="4" w:space="0" w:color="000000"/>
              <w:right w:val="single" w:sz="4" w:space="0" w:color="000000"/>
            </w:tcBorders>
            <w:vAlign w:val="center"/>
          </w:tcPr>
          <w:p w:rsidR="00595C1B" w:rsidRDefault="00595C1B" w:rsidP="003D6F38">
            <w:pPr>
              <w:pBdr>
                <w:top w:val="single" w:sz="4" w:space="0" w:color="FFFFFF"/>
                <w:left w:val="single" w:sz="4" w:space="0" w:color="FFFFFF"/>
                <w:bottom w:val="single" w:sz="4" w:space="0" w:color="FFFFFF"/>
                <w:right w:val="single" w:sz="4" w:space="0" w:color="FFFFFF"/>
              </w:pBdr>
              <w:tabs>
                <w:tab w:val="left" w:pos="-1080"/>
              </w:tabs>
            </w:pPr>
            <w:r>
              <w:t>63.3968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595C1B">
        <w:rPr>
          <w:color w:val="000000"/>
        </w:rPr>
        <w:t>respondents</w:t>
      </w:r>
      <w:r>
        <w:rPr>
          <w:color w:val="000000"/>
        </w:rPr>
        <w:t xml:space="preserve"> continue to create reporting systems to transmit data electronically.  However, electronic reporting systems are still not widely used.  At this time, it is estimated that approximately </w:t>
      </w:r>
      <w:r w:rsidR="00077E42">
        <w:rPr>
          <w:color w:val="000000"/>
        </w:rPr>
        <w:t>2</w:t>
      </w:r>
      <w:r>
        <w:rPr>
          <w:color w:val="000000"/>
        </w:rPr>
        <w:t>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6D725D">
        <w:trPr>
          <w:trHeight w:val="388"/>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595C1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7151FC" w:rsidRPr="007151FC">
              <w:t>for the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95C1B">
              <w:t xml:space="preserve">1, 1A, 2, 2A, 2C, 2D, 2F, 2G, 3, 3A, 3B, 4, 24, 25, 25A, 204, 204A, 204B, 204C, 204D, 204E, 204F or 311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151FC" w:rsidRDefault="00595C1B" w:rsidP="007151FC">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t>(</w:t>
      </w:r>
      <w:r w:rsidRPr="00FE2B0F">
        <w:t>e.g., continuous parameter monitoring system</w:t>
      </w:r>
      <w:r>
        <w:t>)</w:t>
      </w:r>
      <w:r w:rsidRPr="00FE2B0F">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0148" w:rsidRDefault="007151FC">
      <w:pPr>
        <w:pBdr>
          <w:top w:val="single" w:sz="6" w:space="0" w:color="FFFFFF"/>
          <w:left w:val="single" w:sz="6" w:space="0" w:color="FFFFFF"/>
          <w:bottom w:val="single" w:sz="6" w:space="0" w:color="FFFFFF"/>
          <w:right w:val="single" w:sz="6" w:space="0" w:color="FFFFFF"/>
        </w:pBdr>
        <w:ind w:firstLine="720"/>
      </w:pPr>
      <w:r w:rsidRPr="007151FC">
        <w:t xml:space="preserve">Following notification of startup, the reviewing authority could inspect the source </w:t>
      </w:r>
      <w:r w:rsidR="00EF4298">
        <w:t xml:space="preserve">         </w:t>
      </w:r>
      <w:r w:rsidRPr="007151FC">
        <w:t>to determine whether the pollution control devices are properly installed and operated.  Performance test reports are used by the Agency to discern a source’s initial capability to</w:t>
      </w:r>
      <w:r w:rsidR="00EF4298">
        <w:t xml:space="preserve"> </w:t>
      </w:r>
      <w:r w:rsidRPr="007151FC">
        <w:t xml:space="preserve">comply with the emission standard.  Data and records maintained by the respondents are tabulated and published for use in compliance and enforcement programs.  The semiannual reports are used for problem identification, as a check on source operation and maintenance, </w:t>
      </w:r>
      <w:r w:rsidR="00EF4298">
        <w:t xml:space="preserve">  </w:t>
      </w:r>
      <w:r w:rsidRPr="007151FC">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w:t>
      </w:r>
      <w:r>
        <w:rPr>
          <w:color w:val="000000"/>
        </w:rPr>
        <w:lastRenderedPageBreak/>
        <w:t xml:space="preserve">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7151FC" w:rsidRPr="007151FC">
        <w:t>for five</w:t>
      </w:r>
      <w:r w:rsidR="00860148">
        <w:rPr>
          <w:color w:val="00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7151FC" w:rsidRDefault="00CA4CD6" w:rsidP="007151FC">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860148">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EF4298">
        <w:rPr>
          <w:color w:val="000000"/>
        </w:rPr>
        <w:t xml:space="preserve">in </w:t>
      </w:r>
      <w:r>
        <w:rPr>
          <w:color w:val="000000"/>
        </w:rPr>
        <w:t xml:space="preserve">Table 1: </w:t>
      </w:r>
      <w:r w:rsidR="00860148" w:rsidRPr="00860148">
        <w:t xml:space="preserve">Annual Respondent Burden and Cost - </w:t>
      </w:r>
      <w:r w:rsidR="00993B43">
        <w:t>NESHAP for Miscellaneous Metal Parts and Products (40 CFR Part 63, Subpart MMMM) (Renewal)</w:t>
      </w:r>
      <w:r w:rsidR="007151FC" w:rsidRPr="007151FC">
        <w:t>.</w:t>
      </w:r>
      <w:r w:rsidR="00860148" w:rsidDel="00860148">
        <w:rPr>
          <w:color w:val="000000"/>
        </w:rPr>
        <w:t xml:space="preserve"> </w:t>
      </w:r>
    </w:p>
    <w:p w:rsidR="007151FC" w:rsidRDefault="007151FC" w:rsidP="007151F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6D725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w:t>
      </w:r>
      <w:r w:rsidR="00B37458">
        <w:rPr>
          <w:color w:val="000000"/>
        </w:rPr>
        <w:t xml:space="preserve"> be 2,254,948</w:t>
      </w:r>
      <w:r w:rsidR="00077E42">
        <w:rPr>
          <w:color w:val="000000"/>
        </w:rPr>
        <w:t xml:space="preserve"> (Total Labor Hours from Table 1</w:t>
      </w:r>
      <w:r w:rsidR="00EF4298">
        <w:rPr>
          <w:color w:val="000000"/>
        </w:rPr>
        <w:t xml:space="preserve"> below</w:t>
      </w:r>
      <w:r w:rsidR="00077E42">
        <w:rPr>
          <w:color w:val="000000"/>
        </w:rPr>
        <w:t>)</w:t>
      </w:r>
      <w:r w:rsidR="00486155">
        <w:rPr>
          <w:color w:val="000000"/>
        </w:rPr>
        <w:t>.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151FC" w:rsidRPr="007151FC">
        <w:t>NESHAP</w:t>
      </w:r>
      <w:r w:rsidR="00B6346B">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EF4298" w:rsidRDefault="00EF4298"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6346B">
        <w:rPr>
          <w:color w:val="000000"/>
        </w:rPr>
        <w:t>121.42</w:t>
      </w:r>
      <w:r>
        <w:rPr>
          <w:color w:val="000000"/>
        </w:rPr>
        <w:t xml:space="preserve"> ($</w:t>
      </w:r>
      <w:r w:rsidR="00B6346B">
        <w:rPr>
          <w:color w:val="000000"/>
        </w:rPr>
        <w:t>57.82</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6346B">
        <w:rPr>
          <w:color w:val="000000"/>
        </w:rPr>
        <w:t>99.14</w:t>
      </w:r>
      <w:r>
        <w:rPr>
          <w:color w:val="000000"/>
        </w:rPr>
        <w:t xml:space="preserve"> ($</w:t>
      </w:r>
      <w:r w:rsidR="00B6346B">
        <w:rPr>
          <w:color w:val="000000"/>
        </w:rPr>
        <w:t>47.21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B6346B">
        <w:rPr>
          <w:color w:val="000000"/>
        </w:rPr>
        <w:t>49.81</w:t>
      </w:r>
      <w:r>
        <w:rPr>
          <w:color w:val="000000"/>
        </w:rPr>
        <w:t xml:space="preserve"> ($</w:t>
      </w:r>
      <w:r w:rsidR="00B6346B">
        <w:rPr>
          <w:color w:val="000000"/>
        </w:rPr>
        <w:t>23.72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6346B">
        <w:rPr>
          <w:color w:val="000000"/>
        </w:rPr>
        <w:t>September 2011</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B6346B" w:rsidRDefault="00B6346B">
      <w:pPr>
        <w:pBdr>
          <w:top w:val="single" w:sz="6" w:space="0" w:color="FFFFFF"/>
          <w:left w:val="single" w:sz="6" w:space="0" w:color="FFFFFF"/>
          <w:bottom w:val="single" w:sz="6" w:space="0" w:color="FFFFFF"/>
          <w:right w:val="single" w:sz="6" w:space="0" w:color="FFFFFF"/>
        </w:pBdr>
        <w:ind w:firstLine="720"/>
        <w:rPr>
          <w:color w:val="000000"/>
        </w:rPr>
      </w:pPr>
    </w:p>
    <w:p w:rsidR="007151FC" w:rsidRDefault="00CA4CD6" w:rsidP="007151F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6D725D">
        <w:rPr>
          <w:color w:val="000000"/>
        </w:rPr>
        <w:t>-</w:t>
      </w:r>
      <w:r>
        <w:rPr>
          <w:color w:val="000000"/>
        </w:rPr>
        <w:t>time costs when a facility becomes subject to the regulation.  The annual operation and maintenance costs are the ongoing costs to maintain the monitor and other costs such as photocopying and postage.</w:t>
      </w:r>
    </w:p>
    <w:p w:rsidR="007151FC" w:rsidRDefault="007151FC" w:rsidP="007151F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530"/>
        <w:gridCol w:w="1440"/>
        <w:gridCol w:w="1260"/>
        <w:gridCol w:w="1350"/>
        <w:gridCol w:w="1350"/>
        <w:gridCol w:w="1260"/>
        <w:gridCol w:w="1170"/>
      </w:tblGrid>
      <w:tr w:rsidR="00A73600" w:rsidTr="00E92CB6">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727D1F">
            <w:pPr>
              <w:keepNext/>
              <w:keepLines/>
              <w:spacing w:line="120" w:lineRule="exact"/>
              <w:rPr>
                <w:color w:val="000000"/>
              </w:rPr>
            </w:pPr>
          </w:p>
          <w:p w:rsidR="00CA4CD6" w:rsidRDefault="00CA4CD6" w:rsidP="00727D1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63424C">
        <w:tc>
          <w:tcPr>
            <w:tcW w:w="1530" w:type="dxa"/>
            <w:tcBorders>
              <w:top w:val="single" w:sz="7" w:space="0" w:color="000000"/>
              <w:left w:val="single" w:sz="7" w:space="0" w:color="000000"/>
              <w:bottom w:val="single" w:sz="6" w:space="0" w:color="FFFFFF"/>
              <w:right w:val="single" w:sz="6" w:space="0" w:color="FFFFFF"/>
            </w:tcBorders>
          </w:tcPr>
          <w:p w:rsidR="00CA4CD6" w:rsidRDefault="00CA4CD6" w:rsidP="00727D1F">
            <w:pPr>
              <w:keepNext/>
              <w:keepLines/>
              <w:spacing w:line="120" w:lineRule="exact"/>
              <w:rPr>
                <w:b/>
                <w:bCs/>
                <w:color w:val="000000"/>
              </w:rPr>
            </w:pPr>
          </w:p>
          <w:p w:rsidR="00CA4CD6" w:rsidRDefault="00CA4CD6" w:rsidP="00727D1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727D1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92CB6" w:rsidRDefault="00E92CB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Total </w:t>
            </w:r>
            <w:r w:rsidR="00CA4CD6">
              <w:rPr>
                <w:color w:val="000000"/>
                <w:sz w:val="20"/>
                <w:szCs w:val="20"/>
              </w:rPr>
              <w:t>Capital/</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63424C">
            <w:pPr>
              <w:keepNext/>
              <w:keepLines/>
              <w:spacing w:line="120" w:lineRule="exact"/>
              <w:jc w:val="center"/>
              <w:rPr>
                <w:color w:val="000000"/>
                <w:sz w:val="20"/>
                <w:szCs w:val="20"/>
              </w:rPr>
            </w:pP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63424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63424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63424C">
        <w:tc>
          <w:tcPr>
            <w:tcW w:w="153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727D1F">
            <w:pPr>
              <w:keepNext/>
              <w:keepLines/>
              <w:spacing w:line="120" w:lineRule="exact"/>
              <w:rPr>
                <w:color w:val="000000"/>
                <w:sz w:val="20"/>
                <w:szCs w:val="20"/>
              </w:rPr>
            </w:pPr>
          </w:p>
          <w:p w:rsidR="007151FC" w:rsidRDefault="00B6346B" w:rsidP="00727D1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CPMS – magnet wire facilities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$50,000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BB5678">
              <w:rPr>
                <w:color w:val="000000"/>
                <w:sz w:val="20"/>
                <w:szCs w:val="20"/>
              </w:rPr>
              <w:t>1</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E92CB6">
            <w:pPr>
              <w:keepNext/>
              <w:keepLines/>
              <w:spacing w:line="120" w:lineRule="exact"/>
              <w:jc w:val="right"/>
              <w:rPr>
                <w:color w:val="000000"/>
                <w:sz w:val="20"/>
                <w:szCs w:val="20"/>
              </w:rPr>
            </w:pPr>
          </w:p>
          <w:p w:rsidR="00CA4CD6" w:rsidRDefault="00BB5678" w:rsidP="00E92CB6">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sz w:val="20"/>
                <w:szCs w:val="20"/>
              </w:rPr>
              <w:t>$55</w:t>
            </w:r>
            <w:r w:rsidR="00B6346B">
              <w:rPr>
                <w:sz w:val="20"/>
                <w:szCs w:val="20"/>
              </w:rPr>
              <w:t>0,000</w:t>
            </w:r>
          </w:p>
        </w:tc>
      </w:tr>
      <w:tr w:rsidR="00CA4CD6" w:rsidTr="0063424C">
        <w:tc>
          <w:tcPr>
            <w:tcW w:w="153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727D1F">
            <w:pPr>
              <w:keepNext/>
              <w:keepLines/>
              <w:spacing w:line="120" w:lineRule="exact"/>
              <w:rPr>
                <w:color w:val="000000"/>
                <w:sz w:val="20"/>
                <w:szCs w:val="20"/>
              </w:rPr>
            </w:pPr>
          </w:p>
          <w:p w:rsidR="003D6F38" w:rsidRDefault="00B6346B" w:rsidP="0063424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CPMS –</w:t>
            </w:r>
            <w:r w:rsidR="0063424C">
              <w:rPr>
                <w:sz w:val="20"/>
                <w:szCs w:val="20"/>
              </w:rPr>
              <w:t xml:space="preserve"> other</w:t>
            </w:r>
            <w:r>
              <w:rPr>
                <w:sz w:val="20"/>
                <w:szCs w:val="20"/>
              </w:rPr>
              <w:t xml:space="preserve"> facilities</w:t>
            </w:r>
            <w:r>
              <w:rPr>
                <w:b/>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$5,000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E92CB6">
            <w:pPr>
              <w:keepNext/>
              <w:keepLines/>
              <w:spacing w:line="120" w:lineRule="exact"/>
              <w:jc w:val="right"/>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sz w:val="20"/>
                <w:szCs w:val="20"/>
              </w:rPr>
              <w:t>$500,000</w:t>
            </w:r>
          </w:p>
        </w:tc>
      </w:tr>
      <w:tr w:rsidR="00CA4CD6" w:rsidTr="0063424C">
        <w:tc>
          <w:tcPr>
            <w:tcW w:w="1530" w:type="dxa"/>
            <w:tcBorders>
              <w:top w:val="single" w:sz="7" w:space="0" w:color="000000"/>
              <w:left w:val="single" w:sz="7" w:space="0" w:color="000000"/>
              <w:bottom w:val="single" w:sz="7" w:space="0" w:color="000000"/>
              <w:right w:val="single" w:sz="6" w:space="0" w:color="FFFFFF"/>
            </w:tcBorders>
          </w:tcPr>
          <w:p w:rsidR="00CA4CD6" w:rsidRDefault="00CA4CD6" w:rsidP="00727D1F">
            <w:pPr>
              <w:keepNext/>
              <w:keepLines/>
              <w:spacing w:line="120" w:lineRule="exact"/>
              <w:rPr>
                <w:color w:val="000000"/>
                <w:sz w:val="20"/>
                <w:szCs w:val="20"/>
              </w:rPr>
            </w:pPr>
          </w:p>
          <w:p w:rsidR="00CA4CD6" w:rsidRDefault="00B6346B" w:rsidP="00727D1F">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CA4CD6" w:rsidP="00E92CB6">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CA4CD6" w:rsidP="00E92CB6">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B6346B" w:rsidP="00E92CB6">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CA4CD6" w:rsidP="00E92CB6">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Default="00CA4CD6" w:rsidP="00E92CB6">
            <w:pPr>
              <w:keepNext/>
              <w:keepLines/>
              <w:spacing w:line="120" w:lineRule="exact"/>
              <w:jc w:val="center"/>
              <w:rPr>
                <w:color w:val="000000"/>
                <w:sz w:val="20"/>
                <w:szCs w:val="20"/>
              </w:rPr>
            </w:pPr>
          </w:p>
          <w:p w:rsidR="00CA4CD6" w:rsidRDefault="00CA4CD6" w:rsidP="00E92CB6">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CA4CD6" w:rsidRDefault="00CA4CD6" w:rsidP="00E92CB6">
            <w:pPr>
              <w:keepNext/>
              <w:keepLines/>
              <w:spacing w:line="120" w:lineRule="exact"/>
              <w:jc w:val="right"/>
              <w:rPr>
                <w:color w:val="000000"/>
                <w:sz w:val="20"/>
                <w:szCs w:val="20"/>
              </w:rPr>
            </w:pPr>
          </w:p>
          <w:p w:rsidR="00CA4CD6" w:rsidRDefault="00BB5678" w:rsidP="00E92CB6">
            <w:pPr>
              <w:keepNext/>
              <w:keepLines/>
              <w:pBdr>
                <w:top w:val="single" w:sz="6" w:space="0" w:color="FFFFFF"/>
                <w:left w:val="single" w:sz="6" w:space="0" w:color="FFFFFF"/>
                <w:bottom w:val="single" w:sz="6" w:space="0" w:color="FFFFFF"/>
                <w:right w:val="single" w:sz="6" w:space="0" w:color="FFFFFF"/>
              </w:pBdr>
              <w:spacing w:after="72"/>
              <w:jc w:val="right"/>
              <w:rPr>
                <w:color w:val="000000"/>
              </w:rPr>
            </w:pPr>
            <w:r>
              <w:rPr>
                <w:sz w:val="20"/>
                <w:szCs w:val="20"/>
              </w:rPr>
              <w:t>$1,05</w:t>
            </w:r>
            <w:r w:rsidR="00B6346B">
              <w:rPr>
                <w:sz w:val="20"/>
                <w:szCs w:val="20"/>
              </w:rPr>
              <w:t>0,000</w:t>
            </w:r>
          </w:p>
        </w:tc>
      </w:tr>
    </w:tbl>
    <w:p w:rsidR="00B6346B" w:rsidRDefault="00CA4CD6" w:rsidP="00B6346B">
      <w:pPr>
        <w:pBdr>
          <w:top w:val="single" w:sz="4" w:space="0" w:color="FFFFFF"/>
          <w:left w:val="single" w:sz="4" w:space="0" w:color="FFFFFF"/>
          <w:bottom w:val="single" w:sz="4" w:space="0" w:color="FFFFFF"/>
          <w:right w:val="single" w:sz="4" w:space="0" w:color="FFFFFF"/>
        </w:pBdr>
        <w:tabs>
          <w:tab w:val="left" w:pos="-1080"/>
        </w:tabs>
        <w:rPr>
          <w:sz w:val="20"/>
          <w:szCs w:val="20"/>
        </w:rPr>
      </w:pPr>
      <w:r>
        <w:rPr>
          <w:color w:val="000000"/>
        </w:rPr>
        <w:t xml:space="preserve"> </w:t>
      </w:r>
      <w:r w:rsidR="00B6346B">
        <w:rPr>
          <w:sz w:val="20"/>
          <w:szCs w:val="20"/>
          <w:vertAlign w:val="superscript"/>
        </w:rPr>
        <w:t xml:space="preserve"> </w:t>
      </w:r>
      <w:r w:rsidR="00B6346B">
        <w:rPr>
          <w:b/>
          <w:sz w:val="20"/>
          <w:szCs w:val="20"/>
          <w:vertAlign w:val="superscript"/>
        </w:rPr>
        <w:t xml:space="preserve"> 1</w:t>
      </w:r>
      <w:r w:rsidR="00B6346B">
        <w:rPr>
          <w:sz w:val="20"/>
          <w:szCs w:val="20"/>
          <w:vertAlign w:val="superscript"/>
        </w:rPr>
        <w:t xml:space="preserve"> </w:t>
      </w:r>
      <w:r w:rsidR="00B6346B">
        <w:rPr>
          <w:sz w:val="20"/>
          <w:szCs w:val="20"/>
        </w:rPr>
        <w:t>An estimated 2 percent of non-magnet wire facilities have installed add-on control devices.  Other facilities comply with the standards by reformulating their coating materials.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B6346B">
        <w:rPr>
          <w:color w:val="000000"/>
        </w:rPr>
        <w:t xml:space="preserve">$0.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operation and maintenance (O&amp;M) costs for this ICR are </w:t>
      </w:r>
      <w:r w:rsidR="00B91480">
        <w:rPr>
          <w:color w:val="000000"/>
        </w:rPr>
        <w:t>$1,05</w:t>
      </w:r>
      <w:r w:rsidR="00B6346B">
        <w:rPr>
          <w:color w:val="000000"/>
        </w:rPr>
        <w:t xml:space="preserve">0,000.  </w:t>
      </w:r>
      <w:r w:rsidR="00507EC5">
        <w:rPr>
          <w:color w:val="000000"/>
        </w:rPr>
        <w:t xml:space="preserve">This is the total of column G. </w:t>
      </w:r>
    </w:p>
    <w:p w:rsidR="00B6346B" w:rsidRDefault="00B6346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634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B91480">
        <w:rPr>
          <w:color w:val="000000"/>
        </w:rPr>
        <w:t>$1,05</w:t>
      </w:r>
      <w:r w:rsidR="00B6346B">
        <w:rPr>
          <w:color w:val="000000"/>
        </w:rPr>
        <w:t>0,000</w:t>
      </w:r>
      <w:r>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B6346B">
        <w:rPr>
          <w:color w:val="000000"/>
        </w:rPr>
        <w:t>the examination</w:t>
      </w:r>
      <w:r>
        <w:rPr>
          <w:color w:val="000000"/>
        </w:rPr>
        <w:t xml:space="preserve"> of records maintained by the respondents</w:t>
      </w:r>
      <w:r w:rsidR="00486155">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86155">
        <w:rPr>
          <w:color w:val="000000"/>
        </w:rPr>
        <w:t>6,20</w:t>
      </w:r>
      <w:r w:rsidR="00B37458">
        <w:rPr>
          <w:color w:val="000000"/>
        </w:rPr>
        <w:t>8</w:t>
      </w:r>
      <w:r w:rsidR="00486155">
        <w:rPr>
          <w:color w:val="000000"/>
        </w:rPr>
        <w:t>,</w:t>
      </w:r>
      <w:r w:rsidR="00B37458">
        <w:rPr>
          <w:color w:val="000000"/>
        </w:rPr>
        <w:t>990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w:t>
      </w:r>
      <w:r w:rsidR="004635AC">
        <w:rPr>
          <w:color w:val="000000"/>
        </w:rPr>
        <w:t>s</w:t>
      </w:r>
      <w:r>
        <w:rPr>
          <w:color w:val="000000"/>
        </w:rPr>
        <w:t xml:space="preserve"> locality</w:t>
      </w:r>
      <w:r w:rsidR="004635AC">
        <w:rPr>
          <w:color w:val="000000"/>
        </w:rPr>
        <w:t xml:space="preserve"> </w:t>
      </w:r>
      <w:r>
        <w:rPr>
          <w:color w:val="000000"/>
        </w:rPr>
        <w:t>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2B3344" w:rsidRPr="00694FE7">
        <w:t xml:space="preserve">Table 2: Average Annual EPA Burden and Cost – </w:t>
      </w:r>
      <w:r w:rsidR="002B3344" w:rsidRPr="00F3285A">
        <w:rPr>
          <w:bCs/>
        </w:rPr>
        <w:t>NESHAP for Miscellaneous Metal Parts and Products (40 CFR Part 63, Subpart MMMM)</w:t>
      </w:r>
      <w:r w:rsidR="002B3344">
        <w:rPr>
          <w:bCs/>
          <w:color w:val="FF0000"/>
        </w:rPr>
        <w:t xml:space="preserve"> </w:t>
      </w:r>
      <w:r w:rsidR="002B3344" w:rsidRPr="004C5E95">
        <w:rPr>
          <w:bCs/>
        </w:rPr>
        <w:t>(Renewal)</w:t>
      </w:r>
      <w:r w:rsidR="002B3344">
        <w:rPr>
          <w:bCs/>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91480">
        <w:rPr>
          <w:color w:val="000000"/>
        </w:rPr>
        <w:t>4,992</w:t>
      </w:r>
      <w:r>
        <w:rPr>
          <w:color w:val="000000"/>
        </w:rPr>
        <w:t xml:space="preserve"> existing respondents will be subject to the standard.  It is estimated that </w:t>
      </w:r>
      <w:r w:rsidR="002B3344">
        <w:rPr>
          <w:color w:val="000000"/>
        </w:rPr>
        <w:t>no</w:t>
      </w:r>
      <w:r w:rsidR="004635AC">
        <w:rPr>
          <w:color w:val="000000"/>
        </w:rPr>
        <w:t xml:space="preserve"> </w:t>
      </w:r>
      <w:r w:rsidR="00077E42">
        <w:rPr>
          <w:color w:val="000000"/>
        </w:rPr>
        <w:t xml:space="preserve">additional </w:t>
      </w:r>
      <w:r>
        <w:rPr>
          <w:color w:val="000000"/>
        </w:rPr>
        <w:t>respondents per year will become subject.  The overall average number of respondents, as shown in the table below</w:t>
      </w:r>
      <w:r w:rsidR="002B3344">
        <w:rPr>
          <w:color w:val="000000"/>
        </w:rPr>
        <w:t>, i</w:t>
      </w:r>
      <w:r>
        <w:rPr>
          <w:color w:val="000000"/>
        </w:rPr>
        <w:t>s</w:t>
      </w:r>
      <w:r w:rsidR="002B3344">
        <w:rPr>
          <w:color w:val="000000"/>
        </w:rPr>
        <w:t xml:space="preserve"> </w:t>
      </w:r>
      <w:r w:rsidR="00B91480">
        <w:rPr>
          <w:color w:val="000000"/>
        </w:rPr>
        <w:t>4,992</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B18A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EF6E46" w:rsidRDefault="00EF6E46" w:rsidP="00BB18AB">
      <w:pPr>
        <w:pBdr>
          <w:top w:val="single" w:sz="6" w:space="0" w:color="FFFFFF"/>
          <w:left w:val="single" w:sz="6" w:space="0" w:color="FFFFFF"/>
          <w:bottom w:val="single" w:sz="6" w:space="0" w:color="FFFFFF"/>
          <w:right w:val="single" w:sz="6" w:space="0" w:color="FFFFFF"/>
        </w:pBdr>
        <w:ind w:firstLine="720"/>
        <w:rPr>
          <w:color w:val="000000"/>
        </w:rPr>
      </w:pPr>
    </w:p>
    <w:p w:rsidR="00EF6E46" w:rsidRDefault="00EF6E46" w:rsidP="00BB18AB">
      <w:pPr>
        <w:pBdr>
          <w:top w:val="single" w:sz="6" w:space="0" w:color="FFFFFF"/>
          <w:left w:val="single" w:sz="6" w:space="0" w:color="FFFFFF"/>
          <w:bottom w:val="single" w:sz="6" w:space="0" w:color="FFFFFF"/>
          <w:right w:val="single" w:sz="6" w:space="0" w:color="FFFFFF"/>
        </w:pBdr>
        <w:ind w:firstLine="720"/>
        <w:rPr>
          <w:color w:val="000000"/>
        </w:rPr>
      </w:pPr>
    </w:p>
    <w:p w:rsidR="00EF6E46" w:rsidRDefault="00EF6E46" w:rsidP="00BB18AB">
      <w:pPr>
        <w:pBdr>
          <w:top w:val="single" w:sz="6" w:space="0" w:color="FFFFFF"/>
          <w:left w:val="single" w:sz="6" w:space="0" w:color="FFFFFF"/>
          <w:bottom w:val="single" w:sz="6" w:space="0" w:color="FFFFFF"/>
          <w:right w:val="single" w:sz="6" w:space="0" w:color="FFFFFF"/>
        </w:pBdr>
        <w:ind w:firstLine="720"/>
        <w:rPr>
          <w:color w:val="000000"/>
        </w:rPr>
      </w:pPr>
    </w:p>
    <w:p w:rsidR="00EF6E46" w:rsidRDefault="00EF6E46" w:rsidP="00BB18AB">
      <w:pPr>
        <w:pBdr>
          <w:top w:val="single" w:sz="6" w:space="0" w:color="FFFFFF"/>
          <w:left w:val="single" w:sz="6" w:space="0" w:color="FFFFFF"/>
          <w:bottom w:val="single" w:sz="6" w:space="0" w:color="FFFFFF"/>
          <w:right w:val="single" w:sz="6" w:space="0" w:color="FFFFFF"/>
        </w:pBdr>
        <w:ind w:firstLine="720"/>
        <w:rPr>
          <w:color w:val="000000"/>
        </w:rPr>
      </w:pPr>
    </w:p>
    <w:p w:rsidR="00EF6E46" w:rsidRDefault="00EF6E46" w:rsidP="00BB18AB">
      <w:pPr>
        <w:pBdr>
          <w:top w:val="single" w:sz="6" w:space="0" w:color="FFFFFF"/>
          <w:left w:val="single" w:sz="6" w:space="0" w:color="FFFFFF"/>
          <w:bottom w:val="single" w:sz="6" w:space="0" w:color="FFFFFF"/>
          <w:right w:val="single" w:sz="6" w:space="0" w:color="FFFFFF"/>
        </w:pBdr>
        <w:ind w:firstLine="720"/>
        <w:rPr>
          <w:color w:val="000000"/>
        </w:rPr>
      </w:pPr>
    </w:p>
    <w:p w:rsidR="00BB18AB" w:rsidRDefault="00BB18AB" w:rsidP="00BB18AB">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BB18AB">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8" w:space="0" w:color="000000"/>
              <w:bottom w:val="single" w:sz="8" w:space="0" w:color="000000"/>
              <w:right w:val="single" w:sz="4" w:space="0" w:color="auto"/>
            </w:tcBorders>
          </w:tcPr>
          <w:p w:rsidR="00CA4CD6" w:rsidRDefault="00CA4CD6" w:rsidP="004635AC">
            <w:pPr>
              <w:spacing w:line="120" w:lineRule="exact"/>
              <w:rPr>
                <w:color w:val="000000"/>
                <w:sz w:val="20"/>
                <w:szCs w:val="20"/>
              </w:rPr>
            </w:pPr>
          </w:p>
          <w:p w:rsidR="00CA4CD6" w:rsidRDefault="00CA4CD6" w:rsidP="004635A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4635A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Tr="00FE241F">
        <w:trPr>
          <w:trHeight w:val="358"/>
        </w:trPr>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4,992</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4,992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4,992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4,992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rPr>
              <w:t>4,992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rPr>
              <w:t>4,992</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rPr>
              <w:t>4,992</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2B334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Default="00B9148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20"/>
                <w:szCs w:val="20"/>
              </w:rPr>
              <w:t>4,992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w:t>
      </w:r>
      <w:r w:rsidR="007151FC" w:rsidRPr="007151FC">
        <w:t xml:space="preserve">ICR is </w:t>
      </w:r>
      <w:r w:rsidR="00B91480">
        <w:t>4,992</w:t>
      </w:r>
      <w:r w:rsidR="007151FC" w:rsidRPr="007151FC">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2B3344">
        <w:trPr>
          <w:tblHeader/>
        </w:trPr>
        <w:tc>
          <w:tcPr>
            <w:tcW w:w="9180" w:type="dxa"/>
            <w:gridSpan w:val="5"/>
          </w:tcPr>
          <w:p w:rsidR="00CA4CD6" w:rsidRDefault="00CA4CD6" w:rsidP="00077E42">
            <w:pPr>
              <w:keepNext/>
              <w:keepLines/>
              <w:spacing w:line="120" w:lineRule="exact"/>
              <w:rPr>
                <w:color w:val="000000"/>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077E42">
            <w:pPr>
              <w:keepNext/>
              <w:keepLines/>
              <w:spacing w:line="120" w:lineRule="exact"/>
              <w:rPr>
                <w:b/>
                <w:bCs/>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077E4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rsidP="00CC1C79">
            <w:pPr>
              <w:keepNext/>
              <w:keepLines/>
              <w:spacing w:line="120" w:lineRule="exact"/>
              <w:rPr>
                <w:color w:val="000000"/>
                <w:sz w:val="18"/>
                <w:szCs w:val="18"/>
              </w:rPr>
            </w:pPr>
          </w:p>
          <w:p w:rsidR="00CA4CD6" w:rsidRDefault="002B3344" w:rsidP="00CC1C7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CC1C79">
            <w:pPr>
              <w:keepNext/>
              <w:keepLines/>
              <w:spacing w:line="120" w:lineRule="exact"/>
              <w:rPr>
                <w:color w:val="000000"/>
                <w:sz w:val="18"/>
                <w:szCs w:val="18"/>
              </w:rPr>
            </w:pPr>
          </w:p>
          <w:p w:rsidR="00CA4CD6" w:rsidRDefault="002B3344" w:rsidP="00CC1C7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Performance Test</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CC1C79">
            <w:pPr>
              <w:keepNext/>
              <w:keepLines/>
              <w:spacing w:line="120" w:lineRule="exact"/>
              <w:rPr>
                <w:color w:val="000000"/>
                <w:sz w:val="18"/>
                <w:szCs w:val="18"/>
              </w:rPr>
            </w:pPr>
          </w:p>
          <w:p w:rsidR="00CA4CD6" w:rsidRDefault="002B3344" w:rsidP="00CC1C7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CC1C79">
            <w:pPr>
              <w:keepNext/>
              <w:keepLines/>
              <w:spacing w:line="120" w:lineRule="exact"/>
              <w:rPr>
                <w:color w:val="000000"/>
                <w:sz w:val="18"/>
                <w:szCs w:val="18"/>
              </w:rPr>
            </w:pPr>
          </w:p>
          <w:p w:rsidR="00CA4CD6" w:rsidRDefault="002B3344" w:rsidP="00CC1C7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tcPr>
          <w:p w:rsidR="00CA4CD6" w:rsidRDefault="00CA4CD6" w:rsidP="00077E42">
            <w:pPr>
              <w:keepNext/>
              <w:keepLines/>
              <w:spacing w:line="120" w:lineRule="exact"/>
              <w:rPr>
                <w:color w:val="000000"/>
                <w:sz w:val="18"/>
                <w:szCs w:val="18"/>
              </w:rPr>
            </w:pPr>
          </w:p>
          <w:p w:rsidR="00CA4CD6" w:rsidRDefault="00B91480"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4,992</w:t>
            </w:r>
          </w:p>
        </w:tc>
        <w:tc>
          <w:tcPr>
            <w:tcW w:w="126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077E42">
            <w:pPr>
              <w:keepNext/>
              <w:keepLines/>
              <w:spacing w:line="120" w:lineRule="exact"/>
              <w:rPr>
                <w:color w:val="000000"/>
                <w:sz w:val="18"/>
                <w:szCs w:val="18"/>
              </w:rPr>
            </w:pPr>
          </w:p>
          <w:p w:rsidR="00CA4CD6" w:rsidRDefault="002B3344"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9,98</w:t>
            </w:r>
            <w:r w:rsidR="00B91480">
              <w:rPr>
                <w:color w:val="000000"/>
                <w:sz w:val="18"/>
                <w:szCs w:val="18"/>
              </w:rPr>
              <w:t>4</w:t>
            </w:r>
          </w:p>
        </w:tc>
      </w:tr>
      <w:tr w:rsidR="00CA4CD6">
        <w:tc>
          <w:tcPr>
            <w:tcW w:w="270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rsidP="00077E42">
            <w:pPr>
              <w:keepNext/>
              <w:keepLines/>
              <w:spacing w:line="120" w:lineRule="exact"/>
              <w:rPr>
                <w:color w:val="000000"/>
                <w:sz w:val="18"/>
                <w:szCs w:val="18"/>
              </w:rPr>
            </w:pPr>
          </w:p>
          <w:p w:rsidR="00CA4CD6" w:rsidRDefault="00CA4CD6" w:rsidP="00077E4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rsidP="00077E42">
            <w:pPr>
              <w:keepNext/>
              <w:keepLines/>
              <w:spacing w:line="120" w:lineRule="exact"/>
              <w:rPr>
                <w:color w:val="000000"/>
                <w:sz w:val="18"/>
                <w:szCs w:val="18"/>
              </w:rPr>
            </w:pPr>
          </w:p>
          <w:p w:rsidR="00CA4CD6" w:rsidRPr="00486155" w:rsidRDefault="007151FC" w:rsidP="00077E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151FC">
              <w:rPr>
                <w:sz w:val="18"/>
                <w:szCs w:val="18"/>
              </w:rPr>
              <w:t>9,98</w:t>
            </w:r>
            <w:r w:rsidR="00B91480">
              <w:rPr>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007151FC" w:rsidRPr="007151FC">
        <w:t>is 9,98</w:t>
      </w:r>
      <w:r w:rsidR="00B91480">
        <w:t>4</w:t>
      </w:r>
      <w:r w:rsidR="002B3344">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486155">
        <w:rPr>
          <w:color w:val="000000"/>
        </w:rPr>
        <w:t xml:space="preserve"> $2</w:t>
      </w:r>
      <w:r w:rsidR="00B523FE">
        <w:rPr>
          <w:color w:val="000000"/>
        </w:rPr>
        <w:t>16,067,118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2B3344">
        <w:rPr>
          <w:color w:val="000000"/>
        </w:rPr>
        <w:t>:</w:t>
      </w:r>
      <w:r>
        <w:rPr>
          <w:color w:val="000000"/>
        </w:rPr>
        <w:t xml:space="preserve"> Annual Respondent Burden and Cost</w:t>
      </w:r>
      <w:r w:rsidR="002B3344">
        <w:rPr>
          <w:color w:val="000000"/>
        </w:rPr>
        <w:t xml:space="preserve"> </w:t>
      </w:r>
      <w:r w:rsidR="008F4D4E">
        <w:rPr>
          <w:color w:val="000000"/>
        </w:rPr>
        <w:t xml:space="preserve">– NESHAP </w:t>
      </w:r>
      <w:r w:rsidR="002B3344" w:rsidRPr="00F3285A">
        <w:rPr>
          <w:bCs/>
        </w:rPr>
        <w:t>for Miscellaneous Metal Parts and Products (40 CFR Part 63, Subpart MMMM)</w:t>
      </w:r>
      <w:r w:rsidR="002B3344">
        <w:rPr>
          <w:bCs/>
          <w:color w:val="FF0000"/>
        </w:rPr>
        <w:t xml:space="preserve"> </w:t>
      </w:r>
      <w:r w:rsidR="002B3344"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7151FC" w:rsidRPr="007151FC">
        <w:t>(below),</w:t>
      </w:r>
      <w:r>
        <w:rPr>
          <w:color w:val="000000"/>
        </w:rPr>
        <w:t xml:space="preserve"> respectively, and summarized below.  </w:t>
      </w:r>
    </w:p>
    <w:p w:rsidR="00EF6E46" w:rsidRDefault="00EF6E46">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B523FE">
        <w:rPr>
          <w:color w:val="000000"/>
        </w:rPr>
        <w:t xml:space="preserve"> 2,254,948</w:t>
      </w:r>
      <w:r w:rsidR="004F06B1">
        <w:rPr>
          <w:color w:val="000000"/>
        </w:rPr>
        <w:t xml:space="preserve"> at a cost of $216,067,118</w:t>
      </w:r>
      <w:r>
        <w:rPr>
          <w:color w:val="000000"/>
        </w:rPr>
        <w:t>.</w:t>
      </w:r>
      <w:r w:rsidR="00507EC5">
        <w:rPr>
          <w:color w:val="000000"/>
        </w:rPr>
        <w:t xml:space="preserve">  </w:t>
      </w:r>
      <w:r>
        <w:rPr>
          <w:color w:val="000000"/>
        </w:rPr>
        <w:t xml:space="preserve">Details regarding these estimates may be found </w:t>
      </w:r>
      <w:r w:rsidR="004F06B1">
        <w:rPr>
          <w:color w:val="000000"/>
        </w:rPr>
        <w:t xml:space="preserve">below </w:t>
      </w:r>
      <w:r>
        <w:rPr>
          <w:color w:val="000000"/>
        </w:rPr>
        <w:t xml:space="preserve">in </w:t>
      </w:r>
      <w:r w:rsidR="002D6576">
        <w:rPr>
          <w:color w:val="000000"/>
        </w:rPr>
        <w:t xml:space="preserve">Table 1: Annual Respondent Burden and Cost </w:t>
      </w:r>
      <w:r w:rsidR="008F4D4E">
        <w:rPr>
          <w:color w:val="000000"/>
        </w:rPr>
        <w:t>–</w:t>
      </w:r>
      <w:r w:rsidR="002D6576">
        <w:rPr>
          <w:color w:val="000000"/>
        </w:rPr>
        <w:t xml:space="preserve"> </w:t>
      </w:r>
      <w:r w:rsidR="002D6576" w:rsidRPr="00F3285A">
        <w:rPr>
          <w:bCs/>
        </w:rPr>
        <w:t>NESHAP for Miscellaneous Metal Parts and Products (40 CFR Part 63, Subpart MMMM)</w:t>
      </w:r>
      <w:r w:rsidR="002D6576">
        <w:rPr>
          <w:bCs/>
          <w:color w:val="FF0000"/>
        </w:rPr>
        <w:t xml:space="preserve"> </w:t>
      </w:r>
      <w:r w:rsidR="002D6576" w:rsidRPr="004C5E95">
        <w:rPr>
          <w:bCs/>
        </w:rPr>
        <w:t>(Renewal)</w:t>
      </w:r>
      <w:r w:rsidR="002D6576">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B523FE">
        <w:rPr>
          <w:color w:val="000000"/>
        </w:rPr>
        <w:t xml:space="preserve"> 226</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91480">
        <w:rPr>
          <w:color w:val="000000"/>
        </w:rPr>
        <w:t>$1,05</w:t>
      </w:r>
      <w:r w:rsidR="002D6576">
        <w:rPr>
          <w:color w:val="000000"/>
        </w:rPr>
        <w:t>0,000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2D6576" w:rsidRDefault="00CA4CD6" w:rsidP="002D657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B523FE">
        <w:rPr>
          <w:color w:val="000000"/>
        </w:rPr>
        <w:t>137,779</w:t>
      </w:r>
      <w:r w:rsidR="00486155">
        <w:rPr>
          <w:color w:val="000000"/>
        </w:rPr>
        <w:t xml:space="preserve"> </w:t>
      </w:r>
      <w:r>
        <w:rPr>
          <w:color w:val="000000"/>
        </w:rPr>
        <w:t>labor hours at a cost of</w:t>
      </w:r>
      <w:r w:rsidR="00B523FE">
        <w:rPr>
          <w:color w:val="000000"/>
        </w:rPr>
        <w:t xml:space="preserve"> $6,208,990</w:t>
      </w:r>
      <w:r w:rsidR="00486155">
        <w:rPr>
          <w:color w:val="000000"/>
        </w:rPr>
        <w:t>.</w:t>
      </w:r>
      <w:r w:rsidR="00144F35">
        <w:rPr>
          <w:color w:val="000000"/>
        </w:rPr>
        <w:t xml:space="preserve">  See </w:t>
      </w:r>
      <w:r w:rsidR="004F06B1">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2D6576">
        <w:rPr>
          <w:bCs/>
        </w:rPr>
        <w:t xml:space="preserve"> </w:t>
      </w:r>
      <w:r w:rsidR="008F4D4E">
        <w:rPr>
          <w:color w:val="000000"/>
        </w:rPr>
        <w:t>–</w:t>
      </w:r>
      <w:r w:rsidR="002D6576">
        <w:rPr>
          <w:bCs/>
        </w:rPr>
        <w:t xml:space="preserve"> </w:t>
      </w:r>
      <w:r w:rsidR="002D6576" w:rsidRPr="00F3285A">
        <w:rPr>
          <w:bCs/>
        </w:rPr>
        <w:t xml:space="preserve">NESHAP for Miscellaneous Metal Parts and Products (40 CFR </w:t>
      </w:r>
      <w:proofErr w:type="gramStart"/>
      <w:r w:rsidR="002D6576" w:rsidRPr="00F3285A">
        <w:rPr>
          <w:bCs/>
        </w:rPr>
        <w:t>Part</w:t>
      </w:r>
      <w:proofErr w:type="gramEnd"/>
      <w:r w:rsidR="002D6576" w:rsidRPr="00F3285A">
        <w:rPr>
          <w:bCs/>
        </w:rPr>
        <w:t xml:space="preserve"> 63, Subpart MMMM)</w:t>
      </w:r>
      <w:r w:rsidR="002D6576">
        <w:rPr>
          <w:bCs/>
          <w:color w:val="FF0000"/>
        </w:rPr>
        <w:t xml:space="preserve"> </w:t>
      </w:r>
      <w:r w:rsidR="002D6576" w:rsidRPr="004C5E95">
        <w:rPr>
          <w:bCs/>
        </w:rPr>
        <w:t>(Renewal)</w:t>
      </w:r>
      <w:r w:rsidR="002D6576">
        <w:rPr>
          <w:color w:val="000000"/>
        </w:rPr>
        <w:t>.</w:t>
      </w:r>
    </w:p>
    <w:p w:rsidR="00CA4CD6" w:rsidRDefault="00CA4CD6" w:rsidP="002D6576">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7151FC" w:rsidRDefault="007151FC" w:rsidP="007151FC">
      <w:pPr>
        <w:pStyle w:val="BodyTextIndent"/>
        <w:ind w:firstLine="0"/>
      </w:pPr>
    </w:p>
    <w:p w:rsidR="008F4D4E" w:rsidRDefault="00394740" w:rsidP="00394740">
      <w:pPr>
        <w:pStyle w:val="BodyTextIndent"/>
      </w:pPr>
      <w:r w:rsidRPr="00832325">
        <w:t>There</w:t>
      </w:r>
      <w:r w:rsidR="002045EE">
        <w:t xml:space="preserve"> is </w:t>
      </w:r>
      <w:r w:rsidR="008F4D4E">
        <w:t>an adjustment decrease in the</w:t>
      </w:r>
      <w:r w:rsidR="00727D1F">
        <w:t xml:space="preserve"> labor hours for the respondent</w:t>
      </w:r>
      <w:r w:rsidR="008F4D4E">
        <w:t xml:space="preserve"> as compared to the most recently approved ICR.  This decrease is not due to any program changes.  The decrease reflects a correction in the “person-hours per occurrence” estimate for magnet wire facilities in Table 1 based on comments received from industry consultation.  The </w:t>
      </w:r>
      <w:r w:rsidR="00727D1F">
        <w:t xml:space="preserve">per-person </w:t>
      </w:r>
      <w:r w:rsidR="008F4D4E">
        <w:t>burden hour es</w:t>
      </w:r>
      <w:r w:rsidR="00727D1F">
        <w:t>timate</w:t>
      </w:r>
      <w:r w:rsidR="008F4D4E">
        <w:t xml:space="preserve"> for line items “5.1 Gather information and monitor” and “6.1 Process/compile and review” </w:t>
      </w:r>
      <w:r w:rsidR="00727D1F">
        <w:t xml:space="preserve">in the previous ICR </w:t>
      </w:r>
      <w:r w:rsidR="008F4D4E">
        <w:t xml:space="preserve">were </w:t>
      </w:r>
      <w:r w:rsidR="00727D1F">
        <w:t xml:space="preserve">incorrectly based on burden estimates for the entire industry sector rather than a single magnet wire facility, and therefore were </w:t>
      </w:r>
      <w:r w:rsidR="008F4D4E">
        <w:t xml:space="preserve">inflated by a factor of ten. </w:t>
      </w:r>
    </w:p>
    <w:p w:rsidR="008F4D4E" w:rsidRDefault="008F4D4E" w:rsidP="00394740">
      <w:pPr>
        <w:pStyle w:val="BodyTextIndent"/>
      </w:pPr>
    </w:p>
    <w:p w:rsidR="00394740" w:rsidRDefault="008F4D4E" w:rsidP="00394740">
      <w:pPr>
        <w:pStyle w:val="BodyTextIndent"/>
      </w:pPr>
      <w:r>
        <w:t xml:space="preserve">There is an increase in the total O&amp;M costs in this ICR as compared to the previous ICR.  This change reflects an update in the respondent universe for the magnet wire industry.  Based on comments received from consultation, EPA updated the number of magnet wire facilities from 10 to 11 to more accurately reflect the potential respondent universe. </w:t>
      </w:r>
    </w:p>
    <w:p w:rsidR="00394740" w:rsidRDefault="00394740" w:rsidP="00394740">
      <w:pPr>
        <w:pStyle w:val="BodyTextIndent"/>
      </w:pPr>
    </w:p>
    <w:p w:rsidR="00394740" w:rsidRDefault="00394740" w:rsidP="00394740">
      <w:pPr>
        <w:pStyle w:val="BodyTextIndent"/>
      </w:pPr>
      <w:r w:rsidRPr="00832325">
        <w:t>In addition, there is an increase in burden costs to both the respondent and the Agency due to an adjustment in labor rates.  This ICR uses the most recent labor rates from the Bureau of Labor Statistics in calculating the labor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94740">
        <w:rPr>
          <w:color w:val="000000"/>
        </w:rPr>
        <w:t xml:space="preserve"> 226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151FC" w:rsidRPr="007151FC">
        <w:t>EPA-HQ-OECA-2011-0254.  An</w:t>
      </w:r>
      <w:r w:rsidR="00354C15" w:rsidRPr="00354C15">
        <w:t xml:space="preserve"> electronic version of the public docket is available at </w:t>
      </w:r>
      <w:r w:rsidR="00354C15" w:rsidRPr="004F06B1">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F06B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486155" w:rsidRPr="00486155">
        <w:t>EPA-HQ-OECA-2011-0254</w:t>
      </w:r>
      <w:r w:rsidR="00486155">
        <w:t xml:space="preserve"> </w:t>
      </w:r>
      <w:r w:rsidR="00CA4CD6">
        <w:t>and OMB Control Number</w:t>
      </w:r>
      <w:r w:rsidR="00486155">
        <w:t xml:space="preserve"> 2060-0486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RDefault="00144F35" w:rsidP="00F340DF">
      <w:pPr>
        <w:rPr>
          <w:b/>
        </w:rPr>
      </w:pPr>
      <w:r w:rsidRPr="00C4183F">
        <w:rPr>
          <w:b/>
          <w:bCs/>
          <w:color w:val="000000"/>
        </w:rPr>
        <w:lastRenderedPageBreak/>
        <w:t>Table 1: Annual Respondent Burden and Cost</w:t>
      </w:r>
      <w:r>
        <w:rPr>
          <w:b/>
          <w:bCs/>
          <w:color w:val="000000"/>
        </w:rPr>
        <w:t xml:space="preserve"> – </w:t>
      </w:r>
      <w:r w:rsidR="00266F69" w:rsidRPr="00993B43">
        <w:rPr>
          <w:b/>
        </w:rPr>
        <w:t xml:space="preserve">NESHAP </w:t>
      </w:r>
      <w:r w:rsidR="00266F69" w:rsidRPr="00896FC2">
        <w:rPr>
          <w:b/>
        </w:rPr>
        <w:t xml:space="preserve">for </w:t>
      </w:r>
      <w:r w:rsidR="00266F69" w:rsidRPr="00896FC2">
        <w:rPr>
          <w:b/>
          <w:bCs/>
        </w:rPr>
        <w:t>Miscellaneous Metal Parts and Products</w:t>
      </w:r>
      <w:r w:rsidR="00266F69" w:rsidRPr="00896FC2">
        <w:rPr>
          <w:b/>
        </w:rPr>
        <w:t xml:space="preserve"> (40 CFR</w:t>
      </w:r>
      <w:r w:rsidR="00266F69" w:rsidRPr="00993B43">
        <w:rPr>
          <w:b/>
        </w:rPr>
        <w:t xml:space="preserve"> </w:t>
      </w:r>
      <w:r w:rsidR="00266F69" w:rsidRPr="00896FC2">
        <w:rPr>
          <w:b/>
        </w:rPr>
        <w:t>Part</w:t>
      </w:r>
      <w:r w:rsidR="00266F69" w:rsidRPr="00993B43">
        <w:rPr>
          <w:b/>
        </w:rPr>
        <w:t xml:space="preserve"> 63, </w:t>
      </w:r>
      <w:r w:rsidR="00266F69" w:rsidRPr="00896FC2">
        <w:rPr>
          <w:b/>
        </w:rPr>
        <w:t>Subpart</w:t>
      </w:r>
      <w:r w:rsidR="00266F69" w:rsidRPr="00993B43">
        <w:rPr>
          <w:b/>
        </w:rPr>
        <w:t xml:space="preserve"> MMMM) </w:t>
      </w:r>
      <w:r w:rsidR="00266F69" w:rsidRPr="00896FC2">
        <w:rPr>
          <w:b/>
        </w:rPr>
        <w:t>(Renewal)</w:t>
      </w:r>
    </w:p>
    <w:p w:rsidR="00C37588" w:rsidRDefault="00C37588" w:rsidP="00F340DF">
      <w:pPr>
        <w:rPr>
          <w:b/>
          <w:bCs/>
          <w:color w:val="000000"/>
        </w:rPr>
      </w:pPr>
    </w:p>
    <w:tbl>
      <w:tblPr>
        <w:tblW w:w="139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170"/>
        <w:gridCol w:w="1260"/>
        <w:gridCol w:w="1170"/>
        <w:gridCol w:w="1260"/>
        <w:gridCol w:w="1080"/>
        <w:gridCol w:w="1350"/>
        <w:gridCol w:w="1080"/>
        <w:gridCol w:w="1620"/>
      </w:tblGrid>
      <w:tr w:rsidR="000A6F17" w:rsidRPr="005D73D8" w:rsidTr="000A6F17">
        <w:trPr>
          <w:trHeight w:val="1530"/>
        </w:trPr>
        <w:tc>
          <w:tcPr>
            <w:tcW w:w="396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Burden item</w:t>
            </w:r>
          </w:p>
        </w:tc>
        <w:tc>
          <w:tcPr>
            <w:tcW w:w="117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 xml:space="preserve">(A) </w:t>
            </w:r>
          </w:p>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Person hours per occurrence</w:t>
            </w:r>
          </w:p>
        </w:tc>
        <w:tc>
          <w:tcPr>
            <w:tcW w:w="126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 xml:space="preserve">(B) </w:t>
            </w:r>
          </w:p>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No. of occurrences per respondent per year</w:t>
            </w:r>
          </w:p>
        </w:tc>
        <w:tc>
          <w:tcPr>
            <w:tcW w:w="117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 xml:space="preserve">(C) </w:t>
            </w:r>
          </w:p>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Person hours per respondent per year (C=</w:t>
            </w:r>
            <w:proofErr w:type="spellStart"/>
            <w:r w:rsidRPr="007151FC">
              <w:rPr>
                <w:bCs/>
                <w:sz w:val="20"/>
                <w:szCs w:val="20"/>
              </w:rPr>
              <w:t>AxB</w:t>
            </w:r>
            <w:proofErr w:type="spellEnd"/>
            <w:r w:rsidRPr="007151FC">
              <w:rPr>
                <w:bCs/>
                <w:sz w:val="20"/>
                <w:szCs w:val="20"/>
              </w:rPr>
              <w:t>)</w:t>
            </w:r>
          </w:p>
        </w:tc>
        <w:tc>
          <w:tcPr>
            <w:tcW w:w="126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 xml:space="preserve">(D) Respondents per year  </w:t>
            </w:r>
            <w:r w:rsidR="00C37588" w:rsidRPr="00C37588">
              <w:rPr>
                <w:bCs/>
                <w:sz w:val="20"/>
                <w:szCs w:val="20"/>
                <w:vertAlign w:val="superscript"/>
              </w:rPr>
              <w:t>a</w:t>
            </w:r>
          </w:p>
        </w:tc>
        <w:tc>
          <w:tcPr>
            <w:tcW w:w="108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(E) Technical person- hours per year (E=</w:t>
            </w:r>
            <w:proofErr w:type="spellStart"/>
            <w:r w:rsidRPr="007151FC">
              <w:rPr>
                <w:bCs/>
                <w:sz w:val="20"/>
                <w:szCs w:val="20"/>
              </w:rPr>
              <w:t>CxD</w:t>
            </w:r>
            <w:proofErr w:type="spellEnd"/>
            <w:r w:rsidRPr="007151FC">
              <w:rPr>
                <w:bCs/>
                <w:sz w:val="20"/>
                <w:szCs w:val="20"/>
              </w:rPr>
              <w:t>)</w:t>
            </w:r>
          </w:p>
        </w:tc>
        <w:tc>
          <w:tcPr>
            <w:tcW w:w="135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(F) Management person hours per year (Ex0.05)</w:t>
            </w:r>
          </w:p>
        </w:tc>
        <w:tc>
          <w:tcPr>
            <w:tcW w:w="108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(G) Clerical person hours per year (Ex0.1)</w:t>
            </w:r>
          </w:p>
        </w:tc>
        <w:tc>
          <w:tcPr>
            <w:tcW w:w="1620" w:type="dxa"/>
            <w:vAlign w:val="center"/>
            <w:hideMark/>
          </w:tcPr>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 xml:space="preserve">(H) </w:t>
            </w:r>
          </w:p>
          <w:p w:rsidR="00394740" w:rsidRPr="005D73D8" w:rsidRDefault="007151FC" w:rsidP="00CB407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Cost, $</w:t>
            </w:r>
            <w:r w:rsidRPr="00C37588">
              <w:rPr>
                <w:bCs/>
                <w:sz w:val="20"/>
                <w:szCs w:val="20"/>
                <w:vertAlign w:val="superscript"/>
              </w:rPr>
              <w:t xml:space="preserve"> </w:t>
            </w:r>
            <w:r w:rsidR="00C37588" w:rsidRPr="00C37588">
              <w:rPr>
                <w:bCs/>
                <w:sz w:val="20"/>
                <w:szCs w:val="20"/>
                <w:vertAlign w:val="superscript"/>
              </w:rPr>
              <w:t>b</w:t>
            </w:r>
          </w:p>
        </w:tc>
      </w:tr>
      <w:tr w:rsidR="000A6F17" w:rsidRPr="005D73D8" w:rsidTr="000A6F17">
        <w:trPr>
          <w:trHeight w:val="300"/>
        </w:trPr>
        <w:tc>
          <w:tcPr>
            <w:tcW w:w="3960" w:type="dxa"/>
            <w:vAlign w:val="center"/>
            <w:hideMark/>
          </w:tcPr>
          <w:p w:rsidR="00394740" w:rsidRPr="005D73D8" w:rsidRDefault="00F20B45"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Pr>
                <w:bCs/>
                <w:sz w:val="20"/>
                <w:szCs w:val="20"/>
              </w:rPr>
              <w:t xml:space="preserve">1.  </w:t>
            </w:r>
            <w:r w:rsidR="007151FC" w:rsidRPr="007151FC">
              <w:rPr>
                <w:bCs/>
                <w:sz w:val="20"/>
                <w:szCs w:val="20"/>
              </w:rPr>
              <w:t xml:space="preserve"> Read </w:t>
            </w:r>
            <w:r>
              <w:rPr>
                <w:bCs/>
                <w:sz w:val="20"/>
                <w:szCs w:val="20"/>
              </w:rPr>
              <w:t>r</w:t>
            </w:r>
            <w:r w:rsidR="007151FC" w:rsidRPr="007151FC">
              <w:rPr>
                <w:bCs/>
                <w:sz w:val="20"/>
                <w:szCs w:val="20"/>
              </w:rPr>
              <w:t xml:space="preserve">ule and </w:t>
            </w:r>
            <w:r>
              <w:rPr>
                <w:bCs/>
                <w:sz w:val="20"/>
                <w:szCs w:val="20"/>
              </w:rPr>
              <w:t>i</w:t>
            </w:r>
            <w:r w:rsidR="007151FC" w:rsidRPr="007151FC">
              <w:rPr>
                <w:bCs/>
                <w:sz w:val="20"/>
                <w:szCs w:val="20"/>
              </w:rPr>
              <w:t>nstructions</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35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$0</w:t>
            </w:r>
          </w:p>
        </w:tc>
      </w:tr>
      <w:tr w:rsidR="000A6F17" w:rsidRPr="005D73D8" w:rsidTr="000A6F17">
        <w:trPr>
          <w:trHeight w:val="300"/>
        </w:trPr>
        <w:tc>
          <w:tcPr>
            <w:tcW w:w="3960" w:type="dxa"/>
            <w:vAlign w:val="center"/>
            <w:hideMark/>
          </w:tcPr>
          <w:p w:rsidR="00394740" w:rsidRPr="005D73D8" w:rsidRDefault="007151FC"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2.</w:t>
            </w:r>
            <w:r w:rsidR="00F20B45">
              <w:rPr>
                <w:bCs/>
                <w:sz w:val="20"/>
                <w:szCs w:val="20"/>
              </w:rPr>
              <w:t xml:space="preserve">  </w:t>
            </w:r>
            <w:r w:rsidRPr="007151FC">
              <w:rPr>
                <w:bCs/>
                <w:sz w:val="20"/>
                <w:szCs w:val="20"/>
              </w:rPr>
              <w:t xml:space="preserve"> Plan </w:t>
            </w:r>
            <w:r w:rsidR="00F20B45">
              <w:rPr>
                <w:bCs/>
                <w:sz w:val="20"/>
                <w:szCs w:val="20"/>
              </w:rPr>
              <w:t>a</w:t>
            </w:r>
            <w:r w:rsidRPr="007151FC">
              <w:rPr>
                <w:bCs/>
                <w:sz w:val="20"/>
                <w:szCs w:val="20"/>
              </w:rPr>
              <w:t>ctivities</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35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$0</w:t>
            </w:r>
          </w:p>
        </w:tc>
      </w:tr>
      <w:tr w:rsidR="000A6F17" w:rsidRPr="005D73D8" w:rsidTr="000A6F17">
        <w:trPr>
          <w:trHeight w:val="300"/>
        </w:trPr>
        <w:tc>
          <w:tcPr>
            <w:tcW w:w="3960" w:type="dxa"/>
            <w:vAlign w:val="center"/>
            <w:hideMark/>
          </w:tcPr>
          <w:p w:rsidR="00394740" w:rsidRPr="005D73D8" w:rsidRDefault="007151FC"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3.</w:t>
            </w:r>
            <w:r w:rsidR="00F20B45">
              <w:rPr>
                <w:bCs/>
                <w:sz w:val="20"/>
                <w:szCs w:val="20"/>
              </w:rPr>
              <w:t xml:space="preserve">  </w:t>
            </w:r>
            <w:r w:rsidRPr="007151FC">
              <w:rPr>
                <w:bCs/>
                <w:sz w:val="20"/>
                <w:szCs w:val="20"/>
              </w:rPr>
              <w:t xml:space="preserve"> Training</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35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$0</w:t>
            </w:r>
          </w:p>
        </w:tc>
      </w:tr>
      <w:tr w:rsidR="000A6F17" w:rsidRPr="005D73D8" w:rsidTr="000A6F17">
        <w:trPr>
          <w:trHeight w:val="510"/>
        </w:trPr>
        <w:tc>
          <w:tcPr>
            <w:tcW w:w="3960" w:type="dxa"/>
            <w:vAlign w:val="center"/>
            <w:hideMark/>
          </w:tcPr>
          <w:p w:rsidR="00394740" w:rsidRPr="005D73D8" w:rsidRDefault="007151FC"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4.</w:t>
            </w:r>
            <w:r w:rsidR="00F20B45">
              <w:rPr>
                <w:bCs/>
                <w:sz w:val="20"/>
                <w:szCs w:val="20"/>
              </w:rPr>
              <w:t xml:space="preserve">  </w:t>
            </w:r>
            <w:r w:rsidRPr="007151FC">
              <w:rPr>
                <w:bCs/>
                <w:sz w:val="20"/>
                <w:szCs w:val="20"/>
              </w:rPr>
              <w:t xml:space="preserve"> Create, </w:t>
            </w:r>
            <w:r w:rsidR="00F20B45">
              <w:rPr>
                <w:bCs/>
                <w:sz w:val="20"/>
                <w:szCs w:val="20"/>
              </w:rPr>
              <w:t>t</w:t>
            </w:r>
            <w:r w:rsidRPr="007151FC">
              <w:rPr>
                <w:bCs/>
                <w:sz w:val="20"/>
                <w:szCs w:val="20"/>
              </w:rPr>
              <w:t xml:space="preserve">est, and </w:t>
            </w:r>
            <w:r w:rsidR="00F20B45">
              <w:rPr>
                <w:bCs/>
                <w:sz w:val="20"/>
                <w:szCs w:val="20"/>
              </w:rPr>
              <w:t>r</w:t>
            </w:r>
            <w:r w:rsidRPr="007151FC">
              <w:rPr>
                <w:bCs/>
                <w:sz w:val="20"/>
                <w:szCs w:val="20"/>
              </w:rPr>
              <w:t xml:space="preserve">esearch and </w:t>
            </w:r>
            <w:r w:rsidR="00EA2F20">
              <w:rPr>
                <w:bCs/>
                <w:sz w:val="20"/>
                <w:szCs w:val="20"/>
              </w:rPr>
              <w:t xml:space="preserve">                     </w:t>
            </w:r>
            <w:r w:rsidR="00F20B45">
              <w:rPr>
                <w:bCs/>
                <w:sz w:val="20"/>
                <w:szCs w:val="20"/>
              </w:rPr>
              <w:t>d</w:t>
            </w:r>
            <w:r w:rsidRPr="007151FC">
              <w:rPr>
                <w:bCs/>
                <w:sz w:val="20"/>
                <w:szCs w:val="20"/>
              </w:rPr>
              <w:t>evelopment</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35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$0</w:t>
            </w:r>
          </w:p>
        </w:tc>
      </w:tr>
      <w:tr w:rsidR="000A6F17" w:rsidRPr="005D73D8" w:rsidTr="000A6F17">
        <w:trPr>
          <w:trHeight w:val="300"/>
        </w:trPr>
        <w:tc>
          <w:tcPr>
            <w:tcW w:w="3960" w:type="dxa"/>
            <w:vAlign w:val="center"/>
            <w:hideMark/>
          </w:tcPr>
          <w:p w:rsidR="00394740" w:rsidRPr="005D73D8" w:rsidRDefault="007151FC"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5.</w:t>
            </w:r>
            <w:r w:rsidR="00F20B45">
              <w:rPr>
                <w:bCs/>
                <w:sz w:val="20"/>
                <w:szCs w:val="20"/>
              </w:rPr>
              <w:t xml:space="preserve"> </w:t>
            </w:r>
            <w:r w:rsidRPr="007151FC">
              <w:rPr>
                <w:bCs/>
                <w:sz w:val="20"/>
                <w:szCs w:val="20"/>
              </w:rPr>
              <w:t xml:space="preserve"> </w:t>
            </w:r>
            <w:r w:rsidR="00EA2F20">
              <w:rPr>
                <w:bCs/>
                <w:sz w:val="20"/>
                <w:szCs w:val="20"/>
              </w:rPr>
              <w:t xml:space="preserve"> </w:t>
            </w:r>
            <w:r w:rsidRPr="007151FC">
              <w:rPr>
                <w:bCs/>
                <w:sz w:val="20"/>
                <w:szCs w:val="20"/>
              </w:rPr>
              <w:t xml:space="preserve">Gather </w:t>
            </w:r>
            <w:r w:rsidR="00F20B45">
              <w:rPr>
                <w:bCs/>
                <w:sz w:val="20"/>
                <w:szCs w:val="20"/>
              </w:rPr>
              <w:t>i</w:t>
            </w:r>
            <w:r w:rsidRPr="007151FC">
              <w:rPr>
                <w:bCs/>
                <w:sz w:val="20"/>
                <w:szCs w:val="20"/>
              </w:rPr>
              <w:t xml:space="preserve">nformation and </w:t>
            </w:r>
            <w:r w:rsidR="00F20B45">
              <w:rPr>
                <w:bCs/>
                <w:sz w:val="20"/>
                <w:szCs w:val="20"/>
              </w:rPr>
              <w:t>m</w:t>
            </w:r>
            <w:r w:rsidRPr="007151FC">
              <w:rPr>
                <w:bCs/>
                <w:sz w:val="20"/>
                <w:szCs w:val="20"/>
              </w:rPr>
              <w:t>onitor</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216</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4,981</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1,075,896</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53,794.8</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107,589.6</w:t>
            </w:r>
          </w:p>
        </w:tc>
        <w:tc>
          <w:tcPr>
            <w:tcW w:w="1620" w:type="dxa"/>
            <w:vAlign w:val="center"/>
            <w:hideMark/>
          </w:tcPr>
          <w:p w:rsidR="00394740" w:rsidRPr="005D73D8" w:rsidRDefault="007151FC" w:rsidP="00F50FC4">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$118,555,132.0</w:t>
            </w:r>
            <w:r w:rsidR="00F50FC4">
              <w:rPr>
                <w:bCs/>
                <w:sz w:val="20"/>
                <w:szCs w:val="20"/>
              </w:rPr>
              <w:t>0</w:t>
            </w:r>
          </w:p>
        </w:tc>
      </w:tr>
      <w:tr w:rsidR="000A6F17" w:rsidRPr="005D73D8" w:rsidTr="000A6F17">
        <w:trPr>
          <w:trHeight w:val="570"/>
        </w:trPr>
        <w:tc>
          <w:tcPr>
            <w:tcW w:w="3960" w:type="dxa"/>
            <w:vAlign w:val="center"/>
            <w:hideMark/>
          </w:tcPr>
          <w:p w:rsidR="00F20B45"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 xml:space="preserve">5.1 Gather </w:t>
            </w:r>
            <w:r w:rsidR="00F20B45">
              <w:rPr>
                <w:bCs/>
                <w:sz w:val="20"/>
                <w:szCs w:val="20"/>
              </w:rPr>
              <w:t>i</w:t>
            </w:r>
            <w:r w:rsidRPr="007151FC">
              <w:rPr>
                <w:bCs/>
                <w:sz w:val="20"/>
                <w:szCs w:val="20"/>
              </w:rPr>
              <w:t xml:space="preserve">nformation and </w:t>
            </w:r>
            <w:r w:rsidR="00F20B45">
              <w:rPr>
                <w:bCs/>
                <w:sz w:val="20"/>
                <w:szCs w:val="20"/>
              </w:rPr>
              <w:t>mo</w:t>
            </w:r>
            <w:r w:rsidRPr="007151FC">
              <w:rPr>
                <w:bCs/>
                <w:sz w:val="20"/>
                <w:szCs w:val="20"/>
              </w:rPr>
              <w:t>nitor</w:t>
            </w:r>
          </w:p>
          <w:p w:rsidR="00394740" w:rsidRPr="005D73D8" w:rsidRDefault="00F20B45" w:rsidP="00C37588">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Pr>
                <w:bCs/>
                <w:sz w:val="20"/>
                <w:szCs w:val="20"/>
              </w:rPr>
              <w:t xml:space="preserve">   </w:t>
            </w:r>
            <w:r w:rsidR="000A6F17">
              <w:rPr>
                <w:bCs/>
                <w:sz w:val="20"/>
                <w:szCs w:val="20"/>
              </w:rPr>
              <w:t xml:space="preserve">  </w:t>
            </w:r>
            <w:r>
              <w:rPr>
                <w:bCs/>
                <w:sz w:val="20"/>
                <w:szCs w:val="20"/>
              </w:rPr>
              <w:t xml:space="preserve"> -  Magnet wire facilities </w:t>
            </w:r>
            <w:r w:rsidR="00C37588">
              <w:rPr>
                <w:bCs/>
                <w:sz w:val="20"/>
                <w:szCs w:val="20"/>
                <w:vertAlign w:val="superscript"/>
              </w:rPr>
              <w:t>c</w:t>
            </w:r>
            <w:r w:rsidR="007151FC" w:rsidRPr="007151FC">
              <w:rPr>
                <w:bCs/>
                <w:sz w:val="20"/>
                <w:szCs w:val="20"/>
              </w:rPr>
              <w:t xml:space="preserve"> </w:t>
            </w:r>
            <w:r>
              <w:rPr>
                <w:bCs/>
                <w:sz w:val="20"/>
                <w:szCs w:val="20"/>
              </w:rPr>
              <w:t xml:space="preserve">                                                                                 </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36</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432</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11</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4,752</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237.6</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475.2</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$523,632.38</w:t>
            </w:r>
          </w:p>
        </w:tc>
      </w:tr>
      <w:tr w:rsidR="000A6F17" w:rsidRPr="005D73D8" w:rsidTr="000A6F17">
        <w:trPr>
          <w:trHeight w:val="300"/>
        </w:trPr>
        <w:tc>
          <w:tcPr>
            <w:tcW w:w="3960" w:type="dxa"/>
            <w:vAlign w:val="center"/>
            <w:hideMark/>
          </w:tcPr>
          <w:p w:rsidR="00394740" w:rsidRPr="005D73D8" w:rsidRDefault="007151FC" w:rsidP="00F20B4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6.</w:t>
            </w:r>
            <w:r w:rsidR="00F20B45">
              <w:rPr>
                <w:bCs/>
                <w:sz w:val="20"/>
                <w:szCs w:val="20"/>
              </w:rPr>
              <w:t xml:space="preserve"> </w:t>
            </w:r>
            <w:r w:rsidRPr="007151FC">
              <w:rPr>
                <w:bCs/>
                <w:sz w:val="20"/>
                <w:szCs w:val="20"/>
              </w:rPr>
              <w:t xml:space="preserve"> </w:t>
            </w:r>
            <w:r w:rsidR="00EA2F20">
              <w:rPr>
                <w:bCs/>
                <w:sz w:val="20"/>
                <w:szCs w:val="20"/>
              </w:rPr>
              <w:t xml:space="preserve"> </w:t>
            </w:r>
            <w:r w:rsidRPr="007151FC">
              <w:rPr>
                <w:bCs/>
                <w:sz w:val="20"/>
                <w:szCs w:val="20"/>
              </w:rPr>
              <w:t>Process/Compile and Review</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12</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144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4,981</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717,264</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35,863.2</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71,726.4</w:t>
            </w:r>
          </w:p>
        </w:tc>
        <w:tc>
          <w:tcPr>
            <w:tcW w:w="1620" w:type="dxa"/>
            <w:vAlign w:val="center"/>
            <w:hideMark/>
          </w:tcPr>
          <w:p w:rsidR="00394740" w:rsidRPr="005D73D8" w:rsidRDefault="007151FC" w:rsidP="00F50FC4">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$79,036,754.6</w:t>
            </w:r>
            <w:r w:rsidR="00F50FC4">
              <w:rPr>
                <w:bCs/>
                <w:sz w:val="20"/>
                <w:szCs w:val="20"/>
              </w:rPr>
              <w:t>8</w:t>
            </w:r>
          </w:p>
        </w:tc>
      </w:tr>
      <w:tr w:rsidR="000A6F17" w:rsidRPr="005D73D8" w:rsidTr="000A6F17">
        <w:trPr>
          <w:trHeight w:val="570"/>
        </w:trPr>
        <w:tc>
          <w:tcPr>
            <w:tcW w:w="3960" w:type="dxa"/>
            <w:vAlign w:val="center"/>
            <w:hideMark/>
          </w:tcPr>
          <w:p w:rsidR="00F20B45"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 xml:space="preserve">6.1 Process/Compile and Review </w:t>
            </w:r>
          </w:p>
          <w:p w:rsidR="00394740" w:rsidRPr="005D73D8" w:rsidRDefault="00F20B45" w:rsidP="00C37588">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Pr>
                <w:bCs/>
                <w:sz w:val="20"/>
                <w:szCs w:val="20"/>
              </w:rPr>
              <w:t xml:space="preserve"> </w:t>
            </w:r>
            <w:r w:rsidR="000A6F17">
              <w:rPr>
                <w:bCs/>
                <w:sz w:val="20"/>
                <w:szCs w:val="20"/>
              </w:rPr>
              <w:t xml:space="preserve">   </w:t>
            </w:r>
            <w:r>
              <w:rPr>
                <w:bCs/>
                <w:sz w:val="20"/>
                <w:szCs w:val="20"/>
              </w:rPr>
              <w:t xml:space="preserve">  </w:t>
            </w:r>
            <w:r w:rsidR="007151FC" w:rsidRPr="007151FC">
              <w:rPr>
                <w:bCs/>
                <w:sz w:val="20"/>
                <w:szCs w:val="20"/>
              </w:rPr>
              <w:t xml:space="preserve">- </w:t>
            </w:r>
            <w:r w:rsidR="00EA2F20">
              <w:rPr>
                <w:bCs/>
                <w:sz w:val="20"/>
                <w:szCs w:val="20"/>
              </w:rPr>
              <w:t xml:space="preserve"> </w:t>
            </w:r>
            <w:r w:rsidR="007151FC" w:rsidRPr="007151FC">
              <w:rPr>
                <w:bCs/>
                <w:sz w:val="20"/>
                <w:szCs w:val="20"/>
              </w:rPr>
              <w:t xml:space="preserve">Magnet </w:t>
            </w:r>
            <w:r>
              <w:rPr>
                <w:bCs/>
                <w:sz w:val="20"/>
                <w:szCs w:val="20"/>
              </w:rPr>
              <w:t>w</w:t>
            </w:r>
            <w:r w:rsidR="007151FC" w:rsidRPr="007151FC">
              <w:rPr>
                <w:bCs/>
                <w:sz w:val="20"/>
                <w:szCs w:val="20"/>
              </w:rPr>
              <w:t xml:space="preserve">ire </w:t>
            </w:r>
            <w:r>
              <w:rPr>
                <w:bCs/>
                <w:sz w:val="20"/>
                <w:szCs w:val="20"/>
              </w:rPr>
              <w:t>f</w:t>
            </w:r>
            <w:r w:rsidR="007151FC" w:rsidRPr="007151FC">
              <w:rPr>
                <w:bCs/>
                <w:sz w:val="20"/>
                <w:szCs w:val="20"/>
              </w:rPr>
              <w:t>acilities</w:t>
            </w:r>
            <w:r w:rsidR="00C37588">
              <w:rPr>
                <w:bCs/>
                <w:sz w:val="20"/>
                <w:szCs w:val="20"/>
              </w:rPr>
              <w:t xml:space="preserve"> </w:t>
            </w:r>
            <w:r w:rsidR="00C37588">
              <w:rPr>
                <w:b/>
                <w:bCs/>
                <w:sz w:val="20"/>
                <w:szCs w:val="20"/>
                <w:vertAlign w:val="superscript"/>
              </w:rPr>
              <w:t>c</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288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11</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3,168</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158.4</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316.8</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$349,088.26</w:t>
            </w:r>
          </w:p>
        </w:tc>
      </w:tr>
      <w:tr w:rsidR="000A6F17" w:rsidRPr="005D73D8" w:rsidTr="000A6F17">
        <w:trPr>
          <w:trHeight w:val="300"/>
        </w:trPr>
        <w:tc>
          <w:tcPr>
            <w:tcW w:w="3960" w:type="dxa"/>
            <w:vAlign w:val="center"/>
            <w:hideMark/>
          </w:tcPr>
          <w:p w:rsidR="00394740" w:rsidRPr="005D73D8" w:rsidRDefault="007151FC" w:rsidP="00EA2F20">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7.</w:t>
            </w:r>
            <w:r w:rsidR="00EA2F20">
              <w:rPr>
                <w:bCs/>
                <w:sz w:val="20"/>
                <w:szCs w:val="20"/>
              </w:rPr>
              <w:t xml:space="preserve">  </w:t>
            </w:r>
            <w:r w:rsidR="00966A4A">
              <w:rPr>
                <w:bCs/>
                <w:sz w:val="20"/>
                <w:szCs w:val="20"/>
              </w:rPr>
              <w:t xml:space="preserve"> </w:t>
            </w:r>
            <w:r w:rsidRPr="007151FC">
              <w:rPr>
                <w:bCs/>
                <w:sz w:val="20"/>
                <w:szCs w:val="20"/>
              </w:rPr>
              <w:t>Semiannual Reports</w:t>
            </w:r>
            <w:r w:rsidR="000079E7">
              <w:rPr>
                <w:bCs/>
                <w:sz w:val="20"/>
                <w:szCs w:val="20"/>
              </w:rPr>
              <w:t xml:space="preserve"> </w:t>
            </w:r>
            <w:r w:rsidR="000079E7" w:rsidRPr="000079E7">
              <w:rPr>
                <w:bCs/>
                <w:sz w:val="20"/>
                <w:szCs w:val="20"/>
                <w:vertAlign w:val="superscript"/>
              </w:rPr>
              <w:t>d</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16</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4,992</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79,872</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3,993.6</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7,987.2</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$8,801,255.42</w:t>
            </w:r>
          </w:p>
        </w:tc>
      </w:tr>
      <w:tr w:rsidR="000A6F17" w:rsidRPr="005C3ED0" w:rsidTr="000A6F17">
        <w:trPr>
          <w:trHeight w:val="305"/>
        </w:trPr>
        <w:tc>
          <w:tcPr>
            <w:tcW w:w="3960" w:type="dxa"/>
            <w:vAlign w:val="center"/>
            <w:hideMark/>
          </w:tcPr>
          <w:p w:rsidR="005C3ED0" w:rsidRPr="005C3ED0" w:rsidRDefault="005C3ED0"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bCs/>
                <w:sz w:val="20"/>
                <w:szCs w:val="20"/>
              </w:rPr>
            </w:pPr>
            <w:r w:rsidRPr="005C3ED0">
              <w:rPr>
                <w:b/>
                <w:bCs/>
                <w:sz w:val="20"/>
                <w:szCs w:val="20"/>
              </w:rPr>
              <w:t xml:space="preserve">Subtotal </w:t>
            </w:r>
            <w:r w:rsidR="006E50E1">
              <w:rPr>
                <w:b/>
                <w:bCs/>
                <w:sz w:val="20"/>
                <w:szCs w:val="20"/>
              </w:rPr>
              <w:t xml:space="preserve">for </w:t>
            </w:r>
            <w:r w:rsidRPr="005C3ED0">
              <w:rPr>
                <w:b/>
                <w:bCs/>
                <w:sz w:val="20"/>
                <w:szCs w:val="20"/>
              </w:rPr>
              <w:t>Reporting</w:t>
            </w:r>
            <w:r w:rsidR="006E50E1">
              <w:rPr>
                <w:b/>
                <w:bCs/>
                <w:sz w:val="20"/>
                <w:szCs w:val="20"/>
              </w:rPr>
              <w:t xml:space="preserve"> Requirements</w:t>
            </w:r>
          </w:p>
        </w:tc>
        <w:tc>
          <w:tcPr>
            <w:tcW w:w="1170" w:type="dxa"/>
            <w:vAlign w:val="center"/>
            <w:hideMark/>
          </w:tcPr>
          <w:p w:rsidR="005C3ED0" w:rsidRPr="005C3ED0" w:rsidRDefault="005C3ED0"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p>
        </w:tc>
        <w:tc>
          <w:tcPr>
            <w:tcW w:w="1260" w:type="dxa"/>
            <w:vAlign w:val="center"/>
            <w:hideMark/>
          </w:tcPr>
          <w:p w:rsidR="005C3ED0" w:rsidRPr="005C3ED0" w:rsidRDefault="005C3ED0"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p>
        </w:tc>
        <w:tc>
          <w:tcPr>
            <w:tcW w:w="1170" w:type="dxa"/>
            <w:vAlign w:val="center"/>
            <w:hideMark/>
          </w:tcPr>
          <w:p w:rsidR="005C3ED0" w:rsidRPr="005C3ED0" w:rsidRDefault="005C3ED0"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p>
        </w:tc>
        <w:tc>
          <w:tcPr>
            <w:tcW w:w="1260" w:type="dxa"/>
            <w:vAlign w:val="center"/>
            <w:hideMark/>
          </w:tcPr>
          <w:p w:rsidR="005C3ED0" w:rsidRPr="005C3ED0" w:rsidRDefault="005C3ED0"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p>
        </w:tc>
        <w:tc>
          <w:tcPr>
            <w:tcW w:w="3510" w:type="dxa"/>
            <w:gridSpan w:val="3"/>
            <w:vAlign w:val="center"/>
            <w:hideMark/>
          </w:tcPr>
          <w:p w:rsidR="005C3ED0" w:rsidRPr="005C3ED0" w:rsidRDefault="005C3ED0" w:rsidP="00AC2328">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r w:rsidRPr="005C3ED0">
              <w:rPr>
                <w:b/>
                <w:bCs/>
                <w:sz w:val="20"/>
                <w:szCs w:val="20"/>
              </w:rPr>
              <w:t>2,163,09</w:t>
            </w:r>
            <w:r w:rsidR="00AC2328">
              <w:rPr>
                <w:b/>
                <w:bCs/>
                <w:sz w:val="20"/>
                <w:szCs w:val="20"/>
              </w:rPr>
              <w:t>4.8</w:t>
            </w:r>
          </w:p>
        </w:tc>
        <w:tc>
          <w:tcPr>
            <w:tcW w:w="1620" w:type="dxa"/>
            <w:vAlign w:val="center"/>
            <w:hideMark/>
          </w:tcPr>
          <w:p w:rsidR="005C3ED0" w:rsidRPr="005C3ED0" w:rsidRDefault="005C3ED0" w:rsidP="00F50FC4">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
                <w:bCs/>
                <w:sz w:val="20"/>
                <w:szCs w:val="20"/>
              </w:rPr>
            </w:pPr>
          </w:p>
        </w:tc>
      </w:tr>
      <w:tr w:rsidR="000A6F17" w:rsidRPr="005D73D8" w:rsidTr="000A6F17">
        <w:trPr>
          <w:trHeight w:val="300"/>
        </w:trPr>
        <w:tc>
          <w:tcPr>
            <w:tcW w:w="3960" w:type="dxa"/>
            <w:vAlign w:val="center"/>
            <w:hideMark/>
          </w:tcPr>
          <w:p w:rsidR="000A6F17" w:rsidRPr="000A6F17" w:rsidRDefault="000A6F17" w:rsidP="000A6F1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bCs/>
                <w:sz w:val="20"/>
                <w:szCs w:val="20"/>
              </w:rPr>
            </w:pPr>
            <w:r w:rsidRPr="000A6F17">
              <w:rPr>
                <w:b/>
                <w:bCs/>
                <w:sz w:val="20"/>
                <w:szCs w:val="20"/>
              </w:rPr>
              <w:t>Recordkeeping requirements</w:t>
            </w: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080" w:type="dxa"/>
            <w:vAlign w:val="center"/>
            <w:hideMark/>
          </w:tcPr>
          <w:p w:rsidR="000A6F17" w:rsidRPr="007151FC" w:rsidRDefault="000A6F17"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350" w:type="dxa"/>
            <w:vAlign w:val="center"/>
            <w:hideMark/>
          </w:tcPr>
          <w:p w:rsidR="000A6F17" w:rsidRPr="007151FC" w:rsidRDefault="000A6F17"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080" w:type="dxa"/>
            <w:vAlign w:val="center"/>
            <w:hideMark/>
          </w:tcPr>
          <w:p w:rsidR="000A6F17" w:rsidRPr="007151FC" w:rsidRDefault="000A6F17"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62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p>
        </w:tc>
      </w:tr>
      <w:tr w:rsidR="000A6F17" w:rsidRPr="005D73D8" w:rsidTr="000A6F17">
        <w:trPr>
          <w:trHeight w:val="300"/>
        </w:trPr>
        <w:tc>
          <w:tcPr>
            <w:tcW w:w="3960" w:type="dxa"/>
            <w:vAlign w:val="center"/>
            <w:hideMark/>
          </w:tcPr>
          <w:p w:rsidR="00394740" w:rsidRPr="005D73D8" w:rsidRDefault="007151FC" w:rsidP="000A6F1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8.</w:t>
            </w:r>
            <w:r w:rsidR="00EA2F20">
              <w:rPr>
                <w:bCs/>
                <w:sz w:val="20"/>
                <w:szCs w:val="20"/>
              </w:rPr>
              <w:t xml:space="preserve"> </w:t>
            </w:r>
            <w:r w:rsidRPr="007151FC">
              <w:rPr>
                <w:bCs/>
                <w:sz w:val="20"/>
                <w:szCs w:val="20"/>
              </w:rPr>
              <w:t xml:space="preserve"> </w:t>
            </w:r>
            <w:r w:rsidR="00EA2F20">
              <w:rPr>
                <w:bCs/>
                <w:sz w:val="20"/>
                <w:szCs w:val="20"/>
              </w:rPr>
              <w:t xml:space="preserve"> </w:t>
            </w:r>
            <w:r w:rsidRPr="007151FC">
              <w:rPr>
                <w:bCs/>
                <w:sz w:val="20"/>
                <w:szCs w:val="20"/>
              </w:rPr>
              <w:t>Record/</w:t>
            </w:r>
            <w:r w:rsidR="000A6F17">
              <w:rPr>
                <w:bCs/>
                <w:sz w:val="20"/>
                <w:szCs w:val="20"/>
              </w:rPr>
              <w:t>d</w:t>
            </w:r>
            <w:r w:rsidRPr="007151FC">
              <w:rPr>
                <w:bCs/>
                <w:sz w:val="20"/>
                <w:szCs w:val="20"/>
              </w:rPr>
              <w:t>isclose</w:t>
            </w:r>
            <w:r w:rsidR="000A6F17">
              <w:rPr>
                <w:bCs/>
                <w:sz w:val="20"/>
                <w:szCs w:val="20"/>
              </w:rPr>
              <w:t xml:space="preserve"> information</w:t>
            </w:r>
            <w:r w:rsidR="000079E7">
              <w:rPr>
                <w:bCs/>
                <w:sz w:val="20"/>
                <w:szCs w:val="20"/>
              </w:rPr>
              <w:t xml:space="preserve"> </w:t>
            </w:r>
            <w:r w:rsidR="000079E7" w:rsidRPr="000079E7">
              <w:rPr>
                <w:bCs/>
                <w:sz w:val="20"/>
                <w:szCs w:val="20"/>
                <w:vertAlign w:val="superscript"/>
              </w:rPr>
              <w:t>e</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4,992</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39,936</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1,996.8</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3,993.6</w:t>
            </w:r>
          </w:p>
        </w:tc>
        <w:tc>
          <w:tcPr>
            <w:tcW w:w="1620" w:type="dxa"/>
            <w:vAlign w:val="center"/>
            <w:hideMark/>
          </w:tcPr>
          <w:p w:rsidR="00394740" w:rsidRPr="005D73D8" w:rsidRDefault="007151FC" w:rsidP="00F50FC4">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$4,400,627.7</w:t>
            </w:r>
            <w:r w:rsidR="00F50FC4">
              <w:rPr>
                <w:bCs/>
                <w:sz w:val="20"/>
                <w:szCs w:val="20"/>
              </w:rPr>
              <w:t>2</w:t>
            </w:r>
          </w:p>
        </w:tc>
      </w:tr>
      <w:tr w:rsidR="000A6F17" w:rsidRPr="005D73D8" w:rsidTr="000A6F17">
        <w:trPr>
          <w:trHeight w:val="300"/>
        </w:trPr>
        <w:tc>
          <w:tcPr>
            <w:tcW w:w="3960" w:type="dxa"/>
            <w:vAlign w:val="center"/>
            <w:hideMark/>
          </w:tcPr>
          <w:p w:rsidR="00394740" w:rsidRPr="005D73D8" w:rsidRDefault="007151FC" w:rsidP="00EA2F20">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9.</w:t>
            </w:r>
            <w:r w:rsidR="00EA2F20">
              <w:rPr>
                <w:bCs/>
                <w:sz w:val="20"/>
                <w:szCs w:val="20"/>
              </w:rPr>
              <w:t xml:space="preserve"> </w:t>
            </w:r>
            <w:r w:rsidRPr="007151FC">
              <w:rPr>
                <w:bCs/>
                <w:sz w:val="20"/>
                <w:szCs w:val="20"/>
              </w:rPr>
              <w:t xml:space="preserve"> </w:t>
            </w:r>
            <w:r w:rsidR="00EA2F20">
              <w:rPr>
                <w:bCs/>
                <w:sz w:val="20"/>
                <w:szCs w:val="20"/>
              </w:rPr>
              <w:t xml:space="preserve"> </w:t>
            </w:r>
            <w:r w:rsidRPr="007151FC">
              <w:rPr>
                <w:bCs/>
                <w:sz w:val="20"/>
                <w:szCs w:val="20"/>
              </w:rPr>
              <w:t>Store/File</w:t>
            </w:r>
            <w:r w:rsidR="000A6F17">
              <w:rPr>
                <w:bCs/>
                <w:sz w:val="20"/>
                <w:szCs w:val="20"/>
              </w:rPr>
              <w:t xml:space="preserve"> information</w:t>
            </w:r>
            <w:r w:rsidR="000079E7">
              <w:rPr>
                <w:bCs/>
                <w:sz w:val="20"/>
                <w:szCs w:val="20"/>
              </w:rPr>
              <w:t xml:space="preserve"> </w:t>
            </w:r>
            <w:r w:rsidR="000079E7" w:rsidRPr="000079E7">
              <w:rPr>
                <w:bCs/>
                <w:sz w:val="20"/>
                <w:szCs w:val="20"/>
                <w:vertAlign w:val="superscript"/>
              </w:rPr>
              <w:t>e</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2</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8</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4,992</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39,936</w:t>
            </w:r>
          </w:p>
        </w:tc>
        <w:tc>
          <w:tcPr>
            <w:tcW w:w="135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1,996.8</w:t>
            </w:r>
          </w:p>
        </w:tc>
        <w:tc>
          <w:tcPr>
            <w:tcW w:w="1080" w:type="dxa"/>
            <w:vAlign w:val="center"/>
            <w:hideMark/>
          </w:tcPr>
          <w:p w:rsidR="00394740" w:rsidRPr="005D73D8" w:rsidRDefault="007151FC" w:rsidP="006E50E1">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3,993.6</w:t>
            </w:r>
          </w:p>
        </w:tc>
        <w:tc>
          <w:tcPr>
            <w:tcW w:w="1620" w:type="dxa"/>
            <w:vAlign w:val="center"/>
            <w:hideMark/>
          </w:tcPr>
          <w:p w:rsidR="00394740" w:rsidRPr="005D73D8" w:rsidRDefault="007151FC" w:rsidP="00F50FC4">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$4,400,627.7</w:t>
            </w:r>
            <w:r w:rsidR="00F50FC4">
              <w:rPr>
                <w:bCs/>
                <w:sz w:val="20"/>
                <w:szCs w:val="20"/>
              </w:rPr>
              <w:t>2</w:t>
            </w:r>
          </w:p>
        </w:tc>
      </w:tr>
      <w:tr w:rsidR="000A6F17" w:rsidRPr="005D73D8" w:rsidTr="000A5575">
        <w:trPr>
          <w:trHeight w:val="323"/>
        </w:trPr>
        <w:tc>
          <w:tcPr>
            <w:tcW w:w="3960" w:type="dxa"/>
            <w:vAlign w:val="center"/>
            <w:hideMark/>
          </w:tcPr>
          <w:p w:rsidR="00394740" w:rsidRPr="005D73D8" w:rsidRDefault="007151FC" w:rsidP="000A6F1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r w:rsidRPr="007151FC">
              <w:rPr>
                <w:bCs/>
                <w:sz w:val="20"/>
                <w:szCs w:val="20"/>
              </w:rPr>
              <w:t xml:space="preserve">10. LDAR </w:t>
            </w:r>
            <w:r w:rsidR="000A6F17">
              <w:rPr>
                <w:bCs/>
                <w:sz w:val="20"/>
                <w:szCs w:val="20"/>
              </w:rPr>
              <w:t>r</w:t>
            </w:r>
            <w:r w:rsidRPr="007151FC">
              <w:rPr>
                <w:bCs/>
                <w:sz w:val="20"/>
                <w:szCs w:val="20"/>
              </w:rPr>
              <w:t xml:space="preserve">eporting and </w:t>
            </w:r>
            <w:r w:rsidR="000A6F17">
              <w:rPr>
                <w:bCs/>
                <w:sz w:val="20"/>
                <w:szCs w:val="20"/>
              </w:rPr>
              <w:t>r</w:t>
            </w:r>
            <w:r w:rsidRPr="007151FC">
              <w:rPr>
                <w:bCs/>
                <w:sz w:val="20"/>
                <w:szCs w:val="20"/>
              </w:rPr>
              <w:t>ecordkeeping</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17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26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tcBorders>
              <w:bottom w:val="single" w:sz="4" w:space="0" w:color="auto"/>
            </w:tcBorders>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350" w:type="dxa"/>
            <w:tcBorders>
              <w:bottom w:val="single" w:sz="4" w:space="0" w:color="auto"/>
            </w:tcBorders>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080" w:type="dxa"/>
            <w:tcBorders>
              <w:bottom w:val="single" w:sz="4" w:space="0" w:color="auto"/>
            </w:tcBorders>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sidRPr="007151FC">
              <w:rPr>
                <w:bCs/>
                <w:sz w:val="20"/>
                <w:szCs w:val="20"/>
              </w:rPr>
              <w:t>0</w:t>
            </w:r>
          </w:p>
        </w:tc>
        <w:tc>
          <w:tcPr>
            <w:tcW w:w="1620" w:type="dxa"/>
            <w:vAlign w:val="center"/>
            <w:hideMark/>
          </w:tcPr>
          <w:p w:rsidR="00394740" w:rsidRPr="005D73D8" w:rsidRDefault="007151FC"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r w:rsidRPr="007151FC">
              <w:rPr>
                <w:bCs/>
                <w:sz w:val="20"/>
                <w:szCs w:val="20"/>
              </w:rPr>
              <w:t>$0</w:t>
            </w:r>
          </w:p>
        </w:tc>
      </w:tr>
      <w:tr w:rsidR="000A6F17" w:rsidRPr="005D73D8" w:rsidTr="000A5575">
        <w:trPr>
          <w:trHeight w:val="323"/>
        </w:trPr>
        <w:tc>
          <w:tcPr>
            <w:tcW w:w="3960" w:type="dxa"/>
            <w:vAlign w:val="center"/>
            <w:hideMark/>
          </w:tcPr>
          <w:p w:rsidR="000A6F17" w:rsidRPr="000A6F17" w:rsidRDefault="000A6F17" w:rsidP="00E8598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bCs/>
                <w:sz w:val="20"/>
                <w:szCs w:val="20"/>
              </w:rPr>
            </w:pPr>
            <w:r w:rsidRPr="000A6F17">
              <w:rPr>
                <w:b/>
                <w:bCs/>
                <w:sz w:val="20"/>
                <w:szCs w:val="20"/>
              </w:rPr>
              <w:t xml:space="preserve">Subtotal for </w:t>
            </w:r>
            <w:r w:rsidR="00E85985">
              <w:rPr>
                <w:b/>
                <w:bCs/>
                <w:sz w:val="20"/>
                <w:szCs w:val="20"/>
              </w:rPr>
              <w:t>R</w:t>
            </w:r>
            <w:r w:rsidRPr="000A6F17">
              <w:rPr>
                <w:b/>
                <w:bCs/>
                <w:sz w:val="20"/>
                <w:szCs w:val="20"/>
              </w:rPr>
              <w:t xml:space="preserve">ecordkeeping </w:t>
            </w:r>
            <w:r w:rsidR="00E85985">
              <w:rPr>
                <w:b/>
                <w:bCs/>
                <w:sz w:val="20"/>
                <w:szCs w:val="20"/>
              </w:rPr>
              <w:t>R</w:t>
            </w:r>
            <w:r w:rsidRPr="000A6F17">
              <w:rPr>
                <w:b/>
                <w:bCs/>
                <w:sz w:val="20"/>
                <w:szCs w:val="20"/>
              </w:rPr>
              <w:t>equirements</w:t>
            </w: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080" w:type="dxa"/>
            <w:tcBorders>
              <w:right w:val="nil"/>
            </w:tcBorders>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350" w:type="dxa"/>
            <w:tcBorders>
              <w:left w:val="nil"/>
              <w:right w:val="nil"/>
            </w:tcBorders>
            <w:vAlign w:val="center"/>
            <w:hideMark/>
          </w:tcPr>
          <w:p w:rsidR="000A6F17" w:rsidRPr="000A5575" w:rsidRDefault="000A5575" w:rsidP="00AC2328">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r w:rsidRPr="000A5575">
              <w:rPr>
                <w:b/>
                <w:bCs/>
                <w:sz w:val="20"/>
                <w:szCs w:val="20"/>
              </w:rPr>
              <w:t>91,85</w:t>
            </w:r>
            <w:r w:rsidR="00AC2328">
              <w:rPr>
                <w:b/>
                <w:bCs/>
                <w:sz w:val="20"/>
                <w:szCs w:val="20"/>
              </w:rPr>
              <w:t>2.8</w:t>
            </w:r>
          </w:p>
        </w:tc>
        <w:tc>
          <w:tcPr>
            <w:tcW w:w="1080" w:type="dxa"/>
            <w:tcBorders>
              <w:left w:val="nil"/>
            </w:tcBorders>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62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p>
        </w:tc>
      </w:tr>
      <w:tr w:rsidR="000A6F17" w:rsidRPr="005D73D8" w:rsidTr="000A6F17">
        <w:trPr>
          <w:trHeight w:val="323"/>
        </w:trPr>
        <w:tc>
          <w:tcPr>
            <w:tcW w:w="3960" w:type="dxa"/>
            <w:vAlign w:val="center"/>
            <w:hideMark/>
          </w:tcPr>
          <w:p w:rsidR="000A6F17" w:rsidRPr="007151FC" w:rsidRDefault="000A6F17" w:rsidP="000A6F1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Cs/>
                <w:sz w:val="20"/>
                <w:szCs w:val="20"/>
              </w:rPr>
            </w:pP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080" w:type="dxa"/>
            <w:tcBorders>
              <w:bottom w:val="single" w:sz="4" w:space="0" w:color="auto"/>
            </w:tcBorders>
            <w:vAlign w:val="center"/>
            <w:hideMark/>
          </w:tcPr>
          <w:p w:rsidR="000A6F17" w:rsidRPr="007151FC" w:rsidRDefault="00AC2328" w:rsidP="007C12A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Pr>
                <w:bCs/>
                <w:sz w:val="20"/>
                <w:szCs w:val="20"/>
              </w:rPr>
              <w:t>1,960,8</w:t>
            </w:r>
            <w:r w:rsidR="007C12A7">
              <w:rPr>
                <w:bCs/>
                <w:sz w:val="20"/>
                <w:szCs w:val="20"/>
              </w:rPr>
              <w:t>24</w:t>
            </w:r>
          </w:p>
        </w:tc>
        <w:tc>
          <w:tcPr>
            <w:tcW w:w="1350" w:type="dxa"/>
            <w:tcBorders>
              <w:bottom w:val="single" w:sz="4" w:space="0" w:color="auto"/>
            </w:tcBorders>
            <w:vAlign w:val="center"/>
            <w:hideMark/>
          </w:tcPr>
          <w:p w:rsidR="000A6F17" w:rsidRPr="007151FC" w:rsidRDefault="00AC2328"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Pr>
                <w:bCs/>
                <w:sz w:val="20"/>
                <w:szCs w:val="20"/>
              </w:rPr>
              <w:t>98,041.2</w:t>
            </w:r>
          </w:p>
        </w:tc>
        <w:tc>
          <w:tcPr>
            <w:tcW w:w="1080" w:type="dxa"/>
            <w:tcBorders>
              <w:bottom w:val="single" w:sz="4" w:space="0" w:color="auto"/>
            </w:tcBorders>
            <w:vAlign w:val="center"/>
            <w:hideMark/>
          </w:tcPr>
          <w:p w:rsidR="000A6F17" w:rsidRPr="007151FC" w:rsidRDefault="00AC2328"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r>
              <w:rPr>
                <w:bCs/>
                <w:sz w:val="20"/>
                <w:szCs w:val="20"/>
              </w:rPr>
              <w:t>196,082.4</w:t>
            </w:r>
          </w:p>
        </w:tc>
        <w:tc>
          <w:tcPr>
            <w:tcW w:w="162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Cs/>
                <w:sz w:val="20"/>
                <w:szCs w:val="20"/>
              </w:rPr>
            </w:pPr>
          </w:p>
        </w:tc>
      </w:tr>
      <w:tr w:rsidR="000A6F17" w:rsidRPr="005D73D8" w:rsidTr="000A6F17">
        <w:trPr>
          <w:trHeight w:val="323"/>
        </w:trPr>
        <w:tc>
          <w:tcPr>
            <w:tcW w:w="3960" w:type="dxa"/>
            <w:vAlign w:val="center"/>
            <w:hideMark/>
          </w:tcPr>
          <w:p w:rsidR="000A6F17" w:rsidRPr="000A6F17" w:rsidRDefault="000A6F17" w:rsidP="000A6F17">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bCs/>
                <w:sz w:val="20"/>
                <w:szCs w:val="20"/>
              </w:rPr>
            </w:pPr>
            <w:r w:rsidRPr="000A6F17">
              <w:rPr>
                <w:b/>
                <w:bCs/>
                <w:sz w:val="20"/>
                <w:szCs w:val="20"/>
              </w:rPr>
              <w:t>TOTAL LABOR BURDEN AND COST (rounded)</w:t>
            </w: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17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260" w:type="dxa"/>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080" w:type="dxa"/>
            <w:tcBorders>
              <w:right w:val="nil"/>
            </w:tcBorders>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350" w:type="dxa"/>
            <w:tcBorders>
              <w:left w:val="nil"/>
              <w:right w:val="nil"/>
            </w:tcBorders>
            <w:vAlign w:val="center"/>
            <w:hideMark/>
          </w:tcPr>
          <w:p w:rsidR="000A6F17" w:rsidRPr="000A6F17" w:rsidRDefault="000A5575"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
                <w:bCs/>
                <w:sz w:val="20"/>
                <w:szCs w:val="20"/>
              </w:rPr>
            </w:pPr>
            <w:r>
              <w:rPr>
                <w:b/>
                <w:bCs/>
                <w:sz w:val="20"/>
                <w:szCs w:val="20"/>
              </w:rPr>
              <w:t>2,254,948</w:t>
            </w:r>
          </w:p>
        </w:tc>
        <w:tc>
          <w:tcPr>
            <w:tcW w:w="1080" w:type="dxa"/>
            <w:tcBorders>
              <w:left w:val="nil"/>
            </w:tcBorders>
            <w:vAlign w:val="center"/>
            <w:hideMark/>
          </w:tcPr>
          <w:p w:rsidR="000A6F17" w:rsidRPr="007151FC" w:rsidRDefault="000A6F17" w:rsidP="00727D1F">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center"/>
              <w:rPr>
                <w:bCs/>
                <w:sz w:val="20"/>
                <w:szCs w:val="20"/>
              </w:rPr>
            </w:pPr>
          </w:p>
        </w:tc>
        <w:tc>
          <w:tcPr>
            <w:tcW w:w="1620" w:type="dxa"/>
            <w:vAlign w:val="center"/>
            <w:hideMark/>
          </w:tcPr>
          <w:p w:rsidR="000A6F17" w:rsidRPr="000A5575" w:rsidRDefault="000A5575" w:rsidP="000A5575">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jc w:val="right"/>
              <w:rPr>
                <w:b/>
                <w:bCs/>
                <w:sz w:val="20"/>
                <w:szCs w:val="20"/>
              </w:rPr>
            </w:pPr>
            <w:r w:rsidRPr="000A5575">
              <w:rPr>
                <w:b/>
                <w:bCs/>
                <w:sz w:val="20"/>
                <w:szCs w:val="20"/>
              </w:rPr>
              <w:t>$</w:t>
            </w:r>
            <w:r>
              <w:rPr>
                <w:b/>
                <w:bCs/>
                <w:sz w:val="20"/>
                <w:szCs w:val="20"/>
              </w:rPr>
              <w:t>216,067,118</w:t>
            </w:r>
          </w:p>
        </w:tc>
      </w:tr>
    </w:tbl>
    <w:p w:rsidR="00C37588" w:rsidRPr="006D0869" w:rsidRDefault="00C37588" w:rsidP="00266F69">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color w:val="000000"/>
          <w:sz w:val="20"/>
          <w:szCs w:val="20"/>
          <w:u w:val="single"/>
        </w:rPr>
      </w:pPr>
    </w:p>
    <w:p w:rsidR="00C37588" w:rsidRPr="000079E7" w:rsidRDefault="00C37588" w:rsidP="00266F69">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color w:val="000000"/>
          <w:sz w:val="20"/>
          <w:szCs w:val="20"/>
        </w:rPr>
      </w:pPr>
      <w:r w:rsidRPr="000079E7">
        <w:rPr>
          <w:b/>
          <w:color w:val="000000"/>
          <w:sz w:val="20"/>
          <w:szCs w:val="20"/>
        </w:rPr>
        <w:t>Assumptions:</w:t>
      </w:r>
    </w:p>
    <w:p w:rsidR="00C37588" w:rsidRDefault="00C37588" w:rsidP="00C37588">
      <w:pPr>
        <w:ind w:left="-180" w:right="-270"/>
        <w:rPr>
          <w:sz w:val="20"/>
          <w:szCs w:val="20"/>
        </w:rPr>
      </w:pPr>
      <w:proofErr w:type="spellStart"/>
      <w:r>
        <w:rPr>
          <w:vertAlign w:val="superscript"/>
        </w:rPr>
        <w:t>a</w:t>
      </w:r>
      <w:proofErr w:type="spellEnd"/>
      <w:r>
        <w:rPr>
          <w:sz w:val="20"/>
          <w:szCs w:val="20"/>
        </w:rPr>
        <w:t xml:space="preserve">  We have assumed that there are approximately 4,992 existing sources currently subject to this rule, with no additional new or reconstructed sources becoming subject to the rule over the next three years of this ICR.</w:t>
      </w:r>
    </w:p>
    <w:p w:rsidR="00C37588" w:rsidRDefault="00C37588" w:rsidP="00C37588">
      <w:pPr>
        <w:ind w:left="-180" w:right="-270"/>
        <w:rPr>
          <w:sz w:val="20"/>
          <w:szCs w:val="20"/>
        </w:rPr>
      </w:pPr>
      <w:r>
        <w:rPr>
          <w:vertAlign w:val="superscript"/>
        </w:rPr>
        <w:t>b</w:t>
      </w:r>
      <w:r>
        <w:rPr>
          <w:sz w:val="20"/>
          <w:szCs w:val="20"/>
        </w:rPr>
        <w:t xml:space="preserve">  This ICR uses the following labor rates:  $121.42 per hour for Executive, Administrative, and Managerial labor; $99.14 per hour for Technical labor, and $49.81</w:t>
      </w:r>
    </w:p>
    <w:p w:rsidR="00C37588" w:rsidRDefault="00C37588" w:rsidP="00C37588">
      <w:pPr>
        <w:ind w:left="-180" w:right="-270"/>
        <w:rPr>
          <w:sz w:val="20"/>
          <w:szCs w:val="20"/>
        </w:rPr>
      </w:pPr>
      <w:r>
        <w:rPr>
          <w:sz w:val="20"/>
          <w:szCs w:val="20"/>
        </w:rPr>
        <w:t>per hour for Clerical labor.  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C37588" w:rsidRDefault="00C37588" w:rsidP="00C37588">
      <w:pPr>
        <w:ind w:left="-180" w:right="-270"/>
        <w:rPr>
          <w:sz w:val="20"/>
          <w:szCs w:val="20"/>
        </w:rPr>
      </w:pPr>
      <w:r w:rsidRPr="00966A4A">
        <w:rPr>
          <w:sz w:val="20"/>
          <w:szCs w:val="20"/>
          <w:vertAlign w:val="superscript"/>
        </w:rPr>
        <w:t>c</w:t>
      </w:r>
      <w:r>
        <w:rPr>
          <w:sz w:val="20"/>
          <w:szCs w:val="20"/>
        </w:rPr>
        <w:t xml:space="preserve">  We assumed that the eleven magnet wire facilities on average incorporate a higher number of processes that’s typical for the industry.  The burden of gathering information, monitoring, and processing compiling, and reviewing has been estimated based on comments received from NEMA.</w:t>
      </w:r>
    </w:p>
    <w:p w:rsidR="00966A4A" w:rsidRDefault="00966A4A" w:rsidP="00C37588">
      <w:pPr>
        <w:ind w:left="-180" w:right="-270"/>
        <w:rPr>
          <w:sz w:val="20"/>
          <w:szCs w:val="20"/>
        </w:rPr>
      </w:pPr>
      <w:r w:rsidRPr="000079E7">
        <w:rPr>
          <w:sz w:val="20"/>
          <w:szCs w:val="20"/>
          <w:vertAlign w:val="superscript"/>
        </w:rPr>
        <w:t>d</w:t>
      </w:r>
      <w:r>
        <w:rPr>
          <w:sz w:val="20"/>
          <w:szCs w:val="20"/>
        </w:rPr>
        <w:t xml:space="preserve">  We have assumed that each respondent will take eight hours twice per year to complete the semiannual reports.</w:t>
      </w:r>
    </w:p>
    <w:p w:rsidR="000079E7" w:rsidRDefault="000079E7" w:rsidP="00C37588">
      <w:pPr>
        <w:ind w:left="-180" w:right="-270"/>
        <w:rPr>
          <w:sz w:val="20"/>
          <w:szCs w:val="20"/>
        </w:rPr>
      </w:pPr>
      <w:r w:rsidRPr="000079E7">
        <w:rPr>
          <w:sz w:val="20"/>
          <w:szCs w:val="20"/>
          <w:vertAlign w:val="superscript"/>
        </w:rPr>
        <w:t>e</w:t>
      </w:r>
      <w:r>
        <w:rPr>
          <w:sz w:val="20"/>
          <w:szCs w:val="20"/>
        </w:rPr>
        <w:t xml:space="preserve">  We have assumed that each respondent will take four hours twice per year to complete task.</w:t>
      </w:r>
    </w:p>
    <w:p w:rsidR="00C37588" w:rsidRDefault="00C37588" w:rsidP="00266F69">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color w:val="000000"/>
          <w:sz w:val="20"/>
          <w:szCs w:val="20"/>
        </w:rPr>
      </w:pPr>
    </w:p>
    <w:p w:rsidR="00C37588" w:rsidRDefault="00C37588" w:rsidP="00266F69">
      <w:pPr>
        <w:pBdr>
          <w:top w:val="single" w:sz="4" w:space="0" w:color="FFFFFF"/>
          <w:left w:val="single" w:sz="4" w:space="0" w:color="FFFFFF"/>
          <w:bottom w:val="single" w:sz="4" w:space="0" w:color="FFFFFF"/>
          <w:right w:val="single" w:sz="4" w:space="0" w:color="FFFFFF"/>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620"/>
        </w:tabs>
        <w:rPr>
          <w:b/>
          <w:color w:val="000000"/>
          <w:sz w:val="20"/>
          <w:szCs w:val="2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6D0869">
      <w:pPr>
        <w:rPr>
          <w:b/>
          <w:bCs/>
          <w:color w:val="000000"/>
        </w:rPr>
      </w:pPr>
      <w:r>
        <w:rPr>
          <w:b/>
          <w:bCs/>
          <w:color w:val="000000"/>
        </w:rPr>
        <w:t xml:space="preserve"> </w:t>
      </w:r>
    </w:p>
    <w:p w:rsidR="006D0869" w:rsidRDefault="006D0869">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0079E7" w:rsidRDefault="000079E7">
      <w:pPr>
        <w:rPr>
          <w:b/>
          <w:bCs/>
          <w:color w:val="000000"/>
        </w:rPr>
      </w:pPr>
    </w:p>
    <w:p w:rsidR="00253814" w:rsidRDefault="00144F35">
      <w:pPr>
        <w:rPr>
          <w:b/>
          <w:bCs/>
          <w:color w:val="000000"/>
        </w:rPr>
      </w:pPr>
      <w:r w:rsidRPr="00C4183F">
        <w:rPr>
          <w:b/>
          <w:bCs/>
          <w:color w:val="000000"/>
        </w:rPr>
        <w:lastRenderedPageBreak/>
        <w:t>Table 2:</w:t>
      </w:r>
      <w:r>
        <w:rPr>
          <w:b/>
          <w:bCs/>
          <w:color w:val="000000"/>
        </w:rPr>
        <w:t xml:space="preserve"> Average Annual EPA Burden and Cost – </w:t>
      </w:r>
      <w:r w:rsidR="00266F69" w:rsidRPr="00993B43">
        <w:rPr>
          <w:b/>
        </w:rPr>
        <w:t xml:space="preserve">NESHAP </w:t>
      </w:r>
      <w:r w:rsidR="00266F69" w:rsidRPr="00896FC2">
        <w:rPr>
          <w:b/>
        </w:rPr>
        <w:t xml:space="preserve">for </w:t>
      </w:r>
      <w:r w:rsidR="00266F69" w:rsidRPr="00896FC2">
        <w:rPr>
          <w:b/>
          <w:bCs/>
        </w:rPr>
        <w:t>Miscellaneous Metal Parts and Products</w:t>
      </w:r>
      <w:r w:rsidR="00266F69" w:rsidRPr="00896FC2">
        <w:rPr>
          <w:b/>
        </w:rPr>
        <w:t xml:space="preserve"> (40 CFR</w:t>
      </w:r>
      <w:r w:rsidR="00266F69" w:rsidRPr="00993B43">
        <w:rPr>
          <w:b/>
        </w:rPr>
        <w:t xml:space="preserve"> </w:t>
      </w:r>
      <w:r w:rsidR="00266F69" w:rsidRPr="00896FC2">
        <w:rPr>
          <w:b/>
        </w:rPr>
        <w:t>Part</w:t>
      </w:r>
      <w:r w:rsidR="00266F69" w:rsidRPr="00993B43">
        <w:rPr>
          <w:b/>
        </w:rPr>
        <w:t xml:space="preserve"> 63, </w:t>
      </w:r>
      <w:r w:rsidR="00266F69" w:rsidRPr="00896FC2">
        <w:rPr>
          <w:b/>
        </w:rPr>
        <w:t>Subpart</w:t>
      </w:r>
      <w:r w:rsidR="00266F69" w:rsidRPr="00993B43">
        <w:rPr>
          <w:b/>
        </w:rPr>
        <w:t xml:space="preserve"> MMMM) </w:t>
      </w:r>
      <w:r w:rsidR="00266F69" w:rsidRPr="00896FC2">
        <w:rPr>
          <w:b/>
        </w:rPr>
        <w:t>(Renewal)</w:t>
      </w:r>
    </w:p>
    <w:p w:rsidR="00144F35" w:rsidRDefault="00144F35" w:rsidP="00F340DF">
      <w:pPr>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094"/>
        <w:gridCol w:w="1260"/>
        <w:gridCol w:w="1260"/>
        <w:gridCol w:w="1260"/>
        <w:gridCol w:w="1083"/>
        <w:gridCol w:w="1263"/>
        <w:gridCol w:w="992"/>
        <w:gridCol w:w="1449"/>
      </w:tblGrid>
      <w:tr w:rsidR="00DB42D4" w:rsidRPr="005D73D8" w:rsidTr="00DB42D4">
        <w:trPr>
          <w:trHeight w:val="1530"/>
        </w:trPr>
        <w:tc>
          <w:tcPr>
            <w:tcW w:w="1359" w:type="pct"/>
            <w:vAlign w:val="center"/>
            <w:hideMark/>
          </w:tcPr>
          <w:p w:rsidR="00B523FE" w:rsidRPr="005D73D8" w:rsidRDefault="007151FC" w:rsidP="00CB4071">
            <w:pPr>
              <w:jc w:val="center"/>
              <w:rPr>
                <w:bCs/>
                <w:sz w:val="20"/>
                <w:szCs w:val="20"/>
              </w:rPr>
            </w:pPr>
            <w:r w:rsidRPr="007151FC">
              <w:rPr>
                <w:bCs/>
                <w:sz w:val="20"/>
                <w:szCs w:val="20"/>
              </w:rPr>
              <w:t>Burden item</w:t>
            </w:r>
          </w:p>
        </w:tc>
        <w:tc>
          <w:tcPr>
            <w:tcW w:w="412" w:type="pct"/>
            <w:vAlign w:val="center"/>
            <w:hideMark/>
          </w:tcPr>
          <w:p w:rsidR="00B523FE" w:rsidRPr="005D73D8" w:rsidRDefault="007151FC" w:rsidP="00CB4071">
            <w:pPr>
              <w:jc w:val="center"/>
              <w:rPr>
                <w:bCs/>
                <w:sz w:val="20"/>
                <w:szCs w:val="20"/>
              </w:rPr>
            </w:pPr>
            <w:r w:rsidRPr="007151FC">
              <w:rPr>
                <w:bCs/>
                <w:sz w:val="20"/>
                <w:szCs w:val="20"/>
              </w:rPr>
              <w:t>(A)</w:t>
            </w:r>
          </w:p>
          <w:p w:rsidR="00B523FE" w:rsidRPr="005D73D8" w:rsidRDefault="007151FC" w:rsidP="00CB4071">
            <w:pPr>
              <w:jc w:val="center"/>
              <w:rPr>
                <w:bCs/>
                <w:sz w:val="20"/>
                <w:szCs w:val="20"/>
              </w:rPr>
            </w:pPr>
            <w:r w:rsidRPr="007151FC">
              <w:rPr>
                <w:bCs/>
                <w:sz w:val="20"/>
                <w:szCs w:val="20"/>
              </w:rPr>
              <w:t>Person hours per occurrence</w:t>
            </w:r>
          </w:p>
        </w:tc>
        <w:tc>
          <w:tcPr>
            <w:tcW w:w="475" w:type="pct"/>
            <w:vAlign w:val="center"/>
            <w:hideMark/>
          </w:tcPr>
          <w:p w:rsidR="00B523FE" w:rsidRPr="005D73D8" w:rsidRDefault="007151FC" w:rsidP="00CB4071">
            <w:pPr>
              <w:jc w:val="center"/>
              <w:rPr>
                <w:bCs/>
                <w:sz w:val="20"/>
                <w:szCs w:val="20"/>
              </w:rPr>
            </w:pPr>
            <w:r w:rsidRPr="007151FC">
              <w:rPr>
                <w:bCs/>
                <w:sz w:val="20"/>
                <w:szCs w:val="20"/>
              </w:rPr>
              <w:t>(B)</w:t>
            </w:r>
          </w:p>
          <w:p w:rsidR="00B523FE" w:rsidRPr="005D73D8" w:rsidRDefault="007151FC" w:rsidP="00CB4071">
            <w:pPr>
              <w:jc w:val="center"/>
              <w:rPr>
                <w:bCs/>
                <w:sz w:val="20"/>
                <w:szCs w:val="20"/>
              </w:rPr>
            </w:pPr>
            <w:r w:rsidRPr="007151FC">
              <w:rPr>
                <w:bCs/>
                <w:sz w:val="20"/>
                <w:szCs w:val="20"/>
              </w:rPr>
              <w:t>No. of occurrences per respondent per year</w:t>
            </w:r>
          </w:p>
        </w:tc>
        <w:tc>
          <w:tcPr>
            <w:tcW w:w="475" w:type="pct"/>
            <w:vAlign w:val="center"/>
            <w:hideMark/>
          </w:tcPr>
          <w:p w:rsidR="00B523FE" w:rsidRPr="005D73D8" w:rsidRDefault="007151FC" w:rsidP="00CB4071">
            <w:pPr>
              <w:jc w:val="center"/>
              <w:rPr>
                <w:bCs/>
                <w:sz w:val="20"/>
                <w:szCs w:val="20"/>
              </w:rPr>
            </w:pPr>
            <w:r w:rsidRPr="007151FC">
              <w:rPr>
                <w:bCs/>
                <w:sz w:val="20"/>
                <w:szCs w:val="20"/>
              </w:rPr>
              <w:t>(C)</w:t>
            </w:r>
          </w:p>
          <w:p w:rsidR="00B523FE" w:rsidRPr="005D73D8" w:rsidRDefault="007151FC" w:rsidP="00CB4071">
            <w:pPr>
              <w:jc w:val="center"/>
              <w:rPr>
                <w:bCs/>
                <w:sz w:val="20"/>
                <w:szCs w:val="20"/>
              </w:rPr>
            </w:pPr>
            <w:r w:rsidRPr="007151FC">
              <w:rPr>
                <w:bCs/>
                <w:sz w:val="20"/>
                <w:szCs w:val="20"/>
              </w:rPr>
              <w:t>Person hours per respondent per year (C=</w:t>
            </w:r>
            <w:proofErr w:type="spellStart"/>
            <w:r w:rsidRPr="007151FC">
              <w:rPr>
                <w:bCs/>
                <w:sz w:val="20"/>
                <w:szCs w:val="20"/>
              </w:rPr>
              <w:t>AxB</w:t>
            </w:r>
            <w:proofErr w:type="spellEnd"/>
            <w:r w:rsidRPr="007151FC">
              <w:rPr>
                <w:bCs/>
                <w:sz w:val="20"/>
                <w:szCs w:val="20"/>
              </w:rPr>
              <w:t>)</w:t>
            </w:r>
          </w:p>
        </w:tc>
        <w:tc>
          <w:tcPr>
            <w:tcW w:w="475" w:type="pct"/>
            <w:vAlign w:val="center"/>
            <w:hideMark/>
          </w:tcPr>
          <w:p w:rsidR="00B523FE" w:rsidRPr="005D73D8" w:rsidRDefault="007151FC" w:rsidP="00CB4071">
            <w:pPr>
              <w:jc w:val="center"/>
              <w:rPr>
                <w:bCs/>
                <w:sz w:val="20"/>
                <w:szCs w:val="20"/>
              </w:rPr>
            </w:pPr>
            <w:r w:rsidRPr="007151FC">
              <w:rPr>
                <w:bCs/>
                <w:sz w:val="20"/>
                <w:szCs w:val="20"/>
              </w:rPr>
              <w:t>(D) Respondents per year</w:t>
            </w:r>
            <w:r w:rsidR="000079E7">
              <w:rPr>
                <w:bCs/>
                <w:sz w:val="20"/>
                <w:szCs w:val="20"/>
              </w:rPr>
              <w:t xml:space="preserve"> </w:t>
            </w:r>
            <w:r w:rsidR="000079E7" w:rsidRPr="000079E7">
              <w:rPr>
                <w:bCs/>
                <w:sz w:val="20"/>
                <w:szCs w:val="20"/>
                <w:vertAlign w:val="superscript"/>
              </w:rPr>
              <w:t>a</w:t>
            </w:r>
          </w:p>
        </w:tc>
        <w:tc>
          <w:tcPr>
            <w:tcW w:w="408" w:type="pct"/>
            <w:vAlign w:val="center"/>
            <w:hideMark/>
          </w:tcPr>
          <w:p w:rsidR="00B523FE" w:rsidRPr="005D73D8" w:rsidRDefault="007151FC" w:rsidP="00CB4071">
            <w:pPr>
              <w:jc w:val="center"/>
              <w:rPr>
                <w:bCs/>
                <w:sz w:val="20"/>
                <w:szCs w:val="20"/>
              </w:rPr>
            </w:pPr>
            <w:r w:rsidRPr="007151FC">
              <w:rPr>
                <w:bCs/>
                <w:sz w:val="20"/>
                <w:szCs w:val="20"/>
              </w:rPr>
              <w:t>(E) Technical person- hours per year (E=</w:t>
            </w:r>
            <w:proofErr w:type="spellStart"/>
            <w:r w:rsidRPr="007151FC">
              <w:rPr>
                <w:bCs/>
                <w:sz w:val="20"/>
                <w:szCs w:val="20"/>
              </w:rPr>
              <w:t>CxD</w:t>
            </w:r>
            <w:proofErr w:type="spellEnd"/>
            <w:r w:rsidRPr="007151FC">
              <w:rPr>
                <w:bCs/>
                <w:sz w:val="20"/>
                <w:szCs w:val="20"/>
              </w:rPr>
              <w:t>)</w:t>
            </w:r>
          </w:p>
        </w:tc>
        <w:tc>
          <w:tcPr>
            <w:tcW w:w="476" w:type="pct"/>
            <w:vAlign w:val="center"/>
            <w:hideMark/>
          </w:tcPr>
          <w:p w:rsidR="00B523FE" w:rsidRPr="005D73D8" w:rsidRDefault="007151FC" w:rsidP="00CB4071">
            <w:pPr>
              <w:jc w:val="center"/>
              <w:rPr>
                <w:bCs/>
                <w:sz w:val="20"/>
                <w:szCs w:val="20"/>
              </w:rPr>
            </w:pPr>
            <w:r w:rsidRPr="007151FC">
              <w:rPr>
                <w:bCs/>
                <w:sz w:val="20"/>
                <w:szCs w:val="20"/>
              </w:rPr>
              <w:t>(F) Management person hours per year (Ex0.05)</w:t>
            </w:r>
          </w:p>
        </w:tc>
        <w:tc>
          <w:tcPr>
            <w:tcW w:w="374" w:type="pct"/>
            <w:vAlign w:val="center"/>
            <w:hideMark/>
          </w:tcPr>
          <w:p w:rsidR="00B523FE" w:rsidRPr="005D73D8" w:rsidRDefault="007151FC" w:rsidP="00CB4071">
            <w:pPr>
              <w:jc w:val="center"/>
              <w:rPr>
                <w:bCs/>
                <w:sz w:val="20"/>
                <w:szCs w:val="20"/>
              </w:rPr>
            </w:pPr>
            <w:r w:rsidRPr="007151FC">
              <w:rPr>
                <w:bCs/>
                <w:sz w:val="20"/>
                <w:szCs w:val="20"/>
              </w:rPr>
              <w:t>(G) Clerical person hours per year (Ex0.1)</w:t>
            </w:r>
          </w:p>
        </w:tc>
        <w:tc>
          <w:tcPr>
            <w:tcW w:w="546" w:type="pct"/>
            <w:vAlign w:val="center"/>
            <w:hideMark/>
          </w:tcPr>
          <w:p w:rsidR="00B523FE" w:rsidRPr="005D73D8" w:rsidRDefault="007151FC" w:rsidP="00CB4071">
            <w:pPr>
              <w:jc w:val="center"/>
              <w:rPr>
                <w:bCs/>
                <w:sz w:val="20"/>
                <w:szCs w:val="20"/>
              </w:rPr>
            </w:pPr>
            <w:r w:rsidRPr="007151FC">
              <w:rPr>
                <w:bCs/>
                <w:sz w:val="20"/>
                <w:szCs w:val="20"/>
              </w:rPr>
              <w:t>(H)</w:t>
            </w:r>
          </w:p>
          <w:p w:rsidR="00B523FE" w:rsidRPr="005D73D8" w:rsidRDefault="007151FC" w:rsidP="00CB4071">
            <w:pPr>
              <w:jc w:val="center"/>
              <w:rPr>
                <w:bCs/>
                <w:sz w:val="20"/>
                <w:szCs w:val="20"/>
              </w:rPr>
            </w:pPr>
            <w:r w:rsidRPr="007151FC">
              <w:rPr>
                <w:bCs/>
                <w:sz w:val="20"/>
                <w:szCs w:val="20"/>
              </w:rPr>
              <w:t>Cost, $</w:t>
            </w:r>
            <w:r w:rsidR="00F33F99">
              <w:rPr>
                <w:bCs/>
                <w:sz w:val="20"/>
                <w:szCs w:val="20"/>
              </w:rPr>
              <w:t xml:space="preserve"> </w:t>
            </w:r>
            <w:r w:rsidR="00F33F99" w:rsidRPr="00F33F99">
              <w:rPr>
                <w:bCs/>
                <w:sz w:val="20"/>
                <w:szCs w:val="20"/>
                <w:vertAlign w:val="superscript"/>
              </w:rPr>
              <w:t>b</w:t>
            </w:r>
          </w:p>
        </w:tc>
      </w:tr>
      <w:tr w:rsidR="00DB42D4" w:rsidRPr="005D73D8" w:rsidTr="00DB42D4">
        <w:trPr>
          <w:trHeight w:val="260"/>
        </w:trPr>
        <w:tc>
          <w:tcPr>
            <w:tcW w:w="1359" w:type="pct"/>
            <w:hideMark/>
          </w:tcPr>
          <w:p w:rsidR="00B523FE" w:rsidRPr="005D73D8" w:rsidRDefault="007151FC" w:rsidP="00DB42D4">
            <w:pPr>
              <w:rPr>
                <w:bCs/>
                <w:sz w:val="20"/>
                <w:szCs w:val="20"/>
              </w:rPr>
            </w:pPr>
            <w:r w:rsidRPr="007151FC">
              <w:rPr>
                <w:bCs/>
                <w:sz w:val="20"/>
                <w:szCs w:val="20"/>
              </w:rPr>
              <w:t>1.</w:t>
            </w:r>
            <w:r w:rsidR="00DB42D4">
              <w:rPr>
                <w:bCs/>
                <w:sz w:val="20"/>
                <w:szCs w:val="20"/>
              </w:rPr>
              <w:t xml:space="preserve"> </w:t>
            </w:r>
            <w:r w:rsidRPr="007151FC">
              <w:rPr>
                <w:bCs/>
                <w:sz w:val="20"/>
                <w:szCs w:val="20"/>
              </w:rPr>
              <w:t xml:space="preserve"> Initial performance and test</w:t>
            </w:r>
          </w:p>
        </w:tc>
        <w:tc>
          <w:tcPr>
            <w:tcW w:w="412" w:type="pct"/>
            <w:hideMark/>
          </w:tcPr>
          <w:p w:rsidR="00B523FE" w:rsidRPr="005D73D8" w:rsidRDefault="007151FC" w:rsidP="00CB4071">
            <w:pPr>
              <w:jc w:val="center"/>
              <w:rPr>
                <w:bCs/>
                <w:sz w:val="20"/>
                <w:szCs w:val="20"/>
              </w:rPr>
            </w:pPr>
            <w:r w:rsidRPr="007151FC">
              <w:rPr>
                <w:bCs/>
                <w:sz w:val="20"/>
                <w:szCs w:val="20"/>
              </w:rPr>
              <w:t>N/A</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08" w:type="pct"/>
            <w:hideMark/>
          </w:tcPr>
          <w:p w:rsidR="00B523FE" w:rsidRPr="005D73D8" w:rsidRDefault="007151FC" w:rsidP="00CB4071">
            <w:pPr>
              <w:jc w:val="center"/>
              <w:rPr>
                <w:bCs/>
                <w:sz w:val="20"/>
                <w:szCs w:val="20"/>
              </w:rPr>
            </w:pPr>
            <w:r w:rsidRPr="007151FC">
              <w:rPr>
                <w:bCs/>
                <w:sz w:val="20"/>
                <w:szCs w:val="20"/>
              </w:rPr>
              <w:t>0</w:t>
            </w:r>
          </w:p>
        </w:tc>
        <w:tc>
          <w:tcPr>
            <w:tcW w:w="476" w:type="pct"/>
            <w:hideMark/>
          </w:tcPr>
          <w:p w:rsidR="00B523FE" w:rsidRPr="005D73D8" w:rsidRDefault="007151FC" w:rsidP="00CB4071">
            <w:pPr>
              <w:jc w:val="center"/>
              <w:rPr>
                <w:bCs/>
                <w:sz w:val="20"/>
                <w:szCs w:val="20"/>
              </w:rPr>
            </w:pPr>
            <w:r w:rsidRPr="007151FC">
              <w:rPr>
                <w:bCs/>
                <w:sz w:val="20"/>
                <w:szCs w:val="20"/>
              </w:rPr>
              <w:t>0</w:t>
            </w:r>
          </w:p>
        </w:tc>
        <w:tc>
          <w:tcPr>
            <w:tcW w:w="374" w:type="pct"/>
            <w:hideMark/>
          </w:tcPr>
          <w:p w:rsidR="00B523FE" w:rsidRPr="005D73D8" w:rsidRDefault="007151FC" w:rsidP="00CB4071">
            <w:pPr>
              <w:jc w:val="center"/>
              <w:rPr>
                <w:bCs/>
                <w:sz w:val="20"/>
                <w:szCs w:val="20"/>
              </w:rPr>
            </w:pPr>
            <w:r w:rsidRPr="007151FC">
              <w:rPr>
                <w:bCs/>
                <w:sz w:val="20"/>
                <w:szCs w:val="20"/>
              </w:rPr>
              <w:t>0</w:t>
            </w:r>
          </w:p>
        </w:tc>
        <w:tc>
          <w:tcPr>
            <w:tcW w:w="546" w:type="pct"/>
            <w:hideMark/>
          </w:tcPr>
          <w:p w:rsidR="00B523FE" w:rsidRPr="005D73D8" w:rsidRDefault="007151FC" w:rsidP="00CB4071">
            <w:pPr>
              <w:jc w:val="center"/>
              <w:rPr>
                <w:bCs/>
                <w:sz w:val="20"/>
                <w:szCs w:val="20"/>
              </w:rPr>
            </w:pPr>
            <w:r w:rsidRPr="007151FC">
              <w:rPr>
                <w:bCs/>
                <w:sz w:val="20"/>
                <w:szCs w:val="20"/>
              </w:rPr>
              <w:t>0</w:t>
            </w:r>
          </w:p>
        </w:tc>
      </w:tr>
      <w:tr w:rsidR="00DB42D4" w:rsidRPr="005D73D8" w:rsidTr="00DB42D4">
        <w:trPr>
          <w:trHeight w:val="260"/>
        </w:trPr>
        <w:tc>
          <w:tcPr>
            <w:tcW w:w="1359" w:type="pct"/>
            <w:hideMark/>
          </w:tcPr>
          <w:p w:rsidR="00B523FE" w:rsidRPr="005D73D8" w:rsidRDefault="007151FC" w:rsidP="00DB42D4">
            <w:pPr>
              <w:rPr>
                <w:bCs/>
                <w:sz w:val="20"/>
                <w:szCs w:val="20"/>
              </w:rPr>
            </w:pPr>
            <w:r w:rsidRPr="007151FC">
              <w:rPr>
                <w:bCs/>
                <w:sz w:val="20"/>
                <w:szCs w:val="20"/>
              </w:rPr>
              <w:t>2.</w:t>
            </w:r>
            <w:r w:rsidR="00DB42D4">
              <w:rPr>
                <w:bCs/>
                <w:sz w:val="20"/>
                <w:szCs w:val="20"/>
              </w:rPr>
              <w:t xml:space="preserve"> </w:t>
            </w:r>
            <w:r w:rsidRPr="007151FC">
              <w:rPr>
                <w:bCs/>
                <w:sz w:val="20"/>
                <w:szCs w:val="20"/>
              </w:rPr>
              <w:t xml:space="preserve"> Repeat performance test</w:t>
            </w:r>
          </w:p>
        </w:tc>
        <w:tc>
          <w:tcPr>
            <w:tcW w:w="412" w:type="pct"/>
            <w:hideMark/>
          </w:tcPr>
          <w:p w:rsidR="00B523FE" w:rsidRPr="005D73D8" w:rsidRDefault="007151FC" w:rsidP="00CB4071">
            <w:pPr>
              <w:jc w:val="center"/>
              <w:rPr>
                <w:bCs/>
                <w:sz w:val="20"/>
                <w:szCs w:val="20"/>
              </w:rPr>
            </w:pPr>
            <w:r w:rsidRPr="007151FC">
              <w:rPr>
                <w:bCs/>
                <w:sz w:val="20"/>
                <w:szCs w:val="20"/>
              </w:rPr>
              <w:t>N/A</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08" w:type="pct"/>
            <w:hideMark/>
          </w:tcPr>
          <w:p w:rsidR="00B523FE" w:rsidRPr="005D73D8" w:rsidRDefault="007151FC" w:rsidP="00CB4071">
            <w:pPr>
              <w:jc w:val="center"/>
              <w:rPr>
                <w:bCs/>
                <w:sz w:val="20"/>
                <w:szCs w:val="20"/>
              </w:rPr>
            </w:pPr>
            <w:r w:rsidRPr="007151FC">
              <w:rPr>
                <w:bCs/>
                <w:sz w:val="20"/>
                <w:szCs w:val="20"/>
              </w:rPr>
              <w:t>0</w:t>
            </w:r>
          </w:p>
        </w:tc>
        <w:tc>
          <w:tcPr>
            <w:tcW w:w="476" w:type="pct"/>
            <w:hideMark/>
          </w:tcPr>
          <w:p w:rsidR="00B523FE" w:rsidRPr="005D73D8" w:rsidRDefault="007151FC" w:rsidP="00CB4071">
            <w:pPr>
              <w:jc w:val="center"/>
              <w:rPr>
                <w:bCs/>
                <w:sz w:val="20"/>
                <w:szCs w:val="20"/>
              </w:rPr>
            </w:pPr>
            <w:r w:rsidRPr="007151FC">
              <w:rPr>
                <w:bCs/>
                <w:sz w:val="20"/>
                <w:szCs w:val="20"/>
              </w:rPr>
              <w:t>0</w:t>
            </w:r>
          </w:p>
        </w:tc>
        <w:tc>
          <w:tcPr>
            <w:tcW w:w="374" w:type="pct"/>
            <w:hideMark/>
          </w:tcPr>
          <w:p w:rsidR="00B523FE" w:rsidRPr="005D73D8" w:rsidRDefault="007151FC" w:rsidP="00CB4071">
            <w:pPr>
              <w:jc w:val="center"/>
              <w:rPr>
                <w:bCs/>
                <w:sz w:val="20"/>
                <w:szCs w:val="20"/>
              </w:rPr>
            </w:pPr>
            <w:r w:rsidRPr="007151FC">
              <w:rPr>
                <w:bCs/>
                <w:sz w:val="20"/>
                <w:szCs w:val="20"/>
              </w:rPr>
              <w:t>0</w:t>
            </w:r>
          </w:p>
        </w:tc>
        <w:tc>
          <w:tcPr>
            <w:tcW w:w="546" w:type="pct"/>
            <w:hideMark/>
          </w:tcPr>
          <w:p w:rsidR="00B523FE" w:rsidRPr="005D73D8" w:rsidRDefault="007151FC" w:rsidP="00CB4071">
            <w:pPr>
              <w:jc w:val="center"/>
              <w:rPr>
                <w:bCs/>
                <w:sz w:val="20"/>
                <w:szCs w:val="20"/>
              </w:rPr>
            </w:pPr>
            <w:r w:rsidRPr="007151FC">
              <w:rPr>
                <w:bCs/>
                <w:sz w:val="20"/>
                <w:szCs w:val="20"/>
              </w:rPr>
              <w:t>0</w:t>
            </w:r>
          </w:p>
        </w:tc>
      </w:tr>
      <w:tr w:rsidR="00DB42D4" w:rsidRPr="005D73D8" w:rsidTr="00DB42D4">
        <w:trPr>
          <w:trHeight w:val="260"/>
        </w:trPr>
        <w:tc>
          <w:tcPr>
            <w:tcW w:w="1359" w:type="pct"/>
            <w:hideMark/>
          </w:tcPr>
          <w:p w:rsidR="00B523FE" w:rsidRPr="005D73D8" w:rsidRDefault="007151FC" w:rsidP="00DB42D4">
            <w:pPr>
              <w:rPr>
                <w:bCs/>
                <w:sz w:val="20"/>
                <w:szCs w:val="20"/>
              </w:rPr>
            </w:pPr>
            <w:r w:rsidRPr="007151FC">
              <w:rPr>
                <w:bCs/>
                <w:sz w:val="20"/>
                <w:szCs w:val="20"/>
              </w:rPr>
              <w:t>3.</w:t>
            </w:r>
            <w:r w:rsidR="00DB42D4">
              <w:rPr>
                <w:bCs/>
                <w:sz w:val="20"/>
                <w:szCs w:val="20"/>
              </w:rPr>
              <w:t xml:space="preserve"> </w:t>
            </w:r>
            <w:r w:rsidRPr="007151FC">
              <w:rPr>
                <w:bCs/>
                <w:sz w:val="20"/>
                <w:szCs w:val="20"/>
              </w:rPr>
              <w:t xml:space="preserve"> Report review </w:t>
            </w:r>
          </w:p>
        </w:tc>
        <w:tc>
          <w:tcPr>
            <w:tcW w:w="412" w:type="pct"/>
            <w:hideMark/>
          </w:tcPr>
          <w:p w:rsidR="00B523FE" w:rsidRPr="005D73D8" w:rsidRDefault="00B523FE" w:rsidP="00CB4071">
            <w:pPr>
              <w:jc w:val="center"/>
              <w:rPr>
                <w:bCs/>
                <w:sz w:val="20"/>
                <w:szCs w:val="20"/>
              </w:rPr>
            </w:pPr>
          </w:p>
        </w:tc>
        <w:tc>
          <w:tcPr>
            <w:tcW w:w="475" w:type="pct"/>
            <w:hideMark/>
          </w:tcPr>
          <w:p w:rsidR="00B523FE" w:rsidRPr="005D73D8" w:rsidRDefault="00B523FE" w:rsidP="00CB4071">
            <w:pPr>
              <w:jc w:val="center"/>
              <w:rPr>
                <w:bCs/>
                <w:sz w:val="20"/>
                <w:szCs w:val="20"/>
              </w:rPr>
            </w:pP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08" w:type="pct"/>
            <w:hideMark/>
          </w:tcPr>
          <w:p w:rsidR="00B523FE" w:rsidRPr="005D73D8" w:rsidRDefault="00B523FE" w:rsidP="00CB4071">
            <w:pPr>
              <w:jc w:val="center"/>
              <w:rPr>
                <w:bCs/>
                <w:sz w:val="20"/>
                <w:szCs w:val="20"/>
              </w:rPr>
            </w:pPr>
          </w:p>
        </w:tc>
        <w:tc>
          <w:tcPr>
            <w:tcW w:w="476" w:type="pct"/>
            <w:hideMark/>
          </w:tcPr>
          <w:p w:rsidR="00B523FE" w:rsidRPr="005D73D8" w:rsidRDefault="00B523FE" w:rsidP="00CB4071">
            <w:pPr>
              <w:jc w:val="center"/>
              <w:rPr>
                <w:bCs/>
                <w:sz w:val="20"/>
                <w:szCs w:val="20"/>
              </w:rPr>
            </w:pPr>
          </w:p>
        </w:tc>
        <w:tc>
          <w:tcPr>
            <w:tcW w:w="374" w:type="pct"/>
            <w:hideMark/>
          </w:tcPr>
          <w:p w:rsidR="00B523FE" w:rsidRPr="005D73D8" w:rsidRDefault="00B523FE" w:rsidP="00CB4071">
            <w:pPr>
              <w:jc w:val="center"/>
              <w:rPr>
                <w:bCs/>
                <w:sz w:val="20"/>
                <w:szCs w:val="20"/>
              </w:rPr>
            </w:pPr>
          </w:p>
        </w:tc>
        <w:tc>
          <w:tcPr>
            <w:tcW w:w="546" w:type="pct"/>
            <w:hideMark/>
          </w:tcPr>
          <w:p w:rsidR="00B523FE" w:rsidRPr="005D73D8" w:rsidRDefault="00B523FE" w:rsidP="00CB4071">
            <w:pPr>
              <w:jc w:val="center"/>
              <w:rPr>
                <w:bCs/>
                <w:sz w:val="20"/>
                <w:szCs w:val="20"/>
              </w:rPr>
            </w:pPr>
          </w:p>
        </w:tc>
      </w:tr>
      <w:tr w:rsidR="00DB42D4" w:rsidRPr="005D73D8" w:rsidTr="00DB42D4">
        <w:trPr>
          <w:trHeight w:val="300"/>
        </w:trPr>
        <w:tc>
          <w:tcPr>
            <w:tcW w:w="1359" w:type="pct"/>
            <w:hideMark/>
          </w:tcPr>
          <w:p w:rsidR="00B523FE" w:rsidRPr="005D73D8" w:rsidRDefault="007151FC" w:rsidP="00DB42D4">
            <w:pPr>
              <w:rPr>
                <w:bCs/>
                <w:sz w:val="20"/>
                <w:szCs w:val="20"/>
              </w:rPr>
            </w:pPr>
            <w:r w:rsidRPr="007151FC">
              <w:rPr>
                <w:bCs/>
                <w:sz w:val="20"/>
                <w:szCs w:val="20"/>
              </w:rPr>
              <w:t xml:space="preserve"> </w:t>
            </w:r>
            <w:r w:rsidR="00DB42D4">
              <w:rPr>
                <w:bCs/>
                <w:sz w:val="20"/>
                <w:szCs w:val="20"/>
              </w:rPr>
              <w:t xml:space="preserve">   </w:t>
            </w:r>
            <w:r w:rsidRPr="007151FC">
              <w:rPr>
                <w:bCs/>
                <w:sz w:val="20"/>
                <w:szCs w:val="20"/>
              </w:rPr>
              <w:t xml:space="preserve"> a) </w:t>
            </w:r>
            <w:r w:rsidR="00DB42D4">
              <w:rPr>
                <w:bCs/>
                <w:sz w:val="20"/>
                <w:szCs w:val="20"/>
              </w:rPr>
              <w:t xml:space="preserve"> I</w:t>
            </w:r>
            <w:r w:rsidRPr="007151FC">
              <w:rPr>
                <w:bCs/>
                <w:sz w:val="20"/>
                <w:szCs w:val="20"/>
              </w:rPr>
              <w:t xml:space="preserve">nitial </w:t>
            </w:r>
            <w:r w:rsidR="00DB42D4">
              <w:rPr>
                <w:bCs/>
                <w:sz w:val="20"/>
                <w:szCs w:val="20"/>
              </w:rPr>
              <w:t>n</w:t>
            </w:r>
            <w:r w:rsidRPr="007151FC">
              <w:rPr>
                <w:bCs/>
                <w:sz w:val="20"/>
                <w:szCs w:val="20"/>
              </w:rPr>
              <w:t>otification</w:t>
            </w:r>
          </w:p>
        </w:tc>
        <w:tc>
          <w:tcPr>
            <w:tcW w:w="412" w:type="pct"/>
            <w:hideMark/>
          </w:tcPr>
          <w:p w:rsidR="00B523FE" w:rsidRPr="005D73D8" w:rsidRDefault="007151FC" w:rsidP="00CB4071">
            <w:pPr>
              <w:jc w:val="center"/>
              <w:rPr>
                <w:bCs/>
                <w:sz w:val="20"/>
                <w:szCs w:val="20"/>
              </w:rPr>
            </w:pPr>
            <w:r w:rsidRPr="007151FC">
              <w:rPr>
                <w:bCs/>
                <w:sz w:val="20"/>
                <w:szCs w:val="20"/>
              </w:rPr>
              <w:t>8</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08" w:type="pct"/>
            <w:hideMark/>
          </w:tcPr>
          <w:p w:rsidR="00B523FE" w:rsidRPr="005D73D8" w:rsidRDefault="007151FC" w:rsidP="00CB4071">
            <w:pPr>
              <w:jc w:val="center"/>
              <w:rPr>
                <w:bCs/>
                <w:sz w:val="20"/>
                <w:szCs w:val="20"/>
              </w:rPr>
            </w:pPr>
            <w:r w:rsidRPr="007151FC">
              <w:rPr>
                <w:bCs/>
                <w:sz w:val="20"/>
                <w:szCs w:val="20"/>
              </w:rPr>
              <w:t>0</w:t>
            </w:r>
          </w:p>
        </w:tc>
        <w:tc>
          <w:tcPr>
            <w:tcW w:w="476" w:type="pct"/>
            <w:hideMark/>
          </w:tcPr>
          <w:p w:rsidR="00B523FE" w:rsidRPr="005D73D8" w:rsidRDefault="007151FC" w:rsidP="00CB4071">
            <w:pPr>
              <w:jc w:val="center"/>
              <w:rPr>
                <w:bCs/>
                <w:sz w:val="20"/>
                <w:szCs w:val="20"/>
              </w:rPr>
            </w:pPr>
            <w:r w:rsidRPr="007151FC">
              <w:rPr>
                <w:bCs/>
                <w:sz w:val="20"/>
                <w:szCs w:val="20"/>
              </w:rPr>
              <w:t>0</w:t>
            </w:r>
          </w:p>
        </w:tc>
        <w:tc>
          <w:tcPr>
            <w:tcW w:w="374" w:type="pct"/>
            <w:hideMark/>
          </w:tcPr>
          <w:p w:rsidR="00B523FE" w:rsidRPr="005D73D8" w:rsidRDefault="007151FC" w:rsidP="00CB4071">
            <w:pPr>
              <w:jc w:val="center"/>
              <w:rPr>
                <w:bCs/>
                <w:sz w:val="20"/>
                <w:szCs w:val="20"/>
              </w:rPr>
            </w:pPr>
            <w:r w:rsidRPr="007151FC">
              <w:rPr>
                <w:bCs/>
                <w:sz w:val="20"/>
                <w:szCs w:val="20"/>
              </w:rPr>
              <w:t>0</w:t>
            </w:r>
          </w:p>
        </w:tc>
        <w:tc>
          <w:tcPr>
            <w:tcW w:w="546" w:type="pct"/>
            <w:hideMark/>
          </w:tcPr>
          <w:p w:rsidR="00B523FE" w:rsidRPr="005D73D8" w:rsidRDefault="007151FC" w:rsidP="00CB4071">
            <w:pPr>
              <w:jc w:val="center"/>
              <w:rPr>
                <w:bCs/>
                <w:sz w:val="20"/>
                <w:szCs w:val="20"/>
              </w:rPr>
            </w:pPr>
            <w:r w:rsidRPr="007151FC">
              <w:rPr>
                <w:bCs/>
                <w:sz w:val="20"/>
                <w:szCs w:val="20"/>
              </w:rPr>
              <w:t>0</w:t>
            </w:r>
          </w:p>
        </w:tc>
      </w:tr>
      <w:tr w:rsidR="00DB42D4" w:rsidRPr="005D73D8" w:rsidTr="00DB42D4">
        <w:trPr>
          <w:trHeight w:val="305"/>
        </w:trPr>
        <w:tc>
          <w:tcPr>
            <w:tcW w:w="1359" w:type="pct"/>
            <w:hideMark/>
          </w:tcPr>
          <w:p w:rsidR="00B523FE" w:rsidRPr="005D73D8" w:rsidRDefault="007151FC" w:rsidP="00E261CB">
            <w:pPr>
              <w:rPr>
                <w:bCs/>
                <w:sz w:val="20"/>
                <w:szCs w:val="20"/>
              </w:rPr>
            </w:pPr>
            <w:r w:rsidRPr="007151FC">
              <w:rPr>
                <w:bCs/>
                <w:sz w:val="20"/>
                <w:szCs w:val="20"/>
              </w:rPr>
              <w:t xml:space="preserve"> </w:t>
            </w:r>
            <w:r w:rsidR="00DB42D4">
              <w:rPr>
                <w:bCs/>
                <w:sz w:val="20"/>
                <w:szCs w:val="20"/>
              </w:rPr>
              <w:t xml:space="preserve">   </w:t>
            </w:r>
            <w:r w:rsidRPr="007151FC">
              <w:rPr>
                <w:bCs/>
                <w:sz w:val="20"/>
                <w:szCs w:val="20"/>
              </w:rPr>
              <w:t xml:space="preserve"> b) </w:t>
            </w:r>
            <w:r w:rsidR="00DB42D4">
              <w:rPr>
                <w:bCs/>
                <w:sz w:val="20"/>
                <w:szCs w:val="20"/>
              </w:rPr>
              <w:t xml:space="preserve"> </w:t>
            </w:r>
            <w:r w:rsidRPr="007151FC">
              <w:rPr>
                <w:bCs/>
                <w:sz w:val="20"/>
                <w:szCs w:val="20"/>
              </w:rPr>
              <w:t xml:space="preserve">Notification of </w:t>
            </w:r>
            <w:r w:rsidR="00DB42D4">
              <w:rPr>
                <w:bCs/>
                <w:sz w:val="20"/>
                <w:szCs w:val="20"/>
              </w:rPr>
              <w:t>p</w:t>
            </w:r>
            <w:r w:rsidRPr="007151FC">
              <w:rPr>
                <w:bCs/>
                <w:sz w:val="20"/>
                <w:szCs w:val="20"/>
              </w:rPr>
              <w:t xml:space="preserve">erformance </w:t>
            </w:r>
            <w:r w:rsidR="00E261CB">
              <w:rPr>
                <w:bCs/>
                <w:sz w:val="20"/>
                <w:szCs w:val="20"/>
              </w:rPr>
              <w:t>t</w:t>
            </w:r>
            <w:r w:rsidRPr="007151FC">
              <w:rPr>
                <w:bCs/>
                <w:sz w:val="20"/>
                <w:szCs w:val="20"/>
              </w:rPr>
              <w:t>est</w:t>
            </w:r>
          </w:p>
        </w:tc>
        <w:tc>
          <w:tcPr>
            <w:tcW w:w="412" w:type="pct"/>
            <w:hideMark/>
          </w:tcPr>
          <w:p w:rsidR="00B523FE" w:rsidRPr="005D73D8" w:rsidRDefault="007151FC" w:rsidP="00CB4071">
            <w:pPr>
              <w:jc w:val="center"/>
              <w:rPr>
                <w:bCs/>
                <w:sz w:val="20"/>
                <w:szCs w:val="20"/>
              </w:rPr>
            </w:pPr>
            <w:r w:rsidRPr="007151FC">
              <w:rPr>
                <w:bCs/>
                <w:sz w:val="20"/>
                <w:szCs w:val="20"/>
              </w:rPr>
              <w:t>N/A</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75" w:type="pct"/>
            <w:hideMark/>
          </w:tcPr>
          <w:p w:rsidR="00B523FE" w:rsidRPr="005D73D8" w:rsidRDefault="007151FC" w:rsidP="00CB4071">
            <w:pPr>
              <w:jc w:val="center"/>
              <w:rPr>
                <w:bCs/>
                <w:sz w:val="20"/>
                <w:szCs w:val="20"/>
              </w:rPr>
            </w:pPr>
            <w:r w:rsidRPr="007151FC">
              <w:rPr>
                <w:bCs/>
                <w:sz w:val="20"/>
                <w:szCs w:val="20"/>
              </w:rPr>
              <w:t>0</w:t>
            </w:r>
          </w:p>
        </w:tc>
        <w:tc>
          <w:tcPr>
            <w:tcW w:w="408" w:type="pct"/>
            <w:hideMark/>
          </w:tcPr>
          <w:p w:rsidR="00B523FE" w:rsidRPr="005D73D8" w:rsidRDefault="007151FC" w:rsidP="00CB4071">
            <w:pPr>
              <w:jc w:val="center"/>
              <w:rPr>
                <w:bCs/>
                <w:sz w:val="20"/>
                <w:szCs w:val="20"/>
              </w:rPr>
            </w:pPr>
            <w:r w:rsidRPr="007151FC">
              <w:rPr>
                <w:bCs/>
                <w:sz w:val="20"/>
                <w:szCs w:val="20"/>
              </w:rPr>
              <w:t>0</w:t>
            </w:r>
          </w:p>
        </w:tc>
        <w:tc>
          <w:tcPr>
            <w:tcW w:w="476" w:type="pct"/>
            <w:hideMark/>
          </w:tcPr>
          <w:p w:rsidR="00B523FE" w:rsidRPr="005D73D8" w:rsidRDefault="007151FC" w:rsidP="00CB4071">
            <w:pPr>
              <w:jc w:val="center"/>
              <w:rPr>
                <w:bCs/>
                <w:sz w:val="20"/>
                <w:szCs w:val="20"/>
              </w:rPr>
            </w:pPr>
            <w:r w:rsidRPr="007151FC">
              <w:rPr>
                <w:bCs/>
                <w:sz w:val="20"/>
                <w:szCs w:val="20"/>
              </w:rPr>
              <w:t>0</w:t>
            </w:r>
          </w:p>
        </w:tc>
        <w:tc>
          <w:tcPr>
            <w:tcW w:w="374" w:type="pct"/>
            <w:hideMark/>
          </w:tcPr>
          <w:p w:rsidR="00B523FE" w:rsidRPr="005D73D8" w:rsidRDefault="007151FC" w:rsidP="00CB4071">
            <w:pPr>
              <w:jc w:val="center"/>
              <w:rPr>
                <w:bCs/>
                <w:sz w:val="20"/>
                <w:szCs w:val="20"/>
              </w:rPr>
            </w:pPr>
            <w:r w:rsidRPr="007151FC">
              <w:rPr>
                <w:bCs/>
                <w:sz w:val="20"/>
                <w:szCs w:val="20"/>
              </w:rPr>
              <w:t>0</w:t>
            </w:r>
          </w:p>
        </w:tc>
        <w:tc>
          <w:tcPr>
            <w:tcW w:w="546" w:type="pct"/>
            <w:hideMark/>
          </w:tcPr>
          <w:p w:rsidR="00B523FE" w:rsidRPr="005D73D8" w:rsidRDefault="007151FC" w:rsidP="00CB4071">
            <w:pPr>
              <w:jc w:val="center"/>
              <w:rPr>
                <w:bCs/>
                <w:sz w:val="20"/>
                <w:szCs w:val="20"/>
              </w:rPr>
            </w:pPr>
            <w:r w:rsidRPr="007151FC">
              <w:rPr>
                <w:bCs/>
                <w:sz w:val="20"/>
                <w:szCs w:val="20"/>
              </w:rPr>
              <w:t>0</w:t>
            </w:r>
          </w:p>
        </w:tc>
      </w:tr>
      <w:tr w:rsidR="00D91634" w:rsidRPr="005D73D8" w:rsidTr="00DB42D4">
        <w:trPr>
          <w:trHeight w:val="305"/>
        </w:trPr>
        <w:tc>
          <w:tcPr>
            <w:tcW w:w="1359" w:type="pct"/>
            <w:hideMark/>
          </w:tcPr>
          <w:p w:rsidR="00D91634" w:rsidRPr="007151FC" w:rsidRDefault="00D91634" w:rsidP="00E261CB">
            <w:pPr>
              <w:rPr>
                <w:bCs/>
                <w:sz w:val="20"/>
                <w:szCs w:val="20"/>
              </w:rPr>
            </w:pPr>
            <w:r>
              <w:rPr>
                <w:bCs/>
                <w:sz w:val="20"/>
                <w:szCs w:val="20"/>
              </w:rPr>
              <w:t xml:space="preserve">     </w:t>
            </w:r>
            <w:r w:rsidRPr="007151FC">
              <w:rPr>
                <w:bCs/>
                <w:sz w:val="20"/>
                <w:szCs w:val="20"/>
              </w:rPr>
              <w:t xml:space="preserve">c) </w:t>
            </w:r>
            <w:r>
              <w:rPr>
                <w:bCs/>
                <w:sz w:val="20"/>
                <w:szCs w:val="20"/>
              </w:rPr>
              <w:t xml:space="preserve"> </w:t>
            </w:r>
            <w:r w:rsidRPr="007151FC">
              <w:rPr>
                <w:bCs/>
                <w:sz w:val="20"/>
                <w:szCs w:val="20"/>
              </w:rPr>
              <w:t xml:space="preserve">Notification of </w:t>
            </w:r>
            <w:r w:rsidR="00E261CB">
              <w:rPr>
                <w:bCs/>
                <w:sz w:val="20"/>
                <w:szCs w:val="20"/>
              </w:rPr>
              <w:t>c</w:t>
            </w:r>
            <w:r w:rsidRPr="007151FC">
              <w:rPr>
                <w:bCs/>
                <w:sz w:val="20"/>
                <w:szCs w:val="20"/>
              </w:rPr>
              <w:t xml:space="preserve">ompliance </w:t>
            </w:r>
            <w:r w:rsidR="00E261CB">
              <w:rPr>
                <w:bCs/>
                <w:sz w:val="20"/>
                <w:szCs w:val="20"/>
              </w:rPr>
              <w:t>s</w:t>
            </w:r>
            <w:r w:rsidRPr="007151FC">
              <w:rPr>
                <w:bCs/>
                <w:sz w:val="20"/>
                <w:szCs w:val="20"/>
              </w:rPr>
              <w:t>tatus</w:t>
            </w:r>
          </w:p>
        </w:tc>
        <w:tc>
          <w:tcPr>
            <w:tcW w:w="412" w:type="pct"/>
            <w:hideMark/>
          </w:tcPr>
          <w:p w:rsidR="00D91634" w:rsidRPr="007151FC" w:rsidRDefault="00D91634" w:rsidP="00CB4071">
            <w:pPr>
              <w:jc w:val="center"/>
              <w:rPr>
                <w:bCs/>
                <w:sz w:val="20"/>
                <w:szCs w:val="20"/>
              </w:rPr>
            </w:pPr>
            <w:r>
              <w:rPr>
                <w:bCs/>
                <w:sz w:val="20"/>
                <w:szCs w:val="20"/>
              </w:rPr>
              <w:t>12</w:t>
            </w:r>
          </w:p>
        </w:tc>
        <w:tc>
          <w:tcPr>
            <w:tcW w:w="475" w:type="pct"/>
            <w:hideMark/>
          </w:tcPr>
          <w:p w:rsidR="00D91634" w:rsidRPr="007151FC" w:rsidRDefault="00D91634" w:rsidP="00CB4071">
            <w:pPr>
              <w:jc w:val="center"/>
              <w:rPr>
                <w:bCs/>
                <w:sz w:val="20"/>
                <w:szCs w:val="20"/>
              </w:rPr>
            </w:pPr>
            <w:r>
              <w:rPr>
                <w:bCs/>
                <w:sz w:val="20"/>
                <w:szCs w:val="20"/>
              </w:rPr>
              <w:t>0</w:t>
            </w:r>
          </w:p>
        </w:tc>
        <w:tc>
          <w:tcPr>
            <w:tcW w:w="475" w:type="pct"/>
            <w:hideMark/>
          </w:tcPr>
          <w:p w:rsidR="00D91634" w:rsidRPr="007151FC" w:rsidRDefault="00D91634" w:rsidP="00CB4071">
            <w:pPr>
              <w:jc w:val="center"/>
              <w:rPr>
                <w:bCs/>
                <w:sz w:val="20"/>
                <w:szCs w:val="20"/>
              </w:rPr>
            </w:pPr>
            <w:r>
              <w:rPr>
                <w:bCs/>
                <w:sz w:val="20"/>
                <w:szCs w:val="20"/>
              </w:rPr>
              <w:t>0</w:t>
            </w:r>
          </w:p>
        </w:tc>
        <w:tc>
          <w:tcPr>
            <w:tcW w:w="475" w:type="pct"/>
            <w:hideMark/>
          </w:tcPr>
          <w:p w:rsidR="00D91634" w:rsidRPr="007151FC" w:rsidRDefault="00D91634" w:rsidP="00CB4071">
            <w:pPr>
              <w:jc w:val="center"/>
              <w:rPr>
                <w:bCs/>
                <w:sz w:val="20"/>
                <w:szCs w:val="20"/>
              </w:rPr>
            </w:pPr>
            <w:r>
              <w:rPr>
                <w:bCs/>
                <w:sz w:val="20"/>
                <w:szCs w:val="20"/>
              </w:rPr>
              <w:t>0</w:t>
            </w:r>
          </w:p>
        </w:tc>
        <w:tc>
          <w:tcPr>
            <w:tcW w:w="408" w:type="pct"/>
            <w:hideMark/>
          </w:tcPr>
          <w:p w:rsidR="00D91634" w:rsidRPr="007151FC" w:rsidRDefault="00D91634" w:rsidP="00CB4071">
            <w:pPr>
              <w:jc w:val="center"/>
              <w:rPr>
                <w:bCs/>
                <w:sz w:val="20"/>
                <w:szCs w:val="20"/>
              </w:rPr>
            </w:pPr>
            <w:r>
              <w:rPr>
                <w:bCs/>
                <w:sz w:val="20"/>
                <w:szCs w:val="20"/>
              </w:rPr>
              <w:t>0</w:t>
            </w:r>
          </w:p>
        </w:tc>
        <w:tc>
          <w:tcPr>
            <w:tcW w:w="476" w:type="pct"/>
            <w:hideMark/>
          </w:tcPr>
          <w:p w:rsidR="00D91634" w:rsidRPr="007151FC" w:rsidRDefault="00D91634" w:rsidP="00CB4071">
            <w:pPr>
              <w:jc w:val="center"/>
              <w:rPr>
                <w:bCs/>
                <w:sz w:val="20"/>
                <w:szCs w:val="20"/>
              </w:rPr>
            </w:pPr>
            <w:r>
              <w:rPr>
                <w:bCs/>
                <w:sz w:val="20"/>
                <w:szCs w:val="20"/>
              </w:rPr>
              <w:t>0</w:t>
            </w:r>
          </w:p>
        </w:tc>
        <w:tc>
          <w:tcPr>
            <w:tcW w:w="374" w:type="pct"/>
            <w:hideMark/>
          </w:tcPr>
          <w:p w:rsidR="00D91634" w:rsidRPr="007151FC" w:rsidRDefault="00D91634" w:rsidP="00CB4071">
            <w:pPr>
              <w:jc w:val="center"/>
              <w:rPr>
                <w:bCs/>
                <w:sz w:val="20"/>
                <w:szCs w:val="20"/>
              </w:rPr>
            </w:pPr>
            <w:r>
              <w:rPr>
                <w:bCs/>
                <w:sz w:val="20"/>
                <w:szCs w:val="20"/>
              </w:rPr>
              <w:t>0</w:t>
            </w:r>
          </w:p>
        </w:tc>
        <w:tc>
          <w:tcPr>
            <w:tcW w:w="546" w:type="pct"/>
            <w:hideMark/>
          </w:tcPr>
          <w:p w:rsidR="00D91634" w:rsidRPr="007151FC" w:rsidRDefault="00D91634" w:rsidP="00CB4071">
            <w:pPr>
              <w:jc w:val="center"/>
              <w:rPr>
                <w:bCs/>
                <w:sz w:val="20"/>
                <w:szCs w:val="20"/>
              </w:rPr>
            </w:pPr>
            <w:r>
              <w:rPr>
                <w:bCs/>
                <w:sz w:val="20"/>
                <w:szCs w:val="20"/>
              </w:rPr>
              <w:t>0</w:t>
            </w:r>
          </w:p>
        </w:tc>
      </w:tr>
      <w:tr w:rsidR="00D91634" w:rsidRPr="005D73D8" w:rsidTr="00DB42D4">
        <w:trPr>
          <w:trHeight w:val="305"/>
        </w:trPr>
        <w:tc>
          <w:tcPr>
            <w:tcW w:w="1359" w:type="pct"/>
            <w:hideMark/>
          </w:tcPr>
          <w:p w:rsidR="00D91634" w:rsidRDefault="00D91634" w:rsidP="000079E7">
            <w:pPr>
              <w:rPr>
                <w:bCs/>
                <w:sz w:val="20"/>
                <w:szCs w:val="20"/>
              </w:rPr>
            </w:pPr>
            <w:r w:rsidRPr="007151FC">
              <w:rPr>
                <w:bCs/>
                <w:sz w:val="20"/>
                <w:szCs w:val="20"/>
              </w:rPr>
              <w:t xml:space="preserve"> </w:t>
            </w:r>
            <w:r>
              <w:rPr>
                <w:bCs/>
                <w:sz w:val="20"/>
                <w:szCs w:val="20"/>
              </w:rPr>
              <w:t xml:space="preserve">   </w:t>
            </w:r>
            <w:r w:rsidRPr="007151FC">
              <w:rPr>
                <w:bCs/>
                <w:sz w:val="20"/>
                <w:szCs w:val="20"/>
              </w:rPr>
              <w:t xml:space="preserve"> d)</w:t>
            </w:r>
            <w:r w:rsidR="00F87D09">
              <w:rPr>
                <w:bCs/>
                <w:sz w:val="20"/>
                <w:szCs w:val="20"/>
              </w:rPr>
              <w:t xml:space="preserve"> </w:t>
            </w:r>
            <w:r w:rsidRPr="007151FC">
              <w:rPr>
                <w:bCs/>
                <w:sz w:val="20"/>
                <w:szCs w:val="20"/>
              </w:rPr>
              <w:t xml:space="preserve"> Semiannual </w:t>
            </w:r>
            <w:r w:rsidR="000079E7">
              <w:rPr>
                <w:bCs/>
                <w:sz w:val="20"/>
                <w:szCs w:val="20"/>
              </w:rPr>
              <w:t>r</w:t>
            </w:r>
            <w:r w:rsidRPr="007151FC">
              <w:rPr>
                <w:bCs/>
                <w:sz w:val="20"/>
                <w:szCs w:val="20"/>
              </w:rPr>
              <w:t>eport</w:t>
            </w:r>
            <w:r w:rsidR="00E261CB">
              <w:rPr>
                <w:bCs/>
                <w:sz w:val="20"/>
                <w:szCs w:val="20"/>
              </w:rPr>
              <w:t xml:space="preserve"> </w:t>
            </w:r>
            <w:r w:rsidR="00E261CB" w:rsidRPr="00E261CB">
              <w:rPr>
                <w:bCs/>
                <w:sz w:val="20"/>
                <w:szCs w:val="20"/>
                <w:vertAlign w:val="superscript"/>
              </w:rPr>
              <w:t>c</w:t>
            </w:r>
          </w:p>
        </w:tc>
        <w:tc>
          <w:tcPr>
            <w:tcW w:w="412" w:type="pct"/>
            <w:hideMark/>
          </w:tcPr>
          <w:p w:rsidR="00D91634" w:rsidRDefault="00D91634" w:rsidP="00CB4071">
            <w:pPr>
              <w:jc w:val="center"/>
              <w:rPr>
                <w:bCs/>
                <w:sz w:val="20"/>
                <w:szCs w:val="20"/>
              </w:rPr>
            </w:pPr>
            <w:r>
              <w:rPr>
                <w:bCs/>
                <w:sz w:val="20"/>
                <w:szCs w:val="20"/>
              </w:rPr>
              <w:t>12</w:t>
            </w:r>
          </w:p>
        </w:tc>
        <w:tc>
          <w:tcPr>
            <w:tcW w:w="475" w:type="pct"/>
            <w:hideMark/>
          </w:tcPr>
          <w:p w:rsidR="00D91634" w:rsidRDefault="00D91634" w:rsidP="00CB4071">
            <w:pPr>
              <w:jc w:val="center"/>
              <w:rPr>
                <w:bCs/>
                <w:sz w:val="20"/>
                <w:szCs w:val="20"/>
              </w:rPr>
            </w:pPr>
            <w:r>
              <w:rPr>
                <w:bCs/>
                <w:sz w:val="20"/>
                <w:szCs w:val="20"/>
              </w:rPr>
              <w:t>2</w:t>
            </w:r>
          </w:p>
        </w:tc>
        <w:tc>
          <w:tcPr>
            <w:tcW w:w="475" w:type="pct"/>
            <w:hideMark/>
          </w:tcPr>
          <w:p w:rsidR="00D91634" w:rsidRDefault="003735DA" w:rsidP="00CB4071">
            <w:pPr>
              <w:jc w:val="center"/>
              <w:rPr>
                <w:bCs/>
                <w:sz w:val="20"/>
                <w:szCs w:val="20"/>
              </w:rPr>
            </w:pPr>
            <w:r>
              <w:rPr>
                <w:bCs/>
                <w:sz w:val="20"/>
                <w:szCs w:val="20"/>
              </w:rPr>
              <w:t>24</w:t>
            </w:r>
          </w:p>
        </w:tc>
        <w:tc>
          <w:tcPr>
            <w:tcW w:w="475" w:type="pct"/>
            <w:hideMark/>
          </w:tcPr>
          <w:p w:rsidR="00D91634" w:rsidRDefault="003735DA" w:rsidP="00CB4071">
            <w:pPr>
              <w:jc w:val="center"/>
              <w:rPr>
                <w:bCs/>
                <w:sz w:val="20"/>
                <w:szCs w:val="20"/>
              </w:rPr>
            </w:pPr>
            <w:r>
              <w:rPr>
                <w:bCs/>
                <w:sz w:val="20"/>
                <w:szCs w:val="20"/>
              </w:rPr>
              <w:t>4,992</w:t>
            </w:r>
          </w:p>
        </w:tc>
        <w:tc>
          <w:tcPr>
            <w:tcW w:w="408" w:type="pct"/>
            <w:hideMark/>
          </w:tcPr>
          <w:p w:rsidR="00D91634" w:rsidRDefault="003735DA" w:rsidP="00CB4071">
            <w:pPr>
              <w:jc w:val="center"/>
              <w:rPr>
                <w:bCs/>
                <w:sz w:val="20"/>
                <w:szCs w:val="20"/>
              </w:rPr>
            </w:pPr>
            <w:r>
              <w:rPr>
                <w:bCs/>
                <w:sz w:val="20"/>
                <w:szCs w:val="20"/>
              </w:rPr>
              <w:t>119,808</w:t>
            </w:r>
          </w:p>
        </w:tc>
        <w:tc>
          <w:tcPr>
            <w:tcW w:w="476" w:type="pct"/>
            <w:hideMark/>
          </w:tcPr>
          <w:p w:rsidR="00D91634" w:rsidRDefault="003735DA" w:rsidP="00CB4071">
            <w:pPr>
              <w:jc w:val="center"/>
              <w:rPr>
                <w:bCs/>
                <w:sz w:val="20"/>
                <w:szCs w:val="20"/>
              </w:rPr>
            </w:pPr>
            <w:r>
              <w:rPr>
                <w:bCs/>
                <w:sz w:val="20"/>
                <w:szCs w:val="20"/>
              </w:rPr>
              <w:t>5,990.4</w:t>
            </w:r>
          </w:p>
        </w:tc>
        <w:tc>
          <w:tcPr>
            <w:tcW w:w="374" w:type="pct"/>
            <w:hideMark/>
          </w:tcPr>
          <w:p w:rsidR="00D91634" w:rsidRDefault="003735DA" w:rsidP="00CB4071">
            <w:pPr>
              <w:jc w:val="center"/>
              <w:rPr>
                <w:bCs/>
                <w:sz w:val="20"/>
                <w:szCs w:val="20"/>
              </w:rPr>
            </w:pPr>
            <w:r>
              <w:rPr>
                <w:bCs/>
                <w:sz w:val="20"/>
                <w:szCs w:val="20"/>
              </w:rPr>
              <w:t>11,980.8</w:t>
            </w:r>
          </w:p>
        </w:tc>
        <w:tc>
          <w:tcPr>
            <w:tcW w:w="546" w:type="pct"/>
            <w:hideMark/>
          </w:tcPr>
          <w:p w:rsidR="00D91634" w:rsidRDefault="003735DA" w:rsidP="00CB4071">
            <w:pPr>
              <w:jc w:val="center"/>
              <w:rPr>
                <w:bCs/>
                <w:sz w:val="20"/>
                <w:szCs w:val="20"/>
              </w:rPr>
            </w:pPr>
            <w:r>
              <w:rPr>
                <w:bCs/>
                <w:sz w:val="20"/>
                <w:szCs w:val="20"/>
              </w:rPr>
              <w:t>$6,208,989.70</w:t>
            </w:r>
          </w:p>
        </w:tc>
      </w:tr>
      <w:tr w:rsidR="00D91634" w:rsidRPr="005D73D8" w:rsidTr="00DB42D4">
        <w:trPr>
          <w:trHeight w:val="305"/>
        </w:trPr>
        <w:tc>
          <w:tcPr>
            <w:tcW w:w="1359" w:type="pct"/>
            <w:hideMark/>
          </w:tcPr>
          <w:p w:rsidR="00D91634" w:rsidRPr="003735DA" w:rsidRDefault="003735DA" w:rsidP="00DB42D4">
            <w:pPr>
              <w:rPr>
                <w:b/>
                <w:bCs/>
                <w:sz w:val="20"/>
                <w:szCs w:val="20"/>
              </w:rPr>
            </w:pPr>
            <w:r w:rsidRPr="003735DA">
              <w:rPr>
                <w:b/>
                <w:bCs/>
                <w:sz w:val="20"/>
                <w:szCs w:val="20"/>
              </w:rPr>
              <w:t>Total Burden Hours and Costs</w:t>
            </w:r>
          </w:p>
        </w:tc>
        <w:tc>
          <w:tcPr>
            <w:tcW w:w="412" w:type="pct"/>
            <w:hideMark/>
          </w:tcPr>
          <w:p w:rsidR="00D91634" w:rsidRPr="003735DA" w:rsidRDefault="00D91634" w:rsidP="00CB4071">
            <w:pPr>
              <w:jc w:val="center"/>
              <w:rPr>
                <w:b/>
                <w:bCs/>
                <w:sz w:val="20"/>
                <w:szCs w:val="20"/>
              </w:rPr>
            </w:pPr>
          </w:p>
        </w:tc>
        <w:tc>
          <w:tcPr>
            <w:tcW w:w="475" w:type="pct"/>
            <w:hideMark/>
          </w:tcPr>
          <w:p w:rsidR="00D91634" w:rsidRPr="003735DA" w:rsidRDefault="00D91634" w:rsidP="00CB4071">
            <w:pPr>
              <w:jc w:val="center"/>
              <w:rPr>
                <w:b/>
                <w:bCs/>
                <w:sz w:val="20"/>
                <w:szCs w:val="20"/>
              </w:rPr>
            </w:pPr>
          </w:p>
        </w:tc>
        <w:tc>
          <w:tcPr>
            <w:tcW w:w="475" w:type="pct"/>
            <w:hideMark/>
          </w:tcPr>
          <w:p w:rsidR="00D91634" w:rsidRPr="003735DA" w:rsidRDefault="00D91634" w:rsidP="00CB4071">
            <w:pPr>
              <w:jc w:val="center"/>
              <w:rPr>
                <w:b/>
                <w:bCs/>
                <w:sz w:val="20"/>
                <w:szCs w:val="20"/>
              </w:rPr>
            </w:pPr>
          </w:p>
        </w:tc>
        <w:tc>
          <w:tcPr>
            <w:tcW w:w="475" w:type="pct"/>
            <w:hideMark/>
          </w:tcPr>
          <w:p w:rsidR="00D91634" w:rsidRPr="003735DA" w:rsidRDefault="00D91634" w:rsidP="00CB4071">
            <w:pPr>
              <w:jc w:val="center"/>
              <w:rPr>
                <w:b/>
                <w:bCs/>
                <w:sz w:val="20"/>
                <w:szCs w:val="20"/>
              </w:rPr>
            </w:pPr>
          </w:p>
        </w:tc>
        <w:tc>
          <w:tcPr>
            <w:tcW w:w="408" w:type="pct"/>
            <w:hideMark/>
          </w:tcPr>
          <w:p w:rsidR="00D91634" w:rsidRPr="003735DA" w:rsidRDefault="003735DA" w:rsidP="00CB4071">
            <w:pPr>
              <w:jc w:val="center"/>
              <w:rPr>
                <w:b/>
                <w:bCs/>
                <w:sz w:val="20"/>
                <w:szCs w:val="20"/>
              </w:rPr>
            </w:pPr>
            <w:r w:rsidRPr="003735DA">
              <w:rPr>
                <w:b/>
                <w:bCs/>
                <w:sz w:val="20"/>
                <w:szCs w:val="20"/>
              </w:rPr>
              <w:t>119,808</w:t>
            </w:r>
          </w:p>
        </w:tc>
        <w:tc>
          <w:tcPr>
            <w:tcW w:w="476" w:type="pct"/>
            <w:hideMark/>
          </w:tcPr>
          <w:p w:rsidR="00D91634" w:rsidRPr="003735DA" w:rsidRDefault="003735DA" w:rsidP="00CB4071">
            <w:pPr>
              <w:jc w:val="center"/>
              <w:rPr>
                <w:b/>
                <w:bCs/>
                <w:sz w:val="20"/>
                <w:szCs w:val="20"/>
              </w:rPr>
            </w:pPr>
            <w:r w:rsidRPr="003735DA">
              <w:rPr>
                <w:b/>
                <w:bCs/>
                <w:sz w:val="20"/>
                <w:szCs w:val="20"/>
              </w:rPr>
              <w:t>5,990.4</w:t>
            </w:r>
          </w:p>
        </w:tc>
        <w:tc>
          <w:tcPr>
            <w:tcW w:w="374" w:type="pct"/>
            <w:hideMark/>
          </w:tcPr>
          <w:p w:rsidR="00D91634" w:rsidRPr="003735DA" w:rsidRDefault="003735DA" w:rsidP="00CB4071">
            <w:pPr>
              <w:jc w:val="center"/>
              <w:rPr>
                <w:b/>
                <w:bCs/>
                <w:sz w:val="20"/>
                <w:szCs w:val="20"/>
              </w:rPr>
            </w:pPr>
            <w:r w:rsidRPr="003735DA">
              <w:rPr>
                <w:b/>
                <w:bCs/>
                <w:sz w:val="20"/>
                <w:szCs w:val="20"/>
              </w:rPr>
              <w:t>11,980.8</w:t>
            </w:r>
          </w:p>
        </w:tc>
        <w:tc>
          <w:tcPr>
            <w:tcW w:w="546" w:type="pct"/>
            <w:hideMark/>
          </w:tcPr>
          <w:p w:rsidR="00D91634" w:rsidRPr="003735DA" w:rsidRDefault="003735DA" w:rsidP="00CB4071">
            <w:pPr>
              <w:jc w:val="center"/>
              <w:rPr>
                <w:b/>
                <w:bCs/>
                <w:sz w:val="20"/>
                <w:szCs w:val="20"/>
              </w:rPr>
            </w:pPr>
            <w:r w:rsidRPr="003735DA">
              <w:rPr>
                <w:b/>
                <w:bCs/>
                <w:sz w:val="20"/>
                <w:szCs w:val="20"/>
              </w:rPr>
              <w:t>$6,208,989.70</w:t>
            </w:r>
          </w:p>
        </w:tc>
      </w:tr>
      <w:tr w:rsidR="00CB4071" w:rsidRPr="00727D1F" w:rsidTr="00F33F99">
        <w:trPr>
          <w:trHeight w:val="395"/>
        </w:trPr>
        <w:tc>
          <w:tcPr>
            <w:tcW w:w="3196" w:type="pct"/>
            <w:gridSpan w:val="5"/>
            <w:hideMark/>
          </w:tcPr>
          <w:p w:rsidR="00B523FE" w:rsidRPr="00727D1F" w:rsidRDefault="007151FC" w:rsidP="003735DA">
            <w:pPr>
              <w:keepNext/>
              <w:spacing w:before="240" w:after="60"/>
              <w:rPr>
                <w:b/>
                <w:bCs/>
                <w:sz w:val="20"/>
                <w:szCs w:val="20"/>
              </w:rPr>
            </w:pPr>
            <w:r w:rsidRPr="00727D1F">
              <w:rPr>
                <w:b/>
                <w:bCs/>
                <w:sz w:val="20"/>
                <w:szCs w:val="20"/>
              </w:rPr>
              <w:t>T</w:t>
            </w:r>
            <w:r w:rsidR="003735DA">
              <w:rPr>
                <w:b/>
                <w:bCs/>
                <w:sz w:val="20"/>
                <w:szCs w:val="20"/>
              </w:rPr>
              <w:t>OTAL</w:t>
            </w:r>
            <w:r w:rsidR="00DB42D4">
              <w:rPr>
                <w:b/>
                <w:bCs/>
                <w:sz w:val="20"/>
                <w:szCs w:val="20"/>
              </w:rPr>
              <w:t xml:space="preserve"> A</w:t>
            </w:r>
            <w:r w:rsidR="003735DA">
              <w:rPr>
                <w:b/>
                <w:bCs/>
                <w:sz w:val="20"/>
                <w:szCs w:val="20"/>
              </w:rPr>
              <w:t>NNUAL</w:t>
            </w:r>
            <w:r w:rsidR="00DB42D4">
              <w:rPr>
                <w:b/>
                <w:bCs/>
                <w:sz w:val="20"/>
                <w:szCs w:val="20"/>
              </w:rPr>
              <w:t xml:space="preserve"> </w:t>
            </w:r>
            <w:r w:rsidRPr="00727D1F">
              <w:rPr>
                <w:b/>
                <w:bCs/>
                <w:sz w:val="20"/>
                <w:szCs w:val="20"/>
              </w:rPr>
              <w:t>B</w:t>
            </w:r>
            <w:r w:rsidR="003735DA">
              <w:rPr>
                <w:b/>
                <w:bCs/>
                <w:sz w:val="20"/>
                <w:szCs w:val="20"/>
              </w:rPr>
              <w:t>URDEN</w:t>
            </w:r>
            <w:r w:rsidRPr="00727D1F">
              <w:rPr>
                <w:b/>
                <w:bCs/>
                <w:sz w:val="20"/>
                <w:szCs w:val="20"/>
              </w:rPr>
              <w:t xml:space="preserve"> and C</w:t>
            </w:r>
            <w:r w:rsidR="003735DA">
              <w:rPr>
                <w:b/>
                <w:bCs/>
                <w:sz w:val="20"/>
                <w:szCs w:val="20"/>
              </w:rPr>
              <w:t xml:space="preserve">OSTS </w:t>
            </w:r>
            <w:r w:rsidRPr="00727D1F">
              <w:rPr>
                <w:b/>
                <w:bCs/>
                <w:sz w:val="20"/>
                <w:szCs w:val="20"/>
              </w:rPr>
              <w:t>(rounded)</w:t>
            </w:r>
          </w:p>
        </w:tc>
        <w:tc>
          <w:tcPr>
            <w:tcW w:w="1258" w:type="pct"/>
            <w:gridSpan w:val="3"/>
            <w:hideMark/>
          </w:tcPr>
          <w:p w:rsidR="00B523FE" w:rsidRPr="00727D1F" w:rsidRDefault="007151FC" w:rsidP="00CB4071">
            <w:pPr>
              <w:keepNext/>
              <w:spacing w:before="240" w:after="60"/>
              <w:jc w:val="center"/>
              <w:rPr>
                <w:b/>
                <w:bCs/>
                <w:sz w:val="20"/>
                <w:szCs w:val="20"/>
              </w:rPr>
            </w:pPr>
            <w:r w:rsidRPr="00727D1F">
              <w:rPr>
                <w:b/>
                <w:bCs/>
                <w:sz w:val="20"/>
                <w:szCs w:val="20"/>
              </w:rPr>
              <w:t>137,779</w:t>
            </w:r>
          </w:p>
        </w:tc>
        <w:tc>
          <w:tcPr>
            <w:tcW w:w="546" w:type="pct"/>
            <w:hideMark/>
          </w:tcPr>
          <w:p w:rsidR="00B523FE" w:rsidRPr="00727D1F" w:rsidRDefault="007151FC" w:rsidP="00CB4071">
            <w:pPr>
              <w:keepNext/>
              <w:spacing w:before="240" w:after="60"/>
              <w:jc w:val="center"/>
              <w:rPr>
                <w:b/>
                <w:bCs/>
                <w:sz w:val="20"/>
                <w:szCs w:val="20"/>
              </w:rPr>
            </w:pPr>
            <w:r w:rsidRPr="00727D1F">
              <w:rPr>
                <w:b/>
                <w:bCs/>
                <w:sz w:val="20"/>
                <w:szCs w:val="20"/>
              </w:rPr>
              <w:t>$6,208,990</w:t>
            </w:r>
          </w:p>
        </w:tc>
      </w:tr>
    </w:tbl>
    <w:p w:rsidR="000079E7" w:rsidRDefault="000079E7" w:rsidP="00F340DF">
      <w:pPr>
        <w:rPr>
          <w:bCs/>
          <w:color w:val="FF0000"/>
        </w:rPr>
      </w:pPr>
    </w:p>
    <w:p w:rsidR="00144F35" w:rsidRDefault="000079E7" w:rsidP="00F340DF">
      <w:pPr>
        <w:rPr>
          <w:b/>
          <w:bCs/>
          <w:sz w:val="20"/>
          <w:szCs w:val="20"/>
        </w:rPr>
      </w:pPr>
      <w:r w:rsidRPr="000079E7">
        <w:rPr>
          <w:b/>
          <w:bCs/>
          <w:sz w:val="20"/>
          <w:szCs w:val="20"/>
        </w:rPr>
        <w:t>Assumptions:</w:t>
      </w:r>
      <w:r w:rsidR="00266F69" w:rsidRPr="000079E7" w:rsidDel="00266F69">
        <w:rPr>
          <w:b/>
          <w:bCs/>
          <w:sz w:val="20"/>
          <w:szCs w:val="20"/>
        </w:rPr>
        <w:t xml:space="preserve"> </w:t>
      </w:r>
    </w:p>
    <w:p w:rsidR="000079E7" w:rsidRDefault="000079E7" w:rsidP="000079E7">
      <w:pPr>
        <w:ind w:left="-180" w:right="-270"/>
        <w:rPr>
          <w:sz w:val="20"/>
          <w:szCs w:val="20"/>
        </w:rPr>
      </w:pPr>
      <w:proofErr w:type="spellStart"/>
      <w:r>
        <w:rPr>
          <w:vertAlign w:val="superscript"/>
        </w:rPr>
        <w:t>a</w:t>
      </w:r>
      <w:proofErr w:type="spellEnd"/>
      <w:r>
        <w:rPr>
          <w:sz w:val="20"/>
          <w:szCs w:val="20"/>
        </w:rPr>
        <w:t xml:space="preserve">  We have assumed that there are approximately 4,992 existing sources currently subject to this rule, with no additional new or reconstructed sources becoming subject to the rule over the next three years of this ICR.</w:t>
      </w:r>
    </w:p>
    <w:p w:rsidR="000079E7" w:rsidRDefault="000079E7" w:rsidP="000079E7">
      <w:pPr>
        <w:ind w:left="-180" w:right="-270"/>
        <w:rPr>
          <w:sz w:val="20"/>
          <w:szCs w:val="20"/>
        </w:rPr>
      </w:pPr>
      <w:r w:rsidRPr="000079E7">
        <w:rPr>
          <w:sz w:val="20"/>
          <w:szCs w:val="20"/>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0079E7" w:rsidRDefault="000079E7" w:rsidP="000079E7">
      <w:pPr>
        <w:ind w:left="-180" w:right="-270"/>
        <w:rPr>
          <w:sz w:val="20"/>
          <w:szCs w:val="20"/>
        </w:rPr>
      </w:pPr>
      <w:proofErr w:type="gramStart"/>
      <w:r w:rsidRPr="00E261CB">
        <w:rPr>
          <w:sz w:val="20"/>
          <w:szCs w:val="20"/>
          <w:vertAlign w:val="superscript"/>
        </w:rPr>
        <w:t>c</w:t>
      </w:r>
      <w:r>
        <w:rPr>
          <w:sz w:val="20"/>
          <w:szCs w:val="20"/>
        </w:rPr>
        <w:t xml:space="preserve">  We</w:t>
      </w:r>
      <w:proofErr w:type="gramEnd"/>
      <w:r>
        <w:rPr>
          <w:sz w:val="20"/>
          <w:szCs w:val="20"/>
        </w:rPr>
        <w:t xml:space="preserve"> have assumed that each respondent will take 12 hours twice a year to complete semiannual report</w:t>
      </w:r>
      <w:r w:rsidR="00997D6C">
        <w:rPr>
          <w:sz w:val="20"/>
          <w:szCs w:val="20"/>
        </w:rPr>
        <w:t>.</w:t>
      </w:r>
    </w:p>
    <w:p w:rsidR="000079E7" w:rsidRDefault="000079E7" w:rsidP="000079E7">
      <w:pPr>
        <w:ind w:left="-180" w:right="-270"/>
        <w:rPr>
          <w:sz w:val="20"/>
          <w:szCs w:val="20"/>
        </w:rPr>
      </w:pPr>
    </w:p>
    <w:p w:rsidR="000079E7" w:rsidRPr="000079E7" w:rsidRDefault="000079E7" w:rsidP="00F340DF">
      <w:pPr>
        <w:rPr>
          <w:b/>
          <w:sz w:val="20"/>
          <w:szCs w:val="20"/>
        </w:rPr>
      </w:pPr>
    </w:p>
    <w:sectPr w:rsidR="000079E7" w:rsidRPr="000079E7" w:rsidSect="00144F35">
      <w:footerReference w:type="even" r:id="rId8"/>
      <w:footerReference w:type="default" r:id="rId9"/>
      <w:footerReference w:type="firs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98" w:rsidRDefault="00EF4298">
      <w:r>
        <w:separator/>
      </w:r>
    </w:p>
  </w:endnote>
  <w:endnote w:type="continuationSeparator" w:id="0">
    <w:p w:rsidR="00EF4298" w:rsidRDefault="00EF42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98" w:rsidRDefault="00EF429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98" w:rsidRDefault="00EF42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98" w:rsidRDefault="00EF42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98" w:rsidRDefault="00EF4298">
      <w:r>
        <w:separator/>
      </w:r>
    </w:p>
  </w:footnote>
  <w:footnote w:type="continuationSeparator" w:id="0">
    <w:p w:rsidR="00EF4298" w:rsidRDefault="00EF4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98" w:rsidRDefault="00EF4298">
    <w:pPr>
      <w:framePr w:w="9361" w:wrap="notBeside" w:vAnchor="text" w:hAnchor="text" w:x="1" w:y="1"/>
      <w:jc w:val="center"/>
    </w:pPr>
    <w:fldSimple w:instr="PAGE ">
      <w:r w:rsidR="00EF6E46">
        <w:rPr>
          <w:noProof/>
        </w:rPr>
        <w:t>17</w:t>
      </w:r>
    </w:fldSimple>
  </w:p>
  <w:p w:rsidR="00EF4298" w:rsidRDefault="00EF4298"/>
  <w:p w:rsidR="00EF4298" w:rsidRDefault="00EF429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79E7"/>
    <w:rsid w:val="0003619B"/>
    <w:rsid w:val="0004218B"/>
    <w:rsid w:val="00055BDF"/>
    <w:rsid w:val="00055DC5"/>
    <w:rsid w:val="00077E42"/>
    <w:rsid w:val="000A1FBB"/>
    <w:rsid w:val="000A3C9C"/>
    <w:rsid w:val="000A5575"/>
    <w:rsid w:val="000A687C"/>
    <w:rsid w:val="000A6F17"/>
    <w:rsid w:val="000A7665"/>
    <w:rsid w:val="000C7FDE"/>
    <w:rsid w:val="000D2272"/>
    <w:rsid w:val="000F772C"/>
    <w:rsid w:val="00101B40"/>
    <w:rsid w:val="0010697C"/>
    <w:rsid w:val="00123889"/>
    <w:rsid w:val="00126A7C"/>
    <w:rsid w:val="0014079D"/>
    <w:rsid w:val="00144978"/>
    <w:rsid w:val="00144A82"/>
    <w:rsid w:val="00144F35"/>
    <w:rsid w:val="0015433E"/>
    <w:rsid w:val="00164619"/>
    <w:rsid w:val="00186DA3"/>
    <w:rsid w:val="0018754D"/>
    <w:rsid w:val="00195753"/>
    <w:rsid w:val="001A0247"/>
    <w:rsid w:val="001A0B41"/>
    <w:rsid w:val="001B0B9A"/>
    <w:rsid w:val="001B1B8B"/>
    <w:rsid w:val="001B35F2"/>
    <w:rsid w:val="001C5991"/>
    <w:rsid w:val="001C67F2"/>
    <w:rsid w:val="001D762C"/>
    <w:rsid w:val="001F19FF"/>
    <w:rsid w:val="002041C5"/>
    <w:rsid w:val="002045EE"/>
    <w:rsid w:val="002063FE"/>
    <w:rsid w:val="00206932"/>
    <w:rsid w:val="0021722B"/>
    <w:rsid w:val="00226ACC"/>
    <w:rsid w:val="0022738C"/>
    <w:rsid w:val="00234A28"/>
    <w:rsid w:val="00236DB3"/>
    <w:rsid w:val="002431D9"/>
    <w:rsid w:val="00253814"/>
    <w:rsid w:val="002638A0"/>
    <w:rsid w:val="00266F69"/>
    <w:rsid w:val="002712EB"/>
    <w:rsid w:val="0027222A"/>
    <w:rsid w:val="002743D2"/>
    <w:rsid w:val="00277F42"/>
    <w:rsid w:val="00281CAE"/>
    <w:rsid w:val="0029006A"/>
    <w:rsid w:val="002904E7"/>
    <w:rsid w:val="002976E9"/>
    <w:rsid w:val="002B2874"/>
    <w:rsid w:val="002B29A5"/>
    <w:rsid w:val="002B29A7"/>
    <w:rsid w:val="002B3344"/>
    <w:rsid w:val="002B517F"/>
    <w:rsid w:val="002B6993"/>
    <w:rsid w:val="002C1F95"/>
    <w:rsid w:val="002C416A"/>
    <w:rsid w:val="002C77DF"/>
    <w:rsid w:val="002D6576"/>
    <w:rsid w:val="002D7683"/>
    <w:rsid w:val="002F3158"/>
    <w:rsid w:val="002F674B"/>
    <w:rsid w:val="002F6DB3"/>
    <w:rsid w:val="00312530"/>
    <w:rsid w:val="003139FC"/>
    <w:rsid w:val="00341540"/>
    <w:rsid w:val="003511C6"/>
    <w:rsid w:val="00354C15"/>
    <w:rsid w:val="003735DA"/>
    <w:rsid w:val="00394740"/>
    <w:rsid w:val="003A7ACE"/>
    <w:rsid w:val="003C4B46"/>
    <w:rsid w:val="003C5023"/>
    <w:rsid w:val="003C5DBB"/>
    <w:rsid w:val="003D6F38"/>
    <w:rsid w:val="003E30B5"/>
    <w:rsid w:val="003E4C18"/>
    <w:rsid w:val="003F52D2"/>
    <w:rsid w:val="0040391F"/>
    <w:rsid w:val="004048C2"/>
    <w:rsid w:val="00412D05"/>
    <w:rsid w:val="00417E60"/>
    <w:rsid w:val="0044133C"/>
    <w:rsid w:val="00446C82"/>
    <w:rsid w:val="00455557"/>
    <w:rsid w:val="004635AC"/>
    <w:rsid w:val="00474129"/>
    <w:rsid w:val="00484A45"/>
    <w:rsid w:val="00485546"/>
    <w:rsid w:val="00486155"/>
    <w:rsid w:val="004A4B25"/>
    <w:rsid w:val="004A51DC"/>
    <w:rsid w:val="004C5E95"/>
    <w:rsid w:val="004C6E96"/>
    <w:rsid w:val="004C701D"/>
    <w:rsid w:val="004F06B1"/>
    <w:rsid w:val="004F1469"/>
    <w:rsid w:val="004F6FCD"/>
    <w:rsid w:val="00507EC5"/>
    <w:rsid w:val="00516952"/>
    <w:rsid w:val="00522B68"/>
    <w:rsid w:val="005253D4"/>
    <w:rsid w:val="00551815"/>
    <w:rsid w:val="00560AD2"/>
    <w:rsid w:val="00565A51"/>
    <w:rsid w:val="00571260"/>
    <w:rsid w:val="00583626"/>
    <w:rsid w:val="00595C1B"/>
    <w:rsid w:val="005A1986"/>
    <w:rsid w:val="005B5DE8"/>
    <w:rsid w:val="005B7B6A"/>
    <w:rsid w:val="005C3665"/>
    <w:rsid w:val="005C3ED0"/>
    <w:rsid w:val="005D385C"/>
    <w:rsid w:val="005D73D8"/>
    <w:rsid w:val="005E194B"/>
    <w:rsid w:val="005F42F8"/>
    <w:rsid w:val="00601205"/>
    <w:rsid w:val="00606DEF"/>
    <w:rsid w:val="00624B6F"/>
    <w:rsid w:val="00631517"/>
    <w:rsid w:val="0063424C"/>
    <w:rsid w:val="00635DBD"/>
    <w:rsid w:val="0064608F"/>
    <w:rsid w:val="006741F7"/>
    <w:rsid w:val="00693678"/>
    <w:rsid w:val="00694B55"/>
    <w:rsid w:val="00694FE7"/>
    <w:rsid w:val="006B0FB9"/>
    <w:rsid w:val="006D0869"/>
    <w:rsid w:val="006D725D"/>
    <w:rsid w:val="006E3F3C"/>
    <w:rsid w:val="006E4A6E"/>
    <w:rsid w:val="006E50E1"/>
    <w:rsid w:val="006E642B"/>
    <w:rsid w:val="006F5D50"/>
    <w:rsid w:val="00700F18"/>
    <w:rsid w:val="00703DD5"/>
    <w:rsid w:val="007151FC"/>
    <w:rsid w:val="00727D1F"/>
    <w:rsid w:val="00733338"/>
    <w:rsid w:val="00736294"/>
    <w:rsid w:val="00763160"/>
    <w:rsid w:val="00780612"/>
    <w:rsid w:val="00786A20"/>
    <w:rsid w:val="007A0634"/>
    <w:rsid w:val="007A16F4"/>
    <w:rsid w:val="007A458D"/>
    <w:rsid w:val="007C0FAA"/>
    <w:rsid w:val="007C12A7"/>
    <w:rsid w:val="007F07FB"/>
    <w:rsid w:val="00810507"/>
    <w:rsid w:val="00813E69"/>
    <w:rsid w:val="00817E8B"/>
    <w:rsid w:val="008338D4"/>
    <w:rsid w:val="0084255D"/>
    <w:rsid w:val="00850ACF"/>
    <w:rsid w:val="00852038"/>
    <w:rsid w:val="00860148"/>
    <w:rsid w:val="0088639E"/>
    <w:rsid w:val="00896FC2"/>
    <w:rsid w:val="008B407C"/>
    <w:rsid w:val="008B512F"/>
    <w:rsid w:val="008E65E6"/>
    <w:rsid w:val="008F285B"/>
    <w:rsid w:val="008F4564"/>
    <w:rsid w:val="008F4D4E"/>
    <w:rsid w:val="009018EC"/>
    <w:rsid w:val="00906EDB"/>
    <w:rsid w:val="00912E00"/>
    <w:rsid w:val="0091494D"/>
    <w:rsid w:val="00916061"/>
    <w:rsid w:val="00922FD4"/>
    <w:rsid w:val="00923C46"/>
    <w:rsid w:val="00961117"/>
    <w:rsid w:val="00966A4A"/>
    <w:rsid w:val="00970582"/>
    <w:rsid w:val="009711DB"/>
    <w:rsid w:val="00993B43"/>
    <w:rsid w:val="00997D6C"/>
    <w:rsid w:val="009A0F50"/>
    <w:rsid w:val="009A16CD"/>
    <w:rsid w:val="009C06F5"/>
    <w:rsid w:val="009D6567"/>
    <w:rsid w:val="009E0F31"/>
    <w:rsid w:val="00A007F5"/>
    <w:rsid w:val="00A038EC"/>
    <w:rsid w:val="00A145B0"/>
    <w:rsid w:val="00A15172"/>
    <w:rsid w:val="00A26EF7"/>
    <w:rsid w:val="00A277D6"/>
    <w:rsid w:val="00A379F8"/>
    <w:rsid w:val="00A462E8"/>
    <w:rsid w:val="00A54EEA"/>
    <w:rsid w:val="00A56BFF"/>
    <w:rsid w:val="00A73600"/>
    <w:rsid w:val="00A74C1E"/>
    <w:rsid w:val="00A7661C"/>
    <w:rsid w:val="00A81F8E"/>
    <w:rsid w:val="00A95BC7"/>
    <w:rsid w:val="00A962DF"/>
    <w:rsid w:val="00AC2328"/>
    <w:rsid w:val="00AD2DF2"/>
    <w:rsid w:val="00B06037"/>
    <w:rsid w:val="00B07F79"/>
    <w:rsid w:val="00B16C07"/>
    <w:rsid w:val="00B37458"/>
    <w:rsid w:val="00B46A57"/>
    <w:rsid w:val="00B523FE"/>
    <w:rsid w:val="00B6346B"/>
    <w:rsid w:val="00B65754"/>
    <w:rsid w:val="00B66231"/>
    <w:rsid w:val="00B769F1"/>
    <w:rsid w:val="00B82025"/>
    <w:rsid w:val="00B91480"/>
    <w:rsid w:val="00BA0A91"/>
    <w:rsid w:val="00BA4887"/>
    <w:rsid w:val="00BB18AB"/>
    <w:rsid w:val="00BB3390"/>
    <w:rsid w:val="00BB3C1A"/>
    <w:rsid w:val="00BB5678"/>
    <w:rsid w:val="00BC6DEF"/>
    <w:rsid w:val="00BD46A6"/>
    <w:rsid w:val="00BE2989"/>
    <w:rsid w:val="00BE7A11"/>
    <w:rsid w:val="00BF722F"/>
    <w:rsid w:val="00C13FE8"/>
    <w:rsid w:val="00C30A60"/>
    <w:rsid w:val="00C33ABA"/>
    <w:rsid w:val="00C37588"/>
    <w:rsid w:val="00C37BB6"/>
    <w:rsid w:val="00C52EFD"/>
    <w:rsid w:val="00C642EA"/>
    <w:rsid w:val="00C64378"/>
    <w:rsid w:val="00C75CF0"/>
    <w:rsid w:val="00C808B5"/>
    <w:rsid w:val="00C82DB6"/>
    <w:rsid w:val="00CA4CD6"/>
    <w:rsid w:val="00CB05B3"/>
    <w:rsid w:val="00CB4071"/>
    <w:rsid w:val="00CC1C79"/>
    <w:rsid w:val="00CC48AB"/>
    <w:rsid w:val="00CC58F6"/>
    <w:rsid w:val="00CD2069"/>
    <w:rsid w:val="00CD280D"/>
    <w:rsid w:val="00CD43B6"/>
    <w:rsid w:val="00D01371"/>
    <w:rsid w:val="00D13D9A"/>
    <w:rsid w:val="00D14A8D"/>
    <w:rsid w:val="00D21198"/>
    <w:rsid w:val="00D2273E"/>
    <w:rsid w:val="00D42D52"/>
    <w:rsid w:val="00D46FA2"/>
    <w:rsid w:val="00D47E7C"/>
    <w:rsid w:val="00D5080D"/>
    <w:rsid w:val="00D56F5F"/>
    <w:rsid w:val="00D61B37"/>
    <w:rsid w:val="00D63B96"/>
    <w:rsid w:val="00D91634"/>
    <w:rsid w:val="00D92F66"/>
    <w:rsid w:val="00D95819"/>
    <w:rsid w:val="00DA7285"/>
    <w:rsid w:val="00DB42D4"/>
    <w:rsid w:val="00DB59E1"/>
    <w:rsid w:val="00DC166D"/>
    <w:rsid w:val="00DD1AC1"/>
    <w:rsid w:val="00DD7D49"/>
    <w:rsid w:val="00DF5C4E"/>
    <w:rsid w:val="00E10DA7"/>
    <w:rsid w:val="00E1538C"/>
    <w:rsid w:val="00E25DB6"/>
    <w:rsid w:val="00E261CB"/>
    <w:rsid w:val="00E26B17"/>
    <w:rsid w:val="00E276CD"/>
    <w:rsid w:val="00E32EDA"/>
    <w:rsid w:val="00E53137"/>
    <w:rsid w:val="00E702F6"/>
    <w:rsid w:val="00E77D5E"/>
    <w:rsid w:val="00E85985"/>
    <w:rsid w:val="00E868BB"/>
    <w:rsid w:val="00E92CB6"/>
    <w:rsid w:val="00EA2F20"/>
    <w:rsid w:val="00EA37A9"/>
    <w:rsid w:val="00EA637B"/>
    <w:rsid w:val="00EA7026"/>
    <w:rsid w:val="00EC4074"/>
    <w:rsid w:val="00EE09E1"/>
    <w:rsid w:val="00EE0FC7"/>
    <w:rsid w:val="00EF113F"/>
    <w:rsid w:val="00EF4298"/>
    <w:rsid w:val="00EF6E46"/>
    <w:rsid w:val="00F03803"/>
    <w:rsid w:val="00F066C9"/>
    <w:rsid w:val="00F14F4A"/>
    <w:rsid w:val="00F20822"/>
    <w:rsid w:val="00F20B45"/>
    <w:rsid w:val="00F3285A"/>
    <w:rsid w:val="00F33F99"/>
    <w:rsid w:val="00F340DF"/>
    <w:rsid w:val="00F50FC4"/>
    <w:rsid w:val="00F538BC"/>
    <w:rsid w:val="00F87D09"/>
    <w:rsid w:val="00F9092B"/>
    <w:rsid w:val="00F92D22"/>
    <w:rsid w:val="00F93701"/>
    <w:rsid w:val="00FB0650"/>
    <w:rsid w:val="00FB4D98"/>
    <w:rsid w:val="00FB7BCE"/>
    <w:rsid w:val="00FC4E09"/>
    <w:rsid w:val="00FE2099"/>
    <w:rsid w:val="00FE2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5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0582"/>
  </w:style>
  <w:style w:type="character" w:customStyle="1" w:styleId="Hypertext">
    <w:name w:val="Hypertext"/>
    <w:rsid w:val="00970582"/>
    <w:rPr>
      <w:color w:val="0000FF"/>
      <w:u w:val="single"/>
    </w:rPr>
  </w:style>
  <w:style w:type="paragraph" w:customStyle="1" w:styleId="Level1">
    <w:name w:val="Level 1"/>
    <w:basedOn w:val="Normal"/>
    <w:rsid w:val="00970582"/>
    <w:pPr>
      <w:ind w:left="1440" w:hanging="720"/>
    </w:pPr>
  </w:style>
  <w:style w:type="character" w:customStyle="1" w:styleId="1">
    <w:name w:val="1"/>
    <w:rsid w:val="00970582"/>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BodyTextIndent">
    <w:name w:val="Body Text Indent"/>
    <w:basedOn w:val="Normal"/>
    <w:link w:val="BodyTextIndentChar"/>
    <w:rsid w:val="003D6F38"/>
    <w:pPr>
      <w:ind w:firstLine="720"/>
    </w:pPr>
    <w:rPr>
      <w:color w:val="000000"/>
    </w:rPr>
  </w:style>
  <w:style w:type="character" w:customStyle="1" w:styleId="BodyTextIndentChar">
    <w:name w:val="Body Text Indent Char"/>
    <w:basedOn w:val="DefaultParagraphFont"/>
    <w:link w:val="BodyTextIndent"/>
    <w:rsid w:val="003D6F38"/>
    <w:rPr>
      <w:color w:val="000000"/>
      <w:sz w:val="24"/>
      <w:szCs w:val="24"/>
    </w:rPr>
  </w:style>
  <w:style w:type="table" w:styleId="TableGrid">
    <w:name w:val="Table Grid"/>
    <w:basedOn w:val="TableNormal"/>
    <w:rsid w:val="00394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42D4"/>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2955186">
      <w:bodyDiv w:val="1"/>
      <w:marLeft w:val="0"/>
      <w:marRight w:val="0"/>
      <w:marTop w:val="0"/>
      <w:marBottom w:val="0"/>
      <w:divBdr>
        <w:top w:val="none" w:sz="0" w:space="0" w:color="auto"/>
        <w:left w:val="none" w:sz="0" w:space="0" w:color="auto"/>
        <w:bottom w:val="none" w:sz="0" w:space="0" w:color="auto"/>
        <w:right w:val="none" w:sz="0" w:space="0" w:color="auto"/>
      </w:divBdr>
    </w:div>
    <w:div w:id="532499098">
      <w:bodyDiv w:val="1"/>
      <w:marLeft w:val="0"/>
      <w:marRight w:val="0"/>
      <w:marTop w:val="0"/>
      <w:marBottom w:val="0"/>
      <w:divBdr>
        <w:top w:val="none" w:sz="0" w:space="0" w:color="auto"/>
        <w:left w:val="none" w:sz="0" w:space="0" w:color="auto"/>
        <w:bottom w:val="none" w:sz="0" w:space="0" w:color="auto"/>
        <w:right w:val="none" w:sz="0" w:space="0" w:color="auto"/>
      </w:divBdr>
    </w:div>
    <w:div w:id="720712689">
      <w:bodyDiv w:val="1"/>
      <w:marLeft w:val="0"/>
      <w:marRight w:val="0"/>
      <w:marTop w:val="0"/>
      <w:marBottom w:val="0"/>
      <w:divBdr>
        <w:top w:val="none" w:sz="0" w:space="0" w:color="auto"/>
        <w:left w:val="none" w:sz="0" w:space="0" w:color="auto"/>
        <w:bottom w:val="none" w:sz="0" w:space="0" w:color="auto"/>
        <w:right w:val="none" w:sz="0" w:space="0" w:color="auto"/>
      </w:divBdr>
    </w:div>
    <w:div w:id="915019045">
      <w:bodyDiv w:val="1"/>
      <w:marLeft w:val="0"/>
      <w:marRight w:val="0"/>
      <w:marTop w:val="0"/>
      <w:marBottom w:val="0"/>
      <w:divBdr>
        <w:top w:val="none" w:sz="0" w:space="0" w:color="auto"/>
        <w:left w:val="none" w:sz="0" w:space="0" w:color="auto"/>
        <w:bottom w:val="none" w:sz="0" w:space="0" w:color="auto"/>
        <w:right w:val="none" w:sz="0" w:space="0" w:color="auto"/>
      </w:divBdr>
    </w:div>
    <w:div w:id="1156843227">
      <w:bodyDiv w:val="1"/>
      <w:marLeft w:val="60"/>
      <w:marRight w:val="60"/>
      <w:marTop w:val="60"/>
      <w:marBottom w:val="15"/>
      <w:divBdr>
        <w:top w:val="none" w:sz="0" w:space="0" w:color="auto"/>
        <w:left w:val="none" w:sz="0" w:space="0" w:color="auto"/>
        <w:bottom w:val="none" w:sz="0" w:space="0" w:color="auto"/>
        <w:right w:val="none" w:sz="0" w:space="0" w:color="auto"/>
      </w:divBdr>
    </w:div>
    <w:div w:id="1301883813">
      <w:bodyDiv w:val="1"/>
      <w:marLeft w:val="0"/>
      <w:marRight w:val="0"/>
      <w:marTop w:val="0"/>
      <w:marBottom w:val="0"/>
      <w:divBdr>
        <w:top w:val="none" w:sz="0" w:space="0" w:color="auto"/>
        <w:left w:val="none" w:sz="0" w:space="0" w:color="auto"/>
        <w:bottom w:val="none" w:sz="0" w:space="0" w:color="auto"/>
        <w:right w:val="none" w:sz="0" w:space="0" w:color="auto"/>
      </w:divBdr>
    </w:div>
    <w:div w:id="14104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5319</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2012-04-18T15:34:00Z</cp:lastPrinted>
  <dcterms:created xsi:type="dcterms:W3CDTF">2012-05-16T16:45:00Z</dcterms:created>
  <dcterms:modified xsi:type="dcterms:W3CDTF">2012-05-16T16:45:00Z</dcterms:modified>
</cp:coreProperties>
</file>