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0B61" w:rsidRPr="001774B5" w:rsidRDefault="00630B61" w:rsidP="00630B61">
      <w:pPr>
        <w:jc w:val="center"/>
        <w:rPr>
          <w:b/>
        </w:rPr>
      </w:pPr>
    </w:p>
    <w:p w:rsidR="00630B61" w:rsidRPr="001774B5" w:rsidRDefault="00630B61" w:rsidP="00630B61">
      <w:pPr>
        <w:jc w:val="center"/>
        <w:rPr>
          <w:b/>
        </w:rPr>
      </w:pPr>
    </w:p>
    <w:p w:rsidR="00630B61" w:rsidRPr="001774B5" w:rsidRDefault="00630B61" w:rsidP="00630B61">
      <w:pPr>
        <w:jc w:val="center"/>
        <w:rPr>
          <w:b/>
          <w:sz w:val="32"/>
          <w:szCs w:val="32"/>
        </w:rPr>
      </w:pPr>
    </w:p>
    <w:p w:rsidR="008826F6" w:rsidRPr="001774B5" w:rsidRDefault="008826F6" w:rsidP="00630B61">
      <w:pPr>
        <w:jc w:val="center"/>
        <w:rPr>
          <w:b/>
          <w:sz w:val="32"/>
          <w:szCs w:val="32"/>
        </w:rPr>
      </w:pPr>
    </w:p>
    <w:p w:rsidR="008826F6" w:rsidRPr="001774B5" w:rsidRDefault="008826F6" w:rsidP="00630B61">
      <w:pPr>
        <w:jc w:val="center"/>
        <w:rPr>
          <w:b/>
          <w:sz w:val="32"/>
          <w:szCs w:val="32"/>
        </w:rPr>
      </w:pPr>
    </w:p>
    <w:p w:rsidR="008826F6" w:rsidRPr="001774B5" w:rsidRDefault="008826F6" w:rsidP="00630B61">
      <w:pPr>
        <w:jc w:val="center"/>
        <w:rPr>
          <w:b/>
          <w:sz w:val="32"/>
          <w:szCs w:val="32"/>
        </w:rPr>
      </w:pPr>
    </w:p>
    <w:p w:rsidR="008826F6" w:rsidRPr="001774B5" w:rsidRDefault="008826F6" w:rsidP="00630B61">
      <w:pPr>
        <w:jc w:val="center"/>
        <w:rPr>
          <w:b/>
          <w:sz w:val="32"/>
          <w:szCs w:val="32"/>
        </w:rPr>
      </w:pPr>
    </w:p>
    <w:p w:rsidR="008826F6" w:rsidRPr="001774B5" w:rsidRDefault="008826F6" w:rsidP="00630B61">
      <w:pPr>
        <w:jc w:val="center"/>
        <w:rPr>
          <w:b/>
          <w:sz w:val="32"/>
          <w:szCs w:val="32"/>
        </w:rPr>
      </w:pPr>
    </w:p>
    <w:p w:rsidR="00630B61" w:rsidRPr="001774B5" w:rsidRDefault="00630B61" w:rsidP="00630B61">
      <w:pPr>
        <w:jc w:val="center"/>
        <w:rPr>
          <w:b/>
        </w:rPr>
      </w:pPr>
      <w:r w:rsidRPr="001774B5">
        <w:rPr>
          <w:b/>
          <w:sz w:val="32"/>
          <w:szCs w:val="32"/>
        </w:rPr>
        <w:t xml:space="preserve">Supporting </w:t>
      </w:r>
      <w:r w:rsidR="00C86612">
        <w:rPr>
          <w:b/>
          <w:sz w:val="32"/>
          <w:szCs w:val="32"/>
        </w:rPr>
        <w:t>State</w:t>
      </w:r>
      <w:r w:rsidRPr="001774B5">
        <w:rPr>
          <w:b/>
          <w:sz w:val="32"/>
          <w:szCs w:val="32"/>
        </w:rPr>
        <w:t>ment</w:t>
      </w:r>
    </w:p>
    <w:p w:rsidR="0046157B" w:rsidRDefault="00187E27" w:rsidP="00630B61">
      <w:pPr>
        <w:jc w:val="center"/>
        <w:rPr>
          <w:b/>
          <w:sz w:val="32"/>
          <w:szCs w:val="32"/>
        </w:rPr>
      </w:pPr>
      <w:proofErr w:type="gramStart"/>
      <w:r>
        <w:rPr>
          <w:b/>
          <w:sz w:val="32"/>
          <w:szCs w:val="32"/>
        </w:rPr>
        <w:t>f</w:t>
      </w:r>
      <w:r w:rsidR="00630B61" w:rsidRPr="001774B5">
        <w:rPr>
          <w:b/>
          <w:sz w:val="32"/>
          <w:szCs w:val="32"/>
        </w:rPr>
        <w:t>o</w:t>
      </w:r>
      <w:r w:rsidR="0046157B">
        <w:rPr>
          <w:b/>
          <w:sz w:val="32"/>
          <w:szCs w:val="32"/>
        </w:rPr>
        <w:t>r</w:t>
      </w:r>
      <w:proofErr w:type="gramEnd"/>
    </w:p>
    <w:p w:rsidR="00630B61" w:rsidRPr="001774B5" w:rsidRDefault="0046157B" w:rsidP="00630B61">
      <w:pPr>
        <w:jc w:val="center"/>
        <w:rPr>
          <w:b/>
          <w:sz w:val="32"/>
          <w:szCs w:val="32"/>
        </w:rPr>
      </w:pPr>
      <w:r>
        <w:rPr>
          <w:b/>
          <w:sz w:val="32"/>
          <w:szCs w:val="32"/>
        </w:rPr>
        <w:t>Information Collection Request</w:t>
      </w:r>
    </w:p>
    <w:p w:rsidR="00630B61" w:rsidRDefault="00630B61" w:rsidP="00630B61">
      <w:pPr>
        <w:jc w:val="center"/>
        <w:rPr>
          <w:b/>
        </w:rPr>
      </w:pPr>
    </w:p>
    <w:p w:rsidR="0046157B" w:rsidRPr="001774B5" w:rsidRDefault="0046157B" w:rsidP="00630B61">
      <w:pPr>
        <w:jc w:val="center"/>
        <w:rPr>
          <w:b/>
        </w:rPr>
      </w:pPr>
    </w:p>
    <w:p w:rsidR="00630B61" w:rsidRPr="001774B5" w:rsidRDefault="00113D49" w:rsidP="00630B61">
      <w:pPr>
        <w:widowControl/>
        <w:jc w:val="center"/>
        <w:rPr>
          <w:rStyle w:val="Chapterhead"/>
        </w:rPr>
      </w:pPr>
      <w:r>
        <w:rPr>
          <w:rStyle w:val="Chapterhead"/>
        </w:rPr>
        <w:t>Clean Air Interstate Rule to Reduce Interstate Transport of Fine Particle Matter and Ozone (Renewal)</w:t>
      </w:r>
    </w:p>
    <w:p w:rsidR="00630B61" w:rsidRPr="001774B5" w:rsidRDefault="00630B61" w:rsidP="00630B61"/>
    <w:p w:rsidR="00630B61" w:rsidRPr="001774B5" w:rsidRDefault="00630B61" w:rsidP="00630B61"/>
    <w:p w:rsidR="00630B61" w:rsidRPr="001774B5" w:rsidRDefault="00630B61" w:rsidP="00630B61"/>
    <w:p w:rsidR="00630B61" w:rsidRPr="001774B5" w:rsidRDefault="00630B61" w:rsidP="00630B61"/>
    <w:p w:rsidR="00630B61" w:rsidRPr="001774B5" w:rsidRDefault="00630B61" w:rsidP="00630B61">
      <w:pPr>
        <w:jc w:val="center"/>
      </w:pPr>
    </w:p>
    <w:p w:rsidR="00630B61" w:rsidRPr="001774B5" w:rsidRDefault="00630B61" w:rsidP="00630B61">
      <w:pPr>
        <w:jc w:val="center"/>
      </w:pPr>
    </w:p>
    <w:p w:rsidR="00630B61" w:rsidRPr="001774B5" w:rsidRDefault="00630B61" w:rsidP="00630B61">
      <w:pPr>
        <w:jc w:val="center"/>
      </w:pPr>
      <w:r w:rsidRPr="001774B5">
        <w:t>EPA ICR Number 2152.0</w:t>
      </w:r>
      <w:r w:rsidR="006A3F84">
        <w:t>5</w:t>
      </w:r>
      <w:r w:rsidR="0046157B">
        <w:t>;</w:t>
      </w:r>
      <w:r w:rsidRPr="001774B5">
        <w:t xml:space="preserve"> OMB Control Number 2060-0570</w:t>
      </w:r>
    </w:p>
    <w:p w:rsidR="00630B61" w:rsidRPr="001774B5" w:rsidRDefault="00630B61" w:rsidP="00630B61">
      <w:pPr>
        <w:jc w:val="center"/>
      </w:pPr>
    </w:p>
    <w:p w:rsidR="00630B61" w:rsidRPr="001774B5" w:rsidRDefault="00630B61" w:rsidP="00630B61">
      <w:pPr>
        <w:jc w:val="center"/>
      </w:pPr>
    </w:p>
    <w:p w:rsidR="00630B61" w:rsidRPr="001774B5" w:rsidRDefault="00630B61" w:rsidP="00630B61">
      <w:pPr>
        <w:jc w:val="center"/>
      </w:pPr>
    </w:p>
    <w:p w:rsidR="00630B61" w:rsidRPr="001774B5" w:rsidRDefault="00630B61" w:rsidP="00630B61">
      <w:pPr>
        <w:jc w:val="center"/>
      </w:pPr>
      <w:r w:rsidRPr="001774B5">
        <w:t xml:space="preserve">40 CFR </w:t>
      </w:r>
      <w:proofErr w:type="gramStart"/>
      <w:r w:rsidRPr="001774B5">
        <w:t>Part</w:t>
      </w:r>
      <w:proofErr w:type="gramEnd"/>
      <w:r w:rsidRPr="001774B5">
        <w:t xml:space="preserve"> 51</w:t>
      </w:r>
    </w:p>
    <w:p w:rsidR="00630B61" w:rsidRPr="001774B5" w:rsidRDefault="00630B61" w:rsidP="00630B61">
      <w:pPr>
        <w:jc w:val="center"/>
      </w:pPr>
      <w:r w:rsidRPr="001774B5">
        <w:t xml:space="preserve">40 CFR </w:t>
      </w:r>
      <w:proofErr w:type="gramStart"/>
      <w:r w:rsidRPr="001774B5">
        <w:t>Part</w:t>
      </w:r>
      <w:proofErr w:type="gramEnd"/>
      <w:r w:rsidRPr="001774B5">
        <w:t xml:space="preserve"> 96</w:t>
      </w:r>
    </w:p>
    <w:p w:rsidR="00630B61" w:rsidRPr="001774B5" w:rsidRDefault="00630B61" w:rsidP="00630B61">
      <w:pPr>
        <w:jc w:val="center"/>
      </w:pPr>
    </w:p>
    <w:p w:rsidR="00630B61" w:rsidRPr="001774B5" w:rsidRDefault="00630B61" w:rsidP="00630B61">
      <w:pPr>
        <w:jc w:val="center"/>
      </w:pPr>
    </w:p>
    <w:p w:rsidR="00630B61" w:rsidRPr="001774B5" w:rsidRDefault="00630B61" w:rsidP="00630B61">
      <w:pPr>
        <w:jc w:val="center"/>
      </w:pPr>
    </w:p>
    <w:p w:rsidR="00630B61" w:rsidRPr="001774B5" w:rsidRDefault="00630B61" w:rsidP="00630B61">
      <w:pPr>
        <w:jc w:val="center"/>
      </w:pPr>
    </w:p>
    <w:p w:rsidR="00630B61" w:rsidRPr="001774B5" w:rsidRDefault="00630B61" w:rsidP="00630B61">
      <w:pPr>
        <w:jc w:val="center"/>
      </w:pPr>
    </w:p>
    <w:p w:rsidR="00630B61" w:rsidRDefault="00630B61" w:rsidP="00630B61"/>
    <w:p w:rsidR="00113D49" w:rsidRPr="001774B5" w:rsidRDefault="00113D49" w:rsidP="00630B61"/>
    <w:p w:rsidR="00630B61" w:rsidRPr="001774B5" w:rsidRDefault="00630B61" w:rsidP="00630B61">
      <w:pPr>
        <w:jc w:val="center"/>
      </w:pPr>
    </w:p>
    <w:p w:rsidR="00630B61" w:rsidRPr="001774B5" w:rsidRDefault="00630B61" w:rsidP="00630B61">
      <w:pPr>
        <w:jc w:val="center"/>
      </w:pPr>
    </w:p>
    <w:p w:rsidR="00630B61" w:rsidRPr="001774B5" w:rsidRDefault="00630B61" w:rsidP="00630B61">
      <w:pPr>
        <w:jc w:val="center"/>
      </w:pPr>
      <w:r w:rsidRPr="001774B5">
        <w:t>Clean Air Markets Division</w:t>
      </w:r>
    </w:p>
    <w:p w:rsidR="00630B61" w:rsidRPr="001774B5" w:rsidRDefault="00630B61" w:rsidP="00630B61">
      <w:pPr>
        <w:jc w:val="center"/>
      </w:pPr>
      <w:r w:rsidRPr="001774B5">
        <w:t>Office of Air and Radiation</w:t>
      </w:r>
    </w:p>
    <w:p w:rsidR="00630B61" w:rsidRPr="001774B5" w:rsidRDefault="00630B61" w:rsidP="008826F6">
      <w:pPr>
        <w:jc w:val="center"/>
      </w:pPr>
      <w:smartTag w:uri="urn:schemas-microsoft-com:office:smarttags" w:element="place">
        <w:smartTag w:uri="urn:schemas-microsoft-com:office:smarttags" w:element="country-region">
          <w:r w:rsidRPr="001774B5">
            <w:t>U.S.</w:t>
          </w:r>
        </w:smartTag>
      </w:smartTag>
      <w:r w:rsidRPr="001774B5">
        <w:t xml:space="preserve"> Environmental Protection Agency</w:t>
      </w:r>
    </w:p>
    <w:p w:rsidR="00630B61" w:rsidRPr="001774B5" w:rsidRDefault="00630B61" w:rsidP="00630B61"/>
    <w:p w:rsidR="00630B61" w:rsidRPr="001774B5" w:rsidRDefault="00630B61" w:rsidP="00630B61"/>
    <w:p w:rsidR="00630B61" w:rsidRPr="001774B5" w:rsidRDefault="00630B61" w:rsidP="00630B61"/>
    <w:p w:rsidR="00630B61" w:rsidRPr="001774B5" w:rsidRDefault="00630B61" w:rsidP="00630B61"/>
    <w:p w:rsidR="00630B61" w:rsidRPr="001774B5" w:rsidRDefault="00630B61" w:rsidP="00630B61"/>
    <w:p w:rsidR="00630B61" w:rsidRPr="001774B5" w:rsidRDefault="00630B61" w:rsidP="00630B61"/>
    <w:p w:rsidR="00630B61" w:rsidRPr="001774B5" w:rsidRDefault="00630B61" w:rsidP="00630B61"/>
    <w:p w:rsidR="00630B61" w:rsidRPr="001774B5" w:rsidRDefault="00630B61" w:rsidP="00630B61"/>
    <w:p w:rsidR="00630B61" w:rsidRPr="001774B5" w:rsidRDefault="00630B61" w:rsidP="00630B61"/>
    <w:p w:rsidR="008826F6" w:rsidRPr="001774B5" w:rsidRDefault="008826F6" w:rsidP="008826F6">
      <w:pPr>
        <w:rPr>
          <w:rStyle w:val="Chapterhead"/>
          <w:sz w:val="24"/>
          <w:szCs w:val="24"/>
        </w:rPr>
      </w:pPr>
    </w:p>
    <w:p w:rsidR="008826F6" w:rsidRPr="001774B5" w:rsidRDefault="008826F6" w:rsidP="008826F6">
      <w:pPr>
        <w:rPr>
          <w:rStyle w:val="Chapterhead"/>
          <w:sz w:val="24"/>
          <w:szCs w:val="24"/>
        </w:rPr>
      </w:pPr>
    </w:p>
    <w:p w:rsidR="008826F6" w:rsidRPr="001774B5" w:rsidRDefault="008826F6" w:rsidP="008826F6">
      <w:pPr>
        <w:rPr>
          <w:rStyle w:val="Chapterhead"/>
          <w:sz w:val="24"/>
          <w:szCs w:val="24"/>
        </w:rPr>
      </w:pPr>
    </w:p>
    <w:p w:rsidR="008826F6" w:rsidRPr="001774B5" w:rsidRDefault="008826F6" w:rsidP="008826F6">
      <w:pPr>
        <w:rPr>
          <w:rStyle w:val="Chapterhead"/>
          <w:sz w:val="24"/>
          <w:szCs w:val="24"/>
        </w:rPr>
      </w:pPr>
    </w:p>
    <w:p w:rsidR="008826F6" w:rsidRPr="001774B5" w:rsidRDefault="008826F6" w:rsidP="008826F6">
      <w:pPr>
        <w:rPr>
          <w:rStyle w:val="Chapterhead"/>
          <w:sz w:val="24"/>
          <w:szCs w:val="24"/>
        </w:rPr>
        <w:sectPr w:rsidR="008826F6" w:rsidRPr="001774B5" w:rsidSect="008826F6">
          <w:footerReference w:type="default" r:id="rId8"/>
          <w:headerReference w:type="first" r:id="rId9"/>
          <w:type w:val="continuous"/>
          <w:pgSz w:w="12240" w:h="15840"/>
          <w:pgMar w:top="720" w:right="1440" w:bottom="1440" w:left="1440" w:header="1440" w:footer="1440" w:gutter="0"/>
          <w:cols w:space="720"/>
          <w:noEndnote/>
          <w:docGrid w:linePitch="326"/>
        </w:sectPr>
      </w:pPr>
    </w:p>
    <w:p w:rsidR="00D60A82" w:rsidRPr="001774B5" w:rsidRDefault="00D60A82" w:rsidP="000B1778">
      <w:pPr>
        <w:keepNext/>
        <w:keepLines/>
        <w:widowControl/>
        <w:tabs>
          <w:tab w:val="left" w:pos="360"/>
        </w:tabs>
        <w:ind w:left="360" w:hanging="360"/>
        <w:rPr>
          <w:rStyle w:val="1sttierA"/>
        </w:rPr>
      </w:pPr>
      <w:r w:rsidRPr="001774B5">
        <w:rPr>
          <w:rStyle w:val="1sttierA"/>
        </w:rPr>
        <w:lastRenderedPageBreak/>
        <w:t>1.</w:t>
      </w:r>
      <w:r w:rsidRPr="001774B5">
        <w:rPr>
          <w:rStyle w:val="1sttierA"/>
        </w:rPr>
        <w:tab/>
        <w:t>IDENTIFICATION OF THE INFORMATION COLLECTION</w:t>
      </w:r>
    </w:p>
    <w:p w:rsidR="00D60A82" w:rsidRPr="001774B5" w:rsidRDefault="00D60A82" w:rsidP="00EE6D32">
      <w:pPr>
        <w:keepNext/>
        <w:keepLines/>
        <w:widowControl/>
        <w:rPr>
          <w:rStyle w:val="1sttierA"/>
        </w:rPr>
      </w:pPr>
    </w:p>
    <w:p w:rsidR="00D60A82" w:rsidRPr="001774B5" w:rsidRDefault="00D60A82" w:rsidP="000B1778">
      <w:pPr>
        <w:keepNext/>
        <w:keepLines/>
        <w:widowControl/>
        <w:ind w:firstLine="360"/>
        <w:rPr>
          <w:rStyle w:val="2ndtier1"/>
        </w:rPr>
      </w:pPr>
      <w:r w:rsidRPr="001774B5">
        <w:rPr>
          <w:rStyle w:val="2ndtier1"/>
        </w:rPr>
        <w:t>1(a</w:t>
      </w:r>
      <w:proofErr w:type="gramStart"/>
      <w:r w:rsidRPr="001774B5">
        <w:rPr>
          <w:rStyle w:val="2ndtier1"/>
        </w:rPr>
        <w:t xml:space="preserve">) </w:t>
      </w:r>
      <w:r w:rsidR="00061874" w:rsidRPr="001774B5">
        <w:rPr>
          <w:rStyle w:val="2ndtier1"/>
        </w:rPr>
        <w:t xml:space="preserve"> </w:t>
      </w:r>
      <w:r w:rsidRPr="001774B5">
        <w:rPr>
          <w:rStyle w:val="2ndtier1"/>
        </w:rPr>
        <w:t>Title</w:t>
      </w:r>
      <w:proofErr w:type="gramEnd"/>
      <w:r w:rsidRPr="001774B5">
        <w:rPr>
          <w:rStyle w:val="2ndtier1"/>
        </w:rPr>
        <w:t xml:space="preserve"> of the Information Collection</w:t>
      </w:r>
    </w:p>
    <w:p w:rsidR="00D60A82" w:rsidRPr="001774B5" w:rsidRDefault="00D60A82" w:rsidP="00EE6D32">
      <w:pPr>
        <w:keepNext/>
        <w:widowControl/>
        <w:rPr>
          <w:rStyle w:val="2ndtier1"/>
        </w:rPr>
      </w:pPr>
    </w:p>
    <w:p w:rsidR="00D60A82" w:rsidRPr="001774B5" w:rsidRDefault="00113D49" w:rsidP="00EE6D32">
      <w:pPr>
        <w:widowControl/>
        <w:ind w:firstLine="424"/>
      </w:pPr>
      <w:r>
        <w:t>Clean Air Interstate Rule to Reduce Interstate Transport of Fine Particle Matter</w:t>
      </w:r>
      <w:r w:rsidR="008B7DB0">
        <w:t xml:space="preserve"> and Ozone, ICR Number 2152.0</w:t>
      </w:r>
      <w:r w:rsidR="006A3F84">
        <w:t>5</w:t>
      </w:r>
      <w:r w:rsidR="008B7DB0">
        <w:t>, OMB Number 2060-0570.</w:t>
      </w:r>
    </w:p>
    <w:p w:rsidR="00D60A82" w:rsidRPr="001774B5" w:rsidRDefault="00D60A82" w:rsidP="00EE6D32">
      <w:pPr>
        <w:widowControl/>
      </w:pPr>
    </w:p>
    <w:p w:rsidR="00D60A82" w:rsidRPr="00CD685B" w:rsidRDefault="00D60A82" w:rsidP="000B1778">
      <w:pPr>
        <w:keepNext/>
        <w:keepLines/>
        <w:widowControl/>
        <w:ind w:firstLine="360"/>
        <w:rPr>
          <w:rStyle w:val="Emphasis"/>
        </w:rPr>
      </w:pPr>
      <w:r w:rsidRPr="001774B5">
        <w:rPr>
          <w:rStyle w:val="2ndtier1"/>
        </w:rPr>
        <w:t>1(b</w:t>
      </w:r>
      <w:proofErr w:type="gramStart"/>
      <w:r w:rsidRPr="001774B5">
        <w:rPr>
          <w:rStyle w:val="2ndtier1"/>
        </w:rPr>
        <w:t xml:space="preserve">) </w:t>
      </w:r>
      <w:r w:rsidR="00061874" w:rsidRPr="001774B5">
        <w:rPr>
          <w:rStyle w:val="2ndtier1"/>
        </w:rPr>
        <w:t xml:space="preserve"> </w:t>
      </w:r>
      <w:r w:rsidRPr="001774B5">
        <w:rPr>
          <w:rStyle w:val="2ndtier1"/>
        </w:rPr>
        <w:t>Short</w:t>
      </w:r>
      <w:proofErr w:type="gramEnd"/>
      <w:r w:rsidRPr="001774B5">
        <w:rPr>
          <w:rStyle w:val="2ndtier1"/>
        </w:rPr>
        <w:t xml:space="preserve"> Characterization/Abstract</w:t>
      </w:r>
    </w:p>
    <w:p w:rsidR="00D60A82" w:rsidRPr="001774B5" w:rsidRDefault="00D60A82" w:rsidP="00EE6D32">
      <w:pPr>
        <w:widowControl/>
        <w:rPr>
          <w:rStyle w:val="2ndtier1"/>
        </w:rPr>
      </w:pPr>
    </w:p>
    <w:p w:rsidR="00507C0B" w:rsidRDefault="00282A02" w:rsidP="00507C0B">
      <w:pPr>
        <w:tabs>
          <w:tab w:val="left" w:pos="-1440"/>
          <w:tab w:val="left" w:pos="-973"/>
          <w:tab w:val="left" w:pos="-506"/>
          <w:tab w:val="left" w:pos="-40"/>
          <w:tab w:val="left" w:pos="427"/>
          <w:tab w:val="left" w:pos="894"/>
          <w:tab w:val="left" w:pos="1361"/>
          <w:tab w:val="left" w:pos="1828"/>
          <w:tab w:val="left" w:pos="2294"/>
          <w:tab w:val="left" w:pos="2761"/>
          <w:tab w:val="left" w:pos="3228"/>
          <w:tab w:val="left" w:pos="3695"/>
          <w:tab w:val="left" w:pos="4162"/>
          <w:tab w:val="left" w:pos="4628"/>
          <w:tab w:val="left" w:pos="5095"/>
          <w:tab w:val="left" w:pos="5562"/>
          <w:tab w:val="left" w:pos="6029"/>
          <w:tab w:val="left" w:pos="6496"/>
          <w:tab w:val="left" w:pos="6962"/>
          <w:tab w:val="left" w:pos="7429"/>
          <w:tab w:val="left" w:pos="7896"/>
          <w:tab w:val="left" w:pos="8363"/>
          <w:tab w:val="left" w:pos="8830"/>
          <w:tab w:val="left" w:pos="9296"/>
          <w:tab w:val="left" w:pos="9763"/>
          <w:tab w:val="left" w:pos="10230"/>
          <w:tab w:val="left" w:pos="10697"/>
        </w:tabs>
      </w:pPr>
      <w:r w:rsidRPr="001774B5">
        <w:t>In 2005, t</w:t>
      </w:r>
      <w:r w:rsidR="00D60A82" w:rsidRPr="001774B5">
        <w:t xml:space="preserve">he United </w:t>
      </w:r>
      <w:r w:rsidR="00C86612">
        <w:t>State</w:t>
      </w:r>
      <w:r w:rsidR="00D60A82" w:rsidRPr="001774B5">
        <w:t>s (U.S.) Environmental Prote</w:t>
      </w:r>
      <w:r w:rsidR="000D5463">
        <w:t>ction Agency (EPA) promulgated</w:t>
      </w:r>
      <w:r w:rsidR="00D60A82" w:rsidRPr="001774B5">
        <w:t xml:space="preserve"> </w:t>
      </w:r>
      <w:r w:rsidR="008B7DB0">
        <w:t>the Clean Air Interstate Rule (CAIR) to Reduce Interstate Transport of Fine Particle Matter and Ozone</w:t>
      </w:r>
      <w:r w:rsidR="00617BBA">
        <w:t xml:space="preserve">. </w:t>
      </w:r>
      <w:r w:rsidRPr="001774B5">
        <w:t xml:space="preserve">CAIR </w:t>
      </w:r>
      <w:r w:rsidR="00D60A82" w:rsidRPr="001774B5">
        <w:t>combine</w:t>
      </w:r>
      <w:r w:rsidRPr="001774B5">
        <w:t>d</w:t>
      </w:r>
      <w:r w:rsidR="00D60A82" w:rsidRPr="001774B5">
        <w:t xml:space="preserve"> </w:t>
      </w:r>
      <w:r w:rsidRPr="001774B5">
        <w:t>its reporting requirements</w:t>
      </w:r>
      <w:r w:rsidR="00D60A82" w:rsidRPr="001774B5">
        <w:t xml:space="preserve"> with existing requirements from the Emission Reporting Requirements for Ozone </w:t>
      </w:r>
      <w:r w:rsidR="00C86612">
        <w:t>State</w:t>
      </w:r>
      <w:r w:rsidR="00D60A82" w:rsidRPr="001774B5">
        <w:t xml:space="preserve"> Implementation Plan (SIP) Revisions Relating to </w:t>
      </w:r>
      <w:r w:rsidR="00C86612">
        <w:t>State</w:t>
      </w:r>
      <w:r w:rsidR="00D60A82" w:rsidRPr="001774B5">
        <w:t xml:space="preserve">wide Budgets for </w:t>
      </w:r>
      <w:proofErr w:type="spellStart"/>
      <w:r w:rsidR="00D60A82" w:rsidRPr="001774B5">
        <w:t>NO</w:t>
      </w:r>
      <w:r w:rsidR="0031501F" w:rsidRPr="001774B5">
        <w:rPr>
          <w:vertAlign w:val="subscript"/>
        </w:rPr>
        <w:t>x</w:t>
      </w:r>
      <w:proofErr w:type="spellEnd"/>
      <w:r w:rsidR="00D60A82" w:rsidRPr="001774B5">
        <w:t xml:space="preserve"> Emissions to Reduce Regional Transport of Ozone (</w:t>
      </w:r>
      <w:proofErr w:type="spellStart"/>
      <w:r w:rsidR="00D60A82" w:rsidRPr="001774B5">
        <w:t>NO</w:t>
      </w:r>
      <w:r w:rsidR="0031501F" w:rsidRPr="001774B5">
        <w:rPr>
          <w:vertAlign w:val="subscript"/>
        </w:rPr>
        <w:t>x</w:t>
      </w:r>
      <w:proofErr w:type="spellEnd"/>
      <w:r w:rsidR="00D60A82" w:rsidRPr="001774B5">
        <w:t xml:space="preserve"> SIP Call) and the Acid Rain Program </w:t>
      </w:r>
      <w:r w:rsidRPr="001774B5">
        <w:t xml:space="preserve">(ARP) </w:t>
      </w:r>
      <w:r w:rsidR="00D60A82" w:rsidRPr="001774B5">
        <w:t xml:space="preserve">under Title IV of the </w:t>
      </w:r>
      <w:smartTag w:uri="urn:schemas-microsoft-com:office:smarttags" w:element="stockticker">
        <w:r w:rsidR="00D60A82" w:rsidRPr="001774B5">
          <w:t>CAA</w:t>
        </w:r>
      </w:smartTag>
      <w:r w:rsidR="00617BBA">
        <w:t xml:space="preserve"> Amendments of 1990. </w:t>
      </w:r>
      <w:r w:rsidRPr="001774B5">
        <w:t>T</w:t>
      </w:r>
      <w:r w:rsidR="00D60A82" w:rsidRPr="001774B5">
        <w:t xml:space="preserve">hese </w:t>
      </w:r>
      <w:r w:rsidRPr="001774B5">
        <w:t>other</w:t>
      </w:r>
      <w:r w:rsidR="00D60A82" w:rsidRPr="001774B5">
        <w:t xml:space="preserve"> requirements ha</w:t>
      </w:r>
      <w:r w:rsidRPr="001774B5">
        <w:t>ve</w:t>
      </w:r>
      <w:r w:rsidR="00D60A82" w:rsidRPr="001774B5">
        <w:t xml:space="preserve"> </w:t>
      </w:r>
      <w:r w:rsidRPr="001774B5">
        <w:t xml:space="preserve">approved </w:t>
      </w:r>
      <w:r w:rsidR="00D60A82" w:rsidRPr="001774B5">
        <w:t>ICR</w:t>
      </w:r>
      <w:r w:rsidRPr="001774B5">
        <w:t>s</w:t>
      </w:r>
      <w:r w:rsidR="00617BBA">
        <w:t xml:space="preserve"> in place. </w:t>
      </w:r>
      <w:r w:rsidR="00CD685B">
        <w:t>T</w:t>
      </w:r>
      <w:r w:rsidR="00D60A82" w:rsidRPr="001774B5">
        <w:t xml:space="preserve">he </w:t>
      </w:r>
      <w:r w:rsidR="00477A63" w:rsidRPr="001774B5">
        <w:t>ARP</w:t>
      </w:r>
      <w:r w:rsidRPr="001774B5">
        <w:t xml:space="preserve"> </w:t>
      </w:r>
      <w:r w:rsidR="008B7DB0">
        <w:t>is covered under OMB Control Number 2060-0258</w:t>
      </w:r>
      <w:r w:rsidR="000D5463">
        <w:t xml:space="preserve"> EPA ICR Number 1633.15.</w:t>
      </w:r>
      <w:r w:rsidR="00617BBA">
        <w:t xml:space="preserve"> </w:t>
      </w:r>
      <w:r w:rsidR="008B7DB0">
        <w:t>T</w:t>
      </w:r>
      <w:r w:rsidR="00C25555" w:rsidRPr="001774B5">
        <w:t xml:space="preserve">he </w:t>
      </w:r>
      <w:proofErr w:type="spellStart"/>
      <w:r w:rsidR="00C25555" w:rsidRPr="001774B5">
        <w:t>NO</w:t>
      </w:r>
      <w:r w:rsidR="0031501F" w:rsidRPr="001774B5">
        <w:rPr>
          <w:vertAlign w:val="subscript"/>
        </w:rPr>
        <w:t>x</w:t>
      </w:r>
      <w:proofErr w:type="spellEnd"/>
      <w:r w:rsidR="00C25555" w:rsidRPr="001774B5">
        <w:t xml:space="preserve"> SIP Call</w:t>
      </w:r>
      <w:r w:rsidR="008B7DB0">
        <w:t>, OMB Control Number 2060-0445</w:t>
      </w:r>
      <w:r w:rsidR="000D5463">
        <w:t>, EPA ICR Number 1857.05,</w:t>
      </w:r>
      <w:r w:rsidR="00C25555" w:rsidRPr="001774B5">
        <w:t xml:space="preserve"> </w:t>
      </w:r>
      <w:r w:rsidR="006A3F84">
        <w:t>was revised in 2008 and s</w:t>
      </w:r>
      <w:r w:rsidR="00C25555" w:rsidRPr="001774B5">
        <w:t>ources previously subject to the</w:t>
      </w:r>
      <w:r w:rsidR="008B7DB0">
        <w:t xml:space="preserve"> </w:t>
      </w:r>
      <w:proofErr w:type="spellStart"/>
      <w:r w:rsidR="008B7DB0">
        <w:t>NO</w:t>
      </w:r>
      <w:r w:rsidR="00277FC3" w:rsidRPr="001774B5">
        <w:rPr>
          <w:vertAlign w:val="subscript"/>
        </w:rPr>
        <w:t>x</w:t>
      </w:r>
      <w:proofErr w:type="spellEnd"/>
      <w:r w:rsidR="008B7DB0">
        <w:t xml:space="preserve"> SIP Call</w:t>
      </w:r>
      <w:r w:rsidR="00C25555" w:rsidRPr="001774B5">
        <w:t xml:space="preserve"> requirements are now covered under CAIR.</w:t>
      </w:r>
      <w:r w:rsidR="00507C0B">
        <w:t xml:space="preserve"> In 2009 an administrative change was made to include Delaware and New Jersey in the Clean Air Interstate Rule, EPA ICR Number 2184.03, </w:t>
      </w:r>
      <w:proofErr w:type="gramStart"/>
      <w:r w:rsidR="00507C0B">
        <w:t>OMB</w:t>
      </w:r>
      <w:proofErr w:type="gramEnd"/>
      <w:r w:rsidR="00507C0B">
        <w:t xml:space="preserve"> Control Number 2060-0584</w:t>
      </w:r>
      <w:r w:rsidR="002A3D22">
        <w:t xml:space="preserve"> in this ICR</w:t>
      </w:r>
      <w:r w:rsidR="00507C0B">
        <w:t>.</w:t>
      </w:r>
    </w:p>
    <w:p w:rsidR="00D60A82" w:rsidRPr="001774B5" w:rsidRDefault="00D60A82" w:rsidP="00EE6D32">
      <w:pPr>
        <w:widowControl/>
        <w:ind w:firstLine="720"/>
      </w:pPr>
    </w:p>
    <w:p w:rsidR="00D60A82" w:rsidRPr="001774B5" w:rsidRDefault="00D60A82" w:rsidP="00EE6D32">
      <w:pPr>
        <w:widowControl/>
        <w:ind w:firstLine="720"/>
      </w:pPr>
      <w:r w:rsidRPr="001774B5">
        <w:t xml:space="preserve">This supporting </w:t>
      </w:r>
      <w:r w:rsidR="00C86612">
        <w:t>State</w:t>
      </w:r>
      <w:r w:rsidRPr="001774B5">
        <w:t>ment and ICR is being submitted to account for the incrementa</w:t>
      </w:r>
      <w:r w:rsidR="000D5463">
        <w:t xml:space="preserve">l burden associated with CAIR. </w:t>
      </w:r>
      <w:r w:rsidRPr="001774B5">
        <w:t xml:space="preserve">As such, this supporting </w:t>
      </w:r>
      <w:r w:rsidR="000967FD">
        <w:t>s</w:t>
      </w:r>
      <w:r w:rsidR="00C86612">
        <w:t>tate</w:t>
      </w:r>
      <w:r w:rsidRPr="001774B5">
        <w:t xml:space="preserve">ment references the burden analysis included in </w:t>
      </w:r>
      <w:r w:rsidR="008B7DB0">
        <w:t xml:space="preserve">the ICRs for </w:t>
      </w:r>
      <w:r w:rsidR="00CD685B">
        <w:t xml:space="preserve">the </w:t>
      </w:r>
      <w:proofErr w:type="spellStart"/>
      <w:r w:rsidR="00CD685B">
        <w:t>NO</w:t>
      </w:r>
      <w:r w:rsidR="00277FC3" w:rsidRPr="001774B5">
        <w:rPr>
          <w:vertAlign w:val="subscript"/>
        </w:rPr>
        <w:t>x</w:t>
      </w:r>
      <w:proofErr w:type="spellEnd"/>
      <w:r w:rsidR="00CD685B">
        <w:t xml:space="preserve"> SIP Call and </w:t>
      </w:r>
      <w:r w:rsidR="00617BBA">
        <w:t>ARP</w:t>
      </w:r>
      <w:r w:rsidRPr="001774B5">
        <w:t xml:space="preserve"> and estimates the change in burden resulting from CAIR beyond the scope of these ICRs.  </w:t>
      </w:r>
    </w:p>
    <w:p w:rsidR="002A0E04" w:rsidRPr="001774B5" w:rsidRDefault="002A0E04" w:rsidP="00EE6D32">
      <w:pPr>
        <w:widowControl/>
        <w:ind w:firstLine="720"/>
      </w:pPr>
    </w:p>
    <w:p w:rsidR="00D60A82" w:rsidRPr="001774B5" w:rsidRDefault="00F972FA" w:rsidP="00EE6D32">
      <w:pPr>
        <w:widowControl/>
        <w:ind w:firstLine="720"/>
      </w:pPr>
      <w:r w:rsidRPr="001774B5">
        <w:t>This ICR</w:t>
      </w:r>
      <w:r w:rsidR="00D60A82" w:rsidRPr="001774B5">
        <w:t xml:space="preserve"> details the </w:t>
      </w:r>
      <w:r w:rsidR="002A3D22">
        <w:t xml:space="preserve">ongoing burdens associated with </w:t>
      </w:r>
      <w:r w:rsidR="00D60A82" w:rsidRPr="001774B5">
        <w:t xml:space="preserve">CAIR. These changes can be logically divided into </w:t>
      </w:r>
      <w:r w:rsidR="00BF7876">
        <w:t>t</w:t>
      </w:r>
      <w:r w:rsidR="00CD685B">
        <w:t>wo</w:t>
      </w:r>
      <w:r w:rsidR="00BF7876" w:rsidRPr="001774B5">
        <w:t xml:space="preserve"> </w:t>
      </w:r>
      <w:r w:rsidR="00D60A82" w:rsidRPr="001774B5">
        <w:t xml:space="preserve">categories: </w:t>
      </w:r>
      <w:r w:rsidRPr="001774B5">
        <w:t xml:space="preserve"> </w:t>
      </w:r>
      <w:r w:rsidR="00D60A82" w:rsidRPr="001774B5">
        <w:t>1</w:t>
      </w:r>
      <w:r w:rsidRPr="001774B5">
        <w:t xml:space="preserve">) </w:t>
      </w:r>
      <w:r w:rsidR="0062238E">
        <w:t xml:space="preserve">annualized startup/capital and operational costs associated with CAIR affected units that are not also affected by the ARP program and </w:t>
      </w:r>
      <w:r w:rsidR="00BF7876">
        <w:t>2</w:t>
      </w:r>
      <w:proofErr w:type="gramStart"/>
      <w:r w:rsidR="00BF7876">
        <w:t>)  i</w:t>
      </w:r>
      <w:r w:rsidR="002A3D22">
        <w:t>ncremental</w:t>
      </w:r>
      <w:proofErr w:type="gramEnd"/>
      <w:r w:rsidR="002A3D22">
        <w:t xml:space="preserve"> operational costs for ARP affected units that are also subject to the CAIR program. The previous 2009-2011 ICR period contained a number of one-time cost</w:t>
      </w:r>
      <w:r w:rsidR="005C3E26">
        <w:t>s</w:t>
      </w:r>
      <w:r w:rsidR="002A3D22">
        <w:t xml:space="preserve"> </w:t>
      </w:r>
      <w:r w:rsidR="005C3E26">
        <w:t xml:space="preserve">and </w:t>
      </w:r>
      <w:r w:rsidR="002A3D22">
        <w:t xml:space="preserve">burdens associated with facilities/units </w:t>
      </w:r>
      <w:r w:rsidR="005C3E26">
        <w:t xml:space="preserve">either </w:t>
      </w:r>
      <w:r w:rsidR="002A3D22">
        <w:t xml:space="preserve">transitioning </w:t>
      </w:r>
      <w:r w:rsidR="005C3E26">
        <w:t xml:space="preserve">into the CAIR program </w:t>
      </w:r>
      <w:r w:rsidR="002A3D22">
        <w:t>from the NOX SIP</w:t>
      </w:r>
      <w:r w:rsidR="005C3E26">
        <w:t xml:space="preserve"> Call program or facilities/units previously affected by ARP that were required t</w:t>
      </w:r>
      <w:r w:rsidR="00617BBA">
        <w:t>o make changes as part of CAIR.</w:t>
      </w:r>
      <w:r w:rsidR="005C3E26">
        <w:t xml:space="preserve"> These one-time costs and burdens were fully realized in the 2009-2011 period.</w:t>
      </w:r>
    </w:p>
    <w:p w:rsidR="00EE6D32" w:rsidRPr="001774B5" w:rsidRDefault="00EE6D32" w:rsidP="00EE6D32">
      <w:pPr>
        <w:widowControl/>
        <w:ind w:firstLine="418"/>
      </w:pPr>
    </w:p>
    <w:p w:rsidR="00D60A82" w:rsidRPr="001774B5" w:rsidRDefault="00D60A82" w:rsidP="00EE6D32">
      <w:pPr>
        <w:widowControl/>
      </w:pPr>
      <w:r w:rsidRPr="001774B5">
        <w:rPr>
          <w:b/>
          <w:bCs/>
        </w:rPr>
        <w:t xml:space="preserve">Emission </w:t>
      </w:r>
      <w:r w:rsidR="00076F09">
        <w:rPr>
          <w:b/>
          <w:bCs/>
        </w:rPr>
        <w:t xml:space="preserve">Reporting </w:t>
      </w:r>
      <w:r w:rsidR="00DA0226">
        <w:rPr>
          <w:b/>
          <w:bCs/>
        </w:rPr>
        <w:t xml:space="preserve">and </w:t>
      </w:r>
      <w:r w:rsidRPr="001774B5">
        <w:rPr>
          <w:b/>
          <w:bCs/>
        </w:rPr>
        <w:t>Trading Requirements</w:t>
      </w:r>
    </w:p>
    <w:p w:rsidR="00D60A82" w:rsidRPr="001774B5" w:rsidRDefault="00D60A82" w:rsidP="00EE6D32">
      <w:pPr>
        <w:widowControl/>
      </w:pPr>
    </w:p>
    <w:p w:rsidR="00D60A82" w:rsidRPr="001774B5" w:rsidRDefault="00D60A82" w:rsidP="00EE6D32">
      <w:pPr>
        <w:widowControl/>
        <w:ind w:firstLine="720"/>
      </w:pPr>
      <w:r w:rsidRPr="001774B5">
        <w:t>For this ICR</w:t>
      </w:r>
      <w:r w:rsidR="002C1776">
        <w:t xml:space="preserve"> </w:t>
      </w:r>
      <w:r w:rsidR="00E85747">
        <w:t>the burden associated with</w:t>
      </w:r>
      <w:r w:rsidRPr="001774B5">
        <w:t xml:space="preserve"> the relevant CAIR SO</w:t>
      </w:r>
      <w:r w:rsidRPr="001774B5">
        <w:rPr>
          <w:vertAlign w:val="subscript"/>
        </w:rPr>
        <w:t>2</w:t>
      </w:r>
      <w:r w:rsidRPr="001774B5">
        <w:t xml:space="preserve">, annual </w:t>
      </w:r>
      <w:proofErr w:type="spellStart"/>
      <w:r w:rsidRPr="001774B5">
        <w:t>NO</w:t>
      </w:r>
      <w:r w:rsidR="0031501F" w:rsidRPr="001774B5">
        <w:rPr>
          <w:vertAlign w:val="subscript"/>
        </w:rPr>
        <w:t>x</w:t>
      </w:r>
      <w:proofErr w:type="spellEnd"/>
      <w:r w:rsidRPr="001774B5">
        <w:t xml:space="preserve"> and ozone season </w:t>
      </w:r>
      <w:proofErr w:type="spellStart"/>
      <w:r w:rsidRPr="001774B5">
        <w:t>NO</w:t>
      </w:r>
      <w:r w:rsidR="0031501F" w:rsidRPr="001774B5">
        <w:rPr>
          <w:vertAlign w:val="subscript"/>
        </w:rPr>
        <w:t>x</w:t>
      </w:r>
      <w:proofErr w:type="spellEnd"/>
      <w:r w:rsidRPr="001774B5">
        <w:t xml:space="preserve"> model trading rules is evaluated. The trading program</w:t>
      </w:r>
      <w:r w:rsidR="00FA713A" w:rsidRPr="001774B5">
        <w:t>s</w:t>
      </w:r>
      <w:r w:rsidRPr="001774B5">
        <w:t xml:space="preserve"> include paperwork burden related to</w:t>
      </w:r>
      <w:r w:rsidR="009E1449" w:rsidRPr="001774B5">
        <w:t>:</w:t>
      </w:r>
      <w:r w:rsidRPr="001774B5">
        <w:t xml:space="preserve"> </w:t>
      </w:r>
      <w:r w:rsidR="009E1449" w:rsidRPr="001774B5">
        <w:t xml:space="preserve"> </w:t>
      </w:r>
      <w:r w:rsidRPr="001774B5">
        <w:t>1) transferring and tracking allowances; 2) allocation of allowances to affected units; 3) permitting; 4) annual year end compliance certification; and 5) monitoring and reporting</w:t>
      </w:r>
      <w:r w:rsidR="00617BBA">
        <w:t xml:space="preserve">. </w:t>
      </w:r>
      <w:r w:rsidRPr="001774B5">
        <w:t xml:space="preserve">The monitoring and reporting requirements of </w:t>
      </w:r>
      <w:r w:rsidR="00FA713A" w:rsidRPr="001774B5">
        <w:t>the</w:t>
      </w:r>
      <w:r w:rsidRPr="001774B5">
        <w:t xml:space="preserve"> trading program</w:t>
      </w:r>
      <w:r w:rsidR="00FA713A" w:rsidRPr="001774B5">
        <w:t>s</w:t>
      </w:r>
      <w:r w:rsidRPr="001774B5">
        <w:t xml:space="preserve"> will require capital and labor expenditures by industry, and these are evaluated.</w:t>
      </w:r>
    </w:p>
    <w:p w:rsidR="00D60A82" w:rsidRPr="001774B5" w:rsidRDefault="00D60A82" w:rsidP="00EE6D32">
      <w:pPr>
        <w:widowControl/>
        <w:ind w:firstLine="720"/>
      </w:pPr>
    </w:p>
    <w:p w:rsidR="00C4470D" w:rsidRDefault="00C4470D" w:rsidP="00C4470D">
      <w:pPr>
        <w:keepNext/>
        <w:widowControl/>
        <w:ind w:firstLine="720"/>
      </w:pPr>
    </w:p>
    <w:p w:rsidR="00D60A82" w:rsidRPr="001774B5" w:rsidRDefault="003F2773" w:rsidP="00C4470D">
      <w:pPr>
        <w:keepNext/>
        <w:widowControl/>
        <w:ind w:firstLine="720"/>
      </w:pPr>
      <w:r w:rsidRPr="001774B5">
        <w:t xml:space="preserve">As </w:t>
      </w:r>
      <w:r w:rsidR="00D60A82" w:rsidRPr="001774B5">
        <w:t xml:space="preserve">with the Acid Rain Program and the </w:t>
      </w:r>
      <w:proofErr w:type="spellStart"/>
      <w:r w:rsidR="00D60A82" w:rsidRPr="001774B5">
        <w:t>NO</w:t>
      </w:r>
      <w:r w:rsidR="0031501F" w:rsidRPr="001774B5">
        <w:rPr>
          <w:vertAlign w:val="subscript"/>
        </w:rPr>
        <w:t>x</w:t>
      </w:r>
      <w:proofErr w:type="spellEnd"/>
      <w:r w:rsidR="0031501F" w:rsidRPr="001774B5">
        <w:rPr>
          <w:vertAlign w:val="subscript"/>
        </w:rPr>
        <w:t xml:space="preserve"> </w:t>
      </w:r>
      <w:r w:rsidR="00D60A82" w:rsidRPr="001774B5">
        <w:t>SIP Call, the ability to buy and sell (or transfer) allowances is expected to provide substantial economic benefits by encouraging the greatest emissions reductions where costs of reductions are lowest. Allowance trading cannot be implemented, however, unless regulations governing emissions monitoring and permitting o</w:t>
      </w:r>
      <w:r w:rsidR="00617BBA">
        <w:t>f sources are in place as well.</w:t>
      </w:r>
      <w:r w:rsidR="00D60A82" w:rsidRPr="001774B5">
        <w:t xml:space="preserve"> To ensure compliance with the emissions reduction requirements and to provide the </w:t>
      </w:r>
      <w:r w:rsidR="00540A02" w:rsidRPr="001774B5">
        <w:t>region wide</w:t>
      </w:r>
      <w:r w:rsidR="00D60A82" w:rsidRPr="001774B5">
        <w:t xml:space="preserve"> consistency needed to foster the allowance market, the designated representative of the owners and operators of each source with affected units are required to have CAIR requirements integrated into their Title V permits for the affected source and to certify that an approved SO</w:t>
      </w:r>
      <w:r w:rsidR="00D60A82" w:rsidRPr="001774B5">
        <w:rPr>
          <w:vertAlign w:val="subscript"/>
        </w:rPr>
        <w:t>2</w:t>
      </w:r>
      <w:r w:rsidR="00D60A82" w:rsidRPr="001774B5">
        <w:t xml:space="preserve"> and </w:t>
      </w:r>
      <w:proofErr w:type="spellStart"/>
      <w:r w:rsidR="00D60A82" w:rsidRPr="001774B5">
        <w:t>NO</w:t>
      </w:r>
      <w:r w:rsidR="0031501F" w:rsidRPr="001774B5">
        <w:rPr>
          <w:vertAlign w:val="subscript"/>
        </w:rPr>
        <w:t>x</w:t>
      </w:r>
      <w:proofErr w:type="spellEnd"/>
      <w:r w:rsidR="00D60A82" w:rsidRPr="001774B5">
        <w:t xml:space="preserve"> emissions monitoring system has been installed and is properly operated at each affected unit.</w:t>
      </w:r>
    </w:p>
    <w:p w:rsidR="00D60A82" w:rsidRPr="001774B5" w:rsidRDefault="00D60A82" w:rsidP="00EE6D32">
      <w:pPr>
        <w:widowControl/>
        <w:ind w:firstLine="720"/>
      </w:pPr>
    </w:p>
    <w:p w:rsidR="00D60A82" w:rsidRPr="001774B5" w:rsidRDefault="00D60A82" w:rsidP="00EE6D32">
      <w:pPr>
        <w:widowControl/>
        <w:ind w:firstLine="720"/>
      </w:pPr>
      <w:r w:rsidRPr="001774B5">
        <w:t>For affected units currently required to monitor using Part 75 provisions, information for the allocation methodology will be recorded and collected as part of the emissions monitoring and reporting process.</w:t>
      </w:r>
      <w:r w:rsidR="00617BBA">
        <w:t xml:space="preserve"> </w:t>
      </w:r>
      <w:r w:rsidR="00E85747">
        <w:t>While all participating sources have already installed necessary emissions monitoring equipment due to requirements under CAIR and other regulations, some sources will need periodically install new monitors or upgrade existing equipment. Capital costs include the annualized cost of initial certification of new or upgraded monitors as part of start-up costs.</w:t>
      </w:r>
    </w:p>
    <w:p w:rsidR="00D60A82" w:rsidRPr="001774B5" w:rsidRDefault="00D60A82" w:rsidP="00EE6D32">
      <w:pPr>
        <w:widowControl/>
        <w:ind w:firstLine="720"/>
      </w:pPr>
    </w:p>
    <w:p w:rsidR="00BA4DE1" w:rsidRPr="001774B5" w:rsidRDefault="00D60A82" w:rsidP="00EE6D32">
      <w:pPr>
        <w:widowControl/>
        <w:ind w:firstLine="720"/>
      </w:pPr>
      <w:r w:rsidRPr="001774B5">
        <w:t>Emissions monitoring and reporting by sources in the cap and trade program is fundamental to</w:t>
      </w:r>
      <w:r w:rsidR="00617BBA">
        <w:t xml:space="preserve"> the allowance trading system. </w:t>
      </w:r>
      <w:r w:rsidRPr="001774B5">
        <w:t>EPA will use the data contained in the repor</w:t>
      </w:r>
      <w:r w:rsidR="00617BBA">
        <w:t xml:space="preserve">ts to verify actual emissions. </w:t>
      </w:r>
      <w:r w:rsidRPr="001774B5">
        <w:t>Without accurate monitoring and reporting of emissions, the integrity of the allowance system would be undermined, and there would be no assurance that the cap is achieved and emissions had been reduced</w:t>
      </w:r>
      <w:r w:rsidR="00617BBA" w:rsidRPr="001774B5">
        <w:t xml:space="preserve">. </w:t>
      </w:r>
      <w:r w:rsidRPr="001774B5">
        <w:t>To meet the emissions monitoring, recordkeeping and reporting requirements, affected units are required to</w:t>
      </w:r>
      <w:r w:rsidR="004D4607" w:rsidRPr="001774B5">
        <w:t>:</w:t>
      </w:r>
      <w:r w:rsidRPr="001774B5">
        <w:t xml:space="preserve"> </w:t>
      </w:r>
      <w:r w:rsidR="004D4607" w:rsidRPr="001774B5">
        <w:t xml:space="preserve"> </w:t>
      </w:r>
      <w:r w:rsidRPr="001774B5">
        <w:t>1) submit a monitoring plan and certification reports for each monitoring system</w:t>
      </w:r>
      <w:r w:rsidR="004D4607" w:rsidRPr="001774B5">
        <w:t>;</w:t>
      </w:r>
      <w:r w:rsidRPr="001774B5">
        <w:t xml:space="preserve"> 2) record hourly emissions data</w:t>
      </w:r>
      <w:r w:rsidR="004D4607" w:rsidRPr="001774B5">
        <w:t>;</w:t>
      </w:r>
      <w:r w:rsidRPr="001774B5">
        <w:t xml:space="preserve"> and 3) submit reports of their emissions and operating data to EPA</w:t>
      </w:r>
      <w:r w:rsidR="00617BBA" w:rsidRPr="001774B5">
        <w:t xml:space="preserve">. </w:t>
      </w:r>
      <w:r w:rsidRPr="001774B5">
        <w:t>Sources with monitors already certified under Part 75 may be exempt from initial certification requirements.</w:t>
      </w:r>
      <w:r w:rsidR="000570DC" w:rsidRPr="001774B5">
        <w:t xml:space="preserve">  </w:t>
      </w:r>
    </w:p>
    <w:p w:rsidR="00D60A82" w:rsidRPr="001774B5" w:rsidRDefault="00D60A82" w:rsidP="00EE6D32">
      <w:pPr>
        <w:widowControl/>
        <w:ind w:firstLine="720"/>
      </w:pPr>
    </w:p>
    <w:p w:rsidR="00D60A82" w:rsidRPr="001774B5" w:rsidRDefault="00D60A82" w:rsidP="00EE6D32">
      <w:pPr>
        <w:keepLines/>
        <w:widowControl/>
        <w:ind w:firstLine="720"/>
      </w:pPr>
      <w:r w:rsidRPr="001774B5">
        <w:t>All participants in the allowance transfer system are required either to complete and submit an allowance transfer form for each allowance transfer or to perform the transfer on-line</w:t>
      </w:r>
      <w:r w:rsidR="00617BBA" w:rsidRPr="001774B5">
        <w:t xml:space="preserve">. </w:t>
      </w:r>
      <w:r w:rsidRPr="001774B5">
        <w:t xml:space="preserve">Participants in the transfer system that are not affected sources, such as allowance brokers, fuel suppliers and environmental groups are also required to file a </w:t>
      </w:r>
      <w:r w:rsidR="00540A02" w:rsidRPr="001774B5">
        <w:t>onetime</w:t>
      </w:r>
      <w:r w:rsidRPr="001774B5">
        <w:t xml:space="preserve"> account information application to establish accounts in the allowance tracking systems</w:t>
      </w:r>
      <w:r w:rsidR="002C1776">
        <w:t>.</w:t>
      </w:r>
    </w:p>
    <w:p w:rsidR="00D60A82" w:rsidRPr="001774B5" w:rsidRDefault="00D60A82" w:rsidP="00EE6D32">
      <w:pPr>
        <w:widowControl/>
      </w:pPr>
    </w:p>
    <w:p w:rsidR="00D60A82" w:rsidRPr="001774B5" w:rsidRDefault="00D60A82" w:rsidP="00EE6D32">
      <w:pPr>
        <w:widowControl/>
        <w:tabs>
          <w:tab w:val="left" w:pos="-1440"/>
          <w:tab w:val="left" w:pos="-974"/>
          <w:tab w:val="left" w:pos="-508"/>
          <w:tab w:val="left" w:pos="-42"/>
          <w:tab w:val="left" w:pos="360"/>
        </w:tabs>
        <w:ind w:left="360" w:hanging="360"/>
      </w:pPr>
      <w:r w:rsidRPr="001774B5">
        <w:rPr>
          <w:b/>
          <w:bCs/>
        </w:rPr>
        <w:t>2.</w:t>
      </w:r>
      <w:r w:rsidRPr="001774B5">
        <w:rPr>
          <w:b/>
          <w:bCs/>
        </w:rPr>
        <w:tab/>
        <w:t xml:space="preserve">NEED FOR </w:t>
      </w:r>
      <w:smartTag w:uri="urn:schemas-microsoft-com:office:smarttags" w:element="stockticker">
        <w:r w:rsidRPr="001774B5">
          <w:rPr>
            <w:b/>
            <w:bCs/>
          </w:rPr>
          <w:t>AND</w:t>
        </w:r>
      </w:smartTag>
      <w:r w:rsidRPr="001774B5">
        <w:rPr>
          <w:b/>
          <w:bCs/>
        </w:rPr>
        <w:t xml:space="preserve"> USE OF THE COLLECTION</w:t>
      </w:r>
    </w:p>
    <w:p w:rsidR="00D60A82" w:rsidRPr="001774B5" w:rsidRDefault="00D60A82" w:rsidP="00EE6D32">
      <w:pPr>
        <w:widowControl/>
      </w:pPr>
    </w:p>
    <w:p w:rsidR="00D60A82" w:rsidRPr="001774B5" w:rsidRDefault="00D60A82" w:rsidP="00540A02">
      <w:pPr>
        <w:widowControl/>
        <w:ind w:firstLine="360"/>
        <w:rPr>
          <w:rStyle w:val="2ndtier1"/>
        </w:rPr>
      </w:pPr>
      <w:r w:rsidRPr="001774B5">
        <w:rPr>
          <w:rStyle w:val="2ndtier1"/>
        </w:rPr>
        <w:t>2(a</w:t>
      </w:r>
      <w:proofErr w:type="gramStart"/>
      <w:r w:rsidRPr="001774B5">
        <w:rPr>
          <w:rStyle w:val="2ndtier1"/>
        </w:rPr>
        <w:t>)</w:t>
      </w:r>
      <w:r w:rsidR="00061874" w:rsidRPr="001774B5">
        <w:rPr>
          <w:rStyle w:val="2ndtier1"/>
        </w:rPr>
        <w:t xml:space="preserve"> </w:t>
      </w:r>
      <w:r w:rsidRPr="001774B5">
        <w:rPr>
          <w:rStyle w:val="2ndtier1"/>
        </w:rPr>
        <w:t xml:space="preserve"> Need</w:t>
      </w:r>
      <w:proofErr w:type="gramEnd"/>
      <w:r w:rsidRPr="001774B5">
        <w:rPr>
          <w:rStyle w:val="2ndtier1"/>
        </w:rPr>
        <w:t>/Authority for the Collection</w:t>
      </w:r>
    </w:p>
    <w:p w:rsidR="00D60A82" w:rsidRPr="001774B5" w:rsidRDefault="00D60A82" w:rsidP="00EE6D32">
      <w:pPr>
        <w:widowControl/>
        <w:rPr>
          <w:rStyle w:val="2ndtier1"/>
        </w:rPr>
      </w:pPr>
    </w:p>
    <w:p w:rsidR="00D60A82" w:rsidRDefault="00D60A82" w:rsidP="00EE6D32">
      <w:pPr>
        <w:widowControl/>
        <w:ind w:firstLine="720"/>
      </w:pPr>
      <w:r w:rsidRPr="001774B5">
        <w:t xml:space="preserve">One of the </w:t>
      </w:r>
      <w:r w:rsidR="000D5463">
        <w:t>original goals of this rulemaking was</w:t>
      </w:r>
      <w:r w:rsidRPr="001774B5">
        <w:t xml:space="preserve"> to consolidate the emission inventory reporting requirements found in several existing regulations and streamline the activities involved in submitt</w:t>
      </w:r>
      <w:r w:rsidR="000D5463">
        <w:t xml:space="preserve">ing the emissions data to EPA. </w:t>
      </w:r>
      <w:r w:rsidRPr="001774B5">
        <w:t xml:space="preserve">This will enable the EPA to achieve uniformity and completeness in emission inventories used to support national, regional, and local air quality planning and attainment. </w:t>
      </w:r>
    </w:p>
    <w:p w:rsidR="00683EBB" w:rsidRPr="001774B5" w:rsidRDefault="00683EBB" w:rsidP="00EE6D32">
      <w:pPr>
        <w:widowControl/>
        <w:ind w:firstLine="720"/>
      </w:pPr>
    </w:p>
    <w:p w:rsidR="00D60A82" w:rsidRPr="001774B5" w:rsidRDefault="00D60A82" w:rsidP="00C4470D">
      <w:pPr>
        <w:keepNext/>
        <w:keepLines/>
        <w:widowControl/>
        <w:ind w:firstLine="720"/>
      </w:pPr>
      <w:r w:rsidRPr="001774B5">
        <w:lastRenderedPageBreak/>
        <w:t xml:space="preserve">While the </w:t>
      </w:r>
      <w:smartTag w:uri="urn:schemas-microsoft-com:office:smarttags" w:element="stockticker">
        <w:r w:rsidRPr="001774B5">
          <w:t>CAA</w:t>
        </w:r>
      </w:smartTag>
      <w:r w:rsidRPr="001774B5">
        <w:t xml:space="preserve"> does not provide a specific authorization for a national emissions data base, the </w:t>
      </w:r>
      <w:smartTag w:uri="urn:schemas-microsoft-com:office:smarttags" w:element="stockticker">
        <w:r w:rsidRPr="001774B5">
          <w:t>CAA</w:t>
        </w:r>
      </w:smartTag>
      <w:r w:rsidRPr="001774B5">
        <w:t xml:space="preserve"> provides the EPA ample legislative authority for acquiring such data</w:t>
      </w:r>
      <w:r w:rsidR="00617BBA" w:rsidRPr="001774B5">
        <w:t xml:space="preserve">. </w:t>
      </w:r>
      <w:r w:rsidRPr="001774B5">
        <w:t>Emissions data are of vital importance to the EPA for fulfilling a host of monitoring, standard-setting, rulemaking, reviewing, and reporting duties</w:t>
      </w:r>
      <w:r w:rsidR="00617BBA" w:rsidRPr="001774B5">
        <w:t xml:space="preserve">. </w:t>
      </w:r>
      <w:r w:rsidRPr="001774B5">
        <w:t xml:space="preserve">Section 110 and 301(a) of the </w:t>
      </w:r>
      <w:smartTag w:uri="urn:schemas-microsoft-com:office:smarttags" w:element="stockticker">
        <w:r w:rsidRPr="001774B5">
          <w:t>CAA</w:t>
        </w:r>
      </w:smartTag>
      <w:r w:rsidRPr="001774B5">
        <w:t xml:space="preserve"> provide a primary authority for a national emissions data base</w:t>
      </w:r>
      <w:r w:rsidR="00617BBA" w:rsidRPr="001774B5">
        <w:t xml:space="preserve">. </w:t>
      </w:r>
      <w:r w:rsidRPr="001774B5">
        <w:t xml:space="preserve">Section 110 requires each </w:t>
      </w:r>
      <w:r w:rsidR="00C86612">
        <w:t>State</w:t>
      </w:r>
      <w:r w:rsidRPr="001774B5">
        <w:t xml:space="preserve"> to prepare a plan which provides for implementation, maintenance, and enforcement of the primary standard for each pollutant for which air quality criteria have been issued</w:t>
      </w:r>
      <w:r w:rsidR="00617BBA" w:rsidRPr="001774B5">
        <w:t xml:space="preserve">. </w:t>
      </w:r>
      <w:r w:rsidRPr="001774B5">
        <w:t>This plan must include provisions for periodic reports identifying sources and listing amounts of emissions</w:t>
      </w:r>
      <w:r w:rsidR="00617BBA" w:rsidRPr="001774B5">
        <w:t xml:space="preserve">. </w:t>
      </w:r>
      <w:r w:rsidRPr="001774B5">
        <w:t>Section 301(a) authorizes the Administrator to promulgate necessary regulations.</w:t>
      </w:r>
    </w:p>
    <w:p w:rsidR="00D60A82" w:rsidRPr="001774B5" w:rsidRDefault="00D60A82" w:rsidP="00EE6D32">
      <w:pPr>
        <w:widowControl/>
        <w:ind w:firstLine="720"/>
      </w:pPr>
    </w:p>
    <w:p w:rsidR="00D60A82" w:rsidRPr="001774B5" w:rsidRDefault="00D60A82" w:rsidP="000B629B">
      <w:pPr>
        <w:widowControl/>
        <w:ind w:firstLine="720"/>
      </w:pPr>
      <w:r w:rsidRPr="001774B5">
        <w:t>Congressional support for collecting and reporting emissions data is demonstrated in three sections of the CAA</w:t>
      </w:r>
      <w:r w:rsidR="00617BBA" w:rsidRPr="001774B5">
        <w:t xml:space="preserve">. </w:t>
      </w:r>
      <w:r w:rsidRPr="001774B5">
        <w:t>Section 110(a</w:t>
      </w:r>
      <w:proofErr w:type="gramStart"/>
      <w:r w:rsidRPr="001774B5">
        <w:t>)(</w:t>
      </w:r>
      <w:proofErr w:type="gramEnd"/>
      <w:r w:rsidRPr="001774B5">
        <w:t xml:space="preserve">2)(F) requires that each </w:t>
      </w:r>
      <w:r w:rsidR="00C86612">
        <w:t>State</w:t>
      </w:r>
      <w:r w:rsidRPr="001774B5">
        <w:t xml:space="preserve"> provide for periodic reports on the nature and amounts of emissions of criteria pollutants from stationary sources</w:t>
      </w:r>
      <w:r w:rsidR="00617BBA" w:rsidRPr="001774B5">
        <w:t>.</w:t>
      </w:r>
      <w:r w:rsidR="00617BBA">
        <w:t xml:space="preserve"> </w:t>
      </w:r>
      <w:r w:rsidRPr="001774B5">
        <w:t>Sections 182(a</w:t>
      </w:r>
      <w:proofErr w:type="gramStart"/>
      <w:r w:rsidRPr="001774B5">
        <w:t>)(</w:t>
      </w:r>
      <w:proofErr w:type="gramEnd"/>
      <w:r w:rsidRPr="001774B5">
        <w:t xml:space="preserve">3)(A) and 187(a)(5) of the </w:t>
      </w:r>
      <w:smartTag w:uri="urn:schemas-microsoft-com:office:smarttags" w:element="stockticker">
        <w:r w:rsidRPr="001774B5">
          <w:t>CAA</w:t>
        </w:r>
      </w:smartTag>
      <w:r w:rsidRPr="001774B5">
        <w:t xml:space="preserve"> specify periodic inventory requirements for ozone and CO nonattainment areas, respectively</w:t>
      </w:r>
      <w:r w:rsidR="00617BBA" w:rsidRPr="001774B5">
        <w:t xml:space="preserve">. </w:t>
      </w:r>
      <w:r w:rsidRPr="001774B5">
        <w:t>Section 182(a</w:t>
      </w:r>
      <w:proofErr w:type="gramStart"/>
      <w:r w:rsidRPr="001774B5">
        <w:t>)(</w:t>
      </w:r>
      <w:proofErr w:type="gramEnd"/>
      <w:r w:rsidRPr="001774B5">
        <w:t xml:space="preserve">3)(A) requires </w:t>
      </w:r>
      <w:r w:rsidR="00C86612">
        <w:t>State</w:t>
      </w:r>
      <w:r w:rsidRPr="001774B5">
        <w:t xml:space="preserve">s with ozone nonattainment areas to submit a current inventory of actual emissions of VOC, </w:t>
      </w:r>
      <w:proofErr w:type="spellStart"/>
      <w:r w:rsidRPr="001774B5">
        <w:t>NO</w:t>
      </w:r>
      <w:r w:rsidR="0031501F" w:rsidRPr="001774B5">
        <w:rPr>
          <w:vertAlign w:val="subscript"/>
        </w:rPr>
        <w:t>x</w:t>
      </w:r>
      <w:proofErr w:type="spellEnd"/>
      <w:r w:rsidR="004347DF">
        <w:t>, and CO every three</w:t>
      </w:r>
      <w:r w:rsidRPr="001774B5">
        <w:t xml:space="preserve"> years</w:t>
      </w:r>
      <w:r w:rsidR="00617BBA" w:rsidRPr="001774B5">
        <w:t xml:space="preserve">. </w:t>
      </w:r>
      <w:r w:rsidRPr="001774B5">
        <w:t>Section 187(a</w:t>
      </w:r>
      <w:proofErr w:type="gramStart"/>
      <w:r w:rsidRPr="001774B5">
        <w:t>)(</w:t>
      </w:r>
      <w:proofErr w:type="gramEnd"/>
      <w:r w:rsidRPr="001774B5">
        <w:t>5) requires a similar inventory of actual CO emissions for CO nonattainment areas</w:t>
      </w:r>
      <w:r w:rsidR="00617BBA" w:rsidRPr="001774B5">
        <w:t xml:space="preserve">. </w:t>
      </w:r>
      <w:r w:rsidRPr="001774B5">
        <w:t>Periodic inventories include emission estimates for all point, nonpoint,</w:t>
      </w:r>
      <w:r w:rsidR="00617BBA">
        <w:t xml:space="preserve"> </w:t>
      </w:r>
      <w:proofErr w:type="spellStart"/>
      <w:r w:rsidR="00617BBA">
        <w:t>onroad</w:t>
      </w:r>
      <w:proofErr w:type="spellEnd"/>
      <w:r w:rsidR="00617BBA">
        <w:t xml:space="preserve"> mobile, nonroad </w:t>
      </w:r>
      <w:proofErr w:type="gramStart"/>
      <w:r w:rsidR="00617BBA">
        <w:t>mobile,</w:t>
      </w:r>
      <w:proofErr w:type="gramEnd"/>
      <w:r w:rsidR="00617BBA">
        <w:t xml:space="preserve"> </w:t>
      </w:r>
      <w:r w:rsidRPr="001774B5">
        <w:t>and biogenic sources</w:t>
      </w:r>
      <w:r w:rsidR="00617BBA" w:rsidRPr="001774B5">
        <w:t xml:space="preserve">. </w:t>
      </w:r>
      <w:r w:rsidRPr="001774B5">
        <w:t>Section 172(c</w:t>
      </w:r>
      <w:proofErr w:type="gramStart"/>
      <w:r w:rsidRPr="001774B5">
        <w:t>)(</w:t>
      </w:r>
      <w:proofErr w:type="gramEnd"/>
      <w:r w:rsidRPr="001774B5">
        <w:t xml:space="preserve">3) also provides the Administrator with discretionary authority to require other emissions data as deemed necessary for </w:t>
      </w:r>
      <w:r w:rsidR="00C86612">
        <w:t>State</w:t>
      </w:r>
      <w:r w:rsidRPr="001774B5">
        <w:t xml:space="preserve"> Implementation Plan (SIP) development in nonattainment areas to meet the NAAQS</w:t>
      </w:r>
      <w:r w:rsidR="00617BBA" w:rsidRPr="001774B5">
        <w:t xml:space="preserve">. </w:t>
      </w:r>
      <w:r w:rsidRPr="001774B5">
        <w:t xml:space="preserve">In 1998, EPA promulgated the </w:t>
      </w:r>
      <w:proofErr w:type="spellStart"/>
      <w:r w:rsidRPr="001774B5">
        <w:t>NO</w:t>
      </w:r>
      <w:r w:rsidR="0031501F" w:rsidRPr="001774B5">
        <w:rPr>
          <w:vertAlign w:val="subscript"/>
        </w:rPr>
        <w:t>x</w:t>
      </w:r>
      <w:proofErr w:type="spellEnd"/>
      <w:r w:rsidRPr="001774B5">
        <w:t xml:space="preserve"> SIP Call which require</w:t>
      </w:r>
      <w:r w:rsidR="00625405" w:rsidRPr="001774B5">
        <w:t>d</w:t>
      </w:r>
      <w:r w:rsidRPr="001774B5">
        <w:t xml:space="preserve"> the affected </w:t>
      </w:r>
      <w:r w:rsidR="00C86612">
        <w:t>State</w:t>
      </w:r>
      <w:r w:rsidRPr="001774B5">
        <w:t xml:space="preserve">s and the </w:t>
      </w:r>
      <w:smartTag w:uri="urn:schemas-microsoft-com:office:smarttags" w:element="place">
        <w:smartTag w:uri="urn:schemas-microsoft-com:office:smarttags" w:element="State">
          <w:r w:rsidRPr="001774B5">
            <w:t>District of Columbia</w:t>
          </w:r>
        </w:smartTag>
      </w:smartTag>
      <w:r w:rsidRPr="001774B5">
        <w:t xml:space="preserve"> to submit SIP revisions providing for </w:t>
      </w:r>
      <w:proofErr w:type="spellStart"/>
      <w:r w:rsidRPr="001774B5">
        <w:t>NO</w:t>
      </w:r>
      <w:r w:rsidR="0031501F" w:rsidRPr="001774B5">
        <w:rPr>
          <w:vertAlign w:val="subscript"/>
        </w:rPr>
        <w:t>x</w:t>
      </w:r>
      <w:proofErr w:type="spellEnd"/>
      <w:r w:rsidRPr="001774B5">
        <w:t xml:space="preserve"> reductions to reduce their adverse impact on downwind ozone nonattainment areas</w:t>
      </w:r>
      <w:r w:rsidR="00617BBA" w:rsidRPr="001774B5">
        <w:t xml:space="preserve">. </w:t>
      </w:r>
      <w:r w:rsidRPr="001774B5">
        <w:t xml:space="preserve">(63 FR 57356, </w:t>
      </w:r>
      <w:smartTag w:uri="urn:schemas-microsoft-com:office:smarttags" w:element="date">
        <w:smartTagPr>
          <w:attr w:name="Year" w:val="1998"/>
          <w:attr w:name="Day" w:val="27"/>
          <w:attr w:name="Month" w:val="10"/>
          <w:attr w:name="ls" w:val="trans"/>
        </w:smartTagPr>
        <w:r w:rsidRPr="001774B5">
          <w:t>October 27, 1998</w:t>
        </w:r>
      </w:smartTag>
      <w:r w:rsidRPr="001774B5">
        <w:t>)</w:t>
      </w:r>
      <w:r w:rsidR="00617BBA" w:rsidRPr="001774B5">
        <w:t xml:space="preserve">. </w:t>
      </w:r>
      <w:r w:rsidRPr="001774B5">
        <w:t xml:space="preserve">As part of that rule, codified in 40 </w:t>
      </w:r>
      <w:smartTag w:uri="urn:schemas-microsoft-com:office:smarttags" w:element="stockticker">
        <w:r w:rsidRPr="001774B5">
          <w:t>CFR</w:t>
        </w:r>
      </w:smartTag>
      <w:r w:rsidRPr="001774B5">
        <w:t xml:space="preserve"> 51.122, EPA established emissions reporting requirements to be included in the SIP revisions required under that action</w:t>
      </w:r>
    </w:p>
    <w:p w:rsidR="00D60A82" w:rsidRPr="001774B5" w:rsidRDefault="00D60A82" w:rsidP="00EE6D32">
      <w:pPr>
        <w:widowControl/>
      </w:pPr>
    </w:p>
    <w:p w:rsidR="00D60A82" w:rsidRPr="001774B5" w:rsidRDefault="00D60A82" w:rsidP="00540A02">
      <w:pPr>
        <w:keepNext/>
        <w:keepLines/>
        <w:widowControl/>
        <w:ind w:firstLine="360"/>
        <w:rPr>
          <w:rStyle w:val="2ndtier1"/>
        </w:rPr>
      </w:pPr>
      <w:r w:rsidRPr="001774B5">
        <w:rPr>
          <w:rStyle w:val="2ndtier1"/>
        </w:rPr>
        <w:t>2(b</w:t>
      </w:r>
      <w:proofErr w:type="gramStart"/>
      <w:r w:rsidRPr="001774B5">
        <w:rPr>
          <w:rStyle w:val="2ndtier1"/>
        </w:rPr>
        <w:t>)</w:t>
      </w:r>
      <w:r w:rsidR="00061874" w:rsidRPr="001774B5">
        <w:rPr>
          <w:rStyle w:val="2ndtier1"/>
        </w:rPr>
        <w:t xml:space="preserve"> </w:t>
      </w:r>
      <w:r w:rsidRPr="001774B5">
        <w:rPr>
          <w:rStyle w:val="2ndtier1"/>
        </w:rPr>
        <w:t xml:space="preserve"> Practical</w:t>
      </w:r>
      <w:proofErr w:type="gramEnd"/>
      <w:r w:rsidRPr="001774B5">
        <w:rPr>
          <w:rStyle w:val="2ndtier1"/>
        </w:rPr>
        <w:t xml:space="preserve"> Utility/Users of the Data</w:t>
      </w:r>
    </w:p>
    <w:p w:rsidR="00D60A82" w:rsidRPr="001774B5" w:rsidRDefault="00D60A82" w:rsidP="00EE6D32">
      <w:pPr>
        <w:keepNext/>
        <w:keepLines/>
        <w:widowControl/>
        <w:rPr>
          <w:rStyle w:val="2ndtier1"/>
        </w:rPr>
      </w:pPr>
    </w:p>
    <w:p w:rsidR="00D60A82" w:rsidRPr="001774B5" w:rsidRDefault="00D60A82" w:rsidP="00EE6D32">
      <w:pPr>
        <w:keepLines/>
        <w:widowControl/>
        <w:rPr>
          <w:b/>
          <w:bCs/>
        </w:rPr>
      </w:pPr>
      <w:r w:rsidRPr="001774B5">
        <w:rPr>
          <w:b/>
          <w:bCs/>
        </w:rPr>
        <w:t>Emission Reporting Requirements</w:t>
      </w:r>
    </w:p>
    <w:p w:rsidR="00D60A82" w:rsidRPr="001774B5" w:rsidRDefault="00D60A82" w:rsidP="00EE6D32">
      <w:pPr>
        <w:widowControl/>
      </w:pPr>
    </w:p>
    <w:p w:rsidR="00D60A82" w:rsidRPr="001774B5" w:rsidRDefault="00D60A82" w:rsidP="00EE6D32">
      <w:pPr>
        <w:widowControl/>
        <w:ind w:firstLine="720"/>
      </w:pPr>
      <w:r w:rsidRPr="001774B5">
        <w:t>Emissions data and related information on stationary point and nonpoint sources, as well as non</w:t>
      </w:r>
      <w:r w:rsidR="00691A45" w:rsidRPr="001774B5">
        <w:t>-</w:t>
      </w:r>
      <w:r w:rsidRPr="001774B5">
        <w:t>road and on</w:t>
      </w:r>
      <w:r w:rsidR="00691A45" w:rsidRPr="001774B5">
        <w:t>-</w:t>
      </w:r>
      <w:r w:rsidRPr="001774B5">
        <w:t xml:space="preserve">road mobile </w:t>
      </w:r>
      <w:proofErr w:type="gramStart"/>
      <w:r w:rsidRPr="001774B5">
        <w:t>sources,</w:t>
      </w:r>
      <w:proofErr w:type="gramEnd"/>
      <w:r w:rsidRPr="001774B5">
        <w:t xml:space="preserve"> are routinely used by OAQPS and EPA Regional Offices in carrying out a variety of activities</w:t>
      </w:r>
      <w:r w:rsidR="00617BBA" w:rsidRPr="001774B5">
        <w:t xml:space="preserve">. </w:t>
      </w:r>
      <w:r w:rsidRPr="001774B5">
        <w:t>These activities support regulatory functions as well as functions that are more programmatic in nature such as trends analyses</w:t>
      </w:r>
      <w:r w:rsidR="00617BBA" w:rsidRPr="001774B5">
        <w:t xml:space="preserve">. </w:t>
      </w:r>
      <w:r w:rsidRPr="001774B5">
        <w:t>Such projects include:</w:t>
      </w:r>
    </w:p>
    <w:p w:rsidR="00D60A82" w:rsidRPr="001774B5" w:rsidRDefault="00D60A82" w:rsidP="00EE6D32">
      <w:pPr>
        <w:widowControl/>
      </w:pPr>
    </w:p>
    <w:p w:rsidR="00D60A82" w:rsidRPr="001774B5" w:rsidRDefault="0005413A" w:rsidP="0005413A">
      <w:pPr>
        <w:pStyle w:val="Level1"/>
        <w:widowControl/>
        <w:tabs>
          <w:tab w:val="left" w:pos="-1440"/>
          <w:tab w:val="left" w:pos="-974"/>
          <w:tab w:val="left" w:pos="-508"/>
          <w:tab w:val="left" w:pos="-42"/>
        </w:tabs>
        <w:ind w:left="720" w:hanging="360"/>
      </w:pPr>
      <w:r w:rsidRPr="001774B5">
        <w:t>●</w:t>
      </w:r>
      <w:r w:rsidRPr="001774B5">
        <w:tab/>
      </w:r>
      <w:r w:rsidR="00D60A82" w:rsidRPr="001774B5">
        <w:t>Evaluation of existing control strategies</w:t>
      </w:r>
      <w:r w:rsidR="00C13558" w:rsidRPr="001774B5">
        <w:t>, such as CAIR,</w:t>
      </w:r>
      <w:r w:rsidR="00D60A82" w:rsidRPr="001774B5">
        <w:t xml:space="preserve"> for </w:t>
      </w:r>
      <w:r w:rsidR="00C86612">
        <w:t>State</w:t>
      </w:r>
      <w:r w:rsidR="00D60A82" w:rsidRPr="001774B5">
        <w:t>s and larger areas;</w:t>
      </w:r>
    </w:p>
    <w:p w:rsidR="00D60A82" w:rsidRPr="001774B5" w:rsidRDefault="00D60A82" w:rsidP="00EE6D32">
      <w:pPr>
        <w:widowControl/>
        <w:tabs>
          <w:tab w:val="left" w:pos="-1440"/>
          <w:tab w:val="left" w:pos="-974"/>
          <w:tab w:val="left" w:pos="-508"/>
          <w:tab w:val="left" w:pos="-42"/>
        </w:tabs>
        <w:ind w:left="720" w:hanging="360"/>
      </w:pPr>
    </w:p>
    <w:p w:rsidR="00D60A82" w:rsidRPr="001774B5" w:rsidRDefault="0005413A" w:rsidP="0005413A">
      <w:pPr>
        <w:widowControl/>
        <w:tabs>
          <w:tab w:val="left" w:pos="-1440"/>
          <w:tab w:val="left" w:pos="-974"/>
          <w:tab w:val="left" w:pos="-508"/>
          <w:tab w:val="left" w:pos="-42"/>
        </w:tabs>
        <w:ind w:left="720" w:hanging="360"/>
      </w:pPr>
      <w:r w:rsidRPr="001774B5">
        <w:t>●</w:t>
      </w:r>
      <w:r w:rsidRPr="001774B5">
        <w:tab/>
      </w:r>
      <w:r w:rsidR="00D60A82" w:rsidRPr="001774B5">
        <w:t xml:space="preserve">Evaluation of proposed control strategies for </w:t>
      </w:r>
      <w:r w:rsidR="00C86612">
        <w:t>State</w:t>
      </w:r>
      <w:r w:rsidR="00D60A82" w:rsidRPr="001774B5">
        <w:t>s and larger areas, including applications of regional scale models;</w:t>
      </w:r>
    </w:p>
    <w:p w:rsidR="00D60A82" w:rsidRPr="001774B5" w:rsidRDefault="00D60A82" w:rsidP="00EE6D32">
      <w:pPr>
        <w:widowControl/>
        <w:tabs>
          <w:tab w:val="left" w:pos="-1440"/>
          <w:tab w:val="left" w:pos="-974"/>
          <w:tab w:val="left" w:pos="-508"/>
          <w:tab w:val="left" w:pos="-42"/>
        </w:tabs>
        <w:ind w:left="720" w:hanging="360"/>
      </w:pPr>
    </w:p>
    <w:p w:rsidR="00D60A82" w:rsidRPr="001774B5" w:rsidRDefault="0005413A" w:rsidP="0005413A">
      <w:pPr>
        <w:widowControl/>
        <w:tabs>
          <w:tab w:val="left" w:pos="-1440"/>
          <w:tab w:val="left" w:pos="-974"/>
          <w:tab w:val="left" w:pos="-508"/>
          <w:tab w:val="left" w:pos="-42"/>
        </w:tabs>
        <w:ind w:left="720" w:hanging="360"/>
      </w:pPr>
      <w:r w:rsidRPr="001774B5">
        <w:t>●</w:t>
      </w:r>
      <w:r w:rsidRPr="001774B5">
        <w:tab/>
      </w:r>
      <w:r w:rsidR="00D60A82" w:rsidRPr="001774B5">
        <w:t>Development of national control strategies and preparation of Regulatory Impact Analyses (RIA);</w:t>
      </w:r>
    </w:p>
    <w:p w:rsidR="00D60A82" w:rsidRPr="001774B5" w:rsidRDefault="00D60A82" w:rsidP="00EE6D32">
      <w:pPr>
        <w:widowControl/>
        <w:tabs>
          <w:tab w:val="left" w:pos="-1440"/>
          <w:tab w:val="left" w:pos="-974"/>
          <w:tab w:val="left" w:pos="-508"/>
          <w:tab w:val="left" w:pos="-42"/>
        </w:tabs>
        <w:ind w:left="720" w:hanging="360"/>
      </w:pPr>
    </w:p>
    <w:p w:rsidR="00D60A82" w:rsidRPr="001774B5" w:rsidRDefault="00EE6D32" w:rsidP="00EE6D32">
      <w:pPr>
        <w:widowControl/>
        <w:tabs>
          <w:tab w:val="left" w:pos="-1440"/>
          <w:tab w:val="left" w:pos="-974"/>
          <w:tab w:val="left" w:pos="-508"/>
          <w:tab w:val="left" w:pos="-42"/>
        </w:tabs>
        <w:ind w:left="720" w:hanging="360"/>
      </w:pPr>
      <w:r w:rsidRPr="001774B5">
        <w:t>●</w:t>
      </w:r>
      <w:r w:rsidRPr="001774B5">
        <w:tab/>
      </w:r>
      <w:r w:rsidR="00D60A82" w:rsidRPr="001774B5">
        <w:t>Preparation and publication of national summaries of emissions including trend analyses;</w:t>
      </w:r>
    </w:p>
    <w:p w:rsidR="00D60A82" w:rsidRPr="001774B5" w:rsidRDefault="00D60A82" w:rsidP="00EE6D32">
      <w:pPr>
        <w:widowControl/>
        <w:tabs>
          <w:tab w:val="left" w:pos="-1440"/>
          <w:tab w:val="left" w:pos="-974"/>
          <w:tab w:val="left" w:pos="-508"/>
          <w:tab w:val="left" w:pos="-42"/>
        </w:tabs>
        <w:ind w:left="720" w:hanging="360"/>
      </w:pPr>
    </w:p>
    <w:p w:rsidR="00D60A82" w:rsidRPr="001774B5" w:rsidRDefault="00EE6D32" w:rsidP="00EE6D32">
      <w:pPr>
        <w:widowControl/>
        <w:tabs>
          <w:tab w:val="left" w:pos="-1440"/>
          <w:tab w:val="left" w:pos="-974"/>
          <w:tab w:val="left" w:pos="-508"/>
          <w:tab w:val="left" w:pos="-42"/>
        </w:tabs>
        <w:ind w:left="720" w:hanging="360"/>
      </w:pPr>
      <w:r w:rsidRPr="001774B5">
        <w:lastRenderedPageBreak/>
        <w:t>●</w:t>
      </w:r>
      <w:r w:rsidRPr="001774B5">
        <w:tab/>
      </w:r>
      <w:proofErr w:type="gramStart"/>
      <w:r w:rsidR="00D60A82" w:rsidRPr="001774B5">
        <w:t>As</w:t>
      </w:r>
      <w:proofErr w:type="gramEnd"/>
      <w:r w:rsidR="00D60A82" w:rsidRPr="001774B5">
        <w:t xml:space="preserve"> a data base to assist in the identification of important source categories for future regulation; and</w:t>
      </w:r>
    </w:p>
    <w:p w:rsidR="00D60A82" w:rsidRPr="001774B5" w:rsidRDefault="00D60A82" w:rsidP="00EE6D32">
      <w:pPr>
        <w:widowControl/>
        <w:tabs>
          <w:tab w:val="left" w:pos="-1440"/>
          <w:tab w:val="left" w:pos="-974"/>
          <w:tab w:val="left" w:pos="-508"/>
          <w:tab w:val="left" w:pos="-42"/>
        </w:tabs>
        <w:ind w:left="720" w:hanging="360"/>
      </w:pPr>
    </w:p>
    <w:p w:rsidR="00D60A82" w:rsidRPr="001774B5" w:rsidRDefault="00EE6D32" w:rsidP="00EE6D32">
      <w:pPr>
        <w:widowControl/>
        <w:tabs>
          <w:tab w:val="left" w:pos="-1440"/>
          <w:tab w:val="left" w:pos="-974"/>
          <w:tab w:val="left" w:pos="-508"/>
          <w:tab w:val="left" w:pos="-42"/>
        </w:tabs>
        <w:ind w:left="720" w:hanging="360"/>
      </w:pPr>
      <w:r w:rsidRPr="001774B5">
        <w:t>●</w:t>
      </w:r>
      <w:r w:rsidRPr="001774B5">
        <w:tab/>
      </w:r>
      <w:r w:rsidR="00D60A82" w:rsidRPr="001774B5">
        <w:t>Preparation of the stationary source portion of a report to Congress on SO</w:t>
      </w:r>
      <w:r w:rsidR="00D60A82" w:rsidRPr="001774B5">
        <w:rPr>
          <w:vertAlign w:val="subscript"/>
        </w:rPr>
        <w:t>2</w:t>
      </w:r>
      <w:r w:rsidR="00D60A82" w:rsidRPr="001774B5">
        <w:t xml:space="preserve"> emissions</w:t>
      </w:r>
      <w:r w:rsidR="00617BBA" w:rsidRPr="001774B5">
        <w:t xml:space="preserve">. </w:t>
      </w:r>
      <w:r w:rsidR="00D60A82" w:rsidRPr="001774B5">
        <w:t>This report is required by Section 406 of the CAA</w:t>
      </w:r>
      <w:r w:rsidR="00691A45" w:rsidRPr="001774B5">
        <w:t xml:space="preserve"> and is due on a five-</w:t>
      </w:r>
      <w:r w:rsidR="00D60A82" w:rsidRPr="001774B5">
        <w:t>y</w:t>
      </w:r>
      <w:r w:rsidRPr="001774B5">
        <w:t xml:space="preserve">ear cycle that began on January </w:t>
      </w:r>
      <w:r w:rsidR="00D60A82" w:rsidRPr="001774B5">
        <w:t>1, 1995</w:t>
      </w:r>
      <w:r w:rsidR="00617BBA" w:rsidRPr="001774B5">
        <w:t xml:space="preserve">. </w:t>
      </w:r>
      <w:r w:rsidR="00D60A82" w:rsidRPr="001774B5">
        <w:t>The report must contain an inventory of national annual SO</w:t>
      </w:r>
      <w:r w:rsidR="00D60A82" w:rsidRPr="001774B5">
        <w:rPr>
          <w:vertAlign w:val="subscript"/>
        </w:rPr>
        <w:t>2</w:t>
      </w:r>
      <w:r w:rsidR="00D60A82" w:rsidRPr="001774B5">
        <w:t xml:space="preserve"> emissions from industrial sources (as defined in Title IV of the CAA).</w:t>
      </w:r>
    </w:p>
    <w:p w:rsidR="00D60A82" w:rsidRPr="001774B5" w:rsidRDefault="00D60A82" w:rsidP="00EE6D32">
      <w:pPr>
        <w:widowControl/>
      </w:pPr>
    </w:p>
    <w:p w:rsidR="00D60A82" w:rsidRPr="001774B5" w:rsidRDefault="00D60A82" w:rsidP="00EE6D32">
      <w:pPr>
        <w:widowControl/>
        <w:ind w:firstLine="720"/>
      </w:pPr>
      <w:proofErr w:type="gramStart"/>
      <w:r w:rsidRPr="001774B5">
        <w:t>EPA</w:t>
      </w:r>
      <w:r w:rsidR="009A06BF">
        <w:t>'</w:t>
      </w:r>
      <w:r w:rsidRPr="001774B5">
        <w:t>s Office of Research and Development (ORD) uses emissions source data in determining priorities for control technology research and as a key data component in the application of regional scale models</w:t>
      </w:r>
      <w:r w:rsidR="00617BBA" w:rsidRPr="001774B5">
        <w:t>.</w:t>
      </w:r>
      <w:proofErr w:type="gramEnd"/>
      <w:r w:rsidR="00617BBA" w:rsidRPr="001774B5">
        <w:t xml:space="preserve"> </w:t>
      </w:r>
      <w:r w:rsidRPr="001774B5">
        <w:t>EPA</w:t>
      </w:r>
      <w:r w:rsidR="004347DF">
        <w:t>'</w:t>
      </w:r>
      <w:r w:rsidRPr="001774B5">
        <w:t>s Regional Offices use emissions and other source parameters to support source inspections and in the analyses of the impact of new or modified sources within an area</w:t>
      </w:r>
      <w:r w:rsidR="00617BBA" w:rsidRPr="001774B5">
        <w:t xml:space="preserve">. </w:t>
      </w:r>
      <w:r w:rsidRPr="001774B5">
        <w:t>EPA</w:t>
      </w:r>
      <w:r w:rsidR="004347DF">
        <w:t>'</w:t>
      </w:r>
      <w:r w:rsidRPr="001774B5">
        <w:t>s Emission Factor and Inventory Group (EFIG) use the data to assess and analyze trends in criteria pollutant emissions over time.</w:t>
      </w:r>
    </w:p>
    <w:p w:rsidR="00D60A82" w:rsidRPr="001774B5" w:rsidRDefault="00D60A82" w:rsidP="00EE6D32">
      <w:pPr>
        <w:widowControl/>
        <w:ind w:firstLine="720"/>
      </w:pPr>
    </w:p>
    <w:p w:rsidR="00D60A82" w:rsidRPr="001774B5" w:rsidRDefault="00D60A82" w:rsidP="00EE6D32">
      <w:pPr>
        <w:widowControl/>
        <w:ind w:firstLine="720"/>
      </w:pPr>
      <w:r w:rsidRPr="001774B5">
        <w:t xml:space="preserve">In addition to supporting projects and initiatives internal to EPA, both OAQPS and </w:t>
      </w:r>
      <w:r w:rsidR="00761BA5" w:rsidRPr="001774B5">
        <w:t>EPA</w:t>
      </w:r>
      <w:r w:rsidR="001774B5">
        <w:t>'</w:t>
      </w:r>
      <w:r w:rsidR="00C13558" w:rsidRPr="001774B5">
        <w:t>s</w:t>
      </w:r>
      <w:r w:rsidRPr="001774B5">
        <w:t xml:space="preserve"> Regional Offices respond to numerous requests for reports on emission sources</w:t>
      </w:r>
      <w:r w:rsidR="00617BBA" w:rsidRPr="001774B5">
        <w:t xml:space="preserve">. </w:t>
      </w:r>
      <w:r w:rsidRPr="001774B5">
        <w:t>Typically this is done under the Freedom of Information Act</w:t>
      </w:r>
      <w:r w:rsidR="00617BBA" w:rsidRPr="001774B5">
        <w:t xml:space="preserve">. </w:t>
      </w:r>
      <w:r w:rsidRPr="001774B5">
        <w:t>Most requests come from contractors and consultants involved in special studies; a smaller number come from the press and universities and others involved in research.</w:t>
      </w:r>
    </w:p>
    <w:p w:rsidR="00C13558" w:rsidRPr="001774B5" w:rsidRDefault="00C13558" w:rsidP="00EE6D32">
      <w:pPr>
        <w:widowControl/>
        <w:ind w:firstLine="720"/>
      </w:pPr>
    </w:p>
    <w:p w:rsidR="00D60A82" w:rsidRPr="001774B5" w:rsidRDefault="00D60A82" w:rsidP="00EE6D32">
      <w:pPr>
        <w:widowControl/>
        <w:ind w:firstLine="720"/>
      </w:pPr>
      <w:r w:rsidRPr="001774B5">
        <w:t>The collection of emissions data specific to nonattainment areas for certain criteria air pollutants is necessary to comply with requirements specified in Title I of the CAA</w:t>
      </w:r>
      <w:r w:rsidR="00617BBA" w:rsidRPr="001774B5">
        <w:t xml:space="preserve">. </w:t>
      </w:r>
      <w:r w:rsidR="00C86612">
        <w:t>State</w:t>
      </w:r>
      <w:r w:rsidRPr="001774B5">
        <w:t>s with nonattainment areas rely on current information for point, nonpoint, and mobile sources to revise their SIPs and to plan for emission reductions mandated by the CAA</w:t>
      </w:r>
      <w:r w:rsidR="00617BBA" w:rsidRPr="001774B5">
        <w:t xml:space="preserve">. </w:t>
      </w:r>
      <w:r w:rsidRPr="001774B5">
        <w:t xml:space="preserve">In addition, a </w:t>
      </w:r>
      <w:proofErr w:type="gramStart"/>
      <w:r w:rsidR="00C86612">
        <w:t>State</w:t>
      </w:r>
      <w:r w:rsidRPr="001774B5">
        <w:t>wide</w:t>
      </w:r>
      <w:proofErr w:type="gramEnd"/>
      <w:r w:rsidRPr="001774B5">
        <w:t xml:space="preserve"> inv</w:t>
      </w:r>
      <w:r w:rsidR="00691A45" w:rsidRPr="001774B5">
        <w:t>entory compiled at least every three</w:t>
      </w:r>
      <w:r w:rsidRPr="001774B5">
        <w:t xml:space="preserve"> years for all point, nonpoint, and mobile sources is considered to be a key tool to assist </w:t>
      </w:r>
      <w:r w:rsidR="00C86612">
        <w:t>State</w:t>
      </w:r>
      <w:r w:rsidRPr="001774B5">
        <w:t>s in meeting CAA requirements that address emissions tracking, compliance issues, and mid-course adjustments</w:t>
      </w:r>
      <w:r w:rsidR="00617BBA" w:rsidRPr="001774B5">
        <w:t xml:space="preserve">. </w:t>
      </w:r>
      <w:r w:rsidR="00C86612">
        <w:t>State</w:t>
      </w:r>
      <w:r w:rsidRPr="001774B5">
        <w:t xml:space="preserve">wide emission inventories can be used by </w:t>
      </w:r>
      <w:r w:rsidR="00C86612">
        <w:t>State</w:t>
      </w:r>
      <w:r w:rsidRPr="001774B5">
        <w:t>s affected by pollution transport from upwind areas to develop more efficient control strategies to meet the NAAQS</w:t>
      </w:r>
      <w:r w:rsidR="00617BBA" w:rsidRPr="001774B5">
        <w:t xml:space="preserve">. </w:t>
      </w:r>
      <w:r w:rsidR="00C86612">
        <w:t>State</w:t>
      </w:r>
      <w:r w:rsidRPr="001774B5">
        <w:t xml:space="preserve">wide emission inventories that were developed by EPA (the NEI) are being used by the Regional Planning Organizations (RPOs) as the starting point for the development of </w:t>
      </w:r>
      <w:proofErr w:type="gramStart"/>
      <w:r w:rsidR="00C86612">
        <w:t>State</w:t>
      </w:r>
      <w:r w:rsidRPr="001774B5">
        <w:t>wide</w:t>
      </w:r>
      <w:proofErr w:type="gramEnd"/>
      <w:r w:rsidRPr="001774B5">
        <w:t xml:space="preserve"> emission inventories used in the regional haze program to define control strategies.</w:t>
      </w:r>
    </w:p>
    <w:p w:rsidR="00D60A82" w:rsidRPr="001774B5" w:rsidRDefault="00D60A82" w:rsidP="00EE6D32">
      <w:pPr>
        <w:widowControl/>
      </w:pPr>
    </w:p>
    <w:p w:rsidR="00D60A82" w:rsidRPr="001774B5" w:rsidRDefault="00D60A82" w:rsidP="00EE6D32">
      <w:pPr>
        <w:widowControl/>
        <w:rPr>
          <w:b/>
          <w:bCs/>
        </w:rPr>
      </w:pPr>
      <w:r w:rsidRPr="001774B5">
        <w:rPr>
          <w:b/>
          <w:bCs/>
        </w:rPr>
        <w:t>Emission Trading Requirements</w:t>
      </w:r>
    </w:p>
    <w:p w:rsidR="00D60A82" w:rsidRPr="001774B5" w:rsidRDefault="00D60A82" w:rsidP="00EE6D32">
      <w:pPr>
        <w:widowControl/>
      </w:pPr>
    </w:p>
    <w:p w:rsidR="00D60A82" w:rsidRPr="001774B5" w:rsidRDefault="00D60A82" w:rsidP="000B1778">
      <w:pPr>
        <w:widowControl/>
        <w:ind w:firstLine="720"/>
      </w:pPr>
      <w:r w:rsidRPr="001774B5">
        <w:t xml:space="preserve">Permit applications, including proposed compliance plans, will be used by </w:t>
      </w:r>
      <w:r w:rsidR="00C86612">
        <w:t>State</w:t>
      </w:r>
      <w:r w:rsidRPr="001774B5">
        <w:t>s and EPA to issue operating permits and to allocate allowances</w:t>
      </w:r>
      <w:r w:rsidR="00617BBA" w:rsidRPr="001774B5">
        <w:t xml:space="preserve">. </w:t>
      </w:r>
      <w:r w:rsidRPr="001774B5">
        <w:t>A permit application is legally binding on the owners, operators, and designated representative of a source until the actual permit is issued</w:t>
      </w:r>
      <w:r w:rsidR="00617BBA" w:rsidRPr="001774B5">
        <w:t xml:space="preserve">. </w:t>
      </w:r>
      <w:r w:rsidRPr="001774B5">
        <w:t>Affected sources may rely on the permit for information on the requirements with which they must comply</w:t>
      </w:r>
      <w:r w:rsidR="00617BBA" w:rsidRPr="001774B5">
        <w:t xml:space="preserve">. </w:t>
      </w:r>
      <w:r w:rsidRPr="001774B5">
        <w:t>Because permit applications and permits are public documents, they may be used by the public to examine activities undertaken by affected sources.</w:t>
      </w:r>
    </w:p>
    <w:p w:rsidR="00D60A82" w:rsidRPr="001774B5" w:rsidRDefault="00D60A82" w:rsidP="00EE6D32">
      <w:pPr>
        <w:widowControl/>
      </w:pPr>
    </w:p>
    <w:p w:rsidR="00D60A82" w:rsidRPr="001774B5" w:rsidRDefault="00D60A82" w:rsidP="00683EBB">
      <w:pPr>
        <w:keepNext/>
        <w:widowControl/>
        <w:ind w:firstLine="720"/>
      </w:pPr>
      <w:r w:rsidRPr="001774B5">
        <w:lastRenderedPageBreak/>
        <w:t>Data from emissions monitoring is indispensable to successful implementation of the trading programs for two reasons:</w:t>
      </w:r>
    </w:p>
    <w:p w:rsidR="00D60A82" w:rsidRPr="001774B5" w:rsidRDefault="00D60A82" w:rsidP="00683EBB">
      <w:pPr>
        <w:keepNext/>
        <w:widowControl/>
      </w:pPr>
    </w:p>
    <w:p w:rsidR="00D60A82" w:rsidRPr="001774B5" w:rsidRDefault="00EE6D32" w:rsidP="00EE6D32">
      <w:pPr>
        <w:pStyle w:val="Level1"/>
        <w:widowControl/>
        <w:ind w:left="720" w:hanging="360"/>
      </w:pPr>
      <w:r w:rsidRPr="001774B5">
        <w:t>●</w:t>
      </w:r>
      <w:r w:rsidRPr="001774B5">
        <w:tab/>
      </w:r>
      <w:r w:rsidR="00D60A82" w:rsidRPr="001774B5">
        <w:t xml:space="preserve">The primary purpose of the trading programs is to assist </w:t>
      </w:r>
      <w:r w:rsidR="00C86612">
        <w:t>State</w:t>
      </w:r>
      <w:r w:rsidR="00D60A82" w:rsidRPr="001774B5">
        <w:t xml:space="preserve">s in the attainment of the ozone and fine particulate matter national ambient air quality standards (NAAQS) by reducing the adverse effects of the transport of ozone, ozone precursors and fine particles from upwind </w:t>
      </w:r>
      <w:r w:rsidR="00C86612">
        <w:t>State</w:t>
      </w:r>
      <w:r w:rsidR="00D60A82" w:rsidRPr="001774B5">
        <w:t>s by reducing annual emissions of sulfur dioxide and nitrogen oxides; and</w:t>
      </w:r>
    </w:p>
    <w:p w:rsidR="00D60A82" w:rsidRPr="001774B5" w:rsidRDefault="00D60A82" w:rsidP="00EE6D32">
      <w:pPr>
        <w:widowControl/>
        <w:ind w:left="360" w:firstLine="360"/>
      </w:pPr>
    </w:p>
    <w:p w:rsidR="00D60A82" w:rsidRPr="001774B5" w:rsidRDefault="00EE6D32" w:rsidP="00EE6D32">
      <w:pPr>
        <w:pStyle w:val="Level1"/>
        <w:widowControl/>
        <w:tabs>
          <w:tab w:val="left" w:pos="-1440"/>
          <w:tab w:val="left" w:pos="-974"/>
          <w:tab w:val="left" w:pos="-508"/>
          <w:tab w:val="left" w:pos="-42"/>
        </w:tabs>
        <w:ind w:left="720" w:hanging="360"/>
      </w:pPr>
      <w:r w:rsidRPr="001774B5">
        <w:t>●</w:t>
      </w:r>
      <w:r w:rsidRPr="001774B5">
        <w:tab/>
      </w:r>
      <w:r w:rsidR="00D60A82" w:rsidRPr="001774B5">
        <w:t>EPA can only enforce the program by comparing, for each affected unit, emissions data and the number of allowances held.</w:t>
      </w:r>
    </w:p>
    <w:p w:rsidR="00D60A82" w:rsidRPr="001774B5" w:rsidRDefault="00D60A82" w:rsidP="00EE6D32">
      <w:pPr>
        <w:widowControl/>
      </w:pPr>
    </w:p>
    <w:p w:rsidR="00D60A82" w:rsidRPr="001774B5" w:rsidRDefault="00D60A82" w:rsidP="00CD685B">
      <w:pPr>
        <w:widowControl/>
        <w:ind w:firstLine="720"/>
      </w:pPr>
      <w:r w:rsidRPr="001774B5">
        <w:t xml:space="preserve">Information collected on allowance transfers is used by EPA or its designated agent to track allowances for the purpose of determining compliance with the </w:t>
      </w:r>
      <w:proofErr w:type="spellStart"/>
      <w:r w:rsidRPr="001774B5">
        <w:t>NO</w:t>
      </w:r>
      <w:r w:rsidR="0031501F" w:rsidRPr="001774B5">
        <w:rPr>
          <w:vertAlign w:val="subscript"/>
        </w:rPr>
        <w:t>x</w:t>
      </w:r>
      <w:proofErr w:type="spellEnd"/>
      <w:r w:rsidRPr="001774B5">
        <w:t xml:space="preserve"> and SO</w:t>
      </w:r>
      <w:r w:rsidRPr="001774B5">
        <w:rPr>
          <w:vertAlign w:val="subscript"/>
        </w:rPr>
        <w:t>2</w:t>
      </w:r>
      <w:r w:rsidRPr="001774B5">
        <w:t xml:space="preserve"> Trading Programs</w:t>
      </w:r>
      <w:r w:rsidR="00617BBA" w:rsidRPr="001774B5">
        <w:t xml:space="preserve">. </w:t>
      </w:r>
      <w:r w:rsidRPr="001774B5">
        <w:t xml:space="preserve">Information on allowance transfers is also used by participants in the allowance market and the public to evaluate the activities of affected </w:t>
      </w:r>
      <w:proofErr w:type="gramStart"/>
      <w:r w:rsidRPr="001774B5">
        <w:t>sources,</w:t>
      </w:r>
      <w:proofErr w:type="gramEnd"/>
      <w:r w:rsidRPr="001774B5">
        <w:t xml:space="preserve"> and by EPA for program evaluation.</w:t>
      </w:r>
    </w:p>
    <w:p w:rsidR="00D60A82" w:rsidRPr="001774B5" w:rsidRDefault="00D60A82" w:rsidP="000B1778">
      <w:pPr>
        <w:widowControl/>
        <w:ind w:firstLine="720"/>
      </w:pPr>
    </w:p>
    <w:p w:rsidR="00D60A82" w:rsidRDefault="00D60A82" w:rsidP="000B1778">
      <w:pPr>
        <w:widowControl/>
        <w:ind w:firstLine="720"/>
      </w:pPr>
      <w:r w:rsidRPr="001774B5">
        <w:t xml:space="preserve">Together, the allowance trading system, operating permits, and emissions data helps to provide the accountability </w:t>
      </w:r>
      <w:r w:rsidR="00C13558" w:rsidRPr="001774B5">
        <w:t xml:space="preserve">needed so that </w:t>
      </w:r>
      <w:r w:rsidRPr="001774B5">
        <w:t xml:space="preserve">the </w:t>
      </w:r>
      <w:proofErr w:type="spellStart"/>
      <w:r w:rsidRPr="001774B5">
        <w:t>NO</w:t>
      </w:r>
      <w:r w:rsidR="0031501F" w:rsidRPr="001774B5">
        <w:rPr>
          <w:vertAlign w:val="subscript"/>
        </w:rPr>
        <w:t>x</w:t>
      </w:r>
      <w:proofErr w:type="spellEnd"/>
      <w:r w:rsidRPr="001774B5">
        <w:t xml:space="preserve"> and SO</w:t>
      </w:r>
      <w:r w:rsidRPr="001774B5">
        <w:rPr>
          <w:vertAlign w:val="subscript"/>
        </w:rPr>
        <w:t>2</w:t>
      </w:r>
      <w:r w:rsidRPr="001774B5">
        <w:t xml:space="preserve"> Trading Programs </w:t>
      </w:r>
      <w:r w:rsidR="00C13558" w:rsidRPr="001774B5">
        <w:t>can</w:t>
      </w:r>
      <w:r w:rsidRPr="001774B5">
        <w:t xml:space="preserve"> function without more stringent command and control approaches.</w:t>
      </w:r>
    </w:p>
    <w:p w:rsidR="00D60A82" w:rsidRPr="001774B5" w:rsidRDefault="00D60A82" w:rsidP="00EE6D32">
      <w:pPr>
        <w:widowControl/>
      </w:pPr>
    </w:p>
    <w:p w:rsidR="00D60A82" w:rsidRPr="001774B5" w:rsidRDefault="00D60A82" w:rsidP="00EE6D32">
      <w:pPr>
        <w:keepNext/>
        <w:keepLines/>
        <w:widowControl/>
        <w:tabs>
          <w:tab w:val="left" w:pos="-1440"/>
          <w:tab w:val="left" w:pos="-974"/>
          <w:tab w:val="left" w:pos="-508"/>
          <w:tab w:val="left" w:pos="-42"/>
          <w:tab w:val="left" w:pos="360"/>
        </w:tabs>
        <w:ind w:left="360" w:hanging="360"/>
        <w:rPr>
          <w:rStyle w:val="1sttierA"/>
        </w:rPr>
      </w:pPr>
      <w:r w:rsidRPr="001774B5">
        <w:rPr>
          <w:rStyle w:val="1sttierA"/>
        </w:rPr>
        <w:t>3.</w:t>
      </w:r>
      <w:r w:rsidR="00EE6D32" w:rsidRPr="001774B5">
        <w:rPr>
          <w:rStyle w:val="1sttierA"/>
        </w:rPr>
        <w:tab/>
      </w:r>
      <w:r w:rsidRPr="001774B5">
        <w:rPr>
          <w:rStyle w:val="1sttierA"/>
        </w:rPr>
        <w:t xml:space="preserve">NONDUPLICATION, CONSULTATIONS, </w:t>
      </w:r>
      <w:smartTag w:uri="urn:schemas-microsoft-com:office:smarttags" w:element="stockticker">
        <w:r w:rsidRPr="001774B5">
          <w:rPr>
            <w:rStyle w:val="1sttierA"/>
          </w:rPr>
          <w:t>AND</w:t>
        </w:r>
      </w:smartTag>
      <w:r w:rsidRPr="001774B5">
        <w:rPr>
          <w:rStyle w:val="1sttierA"/>
        </w:rPr>
        <w:t xml:space="preserve"> OTHER COLLECTION CRITERIA</w:t>
      </w:r>
    </w:p>
    <w:p w:rsidR="00D60A82" w:rsidRPr="001774B5" w:rsidRDefault="00D60A82" w:rsidP="00EE6D32">
      <w:pPr>
        <w:keepNext/>
        <w:keepLines/>
        <w:widowControl/>
        <w:rPr>
          <w:rStyle w:val="1sttierA"/>
        </w:rPr>
      </w:pPr>
    </w:p>
    <w:p w:rsidR="00D60A82" w:rsidRPr="001774B5" w:rsidRDefault="00D60A82" w:rsidP="00540A02">
      <w:pPr>
        <w:keepLines/>
        <w:widowControl/>
        <w:ind w:left="360"/>
      </w:pPr>
      <w:r w:rsidRPr="001774B5">
        <w:rPr>
          <w:b/>
          <w:bCs/>
        </w:rPr>
        <w:t>3(a</w:t>
      </w:r>
      <w:proofErr w:type="gramStart"/>
      <w:r w:rsidRPr="001774B5">
        <w:rPr>
          <w:b/>
          <w:bCs/>
        </w:rPr>
        <w:t xml:space="preserve">) </w:t>
      </w:r>
      <w:r w:rsidR="00061874" w:rsidRPr="001774B5">
        <w:rPr>
          <w:b/>
          <w:bCs/>
        </w:rPr>
        <w:t xml:space="preserve"> </w:t>
      </w:r>
      <w:proofErr w:type="spellStart"/>
      <w:r w:rsidRPr="001774B5">
        <w:rPr>
          <w:b/>
          <w:bCs/>
        </w:rPr>
        <w:t>Nonduplication</w:t>
      </w:r>
      <w:proofErr w:type="spellEnd"/>
      <w:proofErr w:type="gramEnd"/>
    </w:p>
    <w:p w:rsidR="00D60A82" w:rsidRPr="001774B5" w:rsidRDefault="00D60A82" w:rsidP="00EE6D32">
      <w:pPr>
        <w:widowControl/>
      </w:pPr>
    </w:p>
    <w:p w:rsidR="00D60A82" w:rsidRPr="001774B5" w:rsidRDefault="00D60A82" w:rsidP="00EE6D32">
      <w:pPr>
        <w:widowControl/>
      </w:pPr>
      <w:r w:rsidRPr="001774B5">
        <w:rPr>
          <w:b/>
          <w:bCs/>
        </w:rPr>
        <w:t>Emission Reporting Requirements</w:t>
      </w:r>
    </w:p>
    <w:p w:rsidR="00D60A82" w:rsidRPr="001774B5" w:rsidRDefault="00D60A82" w:rsidP="00EE6D32">
      <w:pPr>
        <w:widowControl/>
      </w:pPr>
    </w:p>
    <w:p w:rsidR="00D60A82" w:rsidRPr="001774B5" w:rsidRDefault="00D60A82" w:rsidP="00EE6D32">
      <w:pPr>
        <w:widowControl/>
        <w:ind w:firstLine="720"/>
      </w:pPr>
      <w:r w:rsidRPr="001774B5">
        <w:t xml:space="preserve">EPA will allow the direct reporting of point source data from sources to EPA to satisfy this requirement if the sources are subject to the monitoring and reporting requirements of 40 </w:t>
      </w:r>
      <w:smartTag w:uri="urn:schemas-microsoft-com:office:smarttags" w:element="stockticker">
        <w:r w:rsidRPr="001774B5">
          <w:t>CFR</w:t>
        </w:r>
      </w:smartTag>
      <w:r w:rsidRPr="001774B5">
        <w:t xml:space="preserve"> Part 75</w:t>
      </w:r>
      <w:r w:rsidR="00617BBA" w:rsidRPr="001774B5">
        <w:t xml:space="preserve">. </w:t>
      </w:r>
      <w:r w:rsidRPr="001774B5">
        <w:t xml:space="preserve">The direct reporting of data from sources to EPA will minimize the reporting burden on </w:t>
      </w:r>
      <w:r w:rsidR="00C86612">
        <w:t>State</w:t>
      </w:r>
      <w:r w:rsidRPr="001774B5">
        <w:t>s</w:t>
      </w:r>
      <w:r w:rsidR="00617BBA" w:rsidRPr="001774B5">
        <w:t xml:space="preserve">. </w:t>
      </w:r>
      <w:r w:rsidRPr="001774B5">
        <w:t>Also, direct reporting will avoid duplication of effort for sources subject to the Part 75 requirements.</w:t>
      </w:r>
    </w:p>
    <w:p w:rsidR="00D60A82" w:rsidRPr="001774B5" w:rsidRDefault="00D60A82" w:rsidP="00EE6D32">
      <w:pPr>
        <w:widowControl/>
      </w:pPr>
    </w:p>
    <w:p w:rsidR="00D60A82" w:rsidRPr="001774B5" w:rsidRDefault="00D60A82" w:rsidP="00EE6D32">
      <w:pPr>
        <w:widowControl/>
        <w:rPr>
          <w:b/>
          <w:bCs/>
        </w:rPr>
      </w:pPr>
      <w:r w:rsidRPr="001774B5">
        <w:rPr>
          <w:b/>
          <w:bCs/>
        </w:rPr>
        <w:t>Emission Trading Requirements</w:t>
      </w:r>
    </w:p>
    <w:p w:rsidR="00D60A82" w:rsidRPr="001774B5" w:rsidRDefault="00D60A82" w:rsidP="00EE6D32">
      <w:pPr>
        <w:widowControl/>
      </w:pPr>
    </w:p>
    <w:p w:rsidR="00D60A82" w:rsidRPr="001774B5" w:rsidRDefault="00D60A82" w:rsidP="00EE6D32">
      <w:pPr>
        <w:widowControl/>
        <w:ind w:firstLine="720"/>
      </w:pPr>
      <w:r w:rsidRPr="001774B5">
        <w:t xml:space="preserve">Reporting requirements for affected sources for the CAIR </w:t>
      </w:r>
      <w:proofErr w:type="spellStart"/>
      <w:r w:rsidRPr="001774B5">
        <w:t>NO</w:t>
      </w:r>
      <w:r w:rsidR="0031501F" w:rsidRPr="001774B5">
        <w:rPr>
          <w:vertAlign w:val="subscript"/>
        </w:rPr>
        <w:t>x</w:t>
      </w:r>
      <w:proofErr w:type="spellEnd"/>
      <w:r w:rsidRPr="001774B5">
        <w:t xml:space="preserve"> and SO</w:t>
      </w:r>
      <w:r w:rsidRPr="001774B5">
        <w:rPr>
          <w:vertAlign w:val="subscript"/>
        </w:rPr>
        <w:t>2</w:t>
      </w:r>
      <w:r w:rsidRPr="001774B5">
        <w:t xml:space="preserve"> Trading Programs are integrated with existing Part 75 reporting formats</w:t>
      </w:r>
      <w:r w:rsidR="00617BBA" w:rsidRPr="001774B5">
        <w:t xml:space="preserve">. </w:t>
      </w:r>
      <w:r w:rsidRPr="001774B5">
        <w:t xml:space="preserve">The reporting formats are currently used by Acid Rain Program units under Title IV of the Act and </w:t>
      </w:r>
      <w:r w:rsidR="00836C50" w:rsidRPr="001774B5">
        <w:t xml:space="preserve">through 2008 </w:t>
      </w:r>
      <w:r w:rsidR="004F51CA" w:rsidRPr="001774B5">
        <w:t xml:space="preserve">are being </w:t>
      </w:r>
      <w:r w:rsidR="00836C50" w:rsidRPr="001774B5">
        <w:t xml:space="preserve">used by </w:t>
      </w:r>
      <w:r w:rsidRPr="001774B5">
        <w:t xml:space="preserve">units subject to the </w:t>
      </w:r>
      <w:proofErr w:type="spellStart"/>
      <w:r w:rsidRPr="001774B5">
        <w:t>NO</w:t>
      </w:r>
      <w:r w:rsidR="0031501F" w:rsidRPr="001774B5">
        <w:rPr>
          <w:vertAlign w:val="subscript"/>
        </w:rPr>
        <w:t>x</w:t>
      </w:r>
      <w:proofErr w:type="spellEnd"/>
      <w:r w:rsidRPr="001774B5">
        <w:t xml:space="preserve"> SIP Call Trading Program implemented under Title I of the Act</w:t>
      </w:r>
      <w:r w:rsidR="00617BBA" w:rsidRPr="001774B5">
        <w:t xml:space="preserve">. </w:t>
      </w:r>
      <w:r w:rsidRPr="001774B5">
        <w:t xml:space="preserve">Thus, for units subject to Acid Rain or the CAIR quarterly reporting requirements, or both, only one submission will need to be made on a quarterly basis.  </w:t>
      </w:r>
    </w:p>
    <w:p w:rsidR="00D60A82" w:rsidRPr="001774B5" w:rsidRDefault="00D60A82" w:rsidP="00EE6D32">
      <w:pPr>
        <w:widowControl/>
      </w:pPr>
    </w:p>
    <w:p w:rsidR="00D60A82" w:rsidRPr="001774B5" w:rsidRDefault="00D60A82" w:rsidP="00C4470D">
      <w:pPr>
        <w:keepNext/>
        <w:keepLines/>
        <w:widowControl/>
        <w:ind w:firstLine="360"/>
        <w:rPr>
          <w:rStyle w:val="2ndtier1"/>
        </w:rPr>
      </w:pPr>
      <w:r w:rsidRPr="001774B5">
        <w:rPr>
          <w:rStyle w:val="2ndtier1"/>
        </w:rPr>
        <w:lastRenderedPageBreak/>
        <w:t>3(b</w:t>
      </w:r>
      <w:proofErr w:type="gramStart"/>
      <w:r w:rsidRPr="001774B5">
        <w:rPr>
          <w:rStyle w:val="2ndtier1"/>
        </w:rPr>
        <w:t>)</w:t>
      </w:r>
      <w:r w:rsidR="00061874" w:rsidRPr="001774B5">
        <w:rPr>
          <w:rStyle w:val="2ndtier1"/>
        </w:rPr>
        <w:t xml:space="preserve"> </w:t>
      </w:r>
      <w:r w:rsidRPr="001774B5">
        <w:rPr>
          <w:rStyle w:val="2ndtier1"/>
        </w:rPr>
        <w:t xml:space="preserve"> Public</w:t>
      </w:r>
      <w:proofErr w:type="gramEnd"/>
      <w:r w:rsidRPr="001774B5">
        <w:rPr>
          <w:rStyle w:val="2ndtier1"/>
        </w:rPr>
        <w:t xml:space="preserve"> Notice Required Prior to ICR Submission to OMB</w:t>
      </w:r>
    </w:p>
    <w:p w:rsidR="00D60A82" w:rsidRPr="001774B5" w:rsidRDefault="00D60A82" w:rsidP="00C4470D">
      <w:pPr>
        <w:keepNext/>
        <w:keepLines/>
        <w:widowControl/>
        <w:rPr>
          <w:rStyle w:val="2ndtier1"/>
        </w:rPr>
      </w:pPr>
    </w:p>
    <w:p w:rsidR="00C13558" w:rsidRPr="001774B5" w:rsidRDefault="00C13558" w:rsidP="00C4470D">
      <w:pPr>
        <w:keepLines/>
        <w:ind w:firstLine="720"/>
      </w:pPr>
      <w:r w:rsidRPr="001774B5">
        <w:t xml:space="preserve">An announcement of the public comment period for this ICR renewal was published in the </w:t>
      </w:r>
      <w:r w:rsidRPr="001774B5">
        <w:rPr>
          <w:u w:val="single"/>
        </w:rPr>
        <w:t>Federal Register</w:t>
      </w:r>
      <w:r w:rsidRPr="001774B5">
        <w:t xml:space="preserve"> (7</w:t>
      </w:r>
      <w:r w:rsidR="00A35C63">
        <w:t>7</w:t>
      </w:r>
      <w:r w:rsidRPr="001774B5">
        <w:t xml:space="preserve"> FR </w:t>
      </w:r>
      <w:r w:rsidR="00A35C63">
        <w:t>1930</w:t>
      </w:r>
      <w:r w:rsidRPr="001774B5">
        <w:t>) on</w:t>
      </w:r>
      <w:r w:rsidR="00654942">
        <w:t xml:space="preserve"> </w:t>
      </w:r>
      <w:r w:rsidR="00A35C63">
        <w:t>January 12, 2012</w:t>
      </w:r>
      <w:r w:rsidR="00617BBA" w:rsidRPr="001774B5">
        <w:t xml:space="preserve">. </w:t>
      </w:r>
      <w:r w:rsidRPr="001774B5">
        <w:t xml:space="preserve">In addition, all documents associated with this ICR renewal are accessible on </w:t>
      </w:r>
      <w:hyperlink r:id="rId10" w:history="1">
        <w:r w:rsidRPr="001774B5">
          <w:rPr>
            <w:rStyle w:val="Hyperlink"/>
          </w:rPr>
          <w:t>www.regulations.gov</w:t>
        </w:r>
      </w:hyperlink>
      <w:r w:rsidRPr="001774B5">
        <w:t xml:space="preserve">, under Docket # </w:t>
      </w:r>
      <w:r w:rsidR="00E24D84" w:rsidRPr="001774B5">
        <w:t>EPA-HQ-OAR-200</w:t>
      </w:r>
      <w:r w:rsidR="00473BB5">
        <w:t>3</w:t>
      </w:r>
      <w:r w:rsidR="00E24D84" w:rsidRPr="001774B5">
        <w:t>-0</w:t>
      </w:r>
      <w:r w:rsidR="00473BB5">
        <w:t>053</w:t>
      </w:r>
      <w:r w:rsidR="00617BBA">
        <w:t xml:space="preserve">. </w:t>
      </w:r>
      <w:r w:rsidR="00A35C63">
        <w:t>One non substantial comment was</w:t>
      </w:r>
      <w:r w:rsidR="00654942">
        <w:t xml:space="preserve"> received in response to this ICR renewal</w:t>
      </w:r>
      <w:r w:rsidRPr="001774B5">
        <w:rPr>
          <w:rStyle w:val="defaultlabelstyle6"/>
          <w:rFonts w:ascii="Times New Roman" w:hAnsi="Times New Roman"/>
        </w:rPr>
        <w:t>.</w:t>
      </w:r>
      <w:r w:rsidR="00654942">
        <w:rPr>
          <w:rStyle w:val="defaultlabelstyle6"/>
          <w:rFonts w:ascii="Times New Roman" w:hAnsi="Times New Roman"/>
        </w:rPr>
        <w:t xml:space="preserve"> </w:t>
      </w:r>
    </w:p>
    <w:p w:rsidR="00D60A82" w:rsidRPr="001774B5" w:rsidRDefault="00C13558" w:rsidP="00EE6D32">
      <w:pPr>
        <w:widowControl/>
      </w:pPr>
      <w:r w:rsidRPr="001774B5">
        <w:t xml:space="preserve">  </w:t>
      </w:r>
    </w:p>
    <w:p w:rsidR="00D60A82" w:rsidRPr="001774B5" w:rsidRDefault="00D60A82" w:rsidP="00540A02">
      <w:pPr>
        <w:keepNext/>
        <w:keepLines/>
        <w:widowControl/>
        <w:ind w:firstLine="360"/>
        <w:rPr>
          <w:rStyle w:val="2ndtier1"/>
        </w:rPr>
      </w:pPr>
      <w:r w:rsidRPr="001774B5">
        <w:rPr>
          <w:rStyle w:val="2ndtier1"/>
        </w:rPr>
        <w:t>3(c</w:t>
      </w:r>
      <w:proofErr w:type="gramStart"/>
      <w:r w:rsidRPr="001774B5">
        <w:rPr>
          <w:rStyle w:val="2ndtier1"/>
        </w:rPr>
        <w:t xml:space="preserve">) </w:t>
      </w:r>
      <w:r w:rsidR="00061874" w:rsidRPr="001774B5">
        <w:rPr>
          <w:rStyle w:val="2ndtier1"/>
        </w:rPr>
        <w:t xml:space="preserve"> </w:t>
      </w:r>
      <w:r w:rsidRPr="001774B5">
        <w:rPr>
          <w:rStyle w:val="2ndtier1"/>
        </w:rPr>
        <w:t>Consultations</w:t>
      </w:r>
      <w:proofErr w:type="gramEnd"/>
      <w:r w:rsidR="006702DE" w:rsidRPr="001774B5">
        <w:rPr>
          <w:rStyle w:val="2ndtier1"/>
        </w:rPr>
        <w:t xml:space="preserve">  </w:t>
      </w:r>
    </w:p>
    <w:p w:rsidR="00D60A82" w:rsidRPr="001774B5" w:rsidRDefault="00D60A82" w:rsidP="00EE6D32">
      <w:pPr>
        <w:keepNext/>
        <w:keepLines/>
        <w:widowControl/>
        <w:rPr>
          <w:rStyle w:val="2ndtier1"/>
        </w:rPr>
      </w:pPr>
    </w:p>
    <w:p w:rsidR="00D60A82" w:rsidRPr="001774B5" w:rsidRDefault="00D60A82" w:rsidP="00EE6D32">
      <w:pPr>
        <w:keepLines/>
        <w:widowControl/>
        <w:rPr>
          <w:b/>
          <w:bCs/>
        </w:rPr>
      </w:pPr>
      <w:r w:rsidRPr="001774B5">
        <w:rPr>
          <w:b/>
          <w:bCs/>
        </w:rPr>
        <w:t>Emission Reporting Requirements</w:t>
      </w:r>
    </w:p>
    <w:p w:rsidR="00D60A82" w:rsidRPr="001774B5" w:rsidRDefault="00D60A82" w:rsidP="00EE6D32">
      <w:pPr>
        <w:widowControl/>
        <w:rPr>
          <w:b/>
          <w:bCs/>
        </w:rPr>
      </w:pPr>
    </w:p>
    <w:p w:rsidR="00D60A82" w:rsidRDefault="00836C50" w:rsidP="00EE6D32">
      <w:pPr>
        <w:widowControl/>
        <w:ind w:firstLine="720"/>
      </w:pPr>
      <w:r w:rsidRPr="001774B5">
        <w:t>During the development of</w:t>
      </w:r>
      <w:r w:rsidR="00D60A82" w:rsidRPr="001774B5">
        <w:t xml:space="preserve"> emission reporting requirements for CAIR discussions </w:t>
      </w:r>
      <w:r w:rsidRPr="001774B5">
        <w:t>were</w:t>
      </w:r>
      <w:r w:rsidR="00D60A82" w:rsidRPr="001774B5">
        <w:t xml:space="preserve"> held with STAPPA/ALAPCO to clarify EPA</w:t>
      </w:r>
      <w:smartTag w:uri="urn:schemas-microsoft-com:office:smarttags" w:element="PersonName">
        <w:r w:rsidR="001774B5">
          <w:t>'</w:t>
        </w:r>
      </w:smartTag>
      <w:r w:rsidR="00D60A82" w:rsidRPr="001774B5">
        <w:t>s logic in developing the rule and to answer questions</w:t>
      </w:r>
      <w:r w:rsidR="00617BBA" w:rsidRPr="001774B5">
        <w:t>.</w:t>
      </w:r>
      <w:r w:rsidR="00617BBA">
        <w:t xml:space="preserve"> </w:t>
      </w:r>
      <w:r w:rsidR="00BE399E">
        <w:t>The Agency has provided seven implementation workshops for state personnel and five additional workshops for sources, both of which were well attended with up to 200 participants</w:t>
      </w:r>
      <w:r w:rsidR="00617BBA">
        <w:t xml:space="preserve">. </w:t>
      </w:r>
      <w:r w:rsidR="00BE399E">
        <w:t>Average attendance at these workshops has been about 110 stakeholders</w:t>
      </w:r>
      <w:r w:rsidR="00617BBA">
        <w:t xml:space="preserve">. </w:t>
      </w:r>
      <w:r w:rsidR="00BE399E">
        <w:t>In addition, EPA holds bimonthly consultations with STAPPA as well as monthly monitoring conference calls with states, and the CAIR rule and related issues are an important component of those c</w:t>
      </w:r>
      <w:r w:rsidR="004347DF">
        <w:t xml:space="preserve">onsultations and meetings.  </w:t>
      </w:r>
    </w:p>
    <w:p w:rsidR="00F04BB4" w:rsidRPr="001774B5" w:rsidRDefault="00F04BB4" w:rsidP="00EE6D32">
      <w:pPr>
        <w:widowControl/>
        <w:ind w:firstLine="720"/>
        <w:rPr>
          <w:b/>
          <w:bCs/>
        </w:rPr>
      </w:pPr>
    </w:p>
    <w:p w:rsidR="00D60A82" w:rsidRPr="001774B5" w:rsidRDefault="00D60A82" w:rsidP="00EE6D32">
      <w:pPr>
        <w:widowControl/>
        <w:rPr>
          <w:b/>
          <w:bCs/>
        </w:rPr>
      </w:pPr>
      <w:r w:rsidRPr="001774B5">
        <w:rPr>
          <w:b/>
          <w:bCs/>
        </w:rPr>
        <w:t>Emission Trading Requirements</w:t>
      </w:r>
    </w:p>
    <w:p w:rsidR="00D60A82" w:rsidRPr="001774B5" w:rsidRDefault="00D60A82" w:rsidP="00EE6D32">
      <w:pPr>
        <w:widowControl/>
        <w:rPr>
          <w:b/>
          <w:bCs/>
        </w:rPr>
      </w:pPr>
    </w:p>
    <w:p w:rsidR="00D60A82" w:rsidRPr="001774B5" w:rsidRDefault="00D60A82" w:rsidP="00EE6D32">
      <w:pPr>
        <w:widowControl/>
        <w:ind w:firstLine="720"/>
      </w:pPr>
      <w:r w:rsidRPr="001774B5">
        <w:t>The requirements for the CAIR Trading Programs have been developed using both the methodology found in existing trading programs as well as consultations with interested parties</w:t>
      </w:r>
      <w:r w:rsidR="00617BBA" w:rsidRPr="001774B5">
        <w:t xml:space="preserve">. </w:t>
      </w:r>
      <w:r w:rsidRPr="001774B5">
        <w:t>EPA built on the cap and trade strategy used in the Acid Rain Program, Ozone Transport Commission</w:t>
      </w:r>
      <w:smartTag w:uri="urn:schemas-microsoft-com:office:smarttags" w:element="PersonName">
        <w:r w:rsidR="001774B5">
          <w:t>'</w:t>
        </w:r>
      </w:smartTag>
      <w:r w:rsidRPr="001774B5">
        <w:t xml:space="preserve">s </w:t>
      </w:r>
      <w:proofErr w:type="spellStart"/>
      <w:r w:rsidRPr="001774B5">
        <w:t>NO</w:t>
      </w:r>
      <w:r w:rsidR="0031501F" w:rsidRPr="001774B5">
        <w:rPr>
          <w:vertAlign w:val="subscript"/>
        </w:rPr>
        <w:t>x</w:t>
      </w:r>
      <w:proofErr w:type="spellEnd"/>
      <w:r w:rsidRPr="001774B5">
        <w:t xml:space="preserve"> Budget Program, and the </w:t>
      </w:r>
      <w:proofErr w:type="spellStart"/>
      <w:r w:rsidRPr="001774B5">
        <w:t>NO</w:t>
      </w:r>
      <w:r w:rsidR="0031501F" w:rsidRPr="001774B5">
        <w:rPr>
          <w:vertAlign w:val="subscript"/>
        </w:rPr>
        <w:t>x</w:t>
      </w:r>
      <w:proofErr w:type="spellEnd"/>
      <w:r w:rsidRPr="001774B5">
        <w:t xml:space="preserve"> SIP Call.</w:t>
      </w:r>
    </w:p>
    <w:p w:rsidR="00F562AB" w:rsidRPr="001774B5" w:rsidRDefault="00F562AB" w:rsidP="00EE6D32">
      <w:pPr>
        <w:widowControl/>
        <w:ind w:firstLine="720"/>
      </w:pPr>
    </w:p>
    <w:p w:rsidR="00D60A82" w:rsidRPr="001774B5" w:rsidRDefault="00D60A82" w:rsidP="00EE6D32">
      <w:pPr>
        <w:widowControl/>
        <w:ind w:firstLine="720"/>
      </w:pPr>
      <w:r w:rsidRPr="001774B5">
        <w:t xml:space="preserve">EPA held two workshops with </w:t>
      </w:r>
      <w:r w:rsidR="00C86612">
        <w:t>State</w:t>
      </w:r>
      <w:r w:rsidRPr="001774B5">
        <w:t xml:space="preserve">s in the </w:t>
      </w:r>
      <w:proofErr w:type="spellStart"/>
      <w:r w:rsidRPr="001774B5">
        <w:t>NO</w:t>
      </w:r>
      <w:r w:rsidR="0031501F" w:rsidRPr="001774B5">
        <w:rPr>
          <w:vertAlign w:val="subscript"/>
        </w:rPr>
        <w:t>x</w:t>
      </w:r>
      <w:proofErr w:type="spellEnd"/>
      <w:r w:rsidRPr="001774B5">
        <w:t xml:space="preserve"> SIP Call or OTC programs to discuss lessons learned in those programs</w:t>
      </w:r>
      <w:r w:rsidR="00617BBA" w:rsidRPr="001774B5">
        <w:t xml:space="preserve">. </w:t>
      </w:r>
      <w:r w:rsidRPr="001774B5">
        <w:t xml:space="preserve">Additionally, EPA </w:t>
      </w:r>
      <w:r w:rsidR="009B322B" w:rsidRPr="001774B5">
        <w:t>has had</w:t>
      </w:r>
      <w:r w:rsidRPr="001774B5">
        <w:t xml:space="preserve"> frequent interaction with affected sources and </w:t>
      </w:r>
      <w:r w:rsidR="00C86612">
        <w:t>State</w:t>
      </w:r>
      <w:r w:rsidRPr="001774B5">
        <w:t xml:space="preserve">s in the course of implementing the Acid Rain and </w:t>
      </w:r>
      <w:proofErr w:type="spellStart"/>
      <w:r w:rsidRPr="001774B5">
        <w:t>NO</w:t>
      </w:r>
      <w:r w:rsidR="0031501F" w:rsidRPr="001774B5">
        <w:rPr>
          <w:vertAlign w:val="subscript"/>
        </w:rPr>
        <w:t>x</w:t>
      </w:r>
      <w:proofErr w:type="spellEnd"/>
      <w:r w:rsidRPr="001774B5">
        <w:t xml:space="preserve"> SIP Call Trading Programs</w:t>
      </w:r>
      <w:r w:rsidR="00617BBA" w:rsidRPr="001774B5">
        <w:t xml:space="preserve">. </w:t>
      </w:r>
      <w:r w:rsidRPr="001774B5">
        <w:t xml:space="preserve">EPA has received comments following the workshops and through these less formal interactions and considered and incorporated those comments into the final </w:t>
      </w:r>
      <w:r w:rsidR="009B322B" w:rsidRPr="001774B5">
        <w:t xml:space="preserve">CAIR </w:t>
      </w:r>
      <w:r w:rsidRPr="001774B5">
        <w:t xml:space="preserve">rule </w:t>
      </w:r>
      <w:r w:rsidR="009B322B" w:rsidRPr="001774B5">
        <w:t>package</w:t>
      </w:r>
      <w:r w:rsidR="00617BBA" w:rsidRPr="001774B5">
        <w:t xml:space="preserve">. </w:t>
      </w:r>
      <w:r w:rsidR="009E6253">
        <w:t>More r</w:t>
      </w:r>
      <w:r w:rsidR="009B322B" w:rsidRPr="001774B5">
        <w:t>ecently, EPA held numerous consultations with stakeholders as EPA implement</w:t>
      </w:r>
      <w:r w:rsidR="009E6253">
        <w:t>ed</w:t>
      </w:r>
      <w:r w:rsidR="009B322B" w:rsidRPr="001774B5">
        <w:t xml:space="preserve"> the </w:t>
      </w:r>
      <w:r w:rsidR="009E6253">
        <w:t>ECMPS</w:t>
      </w:r>
      <w:r w:rsidR="009B322B" w:rsidRPr="001774B5">
        <w:t xml:space="preserve"> data system </w:t>
      </w:r>
      <w:r w:rsidR="009E6253">
        <w:t>for</w:t>
      </w:r>
      <w:r w:rsidR="009B322B" w:rsidRPr="001774B5">
        <w:t xml:space="preserve"> Part 75 reporting </w:t>
      </w:r>
      <w:r w:rsidR="009E6253">
        <w:t>beginning</w:t>
      </w:r>
      <w:r w:rsidR="009B322B" w:rsidRPr="001774B5">
        <w:t xml:space="preserve"> of January 1, 2009</w:t>
      </w:r>
      <w:r w:rsidR="00617BBA" w:rsidRPr="001774B5">
        <w:t xml:space="preserve">. </w:t>
      </w:r>
      <w:r w:rsidR="009B322B" w:rsidRPr="001774B5">
        <w:t>EPA has also held stakeholder workshops on CAIR implementation</w:t>
      </w:r>
      <w:r w:rsidR="00617BBA" w:rsidRPr="001774B5">
        <w:t xml:space="preserve">. </w:t>
      </w:r>
      <w:r w:rsidR="009B322B" w:rsidRPr="001774B5">
        <w:t>EPA has considered and accounted for those interactions in preparing this renewal ICR.</w:t>
      </w:r>
    </w:p>
    <w:p w:rsidR="00D60A82" w:rsidRPr="001774B5" w:rsidRDefault="00D60A82" w:rsidP="00EE6D32">
      <w:pPr>
        <w:widowControl/>
        <w:ind w:firstLine="720"/>
      </w:pPr>
    </w:p>
    <w:p w:rsidR="00D60A82" w:rsidRPr="001774B5" w:rsidRDefault="00D60A82" w:rsidP="00EE6D32">
      <w:pPr>
        <w:widowControl/>
        <w:ind w:firstLine="720"/>
      </w:pPr>
      <w:r w:rsidRPr="001774B5">
        <w:t xml:space="preserve">Finally, as part of updating the </w:t>
      </w:r>
      <w:r w:rsidR="00836C50" w:rsidRPr="001774B5">
        <w:t xml:space="preserve">previous </w:t>
      </w:r>
      <w:r w:rsidRPr="001774B5">
        <w:t>ICR for the Acid Rain Program (Part 75) monitoring requirements, EPA contacted various affected parties to gather information on CEM capital costs, CEM operation and maintenance costs, fuel meter capital costs, and CEM/</w:t>
      </w:r>
      <w:proofErr w:type="spellStart"/>
      <w:r w:rsidRPr="001774B5">
        <w:t>fuelmeter</w:t>
      </w:r>
      <w:proofErr w:type="spellEnd"/>
      <w:r w:rsidRPr="001774B5">
        <w:t xml:space="preserve"> testing costs</w:t>
      </w:r>
      <w:r w:rsidR="00617BBA" w:rsidRPr="001774B5">
        <w:t xml:space="preserve">. </w:t>
      </w:r>
      <w:r w:rsidRPr="001774B5">
        <w:t>That information has been used in this ICR where appropriate.</w:t>
      </w:r>
    </w:p>
    <w:p w:rsidR="00D60A82" w:rsidRPr="001774B5" w:rsidRDefault="00D60A82" w:rsidP="00EE6D32">
      <w:pPr>
        <w:widowControl/>
        <w:ind w:firstLine="424"/>
      </w:pPr>
    </w:p>
    <w:p w:rsidR="00D60A82" w:rsidRPr="001774B5" w:rsidRDefault="00D60A82" w:rsidP="00C4470D">
      <w:pPr>
        <w:keepNext/>
        <w:keepLines/>
        <w:widowControl/>
        <w:ind w:firstLine="360"/>
        <w:rPr>
          <w:rStyle w:val="2ndtier1"/>
        </w:rPr>
      </w:pPr>
      <w:r w:rsidRPr="001774B5">
        <w:rPr>
          <w:rStyle w:val="2ndtier1"/>
        </w:rPr>
        <w:t>3(d</w:t>
      </w:r>
      <w:proofErr w:type="gramStart"/>
      <w:r w:rsidRPr="001774B5">
        <w:rPr>
          <w:rStyle w:val="2ndtier1"/>
        </w:rPr>
        <w:t xml:space="preserve">) </w:t>
      </w:r>
      <w:r w:rsidR="00061874" w:rsidRPr="001774B5">
        <w:rPr>
          <w:rStyle w:val="2ndtier1"/>
        </w:rPr>
        <w:t xml:space="preserve"> </w:t>
      </w:r>
      <w:r w:rsidRPr="001774B5">
        <w:rPr>
          <w:rStyle w:val="2ndtier1"/>
        </w:rPr>
        <w:t>Effects</w:t>
      </w:r>
      <w:proofErr w:type="gramEnd"/>
      <w:r w:rsidRPr="001774B5">
        <w:rPr>
          <w:rStyle w:val="2ndtier1"/>
        </w:rPr>
        <w:t xml:space="preserve"> of Less Frequent Collection</w:t>
      </w:r>
    </w:p>
    <w:p w:rsidR="00D60A82" w:rsidRPr="001774B5" w:rsidRDefault="00D60A82" w:rsidP="00C4470D">
      <w:pPr>
        <w:keepNext/>
        <w:keepLines/>
        <w:widowControl/>
        <w:rPr>
          <w:rStyle w:val="2ndtier1"/>
        </w:rPr>
      </w:pPr>
    </w:p>
    <w:p w:rsidR="00D60A82" w:rsidRPr="001774B5" w:rsidRDefault="00D60A82" w:rsidP="00C4470D">
      <w:pPr>
        <w:keepNext/>
        <w:keepLines/>
        <w:widowControl/>
      </w:pPr>
      <w:r w:rsidRPr="001774B5">
        <w:rPr>
          <w:b/>
          <w:bCs/>
        </w:rPr>
        <w:t>Emission Reporting Requirements</w:t>
      </w:r>
      <w:r w:rsidRPr="001774B5">
        <w:tab/>
      </w:r>
    </w:p>
    <w:p w:rsidR="00076F09" w:rsidRPr="001774B5" w:rsidRDefault="00076F09" w:rsidP="00C4470D">
      <w:pPr>
        <w:keepNext/>
        <w:widowControl/>
        <w:ind w:firstLine="720"/>
      </w:pPr>
      <w:r w:rsidRPr="001774B5">
        <w:t xml:space="preserve">Quarterly collections of emissions data allows the opportunity to check data for errors and provide rapid feedback on needed adjustments to data collection systems, and thereby promotes </w:t>
      </w:r>
      <w:r w:rsidRPr="001774B5">
        <w:lastRenderedPageBreak/>
        <w:t>accurate and reliable emissions data</w:t>
      </w:r>
      <w:r w:rsidR="00617BBA" w:rsidRPr="001774B5">
        <w:t xml:space="preserve">. </w:t>
      </w:r>
      <w:r w:rsidRPr="001774B5">
        <w:t xml:space="preserve">For this same reason, existing federal and </w:t>
      </w:r>
      <w:r>
        <w:t>State</w:t>
      </w:r>
      <w:r w:rsidRPr="001774B5">
        <w:t xml:space="preserve"> emission monitoring programs often require quarterly reporting, or in some cases, monthly</w:t>
      </w:r>
      <w:r w:rsidR="00617BBA" w:rsidRPr="001774B5">
        <w:t xml:space="preserve">. </w:t>
      </w:r>
      <w:r w:rsidRPr="001774B5">
        <w:t>Less frequent collection, such as semi-annually or annually, would increase the amount of preparation and review time at the end of the reporting period both for regulated sources and for EPA</w:t>
      </w:r>
      <w:r w:rsidR="00617BBA" w:rsidRPr="001774B5">
        <w:t xml:space="preserve">. </w:t>
      </w:r>
      <w:r w:rsidRPr="001774B5">
        <w:t>This would slow down the process for the verification of compliance.</w:t>
      </w:r>
    </w:p>
    <w:p w:rsidR="00C86612" w:rsidRDefault="00C86612" w:rsidP="00EE6D32">
      <w:pPr>
        <w:widowControl/>
        <w:rPr>
          <w:b/>
          <w:bCs/>
        </w:rPr>
      </w:pPr>
    </w:p>
    <w:p w:rsidR="00D60A82" w:rsidRPr="001774B5" w:rsidRDefault="00D60A82" w:rsidP="00C86612">
      <w:pPr>
        <w:keepNext/>
        <w:widowControl/>
        <w:rPr>
          <w:b/>
          <w:bCs/>
        </w:rPr>
      </w:pPr>
      <w:r w:rsidRPr="001774B5">
        <w:rPr>
          <w:b/>
          <w:bCs/>
        </w:rPr>
        <w:t>Emission Trading Requirements</w:t>
      </w:r>
    </w:p>
    <w:p w:rsidR="00F562AB" w:rsidRPr="001774B5" w:rsidRDefault="00F562AB" w:rsidP="00EE6D32">
      <w:pPr>
        <w:widowControl/>
      </w:pPr>
    </w:p>
    <w:p w:rsidR="00D60A82" w:rsidRPr="001774B5" w:rsidRDefault="00D60A82" w:rsidP="00EE6D32">
      <w:pPr>
        <w:widowControl/>
        <w:ind w:firstLine="720"/>
      </w:pPr>
      <w:r w:rsidRPr="001774B5">
        <w:t>Submittal of allowance trading information and emissions information on an annual basis provides necessary feedback on the requirements of the program, especially whether the program caps have been maintained</w:t>
      </w:r>
      <w:r w:rsidR="00617BBA" w:rsidRPr="001774B5">
        <w:t xml:space="preserve">. </w:t>
      </w:r>
      <w:r w:rsidRPr="001774B5">
        <w:t>If this information collection were not carried out annually for sources being controlled to meet the SO</w:t>
      </w:r>
      <w:r w:rsidRPr="001774B5">
        <w:rPr>
          <w:vertAlign w:val="subscript"/>
        </w:rPr>
        <w:t>2</w:t>
      </w:r>
      <w:r w:rsidRPr="001774B5">
        <w:t xml:space="preserve"> and </w:t>
      </w:r>
      <w:proofErr w:type="spellStart"/>
      <w:r w:rsidRPr="001774B5">
        <w:t>NO</w:t>
      </w:r>
      <w:r w:rsidR="0031501F" w:rsidRPr="001774B5">
        <w:rPr>
          <w:vertAlign w:val="subscript"/>
        </w:rPr>
        <w:t>x</w:t>
      </w:r>
      <w:proofErr w:type="spellEnd"/>
      <w:r w:rsidRPr="001774B5">
        <w:t xml:space="preserve"> budgets, EPA would not be able to verify that emission reductions necessary to meet each </w:t>
      </w:r>
      <w:r w:rsidR="00C86612">
        <w:t>State</w:t>
      </w:r>
      <w:r w:rsidR="00863632">
        <w:t>'</w:t>
      </w:r>
      <w:r w:rsidRPr="001774B5">
        <w:t>s SO</w:t>
      </w:r>
      <w:r w:rsidRPr="001774B5">
        <w:rPr>
          <w:vertAlign w:val="subscript"/>
        </w:rPr>
        <w:t>2</w:t>
      </w:r>
      <w:r w:rsidRPr="001774B5">
        <w:t xml:space="preserve"> and </w:t>
      </w:r>
      <w:proofErr w:type="spellStart"/>
      <w:r w:rsidRPr="001774B5">
        <w:t>NO</w:t>
      </w:r>
      <w:r w:rsidR="0031501F" w:rsidRPr="001774B5">
        <w:rPr>
          <w:vertAlign w:val="subscript"/>
        </w:rPr>
        <w:t>x</w:t>
      </w:r>
      <w:proofErr w:type="spellEnd"/>
      <w:r w:rsidRPr="001774B5">
        <w:t xml:space="preserve"> emission budgets were being achieved</w:t>
      </w:r>
      <w:r w:rsidR="00617BBA" w:rsidRPr="001774B5">
        <w:t xml:space="preserve">. </w:t>
      </w:r>
      <w:r w:rsidRPr="001774B5">
        <w:t>Because the SO</w:t>
      </w:r>
      <w:r w:rsidRPr="001774B5">
        <w:rPr>
          <w:vertAlign w:val="subscript"/>
        </w:rPr>
        <w:t>2</w:t>
      </w:r>
      <w:r w:rsidRPr="001774B5">
        <w:t xml:space="preserve"> and </w:t>
      </w:r>
      <w:proofErr w:type="spellStart"/>
      <w:r w:rsidRPr="001774B5">
        <w:t>NO</w:t>
      </w:r>
      <w:r w:rsidR="0031501F" w:rsidRPr="001774B5">
        <w:rPr>
          <w:vertAlign w:val="subscript"/>
        </w:rPr>
        <w:t>x</w:t>
      </w:r>
      <w:proofErr w:type="spellEnd"/>
      <w:r w:rsidRPr="001774B5">
        <w:t xml:space="preserve"> budgets prescribed have been deemed essential in order to aid downwind </w:t>
      </w:r>
      <w:r w:rsidR="00C86612">
        <w:t>State</w:t>
      </w:r>
      <w:r w:rsidRPr="001774B5">
        <w:t>s in attaining the NAAQS in a timely manner, data collected less frequently would be of little or no use.</w:t>
      </w:r>
    </w:p>
    <w:p w:rsidR="00D60A82" w:rsidRPr="001774B5" w:rsidRDefault="00D60A82" w:rsidP="00EE6D32">
      <w:pPr>
        <w:widowControl/>
        <w:ind w:firstLine="720"/>
      </w:pPr>
    </w:p>
    <w:p w:rsidR="00D60A82" w:rsidRPr="001774B5" w:rsidRDefault="00D60A82" w:rsidP="00540A02">
      <w:pPr>
        <w:keepNext/>
        <w:keepLines/>
        <w:widowControl/>
        <w:ind w:firstLine="360"/>
        <w:rPr>
          <w:rStyle w:val="2ndtier1"/>
        </w:rPr>
      </w:pPr>
      <w:r w:rsidRPr="001774B5">
        <w:rPr>
          <w:rStyle w:val="2ndtier1"/>
        </w:rPr>
        <w:t>3(e</w:t>
      </w:r>
      <w:proofErr w:type="gramStart"/>
      <w:r w:rsidRPr="001774B5">
        <w:rPr>
          <w:rStyle w:val="2ndtier1"/>
        </w:rPr>
        <w:t>)</w:t>
      </w:r>
      <w:r w:rsidR="00061874" w:rsidRPr="001774B5">
        <w:rPr>
          <w:rStyle w:val="2ndtier1"/>
        </w:rPr>
        <w:t xml:space="preserve"> </w:t>
      </w:r>
      <w:r w:rsidRPr="001774B5">
        <w:rPr>
          <w:rStyle w:val="2ndtier1"/>
        </w:rPr>
        <w:t xml:space="preserve"> General</w:t>
      </w:r>
      <w:proofErr w:type="gramEnd"/>
      <w:r w:rsidRPr="001774B5">
        <w:rPr>
          <w:rStyle w:val="2ndtier1"/>
        </w:rPr>
        <w:t xml:space="preserve"> Guidelines</w:t>
      </w:r>
    </w:p>
    <w:p w:rsidR="00D60A82" w:rsidRPr="001774B5" w:rsidRDefault="00D60A82" w:rsidP="00EE6D32">
      <w:pPr>
        <w:keepNext/>
        <w:keepLines/>
        <w:widowControl/>
        <w:rPr>
          <w:rStyle w:val="2ndtier1"/>
        </w:rPr>
      </w:pPr>
    </w:p>
    <w:p w:rsidR="00D60A82" w:rsidRPr="001774B5" w:rsidRDefault="00D60A82" w:rsidP="00CB3C9A">
      <w:pPr>
        <w:keepLines/>
        <w:widowControl/>
        <w:ind w:firstLine="720"/>
      </w:pPr>
      <w:r w:rsidRPr="001774B5">
        <w:t>This ICR does not violate any of OMB</w:t>
      </w:r>
      <w:r w:rsidR="00863632">
        <w:t>'</w:t>
      </w:r>
      <w:r w:rsidRPr="001774B5">
        <w:t>s guidelines for information collections.</w:t>
      </w:r>
    </w:p>
    <w:p w:rsidR="00D60A82" w:rsidRPr="001774B5" w:rsidRDefault="00D60A82" w:rsidP="00EE6D32">
      <w:pPr>
        <w:widowControl/>
      </w:pPr>
    </w:p>
    <w:p w:rsidR="00D60A82" w:rsidRPr="001774B5" w:rsidRDefault="00D60A82" w:rsidP="00540A02">
      <w:pPr>
        <w:keepNext/>
        <w:keepLines/>
        <w:widowControl/>
        <w:ind w:firstLine="360"/>
        <w:rPr>
          <w:rStyle w:val="2ndtier1"/>
        </w:rPr>
      </w:pPr>
      <w:r w:rsidRPr="001774B5">
        <w:rPr>
          <w:rStyle w:val="2ndtier1"/>
        </w:rPr>
        <w:t>3(f</w:t>
      </w:r>
      <w:proofErr w:type="gramStart"/>
      <w:r w:rsidRPr="001774B5">
        <w:rPr>
          <w:rStyle w:val="2ndtier1"/>
        </w:rPr>
        <w:t xml:space="preserve">) </w:t>
      </w:r>
      <w:r w:rsidR="00061874" w:rsidRPr="001774B5">
        <w:rPr>
          <w:rStyle w:val="2ndtier1"/>
        </w:rPr>
        <w:t xml:space="preserve"> </w:t>
      </w:r>
      <w:r w:rsidRPr="001774B5">
        <w:rPr>
          <w:rStyle w:val="2ndtier1"/>
        </w:rPr>
        <w:t>Confidentiality</w:t>
      </w:r>
      <w:proofErr w:type="gramEnd"/>
    </w:p>
    <w:p w:rsidR="00D60A82" w:rsidRPr="001774B5" w:rsidRDefault="00D60A82" w:rsidP="00EE6D32">
      <w:pPr>
        <w:keepNext/>
        <w:keepLines/>
        <w:widowControl/>
        <w:rPr>
          <w:rStyle w:val="2ndtier1"/>
        </w:rPr>
      </w:pPr>
    </w:p>
    <w:p w:rsidR="00D60A82" w:rsidRPr="001774B5" w:rsidRDefault="00D60A82" w:rsidP="00EE6D32">
      <w:pPr>
        <w:keepLines/>
        <w:widowControl/>
        <w:ind w:firstLine="720"/>
      </w:pPr>
      <w:r w:rsidRPr="001774B5">
        <w:t xml:space="preserve">Any data that is submitted to EPA under this rule will be considered in the public domain and cannot be treated as confidential. </w:t>
      </w:r>
    </w:p>
    <w:p w:rsidR="00D60A82" w:rsidRPr="001774B5" w:rsidRDefault="00D60A82" w:rsidP="00EE6D32">
      <w:pPr>
        <w:widowControl/>
        <w:ind w:firstLine="720"/>
      </w:pPr>
    </w:p>
    <w:p w:rsidR="00D60A82" w:rsidRPr="001774B5" w:rsidRDefault="00D60A82" w:rsidP="00EE6D32">
      <w:pPr>
        <w:widowControl/>
        <w:ind w:firstLine="720"/>
      </w:pPr>
      <w:r w:rsidRPr="001774B5">
        <w:t>As required by Section 114 of the Clean Air Act, estimates or measurements of emissions must be treated as non</w:t>
      </w:r>
      <w:r w:rsidR="00F562AB" w:rsidRPr="001774B5">
        <w:t>-</w:t>
      </w:r>
      <w:r w:rsidRPr="001774B5">
        <w:t>confidential</w:t>
      </w:r>
      <w:r w:rsidR="00617BBA" w:rsidRPr="001774B5">
        <w:t xml:space="preserve">. </w:t>
      </w:r>
      <w:r w:rsidRPr="001774B5">
        <w:t>Under Agency procedures, data items relating to the computation of emissions may b</w:t>
      </w:r>
      <w:r w:rsidR="00954EC4" w:rsidRPr="001774B5">
        <w:t xml:space="preserve">e identified as sensitive by a </w:t>
      </w:r>
      <w:r w:rsidR="00C86612">
        <w:t>State</w:t>
      </w:r>
      <w:r w:rsidRPr="001774B5">
        <w:t xml:space="preserve"> and are then treated as </w:t>
      </w:r>
      <w:r w:rsidR="001774B5">
        <w:t>"</w:t>
      </w:r>
      <w:r w:rsidR="00C86612">
        <w:t>State</w:t>
      </w:r>
      <w:r w:rsidRPr="001774B5">
        <w:t>-sensitive</w:t>
      </w:r>
      <w:r w:rsidR="001774B5">
        <w:t>"</w:t>
      </w:r>
      <w:r w:rsidRPr="001774B5">
        <w:t xml:space="preserve"> by EPA</w:t>
      </w:r>
      <w:r w:rsidR="00617BBA" w:rsidRPr="001774B5">
        <w:t xml:space="preserve">. </w:t>
      </w:r>
      <w:r w:rsidRPr="001774B5">
        <w:t>Th</w:t>
      </w:r>
      <w:r w:rsidR="00954EC4" w:rsidRPr="001774B5">
        <w:t xml:space="preserve">e potentially </w:t>
      </w:r>
      <w:r w:rsidR="00C86612">
        <w:t>State</w:t>
      </w:r>
      <w:r w:rsidRPr="001774B5">
        <w:t>-sensitive items include the following:  Process rate, boiler design capacity, emission estimation codes, percent space heat, operating rate, and maxim</w:t>
      </w:r>
      <w:r w:rsidR="00954EC4" w:rsidRPr="001774B5">
        <w:t>um operation rate/hour</w:t>
      </w:r>
      <w:r w:rsidR="00617BBA" w:rsidRPr="001774B5">
        <w:t xml:space="preserve">. </w:t>
      </w:r>
      <w:r w:rsidR="00954EC4" w:rsidRPr="001774B5">
        <w:t xml:space="preserve">Where Federal and </w:t>
      </w:r>
      <w:r w:rsidR="00C86612">
        <w:t>State</w:t>
      </w:r>
      <w:r w:rsidRPr="001774B5">
        <w:t xml:space="preserve"> requirements are inconsistent, EPA Regional Office should be consulted for final reconciliation.</w:t>
      </w:r>
    </w:p>
    <w:p w:rsidR="00D60A82" w:rsidRPr="001774B5" w:rsidRDefault="00D60A82" w:rsidP="00EE6D32">
      <w:pPr>
        <w:widowControl/>
      </w:pPr>
    </w:p>
    <w:p w:rsidR="00D60A82" w:rsidRPr="001774B5" w:rsidRDefault="00D60A82" w:rsidP="00540A02">
      <w:pPr>
        <w:keepNext/>
        <w:keepLines/>
        <w:widowControl/>
        <w:ind w:firstLine="360"/>
        <w:rPr>
          <w:rStyle w:val="2ndtier1"/>
        </w:rPr>
      </w:pPr>
      <w:r w:rsidRPr="001774B5">
        <w:rPr>
          <w:rStyle w:val="2ndtier1"/>
        </w:rPr>
        <w:t>3(g</w:t>
      </w:r>
      <w:proofErr w:type="gramStart"/>
      <w:r w:rsidRPr="001774B5">
        <w:rPr>
          <w:rStyle w:val="2ndtier1"/>
        </w:rPr>
        <w:t xml:space="preserve">) </w:t>
      </w:r>
      <w:r w:rsidR="00061874" w:rsidRPr="001774B5">
        <w:rPr>
          <w:rStyle w:val="2ndtier1"/>
        </w:rPr>
        <w:t xml:space="preserve"> </w:t>
      </w:r>
      <w:r w:rsidRPr="001774B5">
        <w:rPr>
          <w:rStyle w:val="2ndtier1"/>
        </w:rPr>
        <w:t>Sensitive</w:t>
      </w:r>
      <w:proofErr w:type="gramEnd"/>
      <w:r w:rsidRPr="001774B5">
        <w:rPr>
          <w:rStyle w:val="2ndtier1"/>
        </w:rPr>
        <w:t xml:space="preserve"> Questions</w:t>
      </w:r>
    </w:p>
    <w:p w:rsidR="00D60A82" w:rsidRPr="001774B5" w:rsidRDefault="00D60A82" w:rsidP="00EE6D32">
      <w:pPr>
        <w:keepNext/>
        <w:keepLines/>
        <w:widowControl/>
        <w:rPr>
          <w:rStyle w:val="2ndtier1"/>
        </w:rPr>
      </w:pPr>
    </w:p>
    <w:p w:rsidR="00D60A82" w:rsidRPr="001774B5" w:rsidRDefault="00D60A82" w:rsidP="00CB3C9A">
      <w:pPr>
        <w:keepLines/>
        <w:widowControl/>
        <w:ind w:firstLine="720"/>
      </w:pPr>
      <w:r w:rsidRPr="001774B5">
        <w:t>This information collection does not ask any questions concerning sexual behavior or attitudes, religious beliefs, or other matters usually considered private.</w:t>
      </w:r>
    </w:p>
    <w:p w:rsidR="00D60A82" w:rsidRPr="001774B5" w:rsidRDefault="00D60A82" w:rsidP="00EE6D32">
      <w:pPr>
        <w:widowControl/>
      </w:pPr>
    </w:p>
    <w:p w:rsidR="00D60A82" w:rsidRPr="001774B5" w:rsidRDefault="00D60A82" w:rsidP="00C86612">
      <w:pPr>
        <w:keepNext/>
        <w:widowControl/>
        <w:tabs>
          <w:tab w:val="left" w:pos="-1440"/>
          <w:tab w:val="left" w:pos="-974"/>
          <w:tab w:val="left" w:pos="-508"/>
          <w:tab w:val="left" w:pos="-42"/>
          <w:tab w:val="left" w:pos="360"/>
        </w:tabs>
        <w:ind w:left="360" w:hanging="360"/>
        <w:rPr>
          <w:b/>
          <w:bCs/>
        </w:rPr>
      </w:pPr>
      <w:r w:rsidRPr="001774B5">
        <w:rPr>
          <w:b/>
          <w:bCs/>
        </w:rPr>
        <w:t>4.</w:t>
      </w:r>
      <w:r w:rsidRPr="001774B5">
        <w:rPr>
          <w:b/>
          <w:bCs/>
        </w:rPr>
        <w:tab/>
        <w:t xml:space="preserve">THE RESPONDENTS </w:t>
      </w:r>
      <w:smartTag w:uri="urn:schemas-microsoft-com:office:smarttags" w:element="stockticker">
        <w:r w:rsidRPr="001774B5">
          <w:rPr>
            <w:b/>
            <w:bCs/>
          </w:rPr>
          <w:t>AND</w:t>
        </w:r>
      </w:smartTag>
      <w:r w:rsidRPr="001774B5">
        <w:rPr>
          <w:b/>
          <w:bCs/>
        </w:rPr>
        <w:t xml:space="preserve"> THE INFORMATION REQUESTED</w:t>
      </w:r>
    </w:p>
    <w:p w:rsidR="00D60A82" w:rsidRPr="001774B5" w:rsidRDefault="00D60A82" w:rsidP="00C86612">
      <w:pPr>
        <w:keepNext/>
        <w:widowControl/>
        <w:rPr>
          <w:b/>
          <w:bCs/>
        </w:rPr>
      </w:pPr>
    </w:p>
    <w:p w:rsidR="00D60A82" w:rsidRPr="001774B5" w:rsidRDefault="00D60A82" w:rsidP="00540A02">
      <w:pPr>
        <w:keepNext/>
        <w:keepLines/>
        <w:widowControl/>
        <w:ind w:firstLine="360"/>
        <w:rPr>
          <w:rStyle w:val="2ndtier1"/>
        </w:rPr>
      </w:pPr>
      <w:r w:rsidRPr="001774B5">
        <w:rPr>
          <w:rStyle w:val="2ndtier1"/>
        </w:rPr>
        <w:t>4(a</w:t>
      </w:r>
      <w:proofErr w:type="gramStart"/>
      <w:r w:rsidRPr="001774B5">
        <w:rPr>
          <w:rStyle w:val="2ndtier1"/>
        </w:rPr>
        <w:t>)</w:t>
      </w:r>
      <w:r w:rsidR="00061874" w:rsidRPr="001774B5">
        <w:rPr>
          <w:rStyle w:val="2ndtier1"/>
        </w:rPr>
        <w:t xml:space="preserve"> </w:t>
      </w:r>
      <w:r w:rsidRPr="001774B5">
        <w:rPr>
          <w:rStyle w:val="2ndtier1"/>
        </w:rPr>
        <w:t xml:space="preserve"> Respondents</w:t>
      </w:r>
      <w:proofErr w:type="gramEnd"/>
      <w:r w:rsidRPr="001774B5">
        <w:rPr>
          <w:rStyle w:val="2ndtier1"/>
        </w:rPr>
        <w:t>/Standard Industrial Classification (SIC) Codes</w:t>
      </w:r>
    </w:p>
    <w:p w:rsidR="00BE744F" w:rsidRPr="001774B5" w:rsidRDefault="00BE744F" w:rsidP="00EE6D32">
      <w:pPr>
        <w:keepNext/>
        <w:keepLines/>
        <w:widowControl/>
        <w:rPr>
          <w:rStyle w:val="2ndtier1"/>
        </w:rPr>
      </w:pPr>
    </w:p>
    <w:p w:rsidR="00BE744F" w:rsidRPr="001774B5" w:rsidRDefault="00BE744F" w:rsidP="00BE744F">
      <w:pPr>
        <w:keepLines/>
        <w:widowControl/>
      </w:pPr>
      <w:r w:rsidRPr="001774B5">
        <w:rPr>
          <w:b/>
          <w:bCs/>
        </w:rPr>
        <w:t>Emission Trading Requirements</w:t>
      </w:r>
    </w:p>
    <w:p w:rsidR="00BE744F" w:rsidRPr="001774B5" w:rsidRDefault="00BE744F" w:rsidP="00CB3C9A">
      <w:pPr>
        <w:widowControl/>
        <w:ind w:firstLine="720"/>
      </w:pPr>
    </w:p>
    <w:p w:rsidR="00D60A82" w:rsidRPr="001774B5" w:rsidRDefault="00D60A82" w:rsidP="00CB3C9A">
      <w:pPr>
        <w:widowControl/>
        <w:ind w:firstLine="720"/>
      </w:pPr>
      <w:r w:rsidRPr="001774B5">
        <w:t>This ICR also estimates a burden for affected industry sources to monitor SO</w:t>
      </w:r>
      <w:r w:rsidRPr="001774B5">
        <w:rPr>
          <w:vertAlign w:val="subscript"/>
        </w:rPr>
        <w:t>2</w:t>
      </w:r>
      <w:r w:rsidRPr="001774B5">
        <w:t xml:space="preserve"> and </w:t>
      </w:r>
      <w:proofErr w:type="spellStart"/>
      <w:r w:rsidRPr="001774B5">
        <w:t>NO</w:t>
      </w:r>
      <w:r w:rsidR="0031501F" w:rsidRPr="001774B5">
        <w:rPr>
          <w:vertAlign w:val="subscript"/>
        </w:rPr>
        <w:t>x</w:t>
      </w:r>
      <w:proofErr w:type="spellEnd"/>
      <w:r w:rsidRPr="001774B5">
        <w:t xml:space="preserve"> mass emissions and demonstrate compliance with SO</w:t>
      </w:r>
      <w:r w:rsidRPr="001774B5">
        <w:rPr>
          <w:vertAlign w:val="subscript"/>
        </w:rPr>
        <w:t>2</w:t>
      </w:r>
      <w:r w:rsidRPr="001774B5">
        <w:t xml:space="preserve"> and </w:t>
      </w:r>
      <w:proofErr w:type="spellStart"/>
      <w:r w:rsidRPr="001774B5">
        <w:t>NO</w:t>
      </w:r>
      <w:r w:rsidR="0031501F" w:rsidRPr="001774B5">
        <w:rPr>
          <w:vertAlign w:val="subscript"/>
        </w:rPr>
        <w:t>x</w:t>
      </w:r>
      <w:proofErr w:type="spellEnd"/>
      <w:r w:rsidRPr="001774B5">
        <w:t xml:space="preserve"> control measures</w:t>
      </w:r>
      <w:r w:rsidR="00617BBA" w:rsidRPr="001774B5">
        <w:t xml:space="preserve">. </w:t>
      </w:r>
      <w:r w:rsidRPr="001774B5">
        <w:t xml:space="preserve">Sources may </w:t>
      </w:r>
      <w:r w:rsidRPr="001774B5">
        <w:lastRenderedPageBreak/>
        <w:t>report data directly to EPA if a source is required to meet the monitoring and reporting requirements of Part 75</w:t>
      </w:r>
      <w:r w:rsidR="00617BBA" w:rsidRPr="001774B5">
        <w:t xml:space="preserve">. </w:t>
      </w:r>
      <w:r w:rsidR="00D61A8D" w:rsidRPr="001774B5">
        <w:t>All affected</w:t>
      </w:r>
      <w:r w:rsidR="00954EC4" w:rsidRPr="001774B5">
        <w:t xml:space="preserve"> </w:t>
      </w:r>
      <w:r w:rsidR="00C86612">
        <w:t>State</w:t>
      </w:r>
      <w:r w:rsidRPr="001774B5">
        <w:t xml:space="preserve">s </w:t>
      </w:r>
      <w:r w:rsidR="00D61A8D" w:rsidRPr="001774B5">
        <w:t xml:space="preserve">and </w:t>
      </w:r>
      <w:smartTag w:uri="urn:schemas-microsoft-com:office:smarttags" w:element="place">
        <w:smartTag w:uri="urn:schemas-microsoft-com:office:smarttags" w:element="City">
          <w:r w:rsidR="00D61A8D" w:rsidRPr="001774B5">
            <w:t>Washington</w:t>
          </w:r>
        </w:smartTag>
        <w:r w:rsidR="00D61A8D" w:rsidRPr="001774B5">
          <w:t xml:space="preserve"> </w:t>
        </w:r>
        <w:smartTag w:uri="urn:schemas-microsoft-com:office:smarttags" w:element="State">
          <w:r w:rsidR="00D61A8D" w:rsidRPr="001774B5">
            <w:t>D.C.</w:t>
          </w:r>
        </w:smartTag>
      </w:smartTag>
      <w:r w:rsidR="00D61A8D" w:rsidRPr="001774B5">
        <w:t xml:space="preserve"> have chosen </w:t>
      </w:r>
      <w:r w:rsidRPr="001774B5">
        <w:t>to control large electric utility sources to comply with their SO</w:t>
      </w:r>
      <w:r w:rsidRPr="001774B5">
        <w:rPr>
          <w:vertAlign w:val="subscript"/>
        </w:rPr>
        <w:t>2</w:t>
      </w:r>
      <w:r w:rsidRPr="001774B5">
        <w:t xml:space="preserve"> and </w:t>
      </w:r>
      <w:proofErr w:type="spellStart"/>
      <w:r w:rsidRPr="001774B5">
        <w:t>NO</w:t>
      </w:r>
      <w:r w:rsidR="0031501F" w:rsidRPr="001774B5">
        <w:rPr>
          <w:vertAlign w:val="subscript"/>
        </w:rPr>
        <w:t>x</w:t>
      </w:r>
      <w:proofErr w:type="spellEnd"/>
      <w:r w:rsidRPr="001774B5">
        <w:t xml:space="preserve"> emissions budgets</w:t>
      </w:r>
      <w:r w:rsidR="00617BBA" w:rsidRPr="001774B5">
        <w:t xml:space="preserve">. </w:t>
      </w:r>
      <w:r w:rsidRPr="001774B5">
        <w:t xml:space="preserve">Electric utility combustion sources are generally classified as either SIC 4911 - </w:t>
      </w:r>
      <w:r w:rsidRPr="001774B5">
        <w:rPr>
          <w:i/>
          <w:iCs/>
        </w:rPr>
        <w:t>Electric Services,</w:t>
      </w:r>
      <w:r w:rsidRPr="001774B5">
        <w:t xml:space="preserve"> or</w:t>
      </w:r>
      <w:r w:rsidRPr="001774B5">
        <w:rPr>
          <w:i/>
          <w:iCs/>
        </w:rPr>
        <w:t xml:space="preserve"> </w:t>
      </w:r>
      <w:r w:rsidRPr="001774B5">
        <w:t xml:space="preserve">4931 - </w:t>
      </w:r>
      <w:r w:rsidRPr="001774B5">
        <w:rPr>
          <w:i/>
          <w:iCs/>
        </w:rPr>
        <w:t>Electric and Other Services Combined</w:t>
      </w:r>
      <w:r w:rsidRPr="001774B5">
        <w:t xml:space="preserve"> [NAICS 221112 Electric Power Distribution]</w:t>
      </w:r>
      <w:r w:rsidR="00617BBA" w:rsidRPr="001774B5">
        <w:t xml:space="preserve">. </w:t>
      </w:r>
      <w:r w:rsidR="00BE744F" w:rsidRPr="001774B5">
        <w:t xml:space="preserve">In addition, the </w:t>
      </w:r>
      <w:proofErr w:type="spellStart"/>
      <w:r w:rsidR="00BE744F" w:rsidRPr="001774B5">
        <w:t>NO</w:t>
      </w:r>
      <w:r w:rsidR="0031501F" w:rsidRPr="001774B5">
        <w:rPr>
          <w:vertAlign w:val="subscript"/>
        </w:rPr>
        <w:t>x</w:t>
      </w:r>
      <w:proofErr w:type="spellEnd"/>
      <w:r w:rsidR="00BE744F" w:rsidRPr="001774B5">
        <w:t xml:space="preserve"> SIP Call trading program affected combustion sources across many industrial sectors</w:t>
      </w:r>
      <w:r w:rsidR="00617BBA" w:rsidRPr="001774B5">
        <w:t xml:space="preserve">. </w:t>
      </w:r>
      <w:r w:rsidR="00C86612">
        <w:t>State</w:t>
      </w:r>
      <w:r w:rsidR="00BE744F" w:rsidRPr="001774B5">
        <w:t xml:space="preserve">s previously subject to that trading program have the option to keep those sources in the CAIR ozone season </w:t>
      </w:r>
      <w:proofErr w:type="spellStart"/>
      <w:r w:rsidR="00BE744F" w:rsidRPr="001774B5">
        <w:t>NO</w:t>
      </w:r>
      <w:r w:rsidR="0031501F" w:rsidRPr="001774B5">
        <w:rPr>
          <w:vertAlign w:val="subscript"/>
        </w:rPr>
        <w:t>x</w:t>
      </w:r>
      <w:proofErr w:type="spellEnd"/>
      <w:r w:rsidR="00BE744F" w:rsidRPr="001774B5">
        <w:t xml:space="preserve"> program, and many </w:t>
      </w:r>
      <w:r w:rsidR="00C86612">
        <w:t>State</w:t>
      </w:r>
      <w:r w:rsidR="00BE744F" w:rsidRPr="001774B5">
        <w:t>s have elected to do so</w:t>
      </w:r>
      <w:r w:rsidR="00617BBA" w:rsidRPr="001774B5">
        <w:t xml:space="preserve">. </w:t>
      </w:r>
      <w:r w:rsidR="00BE744F" w:rsidRPr="001774B5">
        <w:t xml:space="preserve">Those sources include a wide range of SIC [NAICS] codes, including cement kilns, which fall primarily under SIC 327 - </w:t>
      </w:r>
      <w:r w:rsidR="00BE744F" w:rsidRPr="001774B5">
        <w:rPr>
          <w:i/>
          <w:iCs/>
        </w:rPr>
        <w:t>Concrete, Gypsum, and Plaster Products</w:t>
      </w:r>
      <w:r w:rsidR="00BE744F" w:rsidRPr="001774B5">
        <w:t>) [NAICS 3273 Cement Manufacturing and 3274 Gypsum Product Manufacturing] and large industrial combustion sources (e.g., boilers, turbines, and internal combustion engines), which are expected to fall under SIC codes for the manufacturing sector, i.e., SIC Major Groups 29-40 [NAICS 31-33 Manufacturing].</w:t>
      </w:r>
    </w:p>
    <w:p w:rsidR="00D60A82" w:rsidRPr="001774B5" w:rsidRDefault="00D60A82" w:rsidP="00EE6D32">
      <w:pPr>
        <w:widowControl/>
      </w:pPr>
    </w:p>
    <w:p w:rsidR="00D60A82" w:rsidRPr="001774B5" w:rsidRDefault="00D60A82" w:rsidP="00855491">
      <w:pPr>
        <w:keepNext/>
        <w:keepLines/>
        <w:widowControl/>
        <w:ind w:firstLine="360"/>
        <w:rPr>
          <w:rStyle w:val="2ndtier1"/>
        </w:rPr>
      </w:pPr>
      <w:r w:rsidRPr="001774B5">
        <w:rPr>
          <w:rStyle w:val="2ndtier1"/>
        </w:rPr>
        <w:t>4(b</w:t>
      </w:r>
      <w:proofErr w:type="gramStart"/>
      <w:r w:rsidRPr="001774B5">
        <w:rPr>
          <w:rStyle w:val="2ndtier1"/>
        </w:rPr>
        <w:t xml:space="preserve">) </w:t>
      </w:r>
      <w:r w:rsidR="00061874" w:rsidRPr="001774B5">
        <w:rPr>
          <w:rStyle w:val="2ndtier1"/>
        </w:rPr>
        <w:t xml:space="preserve"> </w:t>
      </w:r>
      <w:r w:rsidRPr="001774B5">
        <w:rPr>
          <w:rStyle w:val="2ndtier1"/>
        </w:rPr>
        <w:t>Information</w:t>
      </w:r>
      <w:proofErr w:type="gramEnd"/>
      <w:r w:rsidRPr="001774B5">
        <w:rPr>
          <w:rStyle w:val="2ndtier1"/>
        </w:rPr>
        <w:t xml:space="preserve"> Requested</w:t>
      </w:r>
    </w:p>
    <w:p w:rsidR="00D60A82" w:rsidRPr="001774B5" w:rsidRDefault="00D60A82" w:rsidP="00855491">
      <w:pPr>
        <w:keepNext/>
        <w:keepLines/>
        <w:widowControl/>
        <w:rPr>
          <w:rStyle w:val="2ndtier1"/>
        </w:rPr>
      </w:pPr>
    </w:p>
    <w:p w:rsidR="00D60A82" w:rsidRPr="001774B5" w:rsidRDefault="00D60A82" w:rsidP="00EE6D32">
      <w:pPr>
        <w:widowControl/>
      </w:pPr>
      <w:r w:rsidRPr="001774B5">
        <w:rPr>
          <w:b/>
          <w:bCs/>
        </w:rPr>
        <w:t xml:space="preserve">Emission </w:t>
      </w:r>
      <w:r w:rsidR="00683EBB">
        <w:rPr>
          <w:b/>
          <w:bCs/>
        </w:rPr>
        <w:t xml:space="preserve">Reporting and </w:t>
      </w:r>
      <w:r w:rsidRPr="001774B5">
        <w:rPr>
          <w:b/>
          <w:bCs/>
        </w:rPr>
        <w:t>Trading Requirements</w:t>
      </w:r>
    </w:p>
    <w:p w:rsidR="00D60A82" w:rsidRPr="001774B5" w:rsidRDefault="00D60A82" w:rsidP="00EE6D32">
      <w:pPr>
        <w:widowControl/>
      </w:pPr>
    </w:p>
    <w:p w:rsidR="00D60A82" w:rsidRPr="001774B5" w:rsidRDefault="00D60A82" w:rsidP="00CB3C9A">
      <w:pPr>
        <w:widowControl/>
        <w:ind w:firstLine="720"/>
      </w:pPr>
      <w:r w:rsidRPr="001774B5">
        <w:t>This section describes the data items requested from affected sources for the collections described in this ICR</w:t>
      </w:r>
      <w:r w:rsidR="00617BBA" w:rsidRPr="001774B5">
        <w:t xml:space="preserve">. </w:t>
      </w:r>
      <w:r w:rsidRPr="001774B5">
        <w:t>This section also defines the activities in which respondents must engage to assemble, submit, or store these data items.</w:t>
      </w:r>
    </w:p>
    <w:p w:rsidR="00D60A82" w:rsidRPr="001774B5" w:rsidRDefault="00D60A82" w:rsidP="00EE6D32">
      <w:pPr>
        <w:widowControl/>
      </w:pPr>
    </w:p>
    <w:p w:rsidR="00D60A82" w:rsidRPr="001774B5" w:rsidRDefault="00D60A82" w:rsidP="00CB3C9A">
      <w:pPr>
        <w:widowControl/>
        <w:ind w:firstLine="720"/>
      </w:pPr>
      <w:r w:rsidRPr="001774B5">
        <w:rPr>
          <w:i/>
          <w:iCs/>
        </w:rPr>
        <w:t>(</w:t>
      </w:r>
      <w:proofErr w:type="spellStart"/>
      <w:r w:rsidRPr="001774B5">
        <w:rPr>
          <w:i/>
          <w:iCs/>
        </w:rPr>
        <w:t>i</w:t>
      </w:r>
      <w:proofErr w:type="spellEnd"/>
      <w:r w:rsidRPr="001774B5">
        <w:rPr>
          <w:i/>
          <w:iCs/>
        </w:rPr>
        <w:t>)  Data Items, Including Recordkeeping Requirements</w:t>
      </w:r>
    </w:p>
    <w:p w:rsidR="00D60A82" w:rsidRPr="001774B5" w:rsidRDefault="00D60A82" w:rsidP="00EE6D32">
      <w:pPr>
        <w:widowControl/>
      </w:pPr>
    </w:p>
    <w:p w:rsidR="00D60A82" w:rsidRPr="001774B5" w:rsidRDefault="00D60A82" w:rsidP="00CB3C9A">
      <w:pPr>
        <w:widowControl/>
        <w:ind w:firstLine="1080"/>
      </w:pPr>
      <w:r w:rsidRPr="001774B5">
        <w:t xml:space="preserve">(a) </w:t>
      </w:r>
      <w:r w:rsidR="00061874" w:rsidRPr="001774B5">
        <w:t xml:space="preserve"> </w:t>
      </w:r>
      <w:r w:rsidRPr="001774B5">
        <w:t>Allowance Tracking</w:t>
      </w:r>
    </w:p>
    <w:p w:rsidR="00D60A82" w:rsidRPr="001774B5" w:rsidRDefault="00D60A82" w:rsidP="00EE6D32">
      <w:pPr>
        <w:widowControl/>
      </w:pPr>
    </w:p>
    <w:p w:rsidR="00D60A82" w:rsidRPr="001774B5" w:rsidRDefault="00D60A82" w:rsidP="00CB3C9A">
      <w:pPr>
        <w:widowControl/>
        <w:ind w:firstLine="720"/>
      </w:pPr>
      <w:r w:rsidRPr="001774B5">
        <w:t>There are several data items required for allowance tracking activities</w:t>
      </w:r>
      <w:r w:rsidR="00617BBA" w:rsidRPr="001774B5">
        <w:t xml:space="preserve">. </w:t>
      </w:r>
      <w:r w:rsidRPr="001774B5">
        <w:t>First, the affected source must submit account certificates of representation for the CAIR designated representative and (if desired) alternate CAIR designated representative</w:t>
      </w:r>
      <w:r w:rsidR="00617BBA" w:rsidRPr="001774B5">
        <w:t xml:space="preserve">. </w:t>
      </w:r>
      <w:r w:rsidRPr="001774B5">
        <w:t>This documentation, the requireme</w:t>
      </w:r>
      <w:r w:rsidR="00CB3C9A" w:rsidRPr="001774B5">
        <w:t xml:space="preserve">nt for which is found in 40 </w:t>
      </w:r>
      <w:smartTag w:uri="urn:schemas-microsoft-com:office:smarttags" w:element="stockticker">
        <w:r w:rsidR="00CB3C9A" w:rsidRPr="001774B5">
          <w:t>CFR</w:t>
        </w:r>
      </w:smartTag>
      <w:r w:rsidRPr="001774B5">
        <w:t xml:space="preserve"> 96.113, .213 and .313, must include:</w:t>
      </w:r>
    </w:p>
    <w:p w:rsidR="00D60A82" w:rsidRPr="001774B5" w:rsidRDefault="00D60A82" w:rsidP="00EE6D32">
      <w:pPr>
        <w:widowControl/>
      </w:pPr>
    </w:p>
    <w:p w:rsidR="00D60A82" w:rsidRPr="001774B5" w:rsidRDefault="00CB3C9A" w:rsidP="00CB3C9A">
      <w:pPr>
        <w:widowControl/>
        <w:ind w:left="424"/>
      </w:pPr>
      <w:r w:rsidRPr="001774B5">
        <w:t>●</w:t>
      </w:r>
      <w:r w:rsidRPr="001774B5">
        <w:tab/>
      </w:r>
      <w:r w:rsidR="00D60A82" w:rsidRPr="001774B5">
        <w:t>Identification of th</w:t>
      </w:r>
      <w:r w:rsidR="005D189D" w:rsidRPr="001774B5">
        <w:t>e source and unit;</w:t>
      </w:r>
    </w:p>
    <w:p w:rsidR="00CB3C9A" w:rsidRPr="001774B5" w:rsidRDefault="00CB3C9A" w:rsidP="00CB3C9A">
      <w:pPr>
        <w:widowControl/>
        <w:ind w:left="424"/>
      </w:pPr>
    </w:p>
    <w:p w:rsidR="00D60A82" w:rsidRPr="001774B5" w:rsidRDefault="00CB3C9A" w:rsidP="00CB3C9A">
      <w:pPr>
        <w:pStyle w:val="Level1"/>
        <w:widowControl/>
        <w:ind w:left="424" w:firstLine="0"/>
      </w:pPr>
      <w:r w:rsidRPr="001774B5">
        <w:t>●</w:t>
      </w:r>
      <w:r w:rsidRPr="001774B5">
        <w:tab/>
      </w:r>
      <w:r w:rsidR="00D60A82" w:rsidRPr="001774B5">
        <w:t>Dates on which the unit commenced operation and</w:t>
      </w:r>
      <w:r w:rsidR="005D189D" w:rsidRPr="001774B5">
        <w:t xml:space="preserve"> commenced commercial operation;</w:t>
      </w:r>
    </w:p>
    <w:p w:rsidR="00CB3C9A" w:rsidRPr="001774B5" w:rsidRDefault="00CB3C9A" w:rsidP="00CB3C9A">
      <w:pPr>
        <w:pStyle w:val="Level1"/>
        <w:widowControl/>
        <w:ind w:left="424" w:firstLine="0"/>
      </w:pPr>
    </w:p>
    <w:p w:rsidR="00D60A82" w:rsidRPr="001774B5" w:rsidRDefault="00CB3C9A" w:rsidP="00CB3C9A">
      <w:pPr>
        <w:widowControl/>
        <w:ind w:left="424"/>
      </w:pPr>
      <w:r w:rsidRPr="001774B5">
        <w:t>●</w:t>
      </w:r>
      <w:r w:rsidRPr="001774B5">
        <w:tab/>
      </w:r>
      <w:r w:rsidR="00D60A82" w:rsidRPr="001774B5">
        <w:t>Name and contact information for the CAIR designat</w:t>
      </w:r>
      <w:r w:rsidR="005D189D" w:rsidRPr="001774B5">
        <w:t>ed representative and alternate;</w:t>
      </w:r>
    </w:p>
    <w:p w:rsidR="00CB3C9A" w:rsidRPr="001774B5" w:rsidRDefault="00CB3C9A" w:rsidP="00CB3C9A">
      <w:pPr>
        <w:widowControl/>
        <w:ind w:left="424"/>
      </w:pPr>
    </w:p>
    <w:p w:rsidR="00D60A82" w:rsidRPr="001774B5" w:rsidRDefault="00CB3C9A" w:rsidP="00CB3C9A">
      <w:pPr>
        <w:widowControl/>
        <w:ind w:left="424"/>
      </w:pPr>
      <w:r w:rsidRPr="001774B5">
        <w:t>●</w:t>
      </w:r>
      <w:r w:rsidRPr="001774B5">
        <w:tab/>
      </w:r>
      <w:r w:rsidR="00D60A82" w:rsidRPr="001774B5">
        <w:t>A list of the owners and op</w:t>
      </w:r>
      <w:r w:rsidR="005D189D" w:rsidRPr="001774B5">
        <w:t>erators of each source and unit;</w:t>
      </w:r>
      <w:r w:rsidR="00D60A82" w:rsidRPr="001774B5">
        <w:t xml:space="preserve"> and</w:t>
      </w:r>
    </w:p>
    <w:p w:rsidR="00CB3C9A" w:rsidRPr="001774B5" w:rsidRDefault="00CB3C9A" w:rsidP="00CB3C9A">
      <w:pPr>
        <w:widowControl/>
        <w:ind w:left="424"/>
      </w:pPr>
    </w:p>
    <w:p w:rsidR="00D60A82" w:rsidRPr="001774B5" w:rsidRDefault="00CB3C9A" w:rsidP="00CB3C9A">
      <w:pPr>
        <w:widowControl/>
        <w:ind w:left="720" w:hanging="296"/>
      </w:pPr>
      <w:r w:rsidRPr="001774B5">
        <w:t>●</w:t>
      </w:r>
      <w:r w:rsidRPr="001774B5">
        <w:tab/>
      </w:r>
      <w:proofErr w:type="gramStart"/>
      <w:r w:rsidR="00D60A82" w:rsidRPr="001774B5">
        <w:t>A</w:t>
      </w:r>
      <w:proofErr w:type="gramEnd"/>
      <w:r w:rsidR="00D60A82" w:rsidRPr="001774B5">
        <w:t xml:space="preserve"> certification </w:t>
      </w:r>
      <w:r w:rsidR="00C86612">
        <w:t>State</w:t>
      </w:r>
      <w:r w:rsidR="00D60A82" w:rsidRPr="001774B5">
        <w:t>ment and signature of the CAIR designated representative and alternate.</w:t>
      </w:r>
    </w:p>
    <w:p w:rsidR="00D60A82" w:rsidRPr="001774B5" w:rsidRDefault="00D60A82" w:rsidP="00CB3C9A">
      <w:pPr>
        <w:widowControl/>
      </w:pPr>
    </w:p>
    <w:p w:rsidR="00D60A82" w:rsidRPr="001774B5" w:rsidRDefault="00D60A82" w:rsidP="00CB3C9A">
      <w:pPr>
        <w:widowControl/>
        <w:ind w:firstLine="720"/>
      </w:pPr>
      <w:r w:rsidRPr="001774B5">
        <w:t xml:space="preserve">Certification applications </w:t>
      </w:r>
      <w:r w:rsidR="00954EC4" w:rsidRPr="001774B5">
        <w:t>are to be kept for a period of five</w:t>
      </w:r>
      <w:r w:rsidRPr="001774B5">
        <w:t xml:space="preserve"> years pursuant to the general requirements imposed for Title V permitted facilities.</w:t>
      </w:r>
    </w:p>
    <w:p w:rsidR="00683EBB" w:rsidRDefault="00683EBB" w:rsidP="00683EBB">
      <w:pPr>
        <w:keepNext/>
        <w:widowControl/>
        <w:ind w:firstLine="1080"/>
      </w:pPr>
    </w:p>
    <w:p w:rsidR="00D60A82" w:rsidRPr="001774B5" w:rsidRDefault="00D60A82" w:rsidP="00683EBB">
      <w:pPr>
        <w:keepNext/>
        <w:widowControl/>
        <w:ind w:firstLine="1080"/>
      </w:pPr>
      <w:r w:rsidRPr="001774B5">
        <w:t xml:space="preserve">(b) </w:t>
      </w:r>
      <w:r w:rsidR="00061874" w:rsidRPr="001774B5">
        <w:t xml:space="preserve"> </w:t>
      </w:r>
      <w:r w:rsidRPr="001774B5">
        <w:t>Permitting</w:t>
      </w:r>
    </w:p>
    <w:p w:rsidR="00D60A82" w:rsidRPr="001774B5" w:rsidRDefault="00D60A82" w:rsidP="00683EBB">
      <w:pPr>
        <w:keepNext/>
        <w:widowControl/>
      </w:pPr>
    </w:p>
    <w:p w:rsidR="00D60A82" w:rsidRPr="001774B5" w:rsidRDefault="00D60A82" w:rsidP="00683EBB">
      <w:pPr>
        <w:keepNext/>
        <w:widowControl/>
        <w:ind w:firstLine="720"/>
      </w:pPr>
      <w:r w:rsidRPr="001774B5">
        <w:t>The basic requirement for permitting is an application for a permit revision to a source</w:t>
      </w:r>
      <w:smartTag w:uri="urn:schemas-microsoft-com:office:smarttags" w:element="PersonName">
        <w:r w:rsidR="001774B5">
          <w:t>'</w:t>
        </w:r>
      </w:smartTag>
      <w:r w:rsidRPr="001774B5">
        <w:t>s operating permit issued under Title V of the Act</w:t>
      </w:r>
      <w:r w:rsidR="00617BBA" w:rsidRPr="001774B5">
        <w:t xml:space="preserve">. </w:t>
      </w:r>
      <w:r w:rsidRPr="001774B5">
        <w:t>Although there is some possibility that a non-Title V source could be affected under the CAIR Trading Program, all affected sources are assumed to be Title V sources for purposes of this ICR</w:t>
      </w:r>
      <w:r w:rsidR="00617BBA" w:rsidRPr="001774B5">
        <w:t xml:space="preserve">. </w:t>
      </w:r>
      <w:r w:rsidRPr="001774B5">
        <w:t>Except for the permit revision application, all of the other monitoring, reporting or recordkeeping requirements associated with Title V permitting are either part of the baseline Title V requirements or are covered separately under section 4(c)</w:t>
      </w:r>
      <w:r w:rsidR="00617BBA" w:rsidRPr="001774B5">
        <w:t xml:space="preserve">. </w:t>
      </w:r>
      <w:r w:rsidRPr="001774B5">
        <w:t>Title V permit</w:t>
      </w:r>
      <w:r w:rsidR="00954EC4" w:rsidRPr="001774B5">
        <w:t xml:space="preserve"> applications must be kept for five</w:t>
      </w:r>
      <w:r w:rsidRPr="001774B5">
        <w:t xml:space="preserve"> years pursuant to Title V recordkeeping requirements</w:t>
      </w:r>
      <w:r w:rsidR="00617BBA" w:rsidRPr="001774B5">
        <w:t xml:space="preserve">. </w:t>
      </w:r>
      <w:r w:rsidRPr="001774B5">
        <w:t xml:space="preserve">In addition, </w:t>
      </w:r>
      <w:r w:rsidR="00830705" w:rsidRPr="001774B5">
        <w:t xml:space="preserve">some </w:t>
      </w:r>
      <w:r w:rsidRPr="001774B5">
        <w:t xml:space="preserve">coal-fired units that are not part of the Acid Rain Program </w:t>
      </w:r>
      <w:r w:rsidR="00830705" w:rsidRPr="001774B5">
        <w:t xml:space="preserve">may </w:t>
      </w:r>
      <w:r w:rsidRPr="001774B5">
        <w:t>have to apply for a permit to construct under Title I of the Act</w:t>
      </w:r>
      <w:r w:rsidR="00830705" w:rsidRPr="001774B5">
        <w:t xml:space="preserve"> as part of a CAIR compliance strategy</w:t>
      </w:r>
      <w:r w:rsidR="00617BBA" w:rsidRPr="001774B5">
        <w:t xml:space="preserve">. </w:t>
      </w:r>
      <w:r w:rsidR="00830705" w:rsidRPr="001774B5">
        <w:t>For this ICR, most of this burden was expected to occur prior to the end of 2008</w:t>
      </w:r>
      <w:r w:rsidR="00C012D1">
        <w:t xml:space="preserve"> or during the previous 2009-2011 period</w:t>
      </w:r>
      <w:r w:rsidR="00830705" w:rsidRPr="001774B5">
        <w:t xml:space="preserve">. </w:t>
      </w:r>
      <w:r w:rsidR="00C012D1">
        <w:t>T</w:t>
      </w:r>
      <w:r w:rsidR="00830705" w:rsidRPr="001774B5">
        <w:t xml:space="preserve">his ICR estimates that </w:t>
      </w:r>
      <w:r w:rsidR="00617BBA">
        <w:t xml:space="preserve">all </w:t>
      </w:r>
      <w:r w:rsidR="00617BBA" w:rsidRPr="001774B5">
        <w:t>sources</w:t>
      </w:r>
      <w:r w:rsidR="00830705" w:rsidRPr="001774B5">
        <w:t xml:space="preserve"> </w:t>
      </w:r>
      <w:r w:rsidR="00C012D1">
        <w:t>affected by this change have been accounted for in the previous ICRs</w:t>
      </w:r>
      <w:r w:rsidRPr="001774B5">
        <w:t xml:space="preserve">. </w:t>
      </w:r>
    </w:p>
    <w:p w:rsidR="00D60A82" w:rsidRPr="001774B5" w:rsidRDefault="00D60A82" w:rsidP="00EE6D32">
      <w:pPr>
        <w:widowControl/>
      </w:pPr>
    </w:p>
    <w:p w:rsidR="00D60A82" w:rsidRPr="001774B5" w:rsidRDefault="00D60A82" w:rsidP="00CB3C9A">
      <w:pPr>
        <w:widowControl/>
        <w:ind w:firstLine="1080"/>
      </w:pPr>
      <w:r w:rsidRPr="001774B5">
        <w:t xml:space="preserve">(c) </w:t>
      </w:r>
      <w:r w:rsidR="00061874" w:rsidRPr="001774B5">
        <w:t xml:space="preserve"> </w:t>
      </w:r>
      <w:r w:rsidRPr="001774B5">
        <w:t>Monitoring and Reporting</w:t>
      </w:r>
    </w:p>
    <w:p w:rsidR="00D60A82" w:rsidRPr="001774B5" w:rsidRDefault="00D60A82" w:rsidP="00EE6D32">
      <w:pPr>
        <w:widowControl/>
      </w:pPr>
    </w:p>
    <w:p w:rsidR="00D60A82" w:rsidRPr="001774B5" w:rsidRDefault="00D60A82" w:rsidP="00CB3C9A">
      <w:pPr>
        <w:widowControl/>
        <w:ind w:firstLine="720"/>
      </w:pPr>
      <w:r w:rsidRPr="001774B5">
        <w:t>Affected trading program sources are required to monitor SO</w:t>
      </w:r>
      <w:r w:rsidRPr="001774B5">
        <w:rPr>
          <w:vertAlign w:val="subscript"/>
        </w:rPr>
        <w:t>2</w:t>
      </w:r>
      <w:r w:rsidRPr="001774B5">
        <w:t xml:space="preserve"> and </w:t>
      </w:r>
      <w:proofErr w:type="spellStart"/>
      <w:r w:rsidRPr="001774B5">
        <w:t>NO</w:t>
      </w:r>
      <w:r w:rsidR="0031501F" w:rsidRPr="001774B5">
        <w:rPr>
          <w:vertAlign w:val="subscript"/>
        </w:rPr>
        <w:t>x</w:t>
      </w:r>
      <w:proofErr w:type="spellEnd"/>
      <w:r w:rsidRPr="001774B5">
        <w:t xml:space="preserve"> mass emissions, and record and report emissions data using the requirements of 40 </w:t>
      </w:r>
      <w:smartTag w:uri="urn:schemas-microsoft-com:office:smarttags" w:element="stockticker">
        <w:r w:rsidRPr="001774B5">
          <w:t>CFR</w:t>
        </w:r>
      </w:smartTag>
      <w:r w:rsidRPr="001774B5">
        <w:t xml:space="preserve"> Part 75</w:t>
      </w:r>
      <w:r w:rsidR="00617BBA" w:rsidRPr="001774B5">
        <w:t xml:space="preserve">. </w:t>
      </w:r>
      <w:r w:rsidRPr="001774B5">
        <w:t>The emissions monitoring requirements specify that affected sources must</w:t>
      </w:r>
      <w:r w:rsidR="005947BF" w:rsidRPr="001774B5">
        <w:t>:</w:t>
      </w:r>
      <w:r w:rsidRPr="001774B5">
        <w:t xml:space="preserve"> </w:t>
      </w:r>
      <w:r w:rsidR="00954EC4" w:rsidRPr="001774B5">
        <w:t xml:space="preserve"> </w:t>
      </w:r>
      <w:r w:rsidRPr="001774B5">
        <w:t>1) submit a monitoring plan for each affected unit at a source</w:t>
      </w:r>
      <w:r w:rsidR="005947BF" w:rsidRPr="001774B5">
        <w:t>;</w:t>
      </w:r>
      <w:r w:rsidRPr="001774B5">
        <w:t xml:space="preserve"> 2) submit data for certification of each monitor</w:t>
      </w:r>
      <w:r w:rsidR="005947BF" w:rsidRPr="001774B5">
        <w:t>;</w:t>
      </w:r>
      <w:r w:rsidRPr="001774B5">
        <w:t xml:space="preserve"> and 3) record hourly operational, pollutant monitor, and flow monitor data for each affected unit and submit quarterly reports of their emissions data to EPA.</w:t>
      </w:r>
    </w:p>
    <w:p w:rsidR="00D60A82" w:rsidRPr="001774B5" w:rsidRDefault="00D60A82" w:rsidP="00CB3C9A">
      <w:pPr>
        <w:widowControl/>
        <w:ind w:firstLine="720"/>
      </w:pPr>
    </w:p>
    <w:p w:rsidR="00D60A82" w:rsidRPr="001774B5" w:rsidRDefault="00D60A82" w:rsidP="00CB3C9A">
      <w:pPr>
        <w:widowControl/>
        <w:ind w:firstLine="720"/>
      </w:pPr>
      <w:r w:rsidRPr="001774B5">
        <w:t xml:space="preserve">Respondents are required by 40 </w:t>
      </w:r>
      <w:smartTag w:uri="urn:schemas-microsoft-com:office:smarttags" w:element="stockticker">
        <w:r w:rsidRPr="001774B5">
          <w:t>CFR</w:t>
        </w:r>
      </w:smartTag>
      <w:r w:rsidRPr="001774B5">
        <w:t xml:space="preserve"> 75.64 to submit the quarterly SO</w:t>
      </w:r>
      <w:r w:rsidRPr="001774B5">
        <w:rPr>
          <w:vertAlign w:val="subscript"/>
        </w:rPr>
        <w:t>2</w:t>
      </w:r>
      <w:r w:rsidRPr="001774B5">
        <w:t xml:space="preserve"> and </w:t>
      </w:r>
      <w:proofErr w:type="spellStart"/>
      <w:r w:rsidRPr="001774B5">
        <w:t>NO</w:t>
      </w:r>
      <w:r w:rsidR="0031501F" w:rsidRPr="001774B5">
        <w:rPr>
          <w:vertAlign w:val="subscript"/>
        </w:rPr>
        <w:t>x</w:t>
      </w:r>
      <w:proofErr w:type="spellEnd"/>
      <w:r w:rsidRPr="001774B5">
        <w:t xml:space="preserve"> mass emissions data electronically, by direct electronic submission to EPA, and must also include a certification </w:t>
      </w:r>
      <w:r w:rsidR="00C86612">
        <w:t>State</w:t>
      </w:r>
      <w:r w:rsidRPr="001774B5">
        <w:t>ment by the designated representative of the unit</w:t>
      </w:r>
      <w:r w:rsidR="00617BBA" w:rsidRPr="001774B5">
        <w:t xml:space="preserve">. </w:t>
      </w:r>
      <w:r w:rsidRPr="001774B5">
        <w:t>All monitoring records are to be kept for three years, with one possible exception under a voluntary option for fuel flowmeter calibration testing.</w:t>
      </w:r>
    </w:p>
    <w:p w:rsidR="00D60A82" w:rsidRPr="001774B5" w:rsidRDefault="00D60A82" w:rsidP="00EE6D32">
      <w:pPr>
        <w:widowControl/>
      </w:pPr>
    </w:p>
    <w:p w:rsidR="00D60A82" w:rsidRPr="001774B5" w:rsidRDefault="00D60A82" w:rsidP="00CB3C9A">
      <w:pPr>
        <w:widowControl/>
        <w:ind w:left="424" w:firstLine="296"/>
      </w:pPr>
      <w:r w:rsidRPr="001774B5">
        <w:rPr>
          <w:i/>
          <w:iCs/>
        </w:rPr>
        <w:t>(ii)  Respondent Activities</w:t>
      </w:r>
    </w:p>
    <w:p w:rsidR="00D60A82" w:rsidRPr="001774B5" w:rsidRDefault="00D60A82" w:rsidP="00EE6D32">
      <w:pPr>
        <w:widowControl/>
      </w:pPr>
    </w:p>
    <w:p w:rsidR="00D60A82" w:rsidRPr="001774B5" w:rsidRDefault="00D60A82" w:rsidP="00954EC4">
      <w:pPr>
        <w:widowControl/>
        <w:ind w:firstLine="720"/>
      </w:pPr>
      <w:r w:rsidRPr="001774B5">
        <w:t>The primary tasks that will be performed by trading program respondents to meet the emissions monitoring requirements are</w:t>
      </w:r>
      <w:r w:rsidR="005947BF" w:rsidRPr="001774B5">
        <w:t xml:space="preserve">: </w:t>
      </w:r>
      <w:r w:rsidRPr="001774B5">
        <w:t xml:space="preserve"> 1) completing and submitting appropriate monitoring plan forms for each affected source and each affected unit at a source; 2) conducting tests to certify the operation of monitors, and submitting test results to EPA; 3) recording hourly emissions data (this activity generally is performed electronically); 4) operation and maintenance activities associated with the monitoring, including quality assurance activities; 5) assuring data quality, preparing quarterly reports of emissions data and submitting these reports to EPA; and 6) responding to error messages generated by EPA.  In addition, </w:t>
      </w:r>
      <w:r w:rsidR="00830705" w:rsidRPr="001774B5">
        <w:t xml:space="preserve">some </w:t>
      </w:r>
      <w:r w:rsidRPr="001774B5">
        <w:t>respondents will have to purchase the necessary monitoring hardware and purchase the electronic data reporting software (or software upgrades)</w:t>
      </w:r>
      <w:r w:rsidR="00617BBA" w:rsidRPr="001774B5">
        <w:t xml:space="preserve">. </w:t>
      </w:r>
      <w:r w:rsidR="00830705" w:rsidRPr="001774B5">
        <w:t xml:space="preserve">Most of these purchases </w:t>
      </w:r>
      <w:r w:rsidR="00C012D1">
        <w:t xml:space="preserve">were </w:t>
      </w:r>
      <w:r w:rsidR="00617BBA">
        <w:t xml:space="preserve">assumed </w:t>
      </w:r>
      <w:r w:rsidR="00617BBA" w:rsidRPr="001774B5">
        <w:t>to</w:t>
      </w:r>
      <w:r w:rsidR="00830705" w:rsidRPr="001774B5">
        <w:t xml:space="preserve"> occur prior to 2009 but this ICR continues to include annualized costs for sources that are likely to have incurred these expenditures through 2008.</w:t>
      </w:r>
    </w:p>
    <w:p w:rsidR="00910C2E" w:rsidRDefault="00910C2E" w:rsidP="00CB3C9A">
      <w:pPr>
        <w:keepNext/>
        <w:keepLines/>
        <w:widowControl/>
        <w:tabs>
          <w:tab w:val="left" w:pos="360"/>
        </w:tabs>
        <w:ind w:left="360" w:hanging="360"/>
        <w:rPr>
          <w:rStyle w:val="1sttierA"/>
        </w:rPr>
      </w:pPr>
    </w:p>
    <w:p w:rsidR="00D60A82" w:rsidRPr="001774B5" w:rsidRDefault="00D60A82" w:rsidP="00CB3C9A">
      <w:pPr>
        <w:keepNext/>
        <w:keepLines/>
        <w:widowControl/>
        <w:tabs>
          <w:tab w:val="left" w:pos="360"/>
        </w:tabs>
        <w:ind w:left="360" w:hanging="360"/>
        <w:rPr>
          <w:rStyle w:val="1sttierA"/>
        </w:rPr>
      </w:pPr>
      <w:r w:rsidRPr="001774B5">
        <w:rPr>
          <w:rStyle w:val="1sttierA"/>
        </w:rPr>
        <w:t>5.</w:t>
      </w:r>
      <w:r w:rsidRPr="001774B5">
        <w:rPr>
          <w:rStyle w:val="1sttierA"/>
        </w:rPr>
        <w:tab/>
        <w:t>THE INFORMATION COLLECTED</w:t>
      </w:r>
      <w:r w:rsidRPr="001774B5">
        <w:rPr>
          <w:rStyle w:val="1sttierA"/>
        </w:rPr>
        <w:sym w:font="WP TypographicSymbols" w:char="0042"/>
      </w:r>
      <w:r w:rsidRPr="001774B5">
        <w:rPr>
          <w:rStyle w:val="1sttierA"/>
        </w:rPr>
        <w:t xml:space="preserve">AGENCY ACTIVITIES, COLLECTION METHODS, </w:t>
      </w:r>
      <w:smartTag w:uri="urn:schemas-microsoft-com:office:smarttags" w:element="stockticker">
        <w:r w:rsidRPr="001774B5">
          <w:rPr>
            <w:rStyle w:val="1sttierA"/>
          </w:rPr>
          <w:t>AND</w:t>
        </w:r>
      </w:smartTag>
      <w:r w:rsidRPr="001774B5">
        <w:rPr>
          <w:rStyle w:val="1sttierA"/>
        </w:rPr>
        <w:t xml:space="preserve"> INFORMATION MANAGEMENT</w:t>
      </w:r>
    </w:p>
    <w:p w:rsidR="00D60A82" w:rsidRPr="001774B5" w:rsidRDefault="00D60A82" w:rsidP="00EE6D32">
      <w:pPr>
        <w:keepNext/>
        <w:keepLines/>
        <w:widowControl/>
        <w:rPr>
          <w:rStyle w:val="1sttierA"/>
        </w:rPr>
      </w:pPr>
    </w:p>
    <w:p w:rsidR="00D60A82" w:rsidRPr="001774B5" w:rsidRDefault="00D60A82" w:rsidP="00EE6D32">
      <w:pPr>
        <w:keepNext/>
        <w:keepLines/>
        <w:widowControl/>
        <w:ind w:firstLine="424"/>
        <w:rPr>
          <w:rStyle w:val="2ndtier1"/>
        </w:rPr>
      </w:pPr>
      <w:r w:rsidRPr="001774B5">
        <w:rPr>
          <w:rStyle w:val="2ndtier1"/>
        </w:rPr>
        <w:t>5(a</w:t>
      </w:r>
      <w:proofErr w:type="gramStart"/>
      <w:r w:rsidRPr="001774B5">
        <w:rPr>
          <w:rStyle w:val="2ndtier1"/>
        </w:rPr>
        <w:t xml:space="preserve">) </w:t>
      </w:r>
      <w:r w:rsidR="00061874" w:rsidRPr="001774B5">
        <w:rPr>
          <w:rStyle w:val="2ndtier1"/>
        </w:rPr>
        <w:t xml:space="preserve"> </w:t>
      </w:r>
      <w:r w:rsidRPr="001774B5">
        <w:rPr>
          <w:rStyle w:val="2ndtier1"/>
        </w:rPr>
        <w:t>Agency</w:t>
      </w:r>
      <w:proofErr w:type="gramEnd"/>
      <w:r w:rsidRPr="001774B5">
        <w:rPr>
          <w:rStyle w:val="2ndtier1"/>
        </w:rPr>
        <w:t xml:space="preserve"> Activities</w:t>
      </w:r>
    </w:p>
    <w:p w:rsidR="00D60A82" w:rsidRPr="001774B5" w:rsidRDefault="00D60A82" w:rsidP="00EE6D32">
      <w:pPr>
        <w:widowControl/>
        <w:rPr>
          <w:i/>
          <w:iCs/>
        </w:rPr>
      </w:pPr>
    </w:p>
    <w:p w:rsidR="00D60A82" w:rsidRPr="001774B5" w:rsidRDefault="00D60A82" w:rsidP="00EE6D32">
      <w:pPr>
        <w:widowControl/>
      </w:pPr>
      <w:r w:rsidRPr="001774B5">
        <w:rPr>
          <w:b/>
          <w:bCs/>
        </w:rPr>
        <w:t>Emission Trading Requirements</w:t>
      </w:r>
    </w:p>
    <w:p w:rsidR="00F562AB" w:rsidRPr="001774B5" w:rsidRDefault="00F562AB" w:rsidP="00EE6D32">
      <w:pPr>
        <w:widowControl/>
        <w:ind w:firstLine="424"/>
      </w:pPr>
    </w:p>
    <w:p w:rsidR="00D60A82" w:rsidRPr="001774B5" w:rsidRDefault="00D60A82" w:rsidP="00CB3C9A">
      <w:pPr>
        <w:widowControl/>
        <w:ind w:firstLine="720"/>
      </w:pPr>
      <w:r w:rsidRPr="001774B5">
        <w:t>The major EPA activities related to the CAIR Trading Program include</w:t>
      </w:r>
      <w:r w:rsidR="00483C09" w:rsidRPr="001774B5">
        <w:t xml:space="preserve">: </w:t>
      </w:r>
      <w:r w:rsidRPr="001774B5">
        <w:t xml:space="preserve"> (1) maintenance and administration of the SO</w:t>
      </w:r>
      <w:r w:rsidRPr="001774B5">
        <w:rPr>
          <w:vertAlign w:val="subscript"/>
        </w:rPr>
        <w:t>2</w:t>
      </w:r>
      <w:r w:rsidRPr="001774B5">
        <w:t xml:space="preserve"> and </w:t>
      </w:r>
      <w:proofErr w:type="spellStart"/>
      <w:r w:rsidRPr="001774B5">
        <w:t>NO</w:t>
      </w:r>
      <w:r w:rsidR="0031501F" w:rsidRPr="001774B5">
        <w:rPr>
          <w:vertAlign w:val="subscript"/>
        </w:rPr>
        <w:t>x</w:t>
      </w:r>
      <w:proofErr w:type="spellEnd"/>
      <w:r w:rsidRPr="001774B5">
        <w:t xml:space="preserve"> allowance tracking systems, (2) reviewing permit applications, (3) reviewing monitoring plans and certification applications, (4) processing, reviewing and evaluating reports of quarterly emissions data from affected units, (5) calculating/reviewing annual emissions from affected sources, and (6) reviewing total annual emissions data submitted to track each </w:t>
      </w:r>
      <w:r w:rsidR="00C86612">
        <w:t>State</w:t>
      </w:r>
      <w:r w:rsidR="00863632">
        <w:t>'</w:t>
      </w:r>
      <w:r w:rsidRPr="001774B5">
        <w:t>s progress toward meeting its budgets and creating a summary report of emissions.  EPA will use a computer system to track and maintain monitoring and emissions information</w:t>
      </w:r>
      <w:r w:rsidR="00617BBA" w:rsidRPr="001774B5">
        <w:t xml:space="preserve">. </w:t>
      </w:r>
      <w:r w:rsidRPr="001774B5">
        <w:t>EPA will also answer respondent questions and conduct audits of data submissions.</w:t>
      </w:r>
    </w:p>
    <w:p w:rsidR="00D60A82" w:rsidRPr="001774B5" w:rsidRDefault="00D60A82" w:rsidP="00EE6D32">
      <w:pPr>
        <w:widowControl/>
      </w:pPr>
    </w:p>
    <w:p w:rsidR="00D60A82" w:rsidRPr="001774B5" w:rsidRDefault="00D60A82" w:rsidP="00540A02">
      <w:pPr>
        <w:widowControl/>
        <w:ind w:left="360"/>
        <w:rPr>
          <w:b/>
          <w:bCs/>
        </w:rPr>
      </w:pPr>
      <w:r w:rsidRPr="001774B5">
        <w:rPr>
          <w:b/>
          <w:bCs/>
        </w:rPr>
        <w:t>5(b</w:t>
      </w:r>
      <w:proofErr w:type="gramStart"/>
      <w:r w:rsidRPr="001774B5">
        <w:rPr>
          <w:b/>
          <w:bCs/>
        </w:rPr>
        <w:t>)</w:t>
      </w:r>
      <w:r w:rsidR="00061874" w:rsidRPr="001774B5">
        <w:rPr>
          <w:b/>
          <w:bCs/>
        </w:rPr>
        <w:t xml:space="preserve"> </w:t>
      </w:r>
      <w:r w:rsidRPr="001774B5">
        <w:rPr>
          <w:b/>
          <w:bCs/>
        </w:rPr>
        <w:t xml:space="preserve"> Collection</w:t>
      </w:r>
      <w:proofErr w:type="gramEnd"/>
      <w:r w:rsidRPr="001774B5">
        <w:rPr>
          <w:b/>
          <w:bCs/>
        </w:rPr>
        <w:t xml:space="preserve"> Methodology and Management</w:t>
      </w:r>
    </w:p>
    <w:p w:rsidR="00CB3C9A" w:rsidRPr="001774B5" w:rsidRDefault="00CB3C9A" w:rsidP="00EE6D32">
      <w:pPr>
        <w:widowControl/>
      </w:pPr>
    </w:p>
    <w:p w:rsidR="00D60A82" w:rsidRPr="001774B5" w:rsidRDefault="00D60A82" w:rsidP="00EE6D32">
      <w:pPr>
        <w:widowControl/>
        <w:rPr>
          <w:b/>
          <w:bCs/>
        </w:rPr>
      </w:pPr>
      <w:r w:rsidRPr="001774B5">
        <w:rPr>
          <w:b/>
          <w:bCs/>
        </w:rPr>
        <w:t>Emission Trading Requirements</w:t>
      </w:r>
    </w:p>
    <w:p w:rsidR="00D60A82" w:rsidRPr="001774B5" w:rsidRDefault="00D60A82" w:rsidP="00EE6D32">
      <w:pPr>
        <w:widowControl/>
        <w:ind w:firstLine="890"/>
        <w:rPr>
          <w:b/>
          <w:bCs/>
        </w:rPr>
      </w:pPr>
    </w:p>
    <w:p w:rsidR="00D60A82" w:rsidRPr="001774B5" w:rsidRDefault="00D60A82" w:rsidP="00CB3C9A">
      <w:pPr>
        <w:widowControl/>
        <w:ind w:firstLine="720"/>
      </w:pPr>
      <w:r w:rsidRPr="001774B5">
        <w:t xml:space="preserve">To ensure consistency </w:t>
      </w:r>
      <w:r w:rsidR="00540A02" w:rsidRPr="001774B5">
        <w:t>region wide</w:t>
      </w:r>
      <w:r w:rsidRPr="001774B5">
        <w:t xml:space="preserve"> and to expedite data entry, EPA requires that standard formats used for Part 75 reporting be used to submit the information collected for the CAIR Trading Programs.</w:t>
      </w:r>
    </w:p>
    <w:p w:rsidR="00D60A82" w:rsidRPr="001774B5" w:rsidRDefault="00D60A82" w:rsidP="00CB3C9A">
      <w:pPr>
        <w:widowControl/>
        <w:ind w:firstLine="720"/>
      </w:pPr>
    </w:p>
    <w:p w:rsidR="00D60A82" w:rsidRPr="001774B5" w:rsidRDefault="00D60A82" w:rsidP="00CB3C9A">
      <w:pPr>
        <w:widowControl/>
        <w:ind w:firstLine="720"/>
      </w:pPr>
      <w:r w:rsidRPr="001774B5">
        <w:t>Several computer systems and associated databases have been developed to (1) track allowances, (2) record quarterly emissions monitoring data, and (3) calculate the number of allowances to be deducted each year</w:t>
      </w:r>
      <w:r w:rsidR="00617BBA" w:rsidRPr="001774B5">
        <w:t xml:space="preserve">. </w:t>
      </w:r>
      <w:r w:rsidRPr="001774B5">
        <w:t xml:space="preserve">The systems and databases are designed to coordinate the information for easy access and use by the Agency, </w:t>
      </w:r>
      <w:r w:rsidR="00C86612">
        <w:t>State</w:t>
      </w:r>
      <w:r w:rsidRPr="001774B5">
        <w:t>s, regulated community, and the public</w:t>
      </w:r>
      <w:r w:rsidR="00617BBA" w:rsidRPr="001774B5">
        <w:t xml:space="preserve">. </w:t>
      </w:r>
      <w:r w:rsidR="00F638B2" w:rsidRPr="001774B5">
        <w:t xml:space="preserve">Beginning with the first quarter of 2009, all industry sources </w:t>
      </w:r>
      <w:r w:rsidR="0084539B">
        <w:t>began using</w:t>
      </w:r>
      <w:r w:rsidR="00F638B2" w:rsidRPr="001774B5">
        <w:t xml:space="preserve"> the Emissions Collection and Monitoring Plan System (ECMPS) to submit monitoring plan, quality assurance, certification test, and emissions data to EPA for the Acid Rain and CAIR programs.</w:t>
      </w:r>
    </w:p>
    <w:p w:rsidR="00D60A82" w:rsidRPr="001774B5" w:rsidRDefault="00D60A82" w:rsidP="00CB3C9A">
      <w:pPr>
        <w:widowControl/>
        <w:ind w:firstLine="720"/>
      </w:pPr>
    </w:p>
    <w:p w:rsidR="00D60A82" w:rsidRPr="001774B5" w:rsidRDefault="00D60A82" w:rsidP="00CB3C9A">
      <w:pPr>
        <w:widowControl/>
        <w:ind w:firstLine="720"/>
      </w:pPr>
      <w:r w:rsidRPr="001774B5">
        <w:t>The EPA also has established a Clean Air Markets Page on the Internet, which includes detailed information collected from emissions reports</w:t>
      </w:r>
      <w:r w:rsidR="00617BBA" w:rsidRPr="001774B5">
        <w:t xml:space="preserve">. </w:t>
      </w:r>
      <w:r w:rsidRPr="001774B5">
        <w:t>Those without access to the Internet may use the Clean Air Markets Hotline to request information, including summary reports</w:t>
      </w:r>
      <w:r w:rsidR="00617BBA" w:rsidRPr="001774B5">
        <w:t xml:space="preserve">. </w:t>
      </w:r>
      <w:r w:rsidRPr="001774B5">
        <w:t>The Agency expects to rely on these electronic means to disseminate information about the CAIR Trading Program</w:t>
      </w:r>
      <w:r w:rsidR="0080117B" w:rsidRPr="001774B5">
        <w:t>s</w:t>
      </w:r>
      <w:r w:rsidRPr="001774B5">
        <w:t xml:space="preserve"> as the program</w:t>
      </w:r>
      <w:r w:rsidR="0080117B" w:rsidRPr="001774B5">
        <w:t>s</w:t>
      </w:r>
      <w:r w:rsidRPr="001774B5">
        <w:t xml:space="preserve"> </w:t>
      </w:r>
      <w:r w:rsidR="0080117B" w:rsidRPr="001774B5">
        <w:t>are</w:t>
      </w:r>
      <w:r w:rsidRPr="001774B5">
        <w:t xml:space="preserve"> implemented.</w:t>
      </w:r>
    </w:p>
    <w:p w:rsidR="00D60A82" w:rsidRPr="001774B5" w:rsidRDefault="00D60A82" w:rsidP="00EE6D32">
      <w:pPr>
        <w:widowControl/>
      </w:pPr>
    </w:p>
    <w:p w:rsidR="00C4470D" w:rsidRDefault="00C4470D" w:rsidP="00C4470D">
      <w:pPr>
        <w:keepNext/>
        <w:keepLines/>
        <w:widowControl/>
        <w:ind w:firstLine="360"/>
        <w:rPr>
          <w:rStyle w:val="2ndtier1"/>
        </w:rPr>
      </w:pPr>
    </w:p>
    <w:p w:rsidR="00C4470D" w:rsidRDefault="00C4470D" w:rsidP="00C4470D">
      <w:pPr>
        <w:keepNext/>
        <w:keepLines/>
        <w:widowControl/>
        <w:ind w:firstLine="360"/>
        <w:rPr>
          <w:rStyle w:val="2ndtier1"/>
        </w:rPr>
      </w:pPr>
    </w:p>
    <w:p w:rsidR="00D60A82" w:rsidRPr="001774B5" w:rsidRDefault="00D60A82" w:rsidP="00C4470D">
      <w:pPr>
        <w:keepNext/>
        <w:keepLines/>
        <w:widowControl/>
        <w:ind w:firstLine="360"/>
        <w:rPr>
          <w:rStyle w:val="2ndtier1"/>
        </w:rPr>
      </w:pPr>
      <w:r w:rsidRPr="001774B5">
        <w:rPr>
          <w:rStyle w:val="2ndtier1"/>
        </w:rPr>
        <w:t>5(c</w:t>
      </w:r>
      <w:proofErr w:type="gramStart"/>
      <w:r w:rsidRPr="001774B5">
        <w:rPr>
          <w:rStyle w:val="2ndtier1"/>
        </w:rPr>
        <w:t xml:space="preserve">) </w:t>
      </w:r>
      <w:r w:rsidR="00061874" w:rsidRPr="001774B5">
        <w:rPr>
          <w:rStyle w:val="2ndtier1"/>
        </w:rPr>
        <w:t xml:space="preserve"> </w:t>
      </w:r>
      <w:r w:rsidRPr="001774B5">
        <w:rPr>
          <w:rStyle w:val="2ndtier1"/>
        </w:rPr>
        <w:t>Small</w:t>
      </w:r>
      <w:proofErr w:type="gramEnd"/>
      <w:r w:rsidRPr="001774B5">
        <w:rPr>
          <w:rStyle w:val="2ndtier1"/>
        </w:rPr>
        <w:t xml:space="preserve"> Entity Flexibility</w:t>
      </w:r>
    </w:p>
    <w:p w:rsidR="00D60A82" w:rsidRPr="001774B5" w:rsidRDefault="00D60A82" w:rsidP="00C4470D">
      <w:pPr>
        <w:keepNext/>
        <w:keepLines/>
        <w:widowControl/>
        <w:rPr>
          <w:rStyle w:val="2ndtier1"/>
        </w:rPr>
      </w:pPr>
    </w:p>
    <w:p w:rsidR="00D60A82" w:rsidRPr="001774B5" w:rsidRDefault="00D60A82" w:rsidP="00C4470D">
      <w:pPr>
        <w:keepLines/>
        <w:widowControl/>
      </w:pPr>
      <w:r w:rsidRPr="001774B5">
        <w:rPr>
          <w:b/>
          <w:bCs/>
        </w:rPr>
        <w:t xml:space="preserve">Emission </w:t>
      </w:r>
      <w:r w:rsidR="00076F09">
        <w:rPr>
          <w:b/>
          <w:bCs/>
        </w:rPr>
        <w:t>Reporting and</w:t>
      </w:r>
      <w:r w:rsidR="00683EBB">
        <w:rPr>
          <w:b/>
          <w:bCs/>
        </w:rPr>
        <w:t xml:space="preserve"> </w:t>
      </w:r>
      <w:r w:rsidRPr="001774B5">
        <w:rPr>
          <w:b/>
          <w:bCs/>
        </w:rPr>
        <w:t>Trading Requirements</w:t>
      </w:r>
    </w:p>
    <w:p w:rsidR="00D60A82" w:rsidRPr="001774B5" w:rsidRDefault="00D60A82" w:rsidP="00C4470D">
      <w:pPr>
        <w:keepLines/>
        <w:widowControl/>
      </w:pPr>
    </w:p>
    <w:p w:rsidR="00D60A82" w:rsidRPr="001774B5" w:rsidRDefault="00D60A82" w:rsidP="00C4470D">
      <w:pPr>
        <w:keepNext/>
        <w:keepLines/>
        <w:widowControl/>
        <w:ind w:firstLine="720"/>
      </w:pPr>
      <w:r w:rsidRPr="001774B5">
        <w:lastRenderedPageBreak/>
        <w:t xml:space="preserve">The CAIR Trading Program includes fossil fuel-fired units (stationary boilers, combustion turbines, and combined cycle systems) that serve an electrical generator of capacity greater than 25 </w:t>
      </w:r>
      <w:proofErr w:type="spellStart"/>
      <w:r w:rsidRPr="001774B5">
        <w:t>MWe</w:t>
      </w:r>
      <w:proofErr w:type="spellEnd"/>
      <w:r w:rsidR="00617BBA" w:rsidRPr="001774B5">
        <w:t xml:space="preserve">. </w:t>
      </w:r>
      <w:r w:rsidRPr="001774B5">
        <w:t xml:space="preserve">Units with a lower capacity are not included because of the high cost of monitoring emissions from these sources and the </w:t>
      </w:r>
      <w:r w:rsidRPr="001774B5">
        <w:rPr>
          <w:i/>
          <w:iCs/>
        </w:rPr>
        <w:t>de minimis</w:t>
      </w:r>
      <w:r w:rsidRPr="001774B5">
        <w:t xml:space="preserve"> nature of their emissions.</w:t>
      </w:r>
    </w:p>
    <w:p w:rsidR="00D60A82" w:rsidRPr="001774B5" w:rsidRDefault="00D60A82" w:rsidP="00CB3C9A">
      <w:pPr>
        <w:widowControl/>
        <w:ind w:firstLine="720"/>
      </w:pPr>
    </w:p>
    <w:p w:rsidR="00D60A82" w:rsidRPr="001774B5" w:rsidRDefault="00D60A82" w:rsidP="00CB3C9A">
      <w:pPr>
        <w:widowControl/>
        <w:ind w:firstLine="720"/>
      </w:pPr>
      <w:r w:rsidRPr="001774B5">
        <w:t>There is one small unit provision applicable to the CAIR Trading Program</w:t>
      </w:r>
      <w:r w:rsidR="003D3445" w:rsidRPr="001774B5">
        <w:t>s</w:t>
      </w:r>
      <w:r w:rsidRPr="001774B5">
        <w:t xml:space="preserve"> which provides for reduced monitoring</w:t>
      </w:r>
      <w:r w:rsidR="00617BBA" w:rsidRPr="001774B5">
        <w:t xml:space="preserve">. </w:t>
      </w:r>
      <w:r w:rsidRPr="001774B5">
        <w:t xml:space="preserve">The low mass emissions provisions (40 </w:t>
      </w:r>
      <w:smartTag w:uri="urn:schemas-microsoft-com:office:smarttags" w:element="stockticker">
        <w:r w:rsidRPr="001774B5">
          <w:t>CFR</w:t>
        </w:r>
      </w:smartTag>
      <w:r w:rsidRPr="001774B5">
        <w:t xml:space="preserve"> 75.19) allows optional reduced monitoring, quality assurance, and reporting requirements for units that combust natural gas and/or fuel oil and that emit no more than 100 tons of </w:t>
      </w:r>
      <w:proofErr w:type="spellStart"/>
      <w:r w:rsidRPr="001774B5">
        <w:t>NO</w:t>
      </w:r>
      <w:r w:rsidR="0031501F" w:rsidRPr="001774B5">
        <w:rPr>
          <w:vertAlign w:val="subscript"/>
        </w:rPr>
        <w:t>x</w:t>
      </w:r>
      <w:proofErr w:type="spellEnd"/>
      <w:r w:rsidRPr="001774B5">
        <w:t xml:space="preserve"> annually provided that no more than 50 tons of </w:t>
      </w:r>
      <w:proofErr w:type="spellStart"/>
      <w:r w:rsidRPr="001774B5">
        <w:t>NO</w:t>
      </w:r>
      <w:r w:rsidR="0031501F" w:rsidRPr="001774B5">
        <w:rPr>
          <w:vertAlign w:val="subscript"/>
        </w:rPr>
        <w:t>x</w:t>
      </w:r>
      <w:proofErr w:type="spellEnd"/>
      <w:r w:rsidRPr="001774B5">
        <w:t xml:space="preserve"> is emitted in the ozone season (May 1 </w:t>
      </w:r>
      <w:r w:rsidR="004347DF">
        <w:t>-</w:t>
      </w:r>
      <w:r w:rsidRPr="001774B5">
        <w:t xml:space="preserve"> September 30) and no more than 25 tons of SO</w:t>
      </w:r>
      <w:r w:rsidRPr="001774B5">
        <w:rPr>
          <w:vertAlign w:val="subscript"/>
        </w:rPr>
        <w:t>2</w:t>
      </w:r>
      <w:r w:rsidRPr="001774B5">
        <w:t xml:space="preserve"> annually and that calculate no more than the same amount based on specified procedures for calculating and reporting emissions</w:t>
      </w:r>
      <w:r w:rsidR="00617BBA" w:rsidRPr="001774B5">
        <w:t xml:space="preserve">. </w:t>
      </w:r>
      <w:r w:rsidRPr="001774B5">
        <w:t>Utilities that qualify are not required to keep monitoring equipment installed on (or conduct fuel sampling for) low mass emissions units, nor are they required to perform quality assurance or quality control tests</w:t>
      </w:r>
      <w:r w:rsidR="00617BBA" w:rsidRPr="001774B5">
        <w:t xml:space="preserve">. </w:t>
      </w:r>
      <w:r w:rsidRPr="001774B5">
        <w:t>Moreover, emissions reporting requirements are significantly simplified for these units.</w:t>
      </w:r>
    </w:p>
    <w:p w:rsidR="00D60A82" w:rsidRPr="001774B5" w:rsidRDefault="00D60A82" w:rsidP="00CB3C9A">
      <w:pPr>
        <w:widowControl/>
        <w:ind w:firstLine="720"/>
      </w:pPr>
    </w:p>
    <w:p w:rsidR="00D60A82" w:rsidRPr="001774B5" w:rsidRDefault="00D60A82" w:rsidP="00CB3C9A">
      <w:pPr>
        <w:widowControl/>
        <w:ind w:firstLine="720"/>
      </w:pPr>
      <w:r w:rsidRPr="001774B5">
        <w:t xml:space="preserve">Even if a gas- or oil-fired unit does not qualify for the </w:t>
      </w:r>
      <w:r w:rsidR="001774B5">
        <w:t>"</w:t>
      </w:r>
      <w:r w:rsidRPr="001774B5">
        <w:t>low mass emissions unit</w:t>
      </w:r>
      <w:r w:rsidR="001774B5">
        <w:t>"</w:t>
      </w:r>
      <w:r w:rsidRPr="001774B5">
        <w:t xml:space="preserve"> provisions, the monitoring provisions of Part 75 do allow for the use of alternative methods to determine emissions</w:t>
      </w:r>
      <w:r w:rsidR="00617BBA" w:rsidRPr="001774B5">
        <w:t xml:space="preserve">. </w:t>
      </w:r>
      <w:r w:rsidRPr="001774B5">
        <w:t>As discussed in the Regulatory Impact Analysis (RIA) of the final Acid Rain Implementation Regulations (October 19, 1992), smaller utilities are more likely to be dependent on these oil- and gas-fired units, especially very small utilities (see p. 5-14 of that RIA document)</w:t>
      </w:r>
      <w:r w:rsidR="00617BBA" w:rsidRPr="001774B5">
        <w:t xml:space="preserve">. </w:t>
      </w:r>
      <w:r w:rsidRPr="001774B5">
        <w:t xml:space="preserve">This analysis remains relevant </w:t>
      </w:r>
      <w:r w:rsidR="003D3445" w:rsidRPr="001774B5">
        <w:t>under CAIR</w:t>
      </w:r>
      <w:r w:rsidRPr="001774B5">
        <w:t>.</w:t>
      </w:r>
    </w:p>
    <w:p w:rsidR="00D60A82" w:rsidRPr="001774B5" w:rsidRDefault="00D60A82" w:rsidP="00EE6D32">
      <w:pPr>
        <w:widowControl/>
      </w:pPr>
    </w:p>
    <w:p w:rsidR="00D60A82" w:rsidRPr="001774B5" w:rsidRDefault="00D60A82" w:rsidP="00540A02">
      <w:pPr>
        <w:keepNext/>
        <w:keepLines/>
        <w:widowControl/>
        <w:ind w:firstLine="360"/>
        <w:rPr>
          <w:rStyle w:val="2ndtier1"/>
        </w:rPr>
      </w:pPr>
      <w:r w:rsidRPr="001774B5">
        <w:rPr>
          <w:rStyle w:val="2ndtier1"/>
        </w:rPr>
        <w:t>5(d</w:t>
      </w:r>
      <w:proofErr w:type="gramStart"/>
      <w:r w:rsidRPr="001774B5">
        <w:rPr>
          <w:rStyle w:val="2ndtier1"/>
        </w:rPr>
        <w:t xml:space="preserve">) </w:t>
      </w:r>
      <w:r w:rsidR="00061874" w:rsidRPr="001774B5">
        <w:rPr>
          <w:rStyle w:val="2ndtier1"/>
        </w:rPr>
        <w:t xml:space="preserve"> </w:t>
      </w:r>
      <w:r w:rsidRPr="001774B5">
        <w:rPr>
          <w:rStyle w:val="2ndtier1"/>
        </w:rPr>
        <w:t>Collection</w:t>
      </w:r>
      <w:proofErr w:type="gramEnd"/>
      <w:r w:rsidRPr="001774B5">
        <w:rPr>
          <w:rStyle w:val="2ndtier1"/>
        </w:rPr>
        <w:t xml:space="preserve"> Schedule</w:t>
      </w:r>
    </w:p>
    <w:p w:rsidR="00D60A82" w:rsidRPr="001774B5" w:rsidRDefault="00D60A82" w:rsidP="00EE6D32">
      <w:pPr>
        <w:keepNext/>
        <w:keepLines/>
        <w:widowControl/>
        <w:rPr>
          <w:rStyle w:val="2ndtier1"/>
        </w:rPr>
      </w:pPr>
    </w:p>
    <w:p w:rsidR="00D60A82" w:rsidRPr="001774B5" w:rsidRDefault="00585AF9" w:rsidP="00585AF9">
      <w:pPr>
        <w:widowControl/>
        <w:ind w:firstLine="720"/>
      </w:pPr>
      <w:r w:rsidRPr="001774B5">
        <w:t>Collection frequency under CAIR will be on a quarterl</w:t>
      </w:r>
      <w:r w:rsidR="00483C09" w:rsidRPr="001774B5">
        <w:t>y</w:t>
      </w:r>
      <w:r w:rsidR="00DA0226">
        <w:t xml:space="preserve"> basis</w:t>
      </w:r>
      <w:r w:rsidR="00617BBA" w:rsidRPr="001774B5">
        <w:t xml:space="preserve">. </w:t>
      </w:r>
      <w:r w:rsidR="00DA4DB5" w:rsidRPr="001774B5">
        <w:t>A</w:t>
      </w:r>
      <w:r w:rsidRPr="001774B5">
        <w:t xml:space="preserve">ll </w:t>
      </w:r>
      <w:r w:rsidR="00DA4DB5" w:rsidRPr="001774B5">
        <w:t xml:space="preserve">affected </w:t>
      </w:r>
      <w:r w:rsidRPr="001774B5">
        <w:t xml:space="preserve">industry sources </w:t>
      </w:r>
      <w:r w:rsidR="00DA4DB5" w:rsidRPr="001774B5">
        <w:t xml:space="preserve">will </w:t>
      </w:r>
      <w:r w:rsidRPr="001774B5">
        <w:t>use ECMPS to submit monitoring plan, quality assurance, certification test, and emissions data to EPA</w:t>
      </w:r>
      <w:r w:rsidR="00DA4DB5" w:rsidRPr="001774B5">
        <w:t xml:space="preserve"> on a quarterly basis. </w:t>
      </w:r>
    </w:p>
    <w:p w:rsidR="00D60A82" w:rsidRPr="001774B5" w:rsidRDefault="00D60A82" w:rsidP="00EE6D32">
      <w:pPr>
        <w:widowControl/>
      </w:pPr>
    </w:p>
    <w:p w:rsidR="00D60A82" w:rsidRPr="001774B5" w:rsidRDefault="00D60A82" w:rsidP="00CB3C9A">
      <w:pPr>
        <w:widowControl/>
        <w:tabs>
          <w:tab w:val="left" w:pos="360"/>
        </w:tabs>
        <w:ind w:left="360" w:hanging="360"/>
      </w:pPr>
      <w:r w:rsidRPr="001774B5">
        <w:rPr>
          <w:b/>
          <w:bCs/>
        </w:rPr>
        <w:t>6.</w:t>
      </w:r>
      <w:r w:rsidRPr="001774B5">
        <w:rPr>
          <w:b/>
          <w:bCs/>
        </w:rPr>
        <w:tab/>
        <w:t xml:space="preserve">ESTIMATING THE BURDEN </w:t>
      </w:r>
      <w:smartTag w:uri="urn:schemas-microsoft-com:office:smarttags" w:element="stockticker">
        <w:r w:rsidRPr="001774B5">
          <w:rPr>
            <w:b/>
            <w:bCs/>
          </w:rPr>
          <w:t>AND</w:t>
        </w:r>
      </w:smartTag>
      <w:r w:rsidRPr="001774B5">
        <w:rPr>
          <w:b/>
          <w:bCs/>
        </w:rPr>
        <w:t xml:space="preserve"> </w:t>
      </w:r>
      <w:smartTag w:uri="urn:schemas-microsoft-com:office:smarttags" w:element="stockticker">
        <w:r w:rsidRPr="001774B5">
          <w:rPr>
            <w:b/>
            <w:bCs/>
          </w:rPr>
          <w:t>COST</w:t>
        </w:r>
      </w:smartTag>
      <w:r w:rsidRPr="001774B5">
        <w:rPr>
          <w:b/>
          <w:bCs/>
        </w:rPr>
        <w:t xml:space="preserve"> OF THE COLLECTION</w:t>
      </w:r>
    </w:p>
    <w:p w:rsidR="00540A02" w:rsidRPr="001774B5" w:rsidRDefault="00540A02" w:rsidP="00EE6D32">
      <w:pPr>
        <w:keepNext/>
        <w:keepLines/>
        <w:widowControl/>
        <w:ind w:firstLine="424"/>
        <w:rPr>
          <w:rStyle w:val="2ndtier1"/>
        </w:rPr>
      </w:pPr>
    </w:p>
    <w:p w:rsidR="00D60A82" w:rsidRPr="001774B5" w:rsidRDefault="00D60A82" w:rsidP="00EE6D32">
      <w:pPr>
        <w:widowControl/>
      </w:pPr>
      <w:r w:rsidRPr="001774B5">
        <w:rPr>
          <w:rStyle w:val="2ndtier1"/>
        </w:rPr>
        <w:t>6(a</w:t>
      </w:r>
      <w:proofErr w:type="gramStart"/>
      <w:r w:rsidRPr="001774B5">
        <w:rPr>
          <w:rStyle w:val="2ndtier1"/>
        </w:rPr>
        <w:t xml:space="preserve">) </w:t>
      </w:r>
      <w:r w:rsidR="00061874" w:rsidRPr="001774B5">
        <w:rPr>
          <w:rStyle w:val="2ndtier1"/>
        </w:rPr>
        <w:t xml:space="preserve"> </w:t>
      </w:r>
      <w:r w:rsidRPr="001774B5">
        <w:rPr>
          <w:rStyle w:val="2ndtier1"/>
        </w:rPr>
        <w:t>Estimating</w:t>
      </w:r>
      <w:proofErr w:type="gramEnd"/>
      <w:r w:rsidRPr="001774B5">
        <w:rPr>
          <w:rStyle w:val="2ndtier1"/>
        </w:rPr>
        <w:t xml:space="preserve"> Respondent Burden</w:t>
      </w:r>
    </w:p>
    <w:p w:rsidR="00D60A82" w:rsidRPr="001774B5" w:rsidRDefault="00D60A82" w:rsidP="00EE6D32">
      <w:pPr>
        <w:widowControl/>
        <w:ind w:firstLine="424"/>
      </w:pPr>
    </w:p>
    <w:p w:rsidR="00D60A82" w:rsidRPr="001774B5" w:rsidRDefault="00D60A82" w:rsidP="00EE6D32">
      <w:pPr>
        <w:widowControl/>
      </w:pPr>
      <w:r w:rsidRPr="001774B5">
        <w:rPr>
          <w:b/>
          <w:bCs/>
        </w:rPr>
        <w:t xml:space="preserve">Emission </w:t>
      </w:r>
      <w:r w:rsidR="00076F09">
        <w:rPr>
          <w:b/>
          <w:bCs/>
        </w:rPr>
        <w:t xml:space="preserve">Reporting and </w:t>
      </w:r>
      <w:r w:rsidRPr="001774B5">
        <w:rPr>
          <w:b/>
          <w:bCs/>
        </w:rPr>
        <w:t>Trading Requirements</w:t>
      </w:r>
    </w:p>
    <w:p w:rsidR="00D60A82" w:rsidRPr="001774B5" w:rsidRDefault="00D60A82" w:rsidP="00EE6D32">
      <w:pPr>
        <w:widowControl/>
      </w:pPr>
    </w:p>
    <w:p w:rsidR="00D60A82" w:rsidRPr="001774B5" w:rsidRDefault="00D60A82" w:rsidP="006B1A90">
      <w:pPr>
        <w:widowControl/>
        <w:ind w:firstLine="720"/>
      </w:pPr>
      <w:r w:rsidRPr="001774B5">
        <w:t>This section estimates the paperwork burden and cost of submitting permit applications, allowance tracking and transfer materials (including applications for early reduction credits), year-end compliance certifications, submittal of monitoring plans, obtaining certification of each monitoring system, conducting monitor quality assurance activities, and recording and reporting data from CEM systems (or approved alternatives).</w:t>
      </w:r>
    </w:p>
    <w:p w:rsidR="00C86612" w:rsidRDefault="00C86612" w:rsidP="006B1A90">
      <w:pPr>
        <w:widowControl/>
        <w:ind w:firstLine="720"/>
      </w:pPr>
    </w:p>
    <w:p w:rsidR="00683EBB" w:rsidRDefault="00683EBB" w:rsidP="00683EBB">
      <w:pPr>
        <w:keepNext/>
        <w:widowControl/>
        <w:ind w:firstLine="720"/>
      </w:pPr>
    </w:p>
    <w:p w:rsidR="00D60A82" w:rsidRPr="001774B5" w:rsidRDefault="00D60A82" w:rsidP="00683EBB">
      <w:pPr>
        <w:keepNext/>
        <w:widowControl/>
        <w:ind w:firstLine="720"/>
      </w:pPr>
      <w:r w:rsidRPr="001774B5">
        <w:t>To estimate the burden and/or cost of each incidence of the various rule revisions, EPA had available prior estimates of the costs of various activities, estimates provided by affected utilities in comments to the Agency, and estimates based on the Agency</w:t>
      </w:r>
      <w:smartTag w:uri="urn:schemas-microsoft-com:office:smarttags" w:element="PersonName">
        <w:r w:rsidR="001774B5">
          <w:t>'</w:t>
        </w:r>
      </w:smartTag>
      <w:r w:rsidRPr="001774B5">
        <w:t>s experience in implementing the trading programs</w:t>
      </w:r>
      <w:r w:rsidR="00A114DF" w:rsidRPr="001774B5">
        <w:t xml:space="preserve"> under the </w:t>
      </w:r>
      <w:proofErr w:type="spellStart"/>
      <w:r w:rsidR="00A114DF" w:rsidRPr="001774B5">
        <w:t>NO</w:t>
      </w:r>
      <w:r w:rsidR="0031501F" w:rsidRPr="001774B5">
        <w:rPr>
          <w:vertAlign w:val="subscript"/>
        </w:rPr>
        <w:t>x</w:t>
      </w:r>
      <w:proofErr w:type="spellEnd"/>
      <w:r w:rsidR="00A114DF" w:rsidRPr="001774B5">
        <w:t xml:space="preserve"> SIP Call and the Acid Rain Program</w:t>
      </w:r>
      <w:r w:rsidRPr="001774B5">
        <w:t xml:space="preserve">. </w:t>
      </w:r>
    </w:p>
    <w:p w:rsidR="00D60A82" w:rsidRPr="001774B5" w:rsidRDefault="00D60A82" w:rsidP="006B1A90">
      <w:pPr>
        <w:widowControl/>
        <w:ind w:firstLine="720"/>
      </w:pPr>
    </w:p>
    <w:p w:rsidR="00D60A82" w:rsidRPr="001774B5" w:rsidRDefault="00D60A82" w:rsidP="006B1A90">
      <w:pPr>
        <w:widowControl/>
        <w:ind w:firstLine="720"/>
      </w:pPr>
      <w:r w:rsidRPr="001774B5">
        <w:lastRenderedPageBreak/>
        <w:t>For the purposes of this analysis, the trading sources are grouped into the following categories:</w:t>
      </w:r>
    </w:p>
    <w:p w:rsidR="00F46FB4" w:rsidRPr="001774B5" w:rsidRDefault="00F46FB4" w:rsidP="00F46FB4">
      <w:pPr>
        <w:widowControl/>
      </w:pPr>
    </w:p>
    <w:p w:rsidR="00D60A82" w:rsidRPr="001774B5" w:rsidRDefault="00F46FB4" w:rsidP="00F46FB4">
      <w:pPr>
        <w:widowControl/>
        <w:ind w:firstLine="360"/>
      </w:pPr>
      <w:r w:rsidRPr="001774B5">
        <w:t>●</w:t>
      </w:r>
      <w:r w:rsidRPr="001774B5">
        <w:tab/>
        <w:t xml:space="preserve">Acid Rain Program units located in any </w:t>
      </w:r>
      <w:smartTag w:uri="urn:schemas-microsoft-com:office:smarttags" w:element="place">
        <w:smartTag w:uri="urn:schemas-microsoft-com:office:smarttags" w:element="PlaceName">
          <w:r w:rsidRPr="001774B5">
            <w:t>CAIR-affected</w:t>
          </w:r>
        </w:smartTag>
        <w:r w:rsidRPr="001774B5">
          <w:t xml:space="preserve"> </w:t>
        </w:r>
        <w:smartTag w:uri="urn:schemas-microsoft-com:office:smarttags" w:element="PlaceType">
          <w:r w:rsidR="00C86612">
            <w:t>State</w:t>
          </w:r>
        </w:smartTag>
      </w:smartTag>
      <w:r w:rsidR="00061874" w:rsidRPr="001774B5">
        <w:t>;</w:t>
      </w:r>
    </w:p>
    <w:p w:rsidR="00F46FB4" w:rsidRPr="001774B5" w:rsidRDefault="00F46FB4" w:rsidP="00F46FB4">
      <w:pPr>
        <w:widowControl/>
        <w:ind w:firstLine="360"/>
      </w:pPr>
    </w:p>
    <w:p w:rsidR="00D60A82" w:rsidRPr="001774B5" w:rsidRDefault="006B1A90" w:rsidP="006B1A90">
      <w:pPr>
        <w:widowControl/>
        <w:ind w:left="720" w:hanging="360"/>
      </w:pPr>
      <w:r w:rsidRPr="001774B5">
        <w:t>●</w:t>
      </w:r>
      <w:r w:rsidRPr="001774B5">
        <w:tab/>
      </w:r>
      <w:r w:rsidR="00D60A82" w:rsidRPr="001774B5">
        <w:t>Trading units</w:t>
      </w:r>
      <w:r w:rsidR="006553A8" w:rsidRPr="001774B5">
        <w:t xml:space="preserve"> (non-Acid Rain)</w:t>
      </w:r>
      <w:r w:rsidR="00290DC5" w:rsidRPr="001774B5">
        <w:t xml:space="preserve"> located in a PM/</w:t>
      </w:r>
      <w:r w:rsidR="00D60A82" w:rsidRPr="001774B5">
        <w:t>O</w:t>
      </w:r>
      <w:r w:rsidR="00D60A82" w:rsidRPr="001774B5">
        <w:rPr>
          <w:vertAlign w:val="subscript"/>
        </w:rPr>
        <w:t>3</w:t>
      </w:r>
      <w:r w:rsidR="00D60A82" w:rsidRPr="001774B5">
        <w:t xml:space="preserve"> </w:t>
      </w:r>
      <w:r w:rsidR="00C86612">
        <w:t>State</w:t>
      </w:r>
      <w:r w:rsidR="00D60A82" w:rsidRPr="001774B5">
        <w:t xml:space="preserve"> (AL, </w:t>
      </w:r>
      <w:r w:rsidR="00047599">
        <w:t xml:space="preserve">DE, </w:t>
      </w:r>
      <w:r w:rsidR="006553A8" w:rsidRPr="001774B5">
        <w:t xml:space="preserve">FL, IA, </w:t>
      </w:r>
      <w:r w:rsidR="00D60A82" w:rsidRPr="001774B5">
        <w:t xml:space="preserve">IL, IN, KY, </w:t>
      </w:r>
      <w:r w:rsidR="006553A8" w:rsidRPr="001774B5">
        <w:t xml:space="preserve">LA, </w:t>
      </w:r>
      <w:r w:rsidR="00D60A82" w:rsidRPr="001774B5">
        <w:t xml:space="preserve">MD, MI, MO, </w:t>
      </w:r>
      <w:r w:rsidR="006553A8" w:rsidRPr="001774B5">
        <w:t xml:space="preserve">MS, </w:t>
      </w:r>
      <w:r w:rsidR="00D60A82" w:rsidRPr="001774B5">
        <w:t>NY, NC</w:t>
      </w:r>
      <w:r w:rsidR="00047599">
        <w:t>, NJ</w:t>
      </w:r>
      <w:r w:rsidR="00D60A82" w:rsidRPr="001774B5">
        <w:t xml:space="preserve">, OH, PA, SC, TN, VA, </w:t>
      </w:r>
      <w:r w:rsidR="006553A8" w:rsidRPr="001774B5">
        <w:t xml:space="preserve">WI, </w:t>
      </w:r>
      <w:r w:rsidR="00D60A82" w:rsidRPr="001774B5">
        <w:t>WV</w:t>
      </w:r>
      <w:r w:rsidR="006553A8" w:rsidRPr="001774B5">
        <w:t>,</w:t>
      </w:r>
      <w:r w:rsidR="00D60A82" w:rsidRPr="001774B5">
        <w:t xml:space="preserve"> and DC)</w:t>
      </w:r>
      <w:r w:rsidR="00B65A54" w:rsidRPr="001774B5">
        <w:t xml:space="preserve"> or a PM-only </w:t>
      </w:r>
      <w:r w:rsidR="00C86612">
        <w:t>State</w:t>
      </w:r>
      <w:r w:rsidR="00B65A54" w:rsidRPr="001774B5">
        <w:t xml:space="preserve"> (GA, MN and TX)</w:t>
      </w:r>
      <w:r w:rsidR="00061874" w:rsidRPr="001774B5">
        <w:t>; and</w:t>
      </w:r>
    </w:p>
    <w:p w:rsidR="00674C0F" w:rsidRPr="001774B5" w:rsidRDefault="00674C0F" w:rsidP="006B1A90">
      <w:pPr>
        <w:pStyle w:val="Level1"/>
        <w:widowControl/>
        <w:ind w:left="720" w:hanging="360"/>
      </w:pPr>
    </w:p>
    <w:p w:rsidR="00D60A82" w:rsidRPr="001774B5" w:rsidRDefault="006B1A90" w:rsidP="006B1A90">
      <w:pPr>
        <w:pStyle w:val="Level1"/>
        <w:widowControl/>
        <w:ind w:left="720" w:hanging="360"/>
      </w:pPr>
      <w:r w:rsidRPr="001774B5">
        <w:t>●</w:t>
      </w:r>
      <w:r w:rsidRPr="001774B5">
        <w:tab/>
      </w:r>
      <w:r w:rsidR="006553A8" w:rsidRPr="001774B5">
        <w:t>Trading units (non-Acid Rain) located in an O</w:t>
      </w:r>
      <w:r w:rsidR="006553A8" w:rsidRPr="001774B5">
        <w:rPr>
          <w:vertAlign w:val="subscript"/>
        </w:rPr>
        <w:t>3</w:t>
      </w:r>
      <w:r w:rsidR="00290DC5" w:rsidRPr="001774B5">
        <w:t>-</w:t>
      </w:r>
      <w:r w:rsidR="006553A8" w:rsidRPr="001774B5">
        <w:t xml:space="preserve">only </w:t>
      </w:r>
      <w:r w:rsidR="00C86612">
        <w:t>State</w:t>
      </w:r>
      <w:r w:rsidR="006553A8" w:rsidRPr="001774B5">
        <w:t xml:space="preserve"> (AR, CT, </w:t>
      </w:r>
      <w:r w:rsidR="00047599">
        <w:t xml:space="preserve">and </w:t>
      </w:r>
      <w:r w:rsidR="006553A8" w:rsidRPr="001774B5">
        <w:t>MA)</w:t>
      </w:r>
      <w:r w:rsidR="00061874" w:rsidRPr="001774B5">
        <w:t>.</w:t>
      </w:r>
    </w:p>
    <w:p w:rsidR="00D60A82" w:rsidRPr="001774B5" w:rsidRDefault="00D60A82" w:rsidP="006B1A90">
      <w:pPr>
        <w:widowControl/>
        <w:ind w:firstLine="720"/>
      </w:pPr>
    </w:p>
    <w:p w:rsidR="00125252" w:rsidRPr="001774B5" w:rsidRDefault="00125252" w:rsidP="006B1A90">
      <w:pPr>
        <w:widowControl/>
        <w:ind w:firstLine="720"/>
      </w:pPr>
    </w:p>
    <w:p w:rsidR="00D60A82" w:rsidRPr="001774B5" w:rsidRDefault="00D60A82" w:rsidP="006B1A90">
      <w:pPr>
        <w:widowControl/>
        <w:ind w:firstLine="720"/>
      </w:pPr>
      <w:r w:rsidRPr="001774B5">
        <w:t xml:space="preserve">The CAIR Trading Program requires all affected sources to monitor </w:t>
      </w:r>
      <w:proofErr w:type="spellStart"/>
      <w:r w:rsidRPr="001774B5">
        <w:t>NO</w:t>
      </w:r>
      <w:r w:rsidR="0031501F" w:rsidRPr="001774B5">
        <w:rPr>
          <w:vertAlign w:val="subscript"/>
        </w:rPr>
        <w:t>x</w:t>
      </w:r>
      <w:proofErr w:type="spellEnd"/>
      <w:r w:rsidRPr="001774B5">
        <w:t xml:space="preserve"> </w:t>
      </w:r>
      <w:r w:rsidR="00746888" w:rsidRPr="001774B5">
        <w:t>and SO</w:t>
      </w:r>
      <w:r w:rsidR="00746888" w:rsidRPr="001774B5">
        <w:rPr>
          <w:vertAlign w:val="subscript"/>
        </w:rPr>
        <w:t>2</w:t>
      </w:r>
      <w:r w:rsidR="00746888" w:rsidRPr="001774B5">
        <w:t xml:space="preserve"> </w:t>
      </w:r>
      <w:r w:rsidRPr="001774B5">
        <w:t>emission</w:t>
      </w:r>
      <w:r w:rsidR="00746888" w:rsidRPr="001774B5">
        <w:t>s</w:t>
      </w:r>
      <w:r w:rsidRPr="001774B5">
        <w:t>, SO</w:t>
      </w:r>
      <w:r w:rsidRPr="001774B5">
        <w:rPr>
          <w:vertAlign w:val="subscript"/>
        </w:rPr>
        <w:t>2</w:t>
      </w:r>
      <w:r w:rsidRPr="001774B5">
        <w:t xml:space="preserve"> emission </w:t>
      </w:r>
      <w:r w:rsidR="00540A02" w:rsidRPr="001774B5">
        <w:t>rate,</w:t>
      </w:r>
      <w:r w:rsidRPr="001774B5">
        <w:t xml:space="preserve"> and heat input in order to determine </w:t>
      </w:r>
      <w:proofErr w:type="spellStart"/>
      <w:r w:rsidRPr="001774B5">
        <w:t>NO</w:t>
      </w:r>
      <w:r w:rsidR="0031501F" w:rsidRPr="001774B5">
        <w:rPr>
          <w:vertAlign w:val="subscript"/>
        </w:rPr>
        <w:t>x</w:t>
      </w:r>
      <w:proofErr w:type="spellEnd"/>
      <w:r w:rsidRPr="001774B5">
        <w:t xml:space="preserve"> mass emissions and SO</w:t>
      </w:r>
      <w:r w:rsidRPr="001774B5">
        <w:rPr>
          <w:vertAlign w:val="subscript"/>
        </w:rPr>
        <w:t>2</w:t>
      </w:r>
      <w:r w:rsidRPr="001774B5">
        <w:t xml:space="preserve"> mass emissions</w:t>
      </w:r>
      <w:r w:rsidR="00617BBA" w:rsidRPr="001774B5">
        <w:t xml:space="preserve">. </w:t>
      </w:r>
      <w:r w:rsidR="00746888" w:rsidRPr="001774B5">
        <w:t>Coal-fired units use an SO</w:t>
      </w:r>
      <w:r w:rsidR="00746888" w:rsidRPr="001774B5">
        <w:rPr>
          <w:vertAlign w:val="subscript"/>
        </w:rPr>
        <w:t>2</w:t>
      </w:r>
      <w:r w:rsidR="00746888" w:rsidRPr="001774B5">
        <w:t xml:space="preserve">, </w:t>
      </w:r>
      <w:proofErr w:type="spellStart"/>
      <w:r w:rsidR="00746888" w:rsidRPr="001774B5">
        <w:t>NO</w:t>
      </w:r>
      <w:r w:rsidR="0031501F" w:rsidRPr="001774B5">
        <w:rPr>
          <w:vertAlign w:val="subscript"/>
        </w:rPr>
        <w:t>x</w:t>
      </w:r>
      <w:proofErr w:type="spellEnd"/>
      <w:r w:rsidR="00746888" w:rsidRPr="001774B5">
        <w:t>, and flow CEMS to meet those requirements</w:t>
      </w:r>
      <w:r w:rsidR="00617BBA" w:rsidRPr="001774B5">
        <w:t xml:space="preserve">. </w:t>
      </w:r>
      <w:r w:rsidR="00746888" w:rsidRPr="001774B5">
        <w:t>Oil and gas units have some alternatives</w:t>
      </w:r>
      <w:r w:rsidR="00617BBA" w:rsidRPr="001774B5">
        <w:t xml:space="preserve">. </w:t>
      </w:r>
      <w:r w:rsidR="00746888" w:rsidRPr="001774B5">
        <w:t>For SO</w:t>
      </w:r>
      <w:r w:rsidR="00746888" w:rsidRPr="001774B5">
        <w:rPr>
          <w:vertAlign w:val="subscript"/>
        </w:rPr>
        <w:t>2</w:t>
      </w:r>
      <w:r w:rsidR="00746888" w:rsidRPr="001774B5">
        <w:t>, these units can use fuel sampling and analysis (or an SO</w:t>
      </w:r>
      <w:r w:rsidR="00746888" w:rsidRPr="001774B5">
        <w:rPr>
          <w:vertAlign w:val="subscript"/>
        </w:rPr>
        <w:t>2</w:t>
      </w:r>
      <w:r w:rsidR="00746888" w:rsidRPr="001774B5">
        <w:t xml:space="preserve"> default factor for pipeline natural gas) combined with a fuel flowmeter</w:t>
      </w:r>
      <w:r w:rsidR="00617BBA" w:rsidRPr="001774B5">
        <w:t xml:space="preserve">. </w:t>
      </w:r>
      <w:r w:rsidRPr="001774B5">
        <w:t xml:space="preserve">In addition, peaking units that burn natural gas and/or fuel oil may use an alternative method for calculating </w:t>
      </w:r>
      <w:proofErr w:type="spellStart"/>
      <w:r w:rsidRPr="001774B5">
        <w:t>NO</w:t>
      </w:r>
      <w:r w:rsidR="0031501F" w:rsidRPr="001774B5">
        <w:rPr>
          <w:vertAlign w:val="subscript"/>
        </w:rPr>
        <w:t>x</w:t>
      </w:r>
      <w:proofErr w:type="spellEnd"/>
      <w:r w:rsidRPr="001774B5">
        <w:t xml:space="preserve"> emission rates</w:t>
      </w:r>
      <w:r w:rsidR="00617BBA" w:rsidRPr="001774B5">
        <w:t xml:space="preserve">. </w:t>
      </w:r>
      <w:r w:rsidRPr="001774B5">
        <w:t xml:space="preserve">EPA will also allow certain low mass emissions units to use assumed emissions factors together with operational data to calculate </w:t>
      </w:r>
      <w:proofErr w:type="spellStart"/>
      <w:r w:rsidR="00DC5130" w:rsidRPr="001774B5">
        <w:t>NO</w:t>
      </w:r>
      <w:r w:rsidR="0031501F" w:rsidRPr="001774B5">
        <w:rPr>
          <w:vertAlign w:val="subscript"/>
        </w:rPr>
        <w:t>x</w:t>
      </w:r>
      <w:proofErr w:type="spellEnd"/>
      <w:r w:rsidR="00DC5130" w:rsidRPr="001774B5">
        <w:t xml:space="preserve"> and SO</w:t>
      </w:r>
      <w:r w:rsidR="00DC5130" w:rsidRPr="001774B5">
        <w:rPr>
          <w:vertAlign w:val="subscript"/>
        </w:rPr>
        <w:t>2</w:t>
      </w:r>
      <w:r w:rsidR="00DC5130" w:rsidRPr="001774B5">
        <w:t xml:space="preserve"> </w:t>
      </w:r>
      <w:r w:rsidRPr="001774B5">
        <w:t>emissions.</w:t>
      </w:r>
    </w:p>
    <w:p w:rsidR="00D60A82" w:rsidRPr="001774B5" w:rsidRDefault="00D60A82" w:rsidP="006B1A90">
      <w:pPr>
        <w:widowControl/>
        <w:ind w:firstLine="720"/>
      </w:pPr>
    </w:p>
    <w:p w:rsidR="00D60A82" w:rsidRPr="001774B5" w:rsidRDefault="00D60A82" w:rsidP="006B1A90">
      <w:pPr>
        <w:widowControl/>
        <w:ind w:firstLine="720"/>
      </w:pPr>
      <w:r w:rsidRPr="001774B5">
        <w:t>For purposes of this ICR, it is important that the burdens and costs be calculated only in terms of incremental impacts for units subject to the Acid Rain Program</w:t>
      </w:r>
      <w:r w:rsidR="00617BBA" w:rsidRPr="001774B5">
        <w:t xml:space="preserve">. </w:t>
      </w:r>
      <w:r w:rsidR="00AD2C6A" w:rsidRPr="001774B5">
        <w:t>As such</w:t>
      </w:r>
      <w:r w:rsidRPr="001774B5">
        <w:t>, the labor hour and cost estimates per unit</w:t>
      </w:r>
      <w:r w:rsidR="00B4106B" w:rsidRPr="001774B5">
        <w:t xml:space="preserve"> or facility</w:t>
      </w:r>
      <w:r w:rsidR="00AD2C6A" w:rsidRPr="001774B5">
        <w:t>, as</w:t>
      </w:r>
      <w:r w:rsidRPr="001774B5">
        <w:t xml:space="preserve"> identified in this document, represent the weighted average burden and cost for all units and do not represent the actual burden and cost for a particular unit</w:t>
      </w:r>
      <w:r w:rsidR="00B4106B" w:rsidRPr="001774B5">
        <w:t xml:space="preserve"> or facility</w:t>
      </w:r>
      <w:r w:rsidR="00617BBA" w:rsidRPr="001774B5">
        <w:t xml:space="preserve">. </w:t>
      </w:r>
      <w:r w:rsidR="00B4106B" w:rsidRPr="001774B5">
        <w:t>In addition, this ICR does not attempt to take into account the potential for sources to use monitoring equipment required under another program (such as a 40 CFR Part 60 New Source Performance Standard)</w:t>
      </w:r>
      <w:r w:rsidR="00617BBA" w:rsidRPr="001774B5">
        <w:t xml:space="preserve">. </w:t>
      </w:r>
      <w:r w:rsidR="00B4106B" w:rsidRPr="001774B5">
        <w:t>As such, the weighting is a conservative estimate.</w:t>
      </w:r>
    </w:p>
    <w:p w:rsidR="00D60A82" w:rsidRPr="001774B5" w:rsidRDefault="00D60A82" w:rsidP="006B1A90">
      <w:pPr>
        <w:widowControl/>
        <w:ind w:firstLine="720"/>
      </w:pPr>
      <w:r w:rsidRPr="001774B5">
        <w:t>The following discussion highlights some of the basic differences for the categories of units</w:t>
      </w:r>
      <w:r w:rsidR="00617BBA" w:rsidRPr="001774B5">
        <w:t xml:space="preserve">. </w:t>
      </w:r>
      <w:r w:rsidRPr="001774B5">
        <w:t xml:space="preserve">Included in this discussion is the consideration of monitoring and reporting </w:t>
      </w:r>
      <w:r w:rsidR="00AD2C6A" w:rsidRPr="001774B5">
        <w:t xml:space="preserve">activities </w:t>
      </w:r>
      <w:r w:rsidRPr="001774B5">
        <w:t xml:space="preserve">that </w:t>
      </w:r>
      <w:r w:rsidR="00AD2C6A" w:rsidRPr="001774B5">
        <w:t>are</w:t>
      </w:r>
      <w:r w:rsidRPr="001774B5">
        <w:t xml:space="preserve"> </w:t>
      </w:r>
      <w:r w:rsidR="00AD2C6A" w:rsidRPr="001774B5">
        <w:t>currently completed</w:t>
      </w:r>
      <w:r w:rsidR="00AD2C6A" w:rsidRPr="001774B5" w:rsidDel="00AD2C6A">
        <w:t xml:space="preserve"> </w:t>
      </w:r>
      <w:r w:rsidRPr="001774B5">
        <w:t>by many of these sources under the Acid Rain Program.</w:t>
      </w:r>
    </w:p>
    <w:p w:rsidR="00D60A82" w:rsidRPr="001774B5" w:rsidRDefault="00D60A82" w:rsidP="006B1A90">
      <w:pPr>
        <w:widowControl/>
        <w:ind w:firstLine="720"/>
      </w:pPr>
    </w:p>
    <w:p w:rsidR="00D60A82" w:rsidRPr="001774B5" w:rsidRDefault="00D60A82" w:rsidP="006B1A90">
      <w:pPr>
        <w:widowControl/>
        <w:ind w:firstLine="720"/>
      </w:pPr>
      <w:r w:rsidRPr="001774B5">
        <w:t xml:space="preserve">Trading units </w:t>
      </w:r>
      <w:r w:rsidR="009A7674" w:rsidRPr="001774B5">
        <w:t xml:space="preserve">subject to the Acid Rain Program that are located </w:t>
      </w:r>
      <w:r w:rsidRPr="001774B5">
        <w:t>in</w:t>
      </w:r>
      <w:r w:rsidR="006B1A90" w:rsidRPr="001774B5">
        <w:t xml:space="preserve"> </w:t>
      </w:r>
      <w:r w:rsidR="00B4106B" w:rsidRPr="001774B5">
        <w:t xml:space="preserve">a </w:t>
      </w:r>
      <w:smartTag w:uri="urn:schemas-microsoft-com:office:smarttags" w:element="place">
        <w:smartTag w:uri="urn:schemas-microsoft-com:office:smarttags" w:element="PlaceName">
          <w:r w:rsidR="00B4106B" w:rsidRPr="001774B5">
            <w:t>CAIR</w:t>
          </w:r>
        </w:smartTag>
        <w:r w:rsidR="00B4106B" w:rsidRPr="001774B5">
          <w:t xml:space="preserve"> </w:t>
        </w:r>
        <w:smartTag w:uri="urn:schemas-microsoft-com:office:smarttags" w:element="PlaceType">
          <w:r w:rsidR="00C86612">
            <w:t>State</w:t>
          </w:r>
        </w:smartTag>
      </w:smartTag>
      <w:r w:rsidRPr="001774B5">
        <w:t xml:space="preserve"> will have the smallest overall impact with regard to monitoring and reporting</w:t>
      </w:r>
      <w:r w:rsidR="00617BBA" w:rsidRPr="001774B5">
        <w:t xml:space="preserve">. </w:t>
      </w:r>
      <w:r w:rsidRPr="001774B5">
        <w:t>Acid Rain</w:t>
      </w:r>
      <w:r w:rsidR="00257010" w:rsidRPr="001774B5">
        <w:t xml:space="preserve"> Program</w:t>
      </w:r>
      <w:r w:rsidRPr="001774B5">
        <w:t>-affected units already monitor and report both SO</w:t>
      </w:r>
      <w:r w:rsidRPr="001774B5">
        <w:rPr>
          <w:vertAlign w:val="subscript"/>
        </w:rPr>
        <w:t>2</w:t>
      </w:r>
      <w:r w:rsidRPr="001774B5">
        <w:t xml:space="preserve"> </w:t>
      </w:r>
      <w:r w:rsidR="00B4106B" w:rsidRPr="001774B5">
        <w:t xml:space="preserve">mass emissions </w:t>
      </w:r>
      <w:r w:rsidRPr="001774B5">
        <w:t xml:space="preserve">and </w:t>
      </w:r>
      <w:proofErr w:type="spellStart"/>
      <w:r w:rsidRPr="001774B5">
        <w:t>NO</w:t>
      </w:r>
      <w:r w:rsidR="0031501F" w:rsidRPr="001774B5">
        <w:rPr>
          <w:vertAlign w:val="subscript"/>
        </w:rPr>
        <w:t>x</w:t>
      </w:r>
      <w:proofErr w:type="spellEnd"/>
      <w:r w:rsidRPr="001774B5">
        <w:t xml:space="preserve"> emission</w:t>
      </w:r>
      <w:r w:rsidR="00B4106B" w:rsidRPr="001774B5">
        <w:t xml:space="preserve"> rates</w:t>
      </w:r>
      <w:r w:rsidRPr="001774B5">
        <w:t xml:space="preserve"> on a year round basis and will not incur additional burdens (or capital and operating and maintenance costs) as a result of </w:t>
      </w:r>
      <w:r w:rsidR="002A0E04" w:rsidRPr="001774B5">
        <w:t>CAIR</w:t>
      </w:r>
      <w:r w:rsidRPr="001774B5">
        <w:t xml:space="preserve"> since they have already installed and are operating a CEMS (or approved alternative).  </w:t>
      </w:r>
    </w:p>
    <w:p w:rsidR="00D60A82" w:rsidRPr="001774B5" w:rsidRDefault="00D60A82" w:rsidP="00EE6D32">
      <w:pPr>
        <w:widowControl/>
      </w:pPr>
    </w:p>
    <w:p w:rsidR="00D60A82" w:rsidRPr="001774B5" w:rsidRDefault="00D60A82" w:rsidP="00C4470D">
      <w:pPr>
        <w:keepNext/>
        <w:keepLines/>
        <w:widowControl/>
        <w:ind w:firstLine="720"/>
      </w:pPr>
      <w:r w:rsidRPr="001774B5">
        <w:lastRenderedPageBreak/>
        <w:t xml:space="preserve">Trading units </w:t>
      </w:r>
      <w:r w:rsidR="009A7674" w:rsidRPr="001774B5">
        <w:t xml:space="preserve">not subject to the Acid Rain Program that are located </w:t>
      </w:r>
      <w:r w:rsidRPr="001774B5">
        <w:t xml:space="preserve">in </w:t>
      </w:r>
      <w:r w:rsidR="008241F1" w:rsidRPr="001774B5">
        <w:t>a CAIR</w:t>
      </w:r>
      <w:r w:rsidRPr="001774B5">
        <w:t xml:space="preserve"> </w:t>
      </w:r>
      <w:r w:rsidR="00C86612">
        <w:t>State</w:t>
      </w:r>
      <w:r w:rsidR="009A7674" w:rsidRPr="001774B5">
        <w:t xml:space="preserve"> </w:t>
      </w:r>
      <w:r w:rsidRPr="001774B5">
        <w:t>incur the largest impact with regard to monitoring</w:t>
      </w:r>
      <w:r w:rsidR="00617BBA" w:rsidRPr="001774B5">
        <w:t xml:space="preserve">. </w:t>
      </w:r>
      <w:r w:rsidR="008241F1" w:rsidRPr="001774B5">
        <w:t>For the CAIR ozone season program, this ICR incorporates the monitoring burdens</w:t>
      </w:r>
      <w:r w:rsidR="00532633">
        <w:t xml:space="preserve"> and annualized capital and start-up cost</w:t>
      </w:r>
      <w:r w:rsidR="008241F1" w:rsidRPr="001774B5">
        <w:t xml:space="preserve"> previously accounted for under the </w:t>
      </w:r>
      <w:proofErr w:type="spellStart"/>
      <w:r w:rsidR="00F76419" w:rsidRPr="001774B5">
        <w:t>NO</w:t>
      </w:r>
      <w:r w:rsidR="0031501F" w:rsidRPr="001774B5">
        <w:rPr>
          <w:vertAlign w:val="subscript"/>
        </w:rPr>
        <w:t>x</w:t>
      </w:r>
      <w:proofErr w:type="spellEnd"/>
      <w:r w:rsidR="00F76419" w:rsidRPr="001774B5">
        <w:t xml:space="preserve"> </w:t>
      </w:r>
      <w:r w:rsidR="008241F1" w:rsidRPr="001774B5">
        <w:t xml:space="preserve">SIP Call ICR (ICR Number </w:t>
      </w:r>
      <w:r w:rsidR="00F76419" w:rsidRPr="001774B5">
        <w:t>1857.03)</w:t>
      </w:r>
      <w:r w:rsidR="00617BBA" w:rsidRPr="001774B5">
        <w:t xml:space="preserve">. </w:t>
      </w:r>
      <w:r w:rsidR="00F76419" w:rsidRPr="001774B5">
        <w:t xml:space="preserve">CAIR annual </w:t>
      </w:r>
      <w:proofErr w:type="spellStart"/>
      <w:r w:rsidR="00F76419" w:rsidRPr="001774B5">
        <w:t>NO</w:t>
      </w:r>
      <w:r w:rsidR="0031501F" w:rsidRPr="001774B5">
        <w:rPr>
          <w:vertAlign w:val="subscript"/>
        </w:rPr>
        <w:t>x</w:t>
      </w:r>
      <w:proofErr w:type="spellEnd"/>
      <w:r w:rsidR="00F76419" w:rsidRPr="001774B5">
        <w:t xml:space="preserve"> and SO</w:t>
      </w:r>
      <w:r w:rsidR="00F76419" w:rsidRPr="001774B5">
        <w:rPr>
          <w:vertAlign w:val="subscript"/>
        </w:rPr>
        <w:t>2</w:t>
      </w:r>
      <w:r w:rsidR="00F76419" w:rsidRPr="001774B5">
        <w:t xml:space="preserve"> programs (</w:t>
      </w:r>
      <w:r w:rsidR="008A1737" w:rsidRPr="001774B5">
        <w:t>in</w:t>
      </w:r>
      <w:r w:rsidR="00F76419" w:rsidRPr="001774B5">
        <w:t xml:space="preserve"> </w:t>
      </w:r>
      <w:r w:rsidR="00C86612">
        <w:t>State</w:t>
      </w:r>
      <w:r w:rsidR="00F76419" w:rsidRPr="001774B5">
        <w:t>s not previously covered by the SIP Call</w:t>
      </w:r>
      <w:r w:rsidR="008A1737" w:rsidRPr="001774B5">
        <w:t xml:space="preserve"> or in</w:t>
      </w:r>
      <w:r w:rsidR="00F76419" w:rsidRPr="001774B5">
        <w:t xml:space="preserve"> the CAIR ozone season program), </w:t>
      </w:r>
      <w:r w:rsidRPr="001774B5">
        <w:t xml:space="preserve">sources </w:t>
      </w:r>
      <w:r w:rsidR="009A7674" w:rsidRPr="001774B5">
        <w:t xml:space="preserve">monitor and report </w:t>
      </w:r>
      <w:proofErr w:type="spellStart"/>
      <w:r w:rsidR="009A7674" w:rsidRPr="001774B5">
        <w:t>NO</w:t>
      </w:r>
      <w:r w:rsidR="0031501F" w:rsidRPr="001774B5">
        <w:rPr>
          <w:vertAlign w:val="subscript"/>
        </w:rPr>
        <w:t>x</w:t>
      </w:r>
      <w:proofErr w:type="spellEnd"/>
      <w:r w:rsidR="009A7674" w:rsidRPr="001774B5">
        <w:t xml:space="preserve"> emissions during the O</w:t>
      </w:r>
      <w:r w:rsidR="009A7674" w:rsidRPr="001774B5">
        <w:rPr>
          <w:vertAlign w:val="subscript"/>
        </w:rPr>
        <w:t>3</w:t>
      </w:r>
      <w:r w:rsidR="009A7674" w:rsidRPr="001774B5">
        <w:t xml:space="preserve"> season and </w:t>
      </w:r>
      <w:r w:rsidR="004509EC" w:rsidRPr="001774B5">
        <w:t xml:space="preserve">on an </w:t>
      </w:r>
      <w:r w:rsidR="009A7674" w:rsidRPr="001774B5">
        <w:t xml:space="preserve">annual basis </w:t>
      </w:r>
      <w:r w:rsidR="004509EC" w:rsidRPr="001774B5">
        <w:t>as well as</w:t>
      </w:r>
      <w:r w:rsidR="009A7674" w:rsidRPr="001774B5">
        <w:t xml:space="preserve"> SO</w:t>
      </w:r>
      <w:r w:rsidR="009A7674" w:rsidRPr="001774B5">
        <w:rPr>
          <w:vertAlign w:val="subscript"/>
        </w:rPr>
        <w:t>2</w:t>
      </w:r>
      <w:r w:rsidR="009A7674" w:rsidRPr="001774B5">
        <w:t xml:space="preserve"> </w:t>
      </w:r>
      <w:r w:rsidR="004509EC" w:rsidRPr="001774B5">
        <w:t>on an annual basis</w:t>
      </w:r>
      <w:r w:rsidR="00617BBA" w:rsidRPr="001774B5">
        <w:t xml:space="preserve">. </w:t>
      </w:r>
      <w:r w:rsidR="004509EC" w:rsidRPr="001774B5">
        <w:t xml:space="preserve">The burdens </w:t>
      </w:r>
      <w:r w:rsidR="00324EA2">
        <w:t>are</w:t>
      </w:r>
      <w:r w:rsidR="004509EC" w:rsidRPr="001774B5">
        <w:t xml:space="preserve"> less in </w:t>
      </w:r>
      <w:r w:rsidR="00C86612">
        <w:t>State</w:t>
      </w:r>
      <w:r w:rsidR="004509EC" w:rsidRPr="001774B5">
        <w:t xml:space="preserve">s that are subject only to the CAIR ozone season </w:t>
      </w:r>
      <w:proofErr w:type="spellStart"/>
      <w:r w:rsidR="004509EC" w:rsidRPr="001774B5">
        <w:t>NO</w:t>
      </w:r>
      <w:r w:rsidR="0031501F" w:rsidRPr="001774B5">
        <w:rPr>
          <w:vertAlign w:val="subscript"/>
        </w:rPr>
        <w:t>x</w:t>
      </w:r>
      <w:proofErr w:type="spellEnd"/>
      <w:r w:rsidR="004509EC" w:rsidRPr="001774B5">
        <w:t xml:space="preserve"> program</w:t>
      </w:r>
      <w:r w:rsidR="00617BBA" w:rsidRPr="001774B5">
        <w:t xml:space="preserve">. </w:t>
      </w:r>
      <w:r w:rsidR="009A7674" w:rsidRPr="001774B5">
        <w:t>These units have additional burden associated with permit applications and certain allowance transactions</w:t>
      </w:r>
      <w:r w:rsidR="00617BBA" w:rsidRPr="001774B5">
        <w:t xml:space="preserve">. </w:t>
      </w:r>
      <w:r w:rsidRPr="001774B5">
        <w:t>Monitoring depend</w:t>
      </w:r>
      <w:r w:rsidR="00324EA2">
        <w:t>s</w:t>
      </w:r>
      <w:r w:rsidRPr="001774B5">
        <w:t xml:space="preserve"> on the type of fuel and the amount of time the unit is operated</w:t>
      </w:r>
      <w:r w:rsidR="00617BBA" w:rsidRPr="001774B5">
        <w:t xml:space="preserve">. </w:t>
      </w:r>
      <w:r w:rsidRPr="001774B5">
        <w:t>Therefore, the costs</w:t>
      </w:r>
      <w:r w:rsidR="00324EA2">
        <w:t xml:space="preserve"> </w:t>
      </w:r>
      <w:r w:rsidRPr="001774B5">
        <w:t xml:space="preserve">vary depending on </w:t>
      </w:r>
      <w:r w:rsidR="00C43E45" w:rsidRPr="001774B5">
        <w:t xml:space="preserve">the appropriate </w:t>
      </w:r>
      <w:r w:rsidRPr="001774B5">
        <w:t>monitoring alternative</w:t>
      </w:r>
      <w:r w:rsidR="00C43E45" w:rsidRPr="001774B5">
        <w:t xml:space="preserve"> and the </w:t>
      </w:r>
      <w:r w:rsidRPr="001774B5">
        <w:t xml:space="preserve">monitoring </w:t>
      </w:r>
      <w:r w:rsidR="00617BBA" w:rsidRPr="001774B5">
        <w:t xml:space="preserve">requirements. </w:t>
      </w:r>
      <w:r w:rsidR="00C4470D">
        <w:t>Table 6-1</w:t>
      </w:r>
      <w:r w:rsidRPr="001774B5">
        <w:t xml:space="preserve"> shows the burden associated with monitoring SO</w:t>
      </w:r>
      <w:r w:rsidRPr="001774B5">
        <w:rPr>
          <w:vertAlign w:val="subscript"/>
        </w:rPr>
        <w:t>2</w:t>
      </w:r>
      <w:r w:rsidRPr="001774B5">
        <w:t xml:space="preserve"> and </w:t>
      </w:r>
      <w:proofErr w:type="spellStart"/>
      <w:r w:rsidRPr="001774B5">
        <w:t>NO</w:t>
      </w:r>
      <w:r w:rsidR="0031501F" w:rsidRPr="001774B5">
        <w:rPr>
          <w:vertAlign w:val="subscript"/>
        </w:rPr>
        <w:t>x</w:t>
      </w:r>
      <w:proofErr w:type="spellEnd"/>
      <w:r w:rsidRPr="001774B5">
        <w:t xml:space="preserve"> under </w:t>
      </w:r>
      <w:r w:rsidR="004509EC" w:rsidRPr="001774B5">
        <w:t xml:space="preserve">the </w:t>
      </w:r>
      <w:r w:rsidRPr="001774B5">
        <w:t>CAIR trading programs at the various types of sources.</w:t>
      </w:r>
    </w:p>
    <w:p w:rsidR="00D60A82" w:rsidRPr="001774B5" w:rsidRDefault="00D60A82" w:rsidP="006B1A90">
      <w:pPr>
        <w:widowControl/>
        <w:ind w:firstLine="720"/>
      </w:pPr>
    </w:p>
    <w:p w:rsidR="00910C2E" w:rsidRDefault="00D60A82" w:rsidP="006B1A90">
      <w:pPr>
        <w:widowControl/>
        <w:ind w:firstLine="720"/>
        <w:rPr>
          <w:i/>
          <w:iCs/>
        </w:rPr>
      </w:pPr>
      <w:r w:rsidRPr="001774B5">
        <w:t>The primary tasks performed by owners and operators of affected units are</w:t>
      </w:r>
      <w:r w:rsidR="00E046C8" w:rsidRPr="001774B5">
        <w:t xml:space="preserve">: </w:t>
      </w:r>
      <w:r w:rsidRPr="001774B5">
        <w:t xml:space="preserve"> 1) permitting</w:t>
      </w:r>
      <w:r w:rsidR="00E046C8" w:rsidRPr="001774B5">
        <w:t>;</w:t>
      </w:r>
      <w:r w:rsidRPr="001774B5">
        <w:t xml:space="preserve"> 2) monitoring, recording, and reporting emissions data</w:t>
      </w:r>
      <w:r w:rsidR="00E046C8" w:rsidRPr="001774B5">
        <w:t>;</w:t>
      </w:r>
      <w:r w:rsidRPr="001774B5">
        <w:t xml:space="preserve"> 3) allowance trading activities</w:t>
      </w:r>
      <w:r w:rsidR="00E046C8" w:rsidRPr="001774B5">
        <w:t>;</w:t>
      </w:r>
      <w:r w:rsidRPr="001774B5">
        <w:t xml:space="preserve"> and 4) submittal of the year end compliance certification.</w:t>
      </w:r>
    </w:p>
    <w:p w:rsidR="00910C2E" w:rsidRDefault="00910C2E" w:rsidP="006B1A90">
      <w:pPr>
        <w:widowControl/>
        <w:ind w:firstLine="720"/>
        <w:rPr>
          <w:i/>
          <w:iCs/>
        </w:rPr>
      </w:pPr>
    </w:p>
    <w:p w:rsidR="00D60A82" w:rsidRPr="001774B5" w:rsidRDefault="00D60A82" w:rsidP="006B1A90">
      <w:pPr>
        <w:widowControl/>
        <w:ind w:firstLine="720"/>
      </w:pPr>
      <w:r w:rsidRPr="001774B5">
        <w:rPr>
          <w:i/>
          <w:iCs/>
        </w:rPr>
        <w:t>(</w:t>
      </w:r>
      <w:proofErr w:type="spellStart"/>
      <w:r w:rsidRPr="001774B5">
        <w:rPr>
          <w:i/>
          <w:iCs/>
        </w:rPr>
        <w:t>i</w:t>
      </w:r>
      <w:proofErr w:type="spellEnd"/>
      <w:r w:rsidRPr="001774B5">
        <w:rPr>
          <w:i/>
          <w:iCs/>
        </w:rPr>
        <w:t>)  Permitting</w:t>
      </w:r>
    </w:p>
    <w:p w:rsidR="00D60A82" w:rsidRPr="001774B5" w:rsidRDefault="00D60A82" w:rsidP="00EE6D32">
      <w:pPr>
        <w:widowControl/>
      </w:pPr>
    </w:p>
    <w:p w:rsidR="00D60A82" w:rsidRPr="001774B5" w:rsidRDefault="00D60A82" w:rsidP="006B1A90">
      <w:pPr>
        <w:widowControl/>
        <w:ind w:firstLine="720"/>
      </w:pPr>
      <w:r w:rsidRPr="001774B5">
        <w:t>Each affected entity will have to submit a permit revision application to include in the source</w:t>
      </w:r>
      <w:smartTag w:uri="urn:schemas-microsoft-com:office:smarttags" w:element="PersonName">
        <w:r w:rsidR="001774B5">
          <w:t>'</w:t>
        </w:r>
      </w:smartTag>
      <w:r w:rsidRPr="001774B5">
        <w:t>s Title V permit the necessary conditions related to compliance with the CAIR Trading Programs</w:t>
      </w:r>
      <w:r w:rsidR="00617BBA" w:rsidRPr="001774B5">
        <w:t xml:space="preserve">. </w:t>
      </w:r>
      <w:r w:rsidRPr="001774B5">
        <w:t xml:space="preserve">The Agency </w:t>
      </w:r>
      <w:r w:rsidR="004509EC" w:rsidRPr="001774B5">
        <w:t>included the burden for this application process in the 2006-2008</w:t>
      </w:r>
      <w:r w:rsidR="00324EA2">
        <w:t xml:space="preserve"> and 2009-2011</w:t>
      </w:r>
      <w:r w:rsidR="004509EC" w:rsidRPr="001774B5">
        <w:t xml:space="preserve"> time period</w:t>
      </w:r>
      <w:r w:rsidR="00324EA2">
        <w:t>s</w:t>
      </w:r>
      <w:r w:rsidR="00617BBA" w:rsidRPr="001774B5">
        <w:t xml:space="preserve">. </w:t>
      </w:r>
      <w:r w:rsidR="004509EC" w:rsidRPr="001774B5">
        <w:t>For this renewal ICR, covering 20</w:t>
      </w:r>
      <w:r w:rsidR="00324EA2">
        <w:t>12</w:t>
      </w:r>
      <w:r w:rsidR="004509EC" w:rsidRPr="001774B5">
        <w:t xml:space="preserve"> through 20</w:t>
      </w:r>
      <w:r w:rsidR="00324EA2">
        <w:t>14</w:t>
      </w:r>
      <w:r w:rsidR="004509EC" w:rsidRPr="001774B5">
        <w:t xml:space="preserve">, EPA estimates that approximately </w:t>
      </w:r>
      <w:r w:rsidR="00324EA2">
        <w:t>one</w:t>
      </w:r>
      <w:r w:rsidR="004509EC" w:rsidRPr="001774B5">
        <w:t xml:space="preserve"> percent of the sources may still need to complete some permit application steps (such as to correct issues/problems)</w:t>
      </w:r>
      <w:r w:rsidR="00617BBA" w:rsidRPr="001774B5">
        <w:t xml:space="preserve">. </w:t>
      </w:r>
      <w:r w:rsidR="004509EC" w:rsidRPr="001774B5">
        <w:t xml:space="preserve">EPA </w:t>
      </w:r>
      <w:r w:rsidRPr="001774B5">
        <w:t xml:space="preserve">believes that this application should be relatively </w:t>
      </w:r>
      <w:proofErr w:type="gramStart"/>
      <w:r w:rsidRPr="001774B5">
        <w:t>routine</w:t>
      </w:r>
      <w:proofErr w:type="gramEnd"/>
      <w:r w:rsidRPr="001774B5">
        <w:t>, and that a standard method of incorporating the requirements by reference or a standard set of permit conditions will be available</w:t>
      </w:r>
      <w:r w:rsidR="00617BBA" w:rsidRPr="001774B5">
        <w:t xml:space="preserve">. </w:t>
      </w:r>
      <w:r w:rsidRPr="001774B5">
        <w:t>The Agency estimates that, on a per unit basis</w:t>
      </w:r>
      <w:r w:rsidR="00483C09" w:rsidRPr="001774B5">
        <w:t>, about four</w:t>
      </w:r>
      <w:r w:rsidRPr="001774B5">
        <w:t xml:space="preserve"> managerial hours will be required to revise the Title V permit.</w:t>
      </w:r>
    </w:p>
    <w:p w:rsidR="00D60A82" w:rsidRPr="001774B5" w:rsidRDefault="00D60A82" w:rsidP="006B1A90">
      <w:pPr>
        <w:widowControl/>
        <w:ind w:firstLine="720"/>
      </w:pPr>
    </w:p>
    <w:p w:rsidR="00674C0F" w:rsidRPr="001774B5" w:rsidRDefault="00D60A82" w:rsidP="00674C0F">
      <w:pPr>
        <w:widowControl/>
        <w:ind w:firstLine="720"/>
      </w:pPr>
      <w:r w:rsidRPr="001774B5">
        <w:t>Some sources will also be required to construct additional facilities, and therefore will need to complete a permit to construct application</w:t>
      </w:r>
      <w:r w:rsidR="00617BBA" w:rsidRPr="001774B5">
        <w:t xml:space="preserve">. </w:t>
      </w:r>
      <w:r w:rsidRPr="001774B5">
        <w:t xml:space="preserve">The Agency estimates that this requirement will be necessary for all coal-fired units that are not in the Acid Rain Program and that the task will take 20 hours of </w:t>
      </w:r>
      <w:proofErr w:type="gramStart"/>
      <w:r w:rsidRPr="001774B5">
        <w:t>managerial</w:t>
      </w:r>
      <w:proofErr w:type="gramEnd"/>
      <w:r w:rsidRPr="001774B5">
        <w:t xml:space="preserve"> and 20 hours of technician time, per permit</w:t>
      </w:r>
      <w:r w:rsidR="00617BBA" w:rsidRPr="001774B5">
        <w:t xml:space="preserve">. </w:t>
      </w:r>
      <w:r w:rsidR="004509EC" w:rsidRPr="001774B5">
        <w:t>This action was previously accounted for in the 2006 through 2008</w:t>
      </w:r>
      <w:r w:rsidR="00324EA2">
        <w:t xml:space="preserve"> and 2009 through 2011</w:t>
      </w:r>
      <w:r w:rsidR="004509EC" w:rsidRPr="001774B5">
        <w:t xml:space="preserve"> </w:t>
      </w:r>
      <w:r w:rsidR="00324EA2">
        <w:t>ICR</w:t>
      </w:r>
      <w:r w:rsidR="005736B7">
        <w:t xml:space="preserve"> periods</w:t>
      </w:r>
      <w:r w:rsidR="004509EC" w:rsidRPr="001774B5">
        <w:t>, and EPA estimates th</w:t>
      </w:r>
      <w:r w:rsidR="00483C09" w:rsidRPr="001774B5">
        <w:t>at in 20</w:t>
      </w:r>
      <w:r w:rsidR="00324EA2">
        <w:t>12</w:t>
      </w:r>
      <w:r w:rsidR="00483C09" w:rsidRPr="001774B5">
        <w:t xml:space="preserve"> through 201</w:t>
      </w:r>
      <w:r w:rsidR="00324EA2">
        <w:t>4</w:t>
      </w:r>
      <w:r w:rsidR="00483C09" w:rsidRPr="001774B5">
        <w:t xml:space="preserve">, only </w:t>
      </w:r>
      <w:r w:rsidR="00324EA2">
        <w:t>one</w:t>
      </w:r>
      <w:r w:rsidR="004509EC" w:rsidRPr="001774B5">
        <w:t xml:space="preserve"> percent of the sources will need to undertake further steps in this process.</w:t>
      </w:r>
    </w:p>
    <w:p w:rsidR="00D60A82" w:rsidRPr="001774B5" w:rsidRDefault="00D60A82" w:rsidP="006B1A90">
      <w:pPr>
        <w:widowControl/>
        <w:ind w:firstLine="720"/>
      </w:pPr>
    </w:p>
    <w:p w:rsidR="00D60A82" w:rsidRPr="001774B5" w:rsidRDefault="00D60A82" w:rsidP="006B1A90">
      <w:pPr>
        <w:widowControl/>
        <w:ind w:firstLine="720"/>
      </w:pPr>
      <w:r w:rsidRPr="001774B5">
        <w:rPr>
          <w:i/>
          <w:iCs/>
        </w:rPr>
        <w:t>(ii)  Monitoring</w:t>
      </w:r>
      <w:r w:rsidRPr="001774B5">
        <w:t>.</w:t>
      </w:r>
    </w:p>
    <w:p w:rsidR="00D60A82" w:rsidRPr="001774B5" w:rsidRDefault="00D60A82" w:rsidP="00EE6D32">
      <w:pPr>
        <w:widowControl/>
      </w:pPr>
    </w:p>
    <w:p w:rsidR="00D60A82" w:rsidRPr="001774B5" w:rsidRDefault="00D60A82" w:rsidP="006B1A90">
      <w:pPr>
        <w:widowControl/>
        <w:ind w:firstLine="720"/>
      </w:pPr>
      <w:r w:rsidRPr="001774B5">
        <w:t>For monitoring, the burdens differ greatly based on the amount and type of monitoring the unit is already subject to and the particular subtask of monitoring being conducted</w:t>
      </w:r>
      <w:r w:rsidR="00617BBA" w:rsidRPr="001774B5">
        <w:t xml:space="preserve">. </w:t>
      </w:r>
      <w:r w:rsidRPr="001774B5">
        <w:t>The specific elements of burden are:</w:t>
      </w:r>
    </w:p>
    <w:p w:rsidR="00D60A82" w:rsidRPr="001774B5" w:rsidRDefault="00D60A82" w:rsidP="006B1A90">
      <w:pPr>
        <w:widowControl/>
        <w:ind w:firstLine="720"/>
      </w:pPr>
    </w:p>
    <w:p w:rsidR="00EF31C7" w:rsidRPr="00B05753" w:rsidRDefault="00D60A82" w:rsidP="00EF31C7">
      <w:pPr>
        <w:widowControl/>
        <w:ind w:firstLine="720"/>
      </w:pPr>
      <w:proofErr w:type="gramStart"/>
      <w:r w:rsidRPr="001774B5">
        <w:rPr>
          <w:i/>
          <w:iCs/>
        </w:rPr>
        <w:t>Start-up Activities</w:t>
      </w:r>
      <w:r w:rsidR="00617BBA" w:rsidRPr="001774B5">
        <w:rPr>
          <w:i/>
          <w:iCs/>
        </w:rPr>
        <w:t>.</w:t>
      </w:r>
      <w:proofErr w:type="gramEnd"/>
      <w:r w:rsidR="00617BBA" w:rsidRPr="001774B5">
        <w:t xml:space="preserve"> </w:t>
      </w:r>
      <w:r w:rsidRPr="001774B5">
        <w:t>A large part of start-up activities involves capital and test contractor costs</w:t>
      </w:r>
      <w:r w:rsidR="00617BBA" w:rsidRPr="001774B5">
        <w:t xml:space="preserve">. </w:t>
      </w:r>
      <w:r w:rsidRPr="001774B5">
        <w:t>However, the owner or operator will incur some labor burden for these activities, as applicable</w:t>
      </w:r>
      <w:r w:rsidR="00617BBA" w:rsidRPr="001774B5">
        <w:t xml:space="preserve">. </w:t>
      </w:r>
      <w:r w:rsidRPr="001774B5">
        <w:t xml:space="preserve">For Acid Rain units </w:t>
      </w:r>
      <w:r w:rsidR="00F25DAA" w:rsidRPr="001774B5">
        <w:t>that were also previously affected by the</w:t>
      </w:r>
      <w:r w:rsidRPr="001774B5">
        <w:t xml:space="preserve"> </w:t>
      </w:r>
      <w:proofErr w:type="spellStart"/>
      <w:r w:rsidRPr="001774B5">
        <w:t>NO</w:t>
      </w:r>
      <w:r w:rsidR="0031501F" w:rsidRPr="001774B5">
        <w:rPr>
          <w:vertAlign w:val="subscript"/>
        </w:rPr>
        <w:t>x</w:t>
      </w:r>
      <w:proofErr w:type="spellEnd"/>
      <w:r w:rsidRPr="001774B5">
        <w:t xml:space="preserve"> SIP Call, CAIR imposes no start-up burdens beyond existing programs</w:t>
      </w:r>
      <w:r w:rsidR="00617BBA" w:rsidRPr="001774B5">
        <w:t xml:space="preserve">. </w:t>
      </w:r>
      <w:r w:rsidR="00324EA2">
        <w:t>A</w:t>
      </w:r>
      <w:r w:rsidR="00F25DAA" w:rsidRPr="001774B5">
        <w:t xml:space="preserve"> small burden associated with DAHS </w:t>
      </w:r>
      <w:r w:rsidR="00F25DAA" w:rsidRPr="001774B5">
        <w:lastRenderedPageBreak/>
        <w:t xml:space="preserve">upgrades for those ARP units not previously affected by the </w:t>
      </w:r>
      <w:proofErr w:type="spellStart"/>
      <w:r w:rsidR="00F25DAA" w:rsidRPr="001774B5">
        <w:t>NO</w:t>
      </w:r>
      <w:r w:rsidR="0031501F" w:rsidRPr="001774B5">
        <w:rPr>
          <w:vertAlign w:val="subscript"/>
        </w:rPr>
        <w:t>x</w:t>
      </w:r>
      <w:proofErr w:type="spellEnd"/>
      <w:r w:rsidR="00F25DAA" w:rsidRPr="001774B5">
        <w:t xml:space="preserve"> SIP Call</w:t>
      </w:r>
      <w:r w:rsidR="00324EA2">
        <w:t xml:space="preserve"> was accounted for in the 2009-2011 time period</w:t>
      </w:r>
      <w:r w:rsidR="00617BBA" w:rsidRPr="001774B5">
        <w:t xml:space="preserve">. </w:t>
      </w:r>
      <w:r w:rsidRPr="001774B5">
        <w:t>For the non-Acid Rain units</w:t>
      </w:r>
      <w:r w:rsidR="004509EC" w:rsidRPr="001774B5">
        <w:t xml:space="preserve">, </w:t>
      </w:r>
      <w:r w:rsidRPr="001774B5">
        <w:t>the burdens reflect arranging for SO</w:t>
      </w:r>
      <w:r w:rsidRPr="001774B5">
        <w:rPr>
          <w:vertAlign w:val="subscript"/>
        </w:rPr>
        <w:t>2</w:t>
      </w:r>
      <w:r w:rsidRPr="001774B5">
        <w:t xml:space="preserve"> </w:t>
      </w:r>
      <w:r w:rsidR="004509EC" w:rsidRPr="001774B5">
        <w:t xml:space="preserve">and </w:t>
      </w:r>
      <w:proofErr w:type="spellStart"/>
      <w:r w:rsidR="004509EC" w:rsidRPr="001774B5">
        <w:t>NO</w:t>
      </w:r>
      <w:r w:rsidR="0031501F" w:rsidRPr="001774B5">
        <w:rPr>
          <w:vertAlign w:val="subscript"/>
        </w:rPr>
        <w:t>x</w:t>
      </w:r>
      <w:proofErr w:type="spellEnd"/>
      <w:r w:rsidR="004509EC" w:rsidRPr="001774B5">
        <w:t xml:space="preserve"> </w:t>
      </w:r>
      <w:r w:rsidRPr="001774B5">
        <w:t>CEMS purchase (as required) and oversight of the certification process</w:t>
      </w:r>
      <w:r w:rsidR="00617BBA" w:rsidRPr="001774B5">
        <w:t xml:space="preserve">. </w:t>
      </w:r>
      <w:r w:rsidRPr="001774B5">
        <w:t>The non-Acid Rain units in O</w:t>
      </w:r>
      <w:r w:rsidRPr="001774B5">
        <w:rPr>
          <w:vertAlign w:val="subscript"/>
        </w:rPr>
        <w:t>3</w:t>
      </w:r>
      <w:r w:rsidR="00290DC5" w:rsidRPr="001774B5">
        <w:t>-</w:t>
      </w:r>
      <w:r w:rsidR="00F25DAA" w:rsidRPr="001774B5">
        <w:t xml:space="preserve">only </w:t>
      </w:r>
      <w:r w:rsidR="00C86612">
        <w:t>State</w:t>
      </w:r>
      <w:r w:rsidRPr="001774B5">
        <w:t>s</w:t>
      </w:r>
      <w:r w:rsidR="00F25DAA" w:rsidRPr="001774B5">
        <w:t xml:space="preserve"> </w:t>
      </w:r>
      <w:r w:rsidRPr="001774B5">
        <w:t xml:space="preserve">would need to purchase and certify </w:t>
      </w:r>
      <w:r w:rsidR="004509EC" w:rsidRPr="001774B5">
        <w:t xml:space="preserve">only </w:t>
      </w:r>
      <w:proofErr w:type="spellStart"/>
      <w:r w:rsidRPr="001774B5">
        <w:t>NO</w:t>
      </w:r>
      <w:r w:rsidR="0031501F" w:rsidRPr="001774B5">
        <w:rPr>
          <w:vertAlign w:val="subscript"/>
        </w:rPr>
        <w:t>x</w:t>
      </w:r>
      <w:proofErr w:type="spellEnd"/>
      <w:r w:rsidRPr="001774B5">
        <w:t xml:space="preserve"> monitoring systems</w:t>
      </w:r>
      <w:r w:rsidR="00617BBA" w:rsidRPr="001774B5">
        <w:t xml:space="preserve">. </w:t>
      </w:r>
      <w:r w:rsidR="004509EC" w:rsidRPr="001774B5">
        <w:t>In the 20</w:t>
      </w:r>
      <w:r w:rsidR="00324EA2">
        <w:t>12</w:t>
      </w:r>
      <w:r w:rsidR="004509EC" w:rsidRPr="001774B5">
        <w:t xml:space="preserve"> through 201</w:t>
      </w:r>
      <w:r w:rsidR="00324EA2">
        <w:t>4</w:t>
      </w:r>
      <w:r w:rsidR="004509EC" w:rsidRPr="001774B5">
        <w:t xml:space="preserve"> time period, EPA anticipates that purchase and certification has already occurred for all </w:t>
      </w:r>
      <w:proofErr w:type="spellStart"/>
      <w:r w:rsidR="004509EC" w:rsidRPr="001774B5">
        <w:t>NO</w:t>
      </w:r>
      <w:r w:rsidR="0031501F" w:rsidRPr="001774B5">
        <w:rPr>
          <w:vertAlign w:val="subscript"/>
        </w:rPr>
        <w:t>x</w:t>
      </w:r>
      <w:proofErr w:type="spellEnd"/>
      <w:r w:rsidR="004509EC" w:rsidRPr="001774B5">
        <w:t xml:space="preserve"> and SO</w:t>
      </w:r>
      <w:r w:rsidR="004509EC" w:rsidRPr="001774B5">
        <w:rPr>
          <w:vertAlign w:val="subscript"/>
        </w:rPr>
        <w:t>2</w:t>
      </w:r>
      <w:r w:rsidR="004509EC" w:rsidRPr="001774B5">
        <w:t xml:space="preserve"> systems</w:t>
      </w:r>
      <w:r w:rsidR="00617BBA" w:rsidRPr="001774B5">
        <w:t xml:space="preserve">. </w:t>
      </w:r>
      <w:r w:rsidR="004509EC" w:rsidRPr="001774B5">
        <w:t>During this period, only new units will need to go through this process</w:t>
      </w:r>
      <w:r w:rsidR="00617BBA" w:rsidRPr="001774B5">
        <w:t xml:space="preserve">. </w:t>
      </w:r>
      <w:r w:rsidR="004509EC" w:rsidRPr="001774B5">
        <w:t>Some units will also have to recertify their systems</w:t>
      </w:r>
      <w:r w:rsidR="00617BBA" w:rsidRPr="001774B5">
        <w:t xml:space="preserve">. </w:t>
      </w:r>
      <w:r w:rsidR="004509EC" w:rsidRPr="001774B5">
        <w:t>Because capital costs are annualized in prior ICRs</w:t>
      </w:r>
      <w:r w:rsidR="00750CA1" w:rsidRPr="001774B5">
        <w:t xml:space="preserve"> (see ICR Numbers 2152.01</w:t>
      </w:r>
      <w:r w:rsidR="00324EA2">
        <w:t>,</w:t>
      </w:r>
      <w:r w:rsidR="00750CA1" w:rsidRPr="001774B5">
        <w:t xml:space="preserve"> 2152.02</w:t>
      </w:r>
      <w:r w:rsidR="00324EA2">
        <w:t>, and 2152.03</w:t>
      </w:r>
      <w:r w:rsidR="00750CA1" w:rsidRPr="001774B5">
        <w:t>), those annualized capital costs continue to occur in the 20</w:t>
      </w:r>
      <w:r w:rsidR="00324EA2">
        <w:t>12</w:t>
      </w:r>
      <w:r w:rsidR="00750CA1" w:rsidRPr="001774B5">
        <w:t xml:space="preserve"> through 201</w:t>
      </w:r>
      <w:r w:rsidR="00324EA2">
        <w:t>4</w:t>
      </w:r>
      <w:r w:rsidR="00750CA1" w:rsidRPr="001774B5">
        <w:t xml:space="preserve"> period</w:t>
      </w:r>
      <w:r w:rsidR="00617BBA" w:rsidRPr="001774B5">
        <w:t>.</w:t>
      </w:r>
      <w:r w:rsidR="00617BBA">
        <w:t xml:space="preserve"> </w:t>
      </w:r>
      <w:r w:rsidR="00EF31C7">
        <w:t xml:space="preserve">Owners and operators of Acid Rain units, non-Acid Rain units, and </w:t>
      </w:r>
      <w:r w:rsidR="00EF31C7" w:rsidRPr="001774B5">
        <w:t>non-Acid Rain units in O</w:t>
      </w:r>
      <w:r w:rsidR="00EF31C7" w:rsidRPr="001774B5">
        <w:rPr>
          <w:vertAlign w:val="subscript"/>
        </w:rPr>
        <w:t>3</w:t>
      </w:r>
      <w:r w:rsidR="00EF31C7" w:rsidRPr="001774B5">
        <w:t xml:space="preserve">-only </w:t>
      </w:r>
      <w:r w:rsidR="00EF31C7">
        <w:t>State</w:t>
      </w:r>
      <w:r w:rsidR="00EF31C7" w:rsidRPr="001774B5">
        <w:t>s</w:t>
      </w:r>
      <w:r w:rsidR="00EF31C7">
        <w:t xml:space="preserve">, will incur an insignificant certification cost increase due to the air emission test body competency requirements affecting </w:t>
      </w:r>
      <w:r w:rsidR="00EF31C7" w:rsidRPr="00B05753">
        <w:t xml:space="preserve">RATAs, site-specific </w:t>
      </w:r>
      <w:proofErr w:type="spellStart"/>
      <w:r w:rsidR="00EF31C7" w:rsidRPr="00B05753">
        <w:t>NOx</w:t>
      </w:r>
      <w:proofErr w:type="spellEnd"/>
      <w:r w:rsidR="00EF31C7" w:rsidRPr="00B05753">
        <w:t xml:space="preserve"> LME tests, and Appendix E tests</w:t>
      </w:r>
      <w:r w:rsidR="00EF31C7">
        <w:t>.</w:t>
      </w:r>
    </w:p>
    <w:p w:rsidR="004509EC" w:rsidRPr="001774B5" w:rsidRDefault="004509EC" w:rsidP="006B1A90">
      <w:pPr>
        <w:widowControl/>
        <w:ind w:firstLine="720"/>
      </w:pPr>
    </w:p>
    <w:p w:rsidR="00812138" w:rsidRPr="001774B5" w:rsidRDefault="00D60A82" w:rsidP="00812138">
      <w:pPr>
        <w:widowControl/>
        <w:ind w:firstLine="720"/>
      </w:pPr>
      <w:proofErr w:type="gramStart"/>
      <w:r w:rsidRPr="001774B5">
        <w:rPr>
          <w:i/>
          <w:iCs/>
        </w:rPr>
        <w:t>Regulatory Review</w:t>
      </w:r>
      <w:r w:rsidR="00617BBA" w:rsidRPr="001774B5">
        <w:t>.</w:t>
      </w:r>
      <w:proofErr w:type="gramEnd"/>
      <w:r w:rsidR="00617BBA" w:rsidRPr="001774B5">
        <w:t xml:space="preserve"> </w:t>
      </w:r>
      <w:r w:rsidRPr="001774B5">
        <w:t xml:space="preserve">The </w:t>
      </w:r>
      <w:r w:rsidR="005736B7">
        <w:t xml:space="preserve">previous </w:t>
      </w:r>
      <w:r w:rsidRPr="001774B5">
        <w:t>ICR include</w:t>
      </w:r>
      <w:r w:rsidR="005736B7">
        <w:t>d</w:t>
      </w:r>
      <w:r w:rsidRPr="001774B5">
        <w:t xml:space="preserve"> an allocation of time for the managerial and technical staff to review the regulatory requirements and the </w:t>
      </w:r>
      <w:r w:rsidR="001C3FF7" w:rsidRPr="001774B5">
        <w:t>reporting</w:t>
      </w:r>
      <w:r w:rsidRPr="001774B5">
        <w:t xml:space="preserve"> formats and instructions</w:t>
      </w:r>
      <w:r w:rsidR="00617BBA" w:rsidRPr="001774B5">
        <w:t xml:space="preserve">. </w:t>
      </w:r>
      <w:r w:rsidR="005736B7">
        <w:t>This ICR assumes no burden due to the established nature of this program.</w:t>
      </w:r>
    </w:p>
    <w:p w:rsidR="00761BA5" w:rsidRPr="001774B5" w:rsidRDefault="00761BA5" w:rsidP="006B1A90">
      <w:pPr>
        <w:widowControl/>
        <w:ind w:firstLine="720"/>
        <w:rPr>
          <w:i/>
          <w:iCs/>
        </w:rPr>
      </w:pPr>
    </w:p>
    <w:p w:rsidR="00D60A82" w:rsidRPr="001774B5" w:rsidRDefault="00D60A82" w:rsidP="006B1A90">
      <w:pPr>
        <w:widowControl/>
        <w:ind w:firstLine="720"/>
      </w:pPr>
      <w:proofErr w:type="gramStart"/>
      <w:r w:rsidRPr="001774B5">
        <w:rPr>
          <w:i/>
          <w:iCs/>
        </w:rPr>
        <w:t>Response to Error Messages</w:t>
      </w:r>
      <w:r w:rsidR="00617BBA" w:rsidRPr="001774B5">
        <w:t>.</w:t>
      </w:r>
      <w:proofErr w:type="gramEnd"/>
      <w:r w:rsidR="00617BBA" w:rsidRPr="001774B5">
        <w:t xml:space="preserve"> </w:t>
      </w:r>
      <w:r w:rsidRPr="001774B5">
        <w:t>The Agency provides feedback to affected sources for errors that are found in monitoring plans or other reports</w:t>
      </w:r>
      <w:r w:rsidR="00617BBA" w:rsidRPr="001774B5">
        <w:t xml:space="preserve">. </w:t>
      </w:r>
      <w:r w:rsidRPr="001774B5">
        <w:t xml:space="preserve">The Agency estimates that for each unit not </w:t>
      </w:r>
      <w:r w:rsidR="001C3FF7" w:rsidRPr="001774B5">
        <w:t xml:space="preserve">affected by </w:t>
      </w:r>
      <w:r w:rsidRPr="001774B5">
        <w:t xml:space="preserve">the Acid Rain </w:t>
      </w:r>
      <w:r w:rsidR="001C3FF7" w:rsidRPr="001774B5">
        <w:t>Program</w:t>
      </w:r>
      <w:r w:rsidRPr="001774B5">
        <w:t xml:space="preserve">, an owner or operator will spend approximately </w:t>
      </w:r>
      <w:r w:rsidR="00061874" w:rsidRPr="001774B5">
        <w:t>four hours of managerial time and eight</w:t>
      </w:r>
      <w:r w:rsidRPr="001774B5">
        <w:t xml:space="preserve"> hours of technician time responding to these error messages each year</w:t>
      </w:r>
      <w:r w:rsidR="00617BBA" w:rsidRPr="001774B5">
        <w:t xml:space="preserve">. </w:t>
      </w:r>
      <w:r w:rsidRPr="001774B5">
        <w:t>(The time for the other sources is accounted for in other ICRs.)</w:t>
      </w:r>
    </w:p>
    <w:p w:rsidR="00D60A82" w:rsidRPr="001774B5" w:rsidRDefault="00D60A82" w:rsidP="006B1A90">
      <w:pPr>
        <w:widowControl/>
        <w:ind w:firstLine="720"/>
      </w:pPr>
    </w:p>
    <w:p w:rsidR="00812138" w:rsidRPr="001774B5" w:rsidRDefault="00D60A82" w:rsidP="003C72A0">
      <w:pPr>
        <w:widowControl/>
        <w:ind w:firstLine="720"/>
        <w:rPr>
          <w:b/>
          <w:i/>
        </w:rPr>
      </w:pPr>
      <w:proofErr w:type="gramStart"/>
      <w:r w:rsidRPr="001774B5">
        <w:rPr>
          <w:i/>
          <w:iCs/>
        </w:rPr>
        <w:t>DAHS Debugging</w:t>
      </w:r>
      <w:r w:rsidR="00617BBA" w:rsidRPr="001774B5">
        <w:t>.</w:t>
      </w:r>
      <w:proofErr w:type="gramEnd"/>
      <w:r w:rsidR="00617BBA" w:rsidRPr="001774B5">
        <w:t xml:space="preserve"> </w:t>
      </w:r>
      <w:r w:rsidRPr="001774B5">
        <w:t>Based on experience with the Acid Rain Program, some effort will be involved to fix problems with the DAHS software used to report in the Part 75 formats</w:t>
      </w:r>
      <w:r w:rsidR="00617BBA" w:rsidRPr="001774B5">
        <w:t xml:space="preserve">. </w:t>
      </w:r>
      <w:r w:rsidRPr="001774B5">
        <w:t xml:space="preserve">This burden is assumed to fall primarily on units that are not affected under the Acid Rain </w:t>
      </w:r>
      <w:r w:rsidR="001C3FF7" w:rsidRPr="001774B5">
        <w:t xml:space="preserve">Program </w:t>
      </w:r>
      <w:r w:rsidRPr="001774B5">
        <w:t xml:space="preserve">or </w:t>
      </w:r>
      <w:r w:rsidR="001C3FF7" w:rsidRPr="001774B5">
        <w:t xml:space="preserve">previously affected under the </w:t>
      </w:r>
      <w:proofErr w:type="spellStart"/>
      <w:r w:rsidRPr="001774B5">
        <w:t>NO</w:t>
      </w:r>
      <w:r w:rsidR="0031501F" w:rsidRPr="001774B5">
        <w:rPr>
          <w:vertAlign w:val="subscript"/>
        </w:rPr>
        <w:t>x</w:t>
      </w:r>
      <w:proofErr w:type="spellEnd"/>
      <w:r w:rsidRPr="001774B5">
        <w:t xml:space="preserve"> SIP Call</w:t>
      </w:r>
      <w:r w:rsidR="00617BBA" w:rsidRPr="001774B5">
        <w:t xml:space="preserve">. </w:t>
      </w:r>
      <w:r w:rsidRPr="001774B5">
        <w:t>Consistent with the existing Part 75 ICR, the Agency estimates that about 16 managerial and 88 technician hours will be spent on this task in the first ye</w:t>
      </w:r>
      <w:r w:rsidR="00061874" w:rsidRPr="001774B5">
        <w:t>ar of implementation</w:t>
      </w:r>
      <w:r w:rsidR="00774B9B">
        <w:t xml:space="preserve"> (2009)</w:t>
      </w:r>
      <w:r w:rsidR="00061874" w:rsidRPr="001774B5">
        <w:t>, and then one managerial and four</w:t>
      </w:r>
      <w:r w:rsidRPr="001774B5">
        <w:t xml:space="preserve"> technician hours will be required in the second and subsequent years of implementation.</w:t>
      </w:r>
      <w:r w:rsidR="00812138" w:rsidRPr="001774B5">
        <w:t xml:space="preserve"> </w:t>
      </w:r>
    </w:p>
    <w:p w:rsidR="00D60A82" w:rsidRPr="001774B5" w:rsidRDefault="00D60A82" w:rsidP="006B1A90">
      <w:pPr>
        <w:widowControl/>
        <w:ind w:firstLine="720"/>
      </w:pPr>
    </w:p>
    <w:p w:rsidR="00D60A82" w:rsidRPr="001774B5" w:rsidRDefault="00D60A82" w:rsidP="006B1A90">
      <w:pPr>
        <w:widowControl/>
        <w:ind w:firstLine="720"/>
      </w:pPr>
      <w:proofErr w:type="gramStart"/>
      <w:r w:rsidRPr="001774B5">
        <w:rPr>
          <w:i/>
          <w:iCs/>
        </w:rPr>
        <w:t>Monitoring Plans</w:t>
      </w:r>
      <w:r w:rsidR="00617BBA" w:rsidRPr="001774B5">
        <w:t>.</w:t>
      </w:r>
      <w:proofErr w:type="gramEnd"/>
      <w:r w:rsidR="00617BBA" w:rsidRPr="001774B5">
        <w:t xml:space="preserve"> </w:t>
      </w:r>
      <w:r w:rsidRPr="001774B5">
        <w:t>The regulations require submittal of monitoring plans</w:t>
      </w:r>
      <w:r w:rsidR="00617BBA" w:rsidRPr="001774B5">
        <w:t xml:space="preserve">. </w:t>
      </w:r>
      <w:r w:rsidRPr="001774B5">
        <w:t>Because most of the monitoring plan elements are now part of the EDR format, the effort involved in developing and maintaining the plans are incorporated into the overall reporting burden estimate.</w:t>
      </w:r>
    </w:p>
    <w:p w:rsidR="00753269" w:rsidRPr="001774B5" w:rsidRDefault="00753269" w:rsidP="006B1A90">
      <w:pPr>
        <w:widowControl/>
        <w:ind w:firstLine="720"/>
      </w:pPr>
    </w:p>
    <w:p w:rsidR="00C605B8" w:rsidRPr="00B05753" w:rsidRDefault="00D60A82" w:rsidP="00C605B8">
      <w:pPr>
        <w:widowControl/>
        <w:ind w:firstLine="720"/>
      </w:pPr>
      <w:r w:rsidRPr="001774B5">
        <w:rPr>
          <w:i/>
          <w:iCs/>
        </w:rPr>
        <w:t>Monitor Certification/Recertification</w:t>
      </w:r>
      <w:r w:rsidR="00617BBA" w:rsidRPr="001774B5">
        <w:t xml:space="preserve">. </w:t>
      </w:r>
      <w:r w:rsidRPr="001774B5">
        <w:t>Initial certification burdens and costs for new monitoring equipment are addressed above under start-up activities since these costs are often part of the overall purchase expense for the equipment</w:t>
      </w:r>
      <w:r w:rsidR="00617BBA" w:rsidRPr="001774B5">
        <w:t xml:space="preserve">. </w:t>
      </w:r>
      <w:r w:rsidRPr="001774B5">
        <w:t xml:space="preserve">For some </w:t>
      </w:r>
      <w:r w:rsidR="00617BBA" w:rsidRPr="001774B5">
        <w:t>non-Acid</w:t>
      </w:r>
      <w:r w:rsidRPr="001774B5">
        <w:t xml:space="preserve"> Rain units, however, there will be burdens associated with certifying existing monitors used under other programs for this program, as well as burdens for recertification to the extent a change in a monitoring system requires recertification</w:t>
      </w:r>
      <w:r w:rsidR="00617BBA" w:rsidRPr="001774B5">
        <w:t xml:space="preserve">. </w:t>
      </w:r>
      <w:r w:rsidRPr="001774B5">
        <w:t xml:space="preserve">EPA </w:t>
      </w:r>
      <w:r w:rsidR="00483C09" w:rsidRPr="001774B5">
        <w:t>estimates that approximately ten percent</w:t>
      </w:r>
      <w:r w:rsidRPr="001774B5">
        <w:t xml:space="preserve"> of all units will have to recertify each year following the year in which the initial certification occurs</w:t>
      </w:r>
      <w:r w:rsidR="00617BBA" w:rsidRPr="001774B5">
        <w:t xml:space="preserve">. </w:t>
      </w:r>
      <w:r w:rsidRPr="001774B5">
        <w:t>The ICR incorporates a labor burden estimate generally consistent with existing Agency models for the labor burdens associated with certification</w:t>
      </w:r>
      <w:r w:rsidR="00617BBA" w:rsidRPr="001774B5">
        <w:t xml:space="preserve">. </w:t>
      </w:r>
      <w:r w:rsidRPr="001774B5">
        <w:t>However, note that the ICR reduces the labor hours for this activity to avoid double counting hours that are already accounted for in the quality assurance activity area (see the following subsection)</w:t>
      </w:r>
      <w:r w:rsidR="00617BBA" w:rsidRPr="001774B5">
        <w:t xml:space="preserve">. </w:t>
      </w:r>
      <w:r w:rsidRPr="001774B5">
        <w:t xml:space="preserve">The double counting would occur because a portion of the labor incurred for the certification or recertification event replaces the labor </w:t>
      </w:r>
      <w:r w:rsidRPr="001774B5">
        <w:lastRenderedPageBreak/>
        <w:t>burden that is generally allocated to the annual relative accuracy test audit (RATA) in the year in which the certification event occurs.</w:t>
      </w:r>
      <w:r w:rsidR="00C605B8">
        <w:t xml:space="preserve"> Owners and operators of Acid Rain units, non-Acid Rain units, and </w:t>
      </w:r>
      <w:r w:rsidR="00C605B8" w:rsidRPr="001774B5">
        <w:t>non-Acid Rain units in O</w:t>
      </w:r>
      <w:r w:rsidR="00C605B8" w:rsidRPr="001774B5">
        <w:rPr>
          <w:vertAlign w:val="subscript"/>
        </w:rPr>
        <w:t>3</w:t>
      </w:r>
      <w:r w:rsidR="00C605B8" w:rsidRPr="001774B5">
        <w:t xml:space="preserve">-only </w:t>
      </w:r>
      <w:r w:rsidR="00C605B8">
        <w:t>State</w:t>
      </w:r>
      <w:r w:rsidR="00C605B8" w:rsidRPr="001774B5">
        <w:t>s</w:t>
      </w:r>
      <w:r w:rsidR="00C605B8">
        <w:t xml:space="preserve">, will incur an insignificant certification cost increase due to the air emission test body competency requirements affecting </w:t>
      </w:r>
      <w:r w:rsidR="00C605B8" w:rsidRPr="00B05753">
        <w:t xml:space="preserve">RATAs, site-specific </w:t>
      </w:r>
      <w:proofErr w:type="spellStart"/>
      <w:r w:rsidR="00C605B8" w:rsidRPr="00B05753">
        <w:t>NO</w:t>
      </w:r>
      <w:r w:rsidR="00277FC3" w:rsidRPr="001774B5">
        <w:rPr>
          <w:vertAlign w:val="subscript"/>
        </w:rPr>
        <w:t>x</w:t>
      </w:r>
      <w:proofErr w:type="spellEnd"/>
      <w:r w:rsidR="00C605B8" w:rsidRPr="00B05753">
        <w:t xml:space="preserve"> LME tests, and Appendix E tests</w:t>
      </w:r>
      <w:r w:rsidR="00C605B8">
        <w:t>.</w:t>
      </w:r>
    </w:p>
    <w:p w:rsidR="00D60A82" w:rsidRPr="001774B5" w:rsidRDefault="00D60A82" w:rsidP="006B1A90">
      <w:pPr>
        <w:widowControl/>
        <w:ind w:firstLine="720"/>
      </w:pPr>
    </w:p>
    <w:p w:rsidR="003B119A" w:rsidRPr="00B05753" w:rsidRDefault="00D60A82" w:rsidP="003B119A">
      <w:pPr>
        <w:widowControl/>
        <w:ind w:firstLine="720"/>
      </w:pPr>
      <w:proofErr w:type="gramStart"/>
      <w:r w:rsidRPr="001774B5">
        <w:rPr>
          <w:i/>
          <w:iCs/>
        </w:rPr>
        <w:t>Quality Assurance</w:t>
      </w:r>
      <w:r w:rsidR="00617BBA" w:rsidRPr="001774B5">
        <w:t>.</w:t>
      </w:r>
      <w:proofErr w:type="gramEnd"/>
      <w:r w:rsidR="00617BBA" w:rsidRPr="001774B5">
        <w:t xml:space="preserve"> </w:t>
      </w:r>
      <w:r w:rsidRPr="001774B5">
        <w:t>Quality assurance (QA) activities and other routine maintenance for monitoring systems is the largest burden item under the CAIR Trading Programs</w:t>
      </w:r>
      <w:r w:rsidR="00617BBA" w:rsidRPr="001774B5">
        <w:t xml:space="preserve">. </w:t>
      </w:r>
      <w:r w:rsidRPr="001774B5">
        <w:t xml:space="preserve">These requirements generally include daily, </w:t>
      </w:r>
      <w:r w:rsidR="00540A02" w:rsidRPr="001774B5">
        <w:t>quarterly,</w:t>
      </w:r>
      <w:r w:rsidRPr="001774B5">
        <w:t xml:space="preserve"> and annual QA requirements, depending on the monitoring approach being used</w:t>
      </w:r>
      <w:r w:rsidR="00617BBA" w:rsidRPr="001774B5">
        <w:t xml:space="preserve">. </w:t>
      </w:r>
      <w:r w:rsidRPr="001774B5">
        <w:t xml:space="preserve">For reporting units that use a CEMS, the Agency has assumed a per unit labor burden based on a variety of sources, including the existing Acid Rain Program ICR, the </w:t>
      </w:r>
      <w:proofErr w:type="spellStart"/>
      <w:r w:rsidRPr="001774B5">
        <w:t>NO</w:t>
      </w:r>
      <w:r w:rsidR="0031501F" w:rsidRPr="001774B5">
        <w:rPr>
          <w:vertAlign w:val="subscript"/>
        </w:rPr>
        <w:t>x</w:t>
      </w:r>
      <w:proofErr w:type="spellEnd"/>
      <w:r w:rsidRPr="001774B5">
        <w:t xml:space="preserve"> SIP Call </w:t>
      </w:r>
      <w:r w:rsidR="00617BBA" w:rsidRPr="001774B5">
        <w:t>ICR,</w:t>
      </w:r>
      <w:r w:rsidRPr="001774B5">
        <w:t xml:space="preserve"> information provided by Acid Rain Program sources, a CEM cost model developed by EPA, and comments submitted in response to the section 110 SIP Call for ozone transport</w:t>
      </w:r>
      <w:r w:rsidR="00617BBA" w:rsidRPr="001774B5">
        <w:t xml:space="preserve">. </w:t>
      </w:r>
      <w:r w:rsidRPr="001774B5">
        <w:t>For units that rely on alternative methodologies, reduced labor burden estimates apply because the quality assurance activities for the excepted methods are less than for a CEMS</w:t>
      </w:r>
      <w:r w:rsidR="00617BBA" w:rsidRPr="001774B5">
        <w:t xml:space="preserve">. </w:t>
      </w:r>
      <w:r w:rsidRPr="001774B5">
        <w:t>Consistent with the existing Acid Rain Program ICR, the labor burden is expected to be almost entirely technician labor</w:t>
      </w:r>
      <w:r w:rsidR="00617BBA" w:rsidRPr="001774B5">
        <w:t xml:space="preserve">. </w:t>
      </w:r>
      <w:r w:rsidR="003B119A">
        <w:t xml:space="preserve">Owners and operators of Acid Rain units, non-Acid Rain units, and </w:t>
      </w:r>
      <w:r w:rsidR="003B119A" w:rsidRPr="001774B5">
        <w:t>non-Acid Rain units in O</w:t>
      </w:r>
      <w:r w:rsidR="003B119A" w:rsidRPr="001774B5">
        <w:rPr>
          <w:vertAlign w:val="subscript"/>
        </w:rPr>
        <w:t>3</w:t>
      </w:r>
      <w:r w:rsidR="003B119A" w:rsidRPr="001774B5">
        <w:t xml:space="preserve">-only </w:t>
      </w:r>
      <w:r w:rsidR="003B119A">
        <w:t>State</w:t>
      </w:r>
      <w:r w:rsidR="003B119A" w:rsidRPr="001774B5">
        <w:t>s</w:t>
      </w:r>
      <w:r w:rsidR="003B119A">
        <w:t xml:space="preserve">, will incur an insignificant certification cost increase due to the air emission test body competency requirements affecting </w:t>
      </w:r>
      <w:r w:rsidR="003B119A" w:rsidRPr="00B05753">
        <w:t xml:space="preserve">RATAs, site-specific </w:t>
      </w:r>
      <w:proofErr w:type="spellStart"/>
      <w:r w:rsidR="003B119A" w:rsidRPr="00B05753">
        <w:t>NO</w:t>
      </w:r>
      <w:r w:rsidR="00277FC3" w:rsidRPr="001774B5">
        <w:rPr>
          <w:vertAlign w:val="subscript"/>
        </w:rPr>
        <w:t>x</w:t>
      </w:r>
      <w:proofErr w:type="spellEnd"/>
      <w:r w:rsidR="003B119A" w:rsidRPr="00B05753">
        <w:t xml:space="preserve"> LME tests, and Appendix E tests</w:t>
      </w:r>
      <w:r w:rsidR="003B119A">
        <w:t>.</w:t>
      </w:r>
    </w:p>
    <w:p w:rsidR="00D60A82" w:rsidRPr="001774B5" w:rsidRDefault="00D60A82" w:rsidP="006B1A90">
      <w:pPr>
        <w:widowControl/>
        <w:ind w:firstLine="720"/>
      </w:pPr>
    </w:p>
    <w:p w:rsidR="00D60A82" w:rsidRPr="001774B5" w:rsidRDefault="00D60A82" w:rsidP="006B1A90">
      <w:pPr>
        <w:widowControl/>
        <w:ind w:firstLine="720"/>
      </w:pPr>
      <w:proofErr w:type="gramStart"/>
      <w:r w:rsidRPr="001774B5">
        <w:rPr>
          <w:i/>
          <w:iCs/>
        </w:rPr>
        <w:t>Quarterly Reports</w:t>
      </w:r>
      <w:r w:rsidR="00617BBA" w:rsidRPr="001774B5">
        <w:t>.</w:t>
      </w:r>
      <w:proofErr w:type="gramEnd"/>
      <w:r w:rsidR="00617BBA" w:rsidRPr="001774B5">
        <w:t xml:space="preserve"> </w:t>
      </w:r>
      <w:r w:rsidRPr="001774B5">
        <w:t>Tasks performed by utilities in preparing quarterly reports include: (1) assuring the quality of the data, (2) preparing the quarterly report, (3) revising the monitoring plan, if necessary, (4) preparation of hard copy documentation accompanying the quarterly reports, and managerial review</w:t>
      </w:r>
      <w:r w:rsidR="00617BBA" w:rsidRPr="001774B5">
        <w:t xml:space="preserve">. </w:t>
      </w:r>
      <w:r w:rsidRPr="001774B5">
        <w:t>The existing Acid Rain program ICR was used as the basis for these estimates.</w:t>
      </w:r>
    </w:p>
    <w:p w:rsidR="00D60A82" w:rsidRPr="001774B5" w:rsidRDefault="00D60A82" w:rsidP="006B1A90">
      <w:pPr>
        <w:widowControl/>
        <w:ind w:firstLine="720"/>
      </w:pPr>
    </w:p>
    <w:p w:rsidR="00D60A82" w:rsidRPr="001774B5" w:rsidRDefault="00D60A82" w:rsidP="006B1A90">
      <w:pPr>
        <w:widowControl/>
        <w:ind w:firstLine="720"/>
      </w:pPr>
      <w:proofErr w:type="gramStart"/>
      <w:r w:rsidRPr="001774B5">
        <w:rPr>
          <w:i/>
          <w:iCs/>
        </w:rPr>
        <w:t>Fuel Sampling</w:t>
      </w:r>
      <w:r w:rsidR="00617BBA" w:rsidRPr="001774B5">
        <w:t>.</w:t>
      </w:r>
      <w:proofErr w:type="gramEnd"/>
      <w:r w:rsidR="00617BBA" w:rsidRPr="001774B5">
        <w:t xml:space="preserve"> </w:t>
      </w:r>
      <w:r w:rsidRPr="001774B5">
        <w:t>To calculate heat input where the source is using the fuel flowmeter option for an oil or gas-fired unit, the source must obtain gross calorific value data from sampling in accordance with Appendix D of Part 75</w:t>
      </w:r>
      <w:r w:rsidR="00617BBA" w:rsidRPr="001774B5">
        <w:t xml:space="preserve">. </w:t>
      </w:r>
      <w:r w:rsidRPr="001774B5">
        <w:t>For purposes of this ICR, it is assumed that the GCV data would be collected as part of standard business operating procedures to assure compliance with contractual specifications</w:t>
      </w:r>
      <w:r w:rsidR="00617BBA" w:rsidRPr="001774B5">
        <w:t xml:space="preserve">. </w:t>
      </w:r>
      <w:r w:rsidRPr="001774B5">
        <w:t>Thus no additional fuel sampling burdens or costs should be incurred.</w:t>
      </w:r>
    </w:p>
    <w:p w:rsidR="00D60A82" w:rsidRPr="001774B5" w:rsidRDefault="00D60A82" w:rsidP="00EE6D32">
      <w:pPr>
        <w:widowControl/>
      </w:pPr>
    </w:p>
    <w:p w:rsidR="00D60A82" w:rsidRPr="001774B5" w:rsidRDefault="00D60A82" w:rsidP="006B1A90">
      <w:pPr>
        <w:widowControl/>
        <w:ind w:firstLine="720"/>
      </w:pPr>
      <w:r w:rsidRPr="001774B5">
        <w:rPr>
          <w:i/>
          <w:iCs/>
        </w:rPr>
        <w:t>(iii)  Allowance transaction activities</w:t>
      </w:r>
    </w:p>
    <w:p w:rsidR="00D60A82" w:rsidRPr="001774B5" w:rsidRDefault="00D60A82" w:rsidP="00EE6D32">
      <w:pPr>
        <w:widowControl/>
      </w:pPr>
    </w:p>
    <w:p w:rsidR="00D60A82" w:rsidRPr="001774B5" w:rsidRDefault="00D60A82" w:rsidP="003C72A0">
      <w:pPr>
        <w:widowControl/>
        <w:ind w:firstLine="720"/>
        <w:rPr>
          <w:b/>
          <w:i/>
        </w:rPr>
      </w:pPr>
      <w:r w:rsidRPr="001774B5">
        <w:t xml:space="preserve">The Agency anticipates the average number of additional allowance transactions will be approximately </w:t>
      </w:r>
      <w:r w:rsidR="00FB7F30" w:rsidRPr="001774B5">
        <w:t>7,500</w:t>
      </w:r>
      <w:r w:rsidRPr="001774B5">
        <w:t xml:space="preserve"> per year </w:t>
      </w:r>
      <w:r w:rsidR="003B4004">
        <w:t>based on the 2011 transaction data</w:t>
      </w:r>
      <w:r w:rsidR="00617BBA" w:rsidRPr="001774B5">
        <w:t xml:space="preserve">. </w:t>
      </w:r>
      <w:proofErr w:type="gramStart"/>
      <w:r w:rsidRPr="001774B5">
        <w:t>A portion of all units will likely conduct</w:t>
      </w:r>
      <w:proofErr w:type="gramEnd"/>
      <w:r w:rsidRPr="001774B5">
        <w:t xml:space="preserve"> transactions in each year solely as a result of this program</w:t>
      </w:r>
      <w:r w:rsidR="00617BBA" w:rsidRPr="001774B5">
        <w:t xml:space="preserve">. </w:t>
      </w:r>
      <w:r w:rsidRPr="001774B5">
        <w:t xml:space="preserve">The Agency believes that each </w:t>
      </w:r>
      <w:r w:rsidR="00483C09" w:rsidRPr="001774B5">
        <w:t>transaction will involve about one</w:t>
      </w:r>
      <w:r w:rsidRPr="001774B5">
        <w:t xml:space="preserve"> hour each of managerial and technician time.</w:t>
      </w:r>
      <w:r w:rsidR="003C72A0" w:rsidRPr="001774B5">
        <w:rPr>
          <w:b/>
          <w:i/>
        </w:rPr>
        <w:t xml:space="preserve"> </w:t>
      </w:r>
    </w:p>
    <w:p w:rsidR="00D60A82" w:rsidRPr="001774B5" w:rsidRDefault="00D60A82" w:rsidP="00EE6D32">
      <w:pPr>
        <w:widowControl/>
      </w:pPr>
    </w:p>
    <w:p w:rsidR="00C4470D" w:rsidRDefault="00C4470D" w:rsidP="00C4470D">
      <w:pPr>
        <w:keepNext/>
        <w:keepLines/>
        <w:widowControl/>
        <w:ind w:firstLine="360"/>
        <w:rPr>
          <w:rStyle w:val="2ndtier1"/>
        </w:rPr>
      </w:pPr>
    </w:p>
    <w:p w:rsidR="00D60A82" w:rsidRPr="001774B5" w:rsidRDefault="00D60A82" w:rsidP="00C4470D">
      <w:pPr>
        <w:keepNext/>
        <w:keepLines/>
        <w:widowControl/>
        <w:ind w:firstLine="360"/>
        <w:rPr>
          <w:rStyle w:val="2ndtier1"/>
        </w:rPr>
      </w:pPr>
      <w:r w:rsidRPr="001774B5">
        <w:rPr>
          <w:rStyle w:val="2ndtier1"/>
        </w:rPr>
        <w:t>6(b</w:t>
      </w:r>
      <w:proofErr w:type="gramStart"/>
      <w:r w:rsidRPr="001774B5">
        <w:rPr>
          <w:rStyle w:val="2ndtier1"/>
        </w:rPr>
        <w:t>)</w:t>
      </w:r>
      <w:r w:rsidR="00061874" w:rsidRPr="001774B5">
        <w:rPr>
          <w:rStyle w:val="2ndtier1"/>
        </w:rPr>
        <w:t xml:space="preserve"> </w:t>
      </w:r>
      <w:r w:rsidRPr="001774B5">
        <w:rPr>
          <w:rStyle w:val="2ndtier1"/>
        </w:rPr>
        <w:t xml:space="preserve"> Estimating</w:t>
      </w:r>
      <w:proofErr w:type="gramEnd"/>
      <w:r w:rsidRPr="001774B5">
        <w:rPr>
          <w:rStyle w:val="2ndtier1"/>
        </w:rPr>
        <w:t xml:space="preserve"> Respondent Costs</w:t>
      </w:r>
    </w:p>
    <w:p w:rsidR="00D60A82" w:rsidRPr="001774B5" w:rsidRDefault="00D60A82" w:rsidP="00C4470D">
      <w:pPr>
        <w:keepNext/>
        <w:keepLines/>
        <w:widowControl/>
        <w:rPr>
          <w:rStyle w:val="2ndtier1"/>
        </w:rPr>
      </w:pPr>
    </w:p>
    <w:p w:rsidR="00D60A82" w:rsidRPr="001774B5" w:rsidRDefault="00D60A82" w:rsidP="00C4470D">
      <w:pPr>
        <w:keepNext/>
        <w:keepLines/>
        <w:widowControl/>
        <w:ind w:firstLine="720"/>
      </w:pPr>
      <w:r w:rsidRPr="009A06BF">
        <w:t>Table 6-</w:t>
      </w:r>
      <w:r w:rsidR="00076F09">
        <w:t>1</w:t>
      </w:r>
      <w:r w:rsidRPr="001774B5">
        <w:t xml:space="preserve"> summarizes the annual industry respondent costs</w:t>
      </w:r>
      <w:r w:rsidR="00617BBA" w:rsidRPr="001774B5">
        <w:t xml:space="preserve">. </w:t>
      </w:r>
      <w:r w:rsidRPr="001774B5">
        <w:t>The following discussion describes how the costs were derived.</w:t>
      </w:r>
    </w:p>
    <w:p w:rsidR="00D60A82" w:rsidRPr="001774B5" w:rsidRDefault="00D60A82" w:rsidP="00C4470D">
      <w:pPr>
        <w:keepNext/>
        <w:keepLines/>
        <w:widowControl/>
      </w:pPr>
    </w:p>
    <w:p w:rsidR="00D60A82" w:rsidRPr="001774B5" w:rsidRDefault="00D60A82" w:rsidP="00C4470D">
      <w:pPr>
        <w:keepLines/>
        <w:widowControl/>
        <w:ind w:firstLine="720"/>
      </w:pPr>
      <w:r w:rsidRPr="001774B5">
        <w:rPr>
          <w:i/>
          <w:iCs/>
        </w:rPr>
        <w:t>(</w:t>
      </w:r>
      <w:proofErr w:type="spellStart"/>
      <w:r w:rsidRPr="001774B5">
        <w:rPr>
          <w:i/>
          <w:iCs/>
        </w:rPr>
        <w:t>i</w:t>
      </w:r>
      <w:proofErr w:type="spellEnd"/>
      <w:r w:rsidRPr="001774B5">
        <w:rPr>
          <w:i/>
          <w:iCs/>
        </w:rPr>
        <w:t xml:space="preserve">) </w:t>
      </w:r>
      <w:r w:rsidR="00061874" w:rsidRPr="001774B5">
        <w:rPr>
          <w:i/>
          <w:iCs/>
        </w:rPr>
        <w:t xml:space="preserve"> </w:t>
      </w:r>
      <w:r w:rsidRPr="001774B5">
        <w:rPr>
          <w:i/>
          <w:iCs/>
        </w:rPr>
        <w:t>Estimating Labor Costs</w:t>
      </w:r>
    </w:p>
    <w:p w:rsidR="00D60A82" w:rsidRPr="001774B5" w:rsidRDefault="00D60A82" w:rsidP="00C4470D">
      <w:pPr>
        <w:keepLines/>
        <w:widowControl/>
      </w:pPr>
    </w:p>
    <w:p w:rsidR="00D60A82" w:rsidRPr="001774B5" w:rsidRDefault="00D60A82" w:rsidP="00C4470D">
      <w:pPr>
        <w:keepLines/>
        <w:widowControl/>
        <w:ind w:firstLine="720"/>
      </w:pPr>
      <w:r w:rsidRPr="001774B5">
        <w:t xml:space="preserve">For </w:t>
      </w:r>
      <w:r w:rsidR="00393CCE" w:rsidRPr="001774B5">
        <w:t xml:space="preserve">estimating labor costs for industry </w:t>
      </w:r>
      <w:proofErr w:type="gramStart"/>
      <w:r w:rsidR="00393CCE" w:rsidRPr="001774B5">
        <w:t>respondents</w:t>
      </w:r>
      <w:r w:rsidR="00393CCE" w:rsidRPr="001774B5" w:rsidDel="00393CCE">
        <w:t xml:space="preserve"> </w:t>
      </w:r>
      <w:r w:rsidR="00393CCE">
        <w:t xml:space="preserve"> in</w:t>
      </w:r>
      <w:proofErr w:type="gramEnd"/>
      <w:r w:rsidRPr="001774B5">
        <w:t xml:space="preserve"> ICR, EPA used the following amounts: $</w:t>
      </w:r>
      <w:r w:rsidR="00231D3B">
        <w:t>97.30</w:t>
      </w:r>
      <w:r w:rsidRPr="001774B5">
        <w:t xml:space="preserve"> per hour for managers and $</w:t>
      </w:r>
      <w:r w:rsidR="00231D3B">
        <w:t>60.01</w:t>
      </w:r>
      <w:r w:rsidRPr="001774B5">
        <w:t xml:space="preserve"> per hour for technicians</w:t>
      </w:r>
      <w:r w:rsidR="00617BBA" w:rsidRPr="001774B5">
        <w:t xml:space="preserve">. </w:t>
      </w:r>
      <w:r w:rsidRPr="001774B5">
        <w:t xml:space="preserve">These rates </w:t>
      </w:r>
      <w:r w:rsidR="00750CA1" w:rsidRPr="001774B5">
        <w:t>reflect the rates</w:t>
      </w:r>
      <w:r w:rsidRPr="001774B5">
        <w:t xml:space="preserve"> used in the existing </w:t>
      </w:r>
      <w:r w:rsidR="003B4004">
        <w:t>Acid Raid</w:t>
      </w:r>
      <w:r w:rsidR="00746FEC" w:rsidRPr="001774B5">
        <w:t xml:space="preserve"> </w:t>
      </w:r>
      <w:r w:rsidRPr="001774B5">
        <w:t>Program ICR</w:t>
      </w:r>
      <w:r w:rsidR="00750CA1" w:rsidRPr="001774B5">
        <w:t>, adjusted for inflation</w:t>
      </w:r>
      <w:r w:rsidRPr="001774B5">
        <w:t xml:space="preserve"> using the Bureau of Labor Statistics Employment Cost Index.</w:t>
      </w:r>
    </w:p>
    <w:p w:rsidR="00D60A82" w:rsidRPr="001774B5" w:rsidRDefault="00D60A82" w:rsidP="006B1A90">
      <w:pPr>
        <w:widowControl/>
        <w:ind w:firstLine="720"/>
      </w:pPr>
    </w:p>
    <w:p w:rsidR="00D60A82" w:rsidRPr="001774B5" w:rsidRDefault="00D60A82" w:rsidP="006B1A90">
      <w:pPr>
        <w:widowControl/>
        <w:ind w:firstLine="720"/>
      </w:pPr>
      <w:r w:rsidRPr="001774B5">
        <w:t>Federal Agency labor rates were assumed to be $</w:t>
      </w:r>
      <w:r w:rsidR="00231D3B">
        <w:t>49.49</w:t>
      </w:r>
      <w:r w:rsidR="00563D41" w:rsidRPr="001774B5">
        <w:t xml:space="preserve"> </w:t>
      </w:r>
      <w:r w:rsidRPr="001774B5">
        <w:t>per hour</w:t>
      </w:r>
      <w:r w:rsidR="00617BBA" w:rsidRPr="001774B5">
        <w:t xml:space="preserve">. </w:t>
      </w:r>
      <w:r w:rsidRPr="001774B5">
        <w:t>This labor rate was derived from the federal government</w:t>
      </w:r>
      <w:r w:rsidR="00863632">
        <w:t>'</w:t>
      </w:r>
      <w:r w:rsidRPr="001774B5">
        <w:t xml:space="preserve">s General Schedule </w:t>
      </w:r>
      <w:r w:rsidR="002E722C" w:rsidRPr="001774B5">
        <w:t xml:space="preserve">dated January </w:t>
      </w:r>
      <w:r w:rsidR="00231D3B" w:rsidRPr="001774B5">
        <w:t>20</w:t>
      </w:r>
      <w:r w:rsidR="00231D3B">
        <w:t>12</w:t>
      </w:r>
      <w:r w:rsidR="00231D3B" w:rsidRPr="001774B5">
        <w:t xml:space="preserve"> </w:t>
      </w:r>
      <w:r w:rsidRPr="001774B5">
        <w:t xml:space="preserve">published by the U.S. Office of Personnel Management </w:t>
      </w:r>
      <w:r w:rsidR="002E722C" w:rsidRPr="001774B5">
        <w:t xml:space="preserve">(see:  </w:t>
      </w:r>
      <w:hyperlink r:id="rId11" w:history="1">
        <w:r w:rsidR="00231D3B" w:rsidRPr="00231D3B">
          <w:rPr>
            <w:rStyle w:val="Hyperlink"/>
          </w:rPr>
          <w:t>http://www.opm.gov/oca/12tables/pdf/gs.pdf</w:t>
        </w:r>
      </w:hyperlink>
      <w:r w:rsidR="002E722C" w:rsidRPr="001774B5">
        <w:t xml:space="preserve">) </w:t>
      </w:r>
      <w:r w:rsidRPr="001774B5">
        <w:t>using the factors in the following table.</w:t>
      </w:r>
    </w:p>
    <w:p w:rsidR="00683EBB" w:rsidRDefault="00683EBB" w:rsidP="006158FE">
      <w:pPr>
        <w:widowControl/>
        <w:jc w:val="center"/>
        <w:rPr>
          <w:b/>
          <w:bCs/>
        </w:rPr>
      </w:pPr>
    </w:p>
    <w:p w:rsidR="006B1A90" w:rsidRPr="001774B5" w:rsidRDefault="006158FE" w:rsidP="006158FE">
      <w:pPr>
        <w:widowControl/>
        <w:jc w:val="center"/>
        <w:rPr>
          <w:b/>
          <w:bCs/>
        </w:rPr>
      </w:pPr>
      <w:r w:rsidRPr="001774B5">
        <w:rPr>
          <w:b/>
          <w:bCs/>
        </w:rPr>
        <w:t>Determination of Federal Wage Rates</w:t>
      </w:r>
    </w:p>
    <w:p w:rsidR="006158FE" w:rsidRPr="001774B5" w:rsidRDefault="006158FE" w:rsidP="006158FE">
      <w:pPr>
        <w:widowControl/>
        <w:jc w:val="center"/>
      </w:pPr>
    </w:p>
    <w:tbl>
      <w:tblPr>
        <w:tblW w:w="86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000"/>
      </w:tblPr>
      <w:tblGrid>
        <w:gridCol w:w="6156"/>
        <w:gridCol w:w="1296"/>
        <w:gridCol w:w="1188"/>
      </w:tblGrid>
      <w:tr w:rsidR="00D60A82" w:rsidRPr="001774B5" w:rsidTr="004347DF">
        <w:trPr>
          <w:jc w:val="center"/>
        </w:trPr>
        <w:tc>
          <w:tcPr>
            <w:tcW w:w="5130" w:type="dxa"/>
          </w:tcPr>
          <w:p w:rsidR="00D60A82" w:rsidRPr="001774B5" w:rsidRDefault="00D60A82" w:rsidP="00483C09">
            <w:pPr>
              <w:widowControl/>
              <w:spacing w:after="58"/>
              <w:rPr>
                <w:sz w:val="20"/>
                <w:szCs w:val="20"/>
              </w:rPr>
            </w:pPr>
            <w:r w:rsidRPr="001774B5">
              <w:rPr>
                <w:sz w:val="20"/>
                <w:szCs w:val="20"/>
              </w:rPr>
              <w:t>Annual Salary of Technical Staff, GS 11 Step 3</w:t>
            </w:r>
          </w:p>
        </w:tc>
        <w:tc>
          <w:tcPr>
            <w:tcW w:w="1080" w:type="dxa"/>
          </w:tcPr>
          <w:p w:rsidR="00D60A82" w:rsidRPr="001774B5" w:rsidRDefault="00D60A82" w:rsidP="00483C09">
            <w:pPr>
              <w:widowControl/>
              <w:spacing w:after="58"/>
              <w:rPr>
                <w:sz w:val="20"/>
                <w:szCs w:val="20"/>
              </w:rPr>
            </w:pPr>
          </w:p>
        </w:tc>
        <w:tc>
          <w:tcPr>
            <w:tcW w:w="990" w:type="dxa"/>
          </w:tcPr>
          <w:p w:rsidR="00D60A82" w:rsidRPr="001774B5" w:rsidRDefault="00D60A82" w:rsidP="00231D3B">
            <w:pPr>
              <w:widowControl/>
              <w:spacing w:after="58"/>
              <w:rPr>
                <w:sz w:val="20"/>
                <w:szCs w:val="20"/>
              </w:rPr>
            </w:pPr>
            <w:r w:rsidRPr="001774B5">
              <w:rPr>
                <w:sz w:val="20"/>
                <w:szCs w:val="20"/>
              </w:rPr>
              <w:t>$</w:t>
            </w:r>
            <w:r w:rsidR="00231D3B">
              <w:rPr>
                <w:sz w:val="20"/>
                <w:szCs w:val="20"/>
              </w:rPr>
              <w:t>53,639</w:t>
            </w:r>
          </w:p>
        </w:tc>
      </w:tr>
      <w:tr w:rsidR="00D60A82" w:rsidRPr="001774B5" w:rsidTr="004347DF">
        <w:trPr>
          <w:jc w:val="center"/>
        </w:trPr>
        <w:tc>
          <w:tcPr>
            <w:tcW w:w="5130" w:type="dxa"/>
          </w:tcPr>
          <w:p w:rsidR="00D60A82" w:rsidRPr="001774B5" w:rsidRDefault="00D60A82" w:rsidP="00483C09">
            <w:pPr>
              <w:widowControl/>
              <w:spacing w:after="58"/>
              <w:rPr>
                <w:sz w:val="20"/>
                <w:szCs w:val="20"/>
              </w:rPr>
            </w:pPr>
            <w:r w:rsidRPr="001774B5">
              <w:rPr>
                <w:sz w:val="20"/>
                <w:szCs w:val="20"/>
              </w:rPr>
              <w:t>Annual Cost of Supervisory Staff, GS 13, step 3</w:t>
            </w:r>
          </w:p>
        </w:tc>
        <w:tc>
          <w:tcPr>
            <w:tcW w:w="1080" w:type="dxa"/>
          </w:tcPr>
          <w:p w:rsidR="00D60A82" w:rsidRPr="001774B5" w:rsidRDefault="00D60A82" w:rsidP="00231D3B">
            <w:pPr>
              <w:widowControl/>
              <w:spacing w:after="58"/>
              <w:rPr>
                <w:sz w:val="20"/>
                <w:szCs w:val="20"/>
              </w:rPr>
            </w:pPr>
            <w:r w:rsidRPr="001774B5">
              <w:rPr>
                <w:sz w:val="20"/>
                <w:szCs w:val="20"/>
              </w:rPr>
              <w:t>$</w:t>
            </w:r>
            <w:r w:rsidR="00231D3B">
              <w:rPr>
                <w:sz w:val="20"/>
                <w:szCs w:val="20"/>
              </w:rPr>
              <w:t>76,452</w:t>
            </w:r>
          </w:p>
        </w:tc>
        <w:tc>
          <w:tcPr>
            <w:tcW w:w="990" w:type="dxa"/>
          </w:tcPr>
          <w:p w:rsidR="00D60A82" w:rsidRPr="001774B5" w:rsidRDefault="00D60A82" w:rsidP="00483C09">
            <w:pPr>
              <w:widowControl/>
              <w:spacing w:after="58"/>
              <w:rPr>
                <w:sz w:val="20"/>
                <w:szCs w:val="20"/>
              </w:rPr>
            </w:pPr>
          </w:p>
        </w:tc>
      </w:tr>
      <w:tr w:rsidR="00D60A82" w:rsidRPr="001774B5" w:rsidTr="004347DF">
        <w:trPr>
          <w:jc w:val="center"/>
        </w:trPr>
        <w:tc>
          <w:tcPr>
            <w:tcW w:w="5130" w:type="dxa"/>
          </w:tcPr>
          <w:p w:rsidR="00D60A82" w:rsidRPr="001774B5" w:rsidRDefault="00D60A82" w:rsidP="00483C09">
            <w:pPr>
              <w:widowControl/>
              <w:spacing w:after="58"/>
              <w:rPr>
                <w:sz w:val="20"/>
                <w:szCs w:val="20"/>
              </w:rPr>
            </w:pPr>
            <w:r w:rsidRPr="001774B5">
              <w:rPr>
                <w:sz w:val="20"/>
                <w:szCs w:val="20"/>
              </w:rPr>
              <w:t>Factor (1/11)</w:t>
            </w:r>
          </w:p>
        </w:tc>
        <w:tc>
          <w:tcPr>
            <w:tcW w:w="1080" w:type="dxa"/>
          </w:tcPr>
          <w:p w:rsidR="00D60A82" w:rsidRPr="001774B5" w:rsidRDefault="00D60A82" w:rsidP="00483C09">
            <w:pPr>
              <w:widowControl/>
              <w:spacing w:after="58"/>
              <w:rPr>
                <w:sz w:val="20"/>
                <w:szCs w:val="20"/>
              </w:rPr>
            </w:pPr>
            <w:r w:rsidRPr="001774B5">
              <w:rPr>
                <w:sz w:val="20"/>
                <w:szCs w:val="20"/>
              </w:rPr>
              <w:t>0.09</w:t>
            </w:r>
          </w:p>
        </w:tc>
        <w:tc>
          <w:tcPr>
            <w:tcW w:w="990" w:type="dxa"/>
          </w:tcPr>
          <w:p w:rsidR="00D60A82" w:rsidRPr="001774B5" w:rsidRDefault="00D60A82" w:rsidP="00483C09">
            <w:pPr>
              <w:widowControl/>
              <w:spacing w:after="58"/>
              <w:rPr>
                <w:sz w:val="20"/>
                <w:szCs w:val="20"/>
              </w:rPr>
            </w:pPr>
          </w:p>
        </w:tc>
      </w:tr>
      <w:tr w:rsidR="00D60A82" w:rsidRPr="001774B5" w:rsidTr="004347DF">
        <w:trPr>
          <w:jc w:val="center"/>
        </w:trPr>
        <w:tc>
          <w:tcPr>
            <w:tcW w:w="5130" w:type="dxa"/>
          </w:tcPr>
          <w:p w:rsidR="00D60A82" w:rsidRPr="001774B5" w:rsidRDefault="00D60A82" w:rsidP="00483C09">
            <w:pPr>
              <w:widowControl/>
              <w:spacing w:after="58"/>
              <w:rPr>
                <w:sz w:val="20"/>
                <w:szCs w:val="20"/>
              </w:rPr>
            </w:pPr>
          </w:p>
        </w:tc>
        <w:tc>
          <w:tcPr>
            <w:tcW w:w="1080" w:type="dxa"/>
          </w:tcPr>
          <w:p w:rsidR="00D60A82" w:rsidRPr="001774B5" w:rsidRDefault="00D60A82" w:rsidP="00483C09">
            <w:pPr>
              <w:widowControl/>
              <w:spacing w:after="58"/>
              <w:rPr>
                <w:sz w:val="20"/>
                <w:szCs w:val="20"/>
              </w:rPr>
            </w:pPr>
          </w:p>
        </w:tc>
        <w:tc>
          <w:tcPr>
            <w:tcW w:w="990" w:type="dxa"/>
          </w:tcPr>
          <w:p w:rsidR="00D60A82" w:rsidRPr="001774B5" w:rsidRDefault="00D60A82" w:rsidP="00231D3B">
            <w:pPr>
              <w:widowControl/>
              <w:spacing w:after="58"/>
              <w:rPr>
                <w:sz w:val="20"/>
                <w:szCs w:val="20"/>
              </w:rPr>
            </w:pPr>
            <w:r w:rsidRPr="001774B5">
              <w:rPr>
                <w:sz w:val="20"/>
                <w:szCs w:val="20"/>
              </w:rPr>
              <w:t>$</w:t>
            </w:r>
            <w:r w:rsidR="006F08FD" w:rsidRPr="001774B5">
              <w:rPr>
                <w:sz w:val="20"/>
                <w:szCs w:val="20"/>
              </w:rPr>
              <w:t>6,</w:t>
            </w:r>
            <w:r w:rsidR="00231D3B" w:rsidRPr="001774B5">
              <w:rPr>
                <w:sz w:val="20"/>
                <w:szCs w:val="20"/>
              </w:rPr>
              <w:t>5</w:t>
            </w:r>
            <w:r w:rsidR="00231D3B">
              <w:rPr>
                <w:sz w:val="20"/>
                <w:szCs w:val="20"/>
              </w:rPr>
              <w:t>881</w:t>
            </w:r>
          </w:p>
        </w:tc>
      </w:tr>
      <w:tr w:rsidR="00D60A82" w:rsidRPr="001774B5" w:rsidTr="004347DF">
        <w:trPr>
          <w:jc w:val="center"/>
        </w:trPr>
        <w:tc>
          <w:tcPr>
            <w:tcW w:w="5130" w:type="dxa"/>
          </w:tcPr>
          <w:p w:rsidR="00D60A82" w:rsidRPr="001774B5" w:rsidRDefault="00D60A82" w:rsidP="00483C09">
            <w:pPr>
              <w:widowControl/>
              <w:spacing w:after="58"/>
              <w:rPr>
                <w:sz w:val="20"/>
                <w:szCs w:val="20"/>
              </w:rPr>
            </w:pPr>
            <w:r w:rsidRPr="001774B5">
              <w:rPr>
                <w:sz w:val="20"/>
                <w:szCs w:val="20"/>
              </w:rPr>
              <w:t>Annual Cost of Support Staff, GS 6, step 6</w:t>
            </w:r>
          </w:p>
        </w:tc>
        <w:tc>
          <w:tcPr>
            <w:tcW w:w="1080" w:type="dxa"/>
          </w:tcPr>
          <w:p w:rsidR="00D60A82" w:rsidRPr="001774B5" w:rsidRDefault="00D60A82" w:rsidP="00231D3B">
            <w:pPr>
              <w:widowControl/>
              <w:spacing w:after="58"/>
              <w:rPr>
                <w:sz w:val="20"/>
                <w:szCs w:val="20"/>
              </w:rPr>
            </w:pPr>
            <w:r w:rsidRPr="001774B5">
              <w:rPr>
                <w:sz w:val="20"/>
                <w:szCs w:val="20"/>
              </w:rPr>
              <w:t>$</w:t>
            </w:r>
            <w:r w:rsidR="00231D3B">
              <w:rPr>
                <w:sz w:val="20"/>
                <w:szCs w:val="20"/>
              </w:rPr>
              <w:t>35,672</w:t>
            </w:r>
          </w:p>
        </w:tc>
        <w:tc>
          <w:tcPr>
            <w:tcW w:w="990" w:type="dxa"/>
          </w:tcPr>
          <w:p w:rsidR="00D60A82" w:rsidRPr="001774B5" w:rsidRDefault="00D60A82" w:rsidP="00483C09">
            <w:pPr>
              <w:widowControl/>
              <w:spacing w:after="58"/>
              <w:rPr>
                <w:sz w:val="20"/>
                <w:szCs w:val="20"/>
              </w:rPr>
            </w:pPr>
          </w:p>
        </w:tc>
      </w:tr>
      <w:tr w:rsidR="00D60A82" w:rsidRPr="001774B5" w:rsidTr="004347DF">
        <w:trPr>
          <w:jc w:val="center"/>
        </w:trPr>
        <w:tc>
          <w:tcPr>
            <w:tcW w:w="5130" w:type="dxa"/>
          </w:tcPr>
          <w:p w:rsidR="00D60A82" w:rsidRPr="001774B5" w:rsidRDefault="00D60A82" w:rsidP="00483C09">
            <w:pPr>
              <w:widowControl/>
              <w:spacing w:after="58"/>
              <w:rPr>
                <w:sz w:val="20"/>
                <w:szCs w:val="20"/>
              </w:rPr>
            </w:pPr>
            <w:r w:rsidRPr="001774B5">
              <w:rPr>
                <w:sz w:val="20"/>
                <w:szCs w:val="20"/>
              </w:rPr>
              <w:t>Factor (1/8)</w:t>
            </w:r>
          </w:p>
        </w:tc>
        <w:tc>
          <w:tcPr>
            <w:tcW w:w="1080" w:type="dxa"/>
          </w:tcPr>
          <w:p w:rsidR="00D60A82" w:rsidRPr="001774B5" w:rsidRDefault="00D60A82" w:rsidP="00483C09">
            <w:pPr>
              <w:widowControl/>
              <w:spacing w:after="58"/>
              <w:rPr>
                <w:sz w:val="20"/>
                <w:szCs w:val="20"/>
              </w:rPr>
            </w:pPr>
            <w:r w:rsidRPr="001774B5">
              <w:rPr>
                <w:sz w:val="20"/>
                <w:szCs w:val="20"/>
              </w:rPr>
              <w:t>0.13</w:t>
            </w:r>
          </w:p>
        </w:tc>
        <w:tc>
          <w:tcPr>
            <w:tcW w:w="990" w:type="dxa"/>
          </w:tcPr>
          <w:p w:rsidR="00D60A82" w:rsidRPr="001774B5" w:rsidRDefault="00D60A82" w:rsidP="00483C09">
            <w:pPr>
              <w:widowControl/>
              <w:spacing w:after="58"/>
              <w:rPr>
                <w:sz w:val="20"/>
                <w:szCs w:val="20"/>
              </w:rPr>
            </w:pPr>
          </w:p>
        </w:tc>
      </w:tr>
      <w:tr w:rsidR="00D60A82" w:rsidRPr="001774B5" w:rsidTr="004347DF">
        <w:trPr>
          <w:jc w:val="center"/>
        </w:trPr>
        <w:tc>
          <w:tcPr>
            <w:tcW w:w="5130" w:type="dxa"/>
          </w:tcPr>
          <w:p w:rsidR="00D60A82" w:rsidRPr="001774B5" w:rsidRDefault="00D60A82" w:rsidP="00483C09">
            <w:pPr>
              <w:widowControl/>
              <w:spacing w:after="58"/>
              <w:rPr>
                <w:sz w:val="20"/>
                <w:szCs w:val="20"/>
              </w:rPr>
            </w:pPr>
          </w:p>
        </w:tc>
        <w:tc>
          <w:tcPr>
            <w:tcW w:w="1080" w:type="dxa"/>
          </w:tcPr>
          <w:p w:rsidR="00D60A82" w:rsidRPr="001774B5" w:rsidRDefault="00D60A82" w:rsidP="00483C09">
            <w:pPr>
              <w:widowControl/>
              <w:spacing w:after="58"/>
              <w:rPr>
                <w:sz w:val="20"/>
                <w:szCs w:val="20"/>
              </w:rPr>
            </w:pPr>
          </w:p>
        </w:tc>
        <w:tc>
          <w:tcPr>
            <w:tcW w:w="990" w:type="dxa"/>
          </w:tcPr>
          <w:p w:rsidR="00D60A82" w:rsidRPr="001774B5" w:rsidRDefault="00D60A82" w:rsidP="00231D3B">
            <w:pPr>
              <w:widowControl/>
              <w:spacing w:after="58"/>
              <w:rPr>
                <w:sz w:val="20"/>
                <w:szCs w:val="20"/>
              </w:rPr>
            </w:pPr>
            <w:r w:rsidRPr="001774B5">
              <w:rPr>
                <w:sz w:val="20"/>
                <w:szCs w:val="20"/>
              </w:rPr>
              <w:t>$</w:t>
            </w:r>
            <w:r w:rsidR="006F08FD" w:rsidRPr="001774B5">
              <w:rPr>
                <w:sz w:val="20"/>
                <w:szCs w:val="20"/>
              </w:rPr>
              <w:t>4,</w:t>
            </w:r>
            <w:r w:rsidR="00231D3B">
              <w:rPr>
                <w:sz w:val="20"/>
                <w:szCs w:val="20"/>
              </w:rPr>
              <w:t>637</w:t>
            </w:r>
          </w:p>
        </w:tc>
      </w:tr>
      <w:tr w:rsidR="00D60A82" w:rsidRPr="001774B5" w:rsidTr="004347DF">
        <w:trPr>
          <w:jc w:val="center"/>
        </w:trPr>
        <w:tc>
          <w:tcPr>
            <w:tcW w:w="5130" w:type="dxa"/>
          </w:tcPr>
          <w:p w:rsidR="00D60A82" w:rsidRPr="001774B5" w:rsidRDefault="00D60A82" w:rsidP="00483C09">
            <w:pPr>
              <w:widowControl/>
              <w:spacing w:after="58"/>
              <w:rPr>
                <w:sz w:val="20"/>
                <w:szCs w:val="20"/>
              </w:rPr>
            </w:pPr>
            <w:r w:rsidRPr="001774B5">
              <w:rPr>
                <w:sz w:val="20"/>
                <w:szCs w:val="20"/>
              </w:rPr>
              <w:t>Annual Applicable Salary of Permit Staff</w:t>
            </w:r>
          </w:p>
        </w:tc>
        <w:tc>
          <w:tcPr>
            <w:tcW w:w="1080" w:type="dxa"/>
          </w:tcPr>
          <w:p w:rsidR="00D60A82" w:rsidRPr="001774B5" w:rsidRDefault="00D60A82" w:rsidP="00483C09">
            <w:pPr>
              <w:widowControl/>
              <w:spacing w:after="58"/>
              <w:rPr>
                <w:sz w:val="20"/>
                <w:szCs w:val="20"/>
              </w:rPr>
            </w:pPr>
          </w:p>
        </w:tc>
        <w:tc>
          <w:tcPr>
            <w:tcW w:w="990" w:type="dxa"/>
          </w:tcPr>
          <w:p w:rsidR="00D60A82" w:rsidRPr="001774B5" w:rsidRDefault="00D60A82" w:rsidP="00483C09">
            <w:pPr>
              <w:widowControl/>
              <w:spacing w:after="58"/>
              <w:rPr>
                <w:sz w:val="20"/>
                <w:szCs w:val="20"/>
              </w:rPr>
            </w:pPr>
            <w:r w:rsidRPr="001774B5">
              <w:rPr>
                <w:sz w:val="20"/>
                <w:szCs w:val="20"/>
              </w:rPr>
              <w:t>$</w:t>
            </w:r>
            <w:r w:rsidR="00563D41" w:rsidRPr="001774B5">
              <w:rPr>
                <w:sz w:val="20"/>
                <w:szCs w:val="20"/>
              </w:rPr>
              <w:t>6</w:t>
            </w:r>
            <w:r w:rsidR="00231D3B">
              <w:rPr>
                <w:sz w:val="20"/>
                <w:szCs w:val="20"/>
              </w:rPr>
              <w:t>5,157</w:t>
            </w:r>
          </w:p>
        </w:tc>
      </w:tr>
      <w:tr w:rsidR="00D60A82" w:rsidRPr="001774B5" w:rsidTr="004347DF">
        <w:trPr>
          <w:jc w:val="center"/>
        </w:trPr>
        <w:tc>
          <w:tcPr>
            <w:tcW w:w="5130" w:type="dxa"/>
          </w:tcPr>
          <w:p w:rsidR="00D60A82" w:rsidRPr="001774B5" w:rsidRDefault="00D60A82" w:rsidP="00483C09">
            <w:pPr>
              <w:widowControl/>
              <w:spacing w:after="58"/>
              <w:rPr>
                <w:sz w:val="20"/>
                <w:szCs w:val="20"/>
              </w:rPr>
            </w:pPr>
            <w:r w:rsidRPr="001774B5">
              <w:rPr>
                <w:sz w:val="20"/>
                <w:szCs w:val="20"/>
              </w:rPr>
              <w:t>Benefits (at 16%)</w:t>
            </w:r>
          </w:p>
        </w:tc>
        <w:tc>
          <w:tcPr>
            <w:tcW w:w="1080" w:type="dxa"/>
          </w:tcPr>
          <w:p w:rsidR="00D60A82" w:rsidRPr="001774B5" w:rsidRDefault="00D60A82" w:rsidP="00483C09">
            <w:pPr>
              <w:widowControl/>
              <w:spacing w:after="58"/>
              <w:rPr>
                <w:sz w:val="20"/>
                <w:szCs w:val="20"/>
              </w:rPr>
            </w:pPr>
          </w:p>
        </w:tc>
        <w:tc>
          <w:tcPr>
            <w:tcW w:w="990" w:type="dxa"/>
          </w:tcPr>
          <w:p w:rsidR="00D60A82" w:rsidRPr="001774B5" w:rsidRDefault="00D60A82" w:rsidP="00483C09">
            <w:pPr>
              <w:widowControl/>
              <w:spacing w:after="58"/>
              <w:rPr>
                <w:sz w:val="20"/>
                <w:szCs w:val="20"/>
              </w:rPr>
            </w:pPr>
            <w:r w:rsidRPr="001774B5">
              <w:rPr>
                <w:sz w:val="20"/>
                <w:szCs w:val="20"/>
              </w:rPr>
              <w:t>$</w:t>
            </w:r>
            <w:r w:rsidR="00231D3B">
              <w:rPr>
                <w:sz w:val="20"/>
                <w:szCs w:val="20"/>
              </w:rPr>
              <w:t>10,425</w:t>
            </w:r>
          </w:p>
        </w:tc>
      </w:tr>
      <w:tr w:rsidR="00D60A82" w:rsidRPr="001774B5" w:rsidTr="004347DF">
        <w:trPr>
          <w:jc w:val="center"/>
        </w:trPr>
        <w:tc>
          <w:tcPr>
            <w:tcW w:w="5130" w:type="dxa"/>
          </w:tcPr>
          <w:p w:rsidR="00D60A82" w:rsidRPr="001774B5" w:rsidRDefault="00D60A82" w:rsidP="00483C09">
            <w:pPr>
              <w:widowControl/>
              <w:spacing w:after="58"/>
              <w:rPr>
                <w:sz w:val="20"/>
                <w:szCs w:val="20"/>
              </w:rPr>
            </w:pPr>
            <w:r w:rsidRPr="001774B5">
              <w:rPr>
                <w:sz w:val="20"/>
                <w:szCs w:val="20"/>
              </w:rPr>
              <w:t>Sick Leave/ Vacation (at 10%)</w:t>
            </w:r>
          </w:p>
        </w:tc>
        <w:tc>
          <w:tcPr>
            <w:tcW w:w="1080" w:type="dxa"/>
          </w:tcPr>
          <w:p w:rsidR="00D60A82" w:rsidRPr="001774B5" w:rsidRDefault="00D60A82" w:rsidP="00483C09">
            <w:pPr>
              <w:widowControl/>
              <w:spacing w:after="58"/>
              <w:rPr>
                <w:sz w:val="20"/>
                <w:szCs w:val="20"/>
              </w:rPr>
            </w:pPr>
          </w:p>
        </w:tc>
        <w:tc>
          <w:tcPr>
            <w:tcW w:w="990" w:type="dxa"/>
          </w:tcPr>
          <w:p w:rsidR="00D60A82" w:rsidRPr="001774B5" w:rsidRDefault="00D60A82" w:rsidP="00483C09">
            <w:pPr>
              <w:widowControl/>
              <w:spacing w:after="58"/>
              <w:rPr>
                <w:sz w:val="20"/>
                <w:szCs w:val="20"/>
              </w:rPr>
            </w:pPr>
            <w:r w:rsidRPr="001774B5">
              <w:rPr>
                <w:sz w:val="20"/>
                <w:szCs w:val="20"/>
              </w:rPr>
              <w:t>$</w:t>
            </w:r>
            <w:r w:rsidR="00563D41" w:rsidRPr="001774B5">
              <w:rPr>
                <w:sz w:val="20"/>
                <w:szCs w:val="20"/>
              </w:rPr>
              <w:t>6,</w:t>
            </w:r>
            <w:r w:rsidR="00231D3B">
              <w:rPr>
                <w:sz w:val="20"/>
                <w:szCs w:val="20"/>
              </w:rPr>
              <w:t>516</w:t>
            </w:r>
          </w:p>
        </w:tc>
      </w:tr>
      <w:tr w:rsidR="00D60A82" w:rsidRPr="001774B5" w:rsidTr="004347DF">
        <w:trPr>
          <w:jc w:val="center"/>
        </w:trPr>
        <w:tc>
          <w:tcPr>
            <w:tcW w:w="5130" w:type="dxa"/>
          </w:tcPr>
          <w:p w:rsidR="00D60A82" w:rsidRPr="001774B5" w:rsidRDefault="00D60A82" w:rsidP="00483C09">
            <w:pPr>
              <w:widowControl/>
              <w:spacing w:after="58"/>
              <w:rPr>
                <w:sz w:val="20"/>
                <w:szCs w:val="20"/>
              </w:rPr>
            </w:pPr>
            <w:r w:rsidRPr="001774B5">
              <w:rPr>
                <w:sz w:val="20"/>
                <w:szCs w:val="20"/>
              </w:rPr>
              <w:t>General Overhead (at 32%)</w:t>
            </w:r>
          </w:p>
        </w:tc>
        <w:tc>
          <w:tcPr>
            <w:tcW w:w="1080" w:type="dxa"/>
          </w:tcPr>
          <w:p w:rsidR="00D60A82" w:rsidRPr="001774B5" w:rsidRDefault="00D60A82" w:rsidP="00483C09">
            <w:pPr>
              <w:widowControl/>
              <w:spacing w:after="58"/>
              <w:rPr>
                <w:sz w:val="20"/>
                <w:szCs w:val="20"/>
              </w:rPr>
            </w:pPr>
          </w:p>
        </w:tc>
        <w:tc>
          <w:tcPr>
            <w:tcW w:w="990" w:type="dxa"/>
          </w:tcPr>
          <w:p w:rsidR="00D60A82" w:rsidRPr="001774B5" w:rsidRDefault="00D60A82" w:rsidP="00483C09">
            <w:pPr>
              <w:widowControl/>
              <w:spacing w:after="58"/>
              <w:rPr>
                <w:sz w:val="20"/>
                <w:szCs w:val="20"/>
              </w:rPr>
            </w:pPr>
            <w:r w:rsidRPr="001774B5">
              <w:rPr>
                <w:sz w:val="20"/>
                <w:szCs w:val="20"/>
              </w:rPr>
              <w:t>$</w:t>
            </w:r>
            <w:r w:rsidR="00231D3B">
              <w:rPr>
                <w:sz w:val="20"/>
                <w:szCs w:val="20"/>
              </w:rPr>
              <w:t>20,850</w:t>
            </w:r>
          </w:p>
        </w:tc>
      </w:tr>
      <w:tr w:rsidR="00D60A82" w:rsidRPr="001774B5" w:rsidTr="004347DF">
        <w:trPr>
          <w:jc w:val="center"/>
        </w:trPr>
        <w:tc>
          <w:tcPr>
            <w:tcW w:w="5130" w:type="dxa"/>
          </w:tcPr>
          <w:p w:rsidR="00D60A82" w:rsidRPr="001774B5" w:rsidRDefault="00D60A82" w:rsidP="00483C09">
            <w:pPr>
              <w:widowControl/>
              <w:spacing w:after="58"/>
              <w:rPr>
                <w:sz w:val="20"/>
                <w:szCs w:val="20"/>
              </w:rPr>
            </w:pPr>
            <w:r w:rsidRPr="001774B5">
              <w:rPr>
                <w:sz w:val="20"/>
                <w:szCs w:val="20"/>
              </w:rPr>
              <w:t xml:space="preserve">Total Cost per </w:t>
            </w:r>
            <w:smartTag w:uri="urn:schemas-microsoft-com:office:smarttags" w:element="stockticker">
              <w:r w:rsidRPr="001774B5">
                <w:rPr>
                  <w:sz w:val="20"/>
                  <w:szCs w:val="20"/>
                </w:rPr>
                <w:t>FTE</w:t>
              </w:r>
            </w:smartTag>
          </w:p>
        </w:tc>
        <w:tc>
          <w:tcPr>
            <w:tcW w:w="1080" w:type="dxa"/>
          </w:tcPr>
          <w:p w:rsidR="00D60A82" w:rsidRPr="001774B5" w:rsidRDefault="00D60A82" w:rsidP="00483C09">
            <w:pPr>
              <w:widowControl/>
              <w:spacing w:after="58"/>
              <w:rPr>
                <w:sz w:val="20"/>
                <w:szCs w:val="20"/>
              </w:rPr>
            </w:pPr>
          </w:p>
        </w:tc>
        <w:tc>
          <w:tcPr>
            <w:tcW w:w="990" w:type="dxa"/>
          </w:tcPr>
          <w:p w:rsidR="00D60A82" w:rsidRPr="001774B5" w:rsidRDefault="00D60A82" w:rsidP="00483C09">
            <w:pPr>
              <w:widowControl/>
              <w:spacing w:after="58"/>
              <w:rPr>
                <w:sz w:val="20"/>
                <w:szCs w:val="20"/>
              </w:rPr>
            </w:pPr>
            <w:r w:rsidRPr="001774B5">
              <w:rPr>
                <w:sz w:val="20"/>
                <w:szCs w:val="20"/>
              </w:rPr>
              <w:t>$</w:t>
            </w:r>
            <w:r w:rsidR="00231D3B">
              <w:rPr>
                <w:sz w:val="20"/>
                <w:szCs w:val="20"/>
              </w:rPr>
              <w:t>102,948</w:t>
            </w:r>
          </w:p>
        </w:tc>
      </w:tr>
      <w:tr w:rsidR="00D60A82" w:rsidRPr="001774B5" w:rsidTr="004347DF">
        <w:trPr>
          <w:jc w:val="center"/>
        </w:trPr>
        <w:tc>
          <w:tcPr>
            <w:tcW w:w="5130" w:type="dxa"/>
          </w:tcPr>
          <w:p w:rsidR="00D60A82" w:rsidRPr="001774B5" w:rsidRDefault="00D60A82" w:rsidP="00483C09">
            <w:pPr>
              <w:widowControl/>
              <w:spacing w:after="58"/>
              <w:rPr>
                <w:sz w:val="20"/>
                <w:szCs w:val="20"/>
              </w:rPr>
            </w:pPr>
            <w:r w:rsidRPr="001774B5">
              <w:rPr>
                <w:sz w:val="20"/>
                <w:szCs w:val="20"/>
              </w:rPr>
              <w:t xml:space="preserve">Total Hourly Cost (total per </w:t>
            </w:r>
            <w:smartTag w:uri="urn:schemas-microsoft-com:office:smarttags" w:element="stockticker">
              <w:r w:rsidRPr="001774B5">
                <w:rPr>
                  <w:sz w:val="20"/>
                  <w:szCs w:val="20"/>
                </w:rPr>
                <w:t>FTE</w:t>
              </w:r>
            </w:smartTag>
            <w:r w:rsidRPr="001774B5">
              <w:rPr>
                <w:sz w:val="20"/>
                <w:szCs w:val="20"/>
              </w:rPr>
              <w:t xml:space="preserve"> dividend divided by 2,080 hours per year)</w:t>
            </w:r>
          </w:p>
        </w:tc>
        <w:tc>
          <w:tcPr>
            <w:tcW w:w="1080" w:type="dxa"/>
          </w:tcPr>
          <w:p w:rsidR="00D60A82" w:rsidRPr="001774B5" w:rsidRDefault="00D60A82" w:rsidP="00483C09">
            <w:pPr>
              <w:widowControl/>
              <w:spacing w:after="58"/>
              <w:rPr>
                <w:sz w:val="20"/>
                <w:szCs w:val="20"/>
              </w:rPr>
            </w:pPr>
          </w:p>
        </w:tc>
        <w:tc>
          <w:tcPr>
            <w:tcW w:w="990" w:type="dxa"/>
          </w:tcPr>
          <w:p w:rsidR="00D60A82" w:rsidRPr="001774B5" w:rsidRDefault="00D60A82" w:rsidP="00483C09">
            <w:pPr>
              <w:widowControl/>
              <w:spacing w:after="58"/>
              <w:rPr>
                <w:sz w:val="20"/>
                <w:szCs w:val="20"/>
              </w:rPr>
            </w:pPr>
            <w:r w:rsidRPr="001774B5">
              <w:rPr>
                <w:sz w:val="20"/>
                <w:szCs w:val="20"/>
              </w:rPr>
              <w:t>$</w:t>
            </w:r>
            <w:r w:rsidR="00563D41" w:rsidRPr="001774B5">
              <w:rPr>
                <w:sz w:val="20"/>
                <w:szCs w:val="20"/>
              </w:rPr>
              <w:t>4</w:t>
            </w:r>
            <w:r w:rsidR="00231D3B">
              <w:rPr>
                <w:sz w:val="20"/>
                <w:szCs w:val="20"/>
              </w:rPr>
              <w:t>9.49</w:t>
            </w:r>
          </w:p>
        </w:tc>
      </w:tr>
    </w:tbl>
    <w:p w:rsidR="00D60A82" w:rsidRPr="001774B5" w:rsidRDefault="00D60A82" w:rsidP="00EE6D32">
      <w:pPr>
        <w:widowControl/>
      </w:pPr>
    </w:p>
    <w:p w:rsidR="00D60A82" w:rsidRPr="001774B5" w:rsidRDefault="00D60A82" w:rsidP="00EE6D32">
      <w:pPr>
        <w:widowControl/>
        <w:ind w:firstLine="424"/>
      </w:pPr>
    </w:p>
    <w:p w:rsidR="00910C2E" w:rsidRDefault="00910C2E" w:rsidP="000E0D68">
      <w:pPr>
        <w:keepNext/>
        <w:widowControl/>
        <w:ind w:firstLine="720"/>
        <w:rPr>
          <w:bCs/>
        </w:rPr>
      </w:pPr>
    </w:p>
    <w:p w:rsidR="00910C2E" w:rsidRDefault="00910C2E" w:rsidP="000E0D68">
      <w:pPr>
        <w:keepNext/>
        <w:widowControl/>
        <w:ind w:firstLine="720"/>
        <w:rPr>
          <w:bCs/>
        </w:rPr>
      </w:pPr>
    </w:p>
    <w:p w:rsidR="00D60A82" w:rsidRPr="001774B5" w:rsidRDefault="00D60A82" w:rsidP="00683EBB">
      <w:pPr>
        <w:keepNext/>
        <w:widowControl/>
        <w:ind w:firstLine="720"/>
      </w:pPr>
      <w:r w:rsidRPr="001774B5">
        <w:rPr>
          <w:bCs/>
        </w:rPr>
        <w:t>(</w:t>
      </w:r>
      <w:r w:rsidRPr="001774B5">
        <w:rPr>
          <w:i/>
          <w:iCs/>
        </w:rPr>
        <w:t>ii)</w:t>
      </w:r>
      <w:r w:rsidR="00483C09" w:rsidRPr="001774B5">
        <w:rPr>
          <w:i/>
          <w:iCs/>
        </w:rPr>
        <w:t xml:space="preserve"> </w:t>
      </w:r>
      <w:r w:rsidRPr="001774B5">
        <w:rPr>
          <w:i/>
          <w:iCs/>
        </w:rPr>
        <w:t xml:space="preserve"> Estimating Capital and Operations and Maintenance Costs</w:t>
      </w:r>
    </w:p>
    <w:p w:rsidR="004347DF" w:rsidRPr="001774B5" w:rsidRDefault="004347DF" w:rsidP="00683EBB">
      <w:pPr>
        <w:keepNext/>
        <w:widowControl/>
        <w:ind w:firstLine="720"/>
      </w:pPr>
    </w:p>
    <w:p w:rsidR="00D60A82" w:rsidRPr="001774B5" w:rsidRDefault="00D60A82" w:rsidP="00683EBB">
      <w:pPr>
        <w:keepNext/>
        <w:keepLines/>
        <w:widowControl/>
        <w:rPr>
          <w:b/>
          <w:bCs/>
        </w:rPr>
      </w:pPr>
      <w:r w:rsidRPr="001774B5">
        <w:rPr>
          <w:b/>
          <w:bCs/>
        </w:rPr>
        <w:t xml:space="preserve">Emission </w:t>
      </w:r>
      <w:r w:rsidR="00393CCE">
        <w:rPr>
          <w:b/>
          <w:bCs/>
        </w:rPr>
        <w:t xml:space="preserve">Reporting and </w:t>
      </w:r>
      <w:r w:rsidRPr="001774B5">
        <w:rPr>
          <w:b/>
          <w:bCs/>
        </w:rPr>
        <w:t>Trading Requirements</w:t>
      </w:r>
    </w:p>
    <w:p w:rsidR="0005413A" w:rsidRPr="001774B5" w:rsidRDefault="0005413A" w:rsidP="0005413A">
      <w:pPr>
        <w:keepNext/>
        <w:keepLines/>
        <w:widowControl/>
      </w:pPr>
    </w:p>
    <w:p w:rsidR="00D60A82" w:rsidRPr="001774B5" w:rsidRDefault="00D60A82" w:rsidP="0005413A">
      <w:pPr>
        <w:keepNext/>
        <w:widowControl/>
        <w:ind w:firstLine="720"/>
      </w:pPr>
      <w:r w:rsidRPr="001774B5">
        <w:t>Capital/start-up costs include the cost of installing required CEMS or alternatives</w:t>
      </w:r>
      <w:r w:rsidR="00617BBA" w:rsidRPr="001774B5">
        <w:t xml:space="preserve">. </w:t>
      </w:r>
      <w:r w:rsidRPr="001774B5">
        <w:t>Operation and maintenance costs (exclusive of labor costs) reflect ongoing costs to a unit and include both contractor costs for the required recertification, diagnostic, and quality assurance (QA) testing, and other direct maintenance-related expenses (e.g., spare parts and calibration gases)</w:t>
      </w:r>
      <w:r w:rsidR="00617BBA" w:rsidRPr="001774B5">
        <w:t xml:space="preserve">. </w:t>
      </w:r>
      <w:r w:rsidRPr="001774B5">
        <w:t xml:space="preserve">These cost estimates have been derived from EPA CEM cost models, existing ICRs, Agency staff experience under the Acid Rain and </w:t>
      </w:r>
      <w:proofErr w:type="spellStart"/>
      <w:r w:rsidRPr="001774B5">
        <w:t>NO</w:t>
      </w:r>
      <w:r w:rsidR="0031501F" w:rsidRPr="001774B5">
        <w:rPr>
          <w:vertAlign w:val="subscript"/>
        </w:rPr>
        <w:t>x</w:t>
      </w:r>
      <w:proofErr w:type="spellEnd"/>
      <w:r w:rsidRPr="001774B5">
        <w:t xml:space="preserve"> SIP Call programs, and supplemental estimates provided by affected utilities and others related to the various cost items.</w:t>
      </w:r>
    </w:p>
    <w:p w:rsidR="00D60A82" w:rsidRPr="001774B5" w:rsidRDefault="00D60A82" w:rsidP="006158FE">
      <w:pPr>
        <w:widowControl/>
        <w:ind w:firstLine="720"/>
      </w:pPr>
    </w:p>
    <w:p w:rsidR="00D60A82" w:rsidRPr="001774B5" w:rsidRDefault="00A3103D" w:rsidP="003C72A0">
      <w:pPr>
        <w:widowControl/>
        <w:ind w:firstLine="720"/>
        <w:rPr>
          <w:b/>
          <w:i/>
        </w:rPr>
      </w:pPr>
      <w:r w:rsidRPr="001774B5">
        <w:t xml:space="preserve">Most </w:t>
      </w:r>
      <w:r w:rsidR="00D60A82" w:rsidRPr="001774B5">
        <w:t>Acid Rain affected units are not expected to incur any non-labor costs associated with this program</w:t>
      </w:r>
      <w:r w:rsidR="00617BBA" w:rsidRPr="001774B5">
        <w:t xml:space="preserve">. </w:t>
      </w:r>
      <w:r w:rsidR="00D60A82" w:rsidRPr="001774B5">
        <w:t xml:space="preserve">The total non-labor cost for capital/start-up items </w:t>
      </w:r>
      <w:r w:rsidR="00231D3B">
        <w:t>wa</w:t>
      </w:r>
      <w:r w:rsidR="00D60A82" w:rsidRPr="001774B5">
        <w:t xml:space="preserve">s estimated at $4,000 per unit for most Acid Rain units that </w:t>
      </w:r>
      <w:r w:rsidR="00231D3B">
        <w:t>were</w:t>
      </w:r>
      <w:r w:rsidR="00D60A82" w:rsidRPr="001774B5">
        <w:t xml:space="preserve"> not in the </w:t>
      </w:r>
      <w:proofErr w:type="spellStart"/>
      <w:r w:rsidR="00D60A82" w:rsidRPr="001774B5">
        <w:t>NO</w:t>
      </w:r>
      <w:r w:rsidR="0031501F" w:rsidRPr="001774B5">
        <w:rPr>
          <w:vertAlign w:val="subscript"/>
        </w:rPr>
        <w:t>x</w:t>
      </w:r>
      <w:proofErr w:type="spellEnd"/>
      <w:r w:rsidR="00D60A82" w:rsidRPr="001774B5">
        <w:t xml:space="preserve"> SIP Call region (to account for a DAHS upgrade</w:t>
      </w:r>
      <w:r w:rsidRPr="001774B5">
        <w:t xml:space="preserve"> to provide </w:t>
      </w:r>
      <w:proofErr w:type="spellStart"/>
      <w:r w:rsidRPr="001774B5">
        <w:t>NO</w:t>
      </w:r>
      <w:r w:rsidR="0031501F" w:rsidRPr="001774B5">
        <w:rPr>
          <w:vertAlign w:val="subscript"/>
        </w:rPr>
        <w:t>x</w:t>
      </w:r>
      <w:proofErr w:type="spellEnd"/>
      <w:r w:rsidRPr="001774B5">
        <w:t xml:space="preserve"> mass reporting under Part 75, Subpart H)</w:t>
      </w:r>
      <w:r w:rsidR="00D60A82" w:rsidRPr="001774B5">
        <w:t xml:space="preserve">. </w:t>
      </w:r>
      <w:r w:rsidR="00231D3B">
        <w:t xml:space="preserve">This one time upgrade cost was accounted for in the 2009-2011 ICR period. </w:t>
      </w:r>
      <w:r w:rsidR="00AF4AB9" w:rsidRPr="001774B5">
        <w:t xml:space="preserve">Most non Acid Rain units </w:t>
      </w:r>
      <w:r w:rsidR="00D60A82" w:rsidRPr="001774B5">
        <w:t xml:space="preserve">will require some combination of a </w:t>
      </w:r>
      <w:proofErr w:type="spellStart"/>
      <w:r w:rsidR="00D60A82" w:rsidRPr="001774B5">
        <w:t>NO</w:t>
      </w:r>
      <w:r w:rsidR="0031501F" w:rsidRPr="001774B5">
        <w:rPr>
          <w:vertAlign w:val="subscript"/>
        </w:rPr>
        <w:t>x</w:t>
      </w:r>
      <w:proofErr w:type="spellEnd"/>
      <w:r w:rsidR="00D60A82" w:rsidRPr="001774B5">
        <w:t>, diluent, SO</w:t>
      </w:r>
      <w:r w:rsidR="00D60A82" w:rsidRPr="001774B5">
        <w:rPr>
          <w:vertAlign w:val="subscript"/>
        </w:rPr>
        <w:t>2</w:t>
      </w:r>
      <w:r w:rsidR="00D60A82" w:rsidRPr="001774B5">
        <w:t xml:space="preserve"> and/or flow CEMS</w:t>
      </w:r>
      <w:r w:rsidR="00AF4AB9" w:rsidRPr="001774B5">
        <w:t xml:space="preserve"> depending on the fuel type, whether the unit is an LME or peaking unit, and whether the source is subject to CAIR for PM</w:t>
      </w:r>
      <w:r w:rsidR="00AF4AB9" w:rsidRPr="001774B5">
        <w:rPr>
          <w:vertAlign w:val="subscript"/>
        </w:rPr>
        <w:t>2.</w:t>
      </w:r>
      <w:r w:rsidR="00761BA5" w:rsidRPr="001774B5">
        <w:rPr>
          <w:vertAlign w:val="subscript"/>
        </w:rPr>
        <w:t xml:space="preserve">5 </w:t>
      </w:r>
      <w:r w:rsidR="00AF4AB9" w:rsidRPr="001774B5">
        <w:t>and/or ozone</w:t>
      </w:r>
      <w:r w:rsidR="00617BBA" w:rsidRPr="001774B5">
        <w:t xml:space="preserve">. </w:t>
      </w:r>
      <w:r w:rsidR="00D60A82" w:rsidRPr="001774B5">
        <w:t>The costs for these units range from $15,000 to $192,000</w:t>
      </w:r>
      <w:r w:rsidR="00617BBA" w:rsidRPr="001774B5">
        <w:t xml:space="preserve">. </w:t>
      </w:r>
      <w:r w:rsidR="00AF4AB9" w:rsidRPr="001774B5">
        <w:t>The cost for an SO</w:t>
      </w:r>
      <w:r w:rsidR="00AF4AB9" w:rsidRPr="001774B5">
        <w:rPr>
          <w:vertAlign w:val="subscript"/>
        </w:rPr>
        <w:t>2</w:t>
      </w:r>
      <w:r w:rsidR="00AF4AB9" w:rsidRPr="001774B5">
        <w:t xml:space="preserve"> analyzer has been estimated at $42,525</w:t>
      </w:r>
      <w:r w:rsidR="00617BBA" w:rsidRPr="001774B5">
        <w:t xml:space="preserve">. </w:t>
      </w:r>
      <w:r w:rsidR="00D60A82" w:rsidRPr="001774B5">
        <w:t xml:space="preserve">The variance </w:t>
      </w:r>
      <w:r w:rsidR="00AF4AB9" w:rsidRPr="001774B5">
        <w:t xml:space="preserve">in unit cost </w:t>
      </w:r>
      <w:r w:rsidR="00D60A82" w:rsidRPr="001774B5">
        <w:t>is due to the monitoring methodology used and what monitoring equipment may already be in place at the unit.</w:t>
      </w:r>
      <w:r w:rsidR="006702DE" w:rsidRPr="001774B5">
        <w:t xml:space="preserve">  </w:t>
      </w:r>
    </w:p>
    <w:p w:rsidR="00D60A82" w:rsidRPr="001774B5" w:rsidRDefault="00D60A82" w:rsidP="006158FE">
      <w:pPr>
        <w:widowControl/>
        <w:ind w:firstLine="720"/>
      </w:pPr>
    </w:p>
    <w:p w:rsidR="00D60A82" w:rsidRPr="001774B5" w:rsidRDefault="00D60A82" w:rsidP="006158FE">
      <w:pPr>
        <w:widowControl/>
        <w:ind w:firstLine="720"/>
      </w:pPr>
      <w:r w:rsidRPr="001774B5">
        <w:t xml:space="preserve">Note that testing contractor costs for certification, </w:t>
      </w:r>
      <w:r w:rsidR="00540A02" w:rsidRPr="001774B5">
        <w:t>recertification,</w:t>
      </w:r>
      <w:r w:rsidRPr="001774B5">
        <w:t xml:space="preserve"> and annual relative accuracy test audits (RATAs) are presented as other direct costs and are not converted to equivalent source labor hours</w:t>
      </w:r>
      <w:r w:rsidR="00617BBA" w:rsidRPr="001774B5">
        <w:t xml:space="preserve">. </w:t>
      </w:r>
      <w:r w:rsidRPr="001774B5">
        <w:t>This approach is consistent with the common business practice for obtaining outside contractors to conduct certification/recertification tests and annual RATAs</w:t>
      </w:r>
      <w:r w:rsidR="00617BBA" w:rsidRPr="001774B5">
        <w:t xml:space="preserve">. </w:t>
      </w:r>
      <w:r w:rsidRPr="001774B5">
        <w:t>For initial certification, the certification test costs are commonly bundled with equipment purchase contracts, according to information provided by a range of CEMS equipment vendors</w:t>
      </w:r>
      <w:r w:rsidR="00617BBA" w:rsidRPr="001774B5">
        <w:t xml:space="preserve">. </w:t>
      </w:r>
      <w:r w:rsidRPr="001774B5">
        <w:t>For RATAs that are conducted either as part of the annual quality assurance requirements or as part of recertification, industry contacts have indicated that RATA testing is usually performed under a fixed price contract basis, except for travel costs that may be billed on an hourly basis beyond the basic contract cost.</w:t>
      </w:r>
    </w:p>
    <w:p w:rsidR="00D60A82" w:rsidRPr="001774B5" w:rsidRDefault="00D60A82" w:rsidP="006158FE">
      <w:pPr>
        <w:widowControl/>
        <w:ind w:firstLine="720"/>
      </w:pPr>
    </w:p>
    <w:p w:rsidR="00D60A82" w:rsidRPr="001774B5" w:rsidRDefault="00D60A82" w:rsidP="006158FE">
      <w:pPr>
        <w:widowControl/>
        <w:ind w:firstLine="720"/>
      </w:pPr>
      <w:r w:rsidRPr="001774B5">
        <w:t>The Agency also notes that this ICR does not include a cost for the purchase of monitoring equipment for units</w:t>
      </w:r>
      <w:r w:rsidR="00617BBA" w:rsidRPr="001774B5">
        <w:t xml:space="preserve">. </w:t>
      </w:r>
      <w:r w:rsidRPr="001774B5">
        <w:t xml:space="preserve">Many sources covered by the CAIR Trading Programs are already required to have CEMS under </w:t>
      </w:r>
      <w:r w:rsidR="00BF799F" w:rsidRPr="001774B5">
        <w:t xml:space="preserve">that </w:t>
      </w:r>
      <w:r w:rsidRPr="001774B5">
        <w:t>program</w:t>
      </w:r>
      <w:r w:rsidR="00617BBA" w:rsidRPr="001774B5">
        <w:t xml:space="preserve">. </w:t>
      </w:r>
      <w:r w:rsidRPr="001774B5">
        <w:t xml:space="preserve">Therefore, to the extent that no new equipment is needed by these sources, capital costs are not included because those costs were included in the </w:t>
      </w:r>
      <w:r w:rsidR="00BF799F" w:rsidRPr="001774B5">
        <w:t xml:space="preserve">Acid Rain Program </w:t>
      </w:r>
      <w:r w:rsidRPr="001774B5">
        <w:t>ICR</w:t>
      </w:r>
      <w:r w:rsidR="00617BBA" w:rsidRPr="001774B5">
        <w:t xml:space="preserve">. </w:t>
      </w:r>
      <w:r w:rsidRPr="001774B5">
        <w:t xml:space="preserve">Thus, the capital and other costs included in </w:t>
      </w:r>
      <w:r w:rsidRPr="009A06BF">
        <w:t>Table 6-</w:t>
      </w:r>
      <w:r w:rsidR="00393CCE">
        <w:t>1</w:t>
      </w:r>
      <w:r w:rsidRPr="001774B5">
        <w:t xml:space="preserve"> represent weighted average costs for each respondent, not the total individual cost for any particular respondent.</w:t>
      </w:r>
    </w:p>
    <w:p w:rsidR="00D60A82" w:rsidRPr="001774B5" w:rsidRDefault="00D60A82" w:rsidP="00EE6D32">
      <w:pPr>
        <w:widowControl/>
      </w:pPr>
    </w:p>
    <w:p w:rsidR="00D60A82" w:rsidRPr="001774B5" w:rsidRDefault="00D60A82" w:rsidP="00761BA5">
      <w:pPr>
        <w:keepNext/>
        <w:widowControl/>
        <w:ind w:firstLine="720"/>
      </w:pPr>
      <w:r w:rsidRPr="001774B5">
        <w:lastRenderedPageBreak/>
        <w:t>(</w:t>
      </w:r>
      <w:r w:rsidRPr="001774B5">
        <w:rPr>
          <w:i/>
          <w:iCs/>
        </w:rPr>
        <w:t>iii)  Capital/Start-up vs. Operating and Maintenance (O &amp; M) Costs</w:t>
      </w:r>
    </w:p>
    <w:p w:rsidR="00D60A82" w:rsidRPr="001774B5" w:rsidRDefault="00D60A82" w:rsidP="00761BA5">
      <w:pPr>
        <w:keepNext/>
        <w:widowControl/>
      </w:pPr>
    </w:p>
    <w:p w:rsidR="00D60A82" w:rsidRPr="001774B5" w:rsidRDefault="00D60A82" w:rsidP="006158FE">
      <w:pPr>
        <w:widowControl/>
        <w:ind w:firstLine="720"/>
      </w:pPr>
      <w:r w:rsidRPr="001774B5">
        <w:t>Capital costs for emissions trading reflect one-time costs for purchase of equipment which will be used over a period of years</w:t>
      </w:r>
      <w:r w:rsidR="00617BBA" w:rsidRPr="001774B5">
        <w:t xml:space="preserve">. </w:t>
      </w:r>
      <w:r w:rsidRPr="001774B5">
        <w:t>Conversely, operating and maintenance costs are those costs which are incurred on an annual or other scheduled basis</w:t>
      </w:r>
      <w:r w:rsidR="00617BBA" w:rsidRPr="001774B5">
        <w:t xml:space="preserve">. </w:t>
      </w:r>
      <w:r w:rsidRPr="001774B5">
        <w:t>For instance, costs associated with quality assurance activities, such as spare parts or contractor costs for work, will be incurred on an annual basis.</w:t>
      </w:r>
    </w:p>
    <w:p w:rsidR="00D60A82" w:rsidRPr="001774B5" w:rsidRDefault="00D60A82" w:rsidP="00EE6D32">
      <w:pPr>
        <w:widowControl/>
      </w:pPr>
    </w:p>
    <w:p w:rsidR="00D60A82" w:rsidRPr="001774B5" w:rsidRDefault="00D60A82" w:rsidP="006158FE">
      <w:pPr>
        <w:keepNext/>
        <w:widowControl/>
        <w:ind w:firstLine="720"/>
      </w:pPr>
      <w:proofErr w:type="gramStart"/>
      <w:r w:rsidRPr="001774B5">
        <w:rPr>
          <w:i/>
          <w:iCs/>
        </w:rPr>
        <w:t>(iv)  Annualizing</w:t>
      </w:r>
      <w:proofErr w:type="gramEnd"/>
      <w:r w:rsidRPr="001774B5">
        <w:rPr>
          <w:i/>
          <w:iCs/>
        </w:rPr>
        <w:t xml:space="preserve"> Capital Costs</w:t>
      </w:r>
    </w:p>
    <w:p w:rsidR="00D60A82" w:rsidRPr="001774B5" w:rsidRDefault="00D60A82" w:rsidP="006158FE">
      <w:pPr>
        <w:keepNext/>
        <w:widowControl/>
      </w:pPr>
    </w:p>
    <w:p w:rsidR="006702DE" w:rsidRPr="001774B5" w:rsidRDefault="00D60A82" w:rsidP="006702DE">
      <w:pPr>
        <w:widowControl/>
        <w:ind w:firstLine="720"/>
      </w:pPr>
      <w:r w:rsidRPr="001774B5">
        <w:t>The relevant capital costs for the emissions trading portion of this ICR wer</w:t>
      </w:r>
      <w:r w:rsidR="00761BA5" w:rsidRPr="001774B5">
        <w:t>e annualized at a rate of seven percent</w:t>
      </w:r>
      <w:r w:rsidR="006158FE" w:rsidRPr="001774B5">
        <w:t xml:space="preserve"> (</w:t>
      </w:r>
      <w:r w:rsidRPr="001774B5">
        <w:t>i.e., the annualized capital cost was calculated assuming money to purchase the capita</w:t>
      </w:r>
      <w:r w:rsidR="00761BA5" w:rsidRPr="001774B5">
        <w:t>l equipment was borrowed at a seven percent</w:t>
      </w:r>
      <w:r w:rsidRPr="001774B5">
        <w:t xml:space="preserve"> annual interest rate)</w:t>
      </w:r>
      <w:r w:rsidR="00617BBA" w:rsidRPr="001774B5">
        <w:t xml:space="preserve">. </w:t>
      </w:r>
      <w:r w:rsidRPr="001774B5">
        <w:t>The cost of the loan was amortized over the life of the loan to repay original borrowed amount plus interest</w:t>
      </w:r>
      <w:r w:rsidR="00617BBA" w:rsidRPr="001774B5">
        <w:t xml:space="preserve">. </w:t>
      </w:r>
      <w:r w:rsidRPr="001774B5">
        <w:t>The result is the annualized capital cost reported</w:t>
      </w:r>
      <w:r w:rsidR="00617BBA" w:rsidRPr="001774B5">
        <w:t xml:space="preserve">. </w:t>
      </w:r>
      <w:r w:rsidRPr="001774B5">
        <w:t>The annualized cost of the necessary capital purchases varies from $2,250 to $22,500, per year, per unit, depending on the type of monitoring methodology</w:t>
      </w:r>
      <w:r w:rsidR="00617BBA" w:rsidRPr="001774B5">
        <w:t xml:space="preserve">. </w:t>
      </w:r>
      <w:r w:rsidRPr="009A06BF">
        <w:t>Table 6-</w:t>
      </w:r>
      <w:r w:rsidR="00393CCE">
        <w:t>1</w:t>
      </w:r>
      <w:r w:rsidRPr="001774B5">
        <w:t xml:space="preserve"> contains a breakdown of annual costs by monitoring methodology.</w:t>
      </w:r>
      <w:r w:rsidR="006702DE" w:rsidRPr="001774B5">
        <w:t xml:space="preserve">  </w:t>
      </w:r>
    </w:p>
    <w:p w:rsidR="003C72A0" w:rsidRPr="001774B5" w:rsidRDefault="003C72A0" w:rsidP="006702DE">
      <w:pPr>
        <w:widowControl/>
        <w:ind w:firstLine="720"/>
      </w:pPr>
    </w:p>
    <w:p w:rsidR="00D60A82" w:rsidRPr="001774B5" w:rsidRDefault="00D60A82" w:rsidP="00540A02">
      <w:pPr>
        <w:keepNext/>
        <w:keepLines/>
        <w:widowControl/>
        <w:ind w:firstLine="360"/>
        <w:rPr>
          <w:rStyle w:val="2ndtier1"/>
          <w:b w:val="0"/>
          <w:bCs w:val="0"/>
        </w:rPr>
      </w:pPr>
      <w:r w:rsidRPr="001774B5">
        <w:rPr>
          <w:rStyle w:val="2ndtier1"/>
        </w:rPr>
        <w:t>6(d</w:t>
      </w:r>
      <w:proofErr w:type="gramStart"/>
      <w:r w:rsidRPr="001774B5">
        <w:rPr>
          <w:rStyle w:val="2ndtier1"/>
        </w:rPr>
        <w:t xml:space="preserve">) </w:t>
      </w:r>
      <w:r w:rsidR="00761BA5" w:rsidRPr="001774B5">
        <w:rPr>
          <w:rStyle w:val="2ndtier1"/>
        </w:rPr>
        <w:t xml:space="preserve"> </w:t>
      </w:r>
      <w:r w:rsidRPr="001774B5">
        <w:rPr>
          <w:rStyle w:val="2ndtier1"/>
        </w:rPr>
        <w:t>Estimating</w:t>
      </w:r>
      <w:proofErr w:type="gramEnd"/>
      <w:r w:rsidRPr="001774B5">
        <w:rPr>
          <w:rStyle w:val="2ndtier1"/>
        </w:rPr>
        <w:t xml:space="preserve"> the Respondent Universe and Total Burden and Costs</w:t>
      </w:r>
    </w:p>
    <w:p w:rsidR="00D60A82" w:rsidRPr="001774B5" w:rsidRDefault="00D60A82" w:rsidP="00EE6D32">
      <w:pPr>
        <w:widowControl/>
      </w:pPr>
    </w:p>
    <w:p w:rsidR="00D60A82" w:rsidRPr="001774B5" w:rsidRDefault="00D60A82" w:rsidP="00EE6D32">
      <w:pPr>
        <w:widowControl/>
      </w:pPr>
      <w:r w:rsidRPr="001774B5">
        <w:rPr>
          <w:b/>
          <w:bCs/>
        </w:rPr>
        <w:t>Emission Trading Requirements</w:t>
      </w:r>
    </w:p>
    <w:p w:rsidR="00D60A82" w:rsidRPr="001774B5" w:rsidRDefault="00D60A82" w:rsidP="00EE6D32">
      <w:pPr>
        <w:widowControl/>
      </w:pPr>
    </w:p>
    <w:p w:rsidR="00D60A82" w:rsidRDefault="00D60A82" w:rsidP="006158FE">
      <w:pPr>
        <w:widowControl/>
        <w:ind w:firstLine="720"/>
      </w:pPr>
      <w:r w:rsidRPr="001774B5">
        <w:t>The number of industry respondents varies depending on the activity in question</w:t>
      </w:r>
      <w:r w:rsidR="00617BBA" w:rsidRPr="001774B5">
        <w:t xml:space="preserve">. </w:t>
      </w:r>
      <w:r w:rsidRPr="001774B5">
        <w:t xml:space="preserve">Activities such as processing allowance transfers can involve </w:t>
      </w:r>
      <w:r w:rsidR="00573944" w:rsidRPr="001774B5">
        <w:t xml:space="preserve">over one </w:t>
      </w:r>
      <w:r w:rsidRPr="001774B5">
        <w:t>thousand sources</w:t>
      </w:r>
      <w:r w:rsidR="00617BBA" w:rsidRPr="001774B5">
        <w:t xml:space="preserve">. </w:t>
      </w:r>
      <w:r w:rsidRPr="001774B5">
        <w:t xml:space="preserve">The number of units </w:t>
      </w:r>
      <w:r w:rsidR="007B7ACA" w:rsidRPr="001774B5">
        <w:t xml:space="preserve">that </w:t>
      </w:r>
      <w:r w:rsidRPr="001774B5">
        <w:t xml:space="preserve">will be required to install a particular type of monitoring equipment will be less since many already have monitoring equipment </w:t>
      </w:r>
      <w:r w:rsidR="00573944" w:rsidRPr="001774B5">
        <w:t>under the Acid Rain Program</w:t>
      </w:r>
      <w:r w:rsidR="00617BBA" w:rsidRPr="001774B5">
        <w:t xml:space="preserve">. </w:t>
      </w:r>
      <w:r w:rsidRPr="001774B5">
        <w:t>Table 6-</w:t>
      </w:r>
      <w:r w:rsidR="00E4072B">
        <w:t>1</w:t>
      </w:r>
      <w:r w:rsidRPr="001774B5">
        <w:t xml:space="preserve"> </w:t>
      </w:r>
      <w:r w:rsidR="007B7ACA" w:rsidRPr="001774B5">
        <w:t xml:space="preserve">provides </w:t>
      </w:r>
      <w:r w:rsidRPr="001774B5">
        <w:t xml:space="preserve">estimates of industry burden </w:t>
      </w:r>
      <w:r w:rsidR="00092613" w:rsidRPr="001774B5">
        <w:t>for 20</w:t>
      </w:r>
      <w:r w:rsidR="0084539B">
        <w:t>12</w:t>
      </w:r>
      <w:r w:rsidR="00092613" w:rsidRPr="001774B5">
        <w:t xml:space="preserve"> through 201</w:t>
      </w:r>
      <w:r w:rsidR="0084539B">
        <w:t>4</w:t>
      </w:r>
      <w:r w:rsidR="00617BBA" w:rsidRPr="001774B5">
        <w:t xml:space="preserve">. </w:t>
      </w:r>
      <w:r w:rsidR="00070F46" w:rsidRPr="001774B5">
        <w:t>The total number of respondents and the total labor and cost for all respondents are summarized in the following tables in Section 6(e) below</w:t>
      </w:r>
      <w:r w:rsidR="00617BBA" w:rsidRPr="001774B5">
        <w:t xml:space="preserve">. </w:t>
      </w:r>
      <w:r w:rsidRPr="001774B5">
        <w:t xml:space="preserve">This burden includes monitoring, </w:t>
      </w:r>
      <w:r w:rsidR="00540A02" w:rsidRPr="001774B5">
        <w:t>reporting,</w:t>
      </w:r>
      <w:r w:rsidRPr="001774B5">
        <w:t xml:space="preserve"> and other activities involved in participating in </w:t>
      </w:r>
      <w:r w:rsidR="00573944" w:rsidRPr="001774B5">
        <w:t>the CAIR</w:t>
      </w:r>
      <w:r w:rsidRPr="001774B5">
        <w:t xml:space="preserve"> emissions trading programs</w:t>
      </w:r>
      <w:r w:rsidR="00617BBA" w:rsidRPr="001774B5">
        <w:t xml:space="preserve">. </w:t>
      </w:r>
      <w:r w:rsidRPr="001774B5">
        <w:t xml:space="preserve">The total number </w:t>
      </w:r>
      <w:r w:rsidR="00277FC3">
        <w:t xml:space="preserve">of </w:t>
      </w:r>
      <w:r w:rsidR="00AB00B8" w:rsidRPr="001774B5">
        <w:t xml:space="preserve">industry </w:t>
      </w:r>
      <w:r w:rsidRPr="001774B5">
        <w:t xml:space="preserve">respondents is estimated to be </w:t>
      </w:r>
      <w:r w:rsidR="00381E5C">
        <w:t>1,077</w:t>
      </w:r>
      <w:r w:rsidR="00E4072B">
        <w:t xml:space="preserve"> based on 2012 facility data</w:t>
      </w:r>
      <w:r w:rsidR="00070F46" w:rsidRPr="001774B5">
        <w:t>.</w:t>
      </w:r>
      <w:r w:rsidR="00674C0F" w:rsidRPr="001774B5">
        <w:t xml:space="preserve"> </w:t>
      </w:r>
      <w:r w:rsidR="004347DF">
        <w:t xml:space="preserve"> </w:t>
      </w:r>
    </w:p>
    <w:p w:rsidR="004347DF" w:rsidRPr="001774B5" w:rsidRDefault="004347DF" w:rsidP="006158FE">
      <w:pPr>
        <w:widowControl/>
        <w:ind w:firstLine="720"/>
        <w:rPr>
          <w:b/>
          <w:i/>
        </w:rPr>
      </w:pPr>
    </w:p>
    <w:p w:rsidR="00D60A82" w:rsidRPr="001774B5" w:rsidRDefault="00D60A82" w:rsidP="00540A02">
      <w:pPr>
        <w:keepNext/>
        <w:widowControl/>
        <w:ind w:firstLine="360"/>
        <w:rPr>
          <w:rStyle w:val="2ndtier1"/>
          <w:b w:val="0"/>
          <w:bCs w:val="0"/>
        </w:rPr>
      </w:pPr>
      <w:r w:rsidRPr="001774B5">
        <w:rPr>
          <w:rStyle w:val="2ndtier1"/>
        </w:rPr>
        <w:t>6(e</w:t>
      </w:r>
      <w:proofErr w:type="gramStart"/>
      <w:r w:rsidRPr="001774B5">
        <w:rPr>
          <w:rStyle w:val="2ndtier1"/>
        </w:rPr>
        <w:t>)</w:t>
      </w:r>
      <w:r w:rsidR="005D189D" w:rsidRPr="001774B5">
        <w:rPr>
          <w:rStyle w:val="2ndtier1"/>
        </w:rPr>
        <w:t xml:space="preserve"> </w:t>
      </w:r>
      <w:r w:rsidRPr="001774B5">
        <w:rPr>
          <w:rStyle w:val="2ndtier1"/>
        </w:rPr>
        <w:t xml:space="preserve"> Bottom</w:t>
      </w:r>
      <w:proofErr w:type="gramEnd"/>
      <w:r w:rsidRPr="001774B5">
        <w:rPr>
          <w:rStyle w:val="2ndtier1"/>
        </w:rPr>
        <w:t xml:space="preserve"> Line Burden Hours and Cost Tables</w:t>
      </w:r>
      <w:r w:rsidRPr="001774B5">
        <w:rPr>
          <w:rStyle w:val="2ndtier1"/>
          <w:b w:val="0"/>
          <w:bCs w:val="0"/>
        </w:rPr>
        <w:t xml:space="preserve"> </w:t>
      </w:r>
    </w:p>
    <w:p w:rsidR="00D60A82" w:rsidRPr="001774B5" w:rsidRDefault="00D60A82" w:rsidP="00EE6D32">
      <w:pPr>
        <w:keepLines/>
        <w:widowControl/>
        <w:rPr>
          <w:sz w:val="20"/>
          <w:szCs w:val="20"/>
        </w:rPr>
      </w:pPr>
    </w:p>
    <w:p w:rsidR="00761BA5" w:rsidRPr="001774B5" w:rsidRDefault="00761BA5" w:rsidP="00EE6D32">
      <w:pPr>
        <w:widowControl/>
      </w:pPr>
    </w:p>
    <w:p w:rsidR="00D60A82" w:rsidRPr="001774B5" w:rsidRDefault="00D60A82" w:rsidP="00761BA5">
      <w:pPr>
        <w:widowControl/>
        <w:jc w:val="center"/>
      </w:pPr>
      <w:r w:rsidRPr="001774B5">
        <w:rPr>
          <w:b/>
          <w:bCs/>
        </w:rPr>
        <w:t>Total Estimated Respondent Burden and Cost Summary</w:t>
      </w:r>
    </w:p>
    <w:p w:rsidR="00D60A82" w:rsidRPr="001774B5" w:rsidRDefault="00D60A82" w:rsidP="00EE6D32">
      <w:pPr>
        <w:widowControl/>
      </w:pPr>
    </w:p>
    <w:tbl>
      <w:tblPr>
        <w:tblW w:w="86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000"/>
      </w:tblPr>
      <w:tblGrid>
        <w:gridCol w:w="1980"/>
        <w:gridCol w:w="1440"/>
        <w:gridCol w:w="2340"/>
        <w:gridCol w:w="2880"/>
      </w:tblGrid>
      <w:tr w:rsidR="00D60A82" w:rsidRPr="001774B5" w:rsidTr="004347DF">
        <w:trPr>
          <w:jc w:val="center"/>
        </w:trPr>
        <w:tc>
          <w:tcPr>
            <w:tcW w:w="1980" w:type="dxa"/>
            <w:shd w:val="pct10" w:color="auto" w:fill="auto"/>
            <w:vAlign w:val="center"/>
          </w:tcPr>
          <w:p w:rsidR="00D60A82" w:rsidRPr="001774B5" w:rsidRDefault="00D60A82" w:rsidP="00656613">
            <w:pPr>
              <w:widowControl/>
              <w:spacing w:after="58"/>
              <w:jc w:val="center"/>
            </w:pPr>
          </w:p>
        </w:tc>
        <w:tc>
          <w:tcPr>
            <w:tcW w:w="1440" w:type="dxa"/>
            <w:shd w:val="pct10" w:color="auto" w:fill="auto"/>
            <w:vAlign w:val="bottom"/>
          </w:tcPr>
          <w:p w:rsidR="00D60A82" w:rsidRPr="001774B5" w:rsidRDefault="00D60A82" w:rsidP="00656613">
            <w:pPr>
              <w:widowControl/>
              <w:jc w:val="center"/>
              <w:rPr>
                <w:b/>
                <w:bCs/>
                <w:sz w:val="22"/>
                <w:szCs w:val="22"/>
              </w:rPr>
            </w:pPr>
            <w:r w:rsidRPr="001774B5">
              <w:rPr>
                <w:b/>
                <w:bCs/>
                <w:sz w:val="22"/>
                <w:szCs w:val="22"/>
              </w:rPr>
              <w:t>Number of</w:t>
            </w:r>
            <w:r w:rsidR="00656613" w:rsidRPr="001774B5">
              <w:rPr>
                <w:b/>
                <w:bCs/>
                <w:sz w:val="22"/>
                <w:szCs w:val="22"/>
              </w:rPr>
              <w:t xml:space="preserve"> </w:t>
            </w:r>
            <w:r w:rsidRPr="001774B5">
              <w:rPr>
                <w:b/>
                <w:bCs/>
                <w:sz w:val="22"/>
                <w:szCs w:val="22"/>
              </w:rPr>
              <w:t>Respondents</w:t>
            </w:r>
          </w:p>
        </w:tc>
        <w:tc>
          <w:tcPr>
            <w:tcW w:w="2340" w:type="dxa"/>
            <w:shd w:val="pct10" w:color="auto" w:fill="auto"/>
            <w:vAlign w:val="bottom"/>
          </w:tcPr>
          <w:p w:rsidR="00D60A82" w:rsidRPr="001774B5" w:rsidRDefault="00D60A82" w:rsidP="00656613">
            <w:pPr>
              <w:widowControl/>
              <w:jc w:val="center"/>
              <w:rPr>
                <w:b/>
                <w:bCs/>
                <w:sz w:val="22"/>
                <w:szCs w:val="22"/>
              </w:rPr>
            </w:pPr>
            <w:r w:rsidRPr="001774B5">
              <w:rPr>
                <w:b/>
                <w:bCs/>
                <w:sz w:val="22"/>
                <w:szCs w:val="22"/>
              </w:rPr>
              <w:t>Total Hours</w:t>
            </w:r>
            <w:r w:rsidR="00656613" w:rsidRPr="001774B5">
              <w:rPr>
                <w:b/>
                <w:bCs/>
                <w:sz w:val="22"/>
                <w:szCs w:val="22"/>
              </w:rPr>
              <w:t xml:space="preserve"> </w:t>
            </w:r>
            <w:r w:rsidRPr="001774B5">
              <w:rPr>
                <w:b/>
                <w:bCs/>
                <w:sz w:val="22"/>
                <w:szCs w:val="22"/>
              </w:rPr>
              <w:t>Per Year</w:t>
            </w:r>
            <w:r w:rsidR="00656613" w:rsidRPr="001774B5">
              <w:rPr>
                <w:b/>
                <w:bCs/>
                <w:sz w:val="22"/>
                <w:szCs w:val="22"/>
              </w:rPr>
              <w:t xml:space="preserve"> </w:t>
            </w:r>
            <w:r w:rsidR="00070F46" w:rsidRPr="001774B5">
              <w:rPr>
                <w:b/>
                <w:bCs/>
                <w:sz w:val="22"/>
                <w:szCs w:val="22"/>
              </w:rPr>
              <w:t>(All Respondents)</w:t>
            </w:r>
          </w:p>
        </w:tc>
        <w:tc>
          <w:tcPr>
            <w:tcW w:w="2880" w:type="dxa"/>
            <w:shd w:val="pct10" w:color="auto" w:fill="auto"/>
            <w:vAlign w:val="bottom"/>
          </w:tcPr>
          <w:p w:rsidR="00656613" w:rsidRPr="001774B5" w:rsidRDefault="00D60A82" w:rsidP="00656613">
            <w:pPr>
              <w:widowControl/>
              <w:jc w:val="center"/>
              <w:rPr>
                <w:b/>
                <w:bCs/>
                <w:sz w:val="22"/>
                <w:szCs w:val="22"/>
              </w:rPr>
            </w:pPr>
            <w:r w:rsidRPr="001774B5">
              <w:rPr>
                <w:b/>
                <w:bCs/>
                <w:sz w:val="22"/>
                <w:szCs w:val="22"/>
              </w:rPr>
              <w:t>Total</w:t>
            </w:r>
            <w:r w:rsidR="00656613" w:rsidRPr="001774B5">
              <w:rPr>
                <w:b/>
                <w:bCs/>
                <w:sz w:val="22"/>
                <w:szCs w:val="22"/>
              </w:rPr>
              <w:t xml:space="preserve"> </w:t>
            </w:r>
            <w:r w:rsidRPr="001774B5">
              <w:rPr>
                <w:b/>
                <w:bCs/>
                <w:sz w:val="22"/>
                <w:szCs w:val="22"/>
              </w:rPr>
              <w:t>Costs Per Year</w:t>
            </w:r>
            <w:r w:rsidR="00656613" w:rsidRPr="001774B5">
              <w:rPr>
                <w:b/>
                <w:bCs/>
                <w:sz w:val="22"/>
                <w:szCs w:val="22"/>
              </w:rPr>
              <w:t xml:space="preserve"> </w:t>
            </w:r>
          </w:p>
          <w:p w:rsidR="00070F46" w:rsidRPr="001774B5" w:rsidRDefault="00070F46" w:rsidP="00656613">
            <w:pPr>
              <w:widowControl/>
              <w:jc w:val="center"/>
              <w:rPr>
                <w:b/>
                <w:bCs/>
                <w:sz w:val="22"/>
                <w:szCs w:val="22"/>
              </w:rPr>
            </w:pPr>
            <w:r w:rsidRPr="001774B5">
              <w:rPr>
                <w:b/>
                <w:bCs/>
                <w:sz w:val="22"/>
                <w:szCs w:val="22"/>
              </w:rPr>
              <w:t>(All Respondents)</w:t>
            </w:r>
          </w:p>
        </w:tc>
      </w:tr>
      <w:tr w:rsidR="00D60A82" w:rsidRPr="001774B5" w:rsidTr="004347DF">
        <w:trPr>
          <w:jc w:val="center"/>
        </w:trPr>
        <w:tc>
          <w:tcPr>
            <w:tcW w:w="1980" w:type="dxa"/>
          </w:tcPr>
          <w:p w:rsidR="00D60A82" w:rsidRPr="001774B5" w:rsidRDefault="00D60A82" w:rsidP="00061874">
            <w:pPr>
              <w:widowControl/>
              <w:spacing w:after="58"/>
              <w:rPr>
                <w:sz w:val="20"/>
                <w:szCs w:val="20"/>
              </w:rPr>
            </w:pPr>
            <w:r w:rsidRPr="001774B5">
              <w:rPr>
                <w:sz w:val="20"/>
                <w:szCs w:val="20"/>
              </w:rPr>
              <w:t>Industry Respondents</w:t>
            </w:r>
          </w:p>
        </w:tc>
        <w:tc>
          <w:tcPr>
            <w:tcW w:w="1440" w:type="dxa"/>
          </w:tcPr>
          <w:p w:rsidR="00D60A82" w:rsidRPr="001774B5" w:rsidRDefault="00381E5C" w:rsidP="00061874">
            <w:pPr>
              <w:widowControl/>
              <w:spacing w:after="58"/>
              <w:rPr>
                <w:sz w:val="20"/>
                <w:szCs w:val="20"/>
              </w:rPr>
            </w:pPr>
            <w:r>
              <w:rPr>
                <w:sz w:val="20"/>
                <w:szCs w:val="20"/>
              </w:rPr>
              <w:t>1077</w:t>
            </w:r>
          </w:p>
        </w:tc>
        <w:tc>
          <w:tcPr>
            <w:tcW w:w="2340" w:type="dxa"/>
          </w:tcPr>
          <w:p w:rsidR="00D60A82" w:rsidRPr="001774B5" w:rsidRDefault="00381E5C" w:rsidP="00061874">
            <w:pPr>
              <w:widowControl/>
              <w:spacing w:after="58"/>
              <w:rPr>
                <w:sz w:val="20"/>
                <w:szCs w:val="20"/>
              </w:rPr>
            </w:pPr>
            <w:r>
              <w:rPr>
                <w:sz w:val="20"/>
                <w:szCs w:val="20"/>
              </w:rPr>
              <w:t>265,292</w:t>
            </w:r>
          </w:p>
        </w:tc>
        <w:tc>
          <w:tcPr>
            <w:tcW w:w="2880" w:type="dxa"/>
          </w:tcPr>
          <w:p w:rsidR="00D60A82" w:rsidRPr="001774B5" w:rsidRDefault="00381E5C" w:rsidP="00061874">
            <w:pPr>
              <w:widowControl/>
              <w:spacing w:after="58"/>
              <w:rPr>
                <w:sz w:val="20"/>
                <w:szCs w:val="20"/>
              </w:rPr>
            </w:pPr>
            <w:r>
              <w:rPr>
                <w:sz w:val="20"/>
                <w:szCs w:val="20"/>
              </w:rPr>
              <w:t>$40,819,163</w:t>
            </w:r>
          </w:p>
        </w:tc>
      </w:tr>
    </w:tbl>
    <w:p w:rsidR="00D60A82" w:rsidRPr="001774B5" w:rsidRDefault="00D60A82" w:rsidP="00EE6D32">
      <w:pPr>
        <w:widowControl/>
      </w:pPr>
    </w:p>
    <w:p w:rsidR="00D60A82" w:rsidRPr="001774B5" w:rsidRDefault="00D60A82" w:rsidP="00EE6D32">
      <w:pPr>
        <w:widowControl/>
      </w:pPr>
    </w:p>
    <w:p w:rsidR="00D60A82" w:rsidRPr="001774B5" w:rsidRDefault="00D60A82" w:rsidP="00540A02">
      <w:pPr>
        <w:keepNext/>
        <w:keepLines/>
        <w:widowControl/>
        <w:ind w:firstLine="360"/>
        <w:rPr>
          <w:rStyle w:val="2ndtier1"/>
        </w:rPr>
      </w:pPr>
      <w:r w:rsidRPr="001774B5">
        <w:rPr>
          <w:rStyle w:val="2ndtier1"/>
        </w:rPr>
        <w:lastRenderedPageBreak/>
        <w:t>6(f</w:t>
      </w:r>
      <w:proofErr w:type="gramStart"/>
      <w:r w:rsidRPr="001774B5">
        <w:rPr>
          <w:rStyle w:val="2ndtier1"/>
        </w:rPr>
        <w:t>)</w:t>
      </w:r>
      <w:r w:rsidR="00061874" w:rsidRPr="001774B5">
        <w:rPr>
          <w:rStyle w:val="2ndtier1"/>
        </w:rPr>
        <w:t xml:space="preserve"> </w:t>
      </w:r>
      <w:r w:rsidRPr="001774B5">
        <w:rPr>
          <w:rStyle w:val="2ndtier1"/>
        </w:rPr>
        <w:t xml:space="preserve"> Reasons</w:t>
      </w:r>
      <w:proofErr w:type="gramEnd"/>
      <w:r w:rsidRPr="001774B5">
        <w:rPr>
          <w:rStyle w:val="2ndtier1"/>
        </w:rPr>
        <w:t xml:space="preserve"> for Change in Burden</w:t>
      </w:r>
    </w:p>
    <w:p w:rsidR="00D60A82" w:rsidRPr="001774B5" w:rsidRDefault="00D60A82" w:rsidP="00EE6D32">
      <w:pPr>
        <w:keepNext/>
        <w:keepLines/>
        <w:widowControl/>
        <w:rPr>
          <w:rStyle w:val="2ndtier1"/>
        </w:rPr>
      </w:pPr>
    </w:p>
    <w:p w:rsidR="007179D4" w:rsidRDefault="00A0195F" w:rsidP="00EE6D32">
      <w:pPr>
        <w:keepNext/>
        <w:keepLines/>
        <w:widowControl/>
        <w:rPr>
          <w:rStyle w:val="2ndtier1"/>
          <w:b w:val="0"/>
        </w:rPr>
      </w:pPr>
      <w:r w:rsidRPr="001774B5">
        <w:rPr>
          <w:rStyle w:val="2ndtier1"/>
        </w:rPr>
        <w:tab/>
      </w:r>
      <w:r w:rsidRPr="00525C1B">
        <w:rPr>
          <w:rStyle w:val="2ndtier1"/>
          <w:b w:val="0"/>
        </w:rPr>
        <w:t xml:space="preserve">The burden and cost is </w:t>
      </w:r>
      <w:r w:rsidR="00381E5C" w:rsidRPr="007179D4">
        <w:rPr>
          <w:rStyle w:val="2ndtier1"/>
          <w:b w:val="0"/>
        </w:rPr>
        <w:t>lower</w:t>
      </w:r>
      <w:r w:rsidR="00381E5C" w:rsidRPr="00525C1B">
        <w:rPr>
          <w:rStyle w:val="2ndtier1"/>
          <w:b w:val="0"/>
        </w:rPr>
        <w:t xml:space="preserve"> </w:t>
      </w:r>
      <w:r w:rsidRPr="00525C1B">
        <w:rPr>
          <w:rStyle w:val="2ndtier1"/>
          <w:b w:val="0"/>
        </w:rPr>
        <w:t xml:space="preserve">than the previous CAIR </w:t>
      </w:r>
      <w:r w:rsidR="00B566DC">
        <w:rPr>
          <w:rStyle w:val="2ndtier1"/>
          <w:b w:val="0"/>
        </w:rPr>
        <w:t xml:space="preserve">Renewal </w:t>
      </w:r>
      <w:r w:rsidRPr="00525C1B">
        <w:rPr>
          <w:rStyle w:val="2ndtier1"/>
          <w:b w:val="0"/>
        </w:rPr>
        <w:t xml:space="preserve">ICR </w:t>
      </w:r>
      <w:r w:rsidR="00381E5C" w:rsidRPr="007179D4">
        <w:rPr>
          <w:rStyle w:val="2ndtier1"/>
          <w:b w:val="0"/>
        </w:rPr>
        <w:t>due to</w:t>
      </w:r>
      <w:r w:rsidR="00E4072B">
        <w:rPr>
          <w:rStyle w:val="2ndtier1"/>
          <w:b w:val="0"/>
        </w:rPr>
        <w:t xml:space="preserve"> three major </w:t>
      </w:r>
      <w:r w:rsidR="00381E5C" w:rsidRPr="007179D4">
        <w:rPr>
          <w:rStyle w:val="2ndtier1"/>
          <w:b w:val="0"/>
        </w:rPr>
        <w:t>differences</w:t>
      </w:r>
      <w:r w:rsidR="00617BBA" w:rsidRPr="007179D4">
        <w:rPr>
          <w:rStyle w:val="2ndtier1"/>
          <w:b w:val="0"/>
        </w:rPr>
        <w:t xml:space="preserve">. </w:t>
      </w:r>
      <w:r w:rsidR="00E4072B">
        <w:rPr>
          <w:rStyle w:val="2ndtier1"/>
          <w:b w:val="0"/>
        </w:rPr>
        <w:t xml:space="preserve">1) </w:t>
      </w:r>
      <w:r w:rsidR="00525C1B" w:rsidRPr="007179D4">
        <w:rPr>
          <w:rStyle w:val="2ndtier1"/>
          <w:b w:val="0"/>
        </w:rPr>
        <w:t xml:space="preserve">The previous ICR included a number of one-time transition burdens associated with the incorporation of </w:t>
      </w:r>
      <w:proofErr w:type="spellStart"/>
      <w:r w:rsidR="00525C1B" w:rsidRPr="007179D4">
        <w:rPr>
          <w:rStyle w:val="2ndtier1"/>
          <w:b w:val="0"/>
        </w:rPr>
        <w:t>NO</w:t>
      </w:r>
      <w:r w:rsidR="00525C1B" w:rsidRPr="00277FC3">
        <w:rPr>
          <w:rStyle w:val="2ndtier1"/>
          <w:b w:val="0"/>
          <w:vertAlign w:val="subscript"/>
        </w:rPr>
        <w:t>x</w:t>
      </w:r>
      <w:proofErr w:type="spellEnd"/>
      <w:r w:rsidR="00525C1B" w:rsidRPr="007179D4">
        <w:rPr>
          <w:rStyle w:val="2ndtier1"/>
          <w:b w:val="0"/>
        </w:rPr>
        <w:t xml:space="preserve"> SIP Call sources and incremental changes for ARP sources. Those one time burdens were fully accounted for in the previous ICR and are not included in the 2012-2014 period. </w:t>
      </w:r>
      <w:r w:rsidR="00E4072B">
        <w:rPr>
          <w:rStyle w:val="2ndtier1"/>
          <w:b w:val="0"/>
        </w:rPr>
        <w:t>2) The previous ICR also included a State and local reporting burden associated with annual and triennial emissions inventory reporting</w:t>
      </w:r>
      <w:r w:rsidR="00617BBA">
        <w:rPr>
          <w:rStyle w:val="2ndtier1"/>
          <w:b w:val="0"/>
        </w:rPr>
        <w:t xml:space="preserve">. </w:t>
      </w:r>
      <w:r w:rsidR="00E4072B">
        <w:rPr>
          <w:rStyle w:val="2ndtier1"/>
          <w:b w:val="0"/>
        </w:rPr>
        <w:t>This</w:t>
      </w:r>
      <w:r w:rsidR="00BD084C">
        <w:rPr>
          <w:rStyle w:val="2ndtier1"/>
          <w:b w:val="0"/>
        </w:rPr>
        <w:t xml:space="preserve"> reporting requirement was removed with changes to 40 CFR</w:t>
      </w:r>
      <w:r w:rsidR="00277FC3">
        <w:rPr>
          <w:rStyle w:val="2ndtier1"/>
          <w:b w:val="0"/>
        </w:rPr>
        <w:t xml:space="preserve"> Part 51.125 published in</w:t>
      </w:r>
      <w:r w:rsidR="00683EBB">
        <w:rPr>
          <w:rStyle w:val="2ndtier1"/>
          <w:b w:val="0"/>
        </w:rPr>
        <w:t xml:space="preserve"> </w:t>
      </w:r>
      <w:r w:rsidR="00683EBB" w:rsidRPr="00683EBB">
        <w:rPr>
          <w:rStyle w:val="2ndtier1"/>
          <w:b w:val="0"/>
        </w:rPr>
        <w:t>76 FR 48353 on August 8, 2011</w:t>
      </w:r>
      <w:r w:rsidR="00617BBA">
        <w:rPr>
          <w:rStyle w:val="2ndtier1"/>
          <w:b w:val="0"/>
        </w:rPr>
        <w:t xml:space="preserve">. </w:t>
      </w:r>
      <w:r w:rsidR="00277FC3">
        <w:rPr>
          <w:rStyle w:val="2ndtier1"/>
          <w:b w:val="0"/>
        </w:rPr>
        <w:t>3) T</w:t>
      </w:r>
      <w:r w:rsidR="007179D4">
        <w:rPr>
          <w:rStyle w:val="2ndtier1"/>
          <w:b w:val="0"/>
        </w:rPr>
        <w:t xml:space="preserve">he overall number of facilities </w:t>
      </w:r>
      <w:r w:rsidR="00525C1B">
        <w:rPr>
          <w:rStyle w:val="2ndtier1"/>
          <w:b w:val="0"/>
        </w:rPr>
        <w:t>slightly</w:t>
      </w:r>
      <w:r w:rsidR="007179D4">
        <w:rPr>
          <w:rStyle w:val="2ndtier1"/>
          <w:b w:val="0"/>
        </w:rPr>
        <w:t xml:space="preserve"> declined </w:t>
      </w:r>
      <w:r w:rsidR="00525C1B">
        <w:rPr>
          <w:rStyle w:val="2ndtier1"/>
          <w:b w:val="0"/>
        </w:rPr>
        <w:t xml:space="preserve">despite </w:t>
      </w:r>
      <w:r w:rsidR="007179D4">
        <w:rPr>
          <w:rStyle w:val="2ndtier1"/>
          <w:b w:val="0"/>
        </w:rPr>
        <w:t xml:space="preserve">the </w:t>
      </w:r>
      <w:r w:rsidR="00A61954">
        <w:rPr>
          <w:rStyle w:val="2ndtier1"/>
          <w:b w:val="0"/>
        </w:rPr>
        <w:t xml:space="preserve">previous </w:t>
      </w:r>
      <w:r w:rsidR="007179D4">
        <w:rPr>
          <w:rStyle w:val="2ndtier1"/>
          <w:b w:val="0"/>
        </w:rPr>
        <w:t xml:space="preserve">administrative change to include Delaware and New Jersey. </w:t>
      </w:r>
      <w:r w:rsidR="00381E5C" w:rsidRPr="007179D4">
        <w:rPr>
          <w:rStyle w:val="2ndtier1"/>
          <w:b w:val="0"/>
        </w:rPr>
        <w:t xml:space="preserve">  </w:t>
      </w:r>
    </w:p>
    <w:p w:rsidR="00A0195F" w:rsidRPr="001774B5" w:rsidRDefault="00A0195F" w:rsidP="00EE6D32">
      <w:pPr>
        <w:keepNext/>
        <w:keepLines/>
        <w:widowControl/>
        <w:rPr>
          <w:rStyle w:val="2ndtier1"/>
        </w:rPr>
      </w:pPr>
    </w:p>
    <w:p w:rsidR="00D60A82" w:rsidRDefault="00D60A82" w:rsidP="00C86612">
      <w:pPr>
        <w:keepNext/>
        <w:widowControl/>
        <w:rPr>
          <w:b/>
          <w:bCs/>
        </w:rPr>
      </w:pPr>
      <w:r w:rsidRPr="001774B5">
        <w:rPr>
          <w:b/>
          <w:bCs/>
        </w:rPr>
        <w:t>Emission Trading Requirements</w:t>
      </w:r>
    </w:p>
    <w:p w:rsidR="00C86612" w:rsidRPr="001774B5" w:rsidRDefault="00C86612" w:rsidP="00C86612">
      <w:pPr>
        <w:keepNext/>
        <w:widowControl/>
      </w:pPr>
    </w:p>
    <w:p w:rsidR="00D60A82" w:rsidRPr="001774B5" w:rsidRDefault="00D60A82" w:rsidP="00124B87">
      <w:pPr>
        <w:widowControl/>
        <w:ind w:firstLine="720"/>
      </w:pPr>
      <w:r w:rsidRPr="00CD685B">
        <w:t>The large burden associated with this rule is a result of the costs of monitoring, certifying, quality assuring and reporting emissions data from large electric generating units regulated under CAIR</w:t>
      </w:r>
      <w:r w:rsidR="00617BBA" w:rsidRPr="00CD685B">
        <w:t xml:space="preserve">. </w:t>
      </w:r>
      <w:r w:rsidR="00BB6D1B" w:rsidRPr="00CD685B">
        <w:t xml:space="preserve">The burden is significantly </w:t>
      </w:r>
      <w:r w:rsidR="000540C8" w:rsidRPr="00CD685B">
        <w:t xml:space="preserve">lower </w:t>
      </w:r>
      <w:r w:rsidR="00BB6D1B" w:rsidRPr="00CD685B">
        <w:t xml:space="preserve">than the previous ICR since </w:t>
      </w:r>
      <w:r w:rsidR="004D03D1" w:rsidRPr="00CD685B">
        <w:t xml:space="preserve">the </w:t>
      </w:r>
      <w:proofErr w:type="spellStart"/>
      <w:r w:rsidR="004D03D1" w:rsidRPr="00CD685B">
        <w:t>NO</w:t>
      </w:r>
      <w:r w:rsidR="004252F4" w:rsidRPr="00CD685B">
        <w:rPr>
          <w:vertAlign w:val="subscript"/>
        </w:rPr>
        <w:t>x</w:t>
      </w:r>
      <w:proofErr w:type="spellEnd"/>
      <w:r w:rsidR="004D03D1" w:rsidRPr="00CD685B">
        <w:t xml:space="preserve"> Budget Program </w:t>
      </w:r>
      <w:r w:rsidR="00D55CB0" w:rsidRPr="00CD685B">
        <w:t xml:space="preserve">was </w:t>
      </w:r>
      <w:r w:rsidR="004D03D1" w:rsidRPr="00CD685B">
        <w:t>phase</w:t>
      </w:r>
      <w:r w:rsidR="000540C8" w:rsidRPr="00CD685B">
        <w:t>d</w:t>
      </w:r>
      <w:r w:rsidR="004D03D1" w:rsidRPr="00CD685B">
        <w:t>-out at the end of 2008</w:t>
      </w:r>
      <w:r w:rsidR="000540C8" w:rsidRPr="00CD685B">
        <w:t>,</w:t>
      </w:r>
      <w:r w:rsidR="004D03D1" w:rsidRPr="00CD685B">
        <w:t xml:space="preserve"> and the affected sources in </w:t>
      </w:r>
      <w:r w:rsidR="00BB6D1B" w:rsidRPr="00CD685B">
        <w:t xml:space="preserve">all CAIR-affected </w:t>
      </w:r>
      <w:r w:rsidR="00C86612" w:rsidRPr="00CD685B">
        <w:t>State</w:t>
      </w:r>
      <w:r w:rsidR="00BB6D1B" w:rsidRPr="00CD685B">
        <w:t xml:space="preserve">s </w:t>
      </w:r>
      <w:r w:rsidR="00D55CB0" w:rsidRPr="00CD685B">
        <w:t>w</w:t>
      </w:r>
      <w:r w:rsidR="000540C8" w:rsidRPr="00CD685B">
        <w:t>ere</w:t>
      </w:r>
      <w:r w:rsidR="004D03D1" w:rsidRPr="00CD685B">
        <w:t xml:space="preserve"> </w:t>
      </w:r>
      <w:r w:rsidR="00BB6D1B" w:rsidRPr="00CD685B">
        <w:t xml:space="preserve">covered under </w:t>
      </w:r>
      <w:r w:rsidR="004D03D1" w:rsidRPr="00CD685B">
        <w:t>CAIR starting in 2009</w:t>
      </w:r>
      <w:r w:rsidR="00617BBA" w:rsidRPr="00CD685B">
        <w:t xml:space="preserve">. </w:t>
      </w:r>
      <w:r w:rsidR="00BB6D1B" w:rsidRPr="00CD685B">
        <w:t xml:space="preserve">Affected sources for which the burden was previously included in the </w:t>
      </w:r>
      <w:proofErr w:type="spellStart"/>
      <w:r w:rsidR="00BB6D1B" w:rsidRPr="00CD685B">
        <w:t>NO</w:t>
      </w:r>
      <w:r w:rsidR="004252F4" w:rsidRPr="00CD685B">
        <w:rPr>
          <w:vertAlign w:val="subscript"/>
        </w:rPr>
        <w:t>x</w:t>
      </w:r>
      <w:proofErr w:type="spellEnd"/>
      <w:r w:rsidR="00BB6D1B" w:rsidRPr="00CD685B">
        <w:t xml:space="preserve"> SIP Call ICR are now included in the burden estimate for this ICR</w:t>
      </w:r>
      <w:r w:rsidR="00617BBA" w:rsidRPr="00CD685B">
        <w:t xml:space="preserve">. </w:t>
      </w:r>
      <w:r w:rsidR="000540C8" w:rsidRPr="00CD685B">
        <w:t xml:space="preserve">All of these before mentioned changes increased the one-burden in the previous </w:t>
      </w:r>
      <w:r w:rsidR="000540C8">
        <w:t xml:space="preserve">ICR and are not included in the 2012-2014 </w:t>
      </w:r>
      <w:r w:rsidR="00910C2E">
        <w:t xml:space="preserve">time </w:t>
      </w:r>
      <w:r w:rsidR="00760531">
        <w:t>periods</w:t>
      </w:r>
      <w:r w:rsidR="000540C8">
        <w:t>.</w:t>
      </w:r>
    </w:p>
    <w:p w:rsidR="00D60A82" w:rsidRPr="001774B5" w:rsidRDefault="00D60A82" w:rsidP="00EE6D32">
      <w:pPr>
        <w:widowControl/>
      </w:pPr>
    </w:p>
    <w:p w:rsidR="00D60A82" w:rsidRPr="001774B5" w:rsidRDefault="00D60A82" w:rsidP="00540A02">
      <w:pPr>
        <w:keepNext/>
        <w:keepLines/>
        <w:widowControl/>
        <w:ind w:firstLine="360"/>
        <w:rPr>
          <w:rStyle w:val="2ndtier1"/>
        </w:rPr>
      </w:pPr>
      <w:r w:rsidRPr="001774B5">
        <w:rPr>
          <w:rStyle w:val="2ndtier1"/>
        </w:rPr>
        <w:t>6(g</w:t>
      </w:r>
      <w:proofErr w:type="gramStart"/>
      <w:r w:rsidRPr="001774B5">
        <w:rPr>
          <w:rStyle w:val="2ndtier1"/>
        </w:rPr>
        <w:t xml:space="preserve">) </w:t>
      </w:r>
      <w:r w:rsidR="00761BA5" w:rsidRPr="001774B5">
        <w:rPr>
          <w:rStyle w:val="2ndtier1"/>
        </w:rPr>
        <w:t xml:space="preserve"> </w:t>
      </w:r>
      <w:r w:rsidRPr="001774B5">
        <w:rPr>
          <w:rStyle w:val="2ndtier1"/>
        </w:rPr>
        <w:t>Burden</w:t>
      </w:r>
      <w:proofErr w:type="gramEnd"/>
      <w:r w:rsidRPr="001774B5">
        <w:rPr>
          <w:rStyle w:val="2ndtier1"/>
        </w:rPr>
        <w:t xml:space="preserve"> </w:t>
      </w:r>
      <w:r w:rsidR="00C86612">
        <w:rPr>
          <w:rStyle w:val="2ndtier1"/>
        </w:rPr>
        <w:t>State</w:t>
      </w:r>
      <w:r w:rsidRPr="001774B5">
        <w:rPr>
          <w:rStyle w:val="2ndtier1"/>
        </w:rPr>
        <w:t>ment</w:t>
      </w:r>
    </w:p>
    <w:p w:rsidR="00D60A82" w:rsidRPr="001774B5" w:rsidRDefault="00D60A82" w:rsidP="00EE6D32">
      <w:pPr>
        <w:keepNext/>
        <w:keepLines/>
        <w:widowControl/>
        <w:rPr>
          <w:rStyle w:val="2ndtier1"/>
        </w:rPr>
      </w:pPr>
    </w:p>
    <w:p w:rsidR="00D60A82" w:rsidRPr="001774B5" w:rsidRDefault="004F34D6" w:rsidP="00124B87">
      <w:pPr>
        <w:widowControl/>
        <w:ind w:firstLine="720"/>
      </w:pPr>
      <w:r>
        <w:t>The annual public reporting and recordkeeping burden for this collection of information is estimated to average</w:t>
      </w:r>
      <w:r w:rsidRPr="004F34D6">
        <w:t xml:space="preserve"> </w:t>
      </w:r>
      <w:r w:rsidR="00B566DC">
        <w:t>2</w:t>
      </w:r>
      <w:r w:rsidR="00C4470D">
        <w:t xml:space="preserve">2 </w:t>
      </w:r>
      <w:r>
        <w:rPr>
          <w:color w:val="000000"/>
        </w:rPr>
        <w:t>hours per response</w:t>
      </w:r>
      <w:r w:rsidR="00617BBA">
        <w:rPr>
          <w:color w:val="000000"/>
        </w:rPr>
        <w:t xml:space="preserve">. </w:t>
      </w:r>
      <w:r w:rsidR="00D60A82" w:rsidRPr="001774B5">
        <w:t>Burden means the total time, effort, or financial resources expended by persons to generate, maintain, retain, or disclose or provide information to or for a Federal agency</w:t>
      </w:r>
      <w:r w:rsidR="00617BBA" w:rsidRPr="001774B5">
        <w:t xml:space="preserve">. </w:t>
      </w:r>
      <w:r w:rsidR="00D60A82" w:rsidRPr="001774B5">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w:t>
      </w:r>
      <w:r w:rsidR="00617BBA" w:rsidRPr="001774B5">
        <w:t xml:space="preserve">. </w:t>
      </w:r>
      <w:r w:rsidR="00D60A82" w:rsidRPr="001774B5">
        <w:t>The OMB control numbers for EPA</w:t>
      </w:r>
      <w:r w:rsidR="00863632">
        <w:t>'</w:t>
      </w:r>
      <w:r w:rsidR="00D60A82" w:rsidRPr="001774B5">
        <w:t xml:space="preserve">s regulations are listed in 40 </w:t>
      </w:r>
      <w:smartTag w:uri="urn:schemas-microsoft-com:office:smarttags" w:element="stockticker">
        <w:r w:rsidR="00D60A82" w:rsidRPr="001774B5">
          <w:t>CFR</w:t>
        </w:r>
      </w:smartTag>
      <w:r w:rsidR="00D60A82" w:rsidRPr="001774B5">
        <w:t xml:space="preserve"> Part 9 and 48 </w:t>
      </w:r>
      <w:smartTag w:uri="urn:schemas-microsoft-com:office:smarttags" w:element="stockticker">
        <w:r w:rsidR="00D60A82" w:rsidRPr="001774B5">
          <w:t>CFR</w:t>
        </w:r>
      </w:smartTag>
      <w:r w:rsidR="00D60A82" w:rsidRPr="001774B5">
        <w:t xml:space="preserve"> Chapter 15.</w:t>
      </w:r>
    </w:p>
    <w:p w:rsidR="00D60A82" w:rsidRPr="001774B5" w:rsidRDefault="00D60A82" w:rsidP="00124B87">
      <w:pPr>
        <w:widowControl/>
        <w:ind w:firstLine="720"/>
      </w:pPr>
    </w:p>
    <w:p w:rsidR="00683EBB" w:rsidRPr="001774B5" w:rsidRDefault="007F53C9" w:rsidP="00683EBB">
      <w:pPr>
        <w:widowControl/>
        <w:ind w:firstLine="720"/>
        <w:rPr>
          <w:b/>
          <w:color w:val="0F0F0F"/>
        </w:rPr>
        <w:sectPr w:rsidR="00683EBB" w:rsidRPr="001774B5" w:rsidSect="00AA47F2">
          <w:headerReference w:type="even" r:id="rId12"/>
          <w:headerReference w:type="default" r:id="rId13"/>
          <w:footerReference w:type="even" r:id="rId14"/>
          <w:pgSz w:w="12240" w:h="15840"/>
          <w:pgMar w:top="720" w:right="1440" w:bottom="1440" w:left="1440" w:header="720" w:footer="720" w:gutter="0"/>
          <w:pgNumType w:start="1"/>
          <w:cols w:space="720"/>
          <w:noEndnote/>
          <w:titlePg/>
          <w:docGrid w:linePitch="326"/>
        </w:sectPr>
      </w:pPr>
      <w:r w:rsidRPr="007F53C9">
        <w:t>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w:t>
      </w:r>
      <w:r w:rsidR="005748FA">
        <w:t xml:space="preserve"> </w:t>
      </w:r>
      <w:r w:rsidR="005748FA" w:rsidRPr="005748FA">
        <w:t>EPA-HQ-OAR-2003-0053</w:t>
      </w:r>
      <w:r w:rsidRPr="007F53C9">
        <w:t>, which is available for online viewing at www.regulations.gov, or i</w:t>
      </w:r>
      <w:r>
        <w:t>n person viewing at the Air and Radiation Docket</w:t>
      </w:r>
      <w:r w:rsidRPr="007F53C9">
        <w:t xml:space="preserve"> in the EPA Docket Cent</w:t>
      </w:r>
      <w:r>
        <w:t>er (EPA/DC), EPA West, Room 3334</w:t>
      </w:r>
      <w:r w:rsidRPr="007F53C9">
        <w:t xml:space="preserve">, 1301 Constitution Avenue, NW, Washington, D.C.  The EPA Docket Center Public Reading Room is open from 8:30 a.m. to 4:30 p.m., Monday through Friday, excluding legal holidays.  The telephone number for the Reading Room is (202) 566-1744, and the telephone number for the </w:t>
      </w:r>
      <w:r>
        <w:t>Air and Radiation Docket</w:t>
      </w:r>
      <w:r w:rsidRPr="007F53C9">
        <w:t xml:space="preserve"> is (202) 566-</w:t>
      </w:r>
      <w:r w:rsidR="0078642B">
        <w:t>1742</w:t>
      </w:r>
      <w:r w:rsidRPr="007F53C9">
        <w:t xml:space="preserve">.  An </w:t>
      </w:r>
      <w:r w:rsidRPr="007F53C9">
        <w:lastRenderedPageBreak/>
        <w:t xml:space="preserve">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725 17th Street, NW, Washington, D.C. 20503, Attention: Desk Officer for EPA.  </w:t>
      </w:r>
      <w:r w:rsidR="00D60A82" w:rsidRPr="001774B5">
        <w:t xml:space="preserve">  </w:t>
      </w:r>
      <w:r w:rsidR="00CA5655" w:rsidRPr="001774B5">
        <w:t>Please i</w:t>
      </w:r>
      <w:r w:rsidR="00D60A82" w:rsidRPr="001774B5">
        <w:t xml:space="preserve">nclude </w:t>
      </w:r>
      <w:r w:rsidR="00867749" w:rsidRPr="001774B5">
        <w:rPr>
          <w:color w:val="0F0F0F"/>
        </w:rPr>
        <w:t xml:space="preserve">the EPA Docket ID Number </w:t>
      </w:r>
      <w:r w:rsidR="00CA5655" w:rsidRPr="001774B5">
        <w:rPr>
          <w:color w:val="0F0F0F"/>
        </w:rPr>
        <w:t>(</w:t>
      </w:r>
      <w:r w:rsidR="005748FA" w:rsidRPr="005748FA">
        <w:rPr>
          <w:color w:val="0F0F0F"/>
        </w:rPr>
        <w:t>EPA-HQ-OAR-2003-0053</w:t>
      </w:r>
      <w:r w:rsidR="00CA5655" w:rsidRPr="001774B5">
        <w:t>)</w:t>
      </w:r>
      <w:r w:rsidR="00867749" w:rsidRPr="001774B5">
        <w:t xml:space="preserve"> </w:t>
      </w:r>
      <w:r w:rsidR="00867749" w:rsidRPr="001774B5">
        <w:rPr>
          <w:color w:val="0F0F0F"/>
        </w:rPr>
        <w:t xml:space="preserve">and the OMB Control Number </w:t>
      </w:r>
      <w:r w:rsidR="00CA5655" w:rsidRPr="001774B5">
        <w:rPr>
          <w:color w:val="0F0F0F"/>
        </w:rPr>
        <w:t>(</w:t>
      </w:r>
      <w:r w:rsidR="00867749" w:rsidRPr="001774B5">
        <w:t>2060-0</w:t>
      </w:r>
      <w:r w:rsidR="00BB6015" w:rsidRPr="001774B5">
        <w:t>57</w:t>
      </w:r>
      <w:r w:rsidR="00867749" w:rsidRPr="001774B5">
        <w:t>0</w:t>
      </w:r>
      <w:r w:rsidR="00CA5655" w:rsidRPr="001774B5">
        <w:t>)</w:t>
      </w:r>
      <w:r w:rsidR="00867749" w:rsidRPr="001774B5">
        <w:t xml:space="preserve"> in an</w:t>
      </w:r>
      <w:r w:rsidR="00867749" w:rsidRPr="001774B5">
        <w:rPr>
          <w:color w:val="0F0F0F"/>
        </w:rPr>
        <w:t>y correspondence.</w:t>
      </w:r>
    </w:p>
    <w:p w:rsidR="00CD3274" w:rsidRPr="00CD3274" w:rsidRDefault="00CD3274" w:rsidP="00CD3274">
      <w:pPr>
        <w:widowControl/>
        <w:rPr>
          <w:color w:val="0F0F0F"/>
        </w:rPr>
      </w:pPr>
    </w:p>
    <w:tbl>
      <w:tblPr>
        <w:tblW w:w="12470" w:type="dxa"/>
        <w:jc w:val="center"/>
        <w:tblLook w:val="04A0"/>
      </w:tblPr>
      <w:tblGrid>
        <w:gridCol w:w="1750"/>
        <w:gridCol w:w="1037"/>
        <w:gridCol w:w="1069"/>
        <w:gridCol w:w="1303"/>
        <w:gridCol w:w="1234"/>
        <w:gridCol w:w="1116"/>
        <w:gridCol w:w="912"/>
        <w:gridCol w:w="1306"/>
        <w:gridCol w:w="1227"/>
        <w:gridCol w:w="1516"/>
      </w:tblGrid>
      <w:tr w:rsidR="00D84394" w:rsidRPr="00CD3274" w:rsidTr="002E1527">
        <w:trPr>
          <w:trHeight w:val="619"/>
          <w:tblHeader/>
          <w:jc w:val="center"/>
        </w:trPr>
        <w:tc>
          <w:tcPr>
            <w:tcW w:w="12470" w:type="dxa"/>
            <w:gridSpan w:val="10"/>
            <w:shd w:val="clear" w:color="auto" w:fill="FFFFFF"/>
            <w:vAlign w:val="center"/>
          </w:tcPr>
          <w:p w:rsidR="00D84394" w:rsidRPr="001774B5" w:rsidRDefault="00D84394" w:rsidP="00D84394">
            <w:pPr>
              <w:widowControl/>
              <w:ind w:firstLine="720"/>
              <w:jc w:val="center"/>
              <w:rPr>
                <w:b/>
                <w:color w:val="0F0F0F"/>
              </w:rPr>
            </w:pPr>
            <w:r w:rsidRPr="001774B5">
              <w:rPr>
                <w:b/>
                <w:color w:val="0F0F0F"/>
              </w:rPr>
              <w:t>Table 6-</w:t>
            </w:r>
            <w:r w:rsidR="00106CCA">
              <w:rPr>
                <w:b/>
                <w:color w:val="0F0F0F"/>
              </w:rPr>
              <w:t>1</w:t>
            </w:r>
            <w:r w:rsidRPr="001774B5">
              <w:rPr>
                <w:b/>
                <w:color w:val="0F0F0F"/>
              </w:rPr>
              <w:t xml:space="preserve"> </w:t>
            </w:r>
            <w:r w:rsidRPr="001774B5">
              <w:rPr>
                <w:b/>
                <w:color w:val="0F0F0F"/>
              </w:rPr>
              <w:br/>
              <w:t>Annual Industry Respondent Burden and Cost by Activity, 20</w:t>
            </w:r>
            <w:r>
              <w:rPr>
                <w:b/>
                <w:color w:val="0F0F0F"/>
              </w:rPr>
              <w:t>12</w:t>
            </w:r>
            <w:r w:rsidRPr="001774B5">
              <w:rPr>
                <w:b/>
                <w:color w:val="0F0F0F"/>
              </w:rPr>
              <w:t xml:space="preserve"> and subsequent years</w:t>
            </w:r>
          </w:p>
          <w:p w:rsidR="00D84394" w:rsidRPr="00CD3274" w:rsidRDefault="00D84394" w:rsidP="00D84394">
            <w:pPr>
              <w:widowControl/>
              <w:autoSpaceDE/>
              <w:autoSpaceDN/>
              <w:adjustRightInd/>
              <w:jc w:val="center"/>
              <w:rPr>
                <w:b/>
                <w:bCs/>
                <w:color w:val="000000"/>
                <w:sz w:val="20"/>
                <w:szCs w:val="20"/>
              </w:rPr>
            </w:pPr>
            <w:r>
              <w:rPr>
                <w:color w:val="0F0F0F"/>
                <w:sz w:val="4"/>
                <w:szCs w:val="4"/>
              </w:rPr>
              <w:tab/>
            </w:r>
          </w:p>
        </w:tc>
      </w:tr>
      <w:tr w:rsidR="00CD3274" w:rsidRPr="00CD3274" w:rsidTr="00CD685B">
        <w:trPr>
          <w:trHeight w:val="300"/>
          <w:tblHeader/>
          <w:jc w:val="center"/>
        </w:trPr>
        <w:tc>
          <w:tcPr>
            <w:tcW w:w="1750" w:type="dxa"/>
            <w:vMerge w:val="restart"/>
            <w:tcBorders>
              <w:top w:val="single" w:sz="8" w:space="0" w:color="auto"/>
              <w:left w:val="single" w:sz="8" w:space="0" w:color="auto"/>
              <w:bottom w:val="single" w:sz="8" w:space="0" w:color="000000"/>
              <w:right w:val="single" w:sz="8" w:space="0" w:color="000000"/>
            </w:tcBorders>
            <w:shd w:val="clear" w:color="auto" w:fill="D9D9D9"/>
            <w:vAlign w:val="center"/>
            <w:hideMark/>
          </w:tcPr>
          <w:p w:rsidR="00CD3274" w:rsidRPr="00CD3274" w:rsidRDefault="00CD3274" w:rsidP="00CD3274">
            <w:pPr>
              <w:widowControl/>
              <w:autoSpaceDE/>
              <w:autoSpaceDN/>
              <w:adjustRightInd/>
              <w:jc w:val="center"/>
              <w:rPr>
                <w:b/>
                <w:bCs/>
                <w:color w:val="000000"/>
                <w:sz w:val="20"/>
                <w:szCs w:val="20"/>
              </w:rPr>
            </w:pPr>
            <w:r w:rsidRPr="00CD3274">
              <w:rPr>
                <w:b/>
                <w:bCs/>
                <w:color w:val="000000"/>
                <w:sz w:val="20"/>
                <w:szCs w:val="20"/>
              </w:rPr>
              <w:t>Information Collection Activity</w:t>
            </w:r>
          </w:p>
        </w:tc>
        <w:tc>
          <w:tcPr>
            <w:tcW w:w="3409" w:type="dxa"/>
            <w:gridSpan w:val="3"/>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CD3274" w:rsidRPr="00CD3274" w:rsidRDefault="00CD3274" w:rsidP="00CD3274">
            <w:pPr>
              <w:widowControl/>
              <w:autoSpaceDE/>
              <w:autoSpaceDN/>
              <w:adjustRightInd/>
              <w:jc w:val="center"/>
              <w:rPr>
                <w:b/>
                <w:bCs/>
                <w:color w:val="000000"/>
                <w:sz w:val="20"/>
                <w:szCs w:val="20"/>
              </w:rPr>
            </w:pPr>
            <w:r w:rsidRPr="00CD3274">
              <w:rPr>
                <w:b/>
                <w:bCs/>
                <w:color w:val="000000"/>
                <w:sz w:val="20"/>
                <w:szCs w:val="20"/>
              </w:rPr>
              <w:t> </w:t>
            </w:r>
          </w:p>
        </w:tc>
        <w:tc>
          <w:tcPr>
            <w:tcW w:w="1234"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CD3274" w:rsidRPr="00CD3274" w:rsidRDefault="00CD3274" w:rsidP="00CD3274">
            <w:pPr>
              <w:widowControl/>
              <w:autoSpaceDE/>
              <w:autoSpaceDN/>
              <w:adjustRightInd/>
              <w:jc w:val="center"/>
              <w:rPr>
                <w:b/>
                <w:bCs/>
                <w:color w:val="000000"/>
                <w:sz w:val="20"/>
                <w:szCs w:val="20"/>
              </w:rPr>
            </w:pPr>
            <w:r w:rsidRPr="00CD3274">
              <w:rPr>
                <w:b/>
                <w:bCs/>
                <w:color w:val="000000"/>
                <w:sz w:val="20"/>
                <w:szCs w:val="20"/>
              </w:rPr>
              <w:t> </w:t>
            </w:r>
          </w:p>
        </w:tc>
        <w:tc>
          <w:tcPr>
            <w:tcW w:w="2028" w:type="dxa"/>
            <w:gridSpan w:val="2"/>
            <w:vMerge w:val="restart"/>
            <w:tcBorders>
              <w:top w:val="single" w:sz="4" w:space="0" w:color="auto"/>
              <w:left w:val="single" w:sz="4" w:space="0" w:color="auto"/>
              <w:bottom w:val="single" w:sz="4" w:space="0" w:color="000000"/>
              <w:right w:val="single" w:sz="4" w:space="0" w:color="000000"/>
            </w:tcBorders>
            <w:shd w:val="clear" w:color="auto" w:fill="D9D9D9"/>
            <w:vAlign w:val="center"/>
            <w:hideMark/>
          </w:tcPr>
          <w:p w:rsidR="00CD3274" w:rsidRPr="00CD3274" w:rsidRDefault="00CD3274" w:rsidP="00CD3274">
            <w:pPr>
              <w:widowControl/>
              <w:autoSpaceDE/>
              <w:autoSpaceDN/>
              <w:adjustRightInd/>
              <w:jc w:val="center"/>
              <w:rPr>
                <w:b/>
                <w:bCs/>
                <w:color w:val="000000"/>
                <w:sz w:val="20"/>
                <w:szCs w:val="20"/>
              </w:rPr>
            </w:pPr>
            <w:r w:rsidRPr="00CD3274">
              <w:rPr>
                <w:b/>
                <w:bCs/>
                <w:color w:val="000000"/>
                <w:sz w:val="20"/>
                <w:szCs w:val="20"/>
              </w:rPr>
              <w:t>Annual Capital</w:t>
            </w:r>
          </w:p>
        </w:tc>
        <w:tc>
          <w:tcPr>
            <w:tcW w:w="4049" w:type="dxa"/>
            <w:gridSpan w:val="3"/>
            <w:vMerge w:val="restart"/>
            <w:tcBorders>
              <w:top w:val="single" w:sz="8" w:space="0" w:color="auto"/>
              <w:left w:val="single" w:sz="4" w:space="0" w:color="auto"/>
              <w:bottom w:val="single" w:sz="8" w:space="0" w:color="000000"/>
              <w:right w:val="single" w:sz="8" w:space="0" w:color="000000"/>
            </w:tcBorders>
            <w:shd w:val="clear" w:color="auto" w:fill="D9D9D9"/>
            <w:vAlign w:val="center"/>
            <w:hideMark/>
          </w:tcPr>
          <w:p w:rsidR="00CD3274" w:rsidRPr="00CD3274" w:rsidRDefault="00CD3274" w:rsidP="00CD3274">
            <w:pPr>
              <w:widowControl/>
              <w:autoSpaceDE/>
              <w:autoSpaceDN/>
              <w:adjustRightInd/>
              <w:jc w:val="center"/>
              <w:rPr>
                <w:b/>
                <w:bCs/>
                <w:color w:val="000000"/>
                <w:sz w:val="20"/>
                <w:szCs w:val="20"/>
              </w:rPr>
            </w:pPr>
            <w:r w:rsidRPr="00CD3274">
              <w:rPr>
                <w:b/>
                <w:bCs/>
                <w:color w:val="000000"/>
                <w:sz w:val="20"/>
                <w:szCs w:val="20"/>
              </w:rPr>
              <w:t> </w:t>
            </w:r>
          </w:p>
        </w:tc>
      </w:tr>
      <w:tr w:rsidR="00CD3274" w:rsidRPr="00CD3274" w:rsidTr="00CD685B">
        <w:trPr>
          <w:trHeight w:val="315"/>
          <w:tblHeader/>
          <w:jc w:val="center"/>
        </w:trPr>
        <w:tc>
          <w:tcPr>
            <w:tcW w:w="1750" w:type="dxa"/>
            <w:vMerge/>
            <w:tcBorders>
              <w:top w:val="single" w:sz="8" w:space="0" w:color="auto"/>
              <w:left w:val="single" w:sz="8" w:space="0" w:color="auto"/>
              <w:bottom w:val="single" w:sz="8" w:space="0" w:color="000000"/>
              <w:right w:val="single" w:sz="8" w:space="0" w:color="000000"/>
            </w:tcBorders>
            <w:shd w:val="clear" w:color="auto" w:fill="D9D9D9"/>
            <w:vAlign w:val="center"/>
            <w:hideMark/>
          </w:tcPr>
          <w:p w:rsidR="00CD3274" w:rsidRPr="00CD3274" w:rsidRDefault="00CD3274" w:rsidP="00CD3274">
            <w:pPr>
              <w:widowControl/>
              <w:autoSpaceDE/>
              <w:autoSpaceDN/>
              <w:adjustRightInd/>
              <w:rPr>
                <w:b/>
                <w:bCs/>
                <w:color w:val="000000"/>
                <w:sz w:val="20"/>
                <w:szCs w:val="20"/>
              </w:rPr>
            </w:pPr>
          </w:p>
        </w:tc>
        <w:tc>
          <w:tcPr>
            <w:tcW w:w="3409" w:type="dxa"/>
            <w:gridSpan w:val="3"/>
            <w:vMerge/>
            <w:tcBorders>
              <w:top w:val="single" w:sz="4" w:space="0" w:color="auto"/>
              <w:left w:val="single" w:sz="4" w:space="0" w:color="auto"/>
              <w:bottom w:val="single" w:sz="4" w:space="0" w:color="auto"/>
              <w:right w:val="single" w:sz="4" w:space="0" w:color="auto"/>
            </w:tcBorders>
            <w:shd w:val="clear" w:color="auto" w:fill="D9D9D9"/>
            <w:vAlign w:val="center"/>
            <w:hideMark/>
          </w:tcPr>
          <w:p w:rsidR="00CD3274" w:rsidRPr="00CD3274" w:rsidRDefault="00CD3274" w:rsidP="00CD3274">
            <w:pPr>
              <w:widowControl/>
              <w:autoSpaceDE/>
              <w:autoSpaceDN/>
              <w:adjustRightInd/>
              <w:rPr>
                <w:b/>
                <w:bCs/>
                <w:color w:val="000000"/>
                <w:sz w:val="20"/>
                <w:szCs w:val="20"/>
              </w:rPr>
            </w:pPr>
          </w:p>
        </w:tc>
        <w:tc>
          <w:tcPr>
            <w:tcW w:w="1234" w:type="dxa"/>
            <w:vMerge/>
            <w:tcBorders>
              <w:top w:val="single" w:sz="4" w:space="0" w:color="auto"/>
              <w:left w:val="single" w:sz="4" w:space="0" w:color="auto"/>
              <w:bottom w:val="single" w:sz="4" w:space="0" w:color="auto"/>
              <w:right w:val="single" w:sz="4" w:space="0" w:color="auto"/>
            </w:tcBorders>
            <w:shd w:val="clear" w:color="auto" w:fill="D9D9D9"/>
            <w:vAlign w:val="center"/>
            <w:hideMark/>
          </w:tcPr>
          <w:p w:rsidR="00CD3274" w:rsidRPr="00CD3274" w:rsidRDefault="00CD3274" w:rsidP="00CD3274">
            <w:pPr>
              <w:widowControl/>
              <w:autoSpaceDE/>
              <w:autoSpaceDN/>
              <w:adjustRightInd/>
              <w:rPr>
                <w:b/>
                <w:bCs/>
                <w:color w:val="000000"/>
                <w:sz w:val="20"/>
                <w:szCs w:val="20"/>
              </w:rPr>
            </w:pPr>
          </w:p>
        </w:tc>
        <w:tc>
          <w:tcPr>
            <w:tcW w:w="2028" w:type="dxa"/>
            <w:gridSpan w:val="2"/>
            <w:vMerge/>
            <w:tcBorders>
              <w:top w:val="single" w:sz="4" w:space="0" w:color="auto"/>
              <w:left w:val="single" w:sz="4" w:space="0" w:color="auto"/>
              <w:bottom w:val="single" w:sz="4" w:space="0" w:color="000000"/>
              <w:right w:val="single" w:sz="4" w:space="0" w:color="000000"/>
            </w:tcBorders>
            <w:shd w:val="clear" w:color="auto" w:fill="D9D9D9"/>
            <w:vAlign w:val="center"/>
            <w:hideMark/>
          </w:tcPr>
          <w:p w:rsidR="00CD3274" w:rsidRPr="00CD3274" w:rsidRDefault="00CD3274" w:rsidP="00CD3274">
            <w:pPr>
              <w:widowControl/>
              <w:autoSpaceDE/>
              <w:autoSpaceDN/>
              <w:adjustRightInd/>
              <w:rPr>
                <w:b/>
                <w:bCs/>
                <w:color w:val="000000"/>
                <w:sz w:val="20"/>
                <w:szCs w:val="20"/>
              </w:rPr>
            </w:pPr>
          </w:p>
        </w:tc>
        <w:tc>
          <w:tcPr>
            <w:tcW w:w="4049" w:type="dxa"/>
            <w:gridSpan w:val="3"/>
            <w:vMerge/>
            <w:tcBorders>
              <w:top w:val="single" w:sz="8" w:space="0" w:color="auto"/>
              <w:left w:val="single" w:sz="4" w:space="0" w:color="auto"/>
              <w:bottom w:val="single" w:sz="8" w:space="0" w:color="000000"/>
              <w:right w:val="single" w:sz="8" w:space="0" w:color="000000"/>
            </w:tcBorders>
            <w:shd w:val="clear" w:color="auto" w:fill="D9D9D9"/>
            <w:vAlign w:val="center"/>
            <w:hideMark/>
          </w:tcPr>
          <w:p w:rsidR="00CD3274" w:rsidRPr="00CD3274" w:rsidRDefault="00CD3274" w:rsidP="00CD3274">
            <w:pPr>
              <w:widowControl/>
              <w:autoSpaceDE/>
              <w:autoSpaceDN/>
              <w:adjustRightInd/>
              <w:rPr>
                <w:b/>
                <w:bCs/>
                <w:color w:val="000000"/>
                <w:sz w:val="20"/>
                <w:szCs w:val="20"/>
              </w:rPr>
            </w:pPr>
          </w:p>
        </w:tc>
      </w:tr>
      <w:tr w:rsidR="00CD3274" w:rsidRPr="00CD3274" w:rsidTr="00CD685B">
        <w:trPr>
          <w:trHeight w:val="1020"/>
          <w:tblHeader/>
          <w:jc w:val="center"/>
        </w:trPr>
        <w:tc>
          <w:tcPr>
            <w:tcW w:w="1750" w:type="dxa"/>
            <w:vMerge/>
            <w:tcBorders>
              <w:top w:val="single" w:sz="8" w:space="0" w:color="auto"/>
              <w:left w:val="single" w:sz="8" w:space="0" w:color="auto"/>
              <w:bottom w:val="single" w:sz="8" w:space="0" w:color="000000"/>
              <w:right w:val="single" w:sz="8" w:space="0" w:color="000000"/>
            </w:tcBorders>
            <w:shd w:val="clear" w:color="auto" w:fill="D9D9D9"/>
            <w:vAlign w:val="center"/>
            <w:hideMark/>
          </w:tcPr>
          <w:p w:rsidR="00CD3274" w:rsidRPr="00CD3274" w:rsidRDefault="00CD3274" w:rsidP="00CD3274">
            <w:pPr>
              <w:widowControl/>
              <w:autoSpaceDE/>
              <w:autoSpaceDN/>
              <w:adjustRightInd/>
              <w:rPr>
                <w:b/>
                <w:bCs/>
                <w:color w:val="000000"/>
                <w:sz w:val="20"/>
                <w:szCs w:val="20"/>
              </w:rPr>
            </w:pPr>
          </w:p>
        </w:tc>
        <w:tc>
          <w:tcPr>
            <w:tcW w:w="1037" w:type="dxa"/>
            <w:tcBorders>
              <w:top w:val="nil"/>
              <w:left w:val="nil"/>
              <w:bottom w:val="nil"/>
              <w:right w:val="single" w:sz="8" w:space="0" w:color="auto"/>
            </w:tcBorders>
            <w:shd w:val="clear" w:color="auto" w:fill="D9D9D9"/>
            <w:vAlign w:val="center"/>
            <w:hideMark/>
          </w:tcPr>
          <w:p w:rsidR="00CD3274" w:rsidRPr="00CD3274" w:rsidRDefault="00CD3274" w:rsidP="00CD3274">
            <w:pPr>
              <w:widowControl/>
              <w:autoSpaceDE/>
              <w:autoSpaceDN/>
              <w:adjustRightInd/>
              <w:jc w:val="center"/>
              <w:rPr>
                <w:b/>
                <w:bCs/>
                <w:color w:val="000000"/>
                <w:sz w:val="20"/>
                <w:szCs w:val="20"/>
              </w:rPr>
            </w:pPr>
            <w:r w:rsidRPr="00CD3274">
              <w:rPr>
                <w:b/>
                <w:bCs/>
                <w:color w:val="000000"/>
                <w:sz w:val="20"/>
                <w:szCs w:val="20"/>
              </w:rPr>
              <w:t>Manager Per Hour (2011)</w:t>
            </w:r>
          </w:p>
        </w:tc>
        <w:tc>
          <w:tcPr>
            <w:tcW w:w="1069" w:type="dxa"/>
            <w:tcBorders>
              <w:top w:val="nil"/>
              <w:left w:val="nil"/>
              <w:bottom w:val="nil"/>
              <w:right w:val="single" w:sz="8" w:space="0" w:color="auto"/>
            </w:tcBorders>
            <w:shd w:val="clear" w:color="auto" w:fill="D9D9D9"/>
            <w:vAlign w:val="center"/>
            <w:hideMark/>
          </w:tcPr>
          <w:p w:rsidR="00CD3274" w:rsidRPr="00CD3274" w:rsidRDefault="00CD3274" w:rsidP="00CD3274">
            <w:pPr>
              <w:widowControl/>
              <w:autoSpaceDE/>
              <w:autoSpaceDN/>
              <w:adjustRightInd/>
              <w:jc w:val="center"/>
              <w:rPr>
                <w:b/>
                <w:bCs/>
                <w:color w:val="000000"/>
                <w:sz w:val="20"/>
                <w:szCs w:val="20"/>
              </w:rPr>
            </w:pPr>
            <w:r w:rsidRPr="00CD3274">
              <w:rPr>
                <w:b/>
                <w:bCs/>
                <w:color w:val="000000"/>
                <w:sz w:val="20"/>
                <w:szCs w:val="20"/>
              </w:rPr>
              <w:t>Technical Per Hour (2011)</w:t>
            </w:r>
          </w:p>
        </w:tc>
        <w:tc>
          <w:tcPr>
            <w:tcW w:w="1303" w:type="dxa"/>
            <w:tcBorders>
              <w:top w:val="nil"/>
              <w:left w:val="nil"/>
              <w:bottom w:val="nil"/>
              <w:right w:val="single" w:sz="8" w:space="0" w:color="auto"/>
            </w:tcBorders>
            <w:shd w:val="clear" w:color="auto" w:fill="D9D9D9"/>
            <w:vAlign w:val="center"/>
            <w:hideMark/>
          </w:tcPr>
          <w:p w:rsidR="00CD3274" w:rsidRPr="00CD3274" w:rsidRDefault="00CD3274" w:rsidP="00CD3274">
            <w:pPr>
              <w:widowControl/>
              <w:autoSpaceDE/>
              <w:autoSpaceDN/>
              <w:adjustRightInd/>
              <w:jc w:val="center"/>
              <w:rPr>
                <w:b/>
                <w:bCs/>
                <w:color w:val="000000"/>
                <w:sz w:val="20"/>
                <w:szCs w:val="20"/>
              </w:rPr>
            </w:pPr>
            <w:r w:rsidRPr="00CD3274">
              <w:rPr>
                <w:b/>
                <w:bCs/>
                <w:color w:val="000000"/>
                <w:sz w:val="20"/>
                <w:szCs w:val="20"/>
              </w:rPr>
              <w:t>Respondent Hours/Year</w:t>
            </w:r>
          </w:p>
        </w:tc>
        <w:tc>
          <w:tcPr>
            <w:tcW w:w="1234" w:type="dxa"/>
            <w:tcBorders>
              <w:top w:val="nil"/>
              <w:left w:val="nil"/>
              <w:bottom w:val="nil"/>
              <w:right w:val="single" w:sz="8" w:space="0" w:color="auto"/>
            </w:tcBorders>
            <w:shd w:val="clear" w:color="auto" w:fill="D9D9D9"/>
            <w:vAlign w:val="center"/>
            <w:hideMark/>
          </w:tcPr>
          <w:p w:rsidR="00CD3274" w:rsidRPr="00CD3274" w:rsidRDefault="00CD3274" w:rsidP="00CD3274">
            <w:pPr>
              <w:widowControl/>
              <w:autoSpaceDE/>
              <w:autoSpaceDN/>
              <w:adjustRightInd/>
              <w:jc w:val="center"/>
              <w:rPr>
                <w:b/>
                <w:bCs/>
                <w:color w:val="000000"/>
                <w:sz w:val="20"/>
                <w:szCs w:val="20"/>
              </w:rPr>
            </w:pPr>
            <w:r w:rsidRPr="00CD3274">
              <w:rPr>
                <w:b/>
                <w:bCs/>
                <w:color w:val="000000"/>
                <w:sz w:val="20"/>
                <w:szCs w:val="20"/>
              </w:rPr>
              <w:t>Respondent Labor Cost/Year</w:t>
            </w:r>
          </w:p>
        </w:tc>
        <w:tc>
          <w:tcPr>
            <w:tcW w:w="1116" w:type="dxa"/>
            <w:tcBorders>
              <w:top w:val="nil"/>
              <w:left w:val="nil"/>
              <w:bottom w:val="nil"/>
              <w:right w:val="single" w:sz="8" w:space="0" w:color="auto"/>
            </w:tcBorders>
            <w:shd w:val="clear" w:color="auto" w:fill="D9D9D9"/>
            <w:vAlign w:val="center"/>
            <w:hideMark/>
          </w:tcPr>
          <w:p w:rsidR="00CD3274" w:rsidRPr="00CD3274" w:rsidRDefault="00CD3274" w:rsidP="00CD3274">
            <w:pPr>
              <w:widowControl/>
              <w:autoSpaceDE/>
              <w:autoSpaceDN/>
              <w:adjustRightInd/>
              <w:jc w:val="center"/>
              <w:rPr>
                <w:b/>
                <w:bCs/>
                <w:color w:val="000000"/>
                <w:sz w:val="20"/>
                <w:szCs w:val="20"/>
              </w:rPr>
            </w:pPr>
            <w:r w:rsidRPr="00CD3274">
              <w:rPr>
                <w:b/>
                <w:bCs/>
                <w:color w:val="000000"/>
                <w:sz w:val="20"/>
                <w:szCs w:val="20"/>
              </w:rPr>
              <w:t>Startup Costs</w:t>
            </w:r>
          </w:p>
        </w:tc>
        <w:tc>
          <w:tcPr>
            <w:tcW w:w="912" w:type="dxa"/>
            <w:tcBorders>
              <w:top w:val="nil"/>
              <w:left w:val="nil"/>
              <w:bottom w:val="nil"/>
              <w:right w:val="single" w:sz="8" w:space="0" w:color="auto"/>
            </w:tcBorders>
            <w:shd w:val="clear" w:color="auto" w:fill="D9D9D9"/>
            <w:vAlign w:val="center"/>
            <w:hideMark/>
          </w:tcPr>
          <w:p w:rsidR="00CD3274" w:rsidRPr="00CD3274" w:rsidRDefault="00CD3274" w:rsidP="00CD3274">
            <w:pPr>
              <w:widowControl/>
              <w:autoSpaceDE/>
              <w:autoSpaceDN/>
              <w:adjustRightInd/>
              <w:jc w:val="center"/>
              <w:rPr>
                <w:b/>
                <w:bCs/>
                <w:color w:val="000000"/>
                <w:sz w:val="20"/>
                <w:szCs w:val="20"/>
              </w:rPr>
            </w:pPr>
            <w:r w:rsidRPr="00CD3274">
              <w:rPr>
                <w:b/>
                <w:bCs/>
                <w:color w:val="000000"/>
                <w:sz w:val="20"/>
                <w:szCs w:val="20"/>
              </w:rPr>
              <w:t>O&amp;M Cost</w:t>
            </w:r>
          </w:p>
        </w:tc>
        <w:tc>
          <w:tcPr>
            <w:tcW w:w="1306" w:type="dxa"/>
            <w:tcBorders>
              <w:top w:val="nil"/>
              <w:left w:val="nil"/>
              <w:bottom w:val="nil"/>
              <w:right w:val="single" w:sz="8" w:space="0" w:color="auto"/>
            </w:tcBorders>
            <w:shd w:val="clear" w:color="auto" w:fill="D9D9D9"/>
            <w:vAlign w:val="center"/>
            <w:hideMark/>
          </w:tcPr>
          <w:p w:rsidR="00CD3274" w:rsidRPr="00CD3274" w:rsidRDefault="00CD3274" w:rsidP="00CD3274">
            <w:pPr>
              <w:widowControl/>
              <w:autoSpaceDE/>
              <w:autoSpaceDN/>
              <w:adjustRightInd/>
              <w:jc w:val="center"/>
              <w:rPr>
                <w:b/>
                <w:bCs/>
                <w:color w:val="000000"/>
                <w:sz w:val="20"/>
                <w:szCs w:val="20"/>
              </w:rPr>
            </w:pPr>
            <w:r w:rsidRPr="00CD3274">
              <w:rPr>
                <w:b/>
                <w:bCs/>
                <w:color w:val="000000"/>
                <w:sz w:val="20"/>
                <w:szCs w:val="20"/>
              </w:rPr>
              <w:t>Number of Respondents</w:t>
            </w:r>
          </w:p>
        </w:tc>
        <w:tc>
          <w:tcPr>
            <w:tcW w:w="1227" w:type="dxa"/>
            <w:tcBorders>
              <w:top w:val="nil"/>
              <w:left w:val="nil"/>
              <w:bottom w:val="nil"/>
              <w:right w:val="single" w:sz="8" w:space="0" w:color="auto"/>
            </w:tcBorders>
            <w:shd w:val="clear" w:color="auto" w:fill="D9D9D9"/>
            <w:vAlign w:val="center"/>
            <w:hideMark/>
          </w:tcPr>
          <w:p w:rsidR="00CD3274" w:rsidRPr="00CD3274" w:rsidRDefault="00CD3274" w:rsidP="00CD3274">
            <w:pPr>
              <w:widowControl/>
              <w:autoSpaceDE/>
              <w:autoSpaceDN/>
              <w:adjustRightInd/>
              <w:jc w:val="center"/>
              <w:rPr>
                <w:b/>
                <w:bCs/>
                <w:color w:val="000000"/>
                <w:sz w:val="20"/>
                <w:szCs w:val="20"/>
              </w:rPr>
            </w:pPr>
            <w:r w:rsidRPr="00CD3274">
              <w:rPr>
                <w:b/>
                <w:bCs/>
                <w:color w:val="000000"/>
                <w:sz w:val="20"/>
                <w:szCs w:val="20"/>
              </w:rPr>
              <w:t>Total Hours/Year</w:t>
            </w:r>
          </w:p>
        </w:tc>
        <w:tc>
          <w:tcPr>
            <w:tcW w:w="1516" w:type="dxa"/>
            <w:tcBorders>
              <w:top w:val="nil"/>
              <w:left w:val="nil"/>
              <w:bottom w:val="nil"/>
              <w:right w:val="single" w:sz="8" w:space="0" w:color="auto"/>
            </w:tcBorders>
            <w:shd w:val="clear" w:color="auto" w:fill="D9D9D9"/>
            <w:vAlign w:val="center"/>
            <w:hideMark/>
          </w:tcPr>
          <w:p w:rsidR="00CD3274" w:rsidRPr="00CD3274" w:rsidRDefault="00CD3274" w:rsidP="00CD3274">
            <w:pPr>
              <w:widowControl/>
              <w:autoSpaceDE/>
              <w:autoSpaceDN/>
              <w:adjustRightInd/>
              <w:jc w:val="center"/>
              <w:rPr>
                <w:b/>
                <w:bCs/>
                <w:color w:val="000000"/>
                <w:sz w:val="20"/>
                <w:szCs w:val="20"/>
              </w:rPr>
            </w:pPr>
            <w:r w:rsidRPr="00CD3274">
              <w:rPr>
                <w:b/>
                <w:bCs/>
                <w:color w:val="000000"/>
                <w:sz w:val="20"/>
                <w:szCs w:val="20"/>
              </w:rPr>
              <w:t>Total Cost/Year</w:t>
            </w:r>
          </w:p>
        </w:tc>
      </w:tr>
      <w:tr w:rsidR="00CD3274" w:rsidRPr="00CD3274" w:rsidTr="00CD685B">
        <w:trPr>
          <w:trHeight w:val="315"/>
          <w:tblHeader/>
          <w:jc w:val="center"/>
        </w:trPr>
        <w:tc>
          <w:tcPr>
            <w:tcW w:w="1750" w:type="dxa"/>
            <w:vMerge/>
            <w:tcBorders>
              <w:top w:val="single" w:sz="8" w:space="0" w:color="auto"/>
              <w:left w:val="single" w:sz="8" w:space="0" w:color="auto"/>
              <w:bottom w:val="single" w:sz="8" w:space="0" w:color="000000"/>
              <w:right w:val="single" w:sz="8" w:space="0" w:color="000000"/>
            </w:tcBorders>
            <w:shd w:val="clear" w:color="auto" w:fill="D9D9D9"/>
            <w:vAlign w:val="center"/>
            <w:hideMark/>
          </w:tcPr>
          <w:p w:rsidR="00CD3274" w:rsidRPr="00CD3274" w:rsidRDefault="00CD3274" w:rsidP="00CD3274">
            <w:pPr>
              <w:widowControl/>
              <w:autoSpaceDE/>
              <w:autoSpaceDN/>
              <w:adjustRightInd/>
              <w:rPr>
                <w:b/>
                <w:bCs/>
                <w:color w:val="000000"/>
                <w:sz w:val="20"/>
                <w:szCs w:val="20"/>
              </w:rPr>
            </w:pPr>
          </w:p>
        </w:tc>
        <w:tc>
          <w:tcPr>
            <w:tcW w:w="1037" w:type="dxa"/>
            <w:tcBorders>
              <w:top w:val="nil"/>
              <w:left w:val="nil"/>
              <w:bottom w:val="single" w:sz="8" w:space="0" w:color="auto"/>
              <w:right w:val="single" w:sz="8" w:space="0" w:color="auto"/>
            </w:tcBorders>
            <w:shd w:val="clear" w:color="auto" w:fill="D9D9D9"/>
            <w:vAlign w:val="center"/>
            <w:hideMark/>
          </w:tcPr>
          <w:p w:rsidR="00CD3274" w:rsidRPr="00CD3274" w:rsidRDefault="00CD3274" w:rsidP="00CD3274">
            <w:pPr>
              <w:widowControl/>
              <w:autoSpaceDE/>
              <w:autoSpaceDN/>
              <w:adjustRightInd/>
              <w:jc w:val="center"/>
              <w:rPr>
                <w:b/>
                <w:bCs/>
                <w:color w:val="000000"/>
                <w:sz w:val="20"/>
                <w:szCs w:val="20"/>
              </w:rPr>
            </w:pPr>
            <w:r w:rsidRPr="00CD3274">
              <w:rPr>
                <w:b/>
                <w:bCs/>
                <w:color w:val="000000"/>
                <w:sz w:val="20"/>
                <w:szCs w:val="20"/>
              </w:rPr>
              <w:t xml:space="preserve">$97.30 </w:t>
            </w:r>
          </w:p>
        </w:tc>
        <w:tc>
          <w:tcPr>
            <w:tcW w:w="1069" w:type="dxa"/>
            <w:tcBorders>
              <w:top w:val="nil"/>
              <w:left w:val="nil"/>
              <w:bottom w:val="single" w:sz="8" w:space="0" w:color="auto"/>
              <w:right w:val="single" w:sz="8" w:space="0" w:color="auto"/>
            </w:tcBorders>
            <w:shd w:val="clear" w:color="auto" w:fill="D9D9D9"/>
            <w:vAlign w:val="center"/>
            <w:hideMark/>
          </w:tcPr>
          <w:p w:rsidR="00CD3274" w:rsidRPr="00CD3274" w:rsidRDefault="00CD3274" w:rsidP="00CD3274">
            <w:pPr>
              <w:widowControl/>
              <w:autoSpaceDE/>
              <w:autoSpaceDN/>
              <w:adjustRightInd/>
              <w:jc w:val="center"/>
              <w:rPr>
                <w:b/>
                <w:bCs/>
                <w:color w:val="000000"/>
                <w:sz w:val="20"/>
                <w:szCs w:val="20"/>
              </w:rPr>
            </w:pPr>
            <w:r w:rsidRPr="00CD3274">
              <w:rPr>
                <w:b/>
                <w:bCs/>
                <w:color w:val="000000"/>
                <w:sz w:val="20"/>
                <w:szCs w:val="20"/>
              </w:rPr>
              <w:t xml:space="preserve">$60.01 </w:t>
            </w:r>
          </w:p>
        </w:tc>
        <w:tc>
          <w:tcPr>
            <w:tcW w:w="1303" w:type="dxa"/>
            <w:tcBorders>
              <w:top w:val="nil"/>
              <w:left w:val="nil"/>
              <w:bottom w:val="single" w:sz="8" w:space="0" w:color="auto"/>
              <w:right w:val="single" w:sz="8" w:space="0" w:color="auto"/>
            </w:tcBorders>
            <w:shd w:val="clear" w:color="auto" w:fill="D9D9D9"/>
            <w:vAlign w:val="center"/>
            <w:hideMark/>
          </w:tcPr>
          <w:p w:rsidR="00CD3274" w:rsidRPr="00CD3274" w:rsidRDefault="00CD3274" w:rsidP="00CD3274">
            <w:pPr>
              <w:widowControl/>
              <w:autoSpaceDE/>
              <w:autoSpaceDN/>
              <w:adjustRightInd/>
              <w:jc w:val="center"/>
              <w:rPr>
                <w:b/>
                <w:bCs/>
                <w:color w:val="000000"/>
                <w:sz w:val="20"/>
                <w:szCs w:val="20"/>
              </w:rPr>
            </w:pPr>
            <w:r w:rsidRPr="00CD3274">
              <w:rPr>
                <w:b/>
                <w:bCs/>
                <w:color w:val="000000"/>
                <w:sz w:val="20"/>
                <w:szCs w:val="20"/>
              </w:rPr>
              <w:t> </w:t>
            </w:r>
          </w:p>
        </w:tc>
        <w:tc>
          <w:tcPr>
            <w:tcW w:w="1234" w:type="dxa"/>
            <w:tcBorders>
              <w:top w:val="nil"/>
              <w:left w:val="nil"/>
              <w:bottom w:val="single" w:sz="8" w:space="0" w:color="auto"/>
              <w:right w:val="single" w:sz="8" w:space="0" w:color="auto"/>
            </w:tcBorders>
            <w:shd w:val="clear" w:color="auto" w:fill="D9D9D9"/>
            <w:vAlign w:val="bottom"/>
            <w:hideMark/>
          </w:tcPr>
          <w:p w:rsidR="00CD3274" w:rsidRPr="00CD3274" w:rsidRDefault="00CD3274" w:rsidP="00CD3274">
            <w:pPr>
              <w:widowControl/>
              <w:autoSpaceDE/>
              <w:autoSpaceDN/>
              <w:adjustRightInd/>
              <w:rPr>
                <w:rFonts w:ascii="Calibri" w:hAnsi="Calibri" w:cs="Calibri"/>
                <w:color w:val="000000"/>
                <w:sz w:val="22"/>
                <w:szCs w:val="22"/>
              </w:rPr>
            </w:pPr>
            <w:r w:rsidRPr="00CD3274">
              <w:rPr>
                <w:rFonts w:ascii="Calibri" w:hAnsi="Calibri" w:cs="Calibri"/>
                <w:color w:val="000000"/>
                <w:sz w:val="22"/>
                <w:szCs w:val="22"/>
              </w:rPr>
              <w:t> </w:t>
            </w:r>
          </w:p>
        </w:tc>
        <w:tc>
          <w:tcPr>
            <w:tcW w:w="1116" w:type="dxa"/>
            <w:tcBorders>
              <w:top w:val="nil"/>
              <w:left w:val="nil"/>
              <w:bottom w:val="single" w:sz="8" w:space="0" w:color="auto"/>
              <w:right w:val="single" w:sz="8" w:space="0" w:color="auto"/>
            </w:tcBorders>
            <w:shd w:val="clear" w:color="auto" w:fill="D9D9D9"/>
            <w:vAlign w:val="center"/>
            <w:hideMark/>
          </w:tcPr>
          <w:p w:rsidR="00CD3274" w:rsidRPr="00CD3274" w:rsidRDefault="00CD3274" w:rsidP="00CD3274">
            <w:pPr>
              <w:widowControl/>
              <w:autoSpaceDE/>
              <w:autoSpaceDN/>
              <w:adjustRightInd/>
              <w:jc w:val="center"/>
              <w:rPr>
                <w:b/>
                <w:bCs/>
                <w:color w:val="000000"/>
                <w:sz w:val="20"/>
                <w:szCs w:val="20"/>
              </w:rPr>
            </w:pPr>
            <w:r w:rsidRPr="00CD3274">
              <w:rPr>
                <w:b/>
                <w:bCs/>
                <w:color w:val="000000"/>
                <w:sz w:val="20"/>
                <w:szCs w:val="20"/>
              </w:rPr>
              <w:t> </w:t>
            </w:r>
          </w:p>
        </w:tc>
        <w:tc>
          <w:tcPr>
            <w:tcW w:w="912" w:type="dxa"/>
            <w:tcBorders>
              <w:top w:val="nil"/>
              <w:left w:val="nil"/>
              <w:bottom w:val="single" w:sz="8" w:space="0" w:color="auto"/>
              <w:right w:val="single" w:sz="8" w:space="0" w:color="auto"/>
            </w:tcBorders>
            <w:shd w:val="clear" w:color="auto" w:fill="D9D9D9"/>
            <w:vAlign w:val="center"/>
            <w:hideMark/>
          </w:tcPr>
          <w:p w:rsidR="00CD3274" w:rsidRPr="00CD3274" w:rsidRDefault="00CD3274" w:rsidP="00CD3274">
            <w:pPr>
              <w:widowControl/>
              <w:autoSpaceDE/>
              <w:autoSpaceDN/>
              <w:adjustRightInd/>
              <w:jc w:val="center"/>
              <w:rPr>
                <w:b/>
                <w:bCs/>
                <w:color w:val="000000"/>
                <w:sz w:val="20"/>
                <w:szCs w:val="20"/>
              </w:rPr>
            </w:pPr>
            <w:r w:rsidRPr="00CD3274">
              <w:rPr>
                <w:b/>
                <w:bCs/>
                <w:color w:val="000000"/>
                <w:sz w:val="20"/>
                <w:szCs w:val="20"/>
              </w:rPr>
              <w:t> </w:t>
            </w:r>
          </w:p>
        </w:tc>
        <w:tc>
          <w:tcPr>
            <w:tcW w:w="1306" w:type="dxa"/>
            <w:tcBorders>
              <w:top w:val="nil"/>
              <w:left w:val="nil"/>
              <w:bottom w:val="single" w:sz="8" w:space="0" w:color="auto"/>
              <w:right w:val="single" w:sz="8" w:space="0" w:color="auto"/>
            </w:tcBorders>
            <w:shd w:val="clear" w:color="auto" w:fill="D9D9D9"/>
            <w:vAlign w:val="center"/>
            <w:hideMark/>
          </w:tcPr>
          <w:p w:rsidR="00CD3274" w:rsidRPr="00CD3274" w:rsidRDefault="00CD3274" w:rsidP="00CD3274">
            <w:pPr>
              <w:widowControl/>
              <w:autoSpaceDE/>
              <w:autoSpaceDN/>
              <w:adjustRightInd/>
              <w:jc w:val="center"/>
              <w:rPr>
                <w:b/>
                <w:bCs/>
                <w:color w:val="000000"/>
                <w:sz w:val="20"/>
                <w:szCs w:val="20"/>
              </w:rPr>
            </w:pPr>
            <w:r w:rsidRPr="00CD3274">
              <w:rPr>
                <w:b/>
                <w:bCs/>
                <w:color w:val="000000"/>
                <w:sz w:val="20"/>
                <w:szCs w:val="20"/>
              </w:rPr>
              <w:t> </w:t>
            </w:r>
          </w:p>
        </w:tc>
        <w:tc>
          <w:tcPr>
            <w:tcW w:w="1227" w:type="dxa"/>
            <w:tcBorders>
              <w:top w:val="nil"/>
              <w:left w:val="nil"/>
              <w:bottom w:val="single" w:sz="8" w:space="0" w:color="auto"/>
              <w:right w:val="single" w:sz="8" w:space="0" w:color="auto"/>
            </w:tcBorders>
            <w:shd w:val="clear" w:color="auto" w:fill="D9D9D9"/>
            <w:vAlign w:val="center"/>
            <w:hideMark/>
          </w:tcPr>
          <w:p w:rsidR="00CD3274" w:rsidRPr="00CD3274" w:rsidRDefault="00CD3274" w:rsidP="00CD3274">
            <w:pPr>
              <w:widowControl/>
              <w:autoSpaceDE/>
              <w:autoSpaceDN/>
              <w:adjustRightInd/>
              <w:jc w:val="center"/>
              <w:rPr>
                <w:b/>
                <w:bCs/>
                <w:color w:val="000000"/>
                <w:sz w:val="20"/>
                <w:szCs w:val="20"/>
              </w:rPr>
            </w:pPr>
            <w:r w:rsidRPr="00CD3274">
              <w:rPr>
                <w:b/>
                <w:bCs/>
                <w:color w:val="000000"/>
                <w:sz w:val="20"/>
                <w:szCs w:val="20"/>
              </w:rPr>
              <w:t> </w:t>
            </w:r>
          </w:p>
        </w:tc>
        <w:tc>
          <w:tcPr>
            <w:tcW w:w="1516" w:type="dxa"/>
            <w:tcBorders>
              <w:top w:val="nil"/>
              <w:left w:val="nil"/>
              <w:bottom w:val="single" w:sz="8" w:space="0" w:color="auto"/>
              <w:right w:val="single" w:sz="8" w:space="0" w:color="auto"/>
            </w:tcBorders>
            <w:shd w:val="clear" w:color="auto" w:fill="D9D9D9"/>
            <w:vAlign w:val="center"/>
            <w:hideMark/>
          </w:tcPr>
          <w:p w:rsidR="00CD3274" w:rsidRPr="00CD3274" w:rsidRDefault="00CD3274" w:rsidP="00CD3274">
            <w:pPr>
              <w:widowControl/>
              <w:autoSpaceDE/>
              <w:autoSpaceDN/>
              <w:adjustRightInd/>
              <w:jc w:val="center"/>
              <w:rPr>
                <w:b/>
                <w:bCs/>
                <w:color w:val="000000"/>
                <w:sz w:val="20"/>
                <w:szCs w:val="20"/>
              </w:rPr>
            </w:pPr>
            <w:r w:rsidRPr="00CD3274">
              <w:rPr>
                <w:b/>
                <w:bCs/>
                <w:color w:val="000000"/>
                <w:sz w:val="20"/>
                <w:szCs w:val="20"/>
              </w:rPr>
              <w:t> </w:t>
            </w:r>
          </w:p>
        </w:tc>
      </w:tr>
      <w:tr w:rsidR="00CD3274" w:rsidRPr="00CD3274" w:rsidTr="00CD685B">
        <w:trPr>
          <w:trHeight w:val="525"/>
          <w:jc w:val="center"/>
        </w:trPr>
        <w:tc>
          <w:tcPr>
            <w:tcW w:w="1750" w:type="dxa"/>
            <w:tcBorders>
              <w:top w:val="nil"/>
              <w:left w:val="single" w:sz="8" w:space="0" w:color="auto"/>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rPr>
                <w:color w:val="000000"/>
                <w:sz w:val="20"/>
                <w:szCs w:val="20"/>
              </w:rPr>
            </w:pPr>
            <w:r w:rsidRPr="00CD3274">
              <w:rPr>
                <w:color w:val="000000"/>
                <w:sz w:val="20"/>
                <w:szCs w:val="20"/>
              </w:rPr>
              <w:t>Title V permit application (facilities)</w:t>
            </w:r>
          </w:p>
        </w:tc>
        <w:tc>
          <w:tcPr>
            <w:tcW w:w="1037"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4</w:t>
            </w:r>
          </w:p>
        </w:tc>
        <w:tc>
          <w:tcPr>
            <w:tcW w:w="1069"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0</w:t>
            </w:r>
          </w:p>
        </w:tc>
        <w:tc>
          <w:tcPr>
            <w:tcW w:w="1303"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4</w:t>
            </w:r>
          </w:p>
        </w:tc>
        <w:tc>
          <w:tcPr>
            <w:tcW w:w="1234"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 xml:space="preserve">$389.20 </w:t>
            </w:r>
          </w:p>
        </w:tc>
        <w:tc>
          <w:tcPr>
            <w:tcW w:w="1116"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 </w:t>
            </w:r>
          </w:p>
        </w:tc>
        <w:tc>
          <w:tcPr>
            <w:tcW w:w="912"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 </w:t>
            </w:r>
          </w:p>
        </w:tc>
        <w:tc>
          <w:tcPr>
            <w:tcW w:w="1306"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10</w:t>
            </w:r>
          </w:p>
        </w:tc>
        <w:tc>
          <w:tcPr>
            <w:tcW w:w="1227"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40</w:t>
            </w:r>
          </w:p>
        </w:tc>
        <w:tc>
          <w:tcPr>
            <w:tcW w:w="1516"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 xml:space="preserve">$3,892 </w:t>
            </w:r>
          </w:p>
        </w:tc>
      </w:tr>
      <w:tr w:rsidR="00CD3274" w:rsidRPr="00CD3274" w:rsidTr="00CD685B">
        <w:trPr>
          <w:trHeight w:val="315"/>
          <w:jc w:val="center"/>
        </w:trPr>
        <w:tc>
          <w:tcPr>
            <w:tcW w:w="1750" w:type="dxa"/>
            <w:tcBorders>
              <w:top w:val="nil"/>
              <w:left w:val="single" w:sz="8" w:space="0" w:color="auto"/>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rPr>
                <w:color w:val="000000"/>
                <w:sz w:val="20"/>
                <w:szCs w:val="20"/>
              </w:rPr>
            </w:pPr>
            <w:r w:rsidRPr="00CD3274">
              <w:rPr>
                <w:color w:val="000000"/>
                <w:sz w:val="20"/>
                <w:szCs w:val="20"/>
              </w:rPr>
              <w:t>Permit to Construct (units)</w:t>
            </w:r>
          </w:p>
        </w:tc>
        <w:tc>
          <w:tcPr>
            <w:tcW w:w="1037"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20</w:t>
            </w:r>
          </w:p>
        </w:tc>
        <w:tc>
          <w:tcPr>
            <w:tcW w:w="1069"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20</w:t>
            </w:r>
          </w:p>
        </w:tc>
        <w:tc>
          <w:tcPr>
            <w:tcW w:w="1303"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40</w:t>
            </w:r>
          </w:p>
        </w:tc>
        <w:tc>
          <w:tcPr>
            <w:tcW w:w="1234"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 xml:space="preserve">$3,146.20 </w:t>
            </w:r>
          </w:p>
        </w:tc>
        <w:tc>
          <w:tcPr>
            <w:tcW w:w="1116"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 </w:t>
            </w:r>
          </w:p>
        </w:tc>
        <w:tc>
          <w:tcPr>
            <w:tcW w:w="912"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 </w:t>
            </w:r>
          </w:p>
        </w:tc>
        <w:tc>
          <w:tcPr>
            <w:tcW w:w="1306"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15</w:t>
            </w:r>
          </w:p>
        </w:tc>
        <w:tc>
          <w:tcPr>
            <w:tcW w:w="1227"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600</w:t>
            </w:r>
          </w:p>
        </w:tc>
        <w:tc>
          <w:tcPr>
            <w:tcW w:w="1516"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 xml:space="preserve">$47,193 </w:t>
            </w:r>
          </w:p>
        </w:tc>
      </w:tr>
      <w:tr w:rsidR="00CD3274" w:rsidRPr="00CD3274" w:rsidTr="00CD685B">
        <w:trPr>
          <w:trHeight w:val="232"/>
          <w:jc w:val="center"/>
        </w:trPr>
        <w:tc>
          <w:tcPr>
            <w:tcW w:w="12470" w:type="dxa"/>
            <w:gridSpan w:val="10"/>
            <w:tcBorders>
              <w:top w:val="single" w:sz="8" w:space="0" w:color="auto"/>
              <w:left w:val="single" w:sz="8" w:space="0" w:color="auto"/>
              <w:bottom w:val="single" w:sz="8" w:space="0" w:color="auto"/>
              <w:right w:val="single" w:sz="8" w:space="0" w:color="000000"/>
            </w:tcBorders>
            <w:shd w:val="clear" w:color="auto" w:fill="D9D9D9"/>
            <w:vAlign w:val="center"/>
            <w:hideMark/>
          </w:tcPr>
          <w:p w:rsidR="00CD3274" w:rsidRPr="00CD3274" w:rsidRDefault="00F60B09" w:rsidP="00CD3274">
            <w:pPr>
              <w:widowControl/>
              <w:autoSpaceDE/>
              <w:autoSpaceDN/>
              <w:adjustRightInd/>
              <w:rPr>
                <w:b/>
                <w:bCs/>
                <w:color w:val="000000"/>
                <w:sz w:val="20"/>
                <w:szCs w:val="20"/>
              </w:rPr>
            </w:pPr>
            <w:r>
              <w:rPr>
                <w:b/>
                <w:bCs/>
                <w:color w:val="000000"/>
                <w:sz w:val="20"/>
                <w:szCs w:val="20"/>
              </w:rPr>
              <w:t>Startup/</w:t>
            </w:r>
            <w:r w:rsidR="00CD3274" w:rsidRPr="00CD3274">
              <w:rPr>
                <w:b/>
                <w:bCs/>
                <w:color w:val="000000"/>
                <w:sz w:val="20"/>
                <w:szCs w:val="20"/>
              </w:rPr>
              <w:t>Capital Items</w:t>
            </w:r>
          </w:p>
        </w:tc>
      </w:tr>
      <w:tr w:rsidR="00CD3274" w:rsidRPr="00CD3274" w:rsidTr="00D84394">
        <w:trPr>
          <w:trHeight w:val="315"/>
          <w:jc w:val="center"/>
        </w:trPr>
        <w:tc>
          <w:tcPr>
            <w:tcW w:w="12470" w:type="dxa"/>
            <w:gridSpan w:val="10"/>
            <w:tcBorders>
              <w:top w:val="single" w:sz="8" w:space="0" w:color="auto"/>
              <w:left w:val="single" w:sz="8" w:space="0" w:color="auto"/>
              <w:bottom w:val="single" w:sz="8" w:space="0" w:color="auto"/>
              <w:right w:val="single" w:sz="8" w:space="0" w:color="000000"/>
            </w:tcBorders>
            <w:shd w:val="clear" w:color="auto" w:fill="auto"/>
            <w:vAlign w:val="center"/>
            <w:hideMark/>
          </w:tcPr>
          <w:p w:rsidR="00CD3274" w:rsidRPr="00CD3274" w:rsidRDefault="00CD3274" w:rsidP="00CD3274">
            <w:pPr>
              <w:widowControl/>
              <w:autoSpaceDE/>
              <w:autoSpaceDN/>
              <w:adjustRightInd/>
              <w:rPr>
                <w:b/>
                <w:bCs/>
                <w:color w:val="000000"/>
                <w:sz w:val="20"/>
                <w:szCs w:val="20"/>
              </w:rPr>
            </w:pPr>
            <w:r w:rsidRPr="00CD3274">
              <w:rPr>
                <w:b/>
                <w:bCs/>
                <w:color w:val="000000"/>
                <w:sz w:val="20"/>
                <w:szCs w:val="20"/>
              </w:rPr>
              <w:t>~ Non-ARP  Sources in PM/O</w:t>
            </w:r>
            <w:r w:rsidRPr="00CD3274">
              <w:rPr>
                <w:b/>
                <w:bCs/>
                <w:color w:val="000000"/>
                <w:sz w:val="20"/>
                <w:szCs w:val="20"/>
                <w:vertAlign w:val="subscript"/>
              </w:rPr>
              <w:t>3</w:t>
            </w:r>
            <w:r w:rsidRPr="00CD3274">
              <w:rPr>
                <w:b/>
                <w:bCs/>
                <w:color w:val="000000"/>
                <w:sz w:val="20"/>
                <w:szCs w:val="20"/>
              </w:rPr>
              <w:t xml:space="preserve"> and PM Only States</w:t>
            </w:r>
          </w:p>
        </w:tc>
      </w:tr>
      <w:tr w:rsidR="00CD3274" w:rsidRPr="00CD3274" w:rsidTr="00CD685B">
        <w:trPr>
          <w:trHeight w:val="555"/>
          <w:jc w:val="center"/>
        </w:trPr>
        <w:tc>
          <w:tcPr>
            <w:tcW w:w="1750" w:type="dxa"/>
            <w:tcBorders>
              <w:top w:val="nil"/>
              <w:left w:val="single" w:sz="8" w:space="0" w:color="auto"/>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ind w:firstLineChars="100" w:firstLine="200"/>
              <w:rPr>
                <w:color w:val="000000"/>
                <w:sz w:val="20"/>
                <w:szCs w:val="20"/>
              </w:rPr>
            </w:pPr>
            <w:r w:rsidRPr="00CD3274">
              <w:rPr>
                <w:color w:val="000000"/>
                <w:sz w:val="20"/>
                <w:szCs w:val="20"/>
              </w:rPr>
              <w:t>a.  Solid Fuel:  SO</w:t>
            </w:r>
            <w:r w:rsidRPr="00CD3274">
              <w:rPr>
                <w:color w:val="000000"/>
                <w:sz w:val="20"/>
                <w:szCs w:val="20"/>
                <w:vertAlign w:val="subscript"/>
              </w:rPr>
              <w:t>2</w:t>
            </w:r>
            <w:r w:rsidRPr="00CD3274">
              <w:rPr>
                <w:color w:val="000000"/>
                <w:sz w:val="20"/>
                <w:szCs w:val="20"/>
              </w:rPr>
              <w:t xml:space="preserve">, </w:t>
            </w:r>
            <w:proofErr w:type="spellStart"/>
            <w:r w:rsidRPr="00CD3274">
              <w:rPr>
                <w:color w:val="000000"/>
                <w:sz w:val="20"/>
                <w:szCs w:val="20"/>
              </w:rPr>
              <w:t>NO</w:t>
            </w:r>
            <w:r w:rsidRPr="00CD3274">
              <w:rPr>
                <w:color w:val="000000"/>
                <w:sz w:val="20"/>
                <w:szCs w:val="20"/>
                <w:vertAlign w:val="subscript"/>
              </w:rPr>
              <w:t>x</w:t>
            </w:r>
            <w:proofErr w:type="spellEnd"/>
            <w:r w:rsidRPr="00CD3274">
              <w:rPr>
                <w:color w:val="000000"/>
                <w:sz w:val="20"/>
                <w:szCs w:val="20"/>
              </w:rPr>
              <w:t>, and Flow CEMS (units)</w:t>
            </w:r>
          </w:p>
        </w:tc>
        <w:tc>
          <w:tcPr>
            <w:tcW w:w="1037"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34</w:t>
            </w:r>
          </w:p>
        </w:tc>
        <w:tc>
          <w:tcPr>
            <w:tcW w:w="1069"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23</w:t>
            </w:r>
          </w:p>
        </w:tc>
        <w:tc>
          <w:tcPr>
            <w:tcW w:w="1303"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57</w:t>
            </w:r>
          </w:p>
        </w:tc>
        <w:tc>
          <w:tcPr>
            <w:tcW w:w="1234"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 xml:space="preserve">$4,688.43 </w:t>
            </w:r>
          </w:p>
        </w:tc>
        <w:tc>
          <w:tcPr>
            <w:tcW w:w="1116"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 xml:space="preserve">$28,900 </w:t>
            </w:r>
          </w:p>
        </w:tc>
        <w:tc>
          <w:tcPr>
            <w:tcW w:w="912"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 </w:t>
            </w:r>
          </w:p>
        </w:tc>
        <w:tc>
          <w:tcPr>
            <w:tcW w:w="1306"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114</w:t>
            </w:r>
          </w:p>
        </w:tc>
        <w:tc>
          <w:tcPr>
            <w:tcW w:w="1227"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6</w:t>
            </w:r>
            <w:r w:rsidR="00910C2E">
              <w:rPr>
                <w:color w:val="000000"/>
                <w:sz w:val="20"/>
                <w:szCs w:val="20"/>
              </w:rPr>
              <w:t>,</w:t>
            </w:r>
            <w:r w:rsidRPr="00CD3274">
              <w:rPr>
                <w:color w:val="000000"/>
                <w:sz w:val="20"/>
                <w:szCs w:val="20"/>
              </w:rPr>
              <w:t>498</w:t>
            </w:r>
          </w:p>
        </w:tc>
        <w:tc>
          <w:tcPr>
            <w:tcW w:w="1516"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 xml:space="preserve">$3,829,081 </w:t>
            </w:r>
          </w:p>
        </w:tc>
      </w:tr>
      <w:tr w:rsidR="00CD3274" w:rsidRPr="00CD3274" w:rsidTr="00CD685B">
        <w:trPr>
          <w:trHeight w:val="810"/>
          <w:jc w:val="center"/>
        </w:trPr>
        <w:tc>
          <w:tcPr>
            <w:tcW w:w="1750" w:type="dxa"/>
            <w:tcBorders>
              <w:top w:val="nil"/>
              <w:left w:val="single" w:sz="8" w:space="0" w:color="auto"/>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ind w:firstLineChars="100" w:firstLine="200"/>
              <w:rPr>
                <w:color w:val="000000"/>
                <w:sz w:val="20"/>
                <w:szCs w:val="20"/>
              </w:rPr>
            </w:pPr>
            <w:r w:rsidRPr="00CD3274">
              <w:rPr>
                <w:color w:val="000000"/>
                <w:sz w:val="20"/>
                <w:szCs w:val="20"/>
              </w:rPr>
              <w:t xml:space="preserve">b.  Gas-Oil:  </w:t>
            </w:r>
            <w:proofErr w:type="spellStart"/>
            <w:r w:rsidRPr="00CD3274">
              <w:rPr>
                <w:color w:val="000000"/>
                <w:sz w:val="20"/>
                <w:szCs w:val="20"/>
              </w:rPr>
              <w:t>NO</w:t>
            </w:r>
            <w:r w:rsidRPr="00CD3274">
              <w:rPr>
                <w:color w:val="000000"/>
                <w:sz w:val="20"/>
                <w:szCs w:val="20"/>
                <w:vertAlign w:val="subscript"/>
              </w:rPr>
              <w:t>x</w:t>
            </w:r>
            <w:proofErr w:type="spellEnd"/>
            <w:r w:rsidRPr="00CD3274">
              <w:rPr>
                <w:color w:val="000000"/>
                <w:sz w:val="20"/>
                <w:szCs w:val="20"/>
              </w:rPr>
              <w:t xml:space="preserve"> CEMS and Appendix D fuel monitoring (units)</w:t>
            </w:r>
          </w:p>
        </w:tc>
        <w:tc>
          <w:tcPr>
            <w:tcW w:w="1037"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64</w:t>
            </w:r>
          </w:p>
        </w:tc>
        <w:tc>
          <w:tcPr>
            <w:tcW w:w="1069"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10</w:t>
            </w:r>
          </w:p>
        </w:tc>
        <w:tc>
          <w:tcPr>
            <w:tcW w:w="1303"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74</w:t>
            </w:r>
          </w:p>
        </w:tc>
        <w:tc>
          <w:tcPr>
            <w:tcW w:w="1234"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 xml:space="preserve">$6,827.30 </w:t>
            </w:r>
          </w:p>
        </w:tc>
        <w:tc>
          <w:tcPr>
            <w:tcW w:w="1116"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 xml:space="preserve">$18,750.00 </w:t>
            </w:r>
          </w:p>
        </w:tc>
        <w:tc>
          <w:tcPr>
            <w:tcW w:w="912"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 </w:t>
            </w:r>
          </w:p>
        </w:tc>
        <w:tc>
          <w:tcPr>
            <w:tcW w:w="1306"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133</w:t>
            </w:r>
          </w:p>
        </w:tc>
        <w:tc>
          <w:tcPr>
            <w:tcW w:w="1227"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9</w:t>
            </w:r>
            <w:r w:rsidR="00910C2E">
              <w:rPr>
                <w:color w:val="000000"/>
                <w:sz w:val="20"/>
                <w:szCs w:val="20"/>
              </w:rPr>
              <w:t>,</w:t>
            </w:r>
            <w:r w:rsidRPr="00CD3274">
              <w:rPr>
                <w:color w:val="000000"/>
                <w:sz w:val="20"/>
                <w:szCs w:val="20"/>
              </w:rPr>
              <w:t>842</w:t>
            </w:r>
          </w:p>
        </w:tc>
        <w:tc>
          <w:tcPr>
            <w:tcW w:w="1516"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 xml:space="preserve">$3,401,781 </w:t>
            </w:r>
          </w:p>
        </w:tc>
      </w:tr>
      <w:tr w:rsidR="00CD3274" w:rsidRPr="00CD3274" w:rsidTr="00CD685B">
        <w:trPr>
          <w:trHeight w:val="1510"/>
          <w:jc w:val="center"/>
        </w:trPr>
        <w:tc>
          <w:tcPr>
            <w:tcW w:w="1750" w:type="dxa"/>
            <w:tcBorders>
              <w:top w:val="nil"/>
              <w:left w:val="single" w:sz="8" w:space="0" w:color="auto"/>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ind w:firstLineChars="100" w:firstLine="200"/>
              <w:rPr>
                <w:color w:val="000000"/>
                <w:sz w:val="20"/>
                <w:szCs w:val="20"/>
              </w:rPr>
            </w:pPr>
            <w:r w:rsidRPr="00CD3274">
              <w:rPr>
                <w:color w:val="000000"/>
                <w:sz w:val="20"/>
                <w:szCs w:val="20"/>
              </w:rPr>
              <w:t>c.  Gas-Oil Peaking Units:  Appendix D fuel sampling, Appendix E, or LME methods (units)</w:t>
            </w:r>
          </w:p>
        </w:tc>
        <w:tc>
          <w:tcPr>
            <w:tcW w:w="1037"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20</w:t>
            </w:r>
          </w:p>
        </w:tc>
        <w:tc>
          <w:tcPr>
            <w:tcW w:w="1069"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10</w:t>
            </w:r>
          </w:p>
        </w:tc>
        <w:tc>
          <w:tcPr>
            <w:tcW w:w="1303"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30</w:t>
            </w:r>
          </w:p>
        </w:tc>
        <w:tc>
          <w:tcPr>
            <w:tcW w:w="1234"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 xml:space="preserve">$2,546.10 </w:t>
            </w:r>
          </w:p>
        </w:tc>
        <w:tc>
          <w:tcPr>
            <w:tcW w:w="1116"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 xml:space="preserve">$2,250.00 </w:t>
            </w:r>
          </w:p>
        </w:tc>
        <w:tc>
          <w:tcPr>
            <w:tcW w:w="912"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 </w:t>
            </w:r>
          </w:p>
        </w:tc>
        <w:tc>
          <w:tcPr>
            <w:tcW w:w="1306"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669</w:t>
            </w:r>
          </w:p>
        </w:tc>
        <w:tc>
          <w:tcPr>
            <w:tcW w:w="1227"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20</w:t>
            </w:r>
            <w:r w:rsidR="00910C2E">
              <w:rPr>
                <w:color w:val="000000"/>
                <w:sz w:val="20"/>
                <w:szCs w:val="20"/>
              </w:rPr>
              <w:t>,</w:t>
            </w:r>
            <w:r w:rsidRPr="00CD3274">
              <w:rPr>
                <w:color w:val="000000"/>
                <w:sz w:val="20"/>
                <w:szCs w:val="20"/>
              </w:rPr>
              <w:t>070</w:t>
            </w:r>
          </w:p>
        </w:tc>
        <w:tc>
          <w:tcPr>
            <w:tcW w:w="1516"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 xml:space="preserve">$3,208,591 </w:t>
            </w:r>
          </w:p>
        </w:tc>
      </w:tr>
      <w:tr w:rsidR="00CD3274" w:rsidRPr="00CD3274" w:rsidTr="00CD685B">
        <w:trPr>
          <w:trHeight w:val="205"/>
          <w:jc w:val="center"/>
        </w:trPr>
        <w:tc>
          <w:tcPr>
            <w:tcW w:w="12470" w:type="dxa"/>
            <w:gridSpan w:val="10"/>
            <w:tcBorders>
              <w:top w:val="single" w:sz="8" w:space="0" w:color="auto"/>
            </w:tcBorders>
            <w:shd w:val="clear" w:color="auto" w:fill="auto"/>
          </w:tcPr>
          <w:p w:rsidR="00CD3274" w:rsidRPr="00CD3274" w:rsidRDefault="00DF1512" w:rsidP="00CD685B">
            <w:pPr>
              <w:widowControl/>
              <w:autoSpaceDE/>
              <w:autoSpaceDN/>
              <w:adjustRightInd/>
              <w:jc w:val="right"/>
              <w:rPr>
                <w:b/>
                <w:bCs/>
                <w:color w:val="000000"/>
                <w:sz w:val="20"/>
                <w:szCs w:val="20"/>
              </w:rPr>
            </w:pPr>
            <w:r>
              <w:rPr>
                <w:bCs/>
                <w:color w:val="000000"/>
                <w:sz w:val="20"/>
                <w:szCs w:val="20"/>
              </w:rPr>
              <w:t>(</w:t>
            </w:r>
            <w:r w:rsidRPr="00DF1512">
              <w:rPr>
                <w:bCs/>
                <w:color w:val="000000"/>
                <w:sz w:val="20"/>
                <w:szCs w:val="20"/>
              </w:rPr>
              <w:t>Cont.</w:t>
            </w:r>
            <w:r>
              <w:rPr>
                <w:bCs/>
                <w:color w:val="000000"/>
                <w:sz w:val="20"/>
                <w:szCs w:val="20"/>
              </w:rPr>
              <w:t>)</w:t>
            </w:r>
          </w:p>
        </w:tc>
      </w:tr>
      <w:tr w:rsidR="00D84394" w:rsidRPr="00CD3274" w:rsidTr="002E1527">
        <w:trPr>
          <w:trHeight w:val="315"/>
          <w:jc w:val="center"/>
        </w:trPr>
        <w:tc>
          <w:tcPr>
            <w:tcW w:w="12470" w:type="dxa"/>
            <w:gridSpan w:val="10"/>
            <w:tcBorders>
              <w:left w:val="single" w:sz="8" w:space="0" w:color="auto"/>
              <w:bottom w:val="single" w:sz="8" w:space="0" w:color="auto"/>
              <w:right w:val="single" w:sz="8" w:space="0" w:color="000000"/>
            </w:tcBorders>
            <w:shd w:val="clear" w:color="auto" w:fill="D9D9D9"/>
            <w:vAlign w:val="center"/>
          </w:tcPr>
          <w:p w:rsidR="00D84394" w:rsidRPr="00CD3274" w:rsidRDefault="00F60B09" w:rsidP="00F60B09">
            <w:pPr>
              <w:widowControl/>
              <w:autoSpaceDE/>
              <w:autoSpaceDN/>
              <w:adjustRightInd/>
              <w:rPr>
                <w:b/>
                <w:bCs/>
                <w:color w:val="000000"/>
                <w:sz w:val="20"/>
                <w:szCs w:val="20"/>
              </w:rPr>
            </w:pPr>
            <w:r>
              <w:rPr>
                <w:b/>
                <w:bCs/>
                <w:color w:val="000000"/>
                <w:sz w:val="20"/>
                <w:szCs w:val="20"/>
              </w:rPr>
              <w:lastRenderedPageBreak/>
              <w:t>Startup/</w:t>
            </w:r>
            <w:r w:rsidR="00D84394" w:rsidRPr="00D84394">
              <w:rPr>
                <w:b/>
                <w:bCs/>
                <w:color w:val="000000"/>
                <w:sz w:val="20"/>
                <w:szCs w:val="20"/>
              </w:rPr>
              <w:t>Capital Items</w:t>
            </w:r>
            <w:r w:rsidR="00D84394">
              <w:rPr>
                <w:b/>
                <w:bCs/>
                <w:color w:val="000000"/>
                <w:sz w:val="20"/>
                <w:szCs w:val="20"/>
              </w:rPr>
              <w:t xml:space="preserve"> (cont</w:t>
            </w:r>
            <w:r>
              <w:rPr>
                <w:b/>
                <w:bCs/>
                <w:color w:val="000000"/>
                <w:sz w:val="20"/>
                <w:szCs w:val="20"/>
              </w:rPr>
              <w:t>.</w:t>
            </w:r>
            <w:r w:rsidR="00D84394">
              <w:rPr>
                <w:b/>
                <w:bCs/>
                <w:color w:val="000000"/>
                <w:sz w:val="20"/>
                <w:szCs w:val="20"/>
              </w:rPr>
              <w:t>)</w:t>
            </w:r>
          </w:p>
        </w:tc>
      </w:tr>
      <w:tr w:rsidR="00CD3274" w:rsidRPr="00CD3274" w:rsidTr="00CD685B">
        <w:trPr>
          <w:trHeight w:val="232"/>
          <w:jc w:val="center"/>
        </w:trPr>
        <w:tc>
          <w:tcPr>
            <w:tcW w:w="12470" w:type="dxa"/>
            <w:gridSpan w:val="10"/>
            <w:tcBorders>
              <w:left w:val="single" w:sz="8" w:space="0" w:color="auto"/>
              <w:bottom w:val="single" w:sz="8" w:space="0" w:color="auto"/>
              <w:right w:val="single" w:sz="8" w:space="0" w:color="000000"/>
            </w:tcBorders>
            <w:shd w:val="clear" w:color="auto" w:fill="auto"/>
            <w:vAlign w:val="center"/>
            <w:hideMark/>
          </w:tcPr>
          <w:p w:rsidR="00CD3274" w:rsidRPr="00CD3274" w:rsidRDefault="00CD3274" w:rsidP="00CD3274">
            <w:pPr>
              <w:widowControl/>
              <w:autoSpaceDE/>
              <w:autoSpaceDN/>
              <w:adjustRightInd/>
              <w:rPr>
                <w:b/>
                <w:bCs/>
                <w:color w:val="000000"/>
                <w:sz w:val="20"/>
                <w:szCs w:val="20"/>
              </w:rPr>
            </w:pPr>
            <w:r w:rsidRPr="00CD3274">
              <w:rPr>
                <w:b/>
                <w:bCs/>
                <w:color w:val="000000"/>
                <w:sz w:val="20"/>
                <w:szCs w:val="20"/>
              </w:rPr>
              <w:t>~ Non-ARP Sources in O</w:t>
            </w:r>
            <w:r w:rsidRPr="00F60B09">
              <w:rPr>
                <w:b/>
                <w:bCs/>
                <w:color w:val="000000"/>
                <w:sz w:val="20"/>
                <w:szCs w:val="20"/>
              </w:rPr>
              <w:t>3</w:t>
            </w:r>
            <w:r w:rsidRPr="00CD3274">
              <w:rPr>
                <w:b/>
                <w:bCs/>
                <w:color w:val="000000"/>
                <w:sz w:val="20"/>
                <w:szCs w:val="20"/>
              </w:rPr>
              <w:t xml:space="preserve"> Only States</w:t>
            </w:r>
          </w:p>
        </w:tc>
      </w:tr>
      <w:tr w:rsidR="00CD3274" w:rsidRPr="00CD3274" w:rsidTr="00CD685B">
        <w:trPr>
          <w:trHeight w:val="555"/>
          <w:jc w:val="center"/>
        </w:trPr>
        <w:tc>
          <w:tcPr>
            <w:tcW w:w="1750" w:type="dxa"/>
            <w:tcBorders>
              <w:top w:val="nil"/>
              <w:left w:val="single" w:sz="8" w:space="0" w:color="auto"/>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ind w:firstLineChars="100" w:firstLine="200"/>
              <w:rPr>
                <w:color w:val="000000"/>
                <w:sz w:val="20"/>
                <w:szCs w:val="20"/>
              </w:rPr>
            </w:pPr>
            <w:r w:rsidRPr="00CD3274">
              <w:rPr>
                <w:color w:val="000000"/>
                <w:sz w:val="20"/>
                <w:szCs w:val="20"/>
              </w:rPr>
              <w:t xml:space="preserve">a.  Solid Fuel:  </w:t>
            </w:r>
            <w:proofErr w:type="spellStart"/>
            <w:r w:rsidRPr="00CD3274">
              <w:rPr>
                <w:color w:val="000000"/>
                <w:sz w:val="20"/>
                <w:szCs w:val="20"/>
              </w:rPr>
              <w:t>NO</w:t>
            </w:r>
            <w:r w:rsidRPr="00CD3274">
              <w:rPr>
                <w:color w:val="000000"/>
                <w:sz w:val="20"/>
                <w:szCs w:val="20"/>
                <w:vertAlign w:val="subscript"/>
              </w:rPr>
              <w:t>x</w:t>
            </w:r>
            <w:proofErr w:type="spellEnd"/>
            <w:r w:rsidRPr="00CD3274">
              <w:rPr>
                <w:color w:val="000000"/>
                <w:sz w:val="20"/>
                <w:szCs w:val="20"/>
              </w:rPr>
              <w:t>, and Flow CEMS (units)</w:t>
            </w:r>
          </w:p>
        </w:tc>
        <w:tc>
          <w:tcPr>
            <w:tcW w:w="1037"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24</w:t>
            </w:r>
          </w:p>
        </w:tc>
        <w:tc>
          <w:tcPr>
            <w:tcW w:w="1069"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3</w:t>
            </w:r>
          </w:p>
        </w:tc>
        <w:tc>
          <w:tcPr>
            <w:tcW w:w="1303"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27</w:t>
            </w:r>
          </w:p>
        </w:tc>
        <w:tc>
          <w:tcPr>
            <w:tcW w:w="1234"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 xml:space="preserve">$2,515.23 </w:t>
            </w:r>
          </w:p>
        </w:tc>
        <w:tc>
          <w:tcPr>
            <w:tcW w:w="1116"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 xml:space="preserve">$22,500.00 </w:t>
            </w:r>
          </w:p>
        </w:tc>
        <w:tc>
          <w:tcPr>
            <w:tcW w:w="912"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 </w:t>
            </w:r>
          </w:p>
        </w:tc>
        <w:tc>
          <w:tcPr>
            <w:tcW w:w="1306"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0</w:t>
            </w:r>
          </w:p>
        </w:tc>
        <w:tc>
          <w:tcPr>
            <w:tcW w:w="1227"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0</w:t>
            </w:r>
          </w:p>
        </w:tc>
        <w:tc>
          <w:tcPr>
            <w:tcW w:w="1516"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 xml:space="preserve">$0 </w:t>
            </w:r>
          </w:p>
        </w:tc>
      </w:tr>
      <w:tr w:rsidR="00CD3274" w:rsidRPr="00CD3274" w:rsidTr="00CD685B">
        <w:trPr>
          <w:trHeight w:val="810"/>
          <w:jc w:val="center"/>
        </w:trPr>
        <w:tc>
          <w:tcPr>
            <w:tcW w:w="1750" w:type="dxa"/>
            <w:tcBorders>
              <w:top w:val="nil"/>
              <w:left w:val="single" w:sz="8" w:space="0" w:color="auto"/>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ind w:firstLineChars="100" w:firstLine="200"/>
              <w:rPr>
                <w:color w:val="000000"/>
                <w:sz w:val="20"/>
                <w:szCs w:val="20"/>
              </w:rPr>
            </w:pPr>
            <w:r w:rsidRPr="00CD3274">
              <w:rPr>
                <w:color w:val="000000"/>
                <w:sz w:val="20"/>
                <w:szCs w:val="20"/>
              </w:rPr>
              <w:t xml:space="preserve">b.  Gas-Oil:  </w:t>
            </w:r>
            <w:proofErr w:type="spellStart"/>
            <w:r w:rsidRPr="00CD3274">
              <w:rPr>
                <w:color w:val="000000"/>
                <w:sz w:val="20"/>
                <w:szCs w:val="20"/>
              </w:rPr>
              <w:t>NO</w:t>
            </w:r>
            <w:r w:rsidRPr="00CD3274">
              <w:rPr>
                <w:color w:val="000000"/>
                <w:sz w:val="20"/>
                <w:szCs w:val="20"/>
                <w:vertAlign w:val="subscript"/>
              </w:rPr>
              <w:t>x</w:t>
            </w:r>
            <w:proofErr w:type="spellEnd"/>
            <w:r w:rsidRPr="00CD3274">
              <w:rPr>
                <w:color w:val="000000"/>
                <w:sz w:val="20"/>
                <w:szCs w:val="20"/>
              </w:rPr>
              <w:t xml:space="preserve"> CEMS and Appendix D fuel monitoring (units)</w:t>
            </w:r>
          </w:p>
        </w:tc>
        <w:tc>
          <w:tcPr>
            <w:tcW w:w="1037"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64</w:t>
            </w:r>
          </w:p>
        </w:tc>
        <w:tc>
          <w:tcPr>
            <w:tcW w:w="1069"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10</w:t>
            </w:r>
          </w:p>
        </w:tc>
        <w:tc>
          <w:tcPr>
            <w:tcW w:w="1303"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74</w:t>
            </w:r>
          </w:p>
        </w:tc>
        <w:tc>
          <w:tcPr>
            <w:tcW w:w="1234"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 xml:space="preserve">$6,827.30 </w:t>
            </w:r>
          </w:p>
        </w:tc>
        <w:tc>
          <w:tcPr>
            <w:tcW w:w="1116"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 xml:space="preserve">$18,750.00 </w:t>
            </w:r>
          </w:p>
        </w:tc>
        <w:tc>
          <w:tcPr>
            <w:tcW w:w="912"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 </w:t>
            </w:r>
          </w:p>
        </w:tc>
        <w:tc>
          <w:tcPr>
            <w:tcW w:w="1306"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17</w:t>
            </w:r>
          </w:p>
        </w:tc>
        <w:tc>
          <w:tcPr>
            <w:tcW w:w="1227"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1</w:t>
            </w:r>
            <w:r w:rsidR="00910C2E">
              <w:rPr>
                <w:color w:val="000000"/>
                <w:sz w:val="20"/>
                <w:szCs w:val="20"/>
              </w:rPr>
              <w:t>,</w:t>
            </w:r>
            <w:r w:rsidRPr="00CD3274">
              <w:rPr>
                <w:color w:val="000000"/>
                <w:sz w:val="20"/>
                <w:szCs w:val="20"/>
              </w:rPr>
              <w:t>258</w:t>
            </w:r>
          </w:p>
        </w:tc>
        <w:tc>
          <w:tcPr>
            <w:tcW w:w="1516"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 xml:space="preserve">$434,814 </w:t>
            </w:r>
          </w:p>
        </w:tc>
      </w:tr>
      <w:tr w:rsidR="00CD3274" w:rsidRPr="00CD3274" w:rsidTr="00CD685B">
        <w:trPr>
          <w:trHeight w:val="1035"/>
          <w:jc w:val="center"/>
        </w:trPr>
        <w:tc>
          <w:tcPr>
            <w:tcW w:w="1750" w:type="dxa"/>
            <w:tcBorders>
              <w:top w:val="nil"/>
              <w:left w:val="single" w:sz="8" w:space="0" w:color="auto"/>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ind w:firstLineChars="100" w:firstLine="200"/>
              <w:rPr>
                <w:color w:val="000000"/>
                <w:sz w:val="20"/>
                <w:szCs w:val="20"/>
              </w:rPr>
            </w:pPr>
            <w:r w:rsidRPr="00CD3274">
              <w:rPr>
                <w:color w:val="000000"/>
                <w:sz w:val="20"/>
                <w:szCs w:val="20"/>
              </w:rPr>
              <w:t>c.  Gas-Oil Peaking Units:  Appendix D fuel sampling, Appendix E, or LME methods (units)</w:t>
            </w:r>
          </w:p>
        </w:tc>
        <w:tc>
          <w:tcPr>
            <w:tcW w:w="1037"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20</w:t>
            </w:r>
          </w:p>
        </w:tc>
        <w:tc>
          <w:tcPr>
            <w:tcW w:w="1069"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10</w:t>
            </w:r>
          </w:p>
        </w:tc>
        <w:tc>
          <w:tcPr>
            <w:tcW w:w="1303"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30</w:t>
            </w:r>
          </w:p>
        </w:tc>
        <w:tc>
          <w:tcPr>
            <w:tcW w:w="1234"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 xml:space="preserve">$2,546.10 </w:t>
            </w:r>
          </w:p>
        </w:tc>
        <w:tc>
          <w:tcPr>
            <w:tcW w:w="1116"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 xml:space="preserve">$2,250.00 </w:t>
            </w:r>
          </w:p>
        </w:tc>
        <w:tc>
          <w:tcPr>
            <w:tcW w:w="912"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 </w:t>
            </w:r>
          </w:p>
        </w:tc>
        <w:tc>
          <w:tcPr>
            <w:tcW w:w="1306"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43</w:t>
            </w:r>
          </w:p>
        </w:tc>
        <w:tc>
          <w:tcPr>
            <w:tcW w:w="1227"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1</w:t>
            </w:r>
            <w:r w:rsidR="00910C2E">
              <w:rPr>
                <w:color w:val="000000"/>
                <w:sz w:val="20"/>
                <w:szCs w:val="20"/>
              </w:rPr>
              <w:t>,</w:t>
            </w:r>
            <w:r w:rsidRPr="00CD3274">
              <w:rPr>
                <w:color w:val="000000"/>
                <w:sz w:val="20"/>
                <w:szCs w:val="20"/>
              </w:rPr>
              <w:t>290</w:t>
            </w:r>
          </w:p>
        </w:tc>
        <w:tc>
          <w:tcPr>
            <w:tcW w:w="1516"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 xml:space="preserve">$206,232 </w:t>
            </w:r>
          </w:p>
        </w:tc>
      </w:tr>
      <w:tr w:rsidR="00CD3274" w:rsidRPr="00CD3274" w:rsidTr="002E1527">
        <w:trPr>
          <w:trHeight w:val="315"/>
          <w:jc w:val="center"/>
        </w:trPr>
        <w:tc>
          <w:tcPr>
            <w:tcW w:w="12470" w:type="dxa"/>
            <w:gridSpan w:val="10"/>
            <w:tcBorders>
              <w:top w:val="single" w:sz="8" w:space="0" w:color="auto"/>
              <w:left w:val="single" w:sz="8" w:space="0" w:color="auto"/>
              <w:bottom w:val="single" w:sz="8" w:space="0" w:color="auto"/>
              <w:right w:val="single" w:sz="8" w:space="0" w:color="000000"/>
            </w:tcBorders>
            <w:shd w:val="clear" w:color="auto" w:fill="D9D9D9"/>
            <w:vAlign w:val="center"/>
            <w:hideMark/>
          </w:tcPr>
          <w:p w:rsidR="00CD3274" w:rsidRPr="00CD3274" w:rsidRDefault="00CD3274" w:rsidP="00CD3274">
            <w:pPr>
              <w:widowControl/>
              <w:autoSpaceDE/>
              <w:autoSpaceDN/>
              <w:adjustRightInd/>
              <w:rPr>
                <w:b/>
                <w:bCs/>
                <w:color w:val="000000"/>
                <w:sz w:val="20"/>
                <w:szCs w:val="20"/>
              </w:rPr>
            </w:pPr>
            <w:r w:rsidRPr="00CD3274">
              <w:rPr>
                <w:b/>
                <w:bCs/>
                <w:color w:val="000000"/>
                <w:sz w:val="20"/>
                <w:szCs w:val="20"/>
              </w:rPr>
              <w:t>Review Instructions and Requirements</w:t>
            </w:r>
          </w:p>
        </w:tc>
      </w:tr>
      <w:tr w:rsidR="00CD3274" w:rsidRPr="00CD3274" w:rsidTr="00CD685B">
        <w:trPr>
          <w:trHeight w:val="555"/>
          <w:jc w:val="center"/>
        </w:trPr>
        <w:tc>
          <w:tcPr>
            <w:tcW w:w="1750" w:type="dxa"/>
            <w:tcBorders>
              <w:top w:val="nil"/>
              <w:left w:val="single" w:sz="8" w:space="0" w:color="auto"/>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ind w:firstLineChars="100" w:firstLine="200"/>
              <w:rPr>
                <w:color w:val="000000"/>
                <w:sz w:val="20"/>
                <w:szCs w:val="20"/>
              </w:rPr>
            </w:pPr>
            <w:r w:rsidRPr="00CD3274">
              <w:rPr>
                <w:color w:val="000000"/>
                <w:sz w:val="20"/>
                <w:szCs w:val="20"/>
              </w:rPr>
              <w:t>~ ARP PM and O</w:t>
            </w:r>
            <w:r w:rsidRPr="00CD3274">
              <w:rPr>
                <w:color w:val="000000"/>
                <w:sz w:val="20"/>
                <w:szCs w:val="20"/>
                <w:vertAlign w:val="subscript"/>
              </w:rPr>
              <w:t>3</w:t>
            </w:r>
            <w:r w:rsidRPr="00CD3274">
              <w:rPr>
                <w:color w:val="000000"/>
                <w:sz w:val="20"/>
                <w:szCs w:val="20"/>
              </w:rPr>
              <w:t xml:space="preserve"> Sources (facilities)</w:t>
            </w:r>
          </w:p>
        </w:tc>
        <w:tc>
          <w:tcPr>
            <w:tcW w:w="1037"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1</w:t>
            </w:r>
          </w:p>
        </w:tc>
        <w:tc>
          <w:tcPr>
            <w:tcW w:w="1069"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1</w:t>
            </w:r>
          </w:p>
        </w:tc>
        <w:tc>
          <w:tcPr>
            <w:tcW w:w="1303"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2</w:t>
            </w:r>
          </w:p>
        </w:tc>
        <w:tc>
          <w:tcPr>
            <w:tcW w:w="1234"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 xml:space="preserve">$157.31 </w:t>
            </w:r>
          </w:p>
        </w:tc>
        <w:tc>
          <w:tcPr>
            <w:tcW w:w="1116"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rPr>
                <w:b/>
                <w:bCs/>
                <w:color w:val="000000"/>
                <w:sz w:val="20"/>
                <w:szCs w:val="20"/>
              </w:rPr>
            </w:pPr>
            <w:r w:rsidRPr="00CD3274">
              <w:rPr>
                <w:b/>
                <w:bCs/>
                <w:color w:val="000000"/>
                <w:sz w:val="20"/>
                <w:szCs w:val="20"/>
              </w:rPr>
              <w:t> </w:t>
            </w:r>
          </w:p>
        </w:tc>
        <w:tc>
          <w:tcPr>
            <w:tcW w:w="912"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rPr>
                <w:b/>
                <w:bCs/>
                <w:color w:val="000000"/>
                <w:sz w:val="20"/>
                <w:szCs w:val="20"/>
              </w:rPr>
            </w:pPr>
            <w:r w:rsidRPr="00CD3274">
              <w:rPr>
                <w:b/>
                <w:bCs/>
                <w:color w:val="000000"/>
                <w:sz w:val="20"/>
                <w:szCs w:val="20"/>
              </w:rPr>
              <w:t> </w:t>
            </w:r>
          </w:p>
        </w:tc>
        <w:tc>
          <w:tcPr>
            <w:tcW w:w="1306"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919</w:t>
            </w:r>
          </w:p>
        </w:tc>
        <w:tc>
          <w:tcPr>
            <w:tcW w:w="1227"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1</w:t>
            </w:r>
            <w:r w:rsidR="00910C2E">
              <w:rPr>
                <w:color w:val="000000"/>
                <w:sz w:val="20"/>
                <w:szCs w:val="20"/>
              </w:rPr>
              <w:t>,</w:t>
            </w:r>
            <w:r w:rsidRPr="00CD3274">
              <w:rPr>
                <w:color w:val="000000"/>
                <w:sz w:val="20"/>
                <w:szCs w:val="20"/>
              </w:rPr>
              <w:t>838</w:t>
            </w:r>
          </w:p>
        </w:tc>
        <w:tc>
          <w:tcPr>
            <w:tcW w:w="1516"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 xml:space="preserve">$144,568 </w:t>
            </w:r>
          </w:p>
        </w:tc>
      </w:tr>
      <w:tr w:rsidR="00DF1512" w:rsidRPr="00CD3274" w:rsidTr="00CD685B">
        <w:trPr>
          <w:trHeight w:val="943"/>
          <w:jc w:val="center"/>
        </w:trPr>
        <w:tc>
          <w:tcPr>
            <w:tcW w:w="12470" w:type="dxa"/>
            <w:gridSpan w:val="10"/>
            <w:tcBorders>
              <w:top w:val="single" w:sz="8" w:space="0" w:color="auto"/>
            </w:tcBorders>
            <w:shd w:val="clear" w:color="auto" w:fill="auto"/>
          </w:tcPr>
          <w:p w:rsidR="00DF1512" w:rsidRPr="00DF1512" w:rsidRDefault="00DF1512" w:rsidP="00CD685B">
            <w:pPr>
              <w:widowControl/>
              <w:autoSpaceDE/>
              <w:autoSpaceDN/>
              <w:adjustRightInd/>
              <w:jc w:val="right"/>
              <w:rPr>
                <w:bCs/>
                <w:color w:val="000000"/>
                <w:sz w:val="20"/>
                <w:szCs w:val="20"/>
              </w:rPr>
            </w:pPr>
            <w:r>
              <w:rPr>
                <w:bCs/>
                <w:color w:val="000000"/>
                <w:sz w:val="20"/>
                <w:szCs w:val="20"/>
              </w:rPr>
              <w:t>(</w:t>
            </w:r>
            <w:r w:rsidRPr="00DF1512">
              <w:rPr>
                <w:bCs/>
                <w:color w:val="000000"/>
                <w:sz w:val="20"/>
                <w:szCs w:val="20"/>
              </w:rPr>
              <w:t>Cont.</w:t>
            </w:r>
            <w:r>
              <w:rPr>
                <w:bCs/>
                <w:color w:val="000000"/>
                <w:sz w:val="20"/>
                <w:szCs w:val="20"/>
              </w:rPr>
              <w:t>)</w:t>
            </w:r>
          </w:p>
        </w:tc>
      </w:tr>
      <w:tr w:rsidR="00DF1512" w:rsidRPr="00CD3274" w:rsidTr="00DF1512">
        <w:trPr>
          <w:trHeight w:val="315"/>
          <w:jc w:val="center"/>
        </w:trPr>
        <w:tc>
          <w:tcPr>
            <w:tcW w:w="12470" w:type="dxa"/>
            <w:gridSpan w:val="10"/>
            <w:tcBorders>
              <w:top w:val="single" w:sz="8" w:space="0" w:color="auto"/>
              <w:left w:val="single" w:sz="8" w:space="0" w:color="auto"/>
              <w:bottom w:val="single" w:sz="8" w:space="0" w:color="auto"/>
              <w:right w:val="single" w:sz="8" w:space="0" w:color="000000"/>
            </w:tcBorders>
            <w:shd w:val="clear" w:color="auto" w:fill="D9D9D9"/>
            <w:vAlign w:val="center"/>
            <w:hideMark/>
          </w:tcPr>
          <w:p w:rsidR="00DF1512" w:rsidRPr="00CD3274" w:rsidRDefault="00DF1512" w:rsidP="00DF1512">
            <w:pPr>
              <w:widowControl/>
              <w:autoSpaceDE/>
              <w:autoSpaceDN/>
              <w:adjustRightInd/>
              <w:rPr>
                <w:b/>
                <w:bCs/>
                <w:color w:val="000000"/>
                <w:sz w:val="20"/>
                <w:szCs w:val="20"/>
              </w:rPr>
            </w:pPr>
            <w:r w:rsidRPr="00CD3274">
              <w:rPr>
                <w:b/>
                <w:bCs/>
                <w:color w:val="000000"/>
                <w:sz w:val="20"/>
                <w:szCs w:val="20"/>
              </w:rPr>
              <w:lastRenderedPageBreak/>
              <w:t>Review Instructions and Requirements</w:t>
            </w:r>
            <w:r w:rsidR="00910C2E">
              <w:rPr>
                <w:b/>
                <w:bCs/>
                <w:color w:val="000000"/>
                <w:sz w:val="20"/>
                <w:szCs w:val="20"/>
              </w:rPr>
              <w:t xml:space="preserve"> (cont.)</w:t>
            </w:r>
          </w:p>
        </w:tc>
      </w:tr>
      <w:tr w:rsidR="00CD3274" w:rsidRPr="00CD3274" w:rsidTr="00CD685B">
        <w:trPr>
          <w:trHeight w:val="810"/>
          <w:jc w:val="center"/>
        </w:trPr>
        <w:tc>
          <w:tcPr>
            <w:tcW w:w="1750" w:type="dxa"/>
            <w:tcBorders>
              <w:top w:val="nil"/>
              <w:left w:val="single" w:sz="8" w:space="0" w:color="auto"/>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ind w:firstLineChars="100" w:firstLine="200"/>
              <w:rPr>
                <w:color w:val="000000"/>
                <w:sz w:val="20"/>
                <w:szCs w:val="20"/>
              </w:rPr>
            </w:pPr>
            <w:r w:rsidRPr="00CD3274">
              <w:rPr>
                <w:color w:val="000000"/>
                <w:sz w:val="20"/>
                <w:szCs w:val="20"/>
              </w:rPr>
              <w:t>~ Non-ARP Sources in PM/O</w:t>
            </w:r>
            <w:r w:rsidRPr="00CD3274">
              <w:rPr>
                <w:color w:val="000000"/>
                <w:sz w:val="20"/>
                <w:szCs w:val="20"/>
                <w:vertAlign w:val="subscript"/>
              </w:rPr>
              <w:t>3</w:t>
            </w:r>
            <w:r w:rsidRPr="00CD3274">
              <w:rPr>
                <w:color w:val="000000"/>
                <w:sz w:val="20"/>
                <w:szCs w:val="20"/>
              </w:rPr>
              <w:t xml:space="preserve"> and PM Only States (facilities)</w:t>
            </w:r>
          </w:p>
        </w:tc>
        <w:tc>
          <w:tcPr>
            <w:tcW w:w="1037"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1</w:t>
            </w:r>
          </w:p>
        </w:tc>
        <w:tc>
          <w:tcPr>
            <w:tcW w:w="1069"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1</w:t>
            </w:r>
          </w:p>
        </w:tc>
        <w:tc>
          <w:tcPr>
            <w:tcW w:w="1303"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2</w:t>
            </w:r>
          </w:p>
        </w:tc>
        <w:tc>
          <w:tcPr>
            <w:tcW w:w="1234"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 xml:space="preserve">$157.31 </w:t>
            </w:r>
          </w:p>
        </w:tc>
        <w:tc>
          <w:tcPr>
            <w:tcW w:w="1116"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 </w:t>
            </w:r>
          </w:p>
        </w:tc>
        <w:tc>
          <w:tcPr>
            <w:tcW w:w="912"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 </w:t>
            </w:r>
          </w:p>
        </w:tc>
        <w:tc>
          <w:tcPr>
            <w:tcW w:w="1306"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135</w:t>
            </w:r>
          </w:p>
        </w:tc>
        <w:tc>
          <w:tcPr>
            <w:tcW w:w="1227"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270</w:t>
            </w:r>
          </w:p>
        </w:tc>
        <w:tc>
          <w:tcPr>
            <w:tcW w:w="1516"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 xml:space="preserve">$21,237 </w:t>
            </w:r>
          </w:p>
        </w:tc>
      </w:tr>
      <w:tr w:rsidR="00CD3274" w:rsidRPr="00CD3274" w:rsidTr="00CD685B">
        <w:trPr>
          <w:trHeight w:val="810"/>
          <w:jc w:val="center"/>
        </w:trPr>
        <w:tc>
          <w:tcPr>
            <w:tcW w:w="1750" w:type="dxa"/>
            <w:tcBorders>
              <w:top w:val="nil"/>
              <w:left w:val="single" w:sz="8" w:space="0" w:color="auto"/>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ind w:firstLineChars="100" w:firstLine="200"/>
              <w:rPr>
                <w:color w:val="000000"/>
                <w:sz w:val="20"/>
                <w:szCs w:val="20"/>
              </w:rPr>
            </w:pPr>
            <w:r w:rsidRPr="00CD3274">
              <w:rPr>
                <w:color w:val="000000"/>
                <w:sz w:val="20"/>
                <w:szCs w:val="20"/>
              </w:rPr>
              <w:t>~ Non-ARP Sources in O</w:t>
            </w:r>
            <w:r w:rsidRPr="00CD3274">
              <w:rPr>
                <w:color w:val="000000"/>
                <w:sz w:val="20"/>
                <w:szCs w:val="20"/>
                <w:vertAlign w:val="subscript"/>
              </w:rPr>
              <w:t>3</w:t>
            </w:r>
            <w:r w:rsidRPr="00CD3274">
              <w:rPr>
                <w:color w:val="000000"/>
                <w:sz w:val="20"/>
                <w:szCs w:val="20"/>
              </w:rPr>
              <w:t xml:space="preserve"> Only States (facilities)</w:t>
            </w:r>
          </w:p>
        </w:tc>
        <w:tc>
          <w:tcPr>
            <w:tcW w:w="1037"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1</w:t>
            </w:r>
          </w:p>
        </w:tc>
        <w:tc>
          <w:tcPr>
            <w:tcW w:w="1069"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1</w:t>
            </w:r>
          </w:p>
        </w:tc>
        <w:tc>
          <w:tcPr>
            <w:tcW w:w="1303"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2</w:t>
            </w:r>
          </w:p>
        </w:tc>
        <w:tc>
          <w:tcPr>
            <w:tcW w:w="1234"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 xml:space="preserve">$157.31 </w:t>
            </w:r>
          </w:p>
        </w:tc>
        <w:tc>
          <w:tcPr>
            <w:tcW w:w="1116"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 </w:t>
            </w:r>
          </w:p>
        </w:tc>
        <w:tc>
          <w:tcPr>
            <w:tcW w:w="912"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 </w:t>
            </w:r>
          </w:p>
        </w:tc>
        <w:tc>
          <w:tcPr>
            <w:tcW w:w="1306"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23</w:t>
            </w:r>
          </w:p>
        </w:tc>
        <w:tc>
          <w:tcPr>
            <w:tcW w:w="1227"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46</w:t>
            </w:r>
          </w:p>
        </w:tc>
        <w:tc>
          <w:tcPr>
            <w:tcW w:w="1516"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 xml:space="preserve">$3,618 </w:t>
            </w:r>
          </w:p>
        </w:tc>
      </w:tr>
      <w:tr w:rsidR="00CD3274" w:rsidRPr="00CD3274" w:rsidTr="00CD685B">
        <w:trPr>
          <w:trHeight w:val="205"/>
          <w:jc w:val="center"/>
        </w:trPr>
        <w:tc>
          <w:tcPr>
            <w:tcW w:w="12470" w:type="dxa"/>
            <w:gridSpan w:val="10"/>
            <w:tcBorders>
              <w:top w:val="single" w:sz="8" w:space="0" w:color="auto"/>
              <w:left w:val="single" w:sz="8" w:space="0" w:color="auto"/>
              <w:bottom w:val="single" w:sz="8" w:space="0" w:color="auto"/>
              <w:right w:val="single" w:sz="8" w:space="0" w:color="000000"/>
            </w:tcBorders>
            <w:shd w:val="clear" w:color="auto" w:fill="D9D9D9"/>
            <w:vAlign w:val="center"/>
            <w:hideMark/>
          </w:tcPr>
          <w:p w:rsidR="00CD3274" w:rsidRPr="00CD3274" w:rsidRDefault="00CD3274" w:rsidP="00CD3274">
            <w:pPr>
              <w:widowControl/>
              <w:autoSpaceDE/>
              <w:autoSpaceDN/>
              <w:adjustRightInd/>
              <w:rPr>
                <w:b/>
                <w:bCs/>
                <w:color w:val="000000"/>
                <w:sz w:val="20"/>
                <w:szCs w:val="20"/>
              </w:rPr>
            </w:pPr>
            <w:r w:rsidRPr="00CD3274">
              <w:rPr>
                <w:b/>
                <w:bCs/>
                <w:color w:val="000000"/>
                <w:sz w:val="20"/>
                <w:szCs w:val="20"/>
              </w:rPr>
              <w:t>Respond to EPA Generated Error Messages</w:t>
            </w:r>
          </w:p>
        </w:tc>
      </w:tr>
      <w:tr w:rsidR="00CD3274" w:rsidRPr="00CD3274" w:rsidTr="00CD685B">
        <w:trPr>
          <w:trHeight w:val="810"/>
          <w:jc w:val="center"/>
        </w:trPr>
        <w:tc>
          <w:tcPr>
            <w:tcW w:w="1750" w:type="dxa"/>
            <w:tcBorders>
              <w:top w:val="nil"/>
              <w:left w:val="single" w:sz="8" w:space="0" w:color="auto"/>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ind w:firstLineChars="100" w:firstLine="200"/>
              <w:rPr>
                <w:color w:val="000000"/>
                <w:sz w:val="20"/>
                <w:szCs w:val="20"/>
              </w:rPr>
            </w:pPr>
            <w:r w:rsidRPr="00CD3274">
              <w:rPr>
                <w:color w:val="000000"/>
                <w:sz w:val="20"/>
                <w:szCs w:val="20"/>
              </w:rPr>
              <w:t>~ Non-ARP Sources in PM/O</w:t>
            </w:r>
            <w:r w:rsidRPr="00CD3274">
              <w:rPr>
                <w:color w:val="000000"/>
                <w:sz w:val="20"/>
                <w:szCs w:val="20"/>
                <w:vertAlign w:val="subscript"/>
              </w:rPr>
              <w:t>3</w:t>
            </w:r>
            <w:r w:rsidRPr="00CD3274">
              <w:rPr>
                <w:color w:val="000000"/>
                <w:sz w:val="20"/>
                <w:szCs w:val="20"/>
              </w:rPr>
              <w:t xml:space="preserve"> and PM Only States (facilities)</w:t>
            </w:r>
          </w:p>
        </w:tc>
        <w:tc>
          <w:tcPr>
            <w:tcW w:w="1037"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4</w:t>
            </w:r>
          </w:p>
        </w:tc>
        <w:tc>
          <w:tcPr>
            <w:tcW w:w="1069"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8</w:t>
            </w:r>
          </w:p>
        </w:tc>
        <w:tc>
          <w:tcPr>
            <w:tcW w:w="1303"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12</w:t>
            </w:r>
          </w:p>
        </w:tc>
        <w:tc>
          <w:tcPr>
            <w:tcW w:w="1234"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 xml:space="preserve">$869.28 </w:t>
            </w:r>
          </w:p>
        </w:tc>
        <w:tc>
          <w:tcPr>
            <w:tcW w:w="1116"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 </w:t>
            </w:r>
          </w:p>
        </w:tc>
        <w:tc>
          <w:tcPr>
            <w:tcW w:w="912"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 </w:t>
            </w:r>
          </w:p>
        </w:tc>
        <w:tc>
          <w:tcPr>
            <w:tcW w:w="1306"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135</w:t>
            </w:r>
          </w:p>
        </w:tc>
        <w:tc>
          <w:tcPr>
            <w:tcW w:w="1227"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1</w:t>
            </w:r>
            <w:r w:rsidR="00910C2E">
              <w:rPr>
                <w:color w:val="000000"/>
                <w:sz w:val="20"/>
                <w:szCs w:val="20"/>
              </w:rPr>
              <w:t>,</w:t>
            </w:r>
            <w:r w:rsidRPr="00CD3274">
              <w:rPr>
                <w:color w:val="000000"/>
                <w:sz w:val="20"/>
                <w:szCs w:val="20"/>
              </w:rPr>
              <w:t>620</w:t>
            </w:r>
          </w:p>
        </w:tc>
        <w:tc>
          <w:tcPr>
            <w:tcW w:w="1516"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 xml:space="preserve">$117,353 </w:t>
            </w:r>
          </w:p>
        </w:tc>
      </w:tr>
      <w:tr w:rsidR="00CD3274" w:rsidRPr="00CD3274" w:rsidTr="00CD685B">
        <w:trPr>
          <w:trHeight w:val="810"/>
          <w:jc w:val="center"/>
        </w:trPr>
        <w:tc>
          <w:tcPr>
            <w:tcW w:w="1750" w:type="dxa"/>
            <w:tcBorders>
              <w:top w:val="nil"/>
              <w:left w:val="single" w:sz="8" w:space="0" w:color="auto"/>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ind w:firstLineChars="100" w:firstLine="200"/>
              <w:rPr>
                <w:color w:val="000000"/>
                <w:sz w:val="20"/>
                <w:szCs w:val="20"/>
              </w:rPr>
            </w:pPr>
            <w:r w:rsidRPr="00CD3274">
              <w:rPr>
                <w:color w:val="000000"/>
                <w:sz w:val="20"/>
                <w:szCs w:val="20"/>
              </w:rPr>
              <w:t>~ Non-ARP Sources in O</w:t>
            </w:r>
            <w:r w:rsidRPr="00CD3274">
              <w:rPr>
                <w:color w:val="000000"/>
                <w:sz w:val="20"/>
                <w:szCs w:val="20"/>
                <w:vertAlign w:val="subscript"/>
              </w:rPr>
              <w:t>3</w:t>
            </w:r>
            <w:r w:rsidRPr="00CD3274">
              <w:rPr>
                <w:color w:val="000000"/>
                <w:sz w:val="20"/>
                <w:szCs w:val="20"/>
              </w:rPr>
              <w:t xml:space="preserve"> Only States (facilities)</w:t>
            </w:r>
          </w:p>
        </w:tc>
        <w:tc>
          <w:tcPr>
            <w:tcW w:w="1037"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4</w:t>
            </w:r>
          </w:p>
        </w:tc>
        <w:tc>
          <w:tcPr>
            <w:tcW w:w="1069"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8</w:t>
            </w:r>
          </w:p>
        </w:tc>
        <w:tc>
          <w:tcPr>
            <w:tcW w:w="1303"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12</w:t>
            </w:r>
          </w:p>
        </w:tc>
        <w:tc>
          <w:tcPr>
            <w:tcW w:w="1234"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 xml:space="preserve">$869.28 </w:t>
            </w:r>
          </w:p>
        </w:tc>
        <w:tc>
          <w:tcPr>
            <w:tcW w:w="1116"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 </w:t>
            </w:r>
          </w:p>
        </w:tc>
        <w:tc>
          <w:tcPr>
            <w:tcW w:w="912"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 </w:t>
            </w:r>
          </w:p>
        </w:tc>
        <w:tc>
          <w:tcPr>
            <w:tcW w:w="1306"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23</w:t>
            </w:r>
          </w:p>
        </w:tc>
        <w:tc>
          <w:tcPr>
            <w:tcW w:w="1227"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276</w:t>
            </w:r>
          </w:p>
        </w:tc>
        <w:tc>
          <w:tcPr>
            <w:tcW w:w="1516"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 xml:space="preserve">$19,993 </w:t>
            </w:r>
          </w:p>
        </w:tc>
      </w:tr>
      <w:tr w:rsidR="00CD3274" w:rsidRPr="00CD3274" w:rsidTr="00CD685B">
        <w:trPr>
          <w:trHeight w:val="187"/>
          <w:jc w:val="center"/>
        </w:trPr>
        <w:tc>
          <w:tcPr>
            <w:tcW w:w="12470" w:type="dxa"/>
            <w:gridSpan w:val="10"/>
            <w:tcBorders>
              <w:top w:val="single" w:sz="8" w:space="0" w:color="auto"/>
              <w:left w:val="single" w:sz="8" w:space="0" w:color="auto"/>
              <w:bottom w:val="single" w:sz="8" w:space="0" w:color="auto"/>
              <w:right w:val="single" w:sz="8" w:space="0" w:color="000000"/>
            </w:tcBorders>
            <w:shd w:val="clear" w:color="auto" w:fill="D9D9D9"/>
            <w:vAlign w:val="center"/>
            <w:hideMark/>
          </w:tcPr>
          <w:p w:rsidR="00CD3274" w:rsidRPr="00CD3274" w:rsidRDefault="00CD3274" w:rsidP="00CD3274">
            <w:pPr>
              <w:widowControl/>
              <w:autoSpaceDE/>
              <w:autoSpaceDN/>
              <w:adjustRightInd/>
              <w:rPr>
                <w:b/>
                <w:bCs/>
                <w:color w:val="000000"/>
                <w:sz w:val="20"/>
                <w:szCs w:val="20"/>
              </w:rPr>
            </w:pPr>
            <w:r w:rsidRPr="00CD3274">
              <w:rPr>
                <w:b/>
                <w:bCs/>
                <w:color w:val="000000"/>
                <w:sz w:val="20"/>
                <w:szCs w:val="20"/>
              </w:rPr>
              <w:t>Debug Computer Software</w:t>
            </w:r>
          </w:p>
        </w:tc>
      </w:tr>
      <w:tr w:rsidR="00CD3274" w:rsidRPr="00CD3274" w:rsidTr="00CD685B">
        <w:trPr>
          <w:trHeight w:val="555"/>
          <w:jc w:val="center"/>
        </w:trPr>
        <w:tc>
          <w:tcPr>
            <w:tcW w:w="1750" w:type="dxa"/>
            <w:tcBorders>
              <w:top w:val="nil"/>
              <w:left w:val="single" w:sz="8" w:space="0" w:color="auto"/>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ind w:firstLineChars="100" w:firstLine="200"/>
              <w:rPr>
                <w:color w:val="000000"/>
                <w:sz w:val="20"/>
                <w:szCs w:val="20"/>
              </w:rPr>
            </w:pPr>
            <w:r w:rsidRPr="00CD3274">
              <w:rPr>
                <w:color w:val="000000"/>
                <w:sz w:val="20"/>
                <w:szCs w:val="20"/>
              </w:rPr>
              <w:t>~ ARP PM and O</w:t>
            </w:r>
            <w:r w:rsidRPr="00CD3274">
              <w:rPr>
                <w:color w:val="000000"/>
                <w:sz w:val="20"/>
                <w:szCs w:val="20"/>
                <w:vertAlign w:val="subscript"/>
              </w:rPr>
              <w:t>3</w:t>
            </w:r>
            <w:r w:rsidRPr="00CD3274">
              <w:rPr>
                <w:color w:val="000000"/>
                <w:sz w:val="20"/>
                <w:szCs w:val="20"/>
              </w:rPr>
              <w:t xml:space="preserve"> Sources (facilities)</w:t>
            </w:r>
          </w:p>
        </w:tc>
        <w:tc>
          <w:tcPr>
            <w:tcW w:w="1037"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1</w:t>
            </w:r>
          </w:p>
        </w:tc>
        <w:tc>
          <w:tcPr>
            <w:tcW w:w="1069"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4</w:t>
            </w:r>
          </w:p>
        </w:tc>
        <w:tc>
          <w:tcPr>
            <w:tcW w:w="1303"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5</w:t>
            </w:r>
          </w:p>
        </w:tc>
        <w:tc>
          <w:tcPr>
            <w:tcW w:w="1234"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 xml:space="preserve">$337.34 </w:t>
            </w:r>
          </w:p>
        </w:tc>
        <w:tc>
          <w:tcPr>
            <w:tcW w:w="1116"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rPr>
                <w:b/>
                <w:bCs/>
                <w:color w:val="000000"/>
                <w:sz w:val="20"/>
                <w:szCs w:val="20"/>
              </w:rPr>
            </w:pPr>
            <w:r w:rsidRPr="00CD3274">
              <w:rPr>
                <w:b/>
                <w:bCs/>
                <w:color w:val="000000"/>
                <w:sz w:val="20"/>
                <w:szCs w:val="20"/>
              </w:rPr>
              <w:t> </w:t>
            </w:r>
          </w:p>
        </w:tc>
        <w:tc>
          <w:tcPr>
            <w:tcW w:w="912"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rPr>
                <w:b/>
                <w:bCs/>
                <w:color w:val="000000"/>
                <w:sz w:val="20"/>
                <w:szCs w:val="20"/>
              </w:rPr>
            </w:pPr>
            <w:r w:rsidRPr="00CD3274">
              <w:rPr>
                <w:b/>
                <w:bCs/>
                <w:color w:val="000000"/>
                <w:sz w:val="20"/>
                <w:szCs w:val="20"/>
              </w:rPr>
              <w:t> </w:t>
            </w:r>
          </w:p>
        </w:tc>
        <w:tc>
          <w:tcPr>
            <w:tcW w:w="1306"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919</w:t>
            </w:r>
          </w:p>
        </w:tc>
        <w:tc>
          <w:tcPr>
            <w:tcW w:w="1227"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4</w:t>
            </w:r>
            <w:r w:rsidR="00910C2E">
              <w:rPr>
                <w:color w:val="000000"/>
                <w:sz w:val="20"/>
                <w:szCs w:val="20"/>
              </w:rPr>
              <w:t>,</w:t>
            </w:r>
            <w:r w:rsidRPr="00CD3274">
              <w:rPr>
                <w:color w:val="000000"/>
                <w:sz w:val="20"/>
                <w:szCs w:val="20"/>
              </w:rPr>
              <w:t>595</w:t>
            </w:r>
          </w:p>
        </w:tc>
        <w:tc>
          <w:tcPr>
            <w:tcW w:w="1516"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 xml:space="preserve">$310,015 </w:t>
            </w:r>
          </w:p>
        </w:tc>
      </w:tr>
      <w:tr w:rsidR="00910C2E" w:rsidRPr="00CD3274" w:rsidTr="00CD685B">
        <w:trPr>
          <w:trHeight w:val="475"/>
          <w:jc w:val="center"/>
        </w:trPr>
        <w:tc>
          <w:tcPr>
            <w:tcW w:w="12470" w:type="dxa"/>
            <w:gridSpan w:val="10"/>
            <w:tcBorders>
              <w:top w:val="single" w:sz="8" w:space="0" w:color="auto"/>
            </w:tcBorders>
            <w:shd w:val="clear" w:color="auto" w:fill="auto"/>
          </w:tcPr>
          <w:p w:rsidR="00910C2E" w:rsidRPr="00CD3274" w:rsidRDefault="00910C2E" w:rsidP="00CD685B">
            <w:pPr>
              <w:widowControl/>
              <w:autoSpaceDE/>
              <w:autoSpaceDN/>
              <w:adjustRightInd/>
              <w:jc w:val="right"/>
              <w:rPr>
                <w:color w:val="000000"/>
                <w:sz w:val="20"/>
                <w:szCs w:val="20"/>
              </w:rPr>
            </w:pPr>
            <w:r>
              <w:rPr>
                <w:color w:val="000000"/>
                <w:sz w:val="20"/>
                <w:szCs w:val="20"/>
              </w:rPr>
              <w:t>(Cont.)</w:t>
            </w:r>
          </w:p>
        </w:tc>
      </w:tr>
      <w:tr w:rsidR="00910C2E" w:rsidRPr="00CD3274" w:rsidTr="00CD685B">
        <w:trPr>
          <w:trHeight w:val="205"/>
          <w:jc w:val="center"/>
        </w:trPr>
        <w:tc>
          <w:tcPr>
            <w:tcW w:w="12470" w:type="dxa"/>
            <w:gridSpan w:val="10"/>
            <w:tcBorders>
              <w:top w:val="single" w:sz="8" w:space="0" w:color="auto"/>
              <w:left w:val="single" w:sz="8" w:space="0" w:color="auto"/>
              <w:bottom w:val="single" w:sz="8" w:space="0" w:color="auto"/>
              <w:right w:val="single" w:sz="8" w:space="0" w:color="000000"/>
            </w:tcBorders>
            <w:shd w:val="clear" w:color="auto" w:fill="D9D9D9"/>
            <w:vAlign w:val="center"/>
            <w:hideMark/>
          </w:tcPr>
          <w:p w:rsidR="00910C2E" w:rsidRPr="00CD3274" w:rsidRDefault="00910C2E" w:rsidP="00910C2E">
            <w:pPr>
              <w:widowControl/>
              <w:autoSpaceDE/>
              <w:autoSpaceDN/>
              <w:adjustRightInd/>
              <w:rPr>
                <w:b/>
                <w:bCs/>
                <w:color w:val="000000"/>
                <w:sz w:val="20"/>
                <w:szCs w:val="20"/>
              </w:rPr>
            </w:pPr>
            <w:r w:rsidRPr="00CD3274">
              <w:rPr>
                <w:b/>
                <w:bCs/>
                <w:color w:val="000000"/>
                <w:sz w:val="20"/>
                <w:szCs w:val="20"/>
              </w:rPr>
              <w:lastRenderedPageBreak/>
              <w:t>Debug Computer Software</w:t>
            </w:r>
            <w:r>
              <w:rPr>
                <w:b/>
                <w:bCs/>
                <w:color w:val="000000"/>
                <w:sz w:val="20"/>
                <w:szCs w:val="20"/>
              </w:rPr>
              <w:t xml:space="preserve"> (cont.)</w:t>
            </w:r>
          </w:p>
        </w:tc>
      </w:tr>
      <w:tr w:rsidR="00CD3274" w:rsidRPr="00CD3274" w:rsidTr="00CD685B">
        <w:trPr>
          <w:trHeight w:val="862"/>
          <w:jc w:val="center"/>
        </w:trPr>
        <w:tc>
          <w:tcPr>
            <w:tcW w:w="1750" w:type="dxa"/>
            <w:tcBorders>
              <w:left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ind w:firstLineChars="100" w:firstLine="200"/>
              <w:rPr>
                <w:color w:val="000000"/>
                <w:sz w:val="20"/>
                <w:szCs w:val="20"/>
              </w:rPr>
            </w:pPr>
            <w:r w:rsidRPr="00CD3274">
              <w:rPr>
                <w:color w:val="000000"/>
                <w:sz w:val="20"/>
                <w:szCs w:val="20"/>
              </w:rPr>
              <w:t>~ Non-ARP Sources in PM/O</w:t>
            </w:r>
            <w:r w:rsidRPr="00CD3274">
              <w:rPr>
                <w:color w:val="000000"/>
                <w:sz w:val="20"/>
                <w:szCs w:val="20"/>
                <w:vertAlign w:val="subscript"/>
              </w:rPr>
              <w:t>3</w:t>
            </w:r>
            <w:r w:rsidRPr="00CD3274">
              <w:rPr>
                <w:color w:val="000000"/>
                <w:sz w:val="20"/>
                <w:szCs w:val="20"/>
              </w:rPr>
              <w:t xml:space="preserve"> and PM Only States (facilities)</w:t>
            </w:r>
          </w:p>
        </w:tc>
        <w:tc>
          <w:tcPr>
            <w:tcW w:w="1037" w:type="dxa"/>
            <w:tcBorders>
              <w:left w:val="nil"/>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1</w:t>
            </w:r>
          </w:p>
        </w:tc>
        <w:tc>
          <w:tcPr>
            <w:tcW w:w="1069" w:type="dxa"/>
            <w:tcBorders>
              <w:left w:val="nil"/>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4</w:t>
            </w:r>
          </w:p>
        </w:tc>
        <w:tc>
          <w:tcPr>
            <w:tcW w:w="1303" w:type="dxa"/>
            <w:tcBorders>
              <w:left w:val="nil"/>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5</w:t>
            </w:r>
          </w:p>
        </w:tc>
        <w:tc>
          <w:tcPr>
            <w:tcW w:w="1234" w:type="dxa"/>
            <w:tcBorders>
              <w:left w:val="nil"/>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 xml:space="preserve">$337.34 </w:t>
            </w:r>
          </w:p>
        </w:tc>
        <w:tc>
          <w:tcPr>
            <w:tcW w:w="1116" w:type="dxa"/>
            <w:tcBorders>
              <w:left w:val="nil"/>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 </w:t>
            </w:r>
          </w:p>
        </w:tc>
        <w:tc>
          <w:tcPr>
            <w:tcW w:w="912" w:type="dxa"/>
            <w:tcBorders>
              <w:left w:val="nil"/>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 </w:t>
            </w:r>
          </w:p>
        </w:tc>
        <w:tc>
          <w:tcPr>
            <w:tcW w:w="1306" w:type="dxa"/>
            <w:tcBorders>
              <w:left w:val="nil"/>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135</w:t>
            </w:r>
          </w:p>
        </w:tc>
        <w:tc>
          <w:tcPr>
            <w:tcW w:w="1227" w:type="dxa"/>
            <w:tcBorders>
              <w:left w:val="nil"/>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675</w:t>
            </w:r>
          </w:p>
        </w:tc>
        <w:tc>
          <w:tcPr>
            <w:tcW w:w="1516" w:type="dxa"/>
            <w:tcBorders>
              <w:left w:val="nil"/>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 xml:space="preserve">$45,541 </w:t>
            </w:r>
          </w:p>
        </w:tc>
      </w:tr>
      <w:tr w:rsidR="00CD3274" w:rsidRPr="00CD3274" w:rsidTr="00CD685B">
        <w:trPr>
          <w:trHeight w:val="718"/>
          <w:jc w:val="center"/>
        </w:trPr>
        <w:tc>
          <w:tcPr>
            <w:tcW w:w="1750" w:type="dxa"/>
            <w:tcBorders>
              <w:top w:val="nil"/>
              <w:left w:val="single" w:sz="8" w:space="0" w:color="auto"/>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ind w:firstLineChars="100" w:firstLine="200"/>
              <w:rPr>
                <w:color w:val="000000"/>
                <w:sz w:val="20"/>
                <w:szCs w:val="20"/>
              </w:rPr>
            </w:pPr>
            <w:r w:rsidRPr="00CD3274">
              <w:rPr>
                <w:color w:val="000000"/>
                <w:sz w:val="20"/>
                <w:szCs w:val="20"/>
              </w:rPr>
              <w:t>~ Non-ARP Sources in O</w:t>
            </w:r>
            <w:r w:rsidRPr="00CD3274">
              <w:rPr>
                <w:color w:val="000000"/>
                <w:sz w:val="20"/>
                <w:szCs w:val="20"/>
                <w:vertAlign w:val="subscript"/>
              </w:rPr>
              <w:t>3</w:t>
            </w:r>
            <w:r w:rsidRPr="00CD3274">
              <w:rPr>
                <w:color w:val="000000"/>
                <w:sz w:val="20"/>
                <w:szCs w:val="20"/>
              </w:rPr>
              <w:t xml:space="preserve"> Only States (facilities)</w:t>
            </w:r>
          </w:p>
        </w:tc>
        <w:tc>
          <w:tcPr>
            <w:tcW w:w="1037"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1</w:t>
            </w:r>
          </w:p>
        </w:tc>
        <w:tc>
          <w:tcPr>
            <w:tcW w:w="1069"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4</w:t>
            </w:r>
          </w:p>
        </w:tc>
        <w:tc>
          <w:tcPr>
            <w:tcW w:w="1303"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5</w:t>
            </w:r>
          </w:p>
        </w:tc>
        <w:tc>
          <w:tcPr>
            <w:tcW w:w="1234"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 xml:space="preserve">$337.34 </w:t>
            </w:r>
          </w:p>
        </w:tc>
        <w:tc>
          <w:tcPr>
            <w:tcW w:w="1116"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 </w:t>
            </w:r>
          </w:p>
        </w:tc>
        <w:tc>
          <w:tcPr>
            <w:tcW w:w="912"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 </w:t>
            </w:r>
          </w:p>
        </w:tc>
        <w:tc>
          <w:tcPr>
            <w:tcW w:w="1306"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23</w:t>
            </w:r>
          </w:p>
        </w:tc>
        <w:tc>
          <w:tcPr>
            <w:tcW w:w="1227"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115</w:t>
            </w:r>
          </w:p>
        </w:tc>
        <w:tc>
          <w:tcPr>
            <w:tcW w:w="1516"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 xml:space="preserve">$7,759 </w:t>
            </w:r>
          </w:p>
        </w:tc>
      </w:tr>
      <w:tr w:rsidR="00CD3274" w:rsidRPr="00CD3274" w:rsidTr="00CD685B">
        <w:trPr>
          <w:trHeight w:val="232"/>
          <w:jc w:val="center"/>
        </w:trPr>
        <w:tc>
          <w:tcPr>
            <w:tcW w:w="12470" w:type="dxa"/>
            <w:gridSpan w:val="10"/>
            <w:tcBorders>
              <w:top w:val="single" w:sz="8" w:space="0" w:color="auto"/>
              <w:left w:val="single" w:sz="8" w:space="0" w:color="auto"/>
              <w:bottom w:val="single" w:sz="8" w:space="0" w:color="auto"/>
              <w:right w:val="single" w:sz="8" w:space="0" w:color="000000"/>
            </w:tcBorders>
            <w:shd w:val="clear" w:color="auto" w:fill="D9D9D9"/>
            <w:vAlign w:val="center"/>
            <w:hideMark/>
          </w:tcPr>
          <w:p w:rsidR="00CD3274" w:rsidRPr="00CD3274" w:rsidRDefault="00CD3274" w:rsidP="00CD3274">
            <w:pPr>
              <w:widowControl/>
              <w:autoSpaceDE/>
              <w:autoSpaceDN/>
              <w:adjustRightInd/>
              <w:rPr>
                <w:b/>
                <w:bCs/>
                <w:color w:val="000000"/>
                <w:sz w:val="20"/>
                <w:szCs w:val="20"/>
              </w:rPr>
            </w:pPr>
            <w:r w:rsidRPr="00CD3274">
              <w:rPr>
                <w:b/>
                <w:bCs/>
                <w:color w:val="000000"/>
                <w:sz w:val="20"/>
                <w:szCs w:val="20"/>
              </w:rPr>
              <w:t>Certify Monitors</w:t>
            </w:r>
          </w:p>
        </w:tc>
      </w:tr>
      <w:tr w:rsidR="00CD3274" w:rsidRPr="00CD3274" w:rsidTr="00CD685B">
        <w:trPr>
          <w:trHeight w:val="250"/>
          <w:jc w:val="center"/>
        </w:trPr>
        <w:tc>
          <w:tcPr>
            <w:tcW w:w="12470" w:type="dxa"/>
            <w:gridSpan w:val="10"/>
            <w:tcBorders>
              <w:top w:val="single" w:sz="8" w:space="0" w:color="auto"/>
              <w:left w:val="single" w:sz="8" w:space="0" w:color="auto"/>
              <w:bottom w:val="single" w:sz="8" w:space="0" w:color="auto"/>
              <w:right w:val="single" w:sz="8" w:space="0" w:color="000000"/>
            </w:tcBorders>
            <w:shd w:val="clear" w:color="auto" w:fill="auto"/>
            <w:vAlign w:val="center"/>
            <w:hideMark/>
          </w:tcPr>
          <w:p w:rsidR="00CD3274" w:rsidRPr="00CD3274" w:rsidRDefault="00CD3274" w:rsidP="00CD3274">
            <w:pPr>
              <w:widowControl/>
              <w:autoSpaceDE/>
              <w:autoSpaceDN/>
              <w:adjustRightInd/>
              <w:rPr>
                <w:b/>
                <w:bCs/>
                <w:color w:val="000000"/>
                <w:sz w:val="20"/>
                <w:szCs w:val="20"/>
              </w:rPr>
            </w:pPr>
            <w:r w:rsidRPr="00CD3274">
              <w:rPr>
                <w:b/>
                <w:bCs/>
                <w:color w:val="000000"/>
                <w:sz w:val="20"/>
                <w:szCs w:val="20"/>
              </w:rPr>
              <w:t>~ Non-ARP Sources in PM/O</w:t>
            </w:r>
            <w:r w:rsidRPr="00CD3274">
              <w:rPr>
                <w:b/>
                <w:bCs/>
                <w:color w:val="000000"/>
                <w:sz w:val="20"/>
                <w:szCs w:val="20"/>
                <w:vertAlign w:val="subscript"/>
              </w:rPr>
              <w:t>3</w:t>
            </w:r>
            <w:r w:rsidRPr="00CD3274">
              <w:rPr>
                <w:b/>
                <w:bCs/>
                <w:color w:val="000000"/>
                <w:sz w:val="20"/>
                <w:szCs w:val="20"/>
              </w:rPr>
              <w:t xml:space="preserve"> and PM Only States</w:t>
            </w:r>
          </w:p>
        </w:tc>
      </w:tr>
      <w:tr w:rsidR="00CD3274" w:rsidRPr="00CD3274" w:rsidTr="00CD685B">
        <w:trPr>
          <w:trHeight w:val="790"/>
          <w:jc w:val="center"/>
        </w:trPr>
        <w:tc>
          <w:tcPr>
            <w:tcW w:w="1750" w:type="dxa"/>
            <w:tcBorders>
              <w:top w:val="nil"/>
              <w:left w:val="single" w:sz="8" w:space="0" w:color="auto"/>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ind w:firstLineChars="100" w:firstLine="200"/>
              <w:rPr>
                <w:color w:val="000000"/>
                <w:sz w:val="20"/>
                <w:szCs w:val="20"/>
              </w:rPr>
            </w:pPr>
            <w:r w:rsidRPr="00CD3274">
              <w:rPr>
                <w:color w:val="000000"/>
                <w:sz w:val="20"/>
                <w:szCs w:val="20"/>
              </w:rPr>
              <w:t>a.  Solid Fuel:  SO</w:t>
            </w:r>
            <w:r w:rsidRPr="00CD3274">
              <w:rPr>
                <w:color w:val="000000"/>
                <w:sz w:val="20"/>
                <w:szCs w:val="20"/>
                <w:vertAlign w:val="subscript"/>
              </w:rPr>
              <w:t>2</w:t>
            </w:r>
            <w:r w:rsidRPr="00CD3274">
              <w:rPr>
                <w:color w:val="000000"/>
                <w:sz w:val="20"/>
                <w:szCs w:val="20"/>
              </w:rPr>
              <w:t xml:space="preserve">, </w:t>
            </w:r>
            <w:proofErr w:type="spellStart"/>
            <w:r w:rsidRPr="00CD3274">
              <w:rPr>
                <w:color w:val="000000"/>
                <w:sz w:val="20"/>
                <w:szCs w:val="20"/>
              </w:rPr>
              <w:t>NO</w:t>
            </w:r>
            <w:r w:rsidRPr="00CD3274">
              <w:rPr>
                <w:color w:val="000000"/>
                <w:sz w:val="20"/>
                <w:szCs w:val="20"/>
                <w:vertAlign w:val="subscript"/>
              </w:rPr>
              <w:t>x</w:t>
            </w:r>
            <w:proofErr w:type="spellEnd"/>
            <w:r w:rsidRPr="00CD3274">
              <w:rPr>
                <w:color w:val="000000"/>
                <w:sz w:val="20"/>
                <w:szCs w:val="20"/>
              </w:rPr>
              <w:t>, and Flow CEMS (units)</w:t>
            </w:r>
          </w:p>
        </w:tc>
        <w:tc>
          <w:tcPr>
            <w:tcW w:w="1037"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15</w:t>
            </w:r>
          </w:p>
        </w:tc>
        <w:tc>
          <w:tcPr>
            <w:tcW w:w="1069"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48</w:t>
            </w:r>
          </w:p>
        </w:tc>
        <w:tc>
          <w:tcPr>
            <w:tcW w:w="1303"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63</w:t>
            </w:r>
          </w:p>
        </w:tc>
        <w:tc>
          <w:tcPr>
            <w:tcW w:w="1234"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 xml:space="preserve">$4,339.98 </w:t>
            </w:r>
          </w:p>
        </w:tc>
        <w:tc>
          <w:tcPr>
            <w:tcW w:w="1116"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rPr>
                <w:b/>
                <w:bCs/>
                <w:color w:val="000000"/>
                <w:sz w:val="20"/>
                <w:szCs w:val="20"/>
              </w:rPr>
            </w:pPr>
            <w:r w:rsidRPr="00CD3274">
              <w:rPr>
                <w:b/>
                <w:bCs/>
                <w:color w:val="000000"/>
                <w:sz w:val="20"/>
                <w:szCs w:val="20"/>
              </w:rPr>
              <w:t> </w:t>
            </w:r>
          </w:p>
        </w:tc>
        <w:tc>
          <w:tcPr>
            <w:tcW w:w="912"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 xml:space="preserve">$2,800 </w:t>
            </w:r>
          </w:p>
        </w:tc>
        <w:tc>
          <w:tcPr>
            <w:tcW w:w="1306"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114</w:t>
            </w:r>
          </w:p>
        </w:tc>
        <w:tc>
          <w:tcPr>
            <w:tcW w:w="1227"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7182</w:t>
            </w:r>
          </w:p>
        </w:tc>
        <w:tc>
          <w:tcPr>
            <w:tcW w:w="1516"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685B">
            <w:pPr>
              <w:widowControl/>
              <w:autoSpaceDE/>
              <w:autoSpaceDN/>
              <w:adjustRightInd/>
              <w:jc w:val="right"/>
              <w:rPr>
                <w:color w:val="000000"/>
                <w:sz w:val="20"/>
                <w:szCs w:val="20"/>
              </w:rPr>
            </w:pPr>
            <w:r w:rsidRPr="00CD3274">
              <w:rPr>
                <w:color w:val="000000"/>
                <w:sz w:val="20"/>
                <w:szCs w:val="20"/>
              </w:rPr>
              <w:t>$813,</w:t>
            </w:r>
            <w:r w:rsidR="00863DA0">
              <w:rPr>
                <w:color w:val="000000"/>
                <w:sz w:val="20"/>
                <w:szCs w:val="20"/>
              </w:rPr>
              <w:t>958</w:t>
            </w:r>
            <w:r w:rsidRPr="00CD3274">
              <w:rPr>
                <w:color w:val="000000"/>
                <w:sz w:val="20"/>
                <w:szCs w:val="20"/>
              </w:rPr>
              <w:t xml:space="preserve"> </w:t>
            </w:r>
          </w:p>
        </w:tc>
      </w:tr>
      <w:tr w:rsidR="00CD3274" w:rsidRPr="00CD3274" w:rsidTr="00CD685B">
        <w:trPr>
          <w:trHeight w:val="810"/>
          <w:jc w:val="center"/>
        </w:trPr>
        <w:tc>
          <w:tcPr>
            <w:tcW w:w="1750" w:type="dxa"/>
            <w:tcBorders>
              <w:top w:val="nil"/>
              <w:left w:val="single" w:sz="8" w:space="0" w:color="auto"/>
              <w:bottom w:val="single" w:sz="8" w:space="0" w:color="000000"/>
              <w:right w:val="single" w:sz="8" w:space="0" w:color="auto"/>
            </w:tcBorders>
            <w:shd w:val="clear" w:color="auto" w:fill="auto"/>
            <w:vAlign w:val="center"/>
            <w:hideMark/>
          </w:tcPr>
          <w:p w:rsidR="00CD3274" w:rsidRPr="00CD3274" w:rsidRDefault="00CD3274" w:rsidP="00CD3274">
            <w:pPr>
              <w:widowControl/>
              <w:autoSpaceDE/>
              <w:autoSpaceDN/>
              <w:adjustRightInd/>
              <w:ind w:firstLineChars="100" w:firstLine="200"/>
              <w:rPr>
                <w:color w:val="000000"/>
                <w:sz w:val="20"/>
                <w:szCs w:val="20"/>
              </w:rPr>
            </w:pPr>
            <w:r w:rsidRPr="00CD3274">
              <w:rPr>
                <w:color w:val="000000"/>
                <w:sz w:val="20"/>
                <w:szCs w:val="20"/>
              </w:rPr>
              <w:t xml:space="preserve">b.  Gas-Oil:  </w:t>
            </w:r>
            <w:proofErr w:type="spellStart"/>
            <w:r w:rsidRPr="00CD3274">
              <w:rPr>
                <w:color w:val="000000"/>
                <w:sz w:val="20"/>
                <w:szCs w:val="20"/>
              </w:rPr>
              <w:t>NO</w:t>
            </w:r>
            <w:r w:rsidRPr="00CD3274">
              <w:rPr>
                <w:color w:val="000000"/>
                <w:sz w:val="20"/>
                <w:szCs w:val="20"/>
                <w:vertAlign w:val="subscript"/>
              </w:rPr>
              <w:t>x</w:t>
            </w:r>
            <w:proofErr w:type="spellEnd"/>
            <w:r w:rsidRPr="00CD3274">
              <w:rPr>
                <w:color w:val="000000"/>
                <w:sz w:val="20"/>
                <w:szCs w:val="20"/>
              </w:rPr>
              <w:t xml:space="preserve"> CEMS and Appendix D fuel monitoring (units)</w:t>
            </w:r>
          </w:p>
        </w:tc>
        <w:tc>
          <w:tcPr>
            <w:tcW w:w="1037" w:type="dxa"/>
            <w:tcBorders>
              <w:top w:val="nil"/>
              <w:left w:val="nil"/>
              <w:bottom w:val="single" w:sz="8" w:space="0" w:color="000000"/>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10</w:t>
            </w:r>
          </w:p>
        </w:tc>
        <w:tc>
          <w:tcPr>
            <w:tcW w:w="1069" w:type="dxa"/>
            <w:tcBorders>
              <w:top w:val="nil"/>
              <w:left w:val="nil"/>
              <w:bottom w:val="single" w:sz="8" w:space="0" w:color="000000"/>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32</w:t>
            </w:r>
          </w:p>
        </w:tc>
        <w:tc>
          <w:tcPr>
            <w:tcW w:w="1303" w:type="dxa"/>
            <w:tcBorders>
              <w:top w:val="nil"/>
              <w:left w:val="nil"/>
              <w:bottom w:val="single" w:sz="8" w:space="0" w:color="000000"/>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42</w:t>
            </w:r>
          </w:p>
        </w:tc>
        <w:tc>
          <w:tcPr>
            <w:tcW w:w="1234" w:type="dxa"/>
            <w:tcBorders>
              <w:top w:val="nil"/>
              <w:left w:val="nil"/>
              <w:bottom w:val="single" w:sz="8" w:space="0" w:color="000000"/>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 xml:space="preserve">$2,893.32 </w:t>
            </w:r>
          </w:p>
        </w:tc>
        <w:tc>
          <w:tcPr>
            <w:tcW w:w="1116" w:type="dxa"/>
            <w:tcBorders>
              <w:top w:val="nil"/>
              <w:left w:val="nil"/>
              <w:bottom w:val="single" w:sz="8" w:space="0" w:color="000000"/>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 </w:t>
            </w:r>
          </w:p>
        </w:tc>
        <w:tc>
          <w:tcPr>
            <w:tcW w:w="912" w:type="dxa"/>
            <w:tcBorders>
              <w:top w:val="nil"/>
              <w:left w:val="nil"/>
              <w:bottom w:val="single" w:sz="8" w:space="0" w:color="000000"/>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 xml:space="preserve">$2,800 </w:t>
            </w:r>
          </w:p>
        </w:tc>
        <w:tc>
          <w:tcPr>
            <w:tcW w:w="1306" w:type="dxa"/>
            <w:tcBorders>
              <w:top w:val="nil"/>
              <w:left w:val="nil"/>
              <w:bottom w:val="single" w:sz="8" w:space="0" w:color="000000"/>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133</w:t>
            </w:r>
          </w:p>
        </w:tc>
        <w:tc>
          <w:tcPr>
            <w:tcW w:w="1227" w:type="dxa"/>
            <w:tcBorders>
              <w:top w:val="nil"/>
              <w:left w:val="nil"/>
              <w:bottom w:val="single" w:sz="8" w:space="0" w:color="000000"/>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5586</w:t>
            </w:r>
          </w:p>
        </w:tc>
        <w:tc>
          <w:tcPr>
            <w:tcW w:w="1516" w:type="dxa"/>
            <w:tcBorders>
              <w:top w:val="nil"/>
              <w:left w:val="nil"/>
              <w:bottom w:val="single" w:sz="8" w:space="0" w:color="000000"/>
              <w:right w:val="single" w:sz="8" w:space="0" w:color="auto"/>
            </w:tcBorders>
            <w:shd w:val="clear" w:color="auto" w:fill="auto"/>
            <w:vAlign w:val="center"/>
            <w:hideMark/>
          </w:tcPr>
          <w:p w:rsidR="00CD3274" w:rsidRPr="00CD3274" w:rsidRDefault="00CD3274" w:rsidP="00CD685B">
            <w:pPr>
              <w:widowControl/>
              <w:autoSpaceDE/>
              <w:autoSpaceDN/>
              <w:adjustRightInd/>
              <w:jc w:val="right"/>
              <w:rPr>
                <w:color w:val="000000"/>
                <w:sz w:val="20"/>
                <w:szCs w:val="20"/>
              </w:rPr>
            </w:pPr>
            <w:r w:rsidRPr="00CD3274">
              <w:rPr>
                <w:color w:val="000000"/>
                <w:sz w:val="20"/>
                <w:szCs w:val="20"/>
              </w:rPr>
              <w:t>$757,</w:t>
            </w:r>
            <w:r w:rsidR="00863DA0">
              <w:rPr>
                <w:color w:val="000000"/>
                <w:sz w:val="20"/>
                <w:szCs w:val="20"/>
              </w:rPr>
              <w:t>212</w:t>
            </w:r>
            <w:r w:rsidRPr="00CD3274">
              <w:rPr>
                <w:color w:val="000000"/>
                <w:sz w:val="20"/>
                <w:szCs w:val="20"/>
              </w:rPr>
              <w:t xml:space="preserve"> </w:t>
            </w:r>
          </w:p>
        </w:tc>
      </w:tr>
      <w:tr w:rsidR="00863DA0" w:rsidRPr="00CD3274" w:rsidTr="00CD685B">
        <w:trPr>
          <w:trHeight w:val="1105"/>
          <w:jc w:val="center"/>
        </w:trPr>
        <w:tc>
          <w:tcPr>
            <w:tcW w:w="12470" w:type="dxa"/>
            <w:gridSpan w:val="10"/>
            <w:tcBorders>
              <w:top w:val="single" w:sz="8" w:space="0" w:color="000000"/>
            </w:tcBorders>
            <w:shd w:val="clear" w:color="auto" w:fill="FFFFFF"/>
          </w:tcPr>
          <w:p w:rsidR="00863DA0" w:rsidRPr="00CD685B" w:rsidRDefault="00760531" w:rsidP="00CD685B">
            <w:pPr>
              <w:widowControl/>
              <w:autoSpaceDE/>
              <w:autoSpaceDN/>
              <w:adjustRightInd/>
              <w:jc w:val="right"/>
              <w:rPr>
                <w:bCs/>
                <w:color w:val="000000"/>
                <w:sz w:val="20"/>
                <w:szCs w:val="20"/>
              </w:rPr>
            </w:pPr>
            <w:r>
              <w:rPr>
                <w:bCs/>
                <w:color w:val="000000"/>
                <w:sz w:val="20"/>
                <w:szCs w:val="20"/>
              </w:rPr>
              <w:t>(Cont.)</w:t>
            </w:r>
          </w:p>
        </w:tc>
      </w:tr>
      <w:tr w:rsidR="00863DA0" w:rsidRPr="00CD3274" w:rsidTr="00CD685B">
        <w:trPr>
          <w:trHeight w:val="315"/>
          <w:jc w:val="center"/>
        </w:trPr>
        <w:tc>
          <w:tcPr>
            <w:tcW w:w="12470" w:type="dxa"/>
            <w:gridSpan w:val="10"/>
            <w:tcBorders>
              <w:left w:val="single" w:sz="8" w:space="0" w:color="auto"/>
              <w:bottom w:val="single" w:sz="8" w:space="0" w:color="auto"/>
              <w:right w:val="single" w:sz="8" w:space="0" w:color="000000"/>
            </w:tcBorders>
            <w:shd w:val="clear" w:color="auto" w:fill="D9D9D9"/>
            <w:vAlign w:val="center"/>
            <w:hideMark/>
          </w:tcPr>
          <w:p w:rsidR="00863DA0" w:rsidRPr="00CD3274" w:rsidRDefault="00863DA0" w:rsidP="00863DA0">
            <w:pPr>
              <w:widowControl/>
              <w:autoSpaceDE/>
              <w:autoSpaceDN/>
              <w:adjustRightInd/>
              <w:rPr>
                <w:b/>
                <w:bCs/>
                <w:color w:val="000000"/>
                <w:sz w:val="20"/>
                <w:szCs w:val="20"/>
              </w:rPr>
            </w:pPr>
            <w:r w:rsidRPr="00CD3274">
              <w:rPr>
                <w:b/>
                <w:bCs/>
                <w:color w:val="000000"/>
                <w:sz w:val="20"/>
                <w:szCs w:val="20"/>
              </w:rPr>
              <w:lastRenderedPageBreak/>
              <w:t>Certify Monitors</w:t>
            </w:r>
            <w:r>
              <w:rPr>
                <w:b/>
                <w:bCs/>
                <w:color w:val="000000"/>
                <w:sz w:val="20"/>
                <w:szCs w:val="20"/>
              </w:rPr>
              <w:t xml:space="preserve"> (cont.)</w:t>
            </w:r>
          </w:p>
        </w:tc>
      </w:tr>
      <w:tr w:rsidR="00CD3274" w:rsidRPr="00CD3274" w:rsidTr="00CD685B">
        <w:trPr>
          <w:trHeight w:val="1035"/>
          <w:jc w:val="center"/>
        </w:trPr>
        <w:tc>
          <w:tcPr>
            <w:tcW w:w="1750" w:type="dxa"/>
            <w:tcBorders>
              <w:top w:val="nil"/>
              <w:left w:val="single" w:sz="8" w:space="0" w:color="auto"/>
              <w:bottom w:val="single" w:sz="8" w:space="0" w:color="000000"/>
              <w:right w:val="single" w:sz="8" w:space="0" w:color="auto"/>
            </w:tcBorders>
            <w:shd w:val="clear" w:color="auto" w:fill="auto"/>
            <w:vAlign w:val="center"/>
            <w:hideMark/>
          </w:tcPr>
          <w:p w:rsidR="00CD3274" w:rsidRPr="00CD3274" w:rsidRDefault="00CD3274" w:rsidP="00CD3274">
            <w:pPr>
              <w:widowControl/>
              <w:autoSpaceDE/>
              <w:autoSpaceDN/>
              <w:adjustRightInd/>
              <w:ind w:firstLineChars="100" w:firstLine="200"/>
              <w:rPr>
                <w:color w:val="000000"/>
                <w:sz w:val="20"/>
                <w:szCs w:val="20"/>
              </w:rPr>
            </w:pPr>
            <w:r w:rsidRPr="00CD3274">
              <w:rPr>
                <w:color w:val="000000"/>
                <w:sz w:val="20"/>
                <w:szCs w:val="20"/>
              </w:rPr>
              <w:t>c.  Gas-Oil Peaking Units:  Appendix D fuel sampling, Appendix E, or LME methods (units)</w:t>
            </w:r>
          </w:p>
        </w:tc>
        <w:tc>
          <w:tcPr>
            <w:tcW w:w="1037" w:type="dxa"/>
            <w:tcBorders>
              <w:top w:val="nil"/>
              <w:left w:val="nil"/>
              <w:bottom w:val="single" w:sz="8" w:space="0" w:color="000000"/>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8</w:t>
            </w:r>
          </w:p>
        </w:tc>
        <w:tc>
          <w:tcPr>
            <w:tcW w:w="1069" w:type="dxa"/>
            <w:tcBorders>
              <w:top w:val="nil"/>
              <w:left w:val="nil"/>
              <w:bottom w:val="single" w:sz="8" w:space="0" w:color="000000"/>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24</w:t>
            </w:r>
          </w:p>
        </w:tc>
        <w:tc>
          <w:tcPr>
            <w:tcW w:w="1303" w:type="dxa"/>
            <w:tcBorders>
              <w:top w:val="nil"/>
              <w:left w:val="nil"/>
              <w:bottom w:val="single" w:sz="8" w:space="0" w:color="000000"/>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32</w:t>
            </w:r>
          </w:p>
        </w:tc>
        <w:tc>
          <w:tcPr>
            <w:tcW w:w="1234" w:type="dxa"/>
            <w:tcBorders>
              <w:top w:val="nil"/>
              <w:left w:val="nil"/>
              <w:bottom w:val="single" w:sz="8" w:space="0" w:color="000000"/>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 xml:space="preserve">$2,218.64 </w:t>
            </w:r>
          </w:p>
        </w:tc>
        <w:tc>
          <w:tcPr>
            <w:tcW w:w="1116" w:type="dxa"/>
            <w:tcBorders>
              <w:top w:val="nil"/>
              <w:left w:val="nil"/>
              <w:bottom w:val="single" w:sz="8" w:space="0" w:color="000000"/>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 </w:t>
            </w:r>
          </w:p>
        </w:tc>
        <w:tc>
          <w:tcPr>
            <w:tcW w:w="912" w:type="dxa"/>
            <w:tcBorders>
              <w:top w:val="nil"/>
              <w:left w:val="nil"/>
              <w:bottom w:val="single" w:sz="8" w:space="0" w:color="000000"/>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 xml:space="preserve">$10,000 </w:t>
            </w:r>
          </w:p>
        </w:tc>
        <w:tc>
          <w:tcPr>
            <w:tcW w:w="1306" w:type="dxa"/>
            <w:tcBorders>
              <w:top w:val="nil"/>
              <w:left w:val="nil"/>
              <w:bottom w:val="single" w:sz="8" w:space="0" w:color="000000"/>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669</w:t>
            </w:r>
          </w:p>
        </w:tc>
        <w:tc>
          <w:tcPr>
            <w:tcW w:w="1227" w:type="dxa"/>
            <w:tcBorders>
              <w:top w:val="nil"/>
              <w:left w:val="nil"/>
              <w:bottom w:val="single" w:sz="8" w:space="0" w:color="000000"/>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21408</w:t>
            </w:r>
          </w:p>
        </w:tc>
        <w:tc>
          <w:tcPr>
            <w:tcW w:w="1516" w:type="dxa"/>
            <w:tcBorders>
              <w:top w:val="nil"/>
              <w:left w:val="nil"/>
              <w:bottom w:val="single" w:sz="8" w:space="0" w:color="000000"/>
              <w:right w:val="single" w:sz="8" w:space="0" w:color="auto"/>
            </w:tcBorders>
            <w:shd w:val="clear" w:color="auto" w:fill="auto"/>
            <w:vAlign w:val="center"/>
            <w:hideMark/>
          </w:tcPr>
          <w:p w:rsidR="00CD3274" w:rsidRPr="00CD3274" w:rsidRDefault="00CD3274" w:rsidP="00CD685B">
            <w:pPr>
              <w:widowControl/>
              <w:autoSpaceDE/>
              <w:autoSpaceDN/>
              <w:adjustRightInd/>
              <w:jc w:val="right"/>
              <w:rPr>
                <w:color w:val="000000"/>
                <w:sz w:val="20"/>
                <w:szCs w:val="20"/>
              </w:rPr>
            </w:pPr>
            <w:r w:rsidRPr="00CD3274">
              <w:rPr>
                <w:color w:val="000000"/>
                <w:sz w:val="20"/>
                <w:szCs w:val="20"/>
              </w:rPr>
              <w:t xml:space="preserve">$8,174,2706 </w:t>
            </w:r>
          </w:p>
        </w:tc>
      </w:tr>
      <w:tr w:rsidR="00CD3274" w:rsidRPr="00CD3274" w:rsidTr="00CD685B">
        <w:trPr>
          <w:trHeight w:val="187"/>
          <w:jc w:val="center"/>
        </w:trPr>
        <w:tc>
          <w:tcPr>
            <w:tcW w:w="12470" w:type="dxa"/>
            <w:gridSpan w:val="10"/>
            <w:tcBorders>
              <w:top w:val="single" w:sz="8" w:space="0" w:color="auto"/>
              <w:left w:val="single" w:sz="8" w:space="0" w:color="auto"/>
              <w:bottom w:val="single" w:sz="8" w:space="0" w:color="auto"/>
              <w:right w:val="single" w:sz="8" w:space="0" w:color="000000"/>
            </w:tcBorders>
            <w:shd w:val="clear" w:color="auto" w:fill="auto"/>
            <w:vAlign w:val="center"/>
            <w:hideMark/>
          </w:tcPr>
          <w:p w:rsidR="00CD3274" w:rsidRPr="00CD3274" w:rsidRDefault="00CD3274" w:rsidP="00CD3274">
            <w:pPr>
              <w:widowControl/>
              <w:autoSpaceDE/>
              <w:autoSpaceDN/>
              <w:adjustRightInd/>
              <w:rPr>
                <w:b/>
                <w:bCs/>
                <w:color w:val="000000"/>
                <w:sz w:val="20"/>
                <w:szCs w:val="20"/>
              </w:rPr>
            </w:pPr>
            <w:r w:rsidRPr="00CD3274">
              <w:rPr>
                <w:b/>
                <w:bCs/>
                <w:color w:val="000000"/>
                <w:sz w:val="20"/>
                <w:szCs w:val="20"/>
              </w:rPr>
              <w:t>~ Non-ARP Sources in O</w:t>
            </w:r>
            <w:r w:rsidRPr="00CD3274">
              <w:rPr>
                <w:b/>
                <w:bCs/>
                <w:color w:val="000000"/>
                <w:sz w:val="20"/>
                <w:szCs w:val="20"/>
                <w:vertAlign w:val="subscript"/>
              </w:rPr>
              <w:t>3</w:t>
            </w:r>
            <w:r w:rsidRPr="00CD3274">
              <w:rPr>
                <w:b/>
                <w:bCs/>
                <w:color w:val="000000"/>
                <w:sz w:val="20"/>
                <w:szCs w:val="20"/>
              </w:rPr>
              <w:t xml:space="preserve"> Only States</w:t>
            </w:r>
          </w:p>
        </w:tc>
      </w:tr>
      <w:tr w:rsidR="00CD3274" w:rsidRPr="00CD3274" w:rsidTr="00CD685B">
        <w:trPr>
          <w:trHeight w:val="555"/>
          <w:jc w:val="center"/>
        </w:trPr>
        <w:tc>
          <w:tcPr>
            <w:tcW w:w="1750" w:type="dxa"/>
            <w:tcBorders>
              <w:top w:val="nil"/>
              <w:left w:val="single" w:sz="8" w:space="0" w:color="auto"/>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ind w:firstLineChars="100" w:firstLine="200"/>
              <w:rPr>
                <w:color w:val="000000"/>
                <w:sz w:val="20"/>
                <w:szCs w:val="20"/>
              </w:rPr>
            </w:pPr>
            <w:r w:rsidRPr="00CD3274">
              <w:rPr>
                <w:color w:val="000000"/>
                <w:sz w:val="20"/>
                <w:szCs w:val="20"/>
              </w:rPr>
              <w:t xml:space="preserve">a.  Solid Fuel:  </w:t>
            </w:r>
            <w:proofErr w:type="spellStart"/>
            <w:r w:rsidRPr="00CD3274">
              <w:rPr>
                <w:color w:val="000000"/>
                <w:sz w:val="20"/>
                <w:szCs w:val="20"/>
              </w:rPr>
              <w:t>NO</w:t>
            </w:r>
            <w:r w:rsidRPr="00CD3274">
              <w:rPr>
                <w:color w:val="000000"/>
                <w:sz w:val="20"/>
                <w:szCs w:val="20"/>
                <w:vertAlign w:val="subscript"/>
              </w:rPr>
              <w:t>x</w:t>
            </w:r>
            <w:proofErr w:type="spellEnd"/>
            <w:r w:rsidRPr="00CD3274">
              <w:rPr>
                <w:color w:val="000000"/>
                <w:sz w:val="20"/>
                <w:szCs w:val="20"/>
              </w:rPr>
              <w:t>, and Flow CEMS (units)</w:t>
            </w:r>
          </w:p>
        </w:tc>
        <w:tc>
          <w:tcPr>
            <w:tcW w:w="1037"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10</w:t>
            </w:r>
          </w:p>
        </w:tc>
        <w:tc>
          <w:tcPr>
            <w:tcW w:w="1069"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32</w:t>
            </w:r>
          </w:p>
        </w:tc>
        <w:tc>
          <w:tcPr>
            <w:tcW w:w="1303"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42</w:t>
            </w:r>
          </w:p>
        </w:tc>
        <w:tc>
          <w:tcPr>
            <w:tcW w:w="1234"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 xml:space="preserve">$2,893.32 </w:t>
            </w:r>
          </w:p>
        </w:tc>
        <w:tc>
          <w:tcPr>
            <w:tcW w:w="1116"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 </w:t>
            </w:r>
          </w:p>
        </w:tc>
        <w:tc>
          <w:tcPr>
            <w:tcW w:w="912"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 xml:space="preserve">$2,800 </w:t>
            </w:r>
          </w:p>
        </w:tc>
        <w:tc>
          <w:tcPr>
            <w:tcW w:w="1306"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0</w:t>
            </w:r>
          </w:p>
        </w:tc>
        <w:tc>
          <w:tcPr>
            <w:tcW w:w="1227"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0</w:t>
            </w:r>
          </w:p>
        </w:tc>
        <w:tc>
          <w:tcPr>
            <w:tcW w:w="1516"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 xml:space="preserve">$0.00 </w:t>
            </w:r>
          </w:p>
        </w:tc>
      </w:tr>
      <w:tr w:rsidR="00CD3274" w:rsidRPr="00CD3274" w:rsidTr="00CD685B">
        <w:trPr>
          <w:trHeight w:val="810"/>
          <w:jc w:val="center"/>
        </w:trPr>
        <w:tc>
          <w:tcPr>
            <w:tcW w:w="1750" w:type="dxa"/>
            <w:tcBorders>
              <w:top w:val="nil"/>
              <w:left w:val="single" w:sz="8" w:space="0" w:color="auto"/>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ind w:firstLineChars="100" w:firstLine="200"/>
              <w:rPr>
                <w:color w:val="000000"/>
                <w:sz w:val="20"/>
                <w:szCs w:val="20"/>
              </w:rPr>
            </w:pPr>
            <w:r w:rsidRPr="00CD3274">
              <w:rPr>
                <w:color w:val="000000"/>
                <w:sz w:val="20"/>
                <w:szCs w:val="20"/>
              </w:rPr>
              <w:t xml:space="preserve">b.  Gas-Oil:  </w:t>
            </w:r>
            <w:proofErr w:type="spellStart"/>
            <w:r w:rsidRPr="00CD3274">
              <w:rPr>
                <w:color w:val="000000"/>
                <w:sz w:val="20"/>
                <w:szCs w:val="20"/>
              </w:rPr>
              <w:t>NO</w:t>
            </w:r>
            <w:r w:rsidRPr="00CD3274">
              <w:rPr>
                <w:color w:val="000000"/>
                <w:sz w:val="20"/>
                <w:szCs w:val="20"/>
                <w:vertAlign w:val="subscript"/>
              </w:rPr>
              <w:t>x</w:t>
            </w:r>
            <w:proofErr w:type="spellEnd"/>
            <w:r w:rsidRPr="00CD3274">
              <w:rPr>
                <w:color w:val="000000"/>
                <w:sz w:val="20"/>
                <w:szCs w:val="20"/>
              </w:rPr>
              <w:t xml:space="preserve"> CEMS and Appendix D fuel monitoring (units)</w:t>
            </w:r>
          </w:p>
        </w:tc>
        <w:tc>
          <w:tcPr>
            <w:tcW w:w="1037"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10</w:t>
            </w:r>
          </w:p>
        </w:tc>
        <w:tc>
          <w:tcPr>
            <w:tcW w:w="1069"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32</w:t>
            </w:r>
          </w:p>
        </w:tc>
        <w:tc>
          <w:tcPr>
            <w:tcW w:w="1303"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42</w:t>
            </w:r>
          </w:p>
        </w:tc>
        <w:tc>
          <w:tcPr>
            <w:tcW w:w="1234"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 xml:space="preserve">$2,893.32 </w:t>
            </w:r>
          </w:p>
        </w:tc>
        <w:tc>
          <w:tcPr>
            <w:tcW w:w="1116"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 </w:t>
            </w:r>
          </w:p>
        </w:tc>
        <w:tc>
          <w:tcPr>
            <w:tcW w:w="912"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10</w:t>
            </w:r>
          </w:p>
        </w:tc>
        <w:tc>
          <w:tcPr>
            <w:tcW w:w="1306"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17</w:t>
            </w:r>
          </w:p>
        </w:tc>
        <w:tc>
          <w:tcPr>
            <w:tcW w:w="1227"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714</w:t>
            </w:r>
          </w:p>
        </w:tc>
        <w:tc>
          <w:tcPr>
            <w:tcW w:w="1516"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685B">
            <w:pPr>
              <w:widowControl/>
              <w:autoSpaceDE/>
              <w:autoSpaceDN/>
              <w:adjustRightInd/>
              <w:jc w:val="right"/>
              <w:rPr>
                <w:color w:val="000000"/>
                <w:sz w:val="20"/>
                <w:szCs w:val="20"/>
              </w:rPr>
            </w:pPr>
            <w:r w:rsidRPr="00CD3274">
              <w:rPr>
                <w:color w:val="000000"/>
                <w:sz w:val="20"/>
                <w:szCs w:val="20"/>
              </w:rPr>
              <w:t xml:space="preserve">$49,356 </w:t>
            </w:r>
          </w:p>
        </w:tc>
      </w:tr>
      <w:tr w:rsidR="00CD3274" w:rsidRPr="00CD3274" w:rsidTr="00CD685B">
        <w:trPr>
          <w:trHeight w:val="1035"/>
          <w:jc w:val="center"/>
        </w:trPr>
        <w:tc>
          <w:tcPr>
            <w:tcW w:w="1750" w:type="dxa"/>
            <w:tcBorders>
              <w:top w:val="nil"/>
              <w:left w:val="single" w:sz="8" w:space="0" w:color="auto"/>
              <w:bottom w:val="single" w:sz="8" w:space="0" w:color="000000"/>
              <w:right w:val="single" w:sz="8" w:space="0" w:color="auto"/>
            </w:tcBorders>
            <w:shd w:val="clear" w:color="auto" w:fill="auto"/>
            <w:vAlign w:val="center"/>
            <w:hideMark/>
          </w:tcPr>
          <w:p w:rsidR="00CD3274" w:rsidRPr="00CD3274" w:rsidRDefault="00CD3274" w:rsidP="00CD3274">
            <w:pPr>
              <w:widowControl/>
              <w:autoSpaceDE/>
              <w:autoSpaceDN/>
              <w:adjustRightInd/>
              <w:ind w:firstLineChars="100" w:firstLine="200"/>
              <w:rPr>
                <w:color w:val="000000"/>
                <w:sz w:val="20"/>
                <w:szCs w:val="20"/>
              </w:rPr>
            </w:pPr>
            <w:r w:rsidRPr="00CD3274">
              <w:rPr>
                <w:color w:val="000000"/>
                <w:sz w:val="20"/>
                <w:szCs w:val="20"/>
              </w:rPr>
              <w:t>c.  Gas-Oil Peaking Units:  Appendix D fuel sampling, Appendix E, or LME methods (units)</w:t>
            </w:r>
          </w:p>
        </w:tc>
        <w:tc>
          <w:tcPr>
            <w:tcW w:w="1037" w:type="dxa"/>
            <w:tcBorders>
              <w:top w:val="nil"/>
              <w:left w:val="nil"/>
              <w:bottom w:val="single" w:sz="8" w:space="0" w:color="000000"/>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8</w:t>
            </w:r>
          </w:p>
        </w:tc>
        <w:tc>
          <w:tcPr>
            <w:tcW w:w="1069" w:type="dxa"/>
            <w:tcBorders>
              <w:top w:val="nil"/>
              <w:left w:val="nil"/>
              <w:bottom w:val="single" w:sz="8" w:space="0" w:color="000000"/>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24</w:t>
            </w:r>
          </w:p>
        </w:tc>
        <w:tc>
          <w:tcPr>
            <w:tcW w:w="1303" w:type="dxa"/>
            <w:tcBorders>
              <w:top w:val="nil"/>
              <w:left w:val="nil"/>
              <w:bottom w:val="single" w:sz="8" w:space="0" w:color="000000"/>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32</w:t>
            </w:r>
          </w:p>
        </w:tc>
        <w:tc>
          <w:tcPr>
            <w:tcW w:w="1234" w:type="dxa"/>
            <w:tcBorders>
              <w:top w:val="nil"/>
              <w:left w:val="nil"/>
              <w:bottom w:val="single" w:sz="8" w:space="0" w:color="000000"/>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 xml:space="preserve">$2,218.64 </w:t>
            </w:r>
          </w:p>
        </w:tc>
        <w:tc>
          <w:tcPr>
            <w:tcW w:w="1116" w:type="dxa"/>
            <w:tcBorders>
              <w:top w:val="nil"/>
              <w:left w:val="nil"/>
              <w:bottom w:val="single" w:sz="8" w:space="0" w:color="000000"/>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 </w:t>
            </w:r>
          </w:p>
        </w:tc>
        <w:tc>
          <w:tcPr>
            <w:tcW w:w="912" w:type="dxa"/>
            <w:tcBorders>
              <w:top w:val="nil"/>
              <w:left w:val="nil"/>
              <w:bottom w:val="single" w:sz="8" w:space="0" w:color="000000"/>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8</w:t>
            </w:r>
          </w:p>
        </w:tc>
        <w:tc>
          <w:tcPr>
            <w:tcW w:w="1306" w:type="dxa"/>
            <w:tcBorders>
              <w:top w:val="nil"/>
              <w:left w:val="nil"/>
              <w:bottom w:val="single" w:sz="8" w:space="0" w:color="000000"/>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43</w:t>
            </w:r>
          </w:p>
        </w:tc>
        <w:tc>
          <w:tcPr>
            <w:tcW w:w="1227" w:type="dxa"/>
            <w:tcBorders>
              <w:top w:val="nil"/>
              <w:left w:val="nil"/>
              <w:bottom w:val="single" w:sz="8" w:space="0" w:color="000000"/>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1376</w:t>
            </w:r>
          </w:p>
        </w:tc>
        <w:tc>
          <w:tcPr>
            <w:tcW w:w="1516" w:type="dxa"/>
            <w:tcBorders>
              <w:top w:val="nil"/>
              <w:left w:val="nil"/>
              <w:bottom w:val="single" w:sz="8" w:space="0" w:color="000000"/>
              <w:right w:val="single" w:sz="8" w:space="0" w:color="auto"/>
            </w:tcBorders>
            <w:shd w:val="clear" w:color="auto" w:fill="auto"/>
            <w:vAlign w:val="center"/>
            <w:hideMark/>
          </w:tcPr>
          <w:p w:rsidR="00CD3274" w:rsidRPr="00CD3274" w:rsidRDefault="00CD3274" w:rsidP="00CD685B">
            <w:pPr>
              <w:widowControl/>
              <w:autoSpaceDE/>
              <w:autoSpaceDN/>
              <w:adjustRightInd/>
              <w:jc w:val="right"/>
              <w:rPr>
                <w:color w:val="000000"/>
                <w:sz w:val="20"/>
                <w:szCs w:val="20"/>
              </w:rPr>
            </w:pPr>
            <w:r w:rsidRPr="00CD3274">
              <w:rPr>
                <w:color w:val="000000"/>
                <w:sz w:val="20"/>
                <w:szCs w:val="20"/>
              </w:rPr>
              <w:t>$95,</w:t>
            </w:r>
            <w:r w:rsidR="00863DA0">
              <w:rPr>
                <w:color w:val="000000"/>
                <w:sz w:val="20"/>
                <w:szCs w:val="20"/>
              </w:rPr>
              <w:t>746</w:t>
            </w:r>
            <w:r w:rsidRPr="00CD3274">
              <w:rPr>
                <w:color w:val="000000"/>
                <w:sz w:val="20"/>
                <w:szCs w:val="20"/>
              </w:rPr>
              <w:t xml:space="preserve"> </w:t>
            </w:r>
          </w:p>
        </w:tc>
      </w:tr>
      <w:tr w:rsidR="00760531" w:rsidRPr="00CD3274" w:rsidTr="00CD685B">
        <w:trPr>
          <w:trHeight w:val="315"/>
          <w:jc w:val="center"/>
        </w:trPr>
        <w:tc>
          <w:tcPr>
            <w:tcW w:w="12470" w:type="dxa"/>
            <w:gridSpan w:val="10"/>
            <w:tcBorders>
              <w:top w:val="single" w:sz="8" w:space="0" w:color="000000"/>
            </w:tcBorders>
            <w:shd w:val="clear" w:color="auto" w:fill="FFFFFF"/>
          </w:tcPr>
          <w:p w:rsidR="00760531" w:rsidRPr="00CD685B" w:rsidRDefault="00760531" w:rsidP="00CD685B">
            <w:pPr>
              <w:widowControl/>
              <w:autoSpaceDE/>
              <w:autoSpaceDN/>
              <w:adjustRightInd/>
              <w:jc w:val="right"/>
              <w:rPr>
                <w:bCs/>
                <w:color w:val="000000"/>
                <w:sz w:val="20"/>
                <w:szCs w:val="20"/>
              </w:rPr>
            </w:pPr>
            <w:r w:rsidRPr="00CD685B">
              <w:rPr>
                <w:bCs/>
                <w:color w:val="000000"/>
                <w:sz w:val="20"/>
                <w:szCs w:val="20"/>
              </w:rPr>
              <w:t>(Cont.)</w:t>
            </w:r>
          </w:p>
        </w:tc>
      </w:tr>
      <w:tr w:rsidR="00CD3274" w:rsidRPr="00CD3274" w:rsidTr="00CD685B">
        <w:trPr>
          <w:trHeight w:val="315"/>
          <w:jc w:val="center"/>
        </w:trPr>
        <w:tc>
          <w:tcPr>
            <w:tcW w:w="12470" w:type="dxa"/>
            <w:gridSpan w:val="10"/>
            <w:tcBorders>
              <w:left w:val="single" w:sz="8" w:space="0" w:color="auto"/>
              <w:bottom w:val="single" w:sz="8" w:space="0" w:color="auto"/>
              <w:right w:val="single" w:sz="8" w:space="0" w:color="000000"/>
            </w:tcBorders>
            <w:shd w:val="clear" w:color="auto" w:fill="D9D9D9"/>
            <w:vAlign w:val="center"/>
            <w:hideMark/>
          </w:tcPr>
          <w:p w:rsidR="00CD3274" w:rsidRPr="00CD3274" w:rsidRDefault="00CD3274" w:rsidP="00CD3274">
            <w:pPr>
              <w:widowControl/>
              <w:autoSpaceDE/>
              <w:autoSpaceDN/>
              <w:adjustRightInd/>
              <w:rPr>
                <w:b/>
                <w:bCs/>
                <w:color w:val="000000"/>
                <w:sz w:val="20"/>
                <w:szCs w:val="20"/>
              </w:rPr>
            </w:pPr>
            <w:r w:rsidRPr="00CD3274">
              <w:rPr>
                <w:b/>
                <w:bCs/>
                <w:color w:val="000000"/>
                <w:sz w:val="20"/>
                <w:szCs w:val="20"/>
              </w:rPr>
              <w:lastRenderedPageBreak/>
              <w:t>Perform QA Testing and Maintenance</w:t>
            </w:r>
          </w:p>
        </w:tc>
      </w:tr>
      <w:tr w:rsidR="00CD3274" w:rsidRPr="00CD3274" w:rsidTr="00D84394">
        <w:trPr>
          <w:trHeight w:val="315"/>
          <w:jc w:val="center"/>
        </w:trPr>
        <w:tc>
          <w:tcPr>
            <w:tcW w:w="12470" w:type="dxa"/>
            <w:gridSpan w:val="10"/>
            <w:tcBorders>
              <w:top w:val="single" w:sz="8" w:space="0" w:color="auto"/>
              <w:left w:val="single" w:sz="8" w:space="0" w:color="auto"/>
              <w:bottom w:val="single" w:sz="8" w:space="0" w:color="auto"/>
              <w:right w:val="single" w:sz="8" w:space="0" w:color="000000"/>
            </w:tcBorders>
            <w:shd w:val="clear" w:color="auto" w:fill="auto"/>
            <w:vAlign w:val="center"/>
            <w:hideMark/>
          </w:tcPr>
          <w:p w:rsidR="00CD3274" w:rsidRPr="00CD3274" w:rsidRDefault="00CD3274" w:rsidP="00CD3274">
            <w:pPr>
              <w:widowControl/>
              <w:autoSpaceDE/>
              <w:autoSpaceDN/>
              <w:adjustRightInd/>
              <w:rPr>
                <w:b/>
                <w:bCs/>
                <w:color w:val="000000"/>
                <w:sz w:val="20"/>
                <w:szCs w:val="20"/>
              </w:rPr>
            </w:pPr>
            <w:r w:rsidRPr="00CD3274">
              <w:rPr>
                <w:b/>
                <w:bCs/>
                <w:color w:val="000000"/>
                <w:sz w:val="20"/>
                <w:szCs w:val="20"/>
              </w:rPr>
              <w:t>~ Non-ARP Sources in PM/O</w:t>
            </w:r>
            <w:r w:rsidRPr="00CD3274">
              <w:rPr>
                <w:b/>
                <w:bCs/>
                <w:color w:val="000000"/>
                <w:sz w:val="20"/>
                <w:szCs w:val="20"/>
                <w:vertAlign w:val="subscript"/>
              </w:rPr>
              <w:t>3</w:t>
            </w:r>
            <w:r w:rsidRPr="00CD3274">
              <w:rPr>
                <w:b/>
                <w:bCs/>
                <w:color w:val="000000"/>
                <w:sz w:val="20"/>
                <w:szCs w:val="20"/>
              </w:rPr>
              <w:t xml:space="preserve"> and PM Only States</w:t>
            </w:r>
          </w:p>
        </w:tc>
      </w:tr>
      <w:tr w:rsidR="00CD3274" w:rsidRPr="00CD3274" w:rsidTr="00CD685B">
        <w:trPr>
          <w:trHeight w:val="555"/>
          <w:jc w:val="center"/>
        </w:trPr>
        <w:tc>
          <w:tcPr>
            <w:tcW w:w="1750" w:type="dxa"/>
            <w:tcBorders>
              <w:top w:val="nil"/>
              <w:left w:val="single" w:sz="8" w:space="0" w:color="auto"/>
              <w:bottom w:val="single" w:sz="8" w:space="0" w:color="000000"/>
              <w:right w:val="single" w:sz="8" w:space="0" w:color="auto"/>
            </w:tcBorders>
            <w:shd w:val="clear" w:color="auto" w:fill="auto"/>
            <w:vAlign w:val="center"/>
            <w:hideMark/>
          </w:tcPr>
          <w:p w:rsidR="00CD3274" w:rsidRPr="00CD3274" w:rsidRDefault="00CD3274" w:rsidP="00CD3274">
            <w:pPr>
              <w:widowControl/>
              <w:autoSpaceDE/>
              <w:autoSpaceDN/>
              <w:adjustRightInd/>
              <w:ind w:firstLineChars="100" w:firstLine="200"/>
              <w:rPr>
                <w:color w:val="000000"/>
                <w:sz w:val="20"/>
                <w:szCs w:val="20"/>
              </w:rPr>
            </w:pPr>
            <w:r w:rsidRPr="00CD3274">
              <w:rPr>
                <w:color w:val="000000"/>
                <w:sz w:val="20"/>
                <w:szCs w:val="20"/>
              </w:rPr>
              <w:t>a.  Solid Fuel:  SO</w:t>
            </w:r>
            <w:r w:rsidRPr="00CD3274">
              <w:rPr>
                <w:color w:val="000000"/>
                <w:sz w:val="20"/>
                <w:szCs w:val="20"/>
                <w:vertAlign w:val="subscript"/>
              </w:rPr>
              <w:t>2</w:t>
            </w:r>
            <w:r w:rsidRPr="00CD3274">
              <w:rPr>
                <w:color w:val="000000"/>
                <w:sz w:val="20"/>
                <w:szCs w:val="20"/>
              </w:rPr>
              <w:t xml:space="preserve">, </w:t>
            </w:r>
            <w:proofErr w:type="spellStart"/>
            <w:r w:rsidRPr="00CD3274">
              <w:rPr>
                <w:color w:val="000000"/>
                <w:sz w:val="20"/>
                <w:szCs w:val="20"/>
              </w:rPr>
              <w:t>NO</w:t>
            </w:r>
            <w:r w:rsidRPr="00CD3274">
              <w:rPr>
                <w:color w:val="000000"/>
                <w:sz w:val="20"/>
                <w:szCs w:val="20"/>
                <w:vertAlign w:val="subscript"/>
              </w:rPr>
              <w:t>x</w:t>
            </w:r>
            <w:proofErr w:type="spellEnd"/>
            <w:r w:rsidRPr="00CD3274">
              <w:rPr>
                <w:color w:val="000000"/>
                <w:sz w:val="20"/>
                <w:szCs w:val="20"/>
              </w:rPr>
              <w:t>, and Flow CEMS (units)</w:t>
            </w:r>
          </w:p>
        </w:tc>
        <w:tc>
          <w:tcPr>
            <w:tcW w:w="1037" w:type="dxa"/>
            <w:tcBorders>
              <w:top w:val="nil"/>
              <w:left w:val="nil"/>
              <w:bottom w:val="single" w:sz="8" w:space="0" w:color="000000"/>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50</w:t>
            </w:r>
          </w:p>
        </w:tc>
        <w:tc>
          <w:tcPr>
            <w:tcW w:w="1069" w:type="dxa"/>
            <w:tcBorders>
              <w:top w:val="nil"/>
              <w:left w:val="nil"/>
              <w:bottom w:val="single" w:sz="8" w:space="0" w:color="000000"/>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600</w:t>
            </w:r>
          </w:p>
        </w:tc>
        <w:tc>
          <w:tcPr>
            <w:tcW w:w="1303" w:type="dxa"/>
            <w:tcBorders>
              <w:top w:val="nil"/>
              <w:left w:val="nil"/>
              <w:bottom w:val="single" w:sz="8" w:space="0" w:color="000000"/>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650</w:t>
            </w:r>
          </w:p>
        </w:tc>
        <w:tc>
          <w:tcPr>
            <w:tcW w:w="1234" w:type="dxa"/>
            <w:tcBorders>
              <w:top w:val="nil"/>
              <w:left w:val="nil"/>
              <w:bottom w:val="single" w:sz="8" w:space="0" w:color="000000"/>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 xml:space="preserve">$40,871.00 </w:t>
            </w:r>
          </w:p>
        </w:tc>
        <w:tc>
          <w:tcPr>
            <w:tcW w:w="1116" w:type="dxa"/>
            <w:tcBorders>
              <w:top w:val="nil"/>
              <w:left w:val="nil"/>
              <w:bottom w:val="single" w:sz="8" w:space="0" w:color="000000"/>
              <w:right w:val="single" w:sz="8" w:space="0" w:color="auto"/>
            </w:tcBorders>
            <w:shd w:val="clear" w:color="auto" w:fill="auto"/>
            <w:vAlign w:val="center"/>
            <w:hideMark/>
          </w:tcPr>
          <w:p w:rsidR="00CD3274" w:rsidRPr="00CD3274" w:rsidRDefault="00CD3274" w:rsidP="00CD3274">
            <w:pPr>
              <w:widowControl/>
              <w:autoSpaceDE/>
              <w:autoSpaceDN/>
              <w:adjustRightInd/>
              <w:rPr>
                <w:b/>
                <w:bCs/>
                <w:color w:val="000000"/>
                <w:sz w:val="20"/>
                <w:szCs w:val="20"/>
              </w:rPr>
            </w:pPr>
            <w:r w:rsidRPr="00CD3274">
              <w:rPr>
                <w:b/>
                <w:bCs/>
                <w:color w:val="000000"/>
                <w:sz w:val="20"/>
                <w:szCs w:val="20"/>
              </w:rPr>
              <w:t> </w:t>
            </w:r>
          </w:p>
        </w:tc>
        <w:tc>
          <w:tcPr>
            <w:tcW w:w="912" w:type="dxa"/>
            <w:tcBorders>
              <w:top w:val="nil"/>
              <w:left w:val="nil"/>
              <w:bottom w:val="single" w:sz="8" w:space="0" w:color="000000"/>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31,200</w:t>
            </w:r>
          </w:p>
        </w:tc>
        <w:tc>
          <w:tcPr>
            <w:tcW w:w="1306" w:type="dxa"/>
            <w:tcBorders>
              <w:top w:val="nil"/>
              <w:left w:val="nil"/>
              <w:bottom w:val="single" w:sz="8" w:space="0" w:color="000000"/>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114</w:t>
            </w:r>
          </w:p>
        </w:tc>
        <w:tc>
          <w:tcPr>
            <w:tcW w:w="1227" w:type="dxa"/>
            <w:tcBorders>
              <w:top w:val="nil"/>
              <w:left w:val="nil"/>
              <w:bottom w:val="single" w:sz="8" w:space="0" w:color="000000"/>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74100</w:t>
            </w:r>
          </w:p>
        </w:tc>
        <w:tc>
          <w:tcPr>
            <w:tcW w:w="1516" w:type="dxa"/>
            <w:tcBorders>
              <w:top w:val="nil"/>
              <w:left w:val="nil"/>
              <w:bottom w:val="single" w:sz="8" w:space="0" w:color="000000"/>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 xml:space="preserve">$8,216,094 </w:t>
            </w:r>
          </w:p>
        </w:tc>
      </w:tr>
      <w:tr w:rsidR="00CD3274" w:rsidRPr="00CD3274" w:rsidTr="00CD685B">
        <w:trPr>
          <w:trHeight w:val="810"/>
          <w:jc w:val="center"/>
        </w:trPr>
        <w:tc>
          <w:tcPr>
            <w:tcW w:w="1750" w:type="dxa"/>
            <w:tcBorders>
              <w:top w:val="nil"/>
              <w:left w:val="single" w:sz="8" w:space="0" w:color="auto"/>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ind w:firstLineChars="100" w:firstLine="200"/>
              <w:rPr>
                <w:color w:val="000000"/>
                <w:sz w:val="20"/>
                <w:szCs w:val="20"/>
              </w:rPr>
            </w:pPr>
            <w:r w:rsidRPr="00CD3274">
              <w:rPr>
                <w:color w:val="000000"/>
                <w:sz w:val="20"/>
                <w:szCs w:val="20"/>
              </w:rPr>
              <w:t xml:space="preserve">b.  Gas-Oil:  </w:t>
            </w:r>
            <w:proofErr w:type="spellStart"/>
            <w:r w:rsidRPr="00CD3274">
              <w:rPr>
                <w:color w:val="000000"/>
                <w:sz w:val="20"/>
                <w:szCs w:val="20"/>
              </w:rPr>
              <w:t>NO</w:t>
            </w:r>
            <w:r w:rsidRPr="00CD3274">
              <w:rPr>
                <w:color w:val="000000"/>
                <w:sz w:val="20"/>
                <w:szCs w:val="20"/>
                <w:vertAlign w:val="subscript"/>
              </w:rPr>
              <w:t>x</w:t>
            </w:r>
            <w:proofErr w:type="spellEnd"/>
            <w:r w:rsidRPr="00CD3274">
              <w:rPr>
                <w:color w:val="000000"/>
                <w:sz w:val="20"/>
                <w:szCs w:val="20"/>
              </w:rPr>
              <w:t xml:space="preserve"> CEMS and Appendix D fuel monitoring (units)</w:t>
            </w:r>
          </w:p>
        </w:tc>
        <w:tc>
          <w:tcPr>
            <w:tcW w:w="1037"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20</w:t>
            </w:r>
          </w:p>
        </w:tc>
        <w:tc>
          <w:tcPr>
            <w:tcW w:w="1069"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375</w:t>
            </w:r>
          </w:p>
        </w:tc>
        <w:tc>
          <w:tcPr>
            <w:tcW w:w="1303"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395</w:t>
            </w:r>
          </w:p>
        </w:tc>
        <w:tc>
          <w:tcPr>
            <w:tcW w:w="1234"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 xml:space="preserve">$24,449.75 </w:t>
            </w:r>
          </w:p>
        </w:tc>
        <w:tc>
          <w:tcPr>
            <w:tcW w:w="1116"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 </w:t>
            </w:r>
          </w:p>
        </w:tc>
        <w:tc>
          <w:tcPr>
            <w:tcW w:w="912"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 xml:space="preserve">$17,400 </w:t>
            </w:r>
          </w:p>
        </w:tc>
        <w:tc>
          <w:tcPr>
            <w:tcW w:w="1306"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133</w:t>
            </w:r>
          </w:p>
        </w:tc>
        <w:tc>
          <w:tcPr>
            <w:tcW w:w="1227"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52535</w:t>
            </w:r>
          </w:p>
        </w:tc>
        <w:tc>
          <w:tcPr>
            <w:tcW w:w="1516"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 xml:space="preserve">$5,566,017 </w:t>
            </w:r>
          </w:p>
        </w:tc>
      </w:tr>
      <w:tr w:rsidR="00CD3274" w:rsidRPr="00CD3274" w:rsidTr="00CD685B">
        <w:trPr>
          <w:trHeight w:val="1035"/>
          <w:jc w:val="center"/>
        </w:trPr>
        <w:tc>
          <w:tcPr>
            <w:tcW w:w="1750" w:type="dxa"/>
            <w:tcBorders>
              <w:top w:val="nil"/>
              <w:left w:val="single" w:sz="8" w:space="0" w:color="auto"/>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ind w:firstLineChars="100" w:firstLine="200"/>
              <w:rPr>
                <w:color w:val="000000"/>
                <w:sz w:val="20"/>
                <w:szCs w:val="20"/>
              </w:rPr>
            </w:pPr>
            <w:r w:rsidRPr="00CD3274">
              <w:rPr>
                <w:color w:val="000000"/>
                <w:sz w:val="20"/>
                <w:szCs w:val="20"/>
              </w:rPr>
              <w:t>c.  Gas-Oil Peaking Units:  Appendix D fuel sampling, Appendix E, or LME methods (units)</w:t>
            </w:r>
          </w:p>
        </w:tc>
        <w:tc>
          <w:tcPr>
            <w:tcW w:w="1037"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5</w:t>
            </w:r>
          </w:p>
        </w:tc>
        <w:tc>
          <w:tcPr>
            <w:tcW w:w="1069"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30</w:t>
            </w:r>
          </w:p>
        </w:tc>
        <w:tc>
          <w:tcPr>
            <w:tcW w:w="1303"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35</w:t>
            </w:r>
          </w:p>
        </w:tc>
        <w:tc>
          <w:tcPr>
            <w:tcW w:w="1234"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 xml:space="preserve">$2,286.80 </w:t>
            </w:r>
          </w:p>
        </w:tc>
        <w:tc>
          <w:tcPr>
            <w:tcW w:w="1116"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 </w:t>
            </w:r>
          </w:p>
        </w:tc>
        <w:tc>
          <w:tcPr>
            <w:tcW w:w="912"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 xml:space="preserve">$1,800 </w:t>
            </w:r>
          </w:p>
        </w:tc>
        <w:tc>
          <w:tcPr>
            <w:tcW w:w="1306"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669</w:t>
            </w:r>
          </w:p>
        </w:tc>
        <w:tc>
          <w:tcPr>
            <w:tcW w:w="1227"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23415</w:t>
            </w:r>
          </w:p>
        </w:tc>
        <w:tc>
          <w:tcPr>
            <w:tcW w:w="1516"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 xml:space="preserve">$2,734,069 </w:t>
            </w:r>
          </w:p>
        </w:tc>
      </w:tr>
      <w:tr w:rsidR="00CD3274" w:rsidRPr="00CD3274" w:rsidTr="00D84394">
        <w:trPr>
          <w:trHeight w:val="315"/>
          <w:jc w:val="center"/>
        </w:trPr>
        <w:tc>
          <w:tcPr>
            <w:tcW w:w="12470" w:type="dxa"/>
            <w:gridSpan w:val="10"/>
            <w:tcBorders>
              <w:top w:val="single" w:sz="8" w:space="0" w:color="auto"/>
              <w:left w:val="single" w:sz="8" w:space="0" w:color="auto"/>
              <w:bottom w:val="single" w:sz="8" w:space="0" w:color="auto"/>
              <w:right w:val="single" w:sz="8" w:space="0" w:color="000000"/>
            </w:tcBorders>
            <w:shd w:val="clear" w:color="auto" w:fill="auto"/>
            <w:vAlign w:val="center"/>
            <w:hideMark/>
          </w:tcPr>
          <w:p w:rsidR="00CD3274" w:rsidRPr="00CD3274" w:rsidRDefault="00CD3274" w:rsidP="00CD3274">
            <w:pPr>
              <w:widowControl/>
              <w:autoSpaceDE/>
              <w:autoSpaceDN/>
              <w:adjustRightInd/>
              <w:rPr>
                <w:b/>
                <w:bCs/>
                <w:color w:val="000000"/>
                <w:sz w:val="20"/>
                <w:szCs w:val="20"/>
              </w:rPr>
            </w:pPr>
            <w:r w:rsidRPr="00CD3274">
              <w:rPr>
                <w:b/>
                <w:bCs/>
                <w:color w:val="000000"/>
                <w:sz w:val="20"/>
                <w:szCs w:val="20"/>
              </w:rPr>
              <w:t>~ Non-ARP Sources in O</w:t>
            </w:r>
            <w:r w:rsidRPr="00CD3274">
              <w:rPr>
                <w:b/>
                <w:bCs/>
                <w:color w:val="000000"/>
                <w:sz w:val="20"/>
                <w:szCs w:val="20"/>
                <w:vertAlign w:val="subscript"/>
              </w:rPr>
              <w:t>3</w:t>
            </w:r>
            <w:r w:rsidRPr="00CD3274">
              <w:rPr>
                <w:b/>
                <w:bCs/>
                <w:color w:val="000000"/>
                <w:sz w:val="20"/>
                <w:szCs w:val="20"/>
              </w:rPr>
              <w:t xml:space="preserve"> Only States</w:t>
            </w:r>
          </w:p>
        </w:tc>
      </w:tr>
      <w:tr w:rsidR="00CD3274" w:rsidRPr="00CD3274" w:rsidTr="00CD685B">
        <w:trPr>
          <w:trHeight w:val="555"/>
          <w:jc w:val="center"/>
        </w:trPr>
        <w:tc>
          <w:tcPr>
            <w:tcW w:w="1750" w:type="dxa"/>
            <w:tcBorders>
              <w:top w:val="nil"/>
              <w:left w:val="single" w:sz="8" w:space="0" w:color="auto"/>
              <w:bottom w:val="single" w:sz="8" w:space="0" w:color="000000"/>
              <w:right w:val="single" w:sz="8" w:space="0" w:color="auto"/>
            </w:tcBorders>
            <w:shd w:val="clear" w:color="auto" w:fill="auto"/>
            <w:vAlign w:val="center"/>
            <w:hideMark/>
          </w:tcPr>
          <w:p w:rsidR="00CD3274" w:rsidRPr="00CD3274" w:rsidRDefault="00CD3274" w:rsidP="00CD3274">
            <w:pPr>
              <w:widowControl/>
              <w:autoSpaceDE/>
              <w:autoSpaceDN/>
              <w:adjustRightInd/>
              <w:ind w:firstLineChars="100" w:firstLine="200"/>
              <w:rPr>
                <w:color w:val="000000"/>
                <w:sz w:val="20"/>
                <w:szCs w:val="20"/>
              </w:rPr>
            </w:pPr>
            <w:r w:rsidRPr="00CD3274">
              <w:rPr>
                <w:color w:val="000000"/>
                <w:sz w:val="20"/>
                <w:szCs w:val="20"/>
              </w:rPr>
              <w:t xml:space="preserve">a.  Solid Fuel:  </w:t>
            </w:r>
            <w:proofErr w:type="spellStart"/>
            <w:r w:rsidRPr="00CD3274">
              <w:rPr>
                <w:color w:val="000000"/>
                <w:sz w:val="20"/>
                <w:szCs w:val="20"/>
              </w:rPr>
              <w:t>NO</w:t>
            </w:r>
            <w:r w:rsidRPr="00CD3274">
              <w:rPr>
                <w:color w:val="000000"/>
                <w:sz w:val="20"/>
                <w:szCs w:val="20"/>
                <w:vertAlign w:val="subscript"/>
              </w:rPr>
              <w:t>x</w:t>
            </w:r>
            <w:proofErr w:type="spellEnd"/>
            <w:r w:rsidRPr="00CD3274">
              <w:rPr>
                <w:color w:val="000000"/>
                <w:sz w:val="20"/>
                <w:szCs w:val="20"/>
              </w:rPr>
              <w:t>, and Flow CEMS (units)</w:t>
            </w:r>
          </w:p>
        </w:tc>
        <w:tc>
          <w:tcPr>
            <w:tcW w:w="1037" w:type="dxa"/>
            <w:tcBorders>
              <w:top w:val="nil"/>
              <w:left w:val="nil"/>
              <w:bottom w:val="single" w:sz="8" w:space="0" w:color="000000"/>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40</w:t>
            </w:r>
          </w:p>
        </w:tc>
        <w:tc>
          <w:tcPr>
            <w:tcW w:w="1069" w:type="dxa"/>
            <w:tcBorders>
              <w:top w:val="nil"/>
              <w:left w:val="nil"/>
              <w:bottom w:val="single" w:sz="8" w:space="0" w:color="000000"/>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400</w:t>
            </w:r>
          </w:p>
        </w:tc>
        <w:tc>
          <w:tcPr>
            <w:tcW w:w="1303" w:type="dxa"/>
            <w:tcBorders>
              <w:top w:val="nil"/>
              <w:left w:val="nil"/>
              <w:bottom w:val="single" w:sz="8" w:space="0" w:color="000000"/>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440</w:t>
            </w:r>
          </w:p>
        </w:tc>
        <w:tc>
          <w:tcPr>
            <w:tcW w:w="1234" w:type="dxa"/>
            <w:tcBorders>
              <w:top w:val="nil"/>
              <w:left w:val="nil"/>
              <w:bottom w:val="single" w:sz="8" w:space="0" w:color="000000"/>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 xml:space="preserve">$27,896.00 </w:t>
            </w:r>
          </w:p>
        </w:tc>
        <w:tc>
          <w:tcPr>
            <w:tcW w:w="1116" w:type="dxa"/>
            <w:tcBorders>
              <w:top w:val="nil"/>
              <w:left w:val="nil"/>
              <w:bottom w:val="single" w:sz="8" w:space="0" w:color="000000"/>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 </w:t>
            </w:r>
          </w:p>
        </w:tc>
        <w:tc>
          <w:tcPr>
            <w:tcW w:w="912" w:type="dxa"/>
            <w:tcBorders>
              <w:top w:val="nil"/>
              <w:left w:val="nil"/>
              <w:bottom w:val="single" w:sz="8" w:space="0" w:color="000000"/>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 xml:space="preserve">$20,800 </w:t>
            </w:r>
          </w:p>
        </w:tc>
        <w:tc>
          <w:tcPr>
            <w:tcW w:w="1306" w:type="dxa"/>
            <w:tcBorders>
              <w:top w:val="nil"/>
              <w:left w:val="nil"/>
              <w:bottom w:val="single" w:sz="8" w:space="0" w:color="000000"/>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0</w:t>
            </w:r>
          </w:p>
        </w:tc>
        <w:tc>
          <w:tcPr>
            <w:tcW w:w="1227" w:type="dxa"/>
            <w:tcBorders>
              <w:top w:val="nil"/>
              <w:left w:val="nil"/>
              <w:bottom w:val="single" w:sz="8" w:space="0" w:color="000000"/>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0</w:t>
            </w:r>
          </w:p>
        </w:tc>
        <w:tc>
          <w:tcPr>
            <w:tcW w:w="1516" w:type="dxa"/>
            <w:tcBorders>
              <w:top w:val="nil"/>
              <w:left w:val="nil"/>
              <w:bottom w:val="single" w:sz="8" w:space="0" w:color="000000"/>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 xml:space="preserve">$0 </w:t>
            </w:r>
          </w:p>
        </w:tc>
      </w:tr>
      <w:tr w:rsidR="00760531" w:rsidRPr="00CD3274" w:rsidTr="00CD685B">
        <w:trPr>
          <w:trHeight w:val="315"/>
          <w:jc w:val="center"/>
        </w:trPr>
        <w:tc>
          <w:tcPr>
            <w:tcW w:w="12470" w:type="dxa"/>
            <w:gridSpan w:val="10"/>
            <w:tcBorders>
              <w:top w:val="single" w:sz="8" w:space="0" w:color="000000"/>
            </w:tcBorders>
            <w:shd w:val="clear" w:color="auto" w:fill="FFFFFF"/>
          </w:tcPr>
          <w:p w:rsidR="00760531" w:rsidRPr="00CD3274" w:rsidRDefault="00760531" w:rsidP="00CD685B">
            <w:pPr>
              <w:widowControl/>
              <w:autoSpaceDE/>
              <w:autoSpaceDN/>
              <w:adjustRightInd/>
              <w:jc w:val="right"/>
              <w:rPr>
                <w:b/>
                <w:bCs/>
                <w:color w:val="000000"/>
                <w:sz w:val="20"/>
                <w:szCs w:val="20"/>
              </w:rPr>
            </w:pPr>
            <w:r>
              <w:rPr>
                <w:color w:val="000000"/>
                <w:sz w:val="20"/>
                <w:szCs w:val="20"/>
              </w:rPr>
              <w:t>(Cont.)</w:t>
            </w:r>
          </w:p>
        </w:tc>
      </w:tr>
      <w:tr w:rsidR="00760531" w:rsidRPr="00CD3274" w:rsidTr="00CD685B">
        <w:trPr>
          <w:trHeight w:val="315"/>
          <w:jc w:val="center"/>
        </w:trPr>
        <w:tc>
          <w:tcPr>
            <w:tcW w:w="12470" w:type="dxa"/>
            <w:gridSpan w:val="10"/>
            <w:tcBorders>
              <w:left w:val="single" w:sz="8" w:space="0" w:color="auto"/>
              <w:bottom w:val="single" w:sz="8" w:space="0" w:color="auto"/>
              <w:right w:val="single" w:sz="8" w:space="0" w:color="000000"/>
            </w:tcBorders>
            <w:shd w:val="clear" w:color="auto" w:fill="D9D9D9"/>
            <w:vAlign w:val="center"/>
            <w:hideMark/>
          </w:tcPr>
          <w:p w:rsidR="00760531" w:rsidRPr="00CD3274" w:rsidRDefault="00760531" w:rsidP="002E1527">
            <w:pPr>
              <w:widowControl/>
              <w:autoSpaceDE/>
              <w:autoSpaceDN/>
              <w:adjustRightInd/>
              <w:rPr>
                <w:b/>
                <w:bCs/>
                <w:color w:val="000000"/>
                <w:sz w:val="20"/>
                <w:szCs w:val="20"/>
              </w:rPr>
            </w:pPr>
            <w:r w:rsidRPr="00CD3274">
              <w:rPr>
                <w:b/>
                <w:bCs/>
                <w:color w:val="000000"/>
                <w:sz w:val="20"/>
                <w:szCs w:val="20"/>
              </w:rPr>
              <w:lastRenderedPageBreak/>
              <w:t>Perform QA Testing and Maintenance</w:t>
            </w:r>
            <w:r>
              <w:rPr>
                <w:b/>
                <w:bCs/>
                <w:color w:val="000000"/>
                <w:sz w:val="20"/>
                <w:szCs w:val="20"/>
              </w:rPr>
              <w:t xml:space="preserve"> (cont.)</w:t>
            </w:r>
          </w:p>
        </w:tc>
      </w:tr>
      <w:tr w:rsidR="00CD3274" w:rsidRPr="00CD3274" w:rsidTr="00CD685B">
        <w:trPr>
          <w:trHeight w:val="810"/>
          <w:jc w:val="center"/>
        </w:trPr>
        <w:tc>
          <w:tcPr>
            <w:tcW w:w="1750" w:type="dxa"/>
            <w:tcBorders>
              <w:top w:val="nil"/>
              <w:left w:val="single" w:sz="8" w:space="0" w:color="auto"/>
              <w:bottom w:val="single" w:sz="8" w:space="0" w:color="000000"/>
              <w:right w:val="single" w:sz="8" w:space="0" w:color="auto"/>
            </w:tcBorders>
            <w:shd w:val="clear" w:color="auto" w:fill="auto"/>
            <w:vAlign w:val="center"/>
            <w:hideMark/>
          </w:tcPr>
          <w:p w:rsidR="00CD3274" w:rsidRPr="00CD3274" w:rsidRDefault="00CD3274" w:rsidP="00CD3274">
            <w:pPr>
              <w:widowControl/>
              <w:autoSpaceDE/>
              <w:autoSpaceDN/>
              <w:adjustRightInd/>
              <w:ind w:firstLineChars="100" w:firstLine="200"/>
              <w:rPr>
                <w:color w:val="000000"/>
                <w:sz w:val="20"/>
                <w:szCs w:val="20"/>
              </w:rPr>
            </w:pPr>
            <w:r w:rsidRPr="00CD3274">
              <w:rPr>
                <w:color w:val="000000"/>
                <w:sz w:val="20"/>
                <w:szCs w:val="20"/>
              </w:rPr>
              <w:t xml:space="preserve">b.  Gas-Oil:  </w:t>
            </w:r>
            <w:proofErr w:type="spellStart"/>
            <w:r w:rsidRPr="00CD3274">
              <w:rPr>
                <w:color w:val="000000"/>
                <w:sz w:val="20"/>
                <w:szCs w:val="20"/>
              </w:rPr>
              <w:t>NO</w:t>
            </w:r>
            <w:r w:rsidRPr="00CD3274">
              <w:rPr>
                <w:color w:val="000000"/>
                <w:sz w:val="20"/>
                <w:szCs w:val="20"/>
                <w:vertAlign w:val="subscript"/>
              </w:rPr>
              <w:t>x</w:t>
            </w:r>
            <w:proofErr w:type="spellEnd"/>
            <w:r w:rsidRPr="00CD3274">
              <w:rPr>
                <w:color w:val="000000"/>
                <w:sz w:val="20"/>
                <w:szCs w:val="20"/>
              </w:rPr>
              <w:t xml:space="preserve"> CEMS and Appendix D fuel monitoring (units)</w:t>
            </w:r>
          </w:p>
        </w:tc>
        <w:tc>
          <w:tcPr>
            <w:tcW w:w="1037" w:type="dxa"/>
            <w:tcBorders>
              <w:top w:val="nil"/>
              <w:left w:val="nil"/>
              <w:bottom w:val="single" w:sz="8" w:space="0" w:color="000000"/>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20</w:t>
            </w:r>
          </w:p>
        </w:tc>
        <w:tc>
          <w:tcPr>
            <w:tcW w:w="1069" w:type="dxa"/>
            <w:tcBorders>
              <w:top w:val="nil"/>
              <w:left w:val="nil"/>
              <w:bottom w:val="single" w:sz="8" w:space="0" w:color="000000"/>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375</w:t>
            </w:r>
          </w:p>
        </w:tc>
        <w:tc>
          <w:tcPr>
            <w:tcW w:w="1303" w:type="dxa"/>
            <w:tcBorders>
              <w:top w:val="nil"/>
              <w:left w:val="nil"/>
              <w:bottom w:val="single" w:sz="8" w:space="0" w:color="000000"/>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395</w:t>
            </w:r>
          </w:p>
        </w:tc>
        <w:tc>
          <w:tcPr>
            <w:tcW w:w="1234" w:type="dxa"/>
            <w:tcBorders>
              <w:top w:val="nil"/>
              <w:left w:val="nil"/>
              <w:bottom w:val="single" w:sz="8" w:space="0" w:color="000000"/>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 xml:space="preserve">$24,449.75 </w:t>
            </w:r>
          </w:p>
        </w:tc>
        <w:tc>
          <w:tcPr>
            <w:tcW w:w="1116" w:type="dxa"/>
            <w:tcBorders>
              <w:top w:val="nil"/>
              <w:left w:val="nil"/>
              <w:bottom w:val="single" w:sz="8" w:space="0" w:color="000000"/>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 </w:t>
            </w:r>
          </w:p>
        </w:tc>
        <w:tc>
          <w:tcPr>
            <w:tcW w:w="912" w:type="dxa"/>
            <w:tcBorders>
              <w:top w:val="nil"/>
              <w:left w:val="nil"/>
              <w:bottom w:val="single" w:sz="8" w:space="0" w:color="000000"/>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 xml:space="preserve">$17,400 </w:t>
            </w:r>
          </w:p>
        </w:tc>
        <w:tc>
          <w:tcPr>
            <w:tcW w:w="1306" w:type="dxa"/>
            <w:tcBorders>
              <w:top w:val="nil"/>
              <w:left w:val="nil"/>
              <w:bottom w:val="single" w:sz="8" w:space="0" w:color="000000"/>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17</w:t>
            </w:r>
          </w:p>
        </w:tc>
        <w:tc>
          <w:tcPr>
            <w:tcW w:w="1227" w:type="dxa"/>
            <w:tcBorders>
              <w:top w:val="nil"/>
              <w:left w:val="nil"/>
              <w:bottom w:val="single" w:sz="8" w:space="0" w:color="000000"/>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6715</w:t>
            </w:r>
          </w:p>
        </w:tc>
        <w:tc>
          <w:tcPr>
            <w:tcW w:w="1516" w:type="dxa"/>
            <w:tcBorders>
              <w:top w:val="nil"/>
              <w:left w:val="nil"/>
              <w:bottom w:val="single" w:sz="8" w:space="0" w:color="000000"/>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 xml:space="preserve">$711,445.75 </w:t>
            </w:r>
          </w:p>
        </w:tc>
      </w:tr>
      <w:tr w:rsidR="00CD3274" w:rsidRPr="00CD3274" w:rsidTr="00CD685B">
        <w:trPr>
          <w:trHeight w:val="1035"/>
          <w:jc w:val="center"/>
        </w:trPr>
        <w:tc>
          <w:tcPr>
            <w:tcW w:w="1750" w:type="dxa"/>
            <w:tcBorders>
              <w:left w:val="single" w:sz="8" w:space="0" w:color="auto"/>
              <w:bottom w:val="single" w:sz="8" w:space="0" w:color="auto"/>
              <w:right w:val="single" w:sz="8" w:space="0" w:color="auto"/>
            </w:tcBorders>
            <w:shd w:val="clear" w:color="auto" w:fill="auto"/>
            <w:vAlign w:val="center"/>
            <w:hideMark/>
          </w:tcPr>
          <w:p w:rsidR="00CD3274" w:rsidRPr="00CD3274" w:rsidRDefault="00CD3274" w:rsidP="00CD685B">
            <w:pPr>
              <w:widowControl/>
              <w:autoSpaceDE/>
              <w:autoSpaceDN/>
              <w:adjustRightInd/>
              <w:ind w:firstLineChars="100" w:firstLine="200"/>
              <w:rPr>
                <w:color w:val="000000"/>
                <w:sz w:val="20"/>
                <w:szCs w:val="20"/>
              </w:rPr>
            </w:pPr>
            <w:r w:rsidRPr="00CD3274">
              <w:rPr>
                <w:color w:val="000000"/>
                <w:sz w:val="20"/>
                <w:szCs w:val="20"/>
              </w:rPr>
              <w:t>c.  Gas-Oil Peaking Units:  Appendix D fuel sampling, Appendix E, or LME methods (units)</w:t>
            </w:r>
          </w:p>
        </w:tc>
        <w:tc>
          <w:tcPr>
            <w:tcW w:w="1037" w:type="dxa"/>
            <w:tcBorders>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5</w:t>
            </w:r>
          </w:p>
        </w:tc>
        <w:tc>
          <w:tcPr>
            <w:tcW w:w="1069" w:type="dxa"/>
            <w:tcBorders>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30</w:t>
            </w:r>
          </w:p>
        </w:tc>
        <w:tc>
          <w:tcPr>
            <w:tcW w:w="1303" w:type="dxa"/>
            <w:tcBorders>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35</w:t>
            </w:r>
          </w:p>
        </w:tc>
        <w:tc>
          <w:tcPr>
            <w:tcW w:w="1234" w:type="dxa"/>
            <w:tcBorders>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 xml:space="preserve">$2,286.80 </w:t>
            </w:r>
          </w:p>
        </w:tc>
        <w:tc>
          <w:tcPr>
            <w:tcW w:w="1116" w:type="dxa"/>
            <w:tcBorders>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 </w:t>
            </w:r>
          </w:p>
        </w:tc>
        <w:tc>
          <w:tcPr>
            <w:tcW w:w="912" w:type="dxa"/>
            <w:tcBorders>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 xml:space="preserve">$1,800 </w:t>
            </w:r>
          </w:p>
        </w:tc>
        <w:tc>
          <w:tcPr>
            <w:tcW w:w="1306" w:type="dxa"/>
            <w:tcBorders>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43</w:t>
            </w:r>
          </w:p>
        </w:tc>
        <w:tc>
          <w:tcPr>
            <w:tcW w:w="1227" w:type="dxa"/>
            <w:tcBorders>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1505</w:t>
            </w:r>
          </w:p>
        </w:tc>
        <w:tc>
          <w:tcPr>
            <w:tcW w:w="1516" w:type="dxa"/>
            <w:tcBorders>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 xml:space="preserve">$175,732 </w:t>
            </w:r>
          </w:p>
        </w:tc>
      </w:tr>
      <w:tr w:rsidR="00CD3274" w:rsidRPr="00CD3274" w:rsidTr="00CD685B">
        <w:trPr>
          <w:trHeight w:val="315"/>
          <w:jc w:val="center"/>
        </w:trPr>
        <w:tc>
          <w:tcPr>
            <w:tcW w:w="12470" w:type="dxa"/>
            <w:gridSpan w:val="10"/>
            <w:tcBorders>
              <w:top w:val="single" w:sz="8" w:space="0" w:color="auto"/>
              <w:left w:val="single" w:sz="8" w:space="0" w:color="auto"/>
              <w:bottom w:val="single" w:sz="8" w:space="0" w:color="auto"/>
              <w:right w:val="single" w:sz="8" w:space="0" w:color="000000"/>
            </w:tcBorders>
            <w:shd w:val="clear" w:color="auto" w:fill="D9D9D9"/>
            <w:vAlign w:val="center"/>
            <w:hideMark/>
          </w:tcPr>
          <w:p w:rsidR="00CD3274" w:rsidRPr="00CD3274" w:rsidRDefault="00CD3274" w:rsidP="00CD3274">
            <w:pPr>
              <w:widowControl/>
              <w:autoSpaceDE/>
              <w:autoSpaceDN/>
              <w:adjustRightInd/>
              <w:rPr>
                <w:b/>
                <w:bCs/>
                <w:color w:val="000000"/>
                <w:sz w:val="20"/>
                <w:szCs w:val="20"/>
              </w:rPr>
            </w:pPr>
            <w:r w:rsidRPr="00CD3274">
              <w:rPr>
                <w:b/>
                <w:bCs/>
                <w:color w:val="000000"/>
                <w:sz w:val="20"/>
                <w:szCs w:val="20"/>
              </w:rPr>
              <w:t>Assure Data Quality, Prepare Reports, Submit Reports</w:t>
            </w:r>
          </w:p>
        </w:tc>
      </w:tr>
      <w:tr w:rsidR="00CD3274" w:rsidRPr="00CD3274" w:rsidTr="00CD685B">
        <w:trPr>
          <w:trHeight w:val="810"/>
          <w:jc w:val="center"/>
        </w:trPr>
        <w:tc>
          <w:tcPr>
            <w:tcW w:w="1750" w:type="dxa"/>
            <w:tcBorders>
              <w:top w:val="nil"/>
              <w:left w:val="single" w:sz="8" w:space="0" w:color="auto"/>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ind w:firstLineChars="100" w:firstLine="200"/>
              <w:rPr>
                <w:color w:val="000000"/>
                <w:sz w:val="20"/>
                <w:szCs w:val="20"/>
              </w:rPr>
            </w:pPr>
            <w:r w:rsidRPr="00CD3274">
              <w:rPr>
                <w:color w:val="000000"/>
                <w:sz w:val="20"/>
                <w:szCs w:val="20"/>
              </w:rPr>
              <w:t>~ Non-ARP Sources in PM/O</w:t>
            </w:r>
            <w:r w:rsidRPr="00CD3274">
              <w:rPr>
                <w:color w:val="000000"/>
                <w:sz w:val="20"/>
                <w:szCs w:val="20"/>
                <w:vertAlign w:val="subscript"/>
              </w:rPr>
              <w:t>3</w:t>
            </w:r>
            <w:r w:rsidRPr="00CD3274">
              <w:rPr>
                <w:color w:val="000000"/>
                <w:sz w:val="20"/>
                <w:szCs w:val="20"/>
              </w:rPr>
              <w:t xml:space="preserve"> and PM Only States (facilities)</w:t>
            </w:r>
          </w:p>
        </w:tc>
        <w:tc>
          <w:tcPr>
            <w:tcW w:w="1037"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16</w:t>
            </w:r>
          </w:p>
        </w:tc>
        <w:tc>
          <w:tcPr>
            <w:tcW w:w="1069"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42</w:t>
            </w:r>
          </w:p>
        </w:tc>
        <w:tc>
          <w:tcPr>
            <w:tcW w:w="1303"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58</w:t>
            </w:r>
          </w:p>
        </w:tc>
        <w:tc>
          <w:tcPr>
            <w:tcW w:w="1234"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 xml:space="preserve">$4,077.22 </w:t>
            </w:r>
          </w:p>
        </w:tc>
        <w:tc>
          <w:tcPr>
            <w:tcW w:w="1116"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 </w:t>
            </w:r>
          </w:p>
        </w:tc>
        <w:tc>
          <w:tcPr>
            <w:tcW w:w="912"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 </w:t>
            </w:r>
          </w:p>
        </w:tc>
        <w:tc>
          <w:tcPr>
            <w:tcW w:w="1306"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135</w:t>
            </w:r>
          </w:p>
        </w:tc>
        <w:tc>
          <w:tcPr>
            <w:tcW w:w="1227"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7830</w:t>
            </w:r>
          </w:p>
        </w:tc>
        <w:tc>
          <w:tcPr>
            <w:tcW w:w="1516"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 xml:space="preserve">$550,425 </w:t>
            </w:r>
          </w:p>
        </w:tc>
      </w:tr>
      <w:tr w:rsidR="00CD3274" w:rsidRPr="00CD3274" w:rsidTr="00CD685B">
        <w:trPr>
          <w:trHeight w:val="810"/>
          <w:jc w:val="center"/>
        </w:trPr>
        <w:tc>
          <w:tcPr>
            <w:tcW w:w="1750" w:type="dxa"/>
            <w:tcBorders>
              <w:top w:val="nil"/>
              <w:left w:val="single" w:sz="8" w:space="0" w:color="auto"/>
              <w:bottom w:val="single" w:sz="8" w:space="0" w:color="000000"/>
              <w:right w:val="single" w:sz="8" w:space="0" w:color="auto"/>
            </w:tcBorders>
            <w:shd w:val="clear" w:color="auto" w:fill="auto"/>
            <w:vAlign w:val="center"/>
            <w:hideMark/>
          </w:tcPr>
          <w:p w:rsidR="00CD3274" w:rsidRPr="00CD3274" w:rsidRDefault="00CD3274" w:rsidP="00CD3274">
            <w:pPr>
              <w:widowControl/>
              <w:autoSpaceDE/>
              <w:autoSpaceDN/>
              <w:adjustRightInd/>
              <w:ind w:firstLineChars="100" w:firstLine="200"/>
              <w:rPr>
                <w:color w:val="000000"/>
                <w:sz w:val="20"/>
                <w:szCs w:val="20"/>
              </w:rPr>
            </w:pPr>
            <w:r w:rsidRPr="00CD3274">
              <w:rPr>
                <w:color w:val="000000"/>
                <w:sz w:val="20"/>
                <w:szCs w:val="20"/>
              </w:rPr>
              <w:t>~ Non-ARP Sources in O</w:t>
            </w:r>
            <w:r w:rsidRPr="00CD3274">
              <w:rPr>
                <w:color w:val="000000"/>
                <w:sz w:val="20"/>
                <w:szCs w:val="20"/>
                <w:vertAlign w:val="subscript"/>
              </w:rPr>
              <w:t>3</w:t>
            </w:r>
            <w:r w:rsidRPr="00CD3274">
              <w:rPr>
                <w:color w:val="000000"/>
                <w:sz w:val="20"/>
                <w:szCs w:val="20"/>
              </w:rPr>
              <w:t xml:space="preserve"> Only States (facilities)</w:t>
            </w:r>
          </w:p>
        </w:tc>
        <w:tc>
          <w:tcPr>
            <w:tcW w:w="1037" w:type="dxa"/>
            <w:tcBorders>
              <w:top w:val="nil"/>
              <w:left w:val="nil"/>
              <w:bottom w:val="single" w:sz="8" w:space="0" w:color="000000"/>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16</w:t>
            </w:r>
          </w:p>
        </w:tc>
        <w:tc>
          <w:tcPr>
            <w:tcW w:w="1069" w:type="dxa"/>
            <w:tcBorders>
              <w:top w:val="nil"/>
              <w:left w:val="nil"/>
              <w:bottom w:val="single" w:sz="8" w:space="0" w:color="000000"/>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42</w:t>
            </w:r>
          </w:p>
        </w:tc>
        <w:tc>
          <w:tcPr>
            <w:tcW w:w="1303" w:type="dxa"/>
            <w:tcBorders>
              <w:top w:val="nil"/>
              <w:left w:val="nil"/>
              <w:bottom w:val="single" w:sz="8" w:space="0" w:color="000000"/>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58</w:t>
            </w:r>
          </w:p>
        </w:tc>
        <w:tc>
          <w:tcPr>
            <w:tcW w:w="1234" w:type="dxa"/>
            <w:tcBorders>
              <w:top w:val="nil"/>
              <w:left w:val="nil"/>
              <w:bottom w:val="single" w:sz="8" w:space="0" w:color="000000"/>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 xml:space="preserve">$4,077.22 </w:t>
            </w:r>
          </w:p>
        </w:tc>
        <w:tc>
          <w:tcPr>
            <w:tcW w:w="1116" w:type="dxa"/>
            <w:tcBorders>
              <w:top w:val="nil"/>
              <w:left w:val="nil"/>
              <w:bottom w:val="single" w:sz="8" w:space="0" w:color="000000"/>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 </w:t>
            </w:r>
          </w:p>
        </w:tc>
        <w:tc>
          <w:tcPr>
            <w:tcW w:w="912" w:type="dxa"/>
            <w:tcBorders>
              <w:top w:val="nil"/>
              <w:left w:val="nil"/>
              <w:bottom w:val="single" w:sz="8" w:space="0" w:color="000000"/>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 </w:t>
            </w:r>
          </w:p>
        </w:tc>
        <w:tc>
          <w:tcPr>
            <w:tcW w:w="1306" w:type="dxa"/>
            <w:tcBorders>
              <w:top w:val="nil"/>
              <w:left w:val="nil"/>
              <w:bottom w:val="single" w:sz="8" w:space="0" w:color="000000"/>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23</w:t>
            </w:r>
          </w:p>
        </w:tc>
        <w:tc>
          <w:tcPr>
            <w:tcW w:w="1227" w:type="dxa"/>
            <w:tcBorders>
              <w:top w:val="nil"/>
              <w:left w:val="nil"/>
              <w:bottom w:val="single" w:sz="8" w:space="0" w:color="000000"/>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1334</w:t>
            </w:r>
          </w:p>
        </w:tc>
        <w:tc>
          <w:tcPr>
            <w:tcW w:w="1516" w:type="dxa"/>
            <w:tcBorders>
              <w:top w:val="nil"/>
              <w:left w:val="nil"/>
              <w:bottom w:val="single" w:sz="8" w:space="0" w:color="000000"/>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 xml:space="preserve">$93,776 </w:t>
            </w:r>
          </w:p>
        </w:tc>
      </w:tr>
      <w:tr w:rsidR="00760531" w:rsidRPr="00CD3274" w:rsidTr="00CD685B">
        <w:trPr>
          <w:trHeight w:val="655"/>
          <w:jc w:val="center"/>
        </w:trPr>
        <w:tc>
          <w:tcPr>
            <w:tcW w:w="12470" w:type="dxa"/>
            <w:gridSpan w:val="10"/>
            <w:tcBorders>
              <w:top w:val="single" w:sz="8" w:space="0" w:color="000000"/>
            </w:tcBorders>
            <w:shd w:val="clear" w:color="auto" w:fill="FFFFFF"/>
          </w:tcPr>
          <w:p w:rsidR="00760531" w:rsidRPr="00CD685B" w:rsidRDefault="00760531" w:rsidP="00CD685B">
            <w:pPr>
              <w:widowControl/>
              <w:autoSpaceDE/>
              <w:autoSpaceDN/>
              <w:adjustRightInd/>
              <w:jc w:val="right"/>
              <w:rPr>
                <w:bCs/>
                <w:color w:val="000000"/>
                <w:sz w:val="20"/>
                <w:szCs w:val="20"/>
              </w:rPr>
            </w:pPr>
            <w:r>
              <w:rPr>
                <w:bCs/>
                <w:color w:val="000000"/>
                <w:sz w:val="20"/>
                <w:szCs w:val="20"/>
              </w:rPr>
              <w:t>(cont.)</w:t>
            </w:r>
          </w:p>
        </w:tc>
      </w:tr>
      <w:tr w:rsidR="00760531" w:rsidRPr="00CD3274" w:rsidTr="00CD685B">
        <w:trPr>
          <w:trHeight w:val="315"/>
          <w:jc w:val="center"/>
        </w:trPr>
        <w:tc>
          <w:tcPr>
            <w:tcW w:w="12470" w:type="dxa"/>
            <w:gridSpan w:val="10"/>
            <w:tcBorders>
              <w:left w:val="single" w:sz="8" w:space="0" w:color="auto"/>
              <w:bottom w:val="single" w:sz="8" w:space="0" w:color="auto"/>
              <w:right w:val="single" w:sz="8" w:space="0" w:color="000000"/>
            </w:tcBorders>
            <w:shd w:val="clear" w:color="auto" w:fill="D9D9D9"/>
            <w:vAlign w:val="center"/>
            <w:hideMark/>
          </w:tcPr>
          <w:p w:rsidR="00760531" w:rsidRPr="00CD3274" w:rsidRDefault="00760531" w:rsidP="002E1527">
            <w:pPr>
              <w:widowControl/>
              <w:autoSpaceDE/>
              <w:autoSpaceDN/>
              <w:adjustRightInd/>
              <w:rPr>
                <w:b/>
                <w:bCs/>
                <w:color w:val="000000"/>
                <w:sz w:val="20"/>
                <w:szCs w:val="20"/>
              </w:rPr>
            </w:pPr>
            <w:r w:rsidRPr="00CD3274">
              <w:rPr>
                <w:b/>
                <w:bCs/>
                <w:color w:val="000000"/>
                <w:sz w:val="20"/>
                <w:szCs w:val="20"/>
              </w:rPr>
              <w:lastRenderedPageBreak/>
              <w:t>Assure Data Quality, Prepare Reports, Submit Reports</w:t>
            </w:r>
            <w:r>
              <w:rPr>
                <w:b/>
                <w:bCs/>
                <w:color w:val="000000"/>
                <w:sz w:val="20"/>
                <w:szCs w:val="20"/>
              </w:rPr>
              <w:t xml:space="preserve"> (cont.)</w:t>
            </w:r>
          </w:p>
        </w:tc>
      </w:tr>
      <w:tr w:rsidR="00CD3274" w:rsidRPr="00CD3274" w:rsidTr="00CD685B">
        <w:trPr>
          <w:trHeight w:val="525"/>
          <w:jc w:val="center"/>
        </w:trPr>
        <w:tc>
          <w:tcPr>
            <w:tcW w:w="1750" w:type="dxa"/>
            <w:tcBorders>
              <w:top w:val="nil"/>
              <w:left w:val="single" w:sz="8" w:space="0" w:color="auto"/>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ind w:firstLineChars="100" w:firstLine="200"/>
              <w:rPr>
                <w:color w:val="000000"/>
                <w:sz w:val="20"/>
                <w:szCs w:val="20"/>
              </w:rPr>
            </w:pPr>
            <w:r w:rsidRPr="00CD3274">
              <w:rPr>
                <w:color w:val="000000"/>
                <w:sz w:val="20"/>
                <w:szCs w:val="20"/>
              </w:rPr>
              <w:t>~ Year end compliance activities (facilities)</w:t>
            </w:r>
          </w:p>
        </w:tc>
        <w:tc>
          <w:tcPr>
            <w:tcW w:w="1037"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2</w:t>
            </w:r>
          </w:p>
        </w:tc>
        <w:tc>
          <w:tcPr>
            <w:tcW w:w="1069"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0</w:t>
            </w:r>
          </w:p>
        </w:tc>
        <w:tc>
          <w:tcPr>
            <w:tcW w:w="1303"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2</w:t>
            </w:r>
          </w:p>
        </w:tc>
        <w:tc>
          <w:tcPr>
            <w:tcW w:w="1234"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 xml:space="preserve">$194.60 </w:t>
            </w:r>
          </w:p>
        </w:tc>
        <w:tc>
          <w:tcPr>
            <w:tcW w:w="1116"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 </w:t>
            </w:r>
          </w:p>
        </w:tc>
        <w:tc>
          <w:tcPr>
            <w:tcW w:w="912"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 </w:t>
            </w:r>
          </w:p>
        </w:tc>
        <w:tc>
          <w:tcPr>
            <w:tcW w:w="1306"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1,077</w:t>
            </w:r>
          </w:p>
        </w:tc>
        <w:tc>
          <w:tcPr>
            <w:tcW w:w="1227"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2154</w:t>
            </w:r>
          </w:p>
        </w:tc>
        <w:tc>
          <w:tcPr>
            <w:tcW w:w="1516"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 xml:space="preserve">$209,584 </w:t>
            </w:r>
          </w:p>
        </w:tc>
      </w:tr>
      <w:tr w:rsidR="00CD3274" w:rsidRPr="00CD3274" w:rsidTr="00CD685B">
        <w:trPr>
          <w:trHeight w:val="315"/>
          <w:jc w:val="center"/>
        </w:trPr>
        <w:tc>
          <w:tcPr>
            <w:tcW w:w="1750" w:type="dxa"/>
            <w:tcBorders>
              <w:top w:val="nil"/>
              <w:left w:val="single" w:sz="8" w:space="0" w:color="auto"/>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rPr>
                <w:color w:val="000000"/>
                <w:sz w:val="20"/>
                <w:szCs w:val="20"/>
              </w:rPr>
            </w:pPr>
            <w:r w:rsidRPr="00CD3274">
              <w:rPr>
                <w:color w:val="000000"/>
                <w:sz w:val="20"/>
                <w:szCs w:val="20"/>
              </w:rPr>
              <w:t>~ Allowance Transfers</w:t>
            </w:r>
          </w:p>
        </w:tc>
        <w:tc>
          <w:tcPr>
            <w:tcW w:w="1037"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1</w:t>
            </w:r>
          </w:p>
        </w:tc>
        <w:tc>
          <w:tcPr>
            <w:tcW w:w="1069"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1</w:t>
            </w:r>
          </w:p>
        </w:tc>
        <w:tc>
          <w:tcPr>
            <w:tcW w:w="1303"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2</w:t>
            </w:r>
          </w:p>
        </w:tc>
        <w:tc>
          <w:tcPr>
            <w:tcW w:w="1234"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 xml:space="preserve">$157.31 </w:t>
            </w:r>
          </w:p>
        </w:tc>
        <w:tc>
          <w:tcPr>
            <w:tcW w:w="1116"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 </w:t>
            </w:r>
          </w:p>
        </w:tc>
        <w:tc>
          <w:tcPr>
            <w:tcW w:w="912"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 </w:t>
            </w:r>
          </w:p>
        </w:tc>
        <w:tc>
          <w:tcPr>
            <w:tcW w:w="1306"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7,500</w:t>
            </w:r>
          </w:p>
        </w:tc>
        <w:tc>
          <w:tcPr>
            <w:tcW w:w="1227"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15000</w:t>
            </w:r>
          </w:p>
        </w:tc>
        <w:tc>
          <w:tcPr>
            <w:tcW w:w="1516"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color w:val="000000"/>
                <w:sz w:val="20"/>
                <w:szCs w:val="20"/>
              </w:rPr>
            </w:pPr>
            <w:r w:rsidRPr="00CD3274">
              <w:rPr>
                <w:color w:val="000000"/>
                <w:sz w:val="20"/>
                <w:szCs w:val="20"/>
              </w:rPr>
              <w:t xml:space="preserve">$1,179,825 </w:t>
            </w:r>
          </w:p>
        </w:tc>
      </w:tr>
      <w:tr w:rsidR="00CD3274" w:rsidRPr="00CD3274" w:rsidTr="00CD685B">
        <w:trPr>
          <w:trHeight w:val="315"/>
          <w:jc w:val="center"/>
        </w:trPr>
        <w:tc>
          <w:tcPr>
            <w:tcW w:w="1750" w:type="dxa"/>
            <w:tcBorders>
              <w:top w:val="nil"/>
              <w:left w:val="single" w:sz="8" w:space="0" w:color="auto"/>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rPr>
                <w:b/>
                <w:bCs/>
                <w:color w:val="000000"/>
                <w:sz w:val="20"/>
                <w:szCs w:val="20"/>
              </w:rPr>
            </w:pPr>
            <w:r w:rsidRPr="00CD3274">
              <w:rPr>
                <w:b/>
                <w:bCs/>
                <w:color w:val="000000"/>
                <w:sz w:val="20"/>
                <w:szCs w:val="20"/>
              </w:rPr>
              <w:t>TOTAL</w:t>
            </w:r>
          </w:p>
        </w:tc>
        <w:tc>
          <w:tcPr>
            <w:tcW w:w="1037"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rPr>
                <w:b/>
                <w:bCs/>
                <w:color w:val="000000"/>
                <w:sz w:val="20"/>
                <w:szCs w:val="20"/>
              </w:rPr>
            </w:pPr>
            <w:r w:rsidRPr="00CD3274">
              <w:rPr>
                <w:b/>
                <w:bCs/>
                <w:color w:val="000000"/>
                <w:sz w:val="20"/>
                <w:szCs w:val="20"/>
              </w:rPr>
              <w:t> </w:t>
            </w:r>
          </w:p>
        </w:tc>
        <w:tc>
          <w:tcPr>
            <w:tcW w:w="1069"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b/>
                <w:bCs/>
                <w:color w:val="000000"/>
                <w:sz w:val="20"/>
                <w:szCs w:val="20"/>
              </w:rPr>
            </w:pPr>
            <w:r w:rsidRPr="00CD3274">
              <w:rPr>
                <w:b/>
                <w:bCs/>
                <w:color w:val="000000"/>
                <w:sz w:val="20"/>
                <w:szCs w:val="20"/>
              </w:rPr>
              <w:t> </w:t>
            </w:r>
          </w:p>
        </w:tc>
        <w:tc>
          <w:tcPr>
            <w:tcW w:w="1303"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b/>
                <w:bCs/>
                <w:color w:val="000000"/>
                <w:sz w:val="20"/>
                <w:szCs w:val="20"/>
              </w:rPr>
            </w:pPr>
            <w:r w:rsidRPr="00CD3274">
              <w:rPr>
                <w:b/>
                <w:bCs/>
                <w:color w:val="000000"/>
                <w:sz w:val="20"/>
                <w:szCs w:val="20"/>
              </w:rPr>
              <w:t> </w:t>
            </w:r>
          </w:p>
        </w:tc>
        <w:tc>
          <w:tcPr>
            <w:tcW w:w="1234"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b/>
                <w:bCs/>
                <w:color w:val="000000"/>
                <w:sz w:val="20"/>
                <w:szCs w:val="20"/>
              </w:rPr>
            </w:pPr>
            <w:r w:rsidRPr="00CD3274">
              <w:rPr>
                <w:b/>
                <w:bCs/>
                <w:color w:val="000000"/>
                <w:sz w:val="20"/>
                <w:szCs w:val="20"/>
              </w:rPr>
              <w:t> </w:t>
            </w:r>
          </w:p>
        </w:tc>
        <w:tc>
          <w:tcPr>
            <w:tcW w:w="1116"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b/>
                <w:bCs/>
                <w:color w:val="000000"/>
                <w:sz w:val="20"/>
                <w:szCs w:val="20"/>
              </w:rPr>
            </w:pPr>
            <w:r w:rsidRPr="00CD3274">
              <w:rPr>
                <w:b/>
                <w:bCs/>
                <w:color w:val="000000"/>
                <w:sz w:val="20"/>
                <w:szCs w:val="20"/>
              </w:rPr>
              <w:t> </w:t>
            </w:r>
          </w:p>
        </w:tc>
        <w:tc>
          <w:tcPr>
            <w:tcW w:w="912"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b/>
                <w:bCs/>
                <w:color w:val="000000"/>
                <w:sz w:val="20"/>
                <w:szCs w:val="20"/>
              </w:rPr>
            </w:pPr>
            <w:r w:rsidRPr="00CD3274">
              <w:rPr>
                <w:b/>
                <w:bCs/>
                <w:color w:val="000000"/>
                <w:sz w:val="20"/>
                <w:szCs w:val="20"/>
              </w:rPr>
              <w:t> </w:t>
            </w:r>
          </w:p>
        </w:tc>
        <w:tc>
          <w:tcPr>
            <w:tcW w:w="1306"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b/>
                <w:bCs/>
                <w:color w:val="000000"/>
                <w:sz w:val="20"/>
                <w:szCs w:val="20"/>
              </w:rPr>
            </w:pPr>
            <w:r w:rsidRPr="00CD3274">
              <w:rPr>
                <w:b/>
                <w:bCs/>
                <w:color w:val="000000"/>
                <w:sz w:val="20"/>
                <w:szCs w:val="20"/>
              </w:rPr>
              <w:t> </w:t>
            </w:r>
          </w:p>
        </w:tc>
        <w:tc>
          <w:tcPr>
            <w:tcW w:w="1227"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b/>
                <w:bCs/>
                <w:color w:val="000000"/>
                <w:sz w:val="20"/>
                <w:szCs w:val="20"/>
              </w:rPr>
            </w:pPr>
            <w:r w:rsidRPr="00CD3274">
              <w:rPr>
                <w:b/>
                <w:bCs/>
                <w:color w:val="000000"/>
                <w:sz w:val="20"/>
                <w:szCs w:val="20"/>
              </w:rPr>
              <w:t>265,292</w:t>
            </w:r>
          </w:p>
        </w:tc>
        <w:tc>
          <w:tcPr>
            <w:tcW w:w="1516" w:type="dxa"/>
            <w:tcBorders>
              <w:top w:val="nil"/>
              <w:left w:val="nil"/>
              <w:bottom w:val="single" w:sz="8" w:space="0" w:color="auto"/>
              <w:right w:val="single" w:sz="8" w:space="0" w:color="auto"/>
            </w:tcBorders>
            <w:shd w:val="clear" w:color="auto" w:fill="auto"/>
            <w:vAlign w:val="center"/>
            <w:hideMark/>
          </w:tcPr>
          <w:p w:rsidR="00CD3274" w:rsidRPr="00CD3274" w:rsidRDefault="00CD3274" w:rsidP="00CD3274">
            <w:pPr>
              <w:widowControl/>
              <w:autoSpaceDE/>
              <w:autoSpaceDN/>
              <w:adjustRightInd/>
              <w:jc w:val="right"/>
              <w:rPr>
                <w:b/>
                <w:bCs/>
                <w:color w:val="000000"/>
                <w:sz w:val="20"/>
                <w:szCs w:val="20"/>
              </w:rPr>
            </w:pPr>
            <w:r w:rsidRPr="00CD3274">
              <w:rPr>
                <w:b/>
                <w:bCs/>
                <w:color w:val="000000"/>
                <w:sz w:val="20"/>
                <w:szCs w:val="20"/>
              </w:rPr>
              <w:t xml:space="preserve">$40,819,163 </w:t>
            </w:r>
          </w:p>
        </w:tc>
      </w:tr>
    </w:tbl>
    <w:p w:rsidR="00CD3274" w:rsidRPr="00CD3274" w:rsidRDefault="00CD3274" w:rsidP="00CD3274">
      <w:pPr>
        <w:widowControl/>
        <w:jc w:val="center"/>
        <w:rPr>
          <w:color w:val="0F0F0F"/>
        </w:rPr>
      </w:pPr>
    </w:p>
    <w:sectPr w:rsidR="00CD3274" w:rsidRPr="00CD3274" w:rsidSect="008D04A6">
      <w:headerReference w:type="default" r:id="rId15"/>
      <w:footerReference w:type="default" r:id="rId16"/>
      <w:pgSz w:w="15840" w:h="12240" w:orient="landscape"/>
      <w:pgMar w:top="720" w:right="720" w:bottom="720" w:left="720" w:header="1440" w:footer="144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14F1" w:rsidRDefault="009114F1">
      <w:r>
        <w:separator/>
      </w:r>
    </w:p>
  </w:endnote>
  <w:endnote w:type="continuationSeparator" w:id="0">
    <w:p w:rsidR="009114F1" w:rsidRDefault="009114F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P MathA">
    <w:altName w:val="Symbol"/>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7BBA" w:rsidRDefault="00D0453F" w:rsidP="00E71D02">
    <w:pPr>
      <w:pStyle w:val="Footer"/>
      <w:framePr w:wrap="around" w:vAnchor="text" w:hAnchor="margin" w:xAlign="right" w:y="1"/>
      <w:rPr>
        <w:rStyle w:val="PageNumber"/>
      </w:rPr>
    </w:pPr>
    <w:r>
      <w:rPr>
        <w:rStyle w:val="PageNumber"/>
      </w:rPr>
      <w:fldChar w:fldCharType="begin"/>
    </w:r>
    <w:r w:rsidR="00617BBA">
      <w:rPr>
        <w:rStyle w:val="PageNumber"/>
      </w:rPr>
      <w:instrText xml:space="preserve">PAGE  </w:instrText>
    </w:r>
    <w:r>
      <w:rPr>
        <w:rStyle w:val="PageNumber"/>
      </w:rPr>
      <w:fldChar w:fldCharType="separate"/>
    </w:r>
    <w:r w:rsidR="00473BB5">
      <w:rPr>
        <w:rStyle w:val="PageNumber"/>
        <w:noProof/>
      </w:rPr>
      <w:t>6</w:t>
    </w:r>
    <w:r>
      <w:rPr>
        <w:rStyle w:val="PageNumber"/>
      </w:rPr>
      <w:fldChar w:fldCharType="end"/>
    </w:r>
  </w:p>
  <w:p w:rsidR="00617BBA" w:rsidRDefault="00617BBA" w:rsidP="008B7DB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7BBA" w:rsidRDefault="00D0453F" w:rsidP="00E71D02">
    <w:pPr>
      <w:pStyle w:val="Footer"/>
      <w:framePr w:wrap="around" w:vAnchor="text" w:hAnchor="margin" w:xAlign="right" w:y="1"/>
      <w:rPr>
        <w:rStyle w:val="PageNumber"/>
      </w:rPr>
    </w:pPr>
    <w:r>
      <w:rPr>
        <w:rStyle w:val="PageNumber"/>
      </w:rPr>
      <w:fldChar w:fldCharType="begin"/>
    </w:r>
    <w:r w:rsidR="00617BBA">
      <w:rPr>
        <w:rStyle w:val="PageNumber"/>
      </w:rPr>
      <w:instrText xml:space="preserve">PAGE  </w:instrText>
    </w:r>
    <w:r>
      <w:rPr>
        <w:rStyle w:val="PageNumber"/>
      </w:rPr>
      <w:fldChar w:fldCharType="end"/>
    </w:r>
  </w:p>
  <w:p w:rsidR="00617BBA" w:rsidRDefault="00617BBA" w:rsidP="008B7DB0">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7BBA" w:rsidRDefault="00617BBA" w:rsidP="008B7DB0">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14F1" w:rsidRDefault="009114F1">
      <w:r>
        <w:separator/>
      </w:r>
    </w:p>
  </w:footnote>
  <w:footnote w:type="continuationSeparator" w:id="0">
    <w:p w:rsidR="009114F1" w:rsidRDefault="009114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7BBA" w:rsidRDefault="00617BBA" w:rsidP="00AA47F2">
    <w:pPr>
      <w:pStyle w:val="Header"/>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7BBA" w:rsidRPr="00FF771B" w:rsidRDefault="00617BBA" w:rsidP="004537DC">
    <w:pPr>
      <w:pStyle w:val="Header"/>
      <w:pBdr>
        <w:bottom w:val="single" w:sz="4" w:space="1" w:color="auto"/>
      </w:pBdr>
      <w:tabs>
        <w:tab w:val="clear" w:pos="4320"/>
        <w:tab w:val="clear" w:pos="8640"/>
        <w:tab w:val="right" w:pos="9547"/>
      </w:tabs>
      <w:ind w:left="-144" w:right="-187"/>
      <w:rPr>
        <w:sz w:val="20"/>
      </w:rPr>
    </w:pPr>
    <w:r>
      <w:rPr>
        <w:sz w:val="20"/>
      </w:rPr>
      <w:t>May 14, 2008</w:t>
    </w:r>
    <w:r>
      <w:rPr>
        <w:sz w:val="20"/>
      </w:rPr>
      <w:tab/>
      <w:t>DRAFT ICR Renewal Supporting Statement</w:t>
    </w:r>
  </w:p>
  <w:p w:rsidR="00617BBA" w:rsidRPr="008826F6" w:rsidRDefault="00617BBA" w:rsidP="008826F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7BBA" w:rsidRPr="00AA47F2" w:rsidRDefault="00617BBA" w:rsidP="00855491">
    <w:pPr>
      <w:pStyle w:val="Header"/>
      <w:rPr>
        <w:szCs w:val="20"/>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7BBA" w:rsidRPr="00290DC5" w:rsidRDefault="00D0453F" w:rsidP="00290DC5">
    <w:pPr>
      <w:tabs>
        <w:tab w:val="right" w:pos="9706"/>
      </w:tabs>
    </w:pPr>
    <w:r>
      <w:rPr>
        <w:noProof/>
      </w:rPr>
      <w:pict>
        <v:shapetype id="_x0000_t202" coordsize="21600,21600" o:spt="202" path="m,l,21600r21600,l21600,xe">
          <v:stroke joinstyle="miter"/>
          <v:path gradientshapeok="t" o:connecttype="rect"/>
        </v:shapetype>
        <v:shape id="_x0000_s2050" type="#_x0000_t202" style="position:absolute;margin-left:704.4pt;margin-top:45pt;width:69.6pt;height:480.75pt;z-index:1;mso-position-horizontal-relative:page;mso-position-vertical-relative:page" stroked="f">
          <v:textbox style="layout-flow:vertical;mso-next-textbox:#_x0000_s2050">
            <w:txbxContent>
              <w:p w:rsidR="00617BBA" w:rsidRDefault="00617BBA" w:rsidP="00290DC5">
                <w:pPr>
                  <w:tabs>
                    <w:tab w:val="left" w:pos="6048"/>
                  </w:tabs>
                </w:pPr>
                <w:r>
                  <w:tab/>
                  <w:t>Supporting Statement ICR</w:t>
                </w:r>
              </w:p>
              <w:p w:rsidR="00617BBA" w:rsidRDefault="00617BBA" w:rsidP="00290DC5">
                <w:pPr>
                  <w:tabs>
                    <w:tab w:val="left" w:pos="6048"/>
                  </w:tabs>
                  <w:rPr>
                    <w:rStyle w:val="PageNumber"/>
                  </w:rPr>
                </w:pPr>
                <w:r>
                  <w:tab/>
                  <w:t>April 5, 2012</w:t>
                </w:r>
                <w:r>
                  <w:tab/>
                  <w:t xml:space="preserve">Page </w:t>
                </w:r>
                <w:r w:rsidR="00D0453F">
                  <w:rPr>
                    <w:rStyle w:val="PageNumber"/>
                  </w:rPr>
                  <w:fldChar w:fldCharType="begin"/>
                </w:r>
                <w:r>
                  <w:rPr>
                    <w:rStyle w:val="PageNumber"/>
                  </w:rPr>
                  <w:instrText xml:space="preserve"> PAGE </w:instrText>
                </w:r>
                <w:r w:rsidR="00D0453F">
                  <w:rPr>
                    <w:rStyle w:val="PageNumber"/>
                  </w:rPr>
                  <w:fldChar w:fldCharType="separate"/>
                </w:r>
                <w:r w:rsidR="00473BB5">
                  <w:rPr>
                    <w:rStyle w:val="PageNumber"/>
                    <w:noProof/>
                  </w:rPr>
                  <w:t>28</w:t>
                </w:r>
                <w:r w:rsidR="00D0453F">
                  <w:rPr>
                    <w:rStyle w:val="PageNumber"/>
                  </w:rPr>
                  <w:fldChar w:fldCharType="end"/>
                </w:r>
              </w:p>
              <w:p w:rsidR="00617BBA" w:rsidRDefault="00617BBA" w:rsidP="00290DC5">
                <w:pPr>
                  <w:tabs>
                    <w:tab w:val="left" w:pos="6048"/>
                  </w:tabs>
                  <w:rPr>
                    <w:rStyle w:val="PageNumber"/>
                  </w:rPr>
                </w:pPr>
                <w:r>
                  <w:rPr>
                    <w:rStyle w:val="PageNumber"/>
                  </w:rPr>
                  <w:tab/>
                </w:r>
              </w:p>
              <w:p w:rsidR="00617BBA" w:rsidRDefault="00617BBA" w:rsidP="00290DC5">
                <w:pPr>
                  <w:tabs>
                    <w:tab w:val="left" w:pos="6048"/>
                  </w:tabs>
                  <w:rPr>
                    <w:rStyle w:val="PageNumber"/>
                  </w:rPr>
                </w:pPr>
              </w:p>
              <w:p w:rsidR="00617BBA" w:rsidRDefault="00617BBA" w:rsidP="00290DC5">
                <w:pPr>
                  <w:tabs>
                    <w:tab w:val="left" w:pos="6048"/>
                  </w:tabs>
                  <w:rPr>
                    <w:rStyle w:val="PageNumber"/>
                  </w:rPr>
                </w:pPr>
              </w:p>
              <w:p w:rsidR="00617BBA" w:rsidRDefault="00617BBA" w:rsidP="00CE1064">
                <w:pPr>
                  <w:tabs>
                    <w:tab w:val="right" w:pos="9706"/>
                  </w:tabs>
                </w:pP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AA234E"/>
    <w:lvl w:ilvl="0">
      <w:numFmt w:val="bullet"/>
      <w:lvlText w:val="*"/>
      <w:lvlJc w:val="left"/>
    </w:lvl>
  </w:abstractNum>
  <w:abstractNum w:abstractNumId="1">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3">
    <w:nsid w:val="00000003"/>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9"/>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1BA372F3"/>
    <w:multiLevelType w:val="hybridMultilevel"/>
    <w:tmpl w:val="60A86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6D270A"/>
    <w:multiLevelType w:val="hybridMultilevel"/>
    <w:tmpl w:val="2DA21204"/>
    <w:lvl w:ilvl="0" w:tplc="512A1ADE">
      <w:numFmt w:val="bullet"/>
      <w:lvlText w:val=""/>
      <w:lvlJc w:val="left"/>
      <w:pPr>
        <w:ind w:left="784" w:hanging="360"/>
      </w:pPr>
      <w:rPr>
        <w:rFonts w:ascii="WP MathA" w:eastAsia="Times New Roman" w:hAnsi="WP MathA" w:cs="Times New Roman"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8">
    <w:nsid w:val="44943502"/>
    <w:multiLevelType w:val="multilevel"/>
    <w:tmpl w:val="2DA21204"/>
    <w:lvl w:ilvl="0">
      <w:numFmt w:val="bullet"/>
      <w:lvlText w:val=""/>
      <w:lvlJc w:val="left"/>
      <w:pPr>
        <w:ind w:left="784" w:hanging="360"/>
      </w:pPr>
      <w:rPr>
        <w:rFonts w:ascii="WP MathA" w:eastAsia="Times New Roman" w:hAnsi="WP MathA" w:cs="Times New Roman" w:hint="default"/>
      </w:rPr>
    </w:lvl>
    <w:lvl w:ilvl="1" w:tentative="1">
      <w:start w:val="1"/>
      <w:numFmt w:val="bullet"/>
      <w:lvlText w:val="o"/>
      <w:lvlJc w:val="left"/>
      <w:pPr>
        <w:ind w:left="1504" w:hanging="360"/>
      </w:pPr>
      <w:rPr>
        <w:rFonts w:ascii="Courier New" w:hAnsi="Courier New" w:cs="Courier New" w:hint="default"/>
      </w:rPr>
    </w:lvl>
    <w:lvl w:ilvl="2" w:tentative="1">
      <w:start w:val="1"/>
      <w:numFmt w:val="bullet"/>
      <w:lvlText w:val=""/>
      <w:lvlJc w:val="left"/>
      <w:pPr>
        <w:ind w:left="2224" w:hanging="360"/>
      </w:pPr>
      <w:rPr>
        <w:rFonts w:ascii="Wingdings" w:hAnsi="Wingdings" w:hint="default"/>
      </w:rPr>
    </w:lvl>
    <w:lvl w:ilvl="3" w:tentative="1">
      <w:start w:val="1"/>
      <w:numFmt w:val="bullet"/>
      <w:lvlText w:val=""/>
      <w:lvlJc w:val="left"/>
      <w:pPr>
        <w:ind w:left="2944" w:hanging="360"/>
      </w:pPr>
      <w:rPr>
        <w:rFonts w:ascii="Symbol" w:hAnsi="Symbol" w:hint="default"/>
      </w:rPr>
    </w:lvl>
    <w:lvl w:ilvl="4" w:tentative="1">
      <w:start w:val="1"/>
      <w:numFmt w:val="bullet"/>
      <w:lvlText w:val="o"/>
      <w:lvlJc w:val="left"/>
      <w:pPr>
        <w:ind w:left="3664" w:hanging="360"/>
      </w:pPr>
      <w:rPr>
        <w:rFonts w:ascii="Courier New" w:hAnsi="Courier New" w:cs="Courier New" w:hint="default"/>
      </w:rPr>
    </w:lvl>
    <w:lvl w:ilvl="5" w:tentative="1">
      <w:start w:val="1"/>
      <w:numFmt w:val="bullet"/>
      <w:lvlText w:val=""/>
      <w:lvlJc w:val="left"/>
      <w:pPr>
        <w:ind w:left="4384" w:hanging="360"/>
      </w:pPr>
      <w:rPr>
        <w:rFonts w:ascii="Wingdings" w:hAnsi="Wingdings" w:hint="default"/>
      </w:rPr>
    </w:lvl>
    <w:lvl w:ilvl="6" w:tentative="1">
      <w:start w:val="1"/>
      <w:numFmt w:val="bullet"/>
      <w:lvlText w:val=""/>
      <w:lvlJc w:val="left"/>
      <w:pPr>
        <w:ind w:left="5104" w:hanging="360"/>
      </w:pPr>
      <w:rPr>
        <w:rFonts w:ascii="Symbol" w:hAnsi="Symbol" w:hint="default"/>
      </w:rPr>
    </w:lvl>
    <w:lvl w:ilvl="7" w:tentative="1">
      <w:start w:val="1"/>
      <w:numFmt w:val="bullet"/>
      <w:lvlText w:val="o"/>
      <w:lvlJc w:val="left"/>
      <w:pPr>
        <w:ind w:left="5824" w:hanging="360"/>
      </w:pPr>
      <w:rPr>
        <w:rFonts w:ascii="Courier New" w:hAnsi="Courier New" w:cs="Courier New" w:hint="default"/>
      </w:rPr>
    </w:lvl>
    <w:lvl w:ilvl="8" w:tentative="1">
      <w:start w:val="1"/>
      <w:numFmt w:val="bullet"/>
      <w:lvlText w:val=""/>
      <w:lvlJc w:val="left"/>
      <w:pPr>
        <w:ind w:left="6544" w:hanging="360"/>
      </w:pPr>
      <w:rPr>
        <w:rFonts w:ascii="Wingdings" w:hAnsi="Wingdings" w:hint="default"/>
      </w:rPr>
    </w:lvl>
  </w:abstractNum>
  <w:abstractNum w:abstractNumId="9">
    <w:nsid w:val="48FF1F5D"/>
    <w:multiLevelType w:val="multilevel"/>
    <w:tmpl w:val="2DA21204"/>
    <w:lvl w:ilvl="0">
      <w:numFmt w:val="bullet"/>
      <w:lvlText w:val=""/>
      <w:lvlJc w:val="left"/>
      <w:pPr>
        <w:ind w:left="784" w:hanging="360"/>
      </w:pPr>
      <w:rPr>
        <w:rFonts w:ascii="WP MathA" w:eastAsia="Times New Roman" w:hAnsi="WP MathA" w:cs="Times New Roman" w:hint="default"/>
      </w:rPr>
    </w:lvl>
    <w:lvl w:ilvl="1" w:tentative="1">
      <w:start w:val="1"/>
      <w:numFmt w:val="bullet"/>
      <w:lvlText w:val="o"/>
      <w:lvlJc w:val="left"/>
      <w:pPr>
        <w:ind w:left="1504" w:hanging="360"/>
      </w:pPr>
      <w:rPr>
        <w:rFonts w:ascii="Courier New" w:hAnsi="Courier New" w:cs="Courier New" w:hint="default"/>
      </w:rPr>
    </w:lvl>
    <w:lvl w:ilvl="2" w:tentative="1">
      <w:start w:val="1"/>
      <w:numFmt w:val="bullet"/>
      <w:lvlText w:val=""/>
      <w:lvlJc w:val="left"/>
      <w:pPr>
        <w:ind w:left="2224" w:hanging="360"/>
      </w:pPr>
      <w:rPr>
        <w:rFonts w:ascii="Wingdings" w:hAnsi="Wingdings" w:hint="default"/>
      </w:rPr>
    </w:lvl>
    <w:lvl w:ilvl="3" w:tentative="1">
      <w:start w:val="1"/>
      <w:numFmt w:val="bullet"/>
      <w:lvlText w:val=""/>
      <w:lvlJc w:val="left"/>
      <w:pPr>
        <w:ind w:left="2944" w:hanging="360"/>
      </w:pPr>
      <w:rPr>
        <w:rFonts w:ascii="Symbol" w:hAnsi="Symbol" w:hint="default"/>
      </w:rPr>
    </w:lvl>
    <w:lvl w:ilvl="4" w:tentative="1">
      <w:start w:val="1"/>
      <w:numFmt w:val="bullet"/>
      <w:lvlText w:val="o"/>
      <w:lvlJc w:val="left"/>
      <w:pPr>
        <w:ind w:left="3664" w:hanging="360"/>
      </w:pPr>
      <w:rPr>
        <w:rFonts w:ascii="Courier New" w:hAnsi="Courier New" w:cs="Courier New" w:hint="default"/>
      </w:rPr>
    </w:lvl>
    <w:lvl w:ilvl="5" w:tentative="1">
      <w:start w:val="1"/>
      <w:numFmt w:val="bullet"/>
      <w:lvlText w:val=""/>
      <w:lvlJc w:val="left"/>
      <w:pPr>
        <w:ind w:left="4384" w:hanging="360"/>
      </w:pPr>
      <w:rPr>
        <w:rFonts w:ascii="Wingdings" w:hAnsi="Wingdings" w:hint="default"/>
      </w:rPr>
    </w:lvl>
    <w:lvl w:ilvl="6" w:tentative="1">
      <w:start w:val="1"/>
      <w:numFmt w:val="bullet"/>
      <w:lvlText w:val=""/>
      <w:lvlJc w:val="left"/>
      <w:pPr>
        <w:ind w:left="5104" w:hanging="360"/>
      </w:pPr>
      <w:rPr>
        <w:rFonts w:ascii="Symbol" w:hAnsi="Symbol" w:hint="default"/>
      </w:rPr>
    </w:lvl>
    <w:lvl w:ilvl="7" w:tentative="1">
      <w:start w:val="1"/>
      <w:numFmt w:val="bullet"/>
      <w:lvlText w:val="o"/>
      <w:lvlJc w:val="left"/>
      <w:pPr>
        <w:ind w:left="5824" w:hanging="360"/>
      </w:pPr>
      <w:rPr>
        <w:rFonts w:ascii="Courier New" w:hAnsi="Courier New" w:cs="Courier New" w:hint="default"/>
      </w:rPr>
    </w:lvl>
    <w:lvl w:ilvl="8" w:tentative="1">
      <w:start w:val="1"/>
      <w:numFmt w:val="bullet"/>
      <w:lvlText w:val=""/>
      <w:lvlJc w:val="left"/>
      <w:pPr>
        <w:ind w:left="6544" w:hanging="360"/>
      </w:pPr>
      <w:rPr>
        <w:rFonts w:ascii="Wingdings" w:hAnsi="Wingdings" w:hint="default"/>
      </w:rPr>
    </w:lvl>
  </w:abstractNum>
  <w:abstractNum w:abstractNumId="10">
    <w:nsid w:val="4D1602E5"/>
    <w:multiLevelType w:val="multilevel"/>
    <w:tmpl w:val="ED7AF1B0"/>
    <w:lvl w:ilvl="0">
      <w:numFmt w:val="bullet"/>
      <w:lvlText w:val=""/>
      <w:lvlJc w:val="left"/>
      <w:pPr>
        <w:ind w:left="720" w:hanging="360"/>
      </w:pPr>
      <w:rPr>
        <w:rFonts w:ascii="WP MathA" w:eastAsia="Times New Roman" w:hAnsi="WP MathA"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2C939F8"/>
    <w:multiLevelType w:val="multilevel"/>
    <w:tmpl w:val="2DA21204"/>
    <w:lvl w:ilvl="0">
      <w:numFmt w:val="bullet"/>
      <w:lvlText w:val=""/>
      <w:lvlJc w:val="left"/>
      <w:pPr>
        <w:ind w:left="784" w:hanging="360"/>
      </w:pPr>
      <w:rPr>
        <w:rFonts w:ascii="WP MathA" w:eastAsia="Times New Roman" w:hAnsi="WP MathA" w:cs="Times New Roman" w:hint="default"/>
      </w:rPr>
    </w:lvl>
    <w:lvl w:ilvl="1" w:tentative="1">
      <w:start w:val="1"/>
      <w:numFmt w:val="bullet"/>
      <w:lvlText w:val="o"/>
      <w:lvlJc w:val="left"/>
      <w:pPr>
        <w:ind w:left="1504" w:hanging="360"/>
      </w:pPr>
      <w:rPr>
        <w:rFonts w:ascii="Courier New" w:hAnsi="Courier New" w:cs="Courier New" w:hint="default"/>
      </w:rPr>
    </w:lvl>
    <w:lvl w:ilvl="2" w:tentative="1">
      <w:start w:val="1"/>
      <w:numFmt w:val="bullet"/>
      <w:lvlText w:val=""/>
      <w:lvlJc w:val="left"/>
      <w:pPr>
        <w:ind w:left="2224" w:hanging="360"/>
      </w:pPr>
      <w:rPr>
        <w:rFonts w:ascii="Wingdings" w:hAnsi="Wingdings" w:hint="default"/>
      </w:rPr>
    </w:lvl>
    <w:lvl w:ilvl="3" w:tentative="1">
      <w:start w:val="1"/>
      <w:numFmt w:val="bullet"/>
      <w:lvlText w:val=""/>
      <w:lvlJc w:val="left"/>
      <w:pPr>
        <w:ind w:left="2944" w:hanging="360"/>
      </w:pPr>
      <w:rPr>
        <w:rFonts w:ascii="Symbol" w:hAnsi="Symbol" w:hint="default"/>
      </w:rPr>
    </w:lvl>
    <w:lvl w:ilvl="4" w:tentative="1">
      <w:start w:val="1"/>
      <w:numFmt w:val="bullet"/>
      <w:lvlText w:val="o"/>
      <w:lvlJc w:val="left"/>
      <w:pPr>
        <w:ind w:left="3664" w:hanging="360"/>
      </w:pPr>
      <w:rPr>
        <w:rFonts w:ascii="Courier New" w:hAnsi="Courier New" w:cs="Courier New" w:hint="default"/>
      </w:rPr>
    </w:lvl>
    <w:lvl w:ilvl="5" w:tentative="1">
      <w:start w:val="1"/>
      <w:numFmt w:val="bullet"/>
      <w:lvlText w:val=""/>
      <w:lvlJc w:val="left"/>
      <w:pPr>
        <w:ind w:left="4384" w:hanging="360"/>
      </w:pPr>
      <w:rPr>
        <w:rFonts w:ascii="Wingdings" w:hAnsi="Wingdings" w:hint="default"/>
      </w:rPr>
    </w:lvl>
    <w:lvl w:ilvl="6" w:tentative="1">
      <w:start w:val="1"/>
      <w:numFmt w:val="bullet"/>
      <w:lvlText w:val=""/>
      <w:lvlJc w:val="left"/>
      <w:pPr>
        <w:ind w:left="5104" w:hanging="360"/>
      </w:pPr>
      <w:rPr>
        <w:rFonts w:ascii="Symbol" w:hAnsi="Symbol" w:hint="default"/>
      </w:rPr>
    </w:lvl>
    <w:lvl w:ilvl="7" w:tentative="1">
      <w:start w:val="1"/>
      <w:numFmt w:val="bullet"/>
      <w:lvlText w:val="o"/>
      <w:lvlJc w:val="left"/>
      <w:pPr>
        <w:ind w:left="5824" w:hanging="360"/>
      </w:pPr>
      <w:rPr>
        <w:rFonts w:ascii="Courier New" w:hAnsi="Courier New" w:cs="Courier New" w:hint="default"/>
      </w:rPr>
    </w:lvl>
    <w:lvl w:ilvl="8" w:tentative="1">
      <w:start w:val="1"/>
      <w:numFmt w:val="bullet"/>
      <w:lvlText w:val=""/>
      <w:lvlJc w:val="left"/>
      <w:pPr>
        <w:ind w:left="6544" w:hanging="360"/>
      </w:pPr>
      <w:rPr>
        <w:rFonts w:ascii="Wingdings" w:hAnsi="Wingdings" w:hint="default"/>
      </w:rPr>
    </w:lvl>
  </w:abstractNum>
  <w:abstractNum w:abstractNumId="12">
    <w:nsid w:val="532753CB"/>
    <w:multiLevelType w:val="hybridMultilevel"/>
    <w:tmpl w:val="ABF69134"/>
    <w:lvl w:ilvl="0" w:tplc="6CAA234E">
      <w:numFmt w:val="bullet"/>
      <w:lvlText w:val="$"/>
      <w:legacy w:legacy="1" w:legacySpace="0" w:legacyIndent="466"/>
      <w:lvlJc w:val="left"/>
      <w:pPr>
        <w:ind w:left="890" w:hanging="466"/>
      </w:pPr>
      <w:rPr>
        <w:rFonts w:ascii="WP TypographicSymbols" w:hAnsi="WP TypographicSymbol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FD54AC3"/>
    <w:multiLevelType w:val="hybridMultilevel"/>
    <w:tmpl w:val="ED7AF1B0"/>
    <w:lvl w:ilvl="0" w:tplc="3294A352">
      <w:numFmt w:val="bullet"/>
      <w:lvlText w:val=""/>
      <w:lvlJc w:val="left"/>
      <w:pPr>
        <w:ind w:left="720" w:hanging="360"/>
      </w:pPr>
      <w:rPr>
        <w:rFonts w:ascii="WP MathA" w:eastAsia="Times New Roman" w:hAnsi="WP Math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466"/>
        <w:lvlJc w:val="left"/>
        <w:pPr>
          <w:ind w:left="890" w:hanging="466"/>
        </w:pPr>
        <w:rPr>
          <w:rFonts w:ascii="WP TypographicSymbols" w:hAnsi="WP TypographicSymbols" w:hint="default"/>
        </w:rPr>
      </w:lvl>
    </w:lvlOverride>
  </w:num>
  <w:num w:numId="2">
    <w:abstractNumId w:val="6"/>
  </w:num>
  <w:num w:numId="3">
    <w:abstractNumId w:val="12"/>
  </w:num>
  <w:num w:numId="4">
    <w:abstractNumId w:val="7"/>
  </w:num>
  <w:num w:numId="5">
    <w:abstractNumId w:val="8"/>
  </w:num>
  <w:num w:numId="6">
    <w:abstractNumId w:val="11"/>
  </w:num>
  <w:num w:numId="7">
    <w:abstractNumId w:val="9"/>
  </w:num>
  <w:num w:numId="8">
    <w:abstractNumId w:val="13"/>
  </w:num>
  <w:num w:numId="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ctiveWritingStyle w:appName="MSWord" w:lang="en-US" w:vendorID="64" w:dllVersion="131078" w:nlCheck="1" w:checkStyle="1"/>
  <w:proofState w:spelling="clean" w:grammar="clean"/>
  <w:stylePaneFormatFilter w:val="3F01"/>
  <w:doNotTrackMoves/>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7170"/>
    <o:shapelayout v:ext="edit">
      <o:idmap v:ext="edit" data="2"/>
    </o:shapelayout>
  </w:hdrShapeDefaults>
  <w:footnotePr>
    <w:footnote w:id="-1"/>
    <w:footnote w:id="0"/>
  </w:footnotePr>
  <w:endnotePr>
    <w:endnote w:id="-1"/>
    <w:endnote w:id="0"/>
  </w:endnotePr>
  <w:compat>
    <w:wpJustification/>
    <w:noTabHangInd/>
    <w:spaceForUL/>
    <w:balanceSingleByteDoubleByteWidth/>
    <w:doNotLeaveBackslashAlone/>
    <w:ulTrailSpace/>
    <w:doNotExpandShiftReturn/>
    <w:subFontBySize/>
    <w:suppressBottomSpacing/>
    <w:truncateFontHeightsLikeWP6/>
    <w:usePrinterMetrics/>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60A82"/>
    <w:rsid w:val="00015FC3"/>
    <w:rsid w:val="00017048"/>
    <w:rsid w:val="00047599"/>
    <w:rsid w:val="000540C8"/>
    <w:rsid w:val="0005413A"/>
    <w:rsid w:val="000570DC"/>
    <w:rsid w:val="00061874"/>
    <w:rsid w:val="00070F46"/>
    <w:rsid w:val="00076F09"/>
    <w:rsid w:val="00081804"/>
    <w:rsid w:val="000834AA"/>
    <w:rsid w:val="00092292"/>
    <w:rsid w:val="00092613"/>
    <w:rsid w:val="000967FD"/>
    <w:rsid w:val="000B1778"/>
    <w:rsid w:val="000B629B"/>
    <w:rsid w:val="000C331D"/>
    <w:rsid w:val="000D2E09"/>
    <w:rsid w:val="000D5463"/>
    <w:rsid w:val="000E0D68"/>
    <w:rsid w:val="001045D2"/>
    <w:rsid w:val="00106CCA"/>
    <w:rsid w:val="00113D49"/>
    <w:rsid w:val="00124B87"/>
    <w:rsid w:val="00125252"/>
    <w:rsid w:val="00125914"/>
    <w:rsid w:val="001541B1"/>
    <w:rsid w:val="0016009E"/>
    <w:rsid w:val="00167B93"/>
    <w:rsid w:val="00172A5E"/>
    <w:rsid w:val="0017468D"/>
    <w:rsid w:val="001774B5"/>
    <w:rsid w:val="00187E27"/>
    <w:rsid w:val="001B307F"/>
    <w:rsid w:val="001C3FF7"/>
    <w:rsid w:val="001D7B84"/>
    <w:rsid w:val="001F7C9B"/>
    <w:rsid w:val="00206037"/>
    <w:rsid w:val="0022343B"/>
    <w:rsid w:val="00231D3B"/>
    <w:rsid w:val="002442C7"/>
    <w:rsid w:val="00245D9E"/>
    <w:rsid w:val="00257010"/>
    <w:rsid w:val="0026223D"/>
    <w:rsid w:val="002674D1"/>
    <w:rsid w:val="00277FC3"/>
    <w:rsid w:val="00282A02"/>
    <w:rsid w:val="00290DC5"/>
    <w:rsid w:val="002951C8"/>
    <w:rsid w:val="002962F8"/>
    <w:rsid w:val="002A0E04"/>
    <w:rsid w:val="002A3D22"/>
    <w:rsid w:val="002C1776"/>
    <w:rsid w:val="002C42DA"/>
    <w:rsid w:val="002D0398"/>
    <w:rsid w:val="002D5A7E"/>
    <w:rsid w:val="002E1527"/>
    <w:rsid w:val="002E22F8"/>
    <w:rsid w:val="002E3E71"/>
    <w:rsid w:val="002E722C"/>
    <w:rsid w:val="002F3F50"/>
    <w:rsid w:val="002F6DAB"/>
    <w:rsid w:val="0031501F"/>
    <w:rsid w:val="00324EA2"/>
    <w:rsid w:val="0033417D"/>
    <w:rsid w:val="00366F7B"/>
    <w:rsid w:val="00381E5C"/>
    <w:rsid w:val="0038521C"/>
    <w:rsid w:val="00387D1D"/>
    <w:rsid w:val="00393CCE"/>
    <w:rsid w:val="003B119A"/>
    <w:rsid w:val="003B4004"/>
    <w:rsid w:val="003C33A0"/>
    <w:rsid w:val="003C72A0"/>
    <w:rsid w:val="003D3445"/>
    <w:rsid w:val="003E3290"/>
    <w:rsid w:val="003F131D"/>
    <w:rsid w:val="003F2773"/>
    <w:rsid w:val="003F3CCC"/>
    <w:rsid w:val="004252F4"/>
    <w:rsid w:val="004347DF"/>
    <w:rsid w:val="00445BE7"/>
    <w:rsid w:val="00445F70"/>
    <w:rsid w:val="00446D2C"/>
    <w:rsid w:val="004509EC"/>
    <w:rsid w:val="00450D1F"/>
    <w:rsid w:val="004537DC"/>
    <w:rsid w:val="0046157B"/>
    <w:rsid w:val="00473BB5"/>
    <w:rsid w:val="00475FAC"/>
    <w:rsid w:val="00477A63"/>
    <w:rsid w:val="00483C09"/>
    <w:rsid w:val="00494929"/>
    <w:rsid w:val="004A3A72"/>
    <w:rsid w:val="004B1B7D"/>
    <w:rsid w:val="004B4DA9"/>
    <w:rsid w:val="004C3604"/>
    <w:rsid w:val="004C5993"/>
    <w:rsid w:val="004D03D1"/>
    <w:rsid w:val="004D4607"/>
    <w:rsid w:val="004D7888"/>
    <w:rsid w:val="004E2437"/>
    <w:rsid w:val="004F34D6"/>
    <w:rsid w:val="004F51CA"/>
    <w:rsid w:val="00507C0B"/>
    <w:rsid w:val="00525C1B"/>
    <w:rsid w:val="00532633"/>
    <w:rsid w:val="005331F1"/>
    <w:rsid w:val="00540A02"/>
    <w:rsid w:val="00552459"/>
    <w:rsid w:val="00563D41"/>
    <w:rsid w:val="00565C17"/>
    <w:rsid w:val="005736B7"/>
    <w:rsid w:val="00573944"/>
    <w:rsid w:val="005748FA"/>
    <w:rsid w:val="00585AF9"/>
    <w:rsid w:val="005947BF"/>
    <w:rsid w:val="005C3E26"/>
    <w:rsid w:val="005D189D"/>
    <w:rsid w:val="005E358A"/>
    <w:rsid w:val="006067E0"/>
    <w:rsid w:val="006158FE"/>
    <w:rsid w:val="00616501"/>
    <w:rsid w:val="006169EA"/>
    <w:rsid w:val="00617BBA"/>
    <w:rsid w:val="0062238E"/>
    <w:rsid w:val="00624226"/>
    <w:rsid w:val="00625405"/>
    <w:rsid w:val="00630544"/>
    <w:rsid w:val="00630B61"/>
    <w:rsid w:val="0063231D"/>
    <w:rsid w:val="00632436"/>
    <w:rsid w:val="006349F4"/>
    <w:rsid w:val="006362C7"/>
    <w:rsid w:val="00641740"/>
    <w:rsid w:val="00654942"/>
    <w:rsid w:val="006553A8"/>
    <w:rsid w:val="00656613"/>
    <w:rsid w:val="006702DE"/>
    <w:rsid w:val="00670F80"/>
    <w:rsid w:val="00674C0F"/>
    <w:rsid w:val="00675163"/>
    <w:rsid w:val="00683EBB"/>
    <w:rsid w:val="00683FB4"/>
    <w:rsid w:val="00691A45"/>
    <w:rsid w:val="00692553"/>
    <w:rsid w:val="006932F3"/>
    <w:rsid w:val="006A3F84"/>
    <w:rsid w:val="006B1A90"/>
    <w:rsid w:val="006F08FD"/>
    <w:rsid w:val="006F2A19"/>
    <w:rsid w:val="007179D4"/>
    <w:rsid w:val="00726133"/>
    <w:rsid w:val="00742B98"/>
    <w:rsid w:val="00746888"/>
    <w:rsid w:val="00746FEC"/>
    <w:rsid w:val="00750CA1"/>
    <w:rsid w:val="00753269"/>
    <w:rsid w:val="00760531"/>
    <w:rsid w:val="00761BA5"/>
    <w:rsid w:val="007625BE"/>
    <w:rsid w:val="007643DC"/>
    <w:rsid w:val="00770AF1"/>
    <w:rsid w:val="00774B9B"/>
    <w:rsid w:val="0078642B"/>
    <w:rsid w:val="00791599"/>
    <w:rsid w:val="007A0640"/>
    <w:rsid w:val="007B473C"/>
    <w:rsid w:val="007B7ACA"/>
    <w:rsid w:val="007C5B78"/>
    <w:rsid w:val="007D2910"/>
    <w:rsid w:val="007D5E0A"/>
    <w:rsid w:val="007E0171"/>
    <w:rsid w:val="007F0322"/>
    <w:rsid w:val="007F53C9"/>
    <w:rsid w:val="0080117B"/>
    <w:rsid w:val="00812138"/>
    <w:rsid w:val="008241F1"/>
    <w:rsid w:val="00830705"/>
    <w:rsid w:val="00836C50"/>
    <w:rsid w:val="00837AD1"/>
    <w:rsid w:val="0084539B"/>
    <w:rsid w:val="008502F8"/>
    <w:rsid w:val="008507C6"/>
    <w:rsid w:val="0085203A"/>
    <w:rsid w:val="00855491"/>
    <w:rsid w:val="00863632"/>
    <w:rsid w:val="00863DA0"/>
    <w:rsid w:val="008663C7"/>
    <w:rsid w:val="00867749"/>
    <w:rsid w:val="00872848"/>
    <w:rsid w:val="008826F6"/>
    <w:rsid w:val="008831F3"/>
    <w:rsid w:val="008A1737"/>
    <w:rsid w:val="008A7277"/>
    <w:rsid w:val="008B1087"/>
    <w:rsid w:val="008B7DB0"/>
    <w:rsid w:val="008C04F3"/>
    <w:rsid w:val="008D04A6"/>
    <w:rsid w:val="008D4CCF"/>
    <w:rsid w:val="008D68A7"/>
    <w:rsid w:val="008E49C9"/>
    <w:rsid w:val="008E573F"/>
    <w:rsid w:val="00904334"/>
    <w:rsid w:val="00906314"/>
    <w:rsid w:val="00910C2E"/>
    <w:rsid w:val="009114F1"/>
    <w:rsid w:val="0091710E"/>
    <w:rsid w:val="009208A7"/>
    <w:rsid w:val="00936BAD"/>
    <w:rsid w:val="00954EC4"/>
    <w:rsid w:val="00964AA2"/>
    <w:rsid w:val="009702F5"/>
    <w:rsid w:val="00977EF7"/>
    <w:rsid w:val="009966D5"/>
    <w:rsid w:val="0099673D"/>
    <w:rsid w:val="00996F61"/>
    <w:rsid w:val="009A06BF"/>
    <w:rsid w:val="009A7674"/>
    <w:rsid w:val="009B322B"/>
    <w:rsid w:val="009B4D69"/>
    <w:rsid w:val="009C3950"/>
    <w:rsid w:val="009D3E9A"/>
    <w:rsid w:val="009E1449"/>
    <w:rsid w:val="009E6253"/>
    <w:rsid w:val="009F207B"/>
    <w:rsid w:val="009F3D4B"/>
    <w:rsid w:val="00A0195F"/>
    <w:rsid w:val="00A07066"/>
    <w:rsid w:val="00A114DF"/>
    <w:rsid w:val="00A11AF0"/>
    <w:rsid w:val="00A3103D"/>
    <w:rsid w:val="00A35C63"/>
    <w:rsid w:val="00A419F2"/>
    <w:rsid w:val="00A426F9"/>
    <w:rsid w:val="00A46540"/>
    <w:rsid w:val="00A61954"/>
    <w:rsid w:val="00A71AD9"/>
    <w:rsid w:val="00A7486C"/>
    <w:rsid w:val="00AA47F2"/>
    <w:rsid w:val="00AA63FB"/>
    <w:rsid w:val="00AB00B8"/>
    <w:rsid w:val="00AB63AC"/>
    <w:rsid w:val="00AC0A27"/>
    <w:rsid w:val="00AD2C6A"/>
    <w:rsid w:val="00AF4AB9"/>
    <w:rsid w:val="00B00DE0"/>
    <w:rsid w:val="00B06FE0"/>
    <w:rsid w:val="00B1325E"/>
    <w:rsid w:val="00B13602"/>
    <w:rsid w:val="00B238FD"/>
    <w:rsid w:val="00B33619"/>
    <w:rsid w:val="00B4106B"/>
    <w:rsid w:val="00B4620C"/>
    <w:rsid w:val="00B566DC"/>
    <w:rsid w:val="00B65A54"/>
    <w:rsid w:val="00BA4DE1"/>
    <w:rsid w:val="00BB6015"/>
    <w:rsid w:val="00BB6D1B"/>
    <w:rsid w:val="00BB6F6A"/>
    <w:rsid w:val="00BB7313"/>
    <w:rsid w:val="00BD084C"/>
    <w:rsid w:val="00BE0DA4"/>
    <w:rsid w:val="00BE399E"/>
    <w:rsid w:val="00BE4443"/>
    <w:rsid w:val="00BE744F"/>
    <w:rsid w:val="00BF68E8"/>
    <w:rsid w:val="00BF7876"/>
    <w:rsid w:val="00BF799F"/>
    <w:rsid w:val="00C012D1"/>
    <w:rsid w:val="00C045A6"/>
    <w:rsid w:val="00C13558"/>
    <w:rsid w:val="00C25555"/>
    <w:rsid w:val="00C43E45"/>
    <w:rsid w:val="00C4470D"/>
    <w:rsid w:val="00C45546"/>
    <w:rsid w:val="00C55B20"/>
    <w:rsid w:val="00C605B8"/>
    <w:rsid w:val="00C63288"/>
    <w:rsid w:val="00C765A4"/>
    <w:rsid w:val="00C83E12"/>
    <w:rsid w:val="00C86612"/>
    <w:rsid w:val="00CA5655"/>
    <w:rsid w:val="00CB3C9A"/>
    <w:rsid w:val="00CD3274"/>
    <w:rsid w:val="00CD685B"/>
    <w:rsid w:val="00CE1064"/>
    <w:rsid w:val="00CE3516"/>
    <w:rsid w:val="00CE4F6A"/>
    <w:rsid w:val="00CF0E8E"/>
    <w:rsid w:val="00D0453F"/>
    <w:rsid w:val="00D20CD3"/>
    <w:rsid w:val="00D21C29"/>
    <w:rsid w:val="00D23CDB"/>
    <w:rsid w:val="00D2406E"/>
    <w:rsid w:val="00D26CA0"/>
    <w:rsid w:val="00D3251E"/>
    <w:rsid w:val="00D3319F"/>
    <w:rsid w:val="00D336D4"/>
    <w:rsid w:val="00D40174"/>
    <w:rsid w:val="00D55CB0"/>
    <w:rsid w:val="00D60A82"/>
    <w:rsid w:val="00D61A8D"/>
    <w:rsid w:val="00D642F9"/>
    <w:rsid w:val="00D66E36"/>
    <w:rsid w:val="00D73E34"/>
    <w:rsid w:val="00D84394"/>
    <w:rsid w:val="00D97FE2"/>
    <w:rsid w:val="00DA0226"/>
    <w:rsid w:val="00DA4DB5"/>
    <w:rsid w:val="00DC2048"/>
    <w:rsid w:val="00DC5130"/>
    <w:rsid w:val="00DE69E0"/>
    <w:rsid w:val="00DF1512"/>
    <w:rsid w:val="00E002D5"/>
    <w:rsid w:val="00E046C8"/>
    <w:rsid w:val="00E24D84"/>
    <w:rsid w:val="00E4072B"/>
    <w:rsid w:val="00E407D9"/>
    <w:rsid w:val="00E45903"/>
    <w:rsid w:val="00E50F10"/>
    <w:rsid w:val="00E70572"/>
    <w:rsid w:val="00E71D02"/>
    <w:rsid w:val="00E73645"/>
    <w:rsid w:val="00E85747"/>
    <w:rsid w:val="00E86684"/>
    <w:rsid w:val="00E87580"/>
    <w:rsid w:val="00E936FC"/>
    <w:rsid w:val="00EA2DD7"/>
    <w:rsid w:val="00EE02E3"/>
    <w:rsid w:val="00EE1D08"/>
    <w:rsid w:val="00EE2C3F"/>
    <w:rsid w:val="00EE6D32"/>
    <w:rsid w:val="00EF31C7"/>
    <w:rsid w:val="00EF5A95"/>
    <w:rsid w:val="00EF5B49"/>
    <w:rsid w:val="00F04BB4"/>
    <w:rsid w:val="00F120DF"/>
    <w:rsid w:val="00F16D75"/>
    <w:rsid w:val="00F25DAA"/>
    <w:rsid w:val="00F27E88"/>
    <w:rsid w:val="00F3123C"/>
    <w:rsid w:val="00F46FB4"/>
    <w:rsid w:val="00F5508D"/>
    <w:rsid w:val="00F562AB"/>
    <w:rsid w:val="00F60B09"/>
    <w:rsid w:val="00F638B2"/>
    <w:rsid w:val="00F71414"/>
    <w:rsid w:val="00F76419"/>
    <w:rsid w:val="00F83C8D"/>
    <w:rsid w:val="00F859BF"/>
    <w:rsid w:val="00F91BAE"/>
    <w:rsid w:val="00F972FA"/>
    <w:rsid w:val="00FA713A"/>
    <w:rsid w:val="00FB4B8A"/>
    <w:rsid w:val="00FB7605"/>
    <w:rsid w:val="00FB7F30"/>
    <w:rsid w:val="00FD76DA"/>
    <w:rsid w:val="00FE5936"/>
    <w:rsid w:val="00FE7167"/>
    <w:rsid w:val="00FF7CE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ountry-region"/>
  <w:smartTagType w:namespaceuri="urn:schemas-microsoft-com:office:smarttags" w:name="PersonName"/>
  <w:smartTagType w:namespaceuri="urn:schemas-microsoft-com:office:smarttags" w:name="stockticker"/>
  <w:smartTagType w:namespaceuri="urn:schemas-microsoft-com:office:smarttags" w:name="place"/>
  <w:smartTagType w:namespaceuri="urn:schemas-microsoft-com:office:smarttags" w:name="City"/>
  <w:smartTagType w:namespaceuri="urn:schemas-microsoft-com:office:smarttags" w:name="date"/>
  <w:smartTagType w:namespaceuri="urn:schemas-microsoft-com:office:smarttags" w:name="PlaceName"/>
  <w:smartTagType w:namespaceuri="urn:schemas-microsoft-com:office:smarttags" w:name="PlaceTyp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F1512"/>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22343B"/>
  </w:style>
  <w:style w:type="character" w:customStyle="1" w:styleId="Chapterhead">
    <w:name w:val="Chapterhead"/>
    <w:rsid w:val="0022343B"/>
    <w:rPr>
      <w:rFonts w:ascii="Times New Roman" w:hAnsi="Times New Roman" w:cs="Times New Roman"/>
      <w:b/>
      <w:bCs/>
      <w:sz w:val="32"/>
      <w:szCs w:val="32"/>
    </w:rPr>
  </w:style>
  <w:style w:type="character" w:customStyle="1" w:styleId="1sttierA">
    <w:name w:val="1st tier (A)"/>
    <w:rsid w:val="0022343B"/>
    <w:rPr>
      <w:rFonts w:ascii="Times New Roman" w:hAnsi="Times New Roman" w:cs="Times New Roman"/>
      <w:b/>
      <w:bCs/>
      <w:sz w:val="24"/>
      <w:szCs w:val="24"/>
    </w:rPr>
  </w:style>
  <w:style w:type="character" w:customStyle="1" w:styleId="2ndtier1">
    <w:name w:val="2nd tier (1)"/>
    <w:rsid w:val="0022343B"/>
    <w:rPr>
      <w:rFonts w:ascii="Times New Roman" w:hAnsi="Times New Roman" w:cs="Times New Roman"/>
      <w:b/>
      <w:bCs/>
      <w:sz w:val="24"/>
      <w:szCs w:val="24"/>
    </w:rPr>
  </w:style>
  <w:style w:type="paragraph" w:customStyle="1" w:styleId="Level1">
    <w:name w:val="Level 1"/>
    <w:basedOn w:val="Normal"/>
    <w:rsid w:val="0022343B"/>
    <w:pPr>
      <w:ind w:left="890" w:hanging="466"/>
    </w:pPr>
  </w:style>
  <w:style w:type="character" w:customStyle="1" w:styleId="3rdtiera">
    <w:name w:val="3rd tier (a)"/>
    <w:rsid w:val="0022343B"/>
    <w:rPr>
      <w:i/>
      <w:iCs/>
    </w:rPr>
  </w:style>
  <w:style w:type="character" w:styleId="CommentReference">
    <w:name w:val="annotation reference"/>
    <w:semiHidden/>
    <w:rsid w:val="00674C0F"/>
    <w:rPr>
      <w:sz w:val="16"/>
      <w:szCs w:val="16"/>
    </w:rPr>
  </w:style>
  <w:style w:type="paragraph" w:styleId="CommentText">
    <w:name w:val="annotation text"/>
    <w:basedOn w:val="Normal"/>
    <w:semiHidden/>
    <w:rsid w:val="00674C0F"/>
    <w:rPr>
      <w:sz w:val="20"/>
      <w:szCs w:val="20"/>
    </w:rPr>
  </w:style>
  <w:style w:type="paragraph" w:styleId="CommentSubject">
    <w:name w:val="annotation subject"/>
    <w:basedOn w:val="CommentText"/>
    <w:next w:val="CommentText"/>
    <w:semiHidden/>
    <w:rsid w:val="00674C0F"/>
    <w:rPr>
      <w:b/>
      <w:bCs/>
    </w:rPr>
  </w:style>
  <w:style w:type="paragraph" w:styleId="BalloonText">
    <w:name w:val="Balloon Text"/>
    <w:basedOn w:val="Normal"/>
    <w:semiHidden/>
    <w:rsid w:val="00674C0F"/>
    <w:rPr>
      <w:rFonts w:ascii="Tahoma" w:hAnsi="Tahoma" w:cs="Tahoma"/>
      <w:sz w:val="16"/>
      <w:szCs w:val="16"/>
    </w:rPr>
  </w:style>
  <w:style w:type="character" w:styleId="Strong">
    <w:name w:val="Strong"/>
    <w:qFormat/>
    <w:rsid w:val="00D97FE2"/>
    <w:rPr>
      <w:b/>
      <w:bCs/>
    </w:rPr>
  </w:style>
  <w:style w:type="character" w:styleId="Hyperlink">
    <w:name w:val="Hyperlink"/>
    <w:rsid w:val="00C13558"/>
    <w:rPr>
      <w:color w:val="0000FF"/>
      <w:u w:val="single"/>
    </w:rPr>
  </w:style>
  <w:style w:type="character" w:customStyle="1" w:styleId="defaultlabelstyle6">
    <w:name w:val="defaultlabelstyle6"/>
    <w:rsid w:val="00C13558"/>
    <w:rPr>
      <w:rFonts w:ascii="Verdana" w:hAnsi="Verdana" w:hint="default"/>
      <w:color w:val="333333"/>
      <w:sz w:val="18"/>
      <w:szCs w:val="18"/>
    </w:rPr>
  </w:style>
  <w:style w:type="paragraph" w:styleId="Header">
    <w:name w:val="header"/>
    <w:basedOn w:val="Normal"/>
    <w:link w:val="HeaderChar"/>
    <w:uiPriority w:val="99"/>
    <w:rsid w:val="007B7ACA"/>
    <w:pPr>
      <w:tabs>
        <w:tab w:val="center" w:pos="4320"/>
        <w:tab w:val="right" w:pos="8640"/>
      </w:tabs>
    </w:pPr>
    <w:rPr>
      <w:lang/>
    </w:rPr>
  </w:style>
  <w:style w:type="paragraph" w:styleId="Footer">
    <w:name w:val="footer"/>
    <w:basedOn w:val="Normal"/>
    <w:link w:val="FooterChar"/>
    <w:uiPriority w:val="99"/>
    <w:rsid w:val="007B7ACA"/>
    <w:pPr>
      <w:tabs>
        <w:tab w:val="center" w:pos="4320"/>
        <w:tab w:val="right" w:pos="8640"/>
      </w:tabs>
    </w:pPr>
    <w:rPr>
      <w:lang/>
    </w:rPr>
  </w:style>
  <w:style w:type="character" w:customStyle="1" w:styleId="HeaderChar">
    <w:name w:val="Header Char"/>
    <w:link w:val="Header"/>
    <w:uiPriority w:val="99"/>
    <w:rsid w:val="008826F6"/>
    <w:rPr>
      <w:sz w:val="24"/>
      <w:szCs w:val="24"/>
    </w:rPr>
  </w:style>
  <w:style w:type="character" w:customStyle="1" w:styleId="FooterChar">
    <w:name w:val="Footer Char"/>
    <w:link w:val="Footer"/>
    <w:uiPriority w:val="99"/>
    <w:rsid w:val="008826F6"/>
    <w:rPr>
      <w:sz w:val="24"/>
      <w:szCs w:val="24"/>
    </w:rPr>
  </w:style>
  <w:style w:type="character" w:styleId="PageNumber">
    <w:name w:val="page number"/>
    <w:basedOn w:val="DefaultParagraphFont"/>
    <w:rsid w:val="00CE1064"/>
  </w:style>
  <w:style w:type="character" w:styleId="FollowedHyperlink">
    <w:name w:val="FollowedHyperlink"/>
    <w:rsid w:val="00654942"/>
    <w:rPr>
      <w:color w:val="800080"/>
      <w:u w:val="single"/>
    </w:rPr>
  </w:style>
  <w:style w:type="character" w:styleId="Emphasis">
    <w:name w:val="Emphasis"/>
    <w:qFormat/>
    <w:rsid w:val="00CD685B"/>
    <w:rPr>
      <w:i/>
      <w:iCs/>
    </w:rPr>
  </w:style>
</w:styles>
</file>

<file path=word/webSettings.xml><?xml version="1.0" encoding="utf-8"?>
<w:webSettings xmlns:r="http://schemas.openxmlformats.org/officeDocument/2006/relationships" xmlns:w="http://schemas.openxmlformats.org/wordprocessingml/2006/main">
  <w:divs>
    <w:div w:id="253250662">
      <w:bodyDiv w:val="1"/>
      <w:marLeft w:val="0"/>
      <w:marRight w:val="0"/>
      <w:marTop w:val="0"/>
      <w:marBottom w:val="0"/>
      <w:divBdr>
        <w:top w:val="none" w:sz="0" w:space="0" w:color="auto"/>
        <w:left w:val="none" w:sz="0" w:space="0" w:color="auto"/>
        <w:bottom w:val="none" w:sz="0" w:space="0" w:color="auto"/>
        <w:right w:val="none" w:sz="0" w:space="0" w:color="auto"/>
      </w:divBdr>
    </w:div>
    <w:div w:id="415248269">
      <w:bodyDiv w:val="1"/>
      <w:marLeft w:val="0"/>
      <w:marRight w:val="0"/>
      <w:marTop w:val="0"/>
      <w:marBottom w:val="0"/>
      <w:divBdr>
        <w:top w:val="none" w:sz="0" w:space="0" w:color="auto"/>
        <w:left w:val="none" w:sz="0" w:space="0" w:color="auto"/>
        <w:bottom w:val="none" w:sz="0" w:space="0" w:color="auto"/>
        <w:right w:val="none" w:sz="0" w:space="0" w:color="auto"/>
      </w:divBdr>
    </w:div>
    <w:div w:id="448397459">
      <w:bodyDiv w:val="1"/>
      <w:marLeft w:val="0"/>
      <w:marRight w:val="0"/>
      <w:marTop w:val="0"/>
      <w:marBottom w:val="0"/>
      <w:divBdr>
        <w:top w:val="none" w:sz="0" w:space="0" w:color="auto"/>
        <w:left w:val="none" w:sz="0" w:space="0" w:color="auto"/>
        <w:bottom w:val="none" w:sz="0" w:space="0" w:color="auto"/>
        <w:right w:val="none" w:sz="0" w:space="0" w:color="auto"/>
      </w:divBdr>
    </w:div>
    <w:div w:id="840660608">
      <w:bodyDiv w:val="1"/>
      <w:marLeft w:val="0"/>
      <w:marRight w:val="0"/>
      <w:marTop w:val="0"/>
      <w:marBottom w:val="0"/>
      <w:divBdr>
        <w:top w:val="none" w:sz="0" w:space="0" w:color="auto"/>
        <w:left w:val="none" w:sz="0" w:space="0" w:color="auto"/>
        <w:bottom w:val="none" w:sz="0" w:space="0" w:color="auto"/>
        <w:right w:val="none" w:sz="0" w:space="0" w:color="auto"/>
      </w:divBdr>
    </w:div>
    <w:div w:id="953177424">
      <w:bodyDiv w:val="1"/>
      <w:marLeft w:val="0"/>
      <w:marRight w:val="0"/>
      <w:marTop w:val="0"/>
      <w:marBottom w:val="0"/>
      <w:divBdr>
        <w:top w:val="none" w:sz="0" w:space="0" w:color="auto"/>
        <w:left w:val="none" w:sz="0" w:space="0" w:color="auto"/>
        <w:bottom w:val="none" w:sz="0" w:space="0" w:color="auto"/>
        <w:right w:val="none" w:sz="0" w:space="0" w:color="auto"/>
      </w:divBdr>
    </w:div>
    <w:div w:id="1010985973">
      <w:bodyDiv w:val="1"/>
      <w:marLeft w:val="0"/>
      <w:marRight w:val="0"/>
      <w:marTop w:val="0"/>
      <w:marBottom w:val="0"/>
      <w:divBdr>
        <w:top w:val="none" w:sz="0" w:space="0" w:color="auto"/>
        <w:left w:val="none" w:sz="0" w:space="0" w:color="auto"/>
        <w:bottom w:val="none" w:sz="0" w:space="0" w:color="auto"/>
        <w:right w:val="none" w:sz="0" w:space="0" w:color="auto"/>
      </w:divBdr>
    </w:div>
    <w:div w:id="1127503747">
      <w:bodyDiv w:val="1"/>
      <w:marLeft w:val="0"/>
      <w:marRight w:val="0"/>
      <w:marTop w:val="0"/>
      <w:marBottom w:val="0"/>
      <w:divBdr>
        <w:top w:val="none" w:sz="0" w:space="0" w:color="auto"/>
        <w:left w:val="none" w:sz="0" w:space="0" w:color="auto"/>
        <w:bottom w:val="none" w:sz="0" w:space="0" w:color="auto"/>
        <w:right w:val="none" w:sz="0" w:space="0" w:color="auto"/>
      </w:divBdr>
    </w:div>
    <w:div w:id="1215775857">
      <w:bodyDiv w:val="1"/>
      <w:marLeft w:val="0"/>
      <w:marRight w:val="0"/>
      <w:marTop w:val="0"/>
      <w:marBottom w:val="0"/>
      <w:divBdr>
        <w:top w:val="none" w:sz="0" w:space="0" w:color="auto"/>
        <w:left w:val="none" w:sz="0" w:space="0" w:color="auto"/>
        <w:bottom w:val="none" w:sz="0" w:space="0" w:color="auto"/>
        <w:right w:val="none" w:sz="0" w:space="0" w:color="auto"/>
      </w:divBdr>
    </w:div>
    <w:div w:id="1222132219">
      <w:bodyDiv w:val="1"/>
      <w:marLeft w:val="0"/>
      <w:marRight w:val="0"/>
      <w:marTop w:val="0"/>
      <w:marBottom w:val="0"/>
      <w:divBdr>
        <w:top w:val="none" w:sz="0" w:space="0" w:color="auto"/>
        <w:left w:val="none" w:sz="0" w:space="0" w:color="auto"/>
        <w:bottom w:val="none" w:sz="0" w:space="0" w:color="auto"/>
        <w:right w:val="none" w:sz="0" w:space="0" w:color="auto"/>
      </w:divBdr>
    </w:div>
    <w:div w:id="1337222028">
      <w:bodyDiv w:val="1"/>
      <w:marLeft w:val="0"/>
      <w:marRight w:val="0"/>
      <w:marTop w:val="0"/>
      <w:marBottom w:val="0"/>
      <w:divBdr>
        <w:top w:val="none" w:sz="0" w:space="0" w:color="auto"/>
        <w:left w:val="none" w:sz="0" w:space="0" w:color="auto"/>
        <w:bottom w:val="none" w:sz="0" w:space="0" w:color="auto"/>
        <w:right w:val="none" w:sz="0" w:space="0" w:color="auto"/>
      </w:divBdr>
    </w:div>
    <w:div w:id="189912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pm.gov/oca/12tables/pdf/gs.pdf" TargetMode="Externa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www.regulations.gov"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5158AF-4CA1-41D4-84A9-AB8AB0DB9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8850</Words>
  <Characters>50449</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DRAFT Supporting Statement</vt:lpstr>
    </vt:vector>
  </TitlesOfParts>
  <Company/>
  <LinksUpToDate>false</LinksUpToDate>
  <CharactersWithSpaces>59181</CharactersWithSpaces>
  <SharedDoc>false</SharedDoc>
  <HLinks>
    <vt:vector size="12" baseType="variant">
      <vt:variant>
        <vt:i4>7667829</vt:i4>
      </vt:variant>
      <vt:variant>
        <vt:i4>3</vt:i4>
      </vt:variant>
      <vt:variant>
        <vt:i4>0</vt:i4>
      </vt:variant>
      <vt:variant>
        <vt:i4>5</vt:i4>
      </vt:variant>
      <vt:variant>
        <vt:lpwstr>http://www.opm.gov/oca/12tables/pdf/gs.pdf</vt:lpwstr>
      </vt:variant>
      <vt:variant>
        <vt:lpwstr/>
      </vt:variant>
      <vt:variant>
        <vt:i4>2818151</vt:i4>
      </vt:variant>
      <vt:variant>
        <vt:i4>0</vt:i4>
      </vt:variant>
      <vt:variant>
        <vt:i4>0</vt:i4>
      </vt:variant>
      <vt:variant>
        <vt:i4>5</vt:i4>
      </vt:variant>
      <vt:variant>
        <vt:lpwstr>http://www.regulations.gov/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Supporting Statement</dc:title>
  <dc:subject/>
  <dc:creator>Casey Cox</dc:creator>
  <cp:keywords/>
  <dc:description/>
  <cp:lastModifiedBy>Courtney Kerwin</cp:lastModifiedBy>
  <cp:revision>3</cp:revision>
  <cp:lastPrinted>2012-04-05T17:29:00Z</cp:lastPrinted>
  <dcterms:created xsi:type="dcterms:W3CDTF">2012-05-22T15:34:00Z</dcterms:created>
  <dcterms:modified xsi:type="dcterms:W3CDTF">2012-05-22T17:58:00Z</dcterms:modified>
</cp:coreProperties>
</file>